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50EB7" w14:textId="235BBE42" w:rsidR="008467D5" w:rsidRPr="001A50DE" w:rsidRDefault="003567FE" w:rsidP="00013360">
      <w:pPr>
        <w:tabs>
          <w:tab w:val="left" w:pos="-1440"/>
          <w:tab w:val="left" w:pos="-720"/>
          <w:tab w:val="left" w:pos="1"/>
          <w:tab w:val="right" w:pos="9360"/>
        </w:tabs>
        <w:jc w:val="both"/>
        <w:rPr>
          <w:rFonts w:ascii="Arial" w:hAnsi="Arial"/>
          <w:sz w:val="24"/>
          <w:lang w:val="en-GB"/>
        </w:rPr>
      </w:pPr>
      <w:r w:rsidRPr="003567FE">
        <w:rPr>
          <w:rFonts w:ascii="Arial" w:hAnsi="Arial"/>
          <w:b/>
          <w:noProof/>
          <w:sz w:val="24"/>
        </w:rPr>
        <w:drawing>
          <wp:inline distT="0" distB="0" distL="0" distR="0" wp14:anchorId="119E9D88" wp14:editId="0D0E1CB0">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EADDC79" w14:textId="187A491D" w:rsidR="00856D9F" w:rsidRPr="001412DA" w:rsidRDefault="009A11F9" w:rsidP="00005106">
      <w:pPr>
        <w:pBdr>
          <w:bottom w:val="single" w:sz="18" w:space="1" w:color="auto"/>
        </w:pBdr>
        <w:tabs>
          <w:tab w:val="left" w:pos="-1440"/>
          <w:tab w:val="left" w:pos="-720"/>
          <w:tab w:val="left" w:pos="1"/>
          <w:tab w:val="left" w:pos="1509"/>
        </w:tabs>
        <w:jc w:val="both"/>
        <w:rPr>
          <w:rFonts w:ascii="Arial" w:hAnsi="Arial"/>
          <w:b/>
          <w:sz w:val="2"/>
          <w:szCs w:val="2"/>
          <w:lang w:val="en-GB"/>
        </w:rPr>
      </w:pPr>
      <w:r w:rsidRPr="001A50DE">
        <w:rPr>
          <w:rFonts w:ascii="Arial" w:hAnsi="Arial"/>
          <w:b/>
          <w:sz w:val="24"/>
          <w:lang w:val="en-GB"/>
        </w:rPr>
        <w:tab/>
      </w:r>
    </w:p>
    <w:p w14:paraId="4EEFF4FC" w14:textId="5D7CB83E" w:rsidR="00D75295" w:rsidRPr="001A50DE" w:rsidRDefault="00346611" w:rsidP="00F105B7">
      <w:pPr>
        <w:pStyle w:val="ProductNumber"/>
        <w:rPr>
          <w:lang w:val="en-GB"/>
        </w:rPr>
      </w:pPr>
      <w:r>
        <w:rPr>
          <w:lang w:val="en-GB"/>
        </w:rPr>
        <w:t>9B18M008</w:t>
      </w:r>
    </w:p>
    <w:p w14:paraId="66963805" w14:textId="77777777" w:rsidR="00D75295" w:rsidRPr="001A50DE" w:rsidRDefault="00D75295" w:rsidP="00D75295">
      <w:pPr>
        <w:jc w:val="right"/>
        <w:rPr>
          <w:rFonts w:ascii="Arial" w:hAnsi="Arial"/>
          <w:b/>
          <w:sz w:val="28"/>
          <w:szCs w:val="28"/>
          <w:lang w:val="en-GB"/>
        </w:rPr>
      </w:pPr>
    </w:p>
    <w:p w14:paraId="2BEFF4CE" w14:textId="77777777" w:rsidR="00866F6D" w:rsidRPr="001A50DE" w:rsidRDefault="00866F6D" w:rsidP="00D75295">
      <w:pPr>
        <w:jc w:val="right"/>
        <w:rPr>
          <w:rFonts w:ascii="Arial" w:hAnsi="Arial"/>
          <w:b/>
          <w:sz w:val="28"/>
          <w:szCs w:val="28"/>
          <w:lang w:val="en-GB"/>
        </w:rPr>
      </w:pPr>
    </w:p>
    <w:p w14:paraId="2F8F4646" w14:textId="50C249A6" w:rsidR="00013360" w:rsidRPr="001A50DE" w:rsidRDefault="00820F7C" w:rsidP="00013360">
      <w:pPr>
        <w:pStyle w:val="CaseTitle"/>
        <w:spacing w:after="0" w:line="240" w:lineRule="auto"/>
        <w:rPr>
          <w:lang w:val="en-GB"/>
        </w:rPr>
      </w:pPr>
      <w:r w:rsidRPr="001A50DE">
        <w:rPr>
          <w:lang w:val="en-GB"/>
        </w:rPr>
        <w:t xml:space="preserve">For the Love of Laundry: </w:t>
      </w:r>
      <w:r w:rsidR="00D2404D" w:rsidRPr="001A50DE">
        <w:rPr>
          <w:lang w:val="en-GB"/>
        </w:rPr>
        <w:t xml:space="preserve">comparing organizational forms </w:t>
      </w:r>
      <w:r w:rsidR="0029402B" w:rsidRPr="001A50DE">
        <w:rPr>
          <w:lang w:val="en-GB"/>
        </w:rPr>
        <w:t xml:space="preserve">TO SCALE </w:t>
      </w:r>
      <w:r w:rsidR="00271309" w:rsidRPr="001A50DE">
        <w:rPr>
          <w:lang w:val="en-GB"/>
        </w:rPr>
        <w:t xml:space="preserve">A </w:t>
      </w:r>
      <w:r w:rsidR="00D2404D" w:rsidRPr="001A50DE">
        <w:rPr>
          <w:lang w:val="en-GB"/>
        </w:rPr>
        <w:t xml:space="preserve">social enterprise </w:t>
      </w:r>
    </w:p>
    <w:p w14:paraId="3EA55C66" w14:textId="77777777" w:rsidR="00CA3976" w:rsidRPr="001A50DE" w:rsidRDefault="00CA3976" w:rsidP="00013360">
      <w:pPr>
        <w:pStyle w:val="CaseTitle"/>
        <w:spacing w:after="0" w:line="240" w:lineRule="auto"/>
        <w:rPr>
          <w:sz w:val="20"/>
          <w:szCs w:val="20"/>
          <w:lang w:val="en-GB"/>
        </w:rPr>
      </w:pPr>
    </w:p>
    <w:p w14:paraId="68D6865A" w14:textId="77777777" w:rsidR="00013360" w:rsidRPr="001A50DE" w:rsidRDefault="00013360" w:rsidP="00013360">
      <w:pPr>
        <w:pStyle w:val="CaseTitle"/>
        <w:spacing w:after="0" w:line="240" w:lineRule="auto"/>
        <w:rPr>
          <w:sz w:val="20"/>
          <w:szCs w:val="20"/>
          <w:lang w:val="en-GB"/>
        </w:rPr>
      </w:pPr>
    </w:p>
    <w:p w14:paraId="08ED079C" w14:textId="71281F6F" w:rsidR="00013360" w:rsidRPr="001A50DE" w:rsidRDefault="00820F7C" w:rsidP="00104567">
      <w:pPr>
        <w:pStyle w:val="StyleCopyrightStatementAfter0ptBottomSinglesolidline1"/>
        <w:rPr>
          <w:lang w:val="en-GB"/>
        </w:rPr>
      </w:pPr>
      <w:r w:rsidRPr="001A50DE">
        <w:rPr>
          <w:lang w:val="en-GB"/>
        </w:rPr>
        <w:t>Kent Walker, Ian Stecher, Francine Schlosser, and Mega</w:t>
      </w:r>
      <w:r w:rsidR="005F0C20">
        <w:rPr>
          <w:lang w:val="en-GB"/>
        </w:rPr>
        <w:t>i</w:t>
      </w:r>
      <w:r w:rsidRPr="001A50DE">
        <w:rPr>
          <w:lang w:val="en-GB"/>
        </w:rPr>
        <w:t>n O’Neil-Renaud</w:t>
      </w:r>
      <w:r w:rsidR="007E5921" w:rsidRPr="001A50DE">
        <w:rPr>
          <w:lang w:val="en-GB"/>
        </w:rPr>
        <w:t xml:space="preserve"> wrote this case sol</w:t>
      </w:r>
      <w:r w:rsidR="00D75295" w:rsidRPr="001A50DE">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0849A825" w14:textId="77777777" w:rsidR="00013360" w:rsidRDefault="00013360" w:rsidP="00104567">
      <w:pPr>
        <w:pStyle w:val="StyleCopyrightStatementAfter0ptBottomSinglesolidline1"/>
        <w:rPr>
          <w:lang w:val="en-GB"/>
        </w:rPr>
      </w:pPr>
    </w:p>
    <w:p w14:paraId="716F3AD7" w14:textId="77777777" w:rsidR="003567FE" w:rsidRPr="00E23AB7" w:rsidRDefault="003567FE"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53313F11" w14:textId="77777777" w:rsidR="003567FE" w:rsidRPr="00E23AB7" w:rsidRDefault="003567FE"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74CA857D" w14:textId="246A1C94" w:rsidR="003B7EF2" w:rsidRPr="001A50DE" w:rsidRDefault="003567FE" w:rsidP="003B7EF2">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3B7EF2" w:rsidRPr="001A50DE">
        <w:rPr>
          <w:lang w:val="en-GB"/>
        </w:rPr>
        <w:tab/>
        <w:t xml:space="preserve">Version: </w:t>
      </w:r>
      <w:r w:rsidR="00361C8E" w:rsidRPr="001A50DE">
        <w:rPr>
          <w:lang w:val="en-GB"/>
        </w:rPr>
        <w:t>201</w:t>
      </w:r>
      <w:r w:rsidR="00E578E0">
        <w:rPr>
          <w:lang w:val="en-GB"/>
        </w:rPr>
        <w:t>8</w:t>
      </w:r>
      <w:r w:rsidR="00361C8E" w:rsidRPr="001A50DE">
        <w:rPr>
          <w:lang w:val="en-GB"/>
        </w:rPr>
        <w:t>-</w:t>
      </w:r>
      <w:r w:rsidR="00E578E0">
        <w:rPr>
          <w:lang w:val="en-GB"/>
        </w:rPr>
        <w:t>01</w:t>
      </w:r>
      <w:r w:rsidR="00361C8E" w:rsidRPr="001A50DE">
        <w:rPr>
          <w:lang w:val="en-GB"/>
        </w:rPr>
        <w:t>-</w:t>
      </w:r>
      <w:r w:rsidR="005F0C20">
        <w:rPr>
          <w:lang w:val="en-GB"/>
        </w:rPr>
        <w:t>19</w:t>
      </w:r>
    </w:p>
    <w:p w14:paraId="1870044C" w14:textId="77777777" w:rsidR="003B7EF2" w:rsidRPr="001412DA" w:rsidRDefault="003B7EF2" w:rsidP="00104567">
      <w:pPr>
        <w:pStyle w:val="StyleCopyrightStatementAfter0ptBottomSinglesolidline1"/>
        <w:rPr>
          <w:rFonts w:ascii="Times New Roman" w:hAnsi="Times New Roman"/>
          <w:sz w:val="20"/>
          <w:lang w:val="en-GB"/>
        </w:rPr>
      </w:pPr>
    </w:p>
    <w:p w14:paraId="1C61A311" w14:textId="77777777" w:rsidR="003B7EF2" w:rsidRPr="001412DA" w:rsidRDefault="003B7EF2" w:rsidP="006B7F7A">
      <w:pPr>
        <w:pStyle w:val="BodyTextMain"/>
        <w:rPr>
          <w:sz w:val="20"/>
          <w:szCs w:val="20"/>
          <w:lang w:val="en-GB"/>
        </w:rPr>
      </w:pPr>
    </w:p>
    <w:p w14:paraId="68B97347" w14:textId="378C0181" w:rsidR="00820F7C" w:rsidRPr="00005106" w:rsidRDefault="003F6EAF" w:rsidP="00CB784C">
      <w:pPr>
        <w:pStyle w:val="BodyTextMain"/>
        <w:rPr>
          <w:rFonts w:eastAsia="Calibri"/>
          <w:spacing w:val="-2"/>
          <w:kern w:val="22"/>
          <w:lang w:val="en-GB"/>
        </w:rPr>
      </w:pPr>
      <w:r w:rsidRPr="00005106">
        <w:rPr>
          <w:rFonts w:eastAsia="Calibri"/>
          <w:spacing w:val="-2"/>
          <w:kern w:val="22"/>
          <w:lang w:val="en-GB"/>
        </w:rPr>
        <w:t xml:space="preserve">In August </w:t>
      </w:r>
      <w:r w:rsidR="00820F7C" w:rsidRPr="00005106">
        <w:rPr>
          <w:rFonts w:eastAsia="Calibri"/>
          <w:spacing w:val="-2"/>
          <w:kern w:val="22"/>
          <w:lang w:val="en-GB"/>
        </w:rPr>
        <w:t>2014</w:t>
      </w:r>
      <w:r w:rsidR="00C318C0" w:rsidRPr="00005106">
        <w:rPr>
          <w:rFonts w:eastAsia="Calibri"/>
          <w:spacing w:val="-2"/>
          <w:kern w:val="22"/>
          <w:lang w:val="en-GB"/>
        </w:rPr>
        <w:t>,</w:t>
      </w:r>
      <w:r w:rsidR="00820F7C" w:rsidRPr="00005106">
        <w:rPr>
          <w:rFonts w:eastAsia="Calibri"/>
          <w:spacing w:val="-2"/>
          <w:kern w:val="22"/>
          <w:lang w:val="en-GB"/>
        </w:rPr>
        <w:t xml:space="preserve"> </w:t>
      </w:r>
      <w:r w:rsidRPr="00005106">
        <w:rPr>
          <w:rFonts w:eastAsia="Calibri"/>
          <w:spacing w:val="-2"/>
          <w:kern w:val="22"/>
          <w:lang w:val="en-GB"/>
        </w:rPr>
        <w:t xml:space="preserve">Melissa </w:t>
      </w:r>
      <w:r w:rsidR="00820F7C" w:rsidRPr="00005106">
        <w:rPr>
          <w:rFonts w:eastAsia="Calibri"/>
          <w:spacing w:val="-2"/>
          <w:kern w:val="22"/>
          <w:lang w:val="en-GB"/>
        </w:rPr>
        <w:t>Power founded her social enterprise, For the Love of Laundry (FTLOL)</w:t>
      </w:r>
      <w:r w:rsidR="00D2404D" w:rsidRPr="00005106">
        <w:rPr>
          <w:rFonts w:eastAsia="Calibri"/>
          <w:spacing w:val="-2"/>
          <w:kern w:val="22"/>
          <w:lang w:val="en-GB"/>
        </w:rPr>
        <w:t>, in London, Ontario</w:t>
      </w:r>
      <w:r w:rsidR="00820F7C" w:rsidRPr="00005106">
        <w:rPr>
          <w:rFonts w:eastAsia="Calibri"/>
          <w:spacing w:val="-2"/>
          <w:kern w:val="22"/>
          <w:lang w:val="en-GB"/>
        </w:rPr>
        <w:t xml:space="preserve">. She planned </w:t>
      </w:r>
      <w:r w:rsidR="007D56CA" w:rsidRPr="00005106">
        <w:rPr>
          <w:rFonts w:eastAsia="Calibri"/>
          <w:spacing w:val="-2"/>
          <w:kern w:val="22"/>
          <w:lang w:val="en-GB"/>
        </w:rPr>
        <w:t xml:space="preserve">to </w:t>
      </w:r>
      <w:r w:rsidR="00820F7C" w:rsidRPr="00005106">
        <w:rPr>
          <w:rFonts w:eastAsia="Calibri"/>
          <w:spacing w:val="-2"/>
          <w:kern w:val="22"/>
          <w:lang w:val="en-GB"/>
        </w:rPr>
        <w:t>sell homemade, eco-friendly soaps through local retailers and online in order to fund free laundry events in her community.</w:t>
      </w:r>
      <w:r w:rsidR="00E44B2A" w:rsidRPr="00005106">
        <w:rPr>
          <w:rStyle w:val="EndnoteReference"/>
          <w:rFonts w:eastAsia="Calibri"/>
          <w:spacing w:val="-2"/>
          <w:kern w:val="22"/>
          <w:lang w:val="en-GB"/>
        </w:rPr>
        <w:endnoteReference w:id="1"/>
      </w:r>
      <w:r w:rsidR="00820F7C" w:rsidRPr="00005106">
        <w:rPr>
          <w:rFonts w:eastAsia="Calibri"/>
          <w:spacing w:val="-2"/>
          <w:kern w:val="22"/>
          <w:lang w:val="en-GB"/>
        </w:rPr>
        <w:t xml:space="preserve"> She would use the profits from </w:t>
      </w:r>
      <w:r w:rsidR="00956D9C">
        <w:rPr>
          <w:rFonts w:eastAsia="Calibri"/>
          <w:spacing w:val="-2"/>
          <w:kern w:val="22"/>
          <w:lang w:val="en-GB"/>
        </w:rPr>
        <w:t>the</w:t>
      </w:r>
      <w:r w:rsidR="00956D9C" w:rsidRPr="00005106">
        <w:rPr>
          <w:rFonts w:eastAsia="Calibri"/>
          <w:spacing w:val="-2"/>
          <w:kern w:val="22"/>
          <w:lang w:val="en-GB"/>
        </w:rPr>
        <w:t xml:space="preserve"> </w:t>
      </w:r>
      <w:r w:rsidR="00820F7C" w:rsidRPr="00005106">
        <w:rPr>
          <w:rFonts w:eastAsia="Calibri"/>
          <w:spacing w:val="-2"/>
          <w:kern w:val="22"/>
          <w:lang w:val="en-GB"/>
        </w:rPr>
        <w:t xml:space="preserve">sales to </w:t>
      </w:r>
      <w:r w:rsidR="007D56CA" w:rsidRPr="00005106">
        <w:rPr>
          <w:rFonts w:eastAsia="Calibri"/>
          <w:spacing w:val="-2"/>
          <w:kern w:val="22"/>
          <w:lang w:val="en-GB"/>
        </w:rPr>
        <w:t xml:space="preserve">power her social mission—to </w:t>
      </w:r>
      <w:r w:rsidR="00820F7C" w:rsidRPr="00005106">
        <w:rPr>
          <w:rFonts w:eastAsia="Calibri"/>
          <w:spacing w:val="-2"/>
          <w:kern w:val="22"/>
          <w:lang w:val="en-GB"/>
        </w:rPr>
        <w:t>run events</w:t>
      </w:r>
      <w:r w:rsidR="007D56CA" w:rsidRPr="00005106">
        <w:rPr>
          <w:rFonts w:eastAsia="Calibri"/>
          <w:spacing w:val="-2"/>
          <w:kern w:val="22"/>
          <w:lang w:val="en-GB"/>
        </w:rPr>
        <w:t xml:space="preserve"> where</w:t>
      </w:r>
      <w:r w:rsidR="00820F7C" w:rsidRPr="00005106">
        <w:rPr>
          <w:rFonts w:eastAsia="Calibri"/>
          <w:spacing w:val="-2"/>
          <w:kern w:val="22"/>
          <w:lang w:val="en-GB"/>
        </w:rPr>
        <w:t xml:space="preserve"> she would provide free laundry facilities and soap to families in need, so they could clean their clothes</w:t>
      </w:r>
      <w:r w:rsidR="00207535">
        <w:rPr>
          <w:rFonts w:eastAsia="Calibri"/>
          <w:spacing w:val="-2"/>
          <w:kern w:val="22"/>
          <w:lang w:val="en-GB"/>
        </w:rPr>
        <w:t>,</w:t>
      </w:r>
      <w:r w:rsidR="00820F7C" w:rsidRPr="00005106">
        <w:rPr>
          <w:rFonts w:eastAsia="Calibri"/>
          <w:spacing w:val="-2"/>
          <w:kern w:val="22"/>
          <w:lang w:val="en-GB"/>
        </w:rPr>
        <w:t xml:space="preserve"> </w:t>
      </w:r>
      <w:r w:rsidR="00207535">
        <w:rPr>
          <w:rFonts w:eastAsia="Calibri"/>
          <w:spacing w:val="-2"/>
          <w:kern w:val="22"/>
          <w:lang w:val="en-GB"/>
        </w:rPr>
        <w:t xml:space="preserve">which those on limited incomes often considered </w:t>
      </w:r>
      <w:r w:rsidR="00820F7C" w:rsidRPr="00005106">
        <w:rPr>
          <w:rFonts w:eastAsia="Calibri"/>
          <w:spacing w:val="-2"/>
          <w:kern w:val="22"/>
          <w:lang w:val="en-GB"/>
        </w:rPr>
        <w:t>a luxury</w:t>
      </w:r>
      <w:r w:rsidR="00207535">
        <w:rPr>
          <w:rFonts w:eastAsia="Calibri"/>
          <w:spacing w:val="-2"/>
          <w:kern w:val="22"/>
          <w:lang w:val="en-GB"/>
        </w:rPr>
        <w:t>,</w:t>
      </w:r>
      <w:r w:rsidR="00820F7C" w:rsidRPr="00005106">
        <w:rPr>
          <w:rFonts w:eastAsia="Calibri"/>
          <w:spacing w:val="-2"/>
          <w:kern w:val="22"/>
          <w:lang w:val="en-GB"/>
        </w:rPr>
        <w:t xml:space="preserve"> </w:t>
      </w:r>
      <w:r w:rsidR="00207535">
        <w:rPr>
          <w:rFonts w:eastAsia="Calibri"/>
          <w:spacing w:val="-2"/>
          <w:kern w:val="22"/>
          <w:lang w:val="en-GB"/>
        </w:rPr>
        <w:t>and</w:t>
      </w:r>
      <w:r w:rsidR="00207535" w:rsidRPr="00005106">
        <w:rPr>
          <w:rFonts w:eastAsia="Calibri"/>
          <w:spacing w:val="-2"/>
          <w:kern w:val="22"/>
          <w:lang w:val="en-GB"/>
        </w:rPr>
        <w:t xml:space="preserve"> </w:t>
      </w:r>
      <w:r w:rsidR="00820F7C" w:rsidRPr="00005106">
        <w:rPr>
          <w:rFonts w:eastAsia="Calibri"/>
          <w:spacing w:val="-2"/>
          <w:kern w:val="22"/>
          <w:lang w:val="en-GB"/>
        </w:rPr>
        <w:t xml:space="preserve">many others </w:t>
      </w:r>
      <w:r w:rsidR="007D56CA" w:rsidRPr="00005106">
        <w:rPr>
          <w:rFonts w:eastAsia="Calibri"/>
          <w:spacing w:val="-2"/>
          <w:kern w:val="22"/>
          <w:lang w:val="en-GB"/>
        </w:rPr>
        <w:t xml:space="preserve">took </w:t>
      </w:r>
      <w:r w:rsidR="00820F7C" w:rsidRPr="00005106">
        <w:rPr>
          <w:rFonts w:eastAsia="Calibri"/>
          <w:spacing w:val="-2"/>
          <w:kern w:val="22"/>
          <w:lang w:val="en-GB"/>
        </w:rPr>
        <w:t xml:space="preserve">for granted. </w:t>
      </w:r>
      <w:r w:rsidR="009B512D" w:rsidRPr="00005106">
        <w:rPr>
          <w:rFonts w:eastAsia="Calibri"/>
          <w:spacing w:val="-2"/>
          <w:kern w:val="22"/>
          <w:lang w:val="en-GB"/>
        </w:rPr>
        <w:t xml:space="preserve">From its </w:t>
      </w:r>
      <w:r w:rsidR="0038710E" w:rsidRPr="00005106">
        <w:rPr>
          <w:rFonts w:eastAsia="Calibri"/>
          <w:spacing w:val="-2"/>
          <w:kern w:val="22"/>
          <w:lang w:val="en-GB"/>
        </w:rPr>
        <w:t>inception, FTLOL ha</w:t>
      </w:r>
      <w:r w:rsidR="009B512D" w:rsidRPr="00005106">
        <w:rPr>
          <w:rFonts w:eastAsia="Calibri"/>
          <w:spacing w:val="-2"/>
          <w:kern w:val="22"/>
          <w:lang w:val="en-GB"/>
        </w:rPr>
        <w:t>d</w:t>
      </w:r>
      <w:r w:rsidR="0038710E" w:rsidRPr="00005106">
        <w:rPr>
          <w:rFonts w:eastAsia="Calibri"/>
          <w:spacing w:val="-2"/>
          <w:kern w:val="22"/>
          <w:lang w:val="en-GB"/>
        </w:rPr>
        <w:t xml:space="preserve"> hosted 19 separate laundry events. Th</w:t>
      </w:r>
      <w:r w:rsidR="009B512D" w:rsidRPr="00005106">
        <w:rPr>
          <w:rFonts w:eastAsia="Calibri"/>
          <w:spacing w:val="-2"/>
          <w:kern w:val="22"/>
          <w:lang w:val="en-GB"/>
        </w:rPr>
        <w:t>o</w:t>
      </w:r>
      <w:r w:rsidR="0038710E" w:rsidRPr="00005106">
        <w:rPr>
          <w:rFonts w:eastAsia="Calibri"/>
          <w:spacing w:val="-2"/>
          <w:kern w:val="22"/>
          <w:lang w:val="en-GB"/>
        </w:rPr>
        <w:t xml:space="preserve">se events, all held in the London area, </w:t>
      </w:r>
      <w:r w:rsidR="007D56CA" w:rsidRPr="00005106">
        <w:rPr>
          <w:rFonts w:eastAsia="Calibri"/>
          <w:spacing w:val="-2"/>
          <w:kern w:val="22"/>
          <w:lang w:val="en-GB"/>
        </w:rPr>
        <w:t xml:space="preserve">had </w:t>
      </w:r>
      <w:r w:rsidR="0038710E" w:rsidRPr="00005106">
        <w:rPr>
          <w:rFonts w:eastAsia="Calibri"/>
          <w:spacing w:val="-2"/>
          <w:kern w:val="22"/>
          <w:lang w:val="en-GB"/>
        </w:rPr>
        <w:t xml:space="preserve">assisted 819 people </w:t>
      </w:r>
      <w:r w:rsidR="007D56CA" w:rsidRPr="00005106">
        <w:rPr>
          <w:rFonts w:eastAsia="Calibri"/>
          <w:spacing w:val="-2"/>
          <w:kern w:val="22"/>
          <w:lang w:val="en-GB"/>
        </w:rPr>
        <w:t xml:space="preserve">to wash </w:t>
      </w:r>
      <w:r w:rsidR="0038710E" w:rsidRPr="00005106">
        <w:rPr>
          <w:rFonts w:eastAsia="Calibri"/>
          <w:spacing w:val="-2"/>
          <w:kern w:val="22"/>
          <w:lang w:val="en-GB"/>
        </w:rPr>
        <w:t>3</w:t>
      </w:r>
      <w:r w:rsidR="009B512D" w:rsidRPr="00005106">
        <w:rPr>
          <w:rFonts w:eastAsia="Calibri"/>
          <w:spacing w:val="-2"/>
          <w:kern w:val="22"/>
          <w:lang w:val="en-GB"/>
        </w:rPr>
        <w:t>,</w:t>
      </w:r>
      <w:r w:rsidR="0038710E" w:rsidRPr="00005106">
        <w:rPr>
          <w:rFonts w:eastAsia="Calibri"/>
          <w:spacing w:val="-2"/>
          <w:kern w:val="22"/>
          <w:lang w:val="en-GB"/>
        </w:rPr>
        <w:t xml:space="preserve">756 loads of laundry and </w:t>
      </w:r>
      <w:r w:rsidR="007D56CA" w:rsidRPr="00005106">
        <w:rPr>
          <w:rFonts w:eastAsia="Calibri"/>
          <w:spacing w:val="-2"/>
          <w:kern w:val="22"/>
          <w:lang w:val="en-GB"/>
        </w:rPr>
        <w:t xml:space="preserve">had </w:t>
      </w:r>
      <w:r w:rsidR="0038710E" w:rsidRPr="00005106">
        <w:rPr>
          <w:rFonts w:eastAsia="Calibri"/>
          <w:spacing w:val="-2"/>
          <w:kern w:val="22"/>
          <w:lang w:val="en-GB"/>
        </w:rPr>
        <w:t>saved families roughly $15,000</w:t>
      </w:r>
      <w:r w:rsidR="000A2A9A" w:rsidRPr="001A50DE">
        <w:rPr>
          <w:rStyle w:val="EndnoteReference"/>
          <w:rFonts w:eastAsia="Calibri"/>
          <w:lang w:val="en-GB"/>
        </w:rPr>
        <w:endnoteReference w:id="2"/>
      </w:r>
      <w:r w:rsidR="0038710E" w:rsidRPr="00005106">
        <w:rPr>
          <w:rFonts w:eastAsia="Calibri"/>
          <w:spacing w:val="-2"/>
          <w:kern w:val="22"/>
          <w:lang w:val="en-GB"/>
        </w:rPr>
        <w:t xml:space="preserve"> in laundry costs.</w:t>
      </w:r>
    </w:p>
    <w:p w14:paraId="2D885C29" w14:textId="77777777" w:rsidR="00CB784C" w:rsidRPr="001A50DE" w:rsidRDefault="00CB784C" w:rsidP="00CB784C">
      <w:pPr>
        <w:pStyle w:val="BodyTextMain"/>
        <w:rPr>
          <w:rFonts w:eastAsia="Calibri"/>
          <w:lang w:val="en-GB"/>
        </w:rPr>
      </w:pPr>
    </w:p>
    <w:p w14:paraId="634463EA" w14:textId="1947B364" w:rsidR="00820F7C" w:rsidRPr="001A50DE" w:rsidRDefault="003F6EAF" w:rsidP="00CB784C">
      <w:pPr>
        <w:pStyle w:val="BodyTextMain"/>
        <w:rPr>
          <w:rFonts w:eastAsia="Calibri"/>
          <w:lang w:val="en-GB"/>
        </w:rPr>
      </w:pPr>
      <w:r w:rsidRPr="001A50DE">
        <w:rPr>
          <w:rFonts w:eastAsia="Calibri"/>
          <w:lang w:val="en-GB"/>
        </w:rPr>
        <w:t xml:space="preserve">In July </w:t>
      </w:r>
      <w:r w:rsidR="00820F7C" w:rsidRPr="001A50DE">
        <w:rPr>
          <w:rFonts w:eastAsia="Calibri"/>
          <w:lang w:val="en-GB"/>
        </w:rPr>
        <w:t xml:space="preserve">2017, Power received nearly $20,000 in entrepreneurship grants from a local university. These grants came with the opportunity to attend specialized business classes </w:t>
      </w:r>
      <w:r w:rsidR="007D56CA" w:rsidRPr="001A50DE">
        <w:rPr>
          <w:rFonts w:eastAsia="Calibri"/>
          <w:lang w:val="en-GB"/>
        </w:rPr>
        <w:t xml:space="preserve">to learn how </w:t>
      </w:r>
      <w:r w:rsidR="00820F7C" w:rsidRPr="001A50DE">
        <w:rPr>
          <w:rFonts w:eastAsia="Calibri"/>
          <w:lang w:val="en-GB"/>
        </w:rPr>
        <w:t>to grow her business and accelerate its life</w:t>
      </w:r>
      <w:r w:rsidR="00C640D5">
        <w:rPr>
          <w:rFonts w:eastAsia="Calibri"/>
          <w:lang w:val="en-GB"/>
        </w:rPr>
        <w:t xml:space="preserve"> </w:t>
      </w:r>
      <w:r w:rsidR="00820F7C" w:rsidRPr="001A50DE">
        <w:rPr>
          <w:rFonts w:eastAsia="Calibri"/>
          <w:lang w:val="en-GB"/>
        </w:rPr>
        <w:t xml:space="preserve">cycle </w:t>
      </w:r>
      <w:r w:rsidR="007D56CA" w:rsidRPr="001A50DE">
        <w:rPr>
          <w:rFonts w:eastAsia="Calibri"/>
          <w:lang w:val="en-GB"/>
        </w:rPr>
        <w:t>as</w:t>
      </w:r>
      <w:r w:rsidR="00820F7C" w:rsidRPr="001A50DE">
        <w:rPr>
          <w:rFonts w:eastAsia="Calibri"/>
          <w:lang w:val="en-GB"/>
        </w:rPr>
        <w:t xml:space="preserve"> she saw fit.</w:t>
      </w:r>
      <w:r w:rsidR="00D2404D" w:rsidRPr="001A50DE">
        <w:rPr>
          <w:rFonts w:eastAsia="Calibri"/>
          <w:lang w:val="en-GB"/>
        </w:rPr>
        <w:t xml:space="preserve"> </w:t>
      </w:r>
      <w:r w:rsidR="007D56CA" w:rsidRPr="001A50DE">
        <w:rPr>
          <w:rFonts w:eastAsia="Calibri"/>
          <w:lang w:val="en-GB"/>
        </w:rPr>
        <w:t xml:space="preserve">Power felt this </w:t>
      </w:r>
      <w:r w:rsidR="00D2404D" w:rsidRPr="001A50DE">
        <w:rPr>
          <w:rFonts w:eastAsia="Calibri"/>
          <w:lang w:val="en-GB"/>
        </w:rPr>
        <w:t>growth was necessary</w:t>
      </w:r>
      <w:r w:rsidR="007D56CA" w:rsidRPr="001A50DE">
        <w:rPr>
          <w:rFonts w:eastAsia="Calibri"/>
          <w:lang w:val="en-GB"/>
        </w:rPr>
        <w:t xml:space="preserve"> </w:t>
      </w:r>
      <w:r w:rsidR="00D2404D" w:rsidRPr="001A50DE">
        <w:rPr>
          <w:rFonts w:eastAsia="Calibri"/>
          <w:lang w:val="en-GB"/>
        </w:rPr>
        <w:t>because FTLOL had reached a tipping point. It was large enough that it dominated her time and had a significant social impact in London, yet its revenues were too small to afford her an appropriate, livable salary</w:t>
      </w:r>
      <w:r w:rsidR="009B3B14" w:rsidRPr="001A50DE">
        <w:rPr>
          <w:rFonts w:eastAsia="Calibri"/>
          <w:lang w:val="en-GB"/>
        </w:rPr>
        <w:t xml:space="preserve"> or </w:t>
      </w:r>
      <w:r w:rsidR="006E07C2" w:rsidRPr="001A50DE">
        <w:rPr>
          <w:rFonts w:eastAsia="Calibri"/>
          <w:lang w:val="en-GB"/>
        </w:rPr>
        <w:t xml:space="preserve">to </w:t>
      </w:r>
      <w:r w:rsidR="009B3B14" w:rsidRPr="001A50DE">
        <w:rPr>
          <w:rFonts w:eastAsia="Calibri"/>
          <w:lang w:val="en-GB"/>
        </w:rPr>
        <w:t xml:space="preserve">extend her social mission. She needed the business to grow </w:t>
      </w:r>
      <w:r w:rsidR="006E07C2" w:rsidRPr="001A50DE">
        <w:rPr>
          <w:rFonts w:eastAsia="Calibri"/>
          <w:lang w:val="en-GB"/>
        </w:rPr>
        <w:t xml:space="preserve">in order </w:t>
      </w:r>
      <w:r w:rsidR="009B3B14" w:rsidRPr="001A50DE">
        <w:rPr>
          <w:rFonts w:eastAsia="Calibri"/>
          <w:lang w:val="en-GB"/>
        </w:rPr>
        <w:t>to extend its social impact and sustainability.</w:t>
      </w:r>
      <w:r w:rsidR="00820F7C" w:rsidRPr="001A50DE">
        <w:rPr>
          <w:rFonts w:eastAsia="Calibri"/>
          <w:lang w:val="en-GB"/>
        </w:rPr>
        <w:t xml:space="preserve"> Power faced a complex problem: </w:t>
      </w:r>
      <w:r w:rsidR="00C640D5">
        <w:rPr>
          <w:rFonts w:eastAsia="Calibri"/>
          <w:lang w:val="en-GB"/>
        </w:rPr>
        <w:t>W</w:t>
      </w:r>
      <w:r w:rsidR="00820F7C" w:rsidRPr="001A50DE">
        <w:rPr>
          <w:rFonts w:eastAsia="Calibri"/>
          <w:lang w:val="en-GB"/>
        </w:rPr>
        <w:t>hat was the best way for her to scale her efforts and continue to grow FTLOL, both financially and socially?</w:t>
      </w:r>
    </w:p>
    <w:p w14:paraId="51B9EBBD" w14:textId="77777777" w:rsidR="00CB784C" w:rsidRPr="001A50DE" w:rsidRDefault="00CB784C" w:rsidP="00CB784C">
      <w:pPr>
        <w:pStyle w:val="BodyTextMain"/>
        <w:rPr>
          <w:rFonts w:eastAsia="Calibri"/>
          <w:lang w:val="en-GB"/>
        </w:rPr>
      </w:pPr>
    </w:p>
    <w:p w14:paraId="6495826E" w14:textId="0A864D50" w:rsidR="00820F7C" w:rsidRPr="001A50DE" w:rsidRDefault="00820F7C" w:rsidP="00CB784C">
      <w:pPr>
        <w:pStyle w:val="BodyTextMain"/>
        <w:rPr>
          <w:rFonts w:eastAsia="Calibri"/>
          <w:lang w:val="en-GB"/>
        </w:rPr>
      </w:pPr>
      <w:r w:rsidRPr="001A50DE">
        <w:rPr>
          <w:rFonts w:eastAsia="Calibri"/>
          <w:lang w:val="en-GB"/>
        </w:rPr>
        <w:t xml:space="preserve">While the business was small, Power </w:t>
      </w:r>
      <w:r w:rsidR="00707D2D" w:rsidRPr="001A50DE">
        <w:rPr>
          <w:rFonts w:eastAsia="Calibri"/>
          <w:lang w:val="en-GB"/>
        </w:rPr>
        <w:t xml:space="preserve">had been </w:t>
      </w:r>
      <w:r w:rsidR="006E07C2" w:rsidRPr="001A50DE">
        <w:rPr>
          <w:rFonts w:eastAsia="Calibri"/>
          <w:lang w:val="en-GB"/>
        </w:rPr>
        <w:t xml:space="preserve">content to operate it </w:t>
      </w:r>
      <w:r w:rsidRPr="001A50DE">
        <w:rPr>
          <w:rFonts w:eastAsia="Calibri"/>
          <w:lang w:val="en-GB"/>
        </w:rPr>
        <w:t>as a sole proprietor</w:t>
      </w:r>
      <w:r w:rsidR="006E07C2" w:rsidRPr="001A50DE">
        <w:rPr>
          <w:rFonts w:eastAsia="Calibri"/>
          <w:lang w:val="en-GB"/>
        </w:rPr>
        <w:t xml:space="preserve">; </w:t>
      </w:r>
      <w:r w:rsidRPr="001A50DE">
        <w:rPr>
          <w:rFonts w:eastAsia="Calibri"/>
          <w:lang w:val="en-GB"/>
        </w:rPr>
        <w:t>however</w:t>
      </w:r>
      <w:r w:rsidR="006E07C2" w:rsidRPr="001A50DE">
        <w:rPr>
          <w:rFonts w:eastAsia="Calibri"/>
          <w:lang w:val="en-GB"/>
        </w:rPr>
        <w:t>,</w:t>
      </w:r>
      <w:r w:rsidRPr="001A50DE">
        <w:rPr>
          <w:rFonts w:eastAsia="Calibri"/>
          <w:lang w:val="en-GB"/>
        </w:rPr>
        <w:t xml:space="preserve"> she was unsure how FTLOL could scale up </w:t>
      </w:r>
      <w:r w:rsidR="006E07C2" w:rsidRPr="001A50DE">
        <w:rPr>
          <w:rFonts w:eastAsia="Calibri"/>
          <w:lang w:val="en-GB"/>
        </w:rPr>
        <w:t>with</w:t>
      </w:r>
      <w:r w:rsidRPr="001A50DE">
        <w:rPr>
          <w:rFonts w:eastAsia="Calibri"/>
          <w:lang w:val="en-GB"/>
        </w:rPr>
        <w:t xml:space="preserve">in this model. Would a different </w:t>
      </w:r>
      <w:r w:rsidR="006E07C2" w:rsidRPr="001A50DE">
        <w:rPr>
          <w:rFonts w:eastAsia="Calibri"/>
          <w:lang w:val="en-GB"/>
        </w:rPr>
        <w:t xml:space="preserve">business structure—perhaps </w:t>
      </w:r>
      <w:r w:rsidR="003E3DCE">
        <w:rPr>
          <w:rFonts w:eastAsia="Calibri"/>
          <w:lang w:val="en-GB"/>
        </w:rPr>
        <w:t>a for-profit organization</w:t>
      </w:r>
      <w:r w:rsidR="006E07C2" w:rsidRPr="001A50DE">
        <w:rPr>
          <w:rFonts w:eastAsia="Calibri"/>
          <w:lang w:val="en-GB"/>
        </w:rPr>
        <w:t>—</w:t>
      </w:r>
      <w:r w:rsidRPr="001A50DE">
        <w:rPr>
          <w:rFonts w:eastAsia="Calibri"/>
          <w:lang w:val="en-GB"/>
        </w:rPr>
        <w:t xml:space="preserve">aid Power’s goals of expanding </w:t>
      </w:r>
      <w:r w:rsidR="006E07C2" w:rsidRPr="001A50DE">
        <w:rPr>
          <w:rFonts w:eastAsia="Calibri"/>
          <w:lang w:val="en-GB"/>
        </w:rPr>
        <w:t xml:space="preserve">beyond </w:t>
      </w:r>
      <w:r w:rsidRPr="001A50DE">
        <w:rPr>
          <w:rFonts w:eastAsia="Calibri"/>
          <w:lang w:val="en-GB"/>
        </w:rPr>
        <w:t xml:space="preserve">her local community, across Ontario, and </w:t>
      </w:r>
      <w:r w:rsidR="00D22A48">
        <w:rPr>
          <w:rFonts w:eastAsia="Calibri"/>
          <w:lang w:val="en-GB"/>
        </w:rPr>
        <w:t>ideall</w:t>
      </w:r>
      <w:r w:rsidR="00D22A48" w:rsidRPr="001A50DE">
        <w:rPr>
          <w:rFonts w:eastAsia="Calibri"/>
          <w:lang w:val="en-GB"/>
        </w:rPr>
        <w:t>y</w:t>
      </w:r>
      <w:r w:rsidR="006E07C2" w:rsidRPr="001A50DE">
        <w:rPr>
          <w:rFonts w:eastAsia="Calibri"/>
          <w:lang w:val="en-GB"/>
        </w:rPr>
        <w:t>,</w:t>
      </w:r>
      <w:r w:rsidRPr="001A50DE">
        <w:rPr>
          <w:rFonts w:eastAsia="Calibri"/>
          <w:lang w:val="en-GB"/>
        </w:rPr>
        <w:t xml:space="preserve"> across the country? Perhaps grants offered exclusively to non-profit</w:t>
      </w:r>
      <w:r w:rsidR="0020728E" w:rsidRPr="001A50DE">
        <w:rPr>
          <w:rFonts w:eastAsia="Calibri"/>
          <w:lang w:val="en-GB"/>
        </w:rPr>
        <w:t xml:space="preserve"> organization</w:t>
      </w:r>
      <w:r w:rsidRPr="001A50DE">
        <w:rPr>
          <w:rFonts w:eastAsia="Calibri"/>
          <w:lang w:val="en-GB"/>
        </w:rPr>
        <w:t xml:space="preserve">s </w:t>
      </w:r>
      <w:r w:rsidR="00D12B5B" w:rsidRPr="001A50DE">
        <w:rPr>
          <w:rFonts w:eastAsia="Calibri"/>
          <w:lang w:val="en-GB"/>
        </w:rPr>
        <w:t xml:space="preserve">(NPOs) </w:t>
      </w:r>
      <w:r w:rsidRPr="001A50DE">
        <w:rPr>
          <w:rFonts w:eastAsia="Calibri"/>
          <w:lang w:val="en-GB"/>
        </w:rPr>
        <w:t>would give Power the necessary money to scale her operation</w:t>
      </w:r>
      <w:r w:rsidR="0020728E" w:rsidRPr="001A50DE">
        <w:rPr>
          <w:rFonts w:eastAsia="Calibri"/>
          <w:lang w:val="en-GB"/>
        </w:rPr>
        <w:t xml:space="preserve">. </w:t>
      </w:r>
      <w:r w:rsidRPr="001A50DE">
        <w:rPr>
          <w:rFonts w:eastAsia="Calibri"/>
          <w:lang w:val="en-GB"/>
        </w:rPr>
        <w:t>Another option was to become a registered charity</w:t>
      </w:r>
      <w:r w:rsidR="00D22A48">
        <w:rPr>
          <w:rFonts w:eastAsia="Calibri"/>
          <w:lang w:val="en-GB"/>
        </w:rPr>
        <w:t xml:space="preserve">, which </w:t>
      </w:r>
      <w:r w:rsidR="0020728E" w:rsidRPr="001A50DE">
        <w:rPr>
          <w:rFonts w:eastAsia="Calibri"/>
          <w:lang w:val="en-GB"/>
        </w:rPr>
        <w:t xml:space="preserve">would </w:t>
      </w:r>
      <w:r w:rsidR="00D22A48">
        <w:rPr>
          <w:rFonts w:eastAsia="Calibri"/>
          <w:lang w:val="en-GB"/>
        </w:rPr>
        <w:t>provide</w:t>
      </w:r>
      <w:r w:rsidRPr="001A50DE">
        <w:rPr>
          <w:rFonts w:eastAsia="Calibri"/>
          <w:lang w:val="en-GB"/>
        </w:rPr>
        <w:t xml:space="preserve"> tax-exempt status </w:t>
      </w:r>
      <w:r w:rsidR="0020728E" w:rsidRPr="001A50DE">
        <w:rPr>
          <w:rFonts w:eastAsia="Calibri"/>
          <w:lang w:val="en-GB"/>
        </w:rPr>
        <w:t xml:space="preserve">and allow </w:t>
      </w:r>
      <w:r w:rsidR="00D22A48">
        <w:rPr>
          <w:rFonts w:eastAsia="Calibri"/>
          <w:lang w:val="en-GB"/>
        </w:rPr>
        <w:t>Power</w:t>
      </w:r>
      <w:r w:rsidR="00D22A48" w:rsidRPr="001A50DE">
        <w:rPr>
          <w:rFonts w:eastAsia="Calibri"/>
          <w:lang w:val="en-GB"/>
        </w:rPr>
        <w:t xml:space="preserve"> </w:t>
      </w:r>
      <w:r w:rsidR="0020728E" w:rsidRPr="001A50DE">
        <w:rPr>
          <w:rFonts w:eastAsia="Calibri"/>
          <w:lang w:val="en-GB"/>
        </w:rPr>
        <w:t>to</w:t>
      </w:r>
      <w:r w:rsidRPr="001A50DE">
        <w:rPr>
          <w:rFonts w:eastAsia="Calibri"/>
          <w:lang w:val="en-GB"/>
        </w:rPr>
        <w:t xml:space="preserve"> emphasize her social mission </w:t>
      </w:r>
      <w:r w:rsidR="00D22A48">
        <w:rPr>
          <w:rFonts w:eastAsia="Calibri"/>
          <w:lang w:val="en-GB"/>
        </w:rPr>
        <w:t>and</w:t>
      </w:r>
      <w:r w:rsidRPr="001A50DE">
        <w:rPr>
          <w:rFonts w:eastAsia="Calibri"/>
          <w:lang w:val="en-GB"/>
        </w:rPr>
        <w:t xml:space="preserve"> receive capital in the form of donations.</w:t>
      </w:r>
      <w:r w:rsidR="00E44B2A" w:rsidRPr="001A50DE">
        <w:rPr>
          <w:rStyle w:val="EndnoteReference"/>
          <w:rFonts w:eastAsia="Calibri"/>
          <w:lang w:val="en-GB"/>
        </w:rPr>
        <w:endnoteReference w:id="3"/>
      </w:r>
      <w:r w:rsidRPr="001A50DE">
        <w:rPr>
          <w:rFonts w:eastAsia="Calibri"/>
          <w:lang w:val="en-GB"/>
        </w:rPr>
        <w:t xml:space="preserve"> Or perhaps she could continue as a for-profit corporation, raising capital through investors and working hard to increase sales</w:t>
      </w:r>
      <w:r w:rsidR="0020728E" w:rsidRPr="001A50DE">
        <w:rPr>
          <w:rFonts w:eastAsia="Calibri"/>
          <w:lang w:val="en-GB"/>
        </w:rPr>
        <w:t xml:space="preserve">; this </w:t>
      </w:r>
      <w:r w:rsidR="00D22A48">
        <w:rPr>
          <w:rFonts w:eastAsia="Calibri"/>
          <w:lang w:val="en-GB"/>
        </w:rPr>
        <w:t xml:space="preserve">option </w:t>
      </w:r>
      <w:r w:rsidR="0020728E" w:rsidRPr="001A50DE">
        <w:rPr>
          <w:rFonts w:eastAsia="Calibri"/>
          <w:lang w:val="en-GB"/>
        </w:rPr>
        <w:t xml:space="preserve">would give </w:t>
      </w:r>
      <w:r w:rsidRPr="001A50DE">
        <w:rPr>
          <w:rFonts w:eastAsia="Calibri"/>
          <w:lang w:val="en-GB"/>
        </w:rPr>
        <w:t>her the freedom to make decisions independent of a governing body attached to grants or donations</w:t>
      </w:r>
      <w:r w:rsidR="0020728E" w:rsidRPr="001A50DE">
        <w:rPr>
          <w:rFonts w:eastAsia="Calibri"/>
          <w:lang w:val="en-GB"/>
        </w:rPr>
        <w:t xml:space="preserve">. </w:t>
      </w:r>
      <w:r w:rsidR="003F6EAF" w:rsidRPr="001A50DE">
        <w:rPr>
          <w:rFonts w:eastAsia="Calibri"/>
          <w:lang w:val="en-GB"/>
        </w:rPr>
        <w:t>There we</w:t>
      </w:r>
      <w:r w:rsidRPr="001A50DE">
        <w:rPr>
          <w:rFonts w:eastAsia="Calibri"/>
          <w:lang w:val="en-GB"/>
        </w:rPr>
        <w:t xml:space="preserve">re many options for growth and change as a social enterprise, but Power needed to choose the option </w:t>
      </w:r>
      <w:r w:rsidR="0020728E" w:rsidRPr="001A50DE">
        <w:rPr>
          <w:rFonts w:eastAsia="Calibri"/>
          <w:lang w:val="en-GB"/>
        </w:rPr>
        <w:t xml:space="preserve">best </w:t>
      </w:r>
      <w:r w:rsidRPr="001A50DE">
        <w:rPr>
          <w:rFonts w:eastAsia="Calibri"/>
          <w:lang w:val="en-GB"/>
        </w:rPr>
        <w:t xml:space="preserve">suited to allowing the business and </w:t>
      </w:r>
      <w:r w:rsidR="00D22A48">
        <w:rPr>
          <w:rFonts w:eastAsia="Calibri"/>
          <w:lang w:val="en-GB"/>
        </w:rPr>
        <w:t>its</w:t>
      </w:r>
      <w:r w:rsidR="00D22A48" w:rsidRPr="001A50DE">
        <w:rPr>
          <w:rFonts w:eastAsia="Calibri"/>
          <w:lang w:val="en-GB"/>
        </w:rPr>
        <w:t xml:space="preserve"> </w:t>
      </w:r>
      <w:r w:rsidRPr="001A50DE">
        <w:rPr>
          <w:rFonts w:eastAsia="Calibri"/>
          <w:lang w:val="en-GB"/>
        </w:rPr>
        <w:t>social value to grow.</w:t>
      </w:r>
    </w:p>
    <w:p w14:paraId="522F41FA" w14:textId="77777777" w:rsidR="00D22A48" w:rsidRDefault="00D22A48" w:rsidP="00CB784C">
      <w:pPr>
        <w:pStyle w:val="Casehead1"/>
        <w:rPr>
          <w:rFonts w:eastAsia="Calibri"/>
          <w:lang w:val="en-GB"/>
        </w:rPr>
      </w:pPr>
    </w:p>
    <w:p w14:paraId="7A02EE41" w14:textId="77777777" w:rsidR="00D22A48" w:rsidRDefault="00D22A48" w:rsidP="00CB784C">
      <w:pPr>
        <w:pStyle w:val="Casehead1"/>
        <w:rPr>
          <w:rFonts w:eastAsia="Calibri"/>
          <w:lang w:val="en-GB"/>
        </w:rPr>
      </w:pPr>
    </w:p>
    <w:p w14:paraId="0D830C92" w14:textId="77777777" w:rsidR="00820F7C" w:rsidRPr="001A50DE" w:rsidRDefault="00820F7C" w:rsidP="00CB784C">
      <w:pPr>
        <w:pStyle w:val="Casehead1"/>
        <w:rPr>
          <w:rFonts w:eastAsia="Calibri"/>
          <w:lang w:val="en-GB"/>
        </w:rPr>
      </w:pPr>
      <w:r w:rsidRPr="001A50DE">
        <w:rPr>
          <w:rFonts w:eastAsia="Calibri"/>
          <w:lang w:val="en-GB"/>
        </w:rPr>
        <w:lastRenderedPageBreak/>
        <w:t>Background</w:t>
      </w:r>
    </w:p>
    <w:p w14:paraId="7785E68C" w14:textId="77777777" w:rsidR="00CB784C" w:rsidRPr="001A50DE" w:rsidRDefault="00CB784C" w:rsidP="00CB784C">
      <w:pPr>
        <w:pStyle w:val="BodyTextMain"/>
        <w:rPr>
          <w:rFonts w:eastAsia="Calibri"/>
          <w:lang w:val="en-GB"/>
        </w:rPr>
      </w:pPr>
    </w:p>
    <w:p w14:paraId="66EA7AD3" w14:textId="6C897569" w:rsidR="00820F7C" w:rsidRPr="00005106" w:rsidRDefault="00820F7C" w:rsidP="00CB784C">
      <w:pPr>
        <w:pStyle w:val="BodyTextMain"/>
        <w:rPr>
          <w:rFonts w:eastAsia="Calibri"/>
          <w:spacing w:val="-2"/>
          <w:kern w:val="22"/>
          <w:lang w:val="en-GB"/>
        </w:rPr>
      </w:pPr>
      <w:r w:rsidRPr="00005106">
        <w:rPr>
          <w:rFonts w:eastAsia="Calibri"/>
          <w:spacing w:val="-2"/>
          <w:kern w:val="22"/>
          <w:lang w:val="en-GB"/>
        </w:rPr>
        <w:t>In</w:t>
      </w:r>
      <w:r w:rsidR="003F6EAF" w:rsidRPr="00005106">
        <w:rPr>
          <w:rFonts w:eastAsia="Calibri"/>
          <w:spacing w:val="-2"/>
          <w:kern w:val="22"/>
          <w:lang w:val="en-GB"/>
        </w:rPr>
        <w:t xml:space="preserve"> May </w:t>
      </w:r>
      <w:r w:rsidRPr="00005106">
        <w:rPr>
          <w:rFonts w:eastAsia="Calibri"/>
          <w:spacing w:val="-2"/>
          <w:kern w:val="22"/>
          <w:lang w:val="en-GB"/>
        </w:rPr>
        <w:t>2014</w:t>
      </w:r>
      <w:r w:rsidR="00DB4FF5" w:rsidRPr="00005106">
        <w:rPr>
          <w:rFonts w:eastAsia="Calibri"/>
          <w:spacing w:val="-2"/>
          <w:kern w:val="22"/>
          <w:lang w:val="en-GB"/>
        </w:rPr>
        <w:t>,</w:t>
      </w:r>
      <w:r w:rsidRPr="00005106">
        <w:rPr>
          <w:rFonts w:eastAsia="Calibri"/>
          <w:spacing w:val="-2"/>
          <w:kern w:val="22"/>
          <w:lang w:val="en-GB"/>
        </w:rPr>
        <w:t xml:space="preserve"> P</w:t>
      </w:r>
      <w:r w:rsidR="003F6EAF" w:rsidRPr="00005106">
        <w:rPr>
          <w:rFonts w:eastAsia="Calibri"/>
          <w:spacing w:val="-2"/>
          <w:kern w:val="22"/>
          <w:lang w:val="en-GB"/>
        </w:rPr>
        <w:t xml:space="preserve">ower </w:t>
      </w:r>
      <w:r w:rsidRPr="00005106">
        <w:rPr>
          <w:rFonts w:eastAsia="Calibri"/>
          <w:spacing w:val="-2"/>
          <w:kern w:val="22"/>
          <w:lang w:val="en-GB"/>
        </w:rPr>
        <w:t xml:space="preserve">had a simple, yet powerful </w:t>
      </w:r>
      <w:r w:rsidR="007B2259" w:rsidRPr="00005106">
        <w:rPr>
          <w:rFonts w:eastAsia="Calibri"/>
          <w:spacing w:val="-2"/>
          <w:kern w:val="22"/>
          <w:lang w:val="en-GB"/>
        </w:rPr>
        <w:t>vision</w:t>
      </w:r>
      <w:r w:rsidR="009B512D" w:rsidRPr="00005106">
        <w:rPr>
          <w:rFonts w:eastAsia="Calibri"/>
          <w:spacing w:val="-2"/>
          <w:kern w:val="22"/>
          <w:lang w:val="en-GB"/>
        </w:rPr>
        <w:t>:</w:t>
      </w:r>
      <w:r w:rsidRPr="00005106">
        <w:rPr>
          <w:rFonts w:eastAsia="Calibri"/>
          <w:spacing w:val="-2"/>
          <w:kern w:val="22"/>
          <w:lang w:val="en-GB"/>
        </w:rPr>
        <w:t xml:space="preserve"> </w:t>
      </w:r>
      <w:r w:rsidR="007B2259" w:rsidRPr="00005106">
        <w:rPr>
          <w:rFonts w:eastAsia="Calibri"/>
          <w:spacing w:val="-2"/>
          <w:kern w:val="22"/>
          <w:lang w:val="en-GB"/>
        </w:rPr>
        <w:t xml:space="preserve">to build healthier communities by providing free, environmentally friendly laundry services to low-income families so that they would not face </w:t>
      </w:r>
      <w:r w:rsidR="0020728E" w:rsidRPr="00005106">
        <w:rPr>
          <w:rFonts w:eastAsia="Calibri"/>
          <w:spacing w:val="-2"/>
          <w:kern w:val="22"/>
          <w:lang w:val="en-GB"/>
        </w:rPr>
        <w:t xml:space="preserve">a choice </w:t>
      </w:r>
      <w:r w:rsidR="007B2259" w:rsidRPr="00005106">
        <w:rPr>
          <w:rFonts w:eastAsia="Calibri"/>
          <w:spacing w:val="-2"/>
          <w:kern w:val="22"/>
          <w:lang w:val="en-GB"/>
        </w:rPr>
        <w:t xml:space="preserve">between clean clothes </w:t>
      </w:r>
      <w:r w:rsidR="0020728E" w:rsidRPr="00005106">
        <w:rPr>
          <w:rFonts w:eastAsia="Calibri"/>
          <w:spacing w:val="-2"/>
          <w:kern w:val="22"/>
          <w:lang w:val="en-GB"/>
        </w:rPr>
        <w:t xml:space="preserve">and </w:t>
      </w:r>
      <w:r w:rsidR="007B2259" w:rsidRPr="00005106">
        <w:rPr>
          <w:rFonts w:eastAsia="Calibri"/>
          <w:spacing w:val="-2"/>
          <w:kern w:val="22"/>
          <w:lang w:val="en-GB"/>
        </w:rPr>
        <w:t>paid bills.</w:t>
      </w:r>
      <w:r w:rsidRPr="00005106">
        <w:rPr>
          <w:rFonts w:eastAsia="Calibri"/>
          <w:spacing w:val="-2"/>
          <w:kern w:val="22"/>
          <w:lang w:val="en-GB"/>
        </w:rPr>
        <w:t xml:space="preserve"> A</w:t>
      </w:r>
      <w:r w:rsidR="00BA4CE0" w:rsidRPr="00005106">
        <w:rPr>
          <w:rFonts w:eastAsia="Calibri"/>
          <w:spacing w:val="-2"/>
          <w:kern w:val="22"/>
          <w:lang w:val="en-GB"/>
        </w:rPr>
        <w:t xml:space="preserve">s </w:t>
      </w:r>
      <w:r w:rsidR="0020728E" w:rsidRPr="00005106">
        <w:rPr>
          <w:rFonts w:eastAsia="Calibri"/>
          <w:spacing w:val="-2"/>
          <w:kern w:val="22"/>
          <w:lang w:val="en-GB"/>
        </w:rPr>
        <w:t xml:space="preserve">she had </w:t>
      </w:r>
      <w:r w:rsidR="00213B7F" w:rsidRPr="00005106">
        <w:rPr>
          <w:rFonts w:eastAsia="Calibri"/>
          <w:spacing w:val="-2"/>
          <w:kern w:val="22"/>
          <w:lang w:val="en-GB"/>
        </w:rPr>
        <w:t xml:space="preserve">once </w:t>
      </w:r>
      <w:r w:rsidR="0020728E" w:rsidRPr="00005106">
        <w:rPr>
          <w:rFonts w:eastAsia="Calibri"/>
          <w:spacing w:val="-2"/>
          <w:kern w:val="22"/>
          <w:lang w:val="en-GB"/>
        </w:rPr>
        <w:t>been a</w:t>
      </w:r>
      <w:r w:rsidRPr="00005106">
        <w:rPr>
          <w:rFonts w:eastAsia="Calibri"/>
          <w:spacing w:val="-2"/>
          <w:kern w:val="22"/>
          <w:lang w:val="en-GB"/>
        </w:rPr>
        <w:t xml:space="preserve"> single mother</w:t>
      </w:r>
      <w:r w:rsidR="00462FD7">
        <w:rPr>
          <w:rFonts w:eastAsia="Calibri"/>
          <w:spacing w:val="-2"/>
          <w:kern w:val="22"/>
          <w:lang w:val="en-GB"/>
        </w:rPr>
        <w:t xml:space="preserve"> living on a limited income,</w:t>
      </w:r>
      <w:r w:rsidR="00BA4CE0" w:rsidRPr="00005106">
        <w:rPr>
          <w:rFonts w:eastAsia="Calibri"/>
          <w:spacing w:val="-2"/>
          <w:kern w:val="22"/>
          <w:lang w:val="en-GB"/>
        </w:rPr>
        <w:t xml:space="preserve"> Power understood the reality and burden of this decision.</w:t>
      </w:r>
      <w:r w:rsidRPr="00005106">
        <w:rPr>
          <w:rFonts w:eastAsia="Calibri"/>
          <w:spacing w:val="-2"/>
          <w:kern w:val="22"/>
          <w:lang w:val="en-GB"/>
        </w:rPr>
        <w:t xml:space="preserve"> </w:t>
      </w:r>
      <w:r w:rsidR="00BA4CE0" w:rsidRPr="00005106">
        <w:rPr>
          <w:rFonts w:eastAsia="Calibri"/>
          <w:spacing w:val="-2"/>
          <w:kern w:val="22"/>
          <w:lang w:val="en-GB"/>
        </w:rPr>
        <w:t>She</w:t>
      </w:r>
      <w:r w:rsidRPr="00005106">
        <w:rPr>
          <w:rFonts w:eastAsia="Calibri"/>
          <w:spacing w:val="-2"/>
          <w:kern w:val="22"/>
          <w:lang w:val="en-GB"/>
        </w:rPr>
        <w:t xml:space="preserve"> had ma</w:t>
      </w:r>
      <w:r w:rsidR="0020728E" w:rsidRPr="00005106">
        <w:rPr>
          <w:rFonts w:eastAsia="Calibri"/>
          <w:spacing w:val="-2"/>
          <w:kern w:val="22"/>
          <w:lang w:val="en-GB"/>
        </w:rPr>
        <w:t>de</w:t>
      </w:r>
      <w:r w:rsidRPr="00005106">
        <w:rPr>
          <w:rFonts w:eastAsia="Calibri"/>
          <w:spacing w:val="-2"/>
          <w:kern w:val="22"/>
          <w:lang w:val="en-GB"/>
        </w:rPr>
        <w:t xml:space="preserve"> her own laundry soap for years as a way to cut costs, and she </w:t>
      </w:r>
      <w:r w:rsidR="0020728E" w:rsidRPr="00005106">
        <w:rPr>
          <w:rFonts w:eastAsia="Calibri"/>
          <w:spacing w:val="-2"/>
          <w:kern w:val="22"/>
          <w:lang w:val="en-GB"/>
        </w:rPr>
        <w:t xml:space="preserve">had </w:t>
      </w:r>
      <w:r w:rsidRPr="00005106">
        <w:rPr>
          <w:rFonts w:eastAsia="Calibri"/>
          <w:spacing w:val="-2"/>
          <w:kern w:val="22"/>
          <w:lang w:val="en-GB"/>
        </w:rPr>
        <w:t xml:space="preserve">recently recognized that </w:t>
      </w:r>
      <w:r w:rsidR="0020728E" w:rsidRPr="00005106">
        <w:rPr>
          <w:rFonts w:eastAsia="Calibri"/>
          <w:spacing w:val="-2"/>
          <w:kern w:val="22"/>
          <w:lang w:val="en-GB"/>
        </w:rPr>
        <w:t xml:space="preserve">she could give back to her community </w:t>
      </w:r>
      <w:r w:rsidRPr="00005106">
        <w:rPr>
          <w:rFonts w:eastAsia="Calibri"/>
          <w:spacing w:val="-2"/>
          <w:kern w:val="22"/>
          <w:lang w:val="en-GB"/>
        </w:rPr>
        <w:t>by donating the excess soap.</w:t>
      </w:r>
      <w:r w:rsidR="00E44B2A" w:rsidRPr="00005106">
        <w:rPr>
          <w:rStyle w:val="EndnoteReference"/>
          <w:rFonts w:eastAsia="Calibri"/>
          <w:spacing w:val="-2"/>
          <w:kern w:val="22"/>
          <w:lang w:val="en-GB"/>
        </w:rPr>
        <w:endnoteReference w:id="4"/>
      </w:r>
      <w:r w:rsidRPr="00005106">
        <w:rPr>
          <w:rFonts w:eastAsia="Calibri"/>
          <w:spacing w:val="-2"/>
          <w:kern w:val="22"/>
          <w:lang w:val="en-GB"/>
        </w:rPr>
        <w:t xml:space="preserve"> With the help of Lore Wainwright, a director at the Pillar Nonprofit</w:t>
      </w:r>
      <w:r w:rsidRPr="00005106">
        <w:rPr>
          <w:rFonts w:eastAsia="Calibri"/>
          <w:i/>
          <w:spacing w:val="-2"/>
          <w:kern w:val="22"/>
          <w:lang w:val="en-GB"/>
        </w:rPr>
        <w:t xml:space="preserve"> </w:t>
      </w:r>
      <w:r w:rsidRPr="00005106">
        <w:rPr>
          <w:rFonts w:eastAsia="Calibri"/>
          <w:spacing w:val="-2"/>
          <w:kern w:val="22"/>
          <w:lang w:val="en-GB"/>
        </w:rPr>
        <w:t>Network, Power was encouraged to turn her small charitable effort into a social enterprise.</w:t>
      </w:r>
    </w:p>
    <w:p w14:paraId="4C76D521" w14:textId="77777777" w:rsidR="00CB784C" w:rsidRPr="001A50DE" w:rsidRDefault="00CB784C" w:rsidP="00CB784C">
      <w:pPr>
        <w:pStyle w:val="BodyTextMain"/>
        <w:rPr>
          <w:rFonts w:eastAsia="Calibri"/>
          <w:lang w:val="en-GB"/>
        </w:rPr>
      </w:pPr>
    </w:p>
    <w:p w14:paraId="05DB4316" w14:textId="583C3D2E" w:rsidR="00820F7C" w:rsidRPr="001A50DE" w:rsidRDefault="00820F7C" w:rsidP="00CB784C">
      <w:pPr>
        <w:pStyle w:val="BodyTextMain"/>
        <w:rPr>
          <w:rFonts w:eastAsia="Calibri"/>
          <w:vertAlign w:val="superscript"/>
          <w:lang w:val="en-GB"/>
        </w:rPr>
      </w:pPr>
      <w:r w:rsidRPr="001A50DE">
        <w:rPr>
          <w:rFonts w:eastAsia="Calibri"/>
          <w:lang w:val="en-GB"/>
        </w:rPr>
        <w:t xml:space="preserve">The idea of </w:t>
      </w:r>
      <w:r w:rsidR="00E85B20">
        <w:rPr>
          <w:rFonts w:eastAsia="Calibri"/>
          <w:lang w:val="en-GB"/>
        </w:rPr>
        <w:t xml:space="preserve">establishing a </w:t>
      </w:r>
      <w:r w:rsidRPr="001A50DE">
        <w:rPr>
          <w:rFonts w:eastAsia="Calibri"/>
          <w:lang w:val="en-GB"/>
        </w:rPr>
        <w:t>social enterprise</w:t>
      </w:r>
      <w:r w:rsidR="0020728E" w:rsidRPr="001A50DE">
        <w:rPr>
          <w:rFonts w:eastAsia="Calibri"/>
          <w:lang w:val="en-GB"/>
        </w:rPr>
        <w:t>—</w:t>
      </w:r>
      <w:r w:rsidRPr="001A50DE">
        <w:rPr>
          <w:rFonts w:eastAsia="Calibri"/>
          <w:lang w:val="en-GB"/>
        </w:rPr>
        <w:t xml:space="preserve">a commercial venture </w:t>
      </w:r>
      <w:r w:rsidR="00E85B20">
        <w:rPr>
          <w:rFonts w:eastAsia="Calibri"/>
          <w:lang w:val="en-GB"/>
        </w:rPr>
        <w:t>that</w:t>
      </w:r>
      <w:r w:rsidR="00E85B20" w:rsidRPr="001A50DE">
        <w:rPr>
          <w:rFonts w:eastAsia="Calibri"/>
          <w:lang w:val="en-GB"/>
        </w:rPr>
        <w:t xml:space="preserve"> us</w:t>
      </w:r>
      <w:r w:rsidR="00E85B20">
        <w:rPr>
          <w:rFonts w:eastAsia="Calibri"/>
          <w:lang w:val="en-GB"/>
        </w:rPr>
        <w:t>ed</w:t>
      </w:r>
      <w:r w:rsidR="00E85B20" w:rsidRPr="001A50DE">
        <w:rPr>
          <w:rFonts w:eastAsia="Calibri"/>
          <w:lang w:val="en-GB"/>
        </w:rPr>
        <w:t xml:space="preserve"> </w:t>
      </w:r>
      <w:r w:rsidR="00E85B20">
        <w:rPr>
          <w:rFonts w:eastAsia="Calibri"/>
          <w:lang w:val="en-GB"/>
        </w:rPr>
        <w:t>its</w:t>
      </w:r>
      <w:r w:rsidR="00E85B20" w:rsidRPr="001A50DE">
        <w:rPr>
          <w:rFonts w:eastAsia="Calibri"/>
          <w:lang w:val="en-GB"/>
        </w:rPr>
        <w:t xml:space="preserve"> </w:t>
      </w:r>
      <w:r w:rsidRPr="001A50DE">
        <w:rPr>
          <w:rFonts w:eastAsia="Calibri"/>
          <w:lang w:val="en-GB"/>
        </w:rPr>
        <w:t>profits to fund a socially beneficial mission</w:t>
      </w:r>
      <w:r w:rsidR="0020728E" w:rsidRPr="001A50DE">
        <w:rPr>
          <w:rFonts w:eastAsia="Calibri"/>
          <w:lang w:val="en-GB"/>
        </w:rPr>
        <w:t>—</w:t>
      </w:r>
      <w:r w:rsidRPr="001A50DE">
        <w:rPr>
          <w:rFonts w:eastAsia="Calibri"/>
          <w:lang w:val="en-GB"/>
        </w:rPr>
        <w:t xml:space="preserve">had not occurred to Power. </w:t>
      </w:r>
      <w:r w:rsidR="0020728E" w:rsidRPr="001A50DE">
        <w:rPr>
          <w:rFonts w:eastAsia="Calibri"/>
          <w:lang w:val="en-GB"/>
        </w:rPr>
        <w:t xml:space="preserve">The </w:t>
      </w:r>
      <w:r w:rsidRPr="001A50DE">
        <w:rPr>
          <w:rFonts w:eastAsia="Calibri"/>
          <w:lang w:val="en-GB"/>
        </w:rPr>
        <w:t>social entrepreneurship concept of a triple bottom line</w:t>
      </w:r>
      <w:r w:rsidR="0020728E" w:rsidRPr="001A50DE">
        <w:rPr>
          <w:rFonts w:eastAsia="Calibri"/>
          <w:lang w:val="en-GB"/>
        </w:rPr>
        <w:t>—</w:t>
      </w:r>
      <w:r w:rsidR="00E85B20" w:rsidRPr="001A50DE">
        <w:rPr>
          <w:rFonts w:eastAsia="Calibri"/>
          <w:lang w:val="en-GB"/>
        </w:rPr>
        <w:t>address</w:t>
      </w:r>
      <w:r w:rsidR="00E85B20">
        <w:rPr>
          <w:rFonts w:eastAsia="Calibri"/>
          <w:lang w:val="en-GB"/>
        </w:rPr>
        <w:t>ing</w:t>
      </w:r>
      <w:r w:rsidR="00E85B20" w:rsidRPr="001A50DE">
        <w:rPr>
          <w:rFonts w:eastAsia="Calibri"/>
          <w:lang w:val="en-GB"/>
        </w:rPr>
        <w:t xml:space="preserve"> </w:t>
      </w:r>
      <w:r w:rsidRPr="001A50DE">
        <w:rPr>
          <w:rFonts w:eastAsia="Calibri"/>
          <w:lang w:val="en-GB"/>
        </w:rPr>
        <w:t>financial profit</w:t>
      </w:r>
      <w:r w:rsidR="0021470D" w:rsidRPr="001A50DE">
        <w:rPr>
          <w:rFonts w:eastAsia="Calibri"/>
          <w:lang w:val="en-GB"/>
        </w:rPr>
        <w:t>,</w:t>
      </w:r>
      <w:r w:rsidRPr="001A50DE">
        <w:rPr>
          <w:rFonts w:eastAsia="Calibri"/>
          <w:lang w:val="en-GB"/>
        </w:rPr>
        <w:t xml:space="preserve"> social </w:t>
      </w:r>
      <w:r w:rsidR="0021470D" w:rsidRPr="001A50DE">
        <w:rPr>
          <w:rFonts w:eastAsia="Calibri"/>
          <w:lang w:val="en-GB"/>
        </w:rPr>
        <w:t xml:space="preserve">concerns, </w:t>
      </w:r>
      <w:r w:rsidRPr="001A50DE">
        <w:rPr>
          <w:rFonts w:eastAsia="Calibri"/>
          <w:lang w:val="en-GB"/>
        </w:rPr>
        <w:t>and environmental concerns</w:t>
      </w:r>
      <w:r w:rsidR="0020728E" w:rsidRPr="001A50DE">
        <w:rPr>
          <w:rFonts w:eastAsia="Calibri"/>
          <w:lang w:val="en-GB"/>
        </w:rPr>
        <w:t>,</w:t>
      </w:r>
      <w:r w:rsidRPr="001A50DE">
        <w:rPr>
          <w:rFonts w:eastAsia="Calibri"/>
          <w:lang w:val="en-GB"/>
        </w:rPr>
        <w:t xml:space="preserve"> </w:t>
      </w:r>
      <w:r w:rsidR="002A4EDA">
        <w:rPr>
          <w:rFonts w:eastAsia="Calibri"/>
          <w:lang w:val="en-GB"/>
        </w:rPr>
        <w:t xml:space="preserve">and </w:t>
      </w:r>
      <w:r w:rsidRPr="001A50DE">
        <w:rPr>
          <w:rFonts w:eastAsia="Calibri"/>
          <w:lang w:val="en-GB"/>
        </w:rPr>
        <w:t>creating and sustaining social value</w:t>
      </w:r>
      <w:r w:rsidR="0020728E" w:rsidRPr="001A50DE">
        <w:rPr>
          <w:rFonts w:eastAsia="Calibri"/>
          <w:lang w:val="en-GB"/>
        </w:rPr>
        <w:t>—</w:t>
      </w:r>
      <w:r w:rsidRPr="001A50DE">
        <w:rPr>
          <w:rFonts w:eastAsia="Calibri"/>
          <w:lang w:val="en-GB"/>
        </w:rPr>
        <w:t xml:space="preserve">seemed to be the perfect way for </w:t>
      </w:r>
      <w:r w:rsidR="002A4EDA">
        <w:rPr>
          <w:rFonts w:eastAsia="Calibri"/>
          <w:lang w:val="en-GB"/>
        </w:rPr>
        <w:t>Power</w:t>
      </w:r>
      <w:r w:rsidR="002A4EDA" w:rsidRPr="001A50DE">
        <w:rPr>
          <w:rFonts w:eastAsia="Calibri"/>
          <w:lang w:val="en-GB"/>
        </w:rPr>
        <w:t xml:space="preserve"> </w:t>
      </w:r>
      <w:r w:rsidRPr="001A50DE">
        <w:rPr>
          <w:rFonts w:eastAsia="Calibri"/>
          <w:lang w:val="en-GB"/>
        </w:rPr>
        <w:t xml:space="preserve">to focus on helping others while maintaining sustainability and independence </w:t>
      </w:r>
      <w:r w:rsidR="00CB784C" w:rsidRPr="001A50DE">
        <w:rPr>
          <w:rFonts w:eastAsia="Calibri"/>
          <w:lang w:val="en-GB"/>
        </w:rPr>
        <w:t xml:space="preserve">through the sale of </w:t>
      </w:r>
      <w:r w:rsidR="00956D9C">
        <w:rPr>
          <w:rFonts w:eastAsia="Calibri"/>
          <w:lang w:val="en-GB"/>
        </w:rPr>
        <w:t>the FTLOL products</w:t>
      </w:r>
      <w:r w:rsidR="00CB784C" w:rsidRPr="001A50DE">
        <w:rPr>
          <w:rFonts w:eastAsia="Calibri"/>
          <w:lang w:val="en-GB"/>
        </w:rPr>
        <w:t>.</w:t>
      </w:r>
      <w:r w:rsidR="00E44B2A" w:rsidRPr="001A50DE">
        <w:rPr>
          <w:rStyle w:val="EndnoteReference"/>
          <w:rFonts w:eastAsia="Calibri"/>
          <w:lang w:val="en-GB"/>
        </w:rPr>
        <w:endnoteReference w:id="5"/>
      </w:r>
    </w:p>
    <w:p w14:paraId="47A94C47" w14:textId="77777777" w:rsidR="00CB784C" w:rsidRPr="001A50DE" w:rsidRDefault="00CB784C" w:rsidP="00CB784C">
      <w:pPr>
        <w:pStyle w:val="BodyTextMain"/>
        <w:rPr>
          <w:rFonts w:eastAsia="Calibri"/>
          <w:lang w:val="en-GB"/>
        </w:rPr>
      </w:pPr>
    </w:p>
    <w:p w14:paraId="44E01CDB" w14:textId="29D33A8A" w:rsidR="00820F7C" w:rsidRPr="001A50DE" w:rsidRDefault="00820F7C" w:rsidP="00CB784C">
      <w:pPr>
        <w:pStyle w:val="BodyTextMain"/>
        <w:rPr>
          <w:rFonts w:eastAsia="Calibri"/>
          <w:lang w:val="en-GB"/>
        </w:rPr>
      </w:pPr>
      <w:r w:rsidRPr="001A50DE">
        <w:rPr>
          <w:rFonts w:eastAsia="Calibri"/>
          <w:lang w:val="en-GB"/>
        </w:rPr>
        <w:t>Power’s new venture quickly found traction in her community</w:t>
      </w:r>
      <w:r w:rsidR="0020728E" w:rsidRPr="001A50DE">
        <w:rPr>
          <w:rFonts w:eastAsia="Calibri"/>
          <w:lang w:val="en-GB"/>
        </w:rPr>
        <w:t>,</w:t>
      </w:r>
      <w:r w:rsidRPr="001A50DE">
        <w:rPr>
          <w:rFonts w:eastAsia="Calibri"/>
          <w:lang w:val="en-GB"/>
        </w:rPr>
        <w:t xml:space="preserve"> and before long</w:t>
      </w:r>
      <w:r w:rsidR="0020728E" w:rsidRPr="001A50DE">
        <w:rPr>
          <w:rFonts w:eastAsia="Calibri"/>
          <w:lang w:val="en-GB"/>
        </w:rPr>
        <w:t>,</w:t>
      </w:r>
      <w:r w:rsidRPr="001A50DE">
        <w:rPr>
          <w:rFonts w:eastAsia="Calibri"/>
          <w:lang w:val="en-GB"/>
        </w:rPr>
        <w:t xml:space="preserve"> she was expanding </w:t>
      </w:r>
      <w:r w:rsidR="00956D9C">
        <w:rPr>
          <w:rFonts w:eastAsia="Calibri"/>
          <w:lang w:val="en-GB"/>
        </w:rPr>
        <w:t>the</w:t>
      </w:r>
      <w:r w:rsidR="00956D9C" w:rsidRPr="001A50DE">
        <w:rPr>
          <w:rFonts w:eastAsia="Calibri"/>
          <w:lang w:val="en-GB"/>
        </w:rPr>
        <w:t xml:space="preserve"> </w:t>
      </w:r>
      <w:r w:rsidRPr="001A50DE">
        <w:rPr>
          <w:rFonts w:eastAsia="Calibri"/>
          <w:lang w:val="en-GB"/>
        </w:rPr>
        <w:t>product line to include not just soap but also stain removal sticks and dryer balls (an eco-friendly replacement for dryer sheets). By the end of the 2016 fiscal year</w:t>
      </w:r>
      <w:r w:rsidR="0020728E" w:rsidRPr="001A50DE">
        <w:rPr>
          <w:rFonts w:eastAsia="Calibri"/>
          <w:lang w:val="en-GB"/>
        </w:rPr>
        <w:t>,</w:t>
      </w:r>
      <w:r w:rsidRPr="001A50DE">
        <w:rPr>
          <w:rFonts w:eastAsia="Calibri"/>
          <w:lang w:val="en-GB"/>
        </w:rPr>
        <w:t xml:space="preserve"> FTLOL had </w:t>
      </w:r>
      <w:r w:rsidR="002A4EDA">
        <w:rPr>
          <w:rFonts w:eastAsia="Calibri"/>
          <w:lang w:val="en-GB"/>
        </w:rPr>
        <w:t>achieved</w:t>
      </w:r>
      <w:r w:rsidR="002A4EDA" w:rsidRPr="001A50DE">
        <w:rPr>
          <w:rFonts w:eastAsia="Calibri"/>
          <w:lang w:val="en-GB"/>
        </w:rPr>
        <w:t xml:space="preserve"> </w:t>
      </w:r>
      <w:r w:rsidRPr="001A50DE">
        <w:rPr>
          <w:rFonts w:eastAsia="Calibri"/>
          <w:lang w:val="en-GB"/>
        </w:rPr>
        <w:t>$22,000 in sales and had begun running free laundry events every one to two months.</w:t>
      </w:r>
    </w:p>
    <w:p w14:paraId="64BFC7F6" w14:textId="77777777" w:rsidR="00CB784C" w:rsidRPr="001A50DE" w:rsidRDefault="00CB784C" w:rsidP="00CB784C">
      <w:pPr>
        <w:pStyle w:val="BodyTextMain"/>
        <w:rPr>
          <w:rFonts w:eastAsia="Calibri"/>
          <w:lang w:val="en-GB"/>
        </w:rPr>
      </w:pPr>
    </w:p>
    <w:p w14:paraId="2C67105F" w14:textId="77777777" w:rsidR="00CB784C" w:rsidRPr="001A50DE" w:rsidRDefault="00CB784C" w:rsidP="00CB784C">
      <w:pPr>
        <w:pStyle w:val="BodyTextMain"/>
        <w:rPr>
          <w:rFonts w:eastAsia="Calibri"/>
          <w:lang w:val="en-GB"/>
        </w:rPr>
      </w:pPr>
    </w:p>
    <w:p w14:paraId="08EBC47D" w14:textId="77777777" w:rsidR="00820F7C" w:rsidRPr="001A50DE" w:rsidRDefault="00820F7C" w:rsidP="00CB784C">
      <w:pPr>
        <w:pStyle w:val="Casehead1"/>
        <w:rPr>
          <w:rFonts w:eastAsia="Calibri"/>
          <w:lang w:val="en-GB"/>
        </w:rPr>
      </w:pPr>
      <w:r w:rsidRPr="001A50DE">
        <w:rPr>
          <w:rFonts w:eastAsia="Calibri"/>
          <w:lang w:val="en-GB"/>
        </w:rPr>
        <w:t>Financials and Growth</w:t>
      </w:r>
    </w:p>
    <w:p w14:paraId="57DD96D2" w14:textId="77777777" w:rsidR="00CB784C" w:rsidRPr="001A50DE" w:rsidRDefault="00CB784C" w:rsidP="00CB784C">
      <w:pPr>
        <w:pStyle w:val="BodyTextMain"/>
        <w:rPr>
          <w:rFonts w:eastAsia="Calibri"/>
          <w:lang w:val="en-GB"/>
        </w:rPr>
      </w:pPr>
    </w:p>
    <w:p w14:paraId="6AEFE4F5" w14:textId="7D430C14" w:rsidR="00820F7C" w:rsidRPr="00E578E0" w:rsidRDefault="00820F7C" w:rsidP="00CB784C">
      <w:pPr>
        <w:pStyle w:val="BodyTextMain"/>
        <w:rPr>
          <w:rFonts w:eastAsia="Calibri"/>
          <w:lang w:val="en-GB"/>
        </w:rPr>
      </w:pPr>
      <w:r w:rsidRPr="001A50DE">
        <w:rPr>
          <w:rFonts w:eastAsia="Calibri"/>
          <w:lang w:val="en-GB"/>
        </w:rPr>
        <w:t>Fiscally, FTLOL was showing great promise as a social enterprise in London, Ontario</w:t>
      </w:r>
      <w:r w:rsidR="00D22A48">
        <w:rPr>
          <w:rFonts w:eastAsia="Calibri"/>
          <w:lang w:val="en-GB"/>
        </w:rPr>
        <w:t>, and the surrounding</w:t>
      </w:r>
      <w:r w:rsidRPr="001A50DE">
        <w:rPr>
          <w:rFonts w:eastAsia="Calibri"/>
          <w:lang w:val="en-GB"/>
        </w:rPr>
        <w:t xml:space="preserve"> area</w:t>
      </w:r>
      <w:r w:rsidR="00BA4CE0" w:rsidRPr="001A50DE">
        <w:rPr>
          <w:rFonts w:eastAsia="Calibri"/>
          <w:lang w:val="en-GB"/>
        </w:rPr>
        <w:t xml:space="preserve"> (see Exhibit 1)</w:t>
      </w:r>
      <w:r w:rsidRPr="001A50DE">
        <w:rPr>
          <w:rFonts w:eastAsia="Calibri"/>
          <w:lang w:val="en-GB"/>
        </w:rPr>
        <w:t xml:space="preserve">. </w:t>
      </w:r>
      <w:r w:rsidR="003F6EAF" w:rsidRPr="001A50DE">
        <w:rPr>
          <w:rFonts w:eastAsia="Calibri"/>
          <w:lang w:val="en-GB"/>
        </w:rPr>
        <w:t>Its</w:t>
      </w:r>
      <w:r w:rsidRPr="001A50DE">
        <w:rPr>
          <w:rFonts w:eastAsia="Calibri"/>
          <w:lang w:val="en-GB"/>
        </w:rPr>
        <w:t xml:space="preserve"> products were being sold </w:t>
      </w:r>
      <w:r w:rsidR="00EB3AA3" w:rsidRPr="001A50DE">
        <w:rPr>
          <w:rFonts w:eastAsia="Calibri"/>
          <w:lang w:val="en-GB"/>
        </w:rPr>
        <w:t xml:space="preserve">by </w:t>
      </w:r>
      <w:r w:rsidRPr="001A50DE">
        <w:rPr>
          <w:rFonts w:eastAsia="Calibri"/>
          <w:lang w:val="en-GB"/>
        </w:rPr>
        <w:t xml:space="preserve">eight small retailers </w:t>
      </w:r>
      <w:r w:rsidR="00B924C5">
        <w:rPr>
          <w:rFonts w:eastAsia="Calibri"/>
          <w:lang w:val="en-GB"/>
        </w:rPr>
        <w:t>in</w:t>
      </w:r>
      <w:r w:rsidR="00B924C5" w:rsidRPr="001A50DE">
        <w:rPr>
          <w:rFonts w:eastAsia="Calibri"/>
          <w:lang w:val="en-GB"/>
        </w:rPr>
        <w:t xml:space="preserve"> </w:t>
      </w:r>
      <w:r w:rsidRPr="001A50DE">
        <w:rPr>
          <w:rFonts w:eastAsia="Calibri"/>
          <w:lang w:val="en-GB"/>
        </w:rPr>
        <w:t>the community</w:t>
      </w:r>
      <w:r w:rsidR="00EB3AA3" w:rsidRPr="001A50DE">
        <w:rPr>
          <w:rFonts w:eastAsia="Calibri"/>
          <w:lang w:val="en-GB"/>
        </w:rPr>
        <w:t>,</w:t>
      </w:r>
      <w:r w:rsidRPr="001A50DE">
        <w:rPr>
          <w:rFonts w:eastAsia="Calibri"/>
          <w:lang w:val="en-GB"/>
        </w:rPr>
        <w:t xml:space="preserve"> at a weekly farmers</w:t>
      </w:r>
      <w:r w:rsidR="003F6EAF" w:rsidRPr="001A50DE">
        <w:rPr>
          <w:rFonts w:eastAsia="Calibri"/>
          <w:lang w:val="en-GB"/>
        </w:rPr>
        <w:t>’</w:t>
      </w:r>
      <w:r w:rsidRPr="001A50DE">
        <w:rPr>
          <w:rFonts w:eastAsia="Calibri"/>
          <w:lang w:val="en-GB"/>
        </w:rPr>
        <w:t xml:space="preserve"> market in the city</w:t>
      </w:r>
      <w:r w:rsidR="00EB3AA3" w:rsidRPr="001A50DE">
        <w:rPr>
          <w:rFonts w:eastAsia="Calibri"/>
          <w:lang w:val="en-GB"/>
        </w:rPr>
        <w:t xml:space="preserve">, </w:t>
      </w:r>
      <w:r w:rsidRPr="001A50DE">
        <w:rPr>
          <w:rFonts w:eastAsia="Calibri"/>
          <w:lang w:val="en-GB"/>
        </w:rPr>
        <w:t xml:space="preserve">and online via </w:t>
      </w:r>
      <w:r w:rsidR="00EB3AA3" w:rsidRPr="001A50DE">
        <w:rPr>
          <w:rFonts w:eastAsia="Calibri"/>
          <w:lang w:val="en-GB"/>
        </w:rPr>
        <w:t xml:space="preserve">the FTLOL </w:t>
      </w:r>
      <w:r w:rsidRPr="001A50DE">
        <w:rPr>
          <w:rFonts w:eastAsia="Calibri"/>
          <w:lang w:val="en-GB"/>
        </w:rPr>
        <w:t>web</w:t>
      </w:r>
      <w:r w:rsidR="00E3754A" w:rsidRPr="001A50DE">
        <w:rPr>
          <w:rFonts w:eastAsia="Calibri"/>
          <w:lang w:val="en-GB"/>
        </w:rPr>
        <w:t>site</w:t>
      </w:r>
      <w:r w:rsidRPr="001A50DE">
        <w:rPr>
          <w:rFonts w:eastAsia="Calibri"/>
          <w:lang w:val="en-GB"/>
        </w:rPr>
        <w:t xml:space="preserve">. These </w:t>
      </w:r>
      <w:r w:rsidR="00EB3AA3" w:rsidRPr="001A50DE">
        <w:rPr>
          <w:rFonts w:eastAsia="Calibri"/>
          <w:lang w:val="en-GB"/>
        </w:rPr>
        <w:t xml:space="preserve">revenue sources </w:t>
      </w:r>
      <w:r w:rsidRPr="001A50DE">
        <w:rPr>
          <w:rFonts w:eastAsia="Calibri"/>
          <w:lang w:val="en-GB"/>
        </w:rPr>
        <w:t>had allowed FTLOL</w:t>
      </w:r>
      <w:r w:rsidRPr="001A50DE">
        <w:rPr>
          <w:rFonts w:eastAsia="Calibri"/>
          <w:i/>
          <w:lang w:val="en-GB"/>
        </w:rPr>
        <w:t xml:space="preserve"> </w:t>
      </w:r>
      <w:r w:rsidRPr="001A50DE">
        <w:rPr>
          <w:rFonts w:eastAsia="Calibri"/>
          <w:lang w:val="en-GB"/>
        </w:rPr>
        <w:t xml:space="preserve">to achieve $22,000 in sales in 2016, </w:t>
      </w:r>
      <w:r w:rsidR="00EB3AA3" w:rsidRPr="001A50DE">
        <w:rPr>
          <w:rFonts w:eastAsia="Calibri"/>
          <w:lang w:val="en-GB"/>
        </w:rPr>
        <w:t>and</w:t>
      </w:r>
      <w:r w:rsidRPr="001A50DE">
        <w:rPr>
          <w:rFonts w:eastAsia="Calibri"/>
          <w:lang w:val="en-GB"/>
        </w:rPr>
        <w:t xml:space="preserve"> sales </w:t>
      </w:r>
      <w:r w:rsidR="00EB3AA3" w:rsidRPr="001A50DE">
        <w:rPr>
          <w:rFonts w:eastAsia="Calibri"/>
          <w:lang w:val="en-GB"/>
        </w:rPr>
        <w:t xml:space="preserve">of $30,000 were projected </w:t>
      </w:r>
      <w:r w:rsidRPr="001A50DE">
        <w:rPr>
          <w:rFonts w:eastAsia="Calibri"/>
          <w:lang w:val="en-GB"/>
        </w:rPr>
        <w:t>for 2017.</w:t>
      </w:r>
    </w:p>
    <w:p w14:paraId="102F6FB6" w14:textId="77777777" w:rsidR="00CB784C" w:rsidRPr="001A50DE" w:rsidRDefault="00CB784C" w:rsidP="00CB784C">
      <w:pPr>
        <w:pStyle w:val="BodyTextMain"/>
        <w:rPr>
          <w:rFonts w:eastAsia="Calibri"/>
          <w:lang w:val="en-GB"/>
        </w:rPr>
      </w:pPr>
    </w:p>
    <w:p w14:paraId="06DD5164" w14:textId="19482187" w:rsidR="00820F7C" w:rsidRPr="001A50DE" w:rsidRDefault="00EB3AA3" w:rsidP="00CB784C">
      <w:pPr>
        <w:pStyle w:val="BodyTextMain"/>
        <w:rPr>
          <w:rFonts w:eastAsia="Calibri"/>
          <w:lang w:val="en-GB"/>
        </w:rPr>
      </w:pPr>
      <w:r w:rsidRPr="001A50DE">
        <w:rPr>
          <w:rFonts w:eastAsia="Calibri"/>
          <w:lang w:val="en-GB"/>
        </w:rPr>
        <w:t>FTLOL</w:t>
      </w:r>
      <w:r w:rsidR="00820F7C" w:rsidRPr="001A50DE">
        <w:rPr>
          <w:rFonts w:eastAsia="Calibri"/>
          <w:lang w:val="en-GB"/>
        </w:rPr>
        <w:t xml:space="preserve"> had the following expenses: (1) $125 per week </w:t>
      </w:r>
      <w:r w:rsidRPr="001A50DE">
        <w:rPr>
          <w:rFonts w:eastAsia="Calibri"/>
          <w:lang w:val="en-GB"/>
        </w:rPr>
        <w:t xml:space="preserve">as a minimal salary </w:t>
      </w:r>
      <w:r w:rsidR="00820F7C" w:rsidRPr="001A50DE">
        <w:rPr>
          <w:rFonts w:eastAsia="Calibri"/>
          <w:lang w:val="en-GB"/>
        </w:rPr>
        <w:t>for Power</w:t>
      </w:r>
      <w:r w:rsidRPr="001A50DE">
        <w:rPr>
          <w:rFonts w:eastAsia="Calibri"/>
          <w:lang w:val="en-GB"/>
        </w:rPr>
        <w:t>,</w:t>
      </w:r>
      <w:r w:rsidR="00820F7C" w:rsidRPr="001A50DE">
        <w:rPr>
          <w:rFonts w:eastAsia="Calibri"/>
          <w:lang w:val="en-GB"/>
        </w:rPr>
        <w:t xml:space="preserve"> to cover her expenses; (2) </w:t>
      </w:r>
      <w:r w:rsidRPr="001A50DE">
        <w:rPr>
          <w:rFonts w:eastAsia="Calibri"/>
          <w:lang w:val="en-GB"/>
        </w:rPr>
        <w:t xml:space="preserve">$11.40 an hour for </w:t>
      </w:r>
      <w:r w:rsidR="00820F7C" w:rsidRPr="001A50DE">
        <w:rPr>
          <w:rFonts w:eastAsia="Calibri"/>
          <w:lang w:val="en-GB"/>
        </w:rPr>
        <w:t>a part-time employee who operat</w:t>
      </w:r>
      <w:r w:rsidRPr="001A50DE">
        <w:rPr>
          <w:rFonts w:eastAsia="Calibri"/>
          <w:lang w:val="en-GB"/>
        </w:rPr>
        <w:t>ed</w:t>
      </w:r>
      <w:r w:rsidR="00820F7C" w:rsidRPr="001A50DE">
        <w:rPr>
          <w:rFonts w:eastAsia="Calibri"/>
          <w:lang w:val="en-GB"/>
        </w:rPr>
        <w:t xml:space="preserve"> the farmers’ market booth for </w:t>
      </w:r>
      <w:r w:rsidRPr="001A50DE">
        <w:rPr>
          <w:rFonts w:eastAsia="Calibri"/>
          <w:lang w:val="en-GB"/>
        </w:rPr>
        <w:t xml:space="preserve">eight </w:t>
      </w:r>
      <w:r w:rsidR="00820F7C" w:rsidRPr="001A50DE">
        <w:rPr>
          <w:rFonts w:eastAsia="Calibri"/>
          <w:lang w:val="en-GB"/>
        </w:rPr>
        <w:t xml:space="preserve">hours </w:t>
      </w:r>
      <w:r w:rsidRPr="001A50DE">
        <w:rPr>
          <w:rFonts w:eastAsia="Calibri"/>
          <w:lang w:val="en-GB"/>
        </w:rPr>
        <w:t xml:space="preserve">each </w:t>
      </w:r>
      <w:r w:rsidR="00820F7C" w:rsidRPr="001A50DE">
        <w:rPr>
          <w:rFonts w:eastAsia="Calibri"/>
          <w:lang w:val="en-GB"/>
        </w:rPr>
        <w:t xml:space="preserve">week; (3) $55 </w:t>
      </w:r>
      <w:r w:rsidRPr="001A50DE">
        <w:rPr>
          <w:rFonts w:eastAsia="Calibri"/>
          <w:lang w:val="en-GB"/>
        </w:rPr>
        <w:t xml:space="preserve">per </w:t>
      </w:r>
      <w:r w:rsidR="00820F7C" w:rsidRPr="001A50DE">
        <w:rPr>
          <w:rFonts w:eastAsia="Calibri"/>
          <w:lang w:val="en-GB"/>
        </w:rPr>
        <w:t xml:space="preserve">week to rent the booth; and (4) </w:t>
      </w:r>
      <w:r w:rsidRPr="001A50DE">
        <w:rPr>
          <w:rFonts w:eastAsia="Calibri"/>
          <w:lang w:val="en-GB"/>
        </w:rPr>
        <w:t xml:space="preserve">$2,400 per year </w:t>
      </w:r>
      <w:r w:rsidR="00820F7C" w:rsidRPr="001A50DE">
        <w:rPr>
          <w:rFonts w:eastAsia="Calibri"/>
          <w:lang w:val="en-GB"/>
        </w:rPr>
        <w:t xml:space="preserve">to run </w:t>
      </w:r>
      <w:r w:rsidRPr="001A50DE">
        <w:rPr>
          <w:rFonts w:eastAsia="Calibri"/>
          <w:lang w:val="en-GB"/>
        </w:rPr>
        <w:t xml:space="preserve">the laundry events ($300 for each event, held </w:t>
      </w:r>
      <w:r w:rsidR="00820F7C" w:rsidRPr="001A50DE">
        <w:rPr>
          <w:rFonts w:eastAsia="Calibri"/>
          <w:lang w:val="en-GB"/>
        </w:rPr>
        <w:t>every one to two months</w:t>
      </w:r>
      <w:r w:rsidRPr="001A50DE">
        <w:rPr>
          <w:rFonts w:eastAsia="Calibri"/>
          <w:lang w:val="en-GB"/>
        </w:rPr>
        <w:t>)</w:t>
      </w:r>
      <w:r w:rsidR="00820F7C" w:rsidRPr="001A50DE">
        <w:rPr>
          <w:rFonts w:eastAsia="Calibri"/>
          <w:lang w:val="en-GB"/>
        </w:rPr>
        <w:t xml:space="preserve">. </w:t>
      </w:r>
    </w:p>
    <w:p w14:paraId="73882C9C" w14:textId="77777777" w:rsidR="00CB784C" w:rsidRPr="001A50DE" w:rsidRDefault="00CB784C" w:rsidP="00CB784C">
      <w:pPr>
        <w:pStyle w:val="BodyTextMain"/>
        <w:rPr>
          <w:rFonts w:eastAsia="Calibri"/>
          <w:lang w:val="en-GB"/>
        </w:rPr>
      </w:pPr>
    </w:p>
    <w:p w14:paraId="4A246138" w14:textId="33D06F93" w:rsidR="00820F7C" w:rsidRPr="001A50DE" w:rsidRDefault="00EB3AA3" w:rsidP="00CB784C">
      <w:pPr>
        <w:pStyle w:val="BodyTextMain"/>
        <w:rPr>
          <w:rFonts w:eastAsia="Calibri"/>
          <w:lang w:val="en-GB"/>
        </w:rPr>
      </w:pPr>
      <w:r w:rsidRPr="001A50DE">
        <w:rPr>
          <w:rFonts w:eastAsia="Calibri"/>
          <w:lang w:val="en-GB"/>
        </w:rPr>
        <w:t>FTLOL</w:t>
      </w:r>
      <w:r w:rsidR="00820F7C" w:rsidRPr="001A50DE">
        <w:rPr>
          <w:rFonts w:eastAsia="Calibri"/>
          <w:lang w:val="en-GB"/>
        </w:rPr>
        <w:t xml:space="preserve"> had minimal expenses for a number of reasons. First, </w:t>
      </w:r>
      <w:r w:rsidR="00E3754A" w:rsidRPr="001A50DE">
        <w:rPr>
          <w:rFonts w:eastAsia="Calibri"/>
          <w:lang w:val="en-GB"/>
        </w:rPr>
        <w:t xml:space="preserve">because she had the </w:t>
      </w:r>
      <w:r w:rsidR="00820F7C" w:rsidRPr="001A50DE">
        <w:rPr>
          <w:rFonts w:eastAsia="Calibri"/>
          <w:lang w:val="en-GB"/>
        </w:rPr>
        <w:t>support of her husband</w:t>
      </w:r>
      <w:r w:rsidR="00E3754A" w:rsidRPr="001A50DE">
        <w:rPr>
          <w:rFonts w:eastAsia="Calibri"/>
          <w:lang w:val="en-GB"/>
        </w:rPr>
        <w:t>’s income</w:t>
      </w:r>
      <w:r w:rsidR="00820F7C" w:rsidRPr="001A50DE">
        <w:rPr>
          <w:rFonts w:eastAsia="Calibri"/>
          <w:lang w:val="en-GB"/>
        </w:rPr>
        <w:t>, Power had been able to heavily invest her time in the business without needing much financial return. However, the lack of income for all the work was not sustainable</w:t>
      </w:r>
      <w:r w:rsidR="00E3754A" w:rsidRPr="001A50DE">
        <w:rPr>
          <w:rFonts w:eastAsia="Calibri"/>
          <w:lang w:val="en-GB"/>
        </w:rPr>
        <w:t xml:space="preserve">. At </w:t>
      </w:r>
      <w:r w:rsidR="00820F7C" w:rsidRPr="001A50DE">
        <w:rPr>
          <w:rFonts w:eastAsia="Calibri"/>
          <w:lang w:val="en-GB"/>
        </w:rPr>
        <w:t>some point</w:t>
      </w:r>
      <w:r w:rsidR="00E3754A" w:rsidRPr="001A50DE">
        <w:rPr>
          <w:rFonts w:eastAsia="Calibri"/>
          <w:lang w:val="en-GB"/>
        </w:rPr>
        <w:t>,</w:t>
      </w:r>
      <w:r w:rsidR="00820F7C" w:rsidRPr="001A50DE">
        <w:rPr>
          <w:rFonts w:eastAsia="Calibri"/>
          <w:lang w:val="en-GB"/>
        </w:rPr>
        <w:t xml:space="preserve"> Power would need to draw a salary. Second, FTLOL had no utility, warehousing, or production expenses since Power hand</w:t>
      </w:r>
      <w:r w:rsidR="00B924C5">
        <w:rPr>
          <w:rFonts w:eastAsia="Calibri"/>
          <w:lang w:val="en-GB"/>
        </w:rPr>
        <w:t>-</w:t>
      </w:r>
      <w:r w:rsidR="00820F7C" w:rsidRPr="001A50DE">
        <w:rPr>
          <w:rFonts w:eastAsia="Calibri"/>
          <w:lang w:val="en-GB"/>
        </w:rPr>
        <w:t xml:space="preserve">mixed </w:t>
      </w:r>
      <w:r w:rsidR="00956D9C">
        <w:rPr>
          <w:rFonts w:eastAsia="Calibri"/>
          <w:lang w:val="en-GB"/>
        </w:rPr>
        <w:t>the</w:t>
      </w:r>
      <w:r w:rsidR="00956D9C" w:rsidRPr="001A50DE">
        <w:rPr>
          <w:rFonts w:eastAsia="Calibri"/>
          <w:lang w:val="en-GB"/>
        </w:rPr>
        <w:t xml:space="preserve"> </w:t>
      </w:r>
      <w:r w:rsidR="00820F7C" w:rsidRPr="001A50DE">
        <w:rPr>
          <w:rFonts w:eastAsia="Calibri"/>
          <w:lang w:val="en-GB"/>
        </w:rPr>
        <w:t xml:space="preserve">soaps and outsourced the production of </w:t>
      </w:r>
      <w:r w:rsidR="00956D9C">
        <w:rPr>
          <w:rFonts w:eastAsia="Calibri"/>
          <w:lang w:val="en-GB"/>
        </w:rPr>
        <w:t>the</w:t>
      </w:r>
      <w:r w:rsidR="00956D9C" w:rsidRPr="001A50DE">
        <w:rPr>
          <w:rFonts w:eastAsia="Calibri"/>
          <w:lang w:val="en-GB"/>
        </w:rPr>
        <w:t xml:space="preserve"> </w:t>
      </w:r>
      <w:r w:rsidR="00820F7C" w:rsidRPr="001A50DE">
        <w:rPr>
          <w:rFonts w:eastAsia="Calibri"/>
          <w:lang w:val="en-GB"/>
        </w:rPr>
        <w:t>other products.</w:t>
      </w:r>
    </w:p>
    <w:p w14:paraId="70B2879E" w14:textId="77777777" w:rsidR="00CB784C" w:rsidRPr="001A50DE" w:rsidRDefault="00CB784C" w:rsidP="00CB784C">
      <w:pPr>
        <w:pStyle w:val="BodyTextMain"/>
        <w:rPr>
          <w:rFonts w:eastAsia="Calibri"/>
          <w:lang w:val="en-GB"/>
        </w:rPr>
      </w:pPr>
    </w:p>
    <w:p w14:paraId="0C09B648" w14:textId="28DEE246" w:rsidR="00820F7C" w:rsidRDefault="00820F7C" w:rsidP="00CB784C">
      <w:pPr>
        <w:pStyle w:val="BodyTextMain"/>
        <w:rPr>
          <w:rFonts w:eastAsia="Calibri"/>
          <w:lang w:val="en-GB"/>
        </w:rPr>
      </w:pPr>
      <w:r w:rsidRPr="001A50DE">
        <w:rPr>
          <w:rFonts w:eastAsia="Calibri"/>
          <w:lang w:val="en-GB"/>
        </w:rPr>
        <w:t>With minimal expenses</w:t>
      </w:r>
      <w:r w:rsidR="00E3754A" w:rsidRPr="001A50DE">
        <w:rPr>
          <w:rFonts w:eastAsia="Calibri"/>
          <w:lang w:val="en-GB"/>
        </w:rPr>
        <w:t>,</w:t>
      </w:r>
      <w:r w:rsidRPr="001A50DE">
        <w:rPr>
          <w:rFonts w:eastAsia="Calibri"/>
          <w:lang w:val="en-GB"/>
        </w:rPr>
        <w:t xml:space="preserve"> FTLOL had a favourable profit margin on all its products. </w:t>
      </w:r>
      <w:r w:rsidR="00E3754A" w:rsidRPr="001A50DE">
        <w:rPr>
          <w:rFonts w:eastAsia="Calibri"/>
          <w:lang w:val="en-GB"/>
        </w:rPr>
        <w:t>W</w:t>
      </w:r>
      <w:r w:rsidRPr="001A50DE">
        <w:rPr>
          <w:rFonts w:eastAsia="Calibri"/>
          <w:lang w:val="en-GB"/>
        </w:rPr>
        <w:t xml:space="preserve">ebsite sales </w:t>
      </w:r>
      <w:r w:rsidR="00E3754A" w:rsidRPr="001A50DE">
        <w:rPr>
          <w:rFonts w:eastAsia="Calibri"/>
          <w:lang w:val="en-GB"/>
        </w:rPr>
        <w:t>provided</w:t>
      </w:r>
      <w:r w:rsidRPr="001A50DE">
        <w:rPr>
          <w:rFonts w:eastAsia="Calibri"/>
          <w:lang w:val="en-GB"/>
        </w:rPr>
        <w:t xml:space="preserve"> a higher profit margin than retail sales, despite prices being constant, </w:t>
      </w:r>
      <w:r w:rsidR="00E3754A" w:rsidRPr="001A50DE">
        <w:rPr>
          <w:rFonts w:eastAsia="Calibri"/>
          <w:lang w:val="en-GB"/>
        </w:rPr>
        <w:t>because</w:t>
      </w:r>
      <w:r w:rsidRPr="001A50DE">
        <w:rPr>
          <w:rFonts w:eastAsia="Calibri"/>
          <w:lang w:val="en-GB"/>
        </w:rPr>
        <w:t xml:space="preserve"> FTLOL </w:t>
      </w:r>
      <w:r w:rsidR="00E3754A" w:rsidRPr="001A50DE">
        <w:rPr>
          <w:rFonts w:eastAsia="Calibri"/>
          <w:lang w:val="en-GB"/>
        </w:rPr>
        <w:t xml:space="preserve">did </w:t>
      </w:r>
      <w:r w:rsidRPr="001A50DE">
        <w:rPr>
          <w:rFonts w:eastAsia="Calibri"/>
          <w:lang w:val="en-GB"/>
        </w:rPr>
        <w:t>not need to share profits with retail partners on sales made via the website. The soap packages</w:t>
      </w:r>
      <w:r w:rsidR="00B552DB" w:rsidRPr="001A50DE">
        <w:rPr>
          <w:rFonts w:eastAsia="Calibri"/>
          <w:lang w:val="en-GB"/>
        </w:rPr>
        <w:t xml:space="preserve"> </w:t>
      </w:r>
      <w:r w:rsidR="00E3754A" w:rsidRPr="001A50DE">
        <w:rPr>
          <w:rFonts w:eastAsia="Calibri"/>
          <w:lang w:val="en-GB"/>
        </w:rPr>
        <w:t xml:space="preserve">Power </w:t>
      </w:r>
      <w:r w:rsidR="00213B7F" w:rsidRPr="001A50DE">
        <w:rPr>
          <w:rFonts w:eastAsia="Calibri"/>
          <w:lang w:val="en-GB"/>
        </w:rPr>
        <w:t xml:space="preserve">made </w:t>
      </w:r>
      <w:r w:rsidR="00213B7F">
        <w:rPr>
          <w:rFonts w:eastAsia="Calibri"/>
          <w:lang w:val="en-GB"/>
        </w:rPr>
        <w:t xml:space="preserve">herself </w:t>
      </w:r>
      <w:r w:rsidR="00B552DB" w:rsidRPr="001A50DE">
        <w:rPr>
          <w:rFonts w:eastAsia="Calibri"/>
          <w:lang w:val="en-GB"/>
        </w:rPr>
        <w:t xml:space="preserve">(see </w:t>
      </w:r>
      <w:r w:rsidRPr="001A50DE">
        <w:rPr>
          <w:rFonts w:eastAsia="Calibri"/>
          <w:lang w:val="en-GB"/>
        </w:rPr>
        <w:t xml:space="preserve">Exhibit </w:t>
      </w:r>
      <w:r w:rsidR="00BA4CE0" w:rsidRPr="001A50DE">
        <w:rPr>
          <w:rFonts w:eastAsia="Calibri"/>
          <w:lang w:val="en-GB"/>
        </w:rPr>
        <w:t>2</w:t>
      </w:r>
      <w:r w:rsidR="00B552DB" w:rsidRPr="001A50DE">
        <w:rPr>
          <w:rFonts w:eastAsia="Calibri"/>
          <w:lang w:val="en-GB"/>
        </w:rPr>
        <w:t>)</w:t>
      </w:r>
      <w:r w:rsidRPr="001A50DE">
        <w:rPr>
          <w:rFonts w:eastAsia="Calibri"/>
          <w:lang w:val="en-GB"/>
        </w:rPr>
        <w:t xml:space="preserve"> cost only $2.30</w:t>
      </w:r>
      <w:r w:rsidR="00E3754A" w:rsidRPr="001A50DE">
        <w:rPr>
          <w:rFonts w:eastAsia="Calibri"/>
          <w:lang w:val="en-GB"/>
        </w:rPr>
        <w:t xml:space="preserve"> to make and earned</w:t>
      </w:r>
      <w:r w:rsidRPr="001A50DE">
        <w:rPr>
          <w:rFonts w:eastAsia="Calibri"/>
          <w:lang w:val="en-GB"/>
        </w:rPr>
        <w:t xml:space="preserve"> $3.20 profit for every package sold </w:t>
      </w:r>
      <w:r w:rsidR="00E3754A" w:rsidRPr="001A50DE">
        <w:rPr>
          <w:rFonts w:eastAsia="Calibri"/>
          <w:lang w:val="en-GB"/>
        </w:rPr>
        <w:t xml:space="preserve">through a </w:t>
      </w:r>
      <w:r w:rsidRPr="001A50DE">
        <w:rPr>
          <w:rFonts w:eastAsia="Calibri"/>
          <w:lang w:val="en-GB"/>
        </w:rPr>
        <w:t xml:space="preserve">retail </w:t>
      </w:r>
      <w:r w:rsidR="00E3754A" w:rsidRPr="001A50DE">
        <w:rPr>
          <w:rFonts w:eastAsia="Calibri"/>
          <w:lang w:val="en-GB"/>
        </w:rPr>
        <w:t xml:space="preserve">outlet </w:t>
      </w:r>
      <w:r w:rsidRPr="001A50DE">
        <w:rPr>
          <w:rFonts w:eastAsia="Calibri"/>
          <w:lang w:val="en-GB"/>
        </w:rPr>
        <w:t xml:space="preserve">and $6.69 profit for every </w:t>
      </w:r>
      <w:r w:rsidR="00E3754A" w:rsidRPr="001A50DE">
        <w:rPr>
          <w:rFonts w:eastAsia="Calibri"/>
          <w:lang w:val="en-GB"/>
        </w:rPr>
        <w:t>package sold online</w:t>
      </w:r>
      <w:r w:rsidRPr="001A50DE">
        <w:rPr>
          <w:rFonts w:eastAsia="Calibri"/>
          <w:lang w:val="en-GB"/>
        </w:rPr>
        <w:t xml:space="preserve">. The business had established an exclusive partnership with a source in London </w:t>
      </w:r>
      <w:r w:rsidR="001F7942" w:rsidRPr="001A50DE">
        <w:rPr>
          <w:rFonts w:eastAsia="Calibri"/>
          <w:lang w:val="en-GB"/>
        </w:rPr>
        <w:t xml:space="preserve">that </w:t>
      </w:r>
      <w:r w:rsidRPr="001A50DE">
        <w:rPr>
          <w:rFonts w:eastAsia="Calibri"/>
          <w:lang w:val="en-GB"/>
        </w:rPr>
        <w:t xml:space="preserve">produced </w:t>
      </w:r>
      <w:r w:rsidR="001F7942" w:rsidRPr="001A50DE">
        <w:rPr>
          <w:rFonts w:eastAsia="Calibri"/>
          <w:lang w:val="en-GB"/>
        </w:rPr>
        <w:t xml:space="preserve">its </w:t>
      </w:r>
      <w:r w:rsidRPr="001A50DE">
        <w:rPr>
          <w:rFonts w:eastAsia="Calibri"/>
          <w:lang w:val="en-GB"/>
        </w:rPr>
        <w:t xml:space="preserve">stain removal sticks </w:t>
      </w:r>
      <w:r w:rsidR="00B552DB" w:rsidRPr="001A50DE">
        <w:rPr>
          <w:rFonts w:eastAsia="Calibri"/>
          <w:lang w:val="en-GB"/>
        </w:rPr>
        <w:t xml:space="preserve">(see </w:t>
      </w:r>
      <w:r w:rsidRPr="001A50DE">
        <w:rPr>
          <w:rFonts w:eastAsia="Calibri"/>
          <w:lang w:val="en-GB"/>
        </w:rPr>
        <w:t xml:space="preserve">Exhibit </w:t>
      </w:r>
      <w:r w:rsidR="00BA4CE0" w:rsidRPr="001A50DE">
        <w:rPr>
          <w:rFonts w:eastAsia="Calibri"/>
          <w:lang w:val="en-GB"/>
        </w:rPr>
        <w:t>3</w:t>
      </w:r>
      <w:r w:rsidR="00B552DB" w:rsidRPr="001A50DE">
        <w:rPr>
          <w:rFonts w:eastAsia="Calibri"/>
          <w:lang w:val="en-GB"/>
        </w:rPr>
        <w:t>)</w:t>
      </w:r>
      <w:r w:rsidRPr="001A50DE">
        <w:rPr>
          <w:rFonts w:eastAsia="Calibri"/>
          <w:lang w:val="en-GB"/>
        </w:rPr>
        <w:t xml:space="preserve"> for $1.80</w:t>
      </w:r>
      <w:r w:rsidR="001F7942" w:rsidRPr="001A50DE">
        <w:rPr>
          <w:rFonts w:eastAsia="Calibri"/>
          <w:lang w:val="en-GB"/>
        </w:rPr>
        <w:t xml:space="preserve"> each</w:t>
      </w:r>
      <w:r w:rsidR="00213B7F">
        <w:rPr>
          <w:rFonts w:eastAsia="Calibri"/>
          <w:lang w:val="en-GB"/>
        </w:rPr>
        <w:t>;</w:t>
      </w:r>
      <w:r w:rsidRPr="001A50DE">
        <w:rPr>
          <w:rFonts w:eastAsia="Calibri"/>
          <w:lang w:val="en-GB"/>
        </w:rPr>
        <w:t xml:space="preserve"> </w:t>
      </w:r>
      <w:r w:rsidR="00213B7F">
        <w:rPr>
          <w:rFonts w:eastAsia="Calibri"/>
          <w:lang w:val="en-GB"/>
        </w:rPr>
        <w:t xml:space="preserve">these </w:t>
      </w:r>
      <w:r w:rsidR="001F7942" w:rsidRPr="001A50DE">
        <w:rPr>
          <w:rFonts w:eastAsia="Calibri"/>
          <w:lang w:val="en-GB"/>
        </w:rPr>
        <w:t>provid</w:t>
      </w:r>
      <w:r w:rsidR="00213B7F">
        <w:rPr>
          <w:rFonts w:eastAsia="Calibri"/>
          <w:lang w:val="en-GB"/>
        </w:rPr>
        <w:t>ed</w:t>
      </w:r>
      <w:r w:rsidR="001F7942" w:rsidRPr="001A50DE">
        <w:rPr>
          <w:rFonts w:eastAsia="Calibri"/>
          <w:lang w:val="en-GB"/>
        </w:rPr>
        <w:t xml:space="preserve"> </w:t>
      </w:r>
      <w:r w:rsidRPr="001A50DE">
        <w:rPr>
          <w:rFonts w:eastAsia="Calibri"/>
          <w:lang w:val="en-GB"/>
        </w:rPr>
        <w:t xml:space="preserve">FTLOL </w:t>
      </w:r>
      <w:r w:rsidR="001F7942" w:rsidRPr="001A50DE">
        <w:rPr>
          <w:rFonts w:eastAsia="Calibri"/>
          <w:lang w:val="en-GB"/>
        </w:rPr>
        <w:t xml:space="preserve">with </w:t>
      </w:r>
      <w:r w:rsidRPr="001A50DE">
        <w:rPr>
          <w:rFonts w:eastAsia="Calibri"/>
          <w:lang w:val="en-GB"/>
        </w:rPr>
        <w:t xml:space="preserve">$0.95 profit on </w:t>
      </w:r>
      <w:r w:rsidR="001F7942" w:rsidRPr="001A50DE">
        <w:rPr>
          <w:rFonts w:eastAsia="Calibri"/>
          <w:lang w:val="en-GB"/>
        </w:rPr>
        <w:t xml:space="preserve">each </w:t>
      </w:r>
      <w:r w:rsidRPr="001A50DE">
        <w:rPr>
          <w:rFonts w:eastAsia="Calibri"/>
          <w:lang w:val="en-GB"/>
        </w:rPr>
        <w:t xml:space="preserve">retail sale and $3.20 profit </w:t>
      </w:r>
      <w:r w:rsidR="001F7942" w:rsidRPr="001A50DE">
        <w:rPr>
          <w:rFonts w:eastAsia="Calibri"/>
          <w:lang w:val="en-GB"/>
        </w:rPr>
        <w:t xml:space="preserve">on each </w:t>
      </w:r>
      <w:r w:rsidRPr="001A50DE">
        <w:rPr>
          <w:rFonts w:eastAsia="Calibri"/>
          <w:lang w:val="en-GB"/>
        </w:rPr>
        <w:t xml:space="preserve">website sale. Finally, Power </w:t>
      </w:r>
      <w:r w:rsidR="001F7942" w:rsidRPr="001A50DE">
        <w:rPr>
          <w:rFonts w:eastAsia="Calibri"/>
          <w:lang w:val="en-GB"/>
        </w:rPr>
        <w:t xml:space="preserve">had </w:t>
      </w:r>
      <w:r w:rsidRPr="001A50DE">
        <w:rPr>
          <w:rFonts w:eastAsia="Calibri"/>
          <w:lang w:val="en-GB"/>
        </w:rPr>
        <w:t>created her own dryer b</w:t>
      </w:r>
      <w:r w:rsidR="00B552DB" w:rsidRPr="001A50DE">
        <w:rPr>
          <w:rFonts w:eastAsia="Calibri"/>
          <w:lang w:val="en-GB"/>
        </w:rPr>
        <w:t>all design (see</w:t>
      </w:r>
      <w:r w:rsidRPr="001A50DE">
        <w:rPr>
          <w:rFonts w:eastAsia="Calibri"/>
          <w:lang w:val="en-GB"/>
        </w:rPr>
        <w:t xml:space="preserve"> Exhibit </w:t>
      </w:r>
      <w:r w:rsidR="00BA4CE0" w:rsidRPr="001A50DE">
        <w:rPr>
          <w:rFonts w:eastAsia="Calibri"/>
          <w:lang w:val="en-GB"/>
        </w:rPr>
        <w:t>4</w:t>
      </w:r>
      <w:r w:rsidR="00B552DB" w:rsidRPr="001A50DE">
        <w:rPr>
          <w:rFonts w:eastAsia="Calibri"/>
          <w:lang w:val="en-GB"/>
        </w:rPr>
        <w:t>)</w:t>
      </w:r>
      <w:r w:rsidRPr="001A50DE">
        <w:rPr>
          <w:rFonts w:eastAsia="Calibri"/>
          <w:lang w:val="en-GB"/>
        </w:rPr>
        <w:t xml:space="preserve"> and outsourced the production to an established partner in India.</w:t>
      </w:r>
      <w:r w:rsidR="00B552DB" w:rsidRPr="001A50DE">
        <w:rPr>
          <w:rFonts w:eastAsia="Calibri"/>
          <w:lang w:val="en-GB"/>
        </w:rPr>
        <w:t xml:space="preserve"> In </w:t>
      </w:r>
      <w:r w:rsidR="001F7942" w:rsidRPr="001A50DE">
        <w:rPr>
          <w:rFonts w:eastAsia="Calibri"/>
          <w:lang w:val="en-GB"/>
        </w:rPr>
        <w:t xml:space="preserve">the </w:t>
      </w:r>
      <w:r w:rsidR="00B552DB" w:rsidRPr="001A50DE">
        <w:rPr>
          <w:rFonts w:eastAsia="Calibri"/>
          <w:lang w:val="en-GB"/>
        </w:rPr>
        <w:t>latest</w:t>
      </w:r>
      <w:r w:rsidRPr="001A50DE">
        <w:rPr>
          <w:rFonts w:eastAsia="Calibri"/>
          <w:lang w:val="en-GB"/>
        </w:rPr>
        <w:t xml:space="preserve"> agreement</w:t>
      </w:r>
      <w:r w:rsidR="001F7942" w:rsidRPr="001A50DE">
        <w:rPr>
          <w:rFonts w:eastAsia="Calibri"/>
          <w:lang w:val="en-GB"/>
        </w:rPr>
        <w:t>,</w:t>
      </w:r>
      <w:r w:rsidRPr="001A50DE">
        <w:rPr>
          <w:rFonts w:eastAsia="Calibri"/>
          <w:lang w:val="en-GB"/>
        </w:rPr>
        <w:t xml:space="preserve"> </w:t>
      </w:r>
      <w:r w:rsidR="0020642D" w:rsidRPr="001A50DE">
        <w:rPr>
          <w:rFonts w:eastAsia="Calibri"/>
          <w:lang w:val="en-GB"/>
        </w:rPr>
        <w:t>th</w:t>
      </w:r>
      <w:r w:rsidR="0020642D">
        <w:rPr>
          <w:rFonts w:eastAsia="Calibri"/>
          <w:lang w:val="en-GB"/>
        </w:rPr>
        <w:t>ese</w:t>
      </w:r>
      <w:r w:rsidR="0020642D" w:rsidRPr="001A50DE">
        <w:rPr>
          <w:rFonts w:eastAsia="Calibri"/>
          <w:lang w:val="en-GB"/>
        </w:rPr>
        <w:t xml:space="preserve"> </w:t>
      </w:r>
      <w:r w:rsidRPr="001A50DE">
        <w:rPr>
          <w:rFonts w:eastAsia="Calibri"/>
          <w:lang w:val="en-GB"/>
        </w:rPr>
        <w:t>product</w:t>
      </w:r>
      <w:r w:rsidR="0020642D">
        <w:rPr>
          <w:rFonts w:eastAsia="Calibri"/>
          <w:lang w:val="en-GB"/>
        </w:rPr>
        <w:t>s</w:t>
      </w:r>
      <w:r w:rsidRPr="001A50DE">
        <w:rPr>
          <w:rFonts w:eastAsia="Calibri"/>
          <w:lang w:val="en-GB"/>
        </w:rPr>
        <w:t xml:space="preserve"> cost $7.00</w:t>
      </w:r>
      <w:r w:rsidR="001F7942" w:rsidRPr="001A50DE">
        <w:rPr>
          <w:rFonts w:eastAsia="Calibri"/>
          <w:lang w:val="en-GB"/>
        </w:rPr>
        <w:t xml:space="preserve"> each</w:t>
      </w:r>
      <w:r w:rsidRPr="001A50DE">
        <w:rPr>
          <w:rFonts w:eastAsia="Calibri"/>
          <w:lang w:val="en-GB"/>
        </w:rPr>
        <w:t xml:space="preserve"> and earned FTLOL $11.00 profit for </w:t>
      </w:r>
      <w:r w:rsidR="001F7942" w:rsidRPr="001A50DE">
        <w:rPr>
          <w:rFonts w:eastAsia="Calibri"/>
          <w:lang w:val="en-GB"/>
        </w:rPr>
        <w:t xml:space="preserve">each </w:t>
      </w:r>
      <w:r w:rsidRPr="001A50DE">
        <w:rPr>
          <w:rFonts w:eastAsia="Calibri"/>
          <w:lang w:val="en-GB"/>
        </w:rPr>
        <w:t xml:space="preserve">retail sale and $18.00 profit for </w:t>
      </w:r>
      <w:r w:rsidR="001F7942" w:rsidRPr="001A50DE">
        <w:rPr>
          <w:rFonts w:eastAsia="Calibri"/>
          <w:lang w:val="en-GB"/>
        </w:rPr>
        <w:t xml:space="preserve">each </w:t>
      </w:r>
      <w:r w:rsidRPr="001A50DE">
        <w:rPr>
          <w:rFonts w:eastAsia="Calibri"/>
          <w:lang w:val="en-GB"/>
        </w:rPr>
        <w:t xml:space="preserve">website sale. </w:t>
      </w:r>
    </w:p>
    <w:p w14:paraId="591F5D2D" w14:textId="52CF5496" w:rsidR="00820F7C" w:rsidRPr="001A50DE" w:rsidRDefault="001F7942" w:rsidP="00CB784C">
      <w:pPr>
        <w:pStyle w:val="BodyTextMain"/>
        <w:rPr>
          <w:rFonts w:eastAsia="Calibri"/>
          <w:lang w:val="en-GB"/>
        </w:rPr>
      </w:pPr>
      <w:r w:rsidRPr="001A50DE">
        <w:rPr>
          <w:rFonts w:eastAsia="Calibri"/>
          <w:lang w:val="en-GB"/>
        </w:rPr>
        <w:lastRenderedPageBreak/>
        <w:t>Because</w:t>
      </w:r>
      <w:r w:rsidR="00820F7C" w:rsidRPr="001A50DE">
        <w:rPr>
          <w:rFonts w:eastAsia="Calibri"/>
          <w:lang w:val="en-GB"/>
        </w:rPr>
        <w:t xml:space="preserve"> </w:t>
      </w:r>
      <w:r w:rsidRPr="001A50DE">
        <w:rPr>
          <w:rFonts w:eastAsia="Calibri"/>
          <w:lang w:val="en-GB"/>
        </w:rPr>
        <w:t>large retail stores were</w:t>
      </w:r>
      <w:r w:rsidR="00820F7C" w:rsidRPr="001A50DE">
        <w:rPr>
          <w:rFonts w:eastAsia="Calibri"/>
          <w:lang w:val="en-GB"/>
        </w:rPr>
        <w:t xml:space="preserve"> </w:t>
      </w:r>
      <w:r w:rsidR="002A4EDA">
        <w:rPr>
          <w:rFonts w:eastAsia="Calibri"/>
          <w:lang w:val="en-GB"/>
        </w:rPr>
        <w:t>un</w:t>
      </w:r>
      <w:r w:rsidR="00820F7C" w:rsidRPr="001A50DE">
        <w:rPr>
          <w:rFonts w:eastAsia="Calibri"/>
          <w:lang w:val="en-GB"/>
        </w:rPr>
        <w:t xml:space="preserve">willing to carry </w:t>
      </w:r>
      <w:r w:rsidRPr="001A50DE">
        <w:rPr>
          <w:rFonts w:eastAsia="Calibri"/>
          <w:lang w:val="en-GB"/>
        </w:rPr>
        <w:t xml:space="preserve">FTLOL’s </w:t>
      </w:r>
      <w:r w:rsidR="00820F7C" w:rsidRPr="001A50DE">
        <w:rPr>
          <w:rFonts w:eastAsia="Calibri"/>
          <w:lang w:val="en-GB"/>
        </w:rPr>
        <w:t xml:space="preserve">products, </w:t>
      </w:r>
      <w:r w:rsidRPr="001A50DE">
        <w:rPr>
          <w:rFonts w:eastAsia="Calibri"/>
          <w:lang w:val="en-GB"/>
        </w:rPr>
        <w:t xml:space="preserve">the company </w:t>
      </w:r>
      <w:r w:rsidR="00820F7C" w:rsidRPr="001A50DE">
        <w:rPr>
          <w:rFonts w:eastAsia="Calibri"/>
          <w:lang w:val="en-GB"/>
        </w:rPr>
        <w:t xml:space="preserve">faced uncertain levels of demand and inconsistent sales. Small retailers placed orders </w:t>
      </w:r>
      <w:r w:rsidRPr="001A50DE">
        <w:rPr>
          <w:rFonts w:eastAsia="Calibri"/>
          <w:lang w:val="en-GB"/>
        </w:rPr>
        <w:t xml:space="preserve">only </w:t>
      </w:r>
      <w:r w:rsidR="00820F7C" w:rsidRPr="001A50DE">
        <w:rPr>
          <w:rFonts w:eastAsia="Calibri"/>
          <w:lang w:val="en-GB"/>
        </w:rPr>
        <w:t xml:space="preserve">on an “as-needed” basis, and </w:t>
      </w:r>
      <w:r w:rsidRPr="001A50DE">
        <w:rPr>
          <w:rFonts w:eastAsia="Calibri"/>
          <w:lang w:val="en-GB"/>
        </w:rPr>
        <w:t>while</w:t>
      </w:r>
      <w:r w:rsidR="00820F7C" w:rsidRPr="001A50DE">
        <w:rPr>
          <w:rFonts w:eastAsia="Calibri"/>
          <w:lang w:val="en-GB"/>
        </w:rPr>
        <w:t xml:space="preserve"> Power </w:t>
      </w:r>
      <w:r w:rsidRPr="001A50DE">
        <w:rPr>
          <w:rFonts w:eastAsia="Calibri"/>
          <w:lang w:val="en-GB"/>
        </w:rPr>
        <w:t xml:space="preserve">could </w:t>
      </w:r>
      <w:r w:rsidR="00820F7C" w:rsidRPr="001A50DE">
        <w:rPr>
          <w:rFonts w:eastAsia="Calibri"/>
          <w:lang w:val="en-GB"/>
        </w:rPr>
        <w:t xml:space="preserve">personally produce 40 packages of </w:t>
      </w:r>
      <w:r w:rsidR="00956D9C">
        <w:rPr>
          <w:rFonts w:eastAsia="Calibri"/>
          <w:lang w:val="en-GB"/>
        </w:rPr>
        <w:t>the laundry</w:t>
      </w:r>
      <w:r w:rsidR="00956D9C" w:rsidRPr="001A50DE">
        <w:rPr>
          <w:rFonts w:eastAsia="Calibri"/>
          <w:lang w:val="en-GB"/>
        </w:rPr>
        <w:t xml:space="preserve"> </w:t>
      </w:r>
      <w:r w:rsidR="00820F7C" w:rsidRPr="001A50DE">
        <w:rPr>
          <w:rFonts w:eastAsia="Calibri"/>
          <w:lang w:val="en-GB"/>
        </w:rPr>
        <w:t xml:space="preserve">soap in 45 minutes, she often faced long stretches where </w:t>
      </w:r>
      <w:r w:rsidRPr="001A50DE">
        <w:rPr>
          <w:rFonts w:eastAsia="Calibri"/>
          <w:lang w:val="en-GB"/>
        </w:rPr>
        <w:t>she was not producing any</w:t>
      </w:r>
      <w:r w:rsidR="00486DB8">
        <w:rPr>
          <w:rFonts w:eastAsia="Calibri"/>
          <w:lang w:val="en-GB"/>
        </w:rPr>
        <w:t>,</w:t>
      </w:r>
      <w:r w:rsidR="00820F7C" w:rsidRPr="001A50DE">
        <w:rPr>
          <w:rFonts w:eastAsia="Calibri"/>
          <w:lang w:val="en-GB"/>
        </w:rPr>
        <w:t xml:space="preserve"> due to slower sales. The business experienced </w:t>
      </w:r>
      <w:r w:rsidRPr="001A50DE">
        <w:rPr>
          <w:rFonts w:eastAsia="Calibri"/>
          <w:lang w:val="en-GB"/>
        </w:rPr>
        <w:t xml:space="preserve">its </w:t>
      </w:r>
      <w:r w:rsidR="00820F7C" w:rsidRPr="001A50DE">
        <w:rPr>
          <w:rFonts w:eastAsia="Calibri"/>
          <w:lang w:val="en-GB"/>
        </w:rPr>
        <w:t>most significant and steady sales from September 2016 to January 2017</w:t>
      </w:r>
      <w:r w:rsidR="00486DB8">
        <w:rPr>
          <w:rFonts w:eastAsia="Calibri"/>
          <w:lang w:val="en-GB"/>
        </w:rPr>
        <w:t>,</w:t>
      </w:r>
      <w:r w:rsidRPr="001A50DE">
        <w:rPr>
          <w:rFonts w:eastAsia="Calibri"/>
          <w:lang w:val="en-GB"/>
        </w:rPr>
        <w:t xml:space="preserve"> </w:t>
      </w:r>
      <w:r w:rsidR="00486DB8">
        <w:rPr>
          <w:rFonts w:eastAsia="Calibri"/>
          <w:lang w:val="en-GB"/>
        </w:rPr>
        <w:t>which was</w:t>
      </w:r>
      <w:r w:rsidR="00486DB8" w:rsidRPr="001A50DE">
        <w:rPr>
          <w:rFonts w:eastAsia="Calibri"/>
          <w:lang w:val="en-GB"/>
        </w:rPr>
        <w:t xml:space="preserve"> </w:t>
      </w:r>
      <w:r w:rsidR="00820F7C" w:rsidRPr="001A50DE">
        <w:rPr>
          <w:rFonts w:eastAsia="Calibri"/>
          <w:lang w:val="en-GB"/>
        </w:rPr>
        <w:t xml:space="preserve">attributed mainly to gift-giving and people’s desire to give back to their community during the </w:t>
      </w:r>
      <w:r w:rsidR="003E3DCE">
        <w:rPr>
          <w:rFonts w:eastAsia="Calibri"/>
          <w:lang w:val="en-GB"/>
        </w:rPr>
        <w:t>holiday</w:t>
      </w:r>
      <w:r w:rsidR="00820F7C" w:rsidRPr="001A50DE">
        <w:rPr>
          <w:rFonts w:eastAsia="Calibri"/>
          <w:lang w:val="en-GB"/>
        </w:rPr>
        <w:t xml:space="preserve"> season.</w:t>
      </w:r>
      <w:r w:rsidRPr="001A50DE">
        <w:rPr>
          <w:rFonts w:eastAsia="Calibri"/>
          <w:lang w:val="en-GB"/>
        </w:rPr>
        <w:t xml:space="preserve"> </w:t>
      </w:r>
    </w:p>
    <w:p w14:paraId="23467079" w14:textId="77777777" w:rsidR="00CB784C" w:rsidRPr="001A50DE" w:rsidRDefault="00CB784C" w:rsidP="00CB784C">
      <w:pPr>
        <w:pStyle w:val="BodyTextMain"/>
        <w:rPr>
          <w:rFonts w:eastAsia="Calibri"/>
          <w:lang w:val="en-GB"/>
        </w:rPr>
      </w:pPr>
    </w:p>
    <w:p w14:paraId="6055A5BA" w14:textId="0802E274" w:rsidR="00820F7C" w:rsidRPr="003567FE" w:rsidRDefault="00820F7C" w:rsidP="00CB784C">
      <w:pPr>
        <w:pStyle w:val="BodyTextMain"/>
        <w:rPr>
          <w:rFonts w:eastAsia="Calibri"/>
          <w:spacing w:val="-4"/>
          <w:kern w:val="22"/>
          <w:lang w:val="en-GB"/>
        </w:rPr>
      </w:pPr>
      <w:r w:rsidRPr="003567FE">
        <w:rPr>
          <w:rFonts w:eastAsia="Calibri"/>
          <w:spacing w:val="-4"/>
          <w:kern w:val="22"/>
          <w:lang w:val="en-GB"/>
        </w:rPr>
        <w:t>Power was eager to see FTLOL expand into larger retail stores across Ontario.</w:t>
      </w:r>
      <w:r w:rsidR="006071FF" w:rsidRPr="003567FE">
        <w:rPr>
          <w:rFonts w:eastAsia="Calibri"/>
          <w:spacing w:val="-4"/>
          <w:kern w:val="22"/>
          <w:lang w:val="en-GB"/>
        </w:rPr>
        <w:t xml:space="preserve"> </w:t>
      </w:r>
      <w:r w:rsidR="00E14889" w:rsidRPr="003567FE">
        <w:rPr>
          <w:rFonts w:eastAsia="Calibri"/>
          <w:spacing w:val="-4"/>
          <w:kern w:val="22"/>
          <w:lang w:val="en-GB"/>
        </w:rPr>
        <w:t>S</w:t>
      </w:r>
      <w:r w:rsidR="006071FF" w:rsidRPr="003567FE">
        <w:rPr>
          <w:rFonts w:eastAsia="Calibri"/>
          <w:spacing w:val="-4"/>
          <w:kern w:val="22"/>
          <w:lang w:val="en-GB"/>
        </w:rPr>
        <w:t xml:space="preserve">he was not interested in expanding </w:t>
      </w:r>
      <w:r w:rsidR="00486DB8" w:rsidRPr="003567FE">
        <w:rPr>
          <w:rFonts w:eastAsia="Calibri"/>
          <w:spacing w:val="-4"/>
          <w:kern w:val="22"/>
          <w:lang w:val="en-GB"/>
        </w:rPr>
        <w:t xml:space="preserve">the </w:t>
      </w:r>
      <w:r w:rsidR="006071FF" w:rsidRPr="003567FE">
        <w:rPr>
          <w:rFonts w:eastAsia="Calibri"/>
          <w:spacing w:val="-4"/>
          <w:kern w:val="22"/>
          <w:lang w:val="en-GB"/>
        </w:rPr>
        <w:t xml:space="preserve">product line, as she felt </w:t>
      </w:r>
      <w:r w:rsidR="007F5561" w:rsidRPr="003567FE">
        <w:rPr>
          <w:rFonts w:eastAsia="Calibri"/>
          <w:spacing w:val="-4"/>
          <w:kern w:val="22"/>
          <w:lang w:val="en-GB"/>
        </w:rPr>
        <w:t xml:space="preserve">the </w:t>
      </w:r>
      <w:r w:rsidR="006071FF" w:rsidRPr="003567FE">
        <w:rPr>
          <w:rFonts w:eastAsia="Calibri"/>
          <w:spacing w:val="-4"/>
          <w:kern w:val="22"/>
          <w:lang w:val="en-GB"/>
        </w:rPr>
        <w:t>products covered all of the essential laundry needs</w:t>
      </w:r>
      <w:r w:rsidR="005702D2" w:rsidRPr="003567FE">
        <w:rPr>
          <w:rFonts w:eastAsia="Calibri"/>
          <w:spacing w:val="-4"/>
          <w:kern w:val="22"/>
          <w:lang w:val="en-GB"/>
        </w:rPr>
        <w:t>;</w:t>
      </w:r>
      <w:r w:rsidR="006071FF" w:rsidRPr="003567FE">
        <w:rPr>
          <w:rFonts w:eastAsia="Calibri"/>
          <w:spacing w:val="-4"/>
          <w:kern w:val="22"/>
          <w:lang w:val="en-GB"/>
        </w:rPr>
        <w:t xml:space="preserve"> </w:t>
      </w:r>
      <w:r w:rsidR="00B96F45" w:rsidRPr="003567FE">
        <w:rPr>
          <w:rFonts w:eastAsia="Calibri"/>
          <w:spacing w:val="-4"/>
          <w:kern w:val="22"/>
          <w:lang w:val="en-GB"/>
        </w:rPr>
        <w:t xml:space="preserve">incorporating new products </w:t>
      </w:r>
      <w:r w:rsidR="005702D2" w:rsidRPr="003567FE">
        <w:rPr>
          <w:rFonts w:eastAsia="Calibri"/>
          <w:spacing w:val="-4"/>
          <w:kern w:val="22"/>
          <w:lang w:val="en-GB"/>
        </w:rPr>
        <w:t>seemed</w:t>
      </w:r>
      <w:r w:rsidR="00B96F45" w:rsidRPr="003567FE">
        <w:rPr>
          <w:rFonts w:eastAsia="Calibri"/>
          <w:spacing w:val="-4"/>
          <w:kern w:val="22"/>
          <w:lang w:val="en-GB"/>
        </w:rPr>
        <w:t xml:space="preserve"> unnecessary and </w:t>
      </w:r>
      <w:r w:rsidR="005702D2" w:rsidRPr="003567FE">
        <w:rPr>
          <w:rFonts w:eastAsia="Calibri"/>
          <w:spacing w:val="-4"/>
          <w:kern w:val="22"/>
          <w:lang w:val="en-GB"/>
        </w:rPr>
        <w:t xml:space="preserve">could be </w:t>
      </w:r>
      <w:r w:rsidR="00B96F45" w:rsidRPr="003567FE">
        <w:rPr>
          <w:rFonts w:eastAsia="Calibri"/>
          <w:spacing w:val="-4"/>
          <w:kern w:val="22"/>
          <w:lang w:val="en-GB"/>
        </w:rPr>
        <w:t>potentially harmful to FTLOL’s pro-environmental image</w:t>
      </w:r>
      <w:r w:rsidR="006071FF" w:rsidRPr="003567FE">
        <w:rPr>
          <w:rFonts w:eastAsia="Calibri"/>
          <w:spacing w:val="-4"/>
          <w:kern w:val="22"/>
          <w:lang w:val="en-GB"/>
        </w:rPr>
        <w:t xml:space="preserve">, </w:t>
      </w:r>
      <w:r w:rsidR="00E14889" w:rsidRPr="003567FE">
        <w:rPr>
          <w:rFonts w:eastAsia="Calibri"/>
          <w:spacing w:val="-4"/>
          <w:kern w:val="22"/>
          <w:lang w:val="en-GB"/>
        </w:rPr>
        <w:t xml:space="preserve">so </w:t>
      </w:r>
      <w:r w:rsidR="006071FF" w:rsidRPr="003567FE">
        <w:rPr>
          <w:rFonts w:eastAsia="Calibri"/>
          <w:spacing w:val="-4"/>
          <w:kern w:val="22"/>
          <w:lang w:val="en-GB"/>
        </w:rPr>
        <w:t>she saw retail partnerships as an opportunity for financial growth.</w:t>
      </w:r>
      <w:r w:rsidRPr="003567FE">
        <w:rPr>
          <w:rFonts w:eastAsia="Calibri"/>
          <w:spacing w:val="-4"/>
          <w:kern w:val="22"/>
          <w:lang w:val="en-GB"/>
        </w:rPr>
        <w:t xml:space="preserve"> With </w:t>
      </w:r>
      <w:r w:rsidR="005702D2" w:rsidRPr="003567FE">
        <w:rPr>
          <w:rFonts w:eastAsia="Calibri"/>
          <w:spacing w:val="-4"/>
          <w:kern w:val="22"/>
          <w:lang w:val="en-GB"/>
        </w:rPr>
        <w:t xml:space="preserve">the possibility of </w:t>
      </w:r>
      <w:r w:rsidRPr="003567FE">
        <w:rPr>
          <w:rFonts w:eastAsia="Calibri"/>
          <w:spacing w:val="-4"/>
          <w:kern w:val="22"/>
          <w:lang w:val="en-GB"/>
        </w:rPr>
        <w:t>increased sales, she hoped to hire more employees and rent out a small warehouse space to handle production and shipping. Additionally, she hoped to couple this business growth with the expansion of her social mission, including an FTLOL-branded laundromat in the London area.</w:t>
      </w:r>
      <w:r w:rsidRPr="003567FE">
        <w:rPr>
          <w:rFonts w:eastAsia="Calibri"/>
          <w:spacing w:val="-4"/>
          <w:kern w:val="22"/>
          <w:vertAlign w:val="superscript"/>
          <w:lang w:val="en-GB"/>
        </w:rPr>
        <w:t xml:space="preserve"> </w:t>
      </w:r>
      <w:r w:rsidRPr="003567FE">
        <w:rPr>
          <w:rFonts w:eastAsia="Calibri"/>
          <w:spacing w:val="-4"/>
          <w:kern w:val="22"/>
          <w:lang w:val="en-GB"/>
        </w:rPr>
        <w:t xml:space="preserve">This first laundromat would serve as another sales location for FTLOL products </w:t>
      </w:r>
      <w:r w:rsidR="002D25FC" w:rsidRPr="003567FE">
        <w:rPr>
          <w:rFonts w:eastAsia="Calibri"/>
          <w:spacing w:val="-4"/>
          <w:kern w:val="22"/>
          <w:lang w:val="en-GB"/>
        </w:rPr>
        <w:t>and would</w:t>
      </w:r>
      <w:r w:rsidRPr="003567FE">
        <w:rPr>
          <w:rFonts w:eastAsia="Calibri"/>
          <w:spacing w:val="-4"/>
          <w:kern w:val="22"/>
          <w:lang w:val="en-GB"/>
        </w:rPr>
        <w:t xml:space="preserve"> be the regular location </w:t>
      </w:r>
      <w:r w:rsidR="002D25FC" w:rsidRPr="003567FE">
        <w:rPr>
          <w:rFonts w:eastAsia="Calibri"/>
          <w:spacing w:val="-4"/>
          <w:kern w:val="22"/>
          <w:lang w:val="en-GB"/>
        </w:rPr>
        <w:t xml:space="preserve">for </w:t>
      </w:r>
      <w:r w:rsidRPr="003567FE">
        <w:rPr>
          <w:rFonts w:eastAsia="Calibri"/>
          <w:spacing w:val="-4"/>
          <w:kern w:val="22"/>
          <w:lang w:val="en-GB"/>
        </w:rPr>
        <w:t xml:space="preserve">free laundry events, making them more accessible and </w:t>
      </w:r>
      <w:r w:rsidR="005702D2" w:rsidRPr="003567FE">
        <w:rPr>
          <w:rFonts w:eastAsia="Calibri"/>
          <w:spacing w:val="-4"/>
          <w:kern w:val="22"/>
          <w:lang w:val="en-GB"/>
        </w:rPr>
        <w:t xml:space="preserve">more </w:t>
      </w:r>
      <w:r w:rsidRPr="003567FE">
        <w:rPr>
          <w:rFonts w:eastAsia="Calibri"/>
          <w:spacing w:val="-4"/>
          <w:kern w:val="22"/>
          <w:lang w:val="en-GB"/>
        </w:rPr>
        <w:t xml:space="preserve">frequent for those </w:t>
      </w:r>
      <w:r w:rsidR="002D25FC" w:rsidRPr="003567FE">
        <w:rPr>
          <w:rFonts w:eastAsia="Calibri"/>
          <w:spacing w:val="-4"/>
          <w:kern w:val="22"/>
          <w:lang w:val="en-GB"/>
        </w:rPr>
        <w:t xml:space="preserve">who required </w:t>
      </w:r>
      <w:r w:rsidRPr="003567FE">
        <w:rPr>
          <w:rFonts w:eastAsia="Calibri"/>
          <w:spacing w:val="-4"/>
          <w:kern w:val="22"/>
          <w:lang w:val="en-GB"/>
        </w:rPr>
        <w:t>the service. Finally, Power hoped to use the financial growth to open more FTLOL laundromats across Ontario</w:t>
      </w:r>
      <w:r w:rsidR="002D25FC" w:rsidRPr="003567FE">
        <w:rPr>
          <w:rFonts w:eastAsia="Calibri"/>
          <w:spacing w:val="-4"/>
          <w:kern w:val="22"/>
          <w:lang w:val="en-GB"/>
        </w:rPr>
        <w:t xml:space="preserve">, </w:t>
      </w:r>
      <w:r w:rsidRPr="003567FE">
        <w:rPr>
          <w:rFonts w:eastAsia="Calibri"/>
          <w:spacing w:val="-4"/>
          <w:kern w:val="22"/>
          <w:lang w:val="en-GB"/>
        </w:rPr>
        <w:t>drastically increasing FTLOL’s social impact.</w:t>
      </w:r>
      <w:r w:rsidRPr="003567FE">
        <w:rPr>
          <w:rFonts w:eastAsia="Calibri"/>
          <w:spacing w:val="-4"/>
          <w:kern w:val="22"/>
          <w:vertAlign w:val="superscript"/>
          <w:lang w:val="en-GB"/>
        </w:rPr>
        <w:t xml:space="preserve"> </w:t>
      </w:r>
      <w:r w:rsidR="00D2290C" w:rsidRPr="003567FE">
        <w:rPr>
          <w:rFonts w:eastAsia="Calibri"/>
          <w:spacing w:val="-4"/>
          <w:kern w:val="22"/>
          <w:lang w:val="en-GB"/>
        </w:rPr>
        <w:t>Of course,</w:t>
      </w:r>
      <w:r w:rsidRPr="003567FE">
        <w:rPr>
          <w:rFonts w:eastAsia="Calibri"/>
          <w:spacing w:val="-4"/>
          <w:kern w:val="22"/>
          <w:lang w:val="en-GB"/>
        </w:rPr>
        <w:t xml:space="preserve"> before any of </w:t>
      </w:r>
      <w:r w:rsidR="005702D2" w:rsidRPr="003567FE">
        <w:rPr>
          <w:rFonts w:eastAsia="Calibri"/>
          <w:spacing w:val="-4"/>
          <w:kern w:val="22"/>
          <w:lang w:val="en-GB"/>
        </w:rPr>
        <w:t xml:space="preserve">these activities </w:t>
      </w:r>
      <w:r w:rsidRPr="003567FE">
        <w:rPr>
          <w:rFonts w:eastAsia="Calibri"/>
          <w:spacing w:val="-4"/>
          <w:kern w:val="22"/>
          <w:lang w:val="en-GB"/>
        </w:rPr>
        <w:t>could happen, Power required capital</w:t>
      </w:r>
      <w:r w:rsidR="002D25FC" w:rsidRPr="003567FE">
        <w:rPr>
          <w:rFonts w:eastAsia="Calibri"/>
          <w:spacing w:val="-4"/>
          <w:kern w:val="22"/>
          <w:lang w:val="en-GB"/>
        </w:rPr>
        <w:t>,</w:t>
      </w:r>
      <w:r w:rsidRPr="003567FE">
        <w:rPr>
          <w:rFonts w:eastAsia="Calibri"/>
          <w:spacing w:val="-4"/>
          <w:kern w:val="22"/>
          <w:lang w:val="en-GB"/>
        </w:rPr>
        <w:t xml:space="preserve"> </w:t>
      </w:r>
      <w:r w:rsidR="002D25FC" w:rsidRPr="003567FE">
        <w:rPr>
          <w:rFonts w:eastAsia="Calibri"/>
          <w:spacing w:val="-4"/>
          <w:kern w:val="22"/>
          <w:lang w:val="en-GB"/>
        </w:rPr>
        <w:t>which</w:t>
      </w:r>
      <w:r w:rsidR="005702D2" w:rsidRPr="003567FE">
        <w:rPr>
          <w:rFonts w:eastAsia="Calibri"/>
          <w:spacing w:val="-4"/>
          <w:kern w:val="22"/>
          <w:lang w:val="en-GB"/>
        </w:rPr>
        <w:t>, depending on FTLOL’s organizational structure,</w:t>
      </w:r>
      <w:r w:rsidR="002D25FC" w:rsidRPr="003567FE">
        <w:rPr>
          <w:rFonts w:eastAsia="Calibri"/>
          <w:spacing w:val="-4"/>
          <w:kern w:val="22"/>
          <w:lang w:val="en-GB"/>
        </w:rPr>
        <w:t xml:space="preserve"> </w:t>
      </w:r>
      <w:r w:rsidRPr="003567FE">
        <w:rPr>
          <w:rFonts w:eastAsia="Calibri"/>
          <w:spacing w:val="-4"/>
          <w:kern w:val="22"/>
          <w:lang w:val="en-GB"/>
        </w:rPr>
        <w:t xml:space="preserve">could come from more established and larger revenue streams, investors, grants, or donations. </w:t>
      </w:r>
    </w:p>
    <w:p w14:paraId="50C3AD42" w14:textId="77777777" w:rsidR="00CB784C" w:rsidRPr="001A50DE" w:rsidRDefault="00CB784C" w:rsidP="00CB784C">
      <w:pPr>
        <w:pStyle w:val="BodyTextMain"/>
        <w:rPr>
          <w:rFonts w:eastAsia="Calibri"/>
          <w:lang w:val="en-GB"/>
        </w:rPr>
      </w:pPr>
    </w:p>
    <w:p w14:paraId="7DDA8AE6" w14:textId="71B61E28" w:rsidR="00820F7C" w:rsidRPr="00E578E0" w:rsidRDefault="00820F7C" w:rsidP="00CB784C">
      <w:pPr>
        <w:pStyle w:val="BodyTextMain"/>
        <w:rPr>
          <w:rFonts w:eastAsia="Calibri"/>
          <w:lang w:val="en-GB"/>
        </w:rPr>
      </w:pPr>
      <w:r w:rsidRPr="001A50DE">
        <w:rPr>
          <w:rFonts w:eastAsia="Calibri"/>
          <w:lang w:val="en-GB"/>
        </w:rPr>
        <w:t>Although simultaneous</w:t>
      </w:r>
      <w:r w:rsidR="002D25FC" w:rsidRPr="001A50DE">
        <w:rPr>
          <w:rFonts w:eastAsia="Calibri"/>
          <w:lang w:val="en-GB"/>
        </w:rPr>
        <w:t>ly</w:t>
      </w:r>
      <w:r w:rsidRPr="001A50DE">
        <w:rPr>
          <w:rFonts w:eastAsia="Calibri"/>
          <w:lang w:val="en-GB"/>
        </w:rPr>
        <w:t xml:space="preserve"> </w:t>
      </w:r>
      <w:r w:rsidR="002D25FC" w:rsidRPr="001A50DE">
        <w:rPr>
          <w:rFonts w:eastAsia="Calibri"/>
          <w:lang w:val="en-GB"/>
        </w:rPr>
        <w:t>expanding</w:t>
      </w:r>
      <w:r w:rsidRPr="001A50DE">
        <w:rPr>
          <w:rFonts w:eastAsia="Calibri"/>
          <w:lang w:val="en-GB"/>
        </w:rPr>
        <w:t xml:space="preserve"> revenue and the social mission </w:t>
      </w:r>
      <w:r w:rsidR="002D25FC" w:rsidRPr="001A50DE">
        <w:rPr>
          <w:rFonts w:eastAsia="Calibri"/>
          <w:lang w:val="en-GB"/>
        </w:rPr>
        <w:t xml:space="preserve">might have </w:t>
      </w:r>
      <w:r w:rsidRPr="001A50DE">
        <w:rPr>
          <w:rFonts w:eastAsia="Calibri"/>
          <w:lang w:val="en-GB"/>
        </w:rPr>
        <w:t>seem</w:t>
      </w:r>
      <w:r w:rsidR="002D25FC" w:rsidRPr="001A50DE">
        <w:rPr>
          <w:rFonts w:eastAsia="Calibri"/>
          <w:lang w:val="en-GB"/>
        </w:rPr>
        <w:t>ed</w:t>
      </w:r>
      <w:r w:rsidRPr="001A50DE">
        <w:rPr>
          <w:rFonts w:eastAsia="Calibri"/>
          <w:lang w:val="en-GB"/>
        </w:rPr>
        <w:t xml:space="preserve"> ambitious, it was seen as imperative to the core identity of FTLOL. Organizational identity </w:t>
      </w:r>
      <w:r w:rsidR="002D25FC" w:rsidRPr="001A50DE">
        <w:rPr>
          <w:rFonts w:eastAsia="Calibri"/>
          <w:lang w:val="en-GB"/>
        </w:rPr>
        <w:t xml:space="preserve">was </w:t>
      </w:r>
      <w:r w:rsidRPr="001A50DE">
        <w:rPr>
          <w:rFonts w:eastAsia="Calibri"/>
          <w:lang w:val="en-GB"/>
        </w:rPr>
        <w:t xml:space="preserve">often an expression of the central and enduring characteristic of a company. It </w:t>
      </w:r>
      <w:r w:rsidR="002D25FC" w:rsidRPr="001A50DE">
        <w:rPr>
          <w:rFonts w:eastAsia="Calibri"/>
          <w:lang w:val="en-GB"/>
        </w:rPr>
        <w:t xml:space="preserve">defined </w:t>
      </w:r>
      <w:r w:rsidRPr="001A50DE">
        <w:rPr>
          <w:rFonts w:eastAsia="Calibri"/>
          <w:lang w:val="en-GB"/>
        </w:rPr>
        <w:t xml:space="preserve">a company and what </w:t>
      </w:r>
      <w:r w:rsidR="002D25FC" w:rsidRPr="001A50DE">
        <w:rPr>
          <w:rFonts w:eastAsia="Calibri"/>
          <w:lang w:val="en-GB"/>
        </w:rPr>
        <w:t xml:space="preserve">it sought </w:t>
      </w:r>
      <w:r w:rsidRPr="001A50DE">
        <w:rPr>
          <w:rFonts w:eastAsia="Calibri"/>
          <w:lang w:val="en-GB"/>
        </w:rPr>
        <w:t>to accomplish.</w:t>
      </w:r>
      <w:r w:rsidR="00E44B2A" w:rsidRPr="001A50DE">
        <w:rPr>
          <w:rStyle w:val="EndnoteReference"/>
          <w:rFonts w:eastAsia="Calibri"/>
          <w:lang w:val="en-GB"/>
        </w:rPr>
        <w:endnoteReference w:id="6"/>
      </w:r>
      <w:r w:rsidRPr="001A50DE">
        <w:rPr>
          <w:rFonts w:eastAsia="Calibri"/>
          <w:lang w:val="en-GB"/>
        </w:rPr>
        <w:t xml:space="preserve"> For Power, the identity of FTLOL was that of a social enterprise, and she was unwilling to focus solely on financial profit, even temporarily. That is, unlike a traditional for-profit company, FTLOL was primarily concerned with furthering its social value</w:t>
      </w:r>
      <w:r w:rsidR="002D25FC" w:rsidRPr="001A50DE">
        <w:rPr>
          <w:rFonts w:eastAsia="Calibri"/>
          <w:lang w:val="en-GB"/>
        </w:rPr>
        <w:t>; th</w:t>
      </w:r>
      <w:r w:rsidRPr="001A50DE">
        <w:rPr>
          <w:rFonts w:eastAsia="Calibri"/>
          <w:lang w:val="en-GB"/>
        </w:rPr>
        <w:t xml:space="preserve">us, financial profit was viewed as a means and not an end. Social enterprises </w:t>
      </w:r>
      <w:r w:rsidR="002D25FC" w:rsidRPr="001A50DE">
        <w:rPr>
          <w:rFonts w:eastAsia="Calibri"/>
          <w:lang w:val="en-GB"/>
        </w:rPr>
        <w:t xml:space="preserve">sought </w:t>
      </w:r>
      <w:r w:rsidRPr="001A50DE">
        <w:rPr>
          <w:rFonts w:eastAsia="Calibri"/>
          <w:lang w:val="en-GB"/>
        </w:rPr>
        <w:t>to use the power of market-based approaches to address real and pressing social issues in the world.</w:t>
      </w:r>
      <w:r w:rsidR="00E44B2A" w:rsidRPr="001A50DE">
        <w:rPr>
          <w:rStyle w:val="EndnoteReference"/>
          <w:rFonts w:eastAsia="Calibri"/>
          <w:lang w:val="en-GB"/>
        </w:rPr>
        <w:endnoteReference w:id="7"/>
      </w:r>
      <w:r w:rsidRPr="001A50DE">
        <w:rPr>
          <w:rFonts w:eastAsia="Calibri"/>
          <w:lang w:val="en-GB"/>
        </w:rPr>
        <w:t xml:space="preserve"> Based on this identity, Power was certain that the future of her company centred on social enterprise, regardless of how she decided to scale her business moving forward.</w:t>
      </w:r>
      <w:r w:rsidR="00B552DB" w:rsidRPr="001A50DE">
        <w:rPr>
          <w:rFonts w:eastAsia="Calibri"/>
          <w:vertAlign w:val="superscript"/>
          <w:lang w:val="en-GB"/>
        </w:rPr>
        <w:t xml:space="preserve"> </w:t>
      </w:r>
      <w:r w:rsidRPr="001A50DE">
        <w:rPr>
          <w:rFonts w:eastAsia="Calibri"/>
          <w:lang w:val="en-GB"/>
        </w:rPr>
        <w:t xml:space="preserve">Power knew she had a formidable product line </w:t>
      </w:r>
      <w:r w:rsidR="00956D9C">
        <w:rPr>
          <w:rFonts w:eastAsia="Calibri"/>
          <w:lang w:val="en-GB"/>
        </w:rPr>
        <w:t>that had</w:t>
      </w:r>
      <w:r w:rsidR="00956D9C" w:rsidRPr="001A50DE">
        <w:rPr>
          <w:rFonts w:eastAsia="Calibri"/>
          <w:lang w:val="en-GB"/>
        </w:rPr>
        <w:t xml:space="preserve"> </w:t>
      </w:r>
      <w:r w:rsidRPr="001A50DE">
        <w:rPr>
          <w:rFonts w:eastAsia="Calibri"/>
          <w:lang w:val="en-GB"/>
        </w:rPr>
        <w:t>both environmental</w:t>
      </w:r>
      <w:r w:rsidR="002D25FC" w:rsidRPr="001A50DE">
        <w:rPr>
          <w:rFonts w:eastAsia="Calibri"/>
          <w:lang w:val="en-GB"/>
        </w:rPr>
        <w:t>ly</w:t>
      </w:r>
      <w:r w:rsidRPr="001A50DE">
        <w:rPr>
          <w:rFonts w:eastAsia="Calibri"/>
          <w:lang w:val="en-GB"/>
        </w:rPr>
        <w:t xml:space="preserve"> and social</w:t>
      </w:r>
      <w:r w:rsidR="002D25FC" w:rsidRPr="001A50DE">
        <w:rPr>
          <w:rFonts w:eastAsia="Calibri"/>
          <w:lang w:val="en-GB"/>
        </w:rPr>
        <w:t>ly</w:t>
      </w:r>
      <w:r w:rsidRPr="001A50DE">
        <w:rPr>
          <w:rFonts w:eastAsia="Calibri"/>
          <w:lang w:val="en-GB"/>
        </w:rPr>
        <w:t xml:space="preserve"> competitive advantages, and </w:t>
      </w:r>
      <w:r w:rsidR="002D25FC" w:rsidRPr="001A50DE">
        <w:rPr>
          <w:rFonts w:eastAsia="Calibri"/>
          <w:lang w:val="en-GB"/>
        </w:rPr>
        <w:t xml:space="preserve">she </w:t>
      </w:r>
      <w:r w:rsidRPr="001A50DE">
        <w:rPr>
          <w:rFonts w:eastAsia="Calibri"/>
          <w:lang w:val="en-GB"/>
        </w:rPr>
        <w:t>needed to balance revenue and capacity growth with the</w:t>
      </w:r>
      <w:r w:rsidR="00CB784C" w:rsidRPr="001A50DE">
        <w:rPr>
          <w:rFonts w:eastAsia="Calibri"/>
          <w:lang w:val="en-GB"/>
        </w:rPr>
        <w:t xml:space="preserve"> growth of her social mission.</w:t>
      </w:r>
    </w:p>
    <w:p w14:paraId="440F9629" w14:textId="77777777" w:rsidR="00CB784C" w:rsidRPr="003567FE" w:rsidRDefault="00CB784C" w:rsidP="00CB784C">
      <w:pPr>
        <w:pStyle w:val="BodyTextMain"/>
        <w:rPr>
          <w:rFonts w:eastAsia="Calibri"/>
          <w:sz w:val="18"/>
          <w:szCs w:val="18"/>
          <w:lang w:val="en-GB"/>
        </w:rPr>
      </w:pPr>
    </w:p>
    <w:p w14:paraId="25007F6F" w14:textId="77777777" w:rsidR="00CB784C" w:rsidRPr="003567FE" w:rsidRDefault="00CB784C" w:rsidP="00CB784C">
      <w:pPr>
        <w:pStyle w:val="BodyTextMain"/>
        <w:rPr>
          <w:rFonts w:eastAsia="Calibri"/>
          <w:sz w:val="18"/>
          <w:szCs w:val="18"/>
          <w:lang w:val="en-GB"/>
        </w:rPr>
      </w:pPr>
    </w:p>
    <w:p w14:paraId="1F258551" w14:textId="77777777" w:rsidR="00820F7C" w:rsidRPr="001A50DE" w:rsidRDefault="00820F7C" w:rsidP="00CB784C">
      <w:pPr>
        <w:pStyle w:val="Casehead1"/>
        <w:rPr>
          <w:rFonts w:eastAsia="Calibri"/>
          <w:lang w:val="en-GB"/>
        </w:rPr>
      </w:pPr>
      <w:r w:rsidRPr="001A50DE">
        <w:rPr>
          <w:rFonts w:eastAsia="Calibri"/>
          <w:lang w:val="en-GB"/>
        </w:rPr>
        <w:t>Competitive Advantage</w:t>
      </w:r>
    </w:p>
    <w:p w14:paraId="7D782C8B" w14:textId="77777777" w:rsidR="00CB784C" w:rsidRPr="003567FE" w:rsidRDefault="00CB784C" w:rsidP="00CB784C">
      <w:pPr>
        <w:pStyle w:val="BodyTextMain"/>
        <w:rPr>
          <w:rFonts w:eastAsia="Calibri"/>
          <w:sz w:val="18"/>
          <w:szCs w:val="18"/>
          <w:lang w:val="en-GB"/>
        </w:rPr>
      </w:pPr>
    </w:p>
    <w:p w14:paraId="0651D293" w14:textId="72AFD033" w:rsidR="00CB784C" w:rsidRPr="001A50DE" w:rsidRDefault="00820F7C" w:rsidP="00CB784C">
      <w:pPr>
        <w:pStyle w:val="BodyTextMain"/>
        <w:rPr>
          <w:rFonts w:eastAsia="Calibri"/>
          <w:lang w:val="en-GB"/>
        </w:rPr>
      </w:pPr>
      <w:r w:rsidRPr="001A50DE">
        <w:rPr>
          <w:rFonts w:eastAsia="Calibri"/>
          <w:lang w:val="en-GB"/>
        </w:rPr>
        <w:t>For the Love of Laundry had two main competitive advantages: environmentally</w:t>
      </w:r>
      <w:r w:rsidR="002D25FC" w:rsidRPr="001A50DE">
        <w:rPr>
          <w:rFonts w:eastAsia="Calibri"/>
          <w:lang w:val="en-GB"/>
        </w:rPr>
        <w:t xml:space="preserve"> </w:t>
      </w:r>
      <w:r w:rsidRPr="001A50DE">
        <w:rPr>
          <w:rFonts w:eastAsia="Calibri"/>
          <w:lang w:val="en-GB"/>
        </w:rPr>
        <w:t xml:space="preserve">friendly products and </w:t>
      </w:r>
      <w:r w:rsidR="002D25FC" w:rsidRPr="001A50DE">
        <w:rPr>
          <w:rFonts w:eastAsia="Calibri"/>
          <w:lang w:val="en-GB"/>
        </w:rPr>
        <w:t xml:space="preserve">a </w:t>
      </w:r>
      <w:r w:rsidRPr="001A50DE">
        <w:rPr>
          <w:rFonts w:eastAsia="Calibri"/>
          <w:lang w:val="en-GB"/>
        </w:rPr>
        <w:t>positive social impact. Power understood the importance of these key advantages, and while some entrepreneurs might have viewed environmental and social bottom</w:t>
      </w:r>
      <w:r w:rsidR="002D25FC" w:rsidRPr="001A50DE">
        <w:rPr>
          <w:rFonts w:eastAsia="Calibri"/>
          <w:lang w:val="en-GB"/>
        </w:rPr>
        <w:t xml:space="preserve"> </w:t>
      </w:r>
      <w:r w:rsidRPr="001A50DE">
        <w:rPr>
          <w:rFonts w:eastAsia="Calibri"/>
          <w:lang w:val="en-GB"/>
        </w:rPr>
        <w:t>lines as distractions from the financial bottom</w:t>
      </w:r>
      <w:r w:rsidR="002D25FC" w:rsidRPr="001A50DE">
        <w:rPr>
          <w:rFonts w:eastAsia="Calibri"/>
          <w:lang w:val="en-GB"/>
        </w:rPr>
        <w:t xml:space="preserve"> </w:t>
      </w:r>
      <w:r w:rsidRPr="001A50DE">
        <w:rPr>
          <w:rFonts w:eastAsia="Calibri"/>
          <w:lang w:val="en-GB"/>
        </w:rPr>
        <w:t xml:space="preserve">line, she strongly believed that they would help her raise capital and gain access to </w:t>
      </w:r>
      <w:r w:rsidR="002D25FC" w:rsidRPr="001A50DE">
        <w:rPr>
          <w:rFonts w:eastAsia="Calibri"/>
          <w:lang w:val="en-GB"/>
        </w:rPr>
        <w:t>big-</w:t>
      </w:r>
      <w:r w:rsidRPr="001A50DE">
        <w:rPr>
          <w:rFonts w:eastAsia="Calibri"/>
          <w:lang w:val="en-GB"/>
        </w:rPr>
        <w:t>brand stores for sales.</w:t>
      </w:r>
    </w:p>
    <w:p w14:paraId="0C081178" w14:textId="77777777" w:rsidR="00CB784C" w:rsidRPr="003567FE" w:rsidRDefault="00CB784C" w:rsidP="00CB784C">
      <w:pPr>
        <w:pStyle w:val="BodyTextMain"/>
        <w:rPr>
          <w:rFonts w:eastAsia="Calibri"/>
          <w:sz w:val="18"/>
          <w:szCs w:val="18"/>
          <w:lang w:val="en-GB"/>
        </w:rPr>
      </w:pPr>
    </w:p>
    <w:p w14:paraId="2C92E7AF" w14:textId="77777777" w:rsidR="00CB784C" w:rsidRPr="003567FE" w:rsidRDefault="00CB784C" w:rsidP="00CB784C">
      <w:pPr>
        <w:pStyle w:val="BodyTextMain"/>
        <w:rPr>
          <w:rFonts w:eastAsia="Calibri"/>
          <w:sz w:val="18"/>
          <w:szCs w:val="18"/>
          <w:lang w:val="en-GB"/>
        </w:rPr>
      </w:pPr>
    </w:p>
    <w:p w14:paraId="1ACEFC2B" w14:textId="77777777" w:rsidR="00820F7C" w:rsidRPr="001A50DE" w:rsidRDefault="00820F7C" w:rsidP="005F0C20">
      <w:pPr>
        <w:pStyle w:val="Casehead2"/>
        <w:rPr>
          <w:rFonts w:eastAsia="Calibri"/>
          <w:lang w:val="en-GB"/>
        </w:rPr>
      </w:pPr>
      <w:r w:rsidRPr="001A50DE">
        <w:rPr>
          <w:rFonts w:eastAsia="Calibri"/>
          <w:lang w:val="en-GB"/>
        </w:rPr>
        <w:t>Environmental Consideration</w:t>
      </w:r>
    </w:p>
    <w:p w14:paraId="11ACBE10" w14:textId="77777777" w:rsidR="00CB784C" w:rsidRPr="003567FE" w:rsidRDefault="00CB784C" w:rsidP="00005106">
      <w:pPr>
        <w:pStyle w:val="BodyTextMain"/>
        <w:rPr>
          <w:rFonts w:eastAsia="Calibri"/>
          <w:sz w:val="18"/>
          <w:szCs w:val="18"/>
          <w:lang w:val="en-GB"/>
        </w:rPr>
      </w:pPr>
    </w:p>
    <w:p w14:paraId="2B042762" w14:textId="5DD3357A" w:rsidR="00820F7C" w:rsidRPr="001A50DE" w:rsidRDefault="00820F7C" w:rsidP="00005106">
      <w:pPr>
        <w:pStyle w:val="BodyTextMain"/>
        <w:rPr>
          <w:rFonts w:eastAsia="Calibri"/>
          <w:lang w:val="en-GB"/>
        </w:rPr>
      </w:pPr>
      <w:r w:rsidRPr="001A50DE">
        <w:rPr>
          <w:rFonts w:eastAsia="Calibri"/>
          <w:lang w:val="en-GB"/>
        </w:rPr>
        <w:t xml:space="preserve">An advantage that FTLOL held over many </w:t>
      </w:r>
      <w:r w:rsidR="002D25FC" w:rsidRPr="001A50DE">
        <w:rPr>
          <w:rFonts w:eastAsia="Calibri"/>
          <w:lang w:val="en-GB"/>
        </w:rPr>
        <w:t>big-</w:t>
      </w:r>
      <w:r w:rsidRPr="001A50DE">
        <w:rPr>
          <w:rFonts w:eastAsia="Calibri"/>
          <w:lang w:val="en-GB"/>
        </w:rPr>
        <w:t xml:space="preserve">brand competitors in the laundry industry was </w:t>
      </w:r>
      <w:r w:rsidR="002D25FC" w:rsidRPr="001A50DE">
        <w:rPr>
          <w:rFonts w:eastAsia="Calibri"/>
          <w:lang w:val="en-GB"/>
        </w:rPr>
        <w:t xml:space="preserve">its </w:t>
      </w:r>
      <w:r w:rsidRPr="001A50DE">
        <w:rPr>
          <w:rFonts w:eastAsia="Calibri"/>
          <w:lang w:val="en-GB"/>
        </w:rPr>
        <w:t>use of environmentally</w:t>
      </w:r>
      <w:r w:rsidR="002D25FC" w:rsidRPr="001A50DE">
        <w:rPr>
          <w:rFonts w:eastAsia="Calibri"/>
          <w:lang w:val="en-GB"/>
        </w:rPr>
        <w:t xml:space="preserve"> </w:t>
      </w:r>
      <w:r w:rsidRPr="001A50DE">
        <w:rPr>
          <w:rFonts w:eastAsia="Calibri"/>
          <w:lang w:val="en-GB"/>
        </w:rPr>
        <w:t xml:space="preserve">friendly ingredients in all of </w:t>
      </w:r>
      <w:r w:rsidR="002D25FC" w:rsidRPr="001A50DE">
        <w:rPr>
          <w:rFonts w:eastAsia="Calibri"/>
          <w:lang w:val="en-GB"/>
        </w:rPr>
        <w:t xml:space="preserve">its </w:t>
      </w:r>
      <w:r w:rsidRPr="001A50DE">
        <w:rPr>
          <w:rFonts w:eastAsia="Calibri"/>
          <w:lang w:val="en-GB"/>
        </w:rPr>
        <w:t xml:space="preserve">products. Research by the University of Washington had found that conventional scented laundry detergents and scented dryer sheets were responsible for the release of “more than 25 volatile organic compounds, including </w:t>
      </w:r>
      <w:r w:rsidR="00B552DB" w:rsidRPr="001A50DE">
        <w:rPr>
          <w:rFonts w:eastAsia="Calibri"/>
          <w:lang w:val="en-GB"/>
        </w:rPr>
        <w:t>seven hazardous air pollutants.”</w:t>
      </w:r>
      <w:r w:rsidR="00AD5B06">
        <w:rPr>
          <w:rStyle w:val="EndnoteReference"/>
          <w:rFonts w:eastAsia="Calibri"/>
          <w:lang w:val="en-GB"/>
        </w:rPr>
        <w:endnoteReference w:id="8"/>
      </w:r>
      <w:r w:rsidRPr="001A50DE">
        <w:rPr>
          <w:rFonts w:eastAsia="Calibri"/>
          <w:lang w:val="en-GB"/>
        </w:rPr>
        <w:t xml:space="preserve"> This same research asserted that these chemicals could harm not only personal health but also environmental and public health.</w:t>
      </w:r>
      <w:r w:rsidR="00956D9C" w:rsidRPr="001A50DE">
        <w:rPr>
          <w:rStyle w:val="EndnoteReference"/>
          <w:rFonts w:eastAsia="Calibri"/>
          <w:lang w:val="en-GB"/>
        </w:rPr>
        <w:endnoteReference w:id="9"/>
      </w:r>
      <w:r w:rsidRPr="001A50DE">
        <w:rPr>
          <w:rFonts w:eastAsia="Calibri"/>
          <w:lang w:val="en-GB"/>
        </w:rPr>
        <w:t xml:space="preserve"> The FTLOL soap</w:t>
      </w:r>
      <w:r w:rsidR="00AC645A" w:rsidRPr="001A50DE">
        <w:rPr>
          <w:rFonts w:eastAsia="Calibri"/>
          <w:lang w:val="en-GB"/>
        </w:rPr>
        <w:t>—</w:t>
      </w:r>
      <w:r w:rsidRPr="001A50DE">
        <w:rPr>
          <w:rFonts w:eastAsia="Calibri"/>
          <w:lang w:val="en-GB"/>
        </w:rPr>
        <w:t>a secret formula of Power’s own creation</w:t>
      </w:r>
      <w:r w:rsidR="00AC645A" w:rsidRPr="001A50DE">
        <w:rPr>
          <w:rFonts w:eastAsia="Calibri"/>
          <w:lang w:val="en-GB"/>
        </w:rPr>
        <w:t>—</w:t>
      </w:r>
      <w:r w:rsidRPr="001A50DE">
        <w:rPr>
          <w:rFonts w:eastAsia="Calibri"/>
          <w:lang w:val="en-GB"/>
        </w:rPr>
        <w:t>contained no harmful chemicals or additives and was a natural blend of cleaning powders.</w:t>
      </w:r>
    </w:p>
    <w:p w14:paraId="77156C2A" w14:textId="0F6F26F9" w:rsidR="00820F7C" w:rsidRPr="00694D30" w:rsidRDefault="00820F7C" w:rsidP="00CB784C">
      <w:pPr>
        <w:pStyle w:val="BodyTextMain"/>
        <w:rPr>
          <w:rFonts w:eastAsia="Calibri"/>
          <w:spacing w:val="-2"/>
          <w:kern w:val="22"/>
          <w:lang w:val="en-GB"/>
        </w:rPr>
      </w:pPr>
      <w:bookmarkStart w:id="0" w:name="_GoBack"/>
      <w:bookmarkEnd w:id="0"/>
      <w:r w:rsidRPr="00694D30">
        <w:rPr>
          <w:rFonts w:eastAsia="Calibri"/>
          <w:spacing w:val="-2"/>
          <w:kern w:val="22"/>
          <w:lang w:val="en-GB"/>
        </w:rPr>
        <w:lastRenderedPageBreak/>
        <w:t xml:space="preserve">Another major </w:t>
      </w:r>
      <w:r w:rsidR="00AC645A" w:rsidRPr="00694D30">
        <w:rPr>
          <w:rFonts w:eastAsia="Calibri"/>
          <w:spacing w:val="-2"/>
          <w:kern w:val="22"/>
          <w:lang w:val="en-GB"/>
        </w:rPr>
        <w:t xml:space="preserve">environmental concern posed by </w:t>
      </w:r>
      <w:r w:rsidRPr="00694D30">
        <w:rPr>
          <w:rFonts w:eastAsia="Calibri"/>
          <w:spacing w:val="-2"/>
          <w:kern w:val="22"/>
          <w:lang w:val="en-GB"/>
        </w:rPr>
        <w:t>conventional detergents was their contribution to the eutrophication of water sources.</w:t>
      </w:r>
      <w:r w:rsidR="00E44B2A" w:rsidRPr="00694D30">
        <w:rPr>
          <w:rStyle w:val="EndnoteReference"/>
          <w:rFonts w:eastAsia="Calibri"/>
          <w:spacing w:val="-2"/>
          <w:kern w:val="22"/>
          <w:lang w:val="en-GB"/>
        </w:rPr>
        <w:endnoteReference w:id="10"/>
      </w:r>
      <w:r w:rsidRPr="00694D30">
        <w:rPr>
          <w:rFonts w:eastAsia="Calibri"/>
          <w:spacing w:val="-2"/>
          <w:kern w:val="22"/>
          <w:lang w:val="en-GB"/>
        </w:rPr>
        <w:t xml:space="preserve"> Eutrophication </w:t>
      </w:r>
      <w:r w:rsidR="00AC645A" w:rsidRPr="00694D30">
        <w:rPr>
          <w:rFonts w:eastAsia="Calibri"/>
          <w:spacing w:val="-2"/>
          <w:kern w:val="22"/>
          <w:lang w:val="en-GB"/>
        </w:rPr>
        <w:t xml:space="preserve">was </w:t>
      </w:r>
      <w:r w:rsidRPr="00694D30">
        <w:rPr>
          <w:rFonts w:eastAsia="Calibri"/>
          <w:spacing w:val="-2"/>
          <w:kern w:val="22"/>
          <w:lang w:val="en-GB"/>
        </w:rPr>
        <w:t>a process whereby harmful phosphates enter</w:t>
      </w:r>
      <w:r w:rsidR="00AC645A" w:rsidRPr="00694D30">
        <w:rPr>
          <w:rFonts w:eastAsia="Calibri"/>
          <w:spacing w:val="-2"/>
          <w:kern w:val="22"/>
          <w:lang w:val="en-GB"/>
        </w:rPr>
        <w:t>ed</w:t>
      </w:r>
      <w:r w:rsidRPr="00694D30">
        <w:rPr>
          <w:rFonts w:eastAsia="Calibri"/>
          <w:spacing w:val="-2"/>
          <w:kern w:val="22"/>
          <w:lang w:val="en-GB"/>
        </w:rPr>
        <w:t xml:space="preserve"> water sources, stimulating the growth of algae and other plant organisms. This </w:t>
      </w:r>
      <w:r w:rsidR="006105A9">
        <w:rPr>
          <w:rFonts w:eastAsia="Calibri"/>
          <w:spacing w:val="-2"/>
          <w:kern w:val="22"/>
          <w:lang w:val="en-GB"/>
        </w:rPr>
        <w:t xml:space="preserve">process </w:t>
      </w:r>
      <w:r w:rsidRPr="00694D30">
        <w:rPr>
          <w:rFonts w:eastAsia="Calibri"/>
          <w:spacing w:val="-2"/>
          <w:kern w:val="22"/>
          <w:lang w:val="en-GB"/>
        </w:rPr>
        <w:t>in turn led to deoxygenation of the water, making it uninhabitable for fish and other organisms</w:t>
      </w:r>
      <w:r w:rsidR="006105A9">
        <w:rPr>
          <w:rFonts w:eastAsia="Calibri"/>
          <w:spacing w:val="-2"/>
          <w:kern w:val="22"/>
          <w:lang w:val="en-GB"/>
        </w:rPr>
        <w:t>, which</w:t>
      </w:r>
      <w:r w:rsidRPr="00694D30">
        <w:rPr>
          <w:rFonts w:eastAsia="Calibri"/>
          <w:spacing w:val="-2"/>
          <w:kern w:val="22"/>
          <w:lang w:val="en-GB"/>
        </w:rPr>
        <w:t xml:space="preserve"> negatively affected fishing industries and even</w:t>
      </w:r>
      <w:r w:rsidR="006105A9">
        <w:rPr>
          <w:rFonts w:eastAsia="Calibri"/>
          <w:spacing w:val="-2"/>
          <w:kern w:val="22"/>
          <w:lang w:val="en-GB"/>
        </w:rPr>
        <w:t>, in some instances,</w:t>
      </w:r>
      <w:r w:rsidRPr="00694D30">
        <w:rPr>
          <w:rFonts w:eastAsia="Calibri"/>
          <w:spacing w:val="-2"/>
          <w:kern w:val="22"/>
          <w:lang w:val="en-GB"/>
        </w:rPr>
        <w:t xml:space="preserve"> made water unusable for human</w:t>
      </w:r>
      <w:r w:rsidR="0020642D" w:rsidRPr="00694D30">
        <w:rPr>
          <w:rFonts w:eastAsia="Calibri"/>
          <w:spacing w:val="-2"/>
          <w:kern w:val="22"/>
          <w:lang w:val="en-GB"/>
        </w:rPr>
        <w:t>s</w:t>
      </w:r>
      <w:r w:rsidRPr="00694D30">
        <w:rPr>
          <w:rFonts w:eastAsia="Calibri"/>
          <w:spacing w:val="-2"/>
          <w:kern w:val="22"/>
          <w:lang w:val="en-GB"/>
        </w:rPr>
        <w:t>.</w:t>
      </w:r>
      <w:r w:rsidR="00E44B2A" w:rsidRPr="00694D30">
        <w:rPr>
          <w:rStyle w:val="EndnoteReference"/>
          <w:rFonts w:eastAsia="Calibri"/>
          <w:spacing w:val="-2"/>
          <w:kern w:val="22"/>
          <w:lang w:val="en-GB"/>
        </w:rPr>
        <w:endnoteReference w:id="11"/>
      </w:r>
      <w:r w:rsidRPr="00694D30">
        <w:rPr>
          <w:rFonts w:eastAsia="Calibri"/>
          <w:spacing w:val="-2"/>
          <w:kern w:val="22"/>
          <w:lang w:val="en-GB"/>
        </w:rPr>
        <w:t xml:space="preserve"> Many large brands of conventional laundry detergent add</w:t>
      </w:r>
      <w:r w:rsidR="00AC645A" w:rsidRPr="00694D30">
        <w:rPr>
          <w:rFonts w:eastAsia="Calibri"/>
          <w:spacing w:val="-2"/>
          <w:kern w:val="22"/>
          <w:lang w:val="en-GB"/>
        </w:rPr>
        <w:t>ed</w:t>
      </w:r>
      <w:r w:rsidRPr="00694D30">
        <w:rPr>
          <w:rFonts w:eastAsia="Calibri"/>
          <w:spacing w:val="-2"/>
          <w:kern w:val="22"/>
          <w:lang w:val="en-GB"/>
        </w:rPr>
        <w:t xml:space="preserve"> phosphates </w:t>
      </w:r>
      <w:r w:rsidR="006105A9">
        <w:rPr>
          <w:rFonts w:eastAsia="Calibri"/>
          <w:spacing w:val="-2"/>
          <w:kern w:val="22"/>
          <w:lang w:val="en-GB"/>
        </w:rPr>
        <w:t>to</w:t>
      </w:r>
      <w:r w:rsidR="006105A9" w:rsidRPr="00694D30">
        <w:rPr>
          <w:rFonts w:eastAsia="Calibri"/>
          <w:spacing w:val="-2"/>
          <w:kern w:val="22"/>
          <w:lang w:val="en-GB"/>
        </w:rPr>
        <w:t xml:space="preserve"> </w:t>
      </w:r>
      <w:r w:rsidRPr="00694D30">
        <w:rPr>
          <w:rFonts w:eastAsia="Calibri"/>
          <w:spacing w:val="-2"/>
          <w:kern w:val="22"/>
          <w:lang w:val="en-GB"/>
        </w:rPr>
        <w:t xml:space="preserve">improve </w:t>
      </w:r>
      <w:r w:rsidR="006105A9">
        <w:rPr>
          <w:rFonts w:eastAsia="Calibri"/>
          <w:spacing w:val="-2"/>
          <w:kern w:val="22"/>
          <w:lang w:val="en-GB"/>
        </w:rPr>
        <w:t xml:space="preserve">the </w:t>
      </w:r>
      <w:r w:rsidRPr="00694D30">
        <w:rPr>
          <w:rFonts w:eastAsia="Calibri"/>
          <w:spacing w:val="-2"/>
          <w:kern w:val="22"/>
          <w:lang w:val="en-GB"/>
        </w:rPr>
        <w:t>cleaning power.</w:t>
      </w:r>
      <w:r w:rsidR="00E44B2A" w:rsidRPr="00694D30">
        <w:rPr>
          <w:rStyle w:val="EndnoteReference"/>
          <w:rFonts w:eastAsia="Calibri"/>
          <w:spacing w:val="-2"/>
          <w:kern w:val="22"/>
          <w:lang w:val="en-GB"/>
        </w:rPr>
        <w:endnoteReference w:id="12"/>
      </w:r>
      <w:r w:rsidRPr="00694D30">
        <w:rPr>
          <w:rFonts w:eastAsia="Calibri"/>
          <w:spacing w:val="-2"/>
          <w:kern w:val="22"/>
          <w:lang w:val="en-GB"/>
        </w:rPr>
        <w:t xml:space="preserve"> FTLOL soaps </w:t>
      </w:r>
      <w:r w:rsidR="00AC645A" w:rsidRPr="00694D30">
        <w:rPr>
          <w:rFonts w:eastAsia="Calibri"/>
          <w:spacing w:val="-2"/>
          <w:kern w:val="22"/>
          <w:lang w:val="en-GB"/>
        </w:rPr>
        <w:t xml:space="preserve">did </w:t>
      </w:r>
      <w:r w:rsidRPr="00694D30">
        <w:rPr>
          <w:rFonts w:eastAsia="Calibri"/>
          <w:spacing w:val="-2"/>
          <w:kern w:val="22"/>
          <w:lang w:val="en-GB"/>
        </w:rPr>
        <w:t>not rely on the use of harmful phosphates</w:t>
      </w:r>
      <w:r w:rsidR="00AC645A" w:rsidRPr="00694D30">
        <w:rPr>
          <w:rFonts w:eastAsia="Calibri"/>
          <w:spacing w:val="-2"/>
          <w:kern w:val="22"/>
          <w:lang w:val="en-GB"/>
        </w:rPr>
        <w:t>,</w:t>
      </w:r>
      <w:r w:rsidRPr="00694D30">
        <w:rPr>
          <w:rFonts w:eastAsia="Calibri"/>
          <w:spacing w:val="-2"/>
          <w:kern w:val="22"/>
          <w:lang w:val="en-GB"/>
        </w:rPr>
        <w:t xml:space="preserve"> yet receive</w:t>
      </w:r>
      <w:r w:rsidR="00AC645A" w:rsidRPr="00694D30">
        <w:rPr>
          <w:rFonts w:eastAsia="Calibri"/>
          <w:spacing w:val="-2"/>
          <w:kern w:val="22"/>
          <w:lang w:val="en-GB"/>
        </w:rPr>
        <w:t>d</w:t>
      </w:r>
      <w:r w:rsidRPr="00694D30">
        <w:rPr>
          <w:rFonts w:eastAsia="Calibri"/>
          <w:spacing w:val="-2"/>
          <w:kern w:val="22"/>
          <w:lang w:val="en-GB"/>
        </w:rPr>
        <w:t xml:space="preserve"> excellent product reviews from customers.</w:t>
      </w:r>
    </w:p>
    <w:p w14:paraId="0BE37DF3" w14:textId="77777777" w:rsidR="00CB784C" w:rsidRPr="001A50DE" w:rsidRDefault="00CB784C" w:rsidP="00CB784C">
      <w:pPr>
        <w:pStyle w:val="BodyTextMain"/>
        <w:rPr>
          <w:rFonts w:eastAsia="Calibri"/>
          <w:lang w:val="en-GB"/>
        </w:rPr>
      </w:pPr>
    </w:p>
    <w:p w14:paraId="31637BF7" w14:textId="3636CF89" w:rsidR="00820F7C" w:rsidRPr="001A50DE" w:rsidRDefault="00820F7C" w:rsidP="00CB784C">
      <w:pPr>
        <w:pStyle w:val="BodyTextMain"/>
        <w:rPr>
          <w:rFonts w:eastAsia="Calibri"/>
          <w:lang w:val="en-GB"/>
        </w:rPr>
      </w:pPr>
      <w:r w:rsidRPr="001A50DE">
        <w:rPr>
          <w:rFonts w:eastAsia="Calibri"/>
          <w:lang w:val="en-GB"/>
        </w:rPr>
        <w:t xml:space="preserve">Soap was not the only </w:t>
      </w:r>
      <w:r w:rsidR="00AC645A" w:rsidRPr="001A50DE">
        <w:rPr>
          <w:rFonts w:eastAsia="Calibri"/>
          <w:lang w:val="en-GB"/>
        </w:rPr>
        <w:t xml:space="preserve">FTLOL </w:t>
      </w:r>
      <w:r w:rsidRPr="001A50DE">
        <w:rPr>
          <w:rFonts w:eastAsia="Calibri"/>
          <w:lang w:val="en-GB"/>
        </w:rPr>
        <w:t xml:space="preserve">product </w:t>
      </w:r>
      <w:r w:rsidR="00AC645A" w:rsidRPr="001A50DE">
        <w:rPr>
          <w:rFonts w:eastAsia="Calibri"/>
          <w:lang w:val="en-GB"/>
        </w:rPr>
        <w:t xml:space="preserve">with </w:t>
      </w:r>
      <w:r w:rsidRPr="001A50DE">
        <w:rPr>
          <w:rFonts w:eastAsia="Calibri"/>
          <w:lang w:val="en-GB"/>
        </w:rPr>
        <w:t xml:space="preserve">a large competitive advantage </w:t>
      </w:r>
      <w:r w:rsidR="004343A5">
        <w:rPr>
          <w:rFonts w:eastAsia="Calibri"/>
          <w:lang w:val="en-GB"/>
        </w:rPr>
        <w:t xml:space="preserve">that </w:t>
      </w:r>
      <w:r w:rsidR="00AC645A" w:rsidRPr="001A50DE">
        <w:rPr>
          <w:rFonts w:eastAsia="Calibri"/>
          <w:lang w:val="en-GB"/>
        </w:rPr>
        <w:t xml:space="preserve">the company </w:t>
      </w:r>
      <w:r w:rsidRPr="001A50DE">
        <w:rPr>
          <w:rFonts w:eastAsia="Calibri"/>
          <w:lang w:val="en-GB"/>
        </w:rPr>
        <w:t xml:space="preserve">could leverage to increase </w:t>
      </w:r>
      <w:r w:rsidR="00AC645A" w:rsidRPr="001A50DE">
        <w:rPr>
          <w:rFonts w:eastAsia="Calibri"/>
          <w:lang w:val="en-GB"/>
        </w:rPr>
        <w:t xml:space="preserve">its </w:t>
      </w:r>
      <w:r w:rsidRPr="001A50DE">
        <w:rPr>
          <w:rFonts w:eastAsia="Calibri"/>
          <w:lang w:val="en-GB"/>
        </w:rPr>
        <w:t xml:space="preserve">product sales. FTLOL dryer balls were </w:t>
      </w:r>
      <w:r w:rsidR="00AC645A" w:rsidRPr="001A50DE">
        <w:rPr>
          <w:rFonts w:eastAsia="Calibri"/>
          <w:lang w:val="en-GB"/>
        </w:rPr>
        <w:t xml:space="preserve">an </w:t>
      </w:r>
      <w:r w:rsidRPr="001A50DE">
        <w:rPr>
          <w:rFonts w:eastAsia="Calibri"/>
          <w:lang w:val="en-GB"/>
        </w:rPr>
        <w:t>environmentally friendly</w:t>
      </w:r>
      <w:r w:rsidR="00AC645A" w:rsidRPr="001A50DE">
        <w:rPr>
          <w:rFonts w:eastAsia="Calibri"/>
          <w:lang w:val="en-GB"/>
        </w:rPr>
        <w:t>,</w:t>
      </w:r>
      <w:r w:rsidRPr="001A50DE">
        <w:rPr>
          <w:rFonts w:eastAsia="Calibri"/>
          <w:lang w:val="en-GB"/>
        </w:rPr>
        <w:t xml:space="preserve"> economically responsible op</w:t>
      </w:r>
      <w:r w:rsidR="00B552DB" w:rsidRPr="001A50DE">
        <w:rPr>
          <w:rFonts w:eastAsia="Calibri"/>
          <w:lang w:val="en-GB"/>
        </w:rPr>
        <w:t>tion for consumers. Made of 100 per cent</w:t>
      </w:r>
      <w:r w:rsidRPr="001A50DE">
        <w:rPr>
          <w:rFonts w:eastAsia="Calibri"/>
          <w:lang w:val="en-GB"/>
        </w:rPr>
        <w:t xml:space="preserve"> sheep’s wool and functional for roughly </w:t>
      </w:r>
      <w:r w:rsidR="00AC645A" w:rsidRPr="001A50DE">
        <w:rPr>
          <w:rFonts w:eastAsia="Calibri"/>
          <w:lang w:val="en-GB"/>
        </w:rPr>
        <w:t>1,000</w:t>
      </w:r>
      <w:r w:rsidRPr="001A50DE">
        <w:rPr>
          <w:rFonts w:eastAsia="Calibri"/>
          <w:lang w:val="en-GB"/>
        </w:rPr>
        <w:t xml:space="preserve"> loads of laundry, dryer balls were an excellent alternative to dryer sheets. These dryer balls eliminated static in the same way the </w:t>
      </w:r>
      <w:r w:rsidR="006105A9">
        <w:rPr>
          <w:rFonts w:eastAsia="Calibri"/>
          <w:lang w:val="en-GB"/>
        </w:rPr>
        <w:t xml:space="preserve">dryer </w:t>
      </w:r>
      <w:r w:rsidRPr="001A50DE">
        <w:rPr>
          <w:rFonts w:eastAsia="Calibri"/>
          <w:lang w:val="en-GB"/>
        </w:rPr>
        <w:t>sheets did, while also absorbing moisture to speed the drying process. While dryer sheets could reduce static in the same way, they were also proven to contain numerous harmful chemicals.</w:t>
      </w:r>
      <w:r w:rsidR="00E44B2A" w:rsidRPr="001A50DE">
        <w:rPr>
          <w:rStyle w:val="EndnoteReference"/>
          <w:rFonts w:eastAsia="Calibri"/>
          <w:lang w:val="en-GB"/>
        </w:rPr>
        <w:endnoteReference w:id="13"/>
      </w:r>
      <w:r w:rsidRPr="001A50DE">
        <w:rPr>
          <w:rFonts w:eastAsia="Calibri"/>
          <w:lang w:val="en-GB"/>
        </w:rPr>
        <w:t xml:space="preserve"> Studies </w:t>
      </w:r>
      <w:r w:rsidR="00AC645A" w:rsidRPr="001A50DE">
        <w:rPr>
          <w:rFonts w:eastAsia="Calibri"/>
          <w:lang w:val="en-GB"/>
        </w:rPr>
        <w:t xml:space="preserve">had </w:t>
      </w:r>
      <w:r w:rsidRPr="001A50DE">
        <w:rPr>
          <w:rFonts w:eastAsia="Calibri"/>
          <w:lang w:val="en-GB"/>
        </w:rPr>
        <w:t>linked chemicals found in dryer sheets and their emissions to respiratory toxicity causing sensory irritation, pulmonary irritation, and inflammation.</w:t>
      </w:r>
      <w:r w:rsidR="00E44B2A" w:rsidRPr="001A50DE">
        <w:rPr>
          <w:rStyle w:val="EndnoteReference"/>
          <w:rFonts w:eastAsia="Calibri"/>
          <w:lang w:val="en-GB"/>
        </w:rPr>
        <w:endnoteReference w:id="14"/>
      </w:r>
      <w:r w:rsidRPr="001A50DE">
        <w:rPr>
          <w:rFonts w:eastAsia="Calibri"/>
          <w:lang w:val="en-GB"/>
        </w:rPr>
        <w:t xml:space="preserve"> Possibly more concerning was the link that </w:t>
      </w:r>
      <w:r w:rsidR="005C456B" w:rsidRPr="001A50DE">
        <w:rPr>
          <w:rFonts w:eastAsia="Calibri"/>
          <w:lang w:val="en-GB"/>
        </w:rPr>
        <w:t xml:space="preserve">had </w:t>
      </w:r>
      <w:r w:rsidRPr="001A50DE">
        <w:rPr>
          <w:rFonts w:eastAsia="Calibri"/>
          <w:lang w:val="en-GB"/>
        </w:rPr>
        <w:t>been found between dryer sheets and asthma</w:t>
      </w:r>
      <w:r w:rsidR="00BA23EA" w:rsidRPr="001A50DE">
        <w:rPr>
          <w:rStyle w:val="EndnoteReference"/>
          <w:rFonts w:eastAsia="Calibri"/>
          <w:lang w:val="en-GB"/>
        </w:rPr>
        <w:endnoteReference w:id="15"/>
      </w:r>
      <w:r w:rsidRPr="001A50DE">
        <w:rPr>
          <w:rFonts w:eastAsia="Calibri"/>
          <w:lang w:val="en-GB"/>
        </w:rPr>
        <w:t xml:space="preserve"> </w:t>
      </w:r>
      <w:r w:rsidR="005C456B" w:rsidRPr="001A50DE">
        <w:rPr>
          <w:rFonts w:eastAsia="Calibri"/>
          <w:lang w:val="en-GB"/>
        </w:rPr>
        <w:t>and</w:t>
      </w:r>
      <w:r w:rsidRPr="001A50DE">
        <w:rPr>
          <w:rFonts w:eastAsia="Calibri"/>
          <w:lang w:val="en-GB"/>
        </w:rPr>
        <w:t xml:space="preserve"> the presence of carcinogenic chemicals in the sheets.</w:t>
      </w:r>
      <w:r w:rsidR="00BA23EA" w:rsidRPr="001A50DE">
        <w:rPr>
          <w:rStyle w:val="EndnoteReference"/>
          <w:rFonts w:eastAsia="Calibri"/>
          <w:lang w:val="en-GB"/>
        </w:rPr>
        <w:endnoteReference w:id="16"/>
      </w:r>
    </w:p>
    <w:p w14:paraId="2A5AD5E1" w14:textId="54F6B6B2" w:rsidR="006D6D8D" w:rsidRPr="001A50DE" w:rsidRDefault="006D6D8D" w:rsidP="00CB784C">
      <w:pPr>
        <w:pStyle w:val="BodyTextMain"/>
        <w:rPr>
          <w:rFonts w:eastAsia="Calibri"/>
          <w:lang w:val="en-GB"/>
        </w:rPr>
      </w:pPr>
    </w:p>
    <w:p w14:paraId="17CBB60A" w14:textId="63609806" w:rsidR="006D6D8D" w:rsidRPr="00694D30" w:rsidRDefault="006D6D8D" w:rsidP="00CB784C">
      <w:pPr>
        <w:pStyle w:val="BodyTextMain"/>
        <w:rPr>
          <w:rFonts w:eastAsia="Calibri"/>
          <w:spacing w:val="-2"/>
          <w:kern w:val="22"/>
          <w:lang w:val="en-GB"/>
        </w:rPr>
      </w:pPr>
      <w:r w:rsidRPr="00694D30">
        <w:rPr>
          <w:rFonts w:eastAsia="Calibri"/>
          <w:spacing w:val="-2"/>
          <w:kern w:val="22"/>
          <w:lang w:val="en-GB"/>
        </w:rPr>
        <w:t>By offering effective</w:t>
      </w:r>
      <w:r w:rsidR="00184593" w:rsidRPr="00694D30">
        <w:rPr>
          <w:rFonts w:eastAsia="Calibri"/>
          <w:spacing w:val="-2"/>
          <w:kern w:val="22"/>
          <w:lang w:val="en-GB"/>
        </w:rPr>
        <w:t xml:space="preserve"> cleaning</w:t>
      </w:r>
      <w:r w:rsidRPr="00694D30">
        <w:rPr>
          <w:rFonts w:eastAsia="Calibri"/>
          <w:spacing w:val="-2"/>
          <w:kern w:val="22"/>
          <w:lang w:val="en-GB"/>
        </w:rPr>
        <w:t xml:space="preserve"> products free of dangerous chemicals, FTLOL was helping protect and maintain </w:t>
      </w:r>
      <w:r w:rsidR="00184593" w:rsidRPr="00694D30">
        <w:rPr>
          <w:rFonts w:eastAsia="Calibri"/>
          <w:spacing w:val="-2"/>
          <w:kern w:val="22"/>
          <w:lang w:val="en-GB"/>
        </w:rPr>
        <w:t xml:space="preserve">an </w:t>
      </w:r>
      <w:r w:rsidRPr="00694D30">
        <w:rPr>
          <w:rFonts w:eastAsia="Calibri"/>
          <w:spacing w:val="-2"/>
          <w:kern w:val="22"/>
          <w:lang w:val="en-GB"/>
        </w:rPr>
        <w:t xml:space="preserve">environmentally healthy </w:t>
      </w:r>
      <w:r w:rsidR="00184593" w:rsidRPr="00694D30">
        <w:rPr>
          <w:rFonts w:eastAsia="Calibri"/>
          <w:spacing w:val="-2"/>
          <w:kern w:val="22"/>
          <w:lang w:val="en-GB"/>
        </w:rPr>
        <w:t>community</w:t>
      </w:r>
      <w:r w:rsidR="009B512D" w:rsidRPr="00694D30">
        <w:rPr>
          <w:rFonts w:eastAsia="Calibri"/>
          <w:spacing w:val="-2"/>
          <w:kern w:val="22"/>
          <w:lang w:val="en-GB"/>
        </w:rPr>
        <w:t>—</w:t>
      </w:r>
      <w:r w:rsidR="00184593" w:rsidRPr="00694D30">
        <w:rPr>
          <w:rFonts w:eastAsia="Calibri"/>
          <w:spacing w:val="-2"/>
          <w:kern w:val="22"/>
          <w:lang w:val="en-GB"/>
        </w:rPr>
        <w:t xml:space="preserve">an impact Power hoped to expand </w:t>
      </w:r>
      <w:r w:rsidR="007D0B4F">
        <w:rPr>
          <w:rFonts w:eastAsia="Calibri"/>
          <w:spacing w:val="-2"/>
          <w:kern w:val="22"/>
          <w:lang w:val="en-GB"/>
        </w:rPr>
        <w:t>through</w:t>
      </w:r>
      <w:r w:rsidR="007D0B4F" w:rsidRPr="00694D30">
        <w:rPr>
          <w:rFonts w:eastAsia="Calibri"/>
          <w:spacing w:val="-2"/>
          <w:kern w:val="22"/>
          <w:lang w:val="en-GB"/>
        </w:rPr>
        <w:t xml:space="preserve"> </w:t>
      </w:r>
      <w:r w:rsidR="00184593" w:rsidRPr="00694D30">
        <w:rPr>
          <w:rFonts w:eastAsia="Calibri"/>
          <w:spacing w:val="-2"/>
          <w:kern w:val="22"/>
          <w:lang w:val="en-GB"/>
        </w:rPr>
        <w:t>her business.</w:t>
      </w:r>
    </w:p>
    <w:p w14:paraId="50977E68" w14:textId="77777777" w:rsidR="00CB784C" w:rsidRPr="001A50DE" w:rsidRDefault="00CB784C" w:rsidP="00CB784C">
      <w:pPr>
        <w:pStyle w:val="BodyTextMain"/>
        <w:rPr>
          <w:rFonts w:eastAsia="Calibri"/>
          <w:lang w:val="en-GB"/>
        </w:rPr>
      </w:pPr>
    </w:p>
    <w:p w14:paraId="5ED94727" w14:textId="77777777" w:rsidR="00CB784C" w:rsidRPr="001A50DE" w:rsidRDefault="00CB784C" w:rsidP="00CB784C">
      <w:pPr>
        <w:pStyle w:val="BodyTextMain"/>
        <w:rPr>
          <w:rFonts w:eastAsia="Calibri"/>
          <w:lang w:val="en-GB"/>
        </w:rPr>
      </w:pPr>
    </w:p>
    <w:p w14:paraId="508B882C" w14:textId="3E72F452" w:rsidR="00820F7C" w:rsidRPr="001A50DE" w:rsidRDefault="00820F7C" w:rsidP="005F0C20">
      <w:pPr>
        <w:pStyle w:val="Casehead2"/>
        <w:rPr>
          <w:rFonts w:eastAsia="Calibri"/>
          <w:lang w:val="en-GB"/>
        </w:rPr>
      </w:pPr>
      <w:r w:rsidRPr="001A50DE">
        <w:rPr>
          <w:rFonts w:eastAsia="Calibri"/>
          <w:lang w:val="en-GB"/>
        </w:rPr>
        <w:t xml:space="preserve">Social Impact </w:t>
      </w:r>
    </w:p>
    <w:p w14:paraId="13F3D422" w14:textId="77777777" w:rsidR="00CB784C" w:rsidRPr="001A50DE" w:rsidRDefault="00CB784C" w:rsidP="00CB784C">
      <w:pPr>
        <w:pStyle w:val="BodyTextMain"/>
        <w:rPr>
          <w:rFonts w:eastAsia="Calibri"/>
          <w:lang w:val="en-GB"/>
        </w:rPr>
      </w:pPr>
    </w:p>
    <w:p w14:paraId="0C1DCF28" w14:textId="284776DC" w:rsidR="00820F7C" w:rsidRPr="001A50DE" w:rsidRDefault="005C456B" w:rsidP="00CB784C">
      <w:pPr>
        <w:pStyle w:val="BodyTextMain"/>
        <w:rPr>
          <w:rFonts w:eastAsia="Calibri"/>
          <w:lang w:val="en-GB"/>
        </w:rPr>
      </w:pPr>
      <w:r w:rsidRPr="001A50DE">
        <w:rPr>
          <w:rFonts w:eastAsia="Calibri"/>
          <w:lang w:val="en-GB"/>
        </w:rPr>
        <w:t xml:space="preserve">FTLOL’s </w:t>
      </w:r>
      <w:r w:rsidR="00820F7C" w:rsidRPr="001A50DE">
        <w:rPr>
          <w:rFonts w:eastAsia="Calibri"/>
          <w:lang w:val="en-GB"/>
        </w:rPr>
        <w:t xml:space="preserve">second competitive advantage was </w:t>
      </w:r>
      <w:r w:rsidRPr="001A50DE">
        <w:rPr>
          <w:rFonts w:eastAsia="Calibri"/>
          <w:lang w:val="en-GB"/>
        </w:rPr>
        <w:t>that it enabled</w:t>
      </w:r>
      <w:r w:rsidR="00820F7C" w:rsidRPr="001A50DE">
        <w:rPr>
          <w:rFonts w:eastAsia="Calibri"/>
          <w:lang w:val="en-GB"/>
        </w:rPr>
        <w:t xml:space="preserve"> customers to give back to their community simply by purchasing the products. Neurological studies and research </w:t>
      </w:r>
      <w:r w:rsidRPr="001A50DE">
        <w:rPr>
          <w:rFonts w:eastAsia="Calibri"/>
          <w:lang w:val="en-GB"/>
        </w:rPr>
        <w:t xml:space="preserve">had </w:t>
      </w:r>
      <w:r w:rsidR="00820F7C" w:rsidRPr="001A50DE">
        <w:rPr>
          <w:rFonts w:eastAsia="Calibri"/>
          <w:lang w:val="en-GB"/>
        </w:rPr>
        <w:t xml:space="preserve">shown that </w:t>
      </w:r>
      <w:r w:rsidRPr="001A50DE">
        <w:rPr>
          <w:rFonts w:eastAsia="Calibri"/>
          <w:lang w:val="en-GB"/>
        </w:rPr>
        <w:t xml:space="preserve">people </w:t>
      </w:r>
      <w:r w:rsidR="00820F7C" w:rsidRPr="001A50DE">
        <w:rPr>
          <w:rFonts w:eastAsia="Calibri"/>
          <w:lang w:val="en-GB"/>
        </w:rPr>
        <w:t>often experience</w:t>
      </w:r>
      <w:r w:rsidRPr="001A50DE">
        <w:rPr>
          <w:rFonts w:eastAsia="Calibri"/>
          <w:lang w:val="en-GB"/>
        </w:rPr>
        <w:t>d</w:t>
      </w:r>
      <w:r w:rsidR="00820F7C" w:rsidRPr="001A50DE">
        <w:rPr>
          <w:rFonts w:eastAsia="Calibri"/>
          <w:lang w:val="en-GB"/>
        </w:rPr>
        <w:t xml:space="preserve"> pleasure and satisfaction when they </w:t>
      </w:r>
      <w:r w:rsidRPr="001A50DE">
        <w:rPr>
          <w:rFonts w:eastAsia="Calibri"/>
          <w:lang w:val="en-GB"/>
        </w:rPr>
        <w:t xml:space="preserve">were </w:t>
      </w:r>
      <w:r w:rsidR="00820F7C" w:rsidRPr="001A50DE">
        <w:rPr>
          <w:rFonts w:eastAsia="Calibri"/>
          <w:lang w:val="en-GB"/>
        </w:rPr>
        <w:t>able to give back to others.</w:t>
      </w:r>
      <w:r w:rsidR="00BA23EA" w:rsidRPr="001A50DE">
        <w:rPr>
          <w:rStyle w:val="EndnoteReference"/>
          <w:rFonts w:eastAsia="Calibri"/>
          <w:lang w:val="en-GB"/>
        </w:rPr>
        <w:endnoteReference w:id="17"/>
      </w:r>
      <w:r w:rsidR="00820F7C" w:rsidRPr="001A50DE">
        <w:rPr>
          <w:rFonts w:eastAsia="Calibri"/>
          <w:lang w:val="en-GB"/>
        </w:rPr>
        <w:t xml:space="preserve"> By hosting laundry events for people without the income or ability to clean their own clothes, FTLOL was able to offer that same sense of gratification to its customers while delivering a product they need</w:t>
      </w:r>
      <w:r w:rsidRPr="001A50DE">
        <w:rPr>
          <w:rFonts w:eastAsia="Calibri"/>
          <w:lang w:val="en-GB"/>
        </w:rPr>
        <w:t>ed</w:t>
      </w:r>
      <w:r w:rsidR="00820F7C" w:rsidRPr="001A50DE">
        <w:rPr>
          <w:rFonts w:eastAsia="Calibri"/>
          <w:lang w:val="en-GB"/>
        </w:rPr>
        <w:t xml:space="preserve"> to have</w:t>
      </w:r>
      <w:r w:rsidRPr="001A50DE">
        <w:rPr>
          <w:rFonts w:eastAsia="Calibri"/>
          <w:lang w:val="en-GB"/>
        </w:rPr>
        <w:t>—</w:t>
      </w:r>
      <w:r w:rsidR="00820F7C" w:rsidRPr="001A50DE">
        <w:rPr>
          <w:rFonts w:eastAsia="Calibri"/>
          <w:lang w:val="en-GB"/>
        </w:rPr>
        <w:t>something other businesses were not doing.</w:t>
      </w:r>
    </w:p>
    <w:p w14:paraId="6EA0EAD9" w14:textId="77777777" w:rsidR="00CB784C" w:rsidRPr="001A50DE" w:rsidRDefault="00CB784C" w:rsidP="00CB784C">
      <w:pPr>
        <w:pStyle w:val="BodyTextMain"/>
        <w:rPr>
          <w:rFonts w:eastAsia="Calibri"/>
          <w:lang w:val="en-GB"/>
        </w:rPr>
      </w:pPr>
    </w:p>
    <w:p w14:paraId="2E5E8550" w14:textId="28B89369" w:rsidR="00820F7C" w:rsidRPr="001A50DE" w:rsidRDefault="0038710E" w:rsidP="00CB784C">
      <w:pPr>
        <w:pStyle w:val="BodyTextMain"/>
        <w:rPr>
          <w:rFonts w:eastAsia="Calibri"/>
          <w:lang w:val="en-GB"/>
        </w:rPr>
      </w:pPr>
      <w:r w:rsidRPr="001A50DE">
        <w:rPr>
          <w:rFonts w:eastAsia="Calibri"/>
          <w:lang w:val="en-GB"/>
        </w:rPr>
        <w:t xml:space="preserve">While social impact </w:t>
      </w:r>
      <w:r w:rsidR="009B512D" w:rsidRPr="001A50DE">
        <w:rPr>
          <w:rFonts w:eastAsia="Calibri"/>
          <w:lang w:val="en-GB"/>
        </w:rPr>
        <w:t>wa</w:t>
      </w:r>
      <w:r w:rsidRPr="001A50DE">
        <w:rPr>
          <w:rFonts w:eastAsia="Calibri"/>
          <w:lang w:val="en-GB"/>
        </w:rPr>
        <w:t>s notoriously difficult to measure or quantify</w:t>
      </w:r>
      <w:r w:rsidR="000B4CD9" w:rsidRPr="001A50DE">
        <w:rPr>
          <w:rFonts w:eastAsia="Calibri"/>
          <w:lang w:val="en-GB"/>
        </w:rPr>
        <w:t>, Power had been using a few techniques to measure FTLOL</w:t>
      </w:r>
      <w:r w:rsidR="007D0B4F">
        <w:rPr>
          <w:rFonts w:eastAsia="Calibri"/>
          <w:lang w:val="en-GB"/>
        </w:rPr>
        <w:t>’s</w:t>
      </w:r>
      <w:r w:rsidR="000B4CD9" w:rsidRPr="001A50DE">
        <w:rPr>
          <w:rFonts w:eastAsia="Calibri"/>
          <w:lang w:val="en-GB"/>
        </w:rPr>
        <w:t xml:space="preserve"> </w:t>
      </w:r>
      <w:r w:rsidR="007D0B4F">
        <w:rPr>
          <w:rFonts w:eastAsia="Calibri"/>
          <w:lang w:val="en-GB"/>
        </w:rPr>
        <w:t>work</w:t>
      </w:r>
      <w:r w:rsidR="000B4CD9" w:rsidRPr="001A50DE">
        <w:rPr>
          <w:rFonts w:eastAsia="Calibri"/>
          <w:lang w:val="en-GB"/>
        </w:rPr>
        <w:t xml:space="preserve">. </w:t>
      </w:r>
      <w:r w:rsidR="007D0B4F">
        <w:rPr>
          <w:rFonts w:eastAsia="Calibri"/>
          <w:lang w:val="en-GB"/>
        </w:rPr>
        <w:t>She had been quantifying FTLOL’s impact by tracking t</w:t>
      </w:r>
      <w:r w:rsidR="000B4CD9" w:rsidRPr="001A50DE">
        <w:rPr>
          <w:rFonts w:eastAsia="Calibri"/>
          <w:lang w:val="en-GB"/>
        </w:rPr>
        <w:t>he number</w:t>
      </w:r>
      <w:r w:rsidR="005C456B" w:rsidRPr="001A50DE">
        <w:rPr>
          <w:rFonts w:eastAsia="Calibri"/>
          <w:lang w:val="en-GB"/>
        </w:rPr>
        <w:t>s</w:t>
      </w:r>
      <w:r w:rsidR="000B4CD9" w:rsidRPr="001A50DE">
        <w:rPr>
          <w:rFonts w:eastAsia="Calibri"/>
          <w:lang w:val="en-GB"/>
        </w:rPr>
        <w:t xml:space="preserve"> of events run, </w:t>
      </w:r>
      <w:r w:rsidR="007D0B4F">
        <w:rPr>
          <w:rFonts w:eastAsia="Calibri"/>
          <w:lang w:val="en-GB"/>
        </w:rPr>
        <w:t xml:space="preserve">the number of </w:t>
      </w:r>
      <w:r w:rsidR="000B4CD9" w:rsidRPr="001A50DE">
        <w:rPr>
          <w:rFonts w:eastAsia="Calibri"/>
          <w:lang w:val="en-GB"/>
        </w:rPr>
        <w:t xml:space="preserve">people helped, </w:t>
      </w:r>
      <w:r w:rsidR="007D0B4F">
        <w:rPr>
          <w:rFonts w:eastAsia="Calibri"/>
          <w:lang w:val="en-GB"/>
        </w:rPr>
        <w:t xml:space="preserve">the </w:t>
      </w:r>
      <w:r w:rsidR="000B4CD9" w:rsidRPr="001A50DE">
        <w:rPr>
          <w:rFonts w:eastAsia="Calibri"/>
          <w:lang w:val="en-GB"/>
        </w:rPr>
        <w:t xml:space="preserve">money saved, and </w:t>
      </w:r>
      <w:r w:rsidR="007D0B4F">
        <w:rPr>
          <w:rFonts w:eastAsia="Calibri"/>
          <w:lang w:val="en-GB"/>
        </w:rPr>
        <w:t xml:space="preserve">the number of </w:t>
      </w:r>
      <w:r w:rsidR="000B4CD9" w:rsidRPr="001A50DE">
        <w:rPr>
          <w:rFonts w:eastAsia="Calibri"/>
          <w:lang w:val="en-GB"/>
        </w:rPr>
        <w:t xml:space="preserve">loads of laundry cleaned </w:t>
      </w:r>
      <w:r w:rsidR="005C456B" w:rsidRPr="001A50DE">
        <w:rPr>
          <w:rFonts w:eastAsia="Calibri"/>
          <w:lang w:val="en-GB"/>
        </w:rPr>
        <w:t>during the time the business had been running</w:t>
      </w:r>
      <w:r w:rsidR="000B4CD9" w:rsidRPr="001A50DE">
        <w:rPr>
          <w:rFonts w:eastAsia="Calibri"/>
          <w:lang w:val="en-GB"/>
        </w:rPr>
        <w:t xml:space="preserve">. </w:t>
      </w:r>
      <w:r w:rsidR="00820F7C" w:rsidRPr="001A50DE">
        <w:rPr>
          <w:rFonts w:eastAsia="Calibri"/>
          <w:lang w:val="en-GB"/>
        </w:rPr>
        <w:t xml:space="preserve">The </w:t>
      </w:r>
      <w:r w:rsidR="000B4CD9" w:rsidRPr="001A50DE">
        <w:rPr>
          <w:rFonts w:eastAsia="Calibri"/>
          <w:lang w:val="en-GB"/>
        </w:rPr>
        <w:t xml:space="preserve">scale and </w:t>
      </w:r>
      <w:r w:rsidR="005C456B" w:rsidRPr="001A50DE">
        <w:rPr>
          <w:rFonts w:eastAsia="Calibri"/>
          <w:lang w:val="en-GB"/>
        </w:rPr>
        <w:t xml:space="preserve">influence </w:t>
      </w:r>
      <w:r w:rsidR="00820F7C" w:rsidRPr="001A50DE">
        <w:rPr>
          <w:rFonts w:eastAsia="Calibri"/>
          <w:lang w:val="en-GB"/>
        </w:rPr>
        <w:t xml:space="preserve">of </w:t>
      </w:r>
      <w:r w:rsidR="005C456B" w:rsidRPr="001A50DE">
        <w:rPr>
          <w:rFonts w:eastAsia="Calibri"/>
          <w:lang w:val="en-GB"/>
        </w:rPr>
        <w:t xml:space="preserve">these </w:t>
      </w:r>
      <w:r w:rsidR="00820F7C" w:rsidRPr="001A50DE">
        <w:rPr>
          <w:rFonts w:eastAsia="Calibri"/>
          <w:lang w:val="en-GB"/>
        </w:rPr>
        <w:t>events would increase as FTLOL expanded its operations</w:t>
      </w:r>
      <w:r w:rsidR="000B4CD9" w:rsidRPr="001A50DE">
        <w:rPr>
          <w:rFonts w:eastAsia="Calibri"/>
          <w:lang w:val="en-GB"/>
        </w:rPr>
        <w:t>,</w:t>
      </w:r>
      <w:r w:rsidR="00820F7C" w:rsidRPr="001A50DE">
        <w:rPr>
          <w:rFonts w:eastAsia="Calibri"/>
          <w:lang w:val="en-GB"/>
        </w:rPr>
        <w:t xml:space="preserve"> helping to </w:t>
      </w:r>
      <w:r w:rsidR="005C456B" w:rsidRPr="001A50DE">
        <w:rPr>
          <w:rFonts w:eastAsia="Calibri"/>
          <w:lang w:val="en-GB"/>
        </w:rPr>
        <w:t>address a</w:t>
      </w:r>
      <w:r w:rsidR="00820F7C" w:rsidRPr="001A50DE">
        <w:rPr>
          <w:rFonts w:eastAsia="Calibri"/>
          <w:lang w:val="en-GB"/>
        </w:rPr>
        <w:t xml:space="preserve"> real need throughout Canada.</w:t>
      </w:r>
      <w:r w:rsidR="00BA23EA" w:rsidRPr="001A50DE">
        <w:rPr>
          <w:rStyle w:val="EndnoteReference"/>
          <w:rFonts w:eastAsia="Calibri"/>
          <w:lang w:val="en-GB"/>
        </w:rPr>
        <w:endnoteReference w:id="18"/>
      </w:r>
    </w:p>
    <w:p w14:paraId="7B2D18EA" w14:textId="77777777" w:rsidR="00CB784C" w:rsidRPr="001A50DE" w:rsidRDefault="00CB784C" w:rsidP="00CB784C">
      <w:pPr>
        <w:pStyle w:val="BodyTextMain"/>
        <w:rPr>
          <w:rFonts w:eastAsia="Calibri"/>
          <w:lang w:val="en-GB"/>
        </w:rPr>
      </w:pPr>
    </w:p>
    <w:p w14:paraId="0C21B475" w14:textId="4A33A8AB" w:rsidR="00820F7C" w:rsidRDefault="00820F7C" w:rsidP="00CB784C">
      <w:pPr>
        <w:pStyle w:val="BodyTextMain"/>
        <w:rPr>
          <w:rFonts w:eastAsia="Calibri"/>
          <w:lang w:val="en-GB"/>
        </w:rPr>
      </w:pPr>
      <w:r w:rsidRPr="001A50DE">
        <w:rPr>
          <w:rFonts w:eastAsia="Calibri"/>
          <w:lang w:val="en-GB"/>
        </w:rPr>
        <w:t xml:space="preserve">In 2010, Statistics Canada reported a median Canadian income of $28,400 </w:t>
      </w:r>
      <w:r w:rsidR="00B552DB" w:rsidRPr="001A50DE">
        <w:rPr>
          <w:rFonts w:eastAsia="Calibri"/>
          <w:lang w:val="en-GB"/>
        </w:rPr>
        <w:t>for 99 per cent</w:t>
      </w:r>
      <w:r w:rsidRPr="001A50DE">
        <w:rPr>
          <w:rFonts w:eastAsia="Calibri"/>
          <w:lang w:val="en-GB"/>
        </w:rPr>
        <w:t xml:space="preserve"> of the population.</w:t>
      </w:r>
      <w:r w:rsidR="00BA23EA" w:rsidRPr="001A50DE">
        <w:rPr>
          <w:rStyle w:val="EndnoteReference"/>
          <w:rFonts w:eastAsia="Calibri"/>
          <w:lang w:val="en-GB"/>
        </w:rPr>
        <w:endnoteReference w:id="19"/>
      </w:r>
      <w:r w:rsidRPr="001A50DE">
        <w:rPr>
          <w:rFonts w:eastAsia="Calibri"/>
          <w:lang w:val="en-GB"/>
        </w:rPr>
        <w:t xml:space="preserve"> Accordingly</w:t>
      </w:r>
      <w:r w:rsidR="00B552DB" w:rsidRPr="001A50DE">
        <w:rPr>
          <w:rFonts w:eastAsia="Calibri"/>
          <w:lang w:val="en-GB"/>
        </w:rPr>
        <w:t>,</w:t>
      </w:r>
      <w:r w:rsidRPr="001A50DE">
        <w:rPr>
          <w:rFonts w:eastAsia="Calibri"/>
          <w:lang w:val="en-GB"/>
        </w:rPr>
        <w:t xml:space="preserve"> alleviati</w:t>
      </w:r>
      <w:r w:rsidR="005C456B" w:rsidRPr="001A50DE">
        <w:rPr>
          <w:rFonts w:eastAsia="Calibri"/>
          <w:lang w:val="en-GB"/>
        </w:rPr>
        <w:t>ng</w:t>
      </w:r>
      <w:r w:rsidRPr="001A50DE">
        <w:rPr>
          <w:rFonts w:eastAsia="Calibri"/>
          <w:lang w:val="en-GB"/>
        </w:rPr>
        <w:t xml:space="preserve"> laundry expenses could be a huge help to numerous people living in Canada. Statistics Canada also </w:t>
      </w:r>
      <w:r w:rsidR="005C456B" w:rsidRPr="001A50DE">
        <w:rPr>
          <w:rFonts w:eastAsia="Calibri"/>
          <w:lang w:val="en-GB"/>
        </w:rPr>
        <w:t>defined</w:t>
      </w:r>
      <w:r w:rsidR="00B552DB" w:rsidRPr="001A50DE">
        <w:rPr>
          <w:rFonts w:eastAsia="Calibri"/>
          <w:lang w:val="en-GB"/>
        </w:rPr>
        <w:t xml:space="preserve"> 14.2 per cent</w:t>
      </w:r>
      <w:r w:rsidRPr="001A50DE">
        <w:rPr>
          <w:rFonts w:eastAsia="Calibri"/>
          <w:lang w:val="en-GB"/>
        </w:rPr>
        <w:t xml:space="preserve"> of the population, or 5 million people, as </w:t>
      </w:r>
      <w:r w:rsidR="007D0B4F">
        <w:rPr>
          <w:rFonts w:eastAsia="Calibri"/>
          <w:lang w:val="en-GB"/>
        </w:rPr>
        <w:t xml:space="preserve">having </w:t>
      </w:r>
      <w:r w:rsidRPr="001A50DE">
        <w:rPr>
          <w:rFonts w:eastAsia="Calibri"/>
          <w:lang w:val="en-GB"/>
        </w:rPr>
        <w:t>low income after tax. Indeed, these people earned less than half of the median income in Canada.</w:t>
      </w:r>
      <w:r w:rsidR="00BA23EA" w:rsidRPr="001A50DE">
        <w:rPr>
          <w:rStyle w:val="EndnoteReference"/>
          <w:rFonts w:eastAsia="Calibri"/>
          <w:lang w:val="en-GB"/>
        </w:rPr>
        <w:endnoteReference w:id="20"/>
      </w:r>
      <w:r w:rsidRPr="001A50DE">
        <w:rPr>
          <w:rFonts w:eastAsia="Calibri"/>
          <w:lang w:val="en-GB"/>
        </w:rPr>
        <w:t xml:space="preserve"> Possibly most concerning was that one in six children</w:t>
      </w:r>
      <w:r w:rsidR="00B552DB" w:rsidRPr="001A50DE">
        <w:rPr>
          <w:rFonts w:eastAsia="Calibri"/>
          <w:lang w:val="en-GB"/>
        </w:rPr>
        <w:t>, or 16.3 per cent</w:t>
      </w:r>
      <w:r w:rsidRPr="001A50DE">
        <w:rPr>
          <w:rFonts w:eastAsia="Calibri"/>
          <w:lang w:val="en-GB"/>
        </w:rPr>
        <w:t xml:space="preserve">, lived in </w:t>
      </w:r>
      <w:r w:rsidR="005C456B" w:rsidRPr="001A50DE">
        <w:rPr>
          <w:rFonts w:eastAsia="Calibri"/>
          <w:lang w:val="en-GB"/>
        </w:rPr>
        <w:t>low-</w:t>
      </w:r>
      <w:r w:rsidRPr="001A50DE">
        <w:rPr>
          <w:rFonts w:eastAsia="Calibri"/>
          <w:lang w:val="en-GB"/>
        </w:rPr>
        <w:t>income households</w:t>
      </w:r>
      <w:r w:rsidR="00B552DB" w:rsidRPr="001A50DE">
        <w:rPr>
          <w:rFonts w:eastAsia="Calibri"/>
          <w:lang w:val="en-GB"/>
        </w:rPr>
        <w:t>, and 44.</w:t>
      </w:r>
      <w:r w:rsidR="005C456B" w:rsidRPr="001A50DE">
        <w:rPr>
          <w:rFonts w:eastAsia="Calibri"/>
          <w:lang w:val="en-GB"/>
        </w:rPr>
        <w:t>5 </w:t>
      </w:r>
      <w:r w:rsidR="00B552DB" w:rsidRPr="001A50DE">
        <w:rPr>
          <w:rFonts w:eastAsia="Calibri"/>
          <w:lang w:val="en-GB"/>
        </w:rPr>
        <w:t>per cent</w:t>
      </w:r>
      <w:r w:rsidRPr="001A50DE">
        <w:rPr>
          <w:rFonts w:eastAsia="Calibri"/>
          <w:lang w:val="en-GB"/>
        </w:rPr>
        <w:t xml:space="preserve"> of children living with single mothers lived in households classified as low income.</w:t>
      </w:r>
      <w:r w:rsidR="00BA23EA" w:rsidRPr="001A50DE">
        <w:rPr>
          <w:rStyle w:val="EndnoteReference"/>
          <w:rFonts w:eastAsia="Calibri"/>
          <w:lang w:val="en-GB"/>
        </w:rPr>
        <w:endnoteReference w:id="21"/>
      </w:r>
      <w:r w:rsidRPr="001A50DE">
        <w:rPr>
          <w:rFonts w:eastAsia="Calibri"/>
          <w:lang w:val="en-GB"/>
        </w:rPr>
        <w:t xml:space="preserve"> </w:t>
      </w:r>
      <w:r w:rsidR="00B552DB" w:rsidRPr="001A50DE">
        <w:rPr>
          <w:rFonts w:eastAsia="Calibri"/>
          <w:lang w:val="en-GB"/>
        </w:rPr>
        <w:t>FTLOL</w:t>
      </w:r>
      <w:r w:rsidRPr="001A50DE">
        <w:rPr>
          <w:rFonts w:eastAsia="Calibri"/>
          <w:lang w:val="en-GB"/>
        </w:rPr>
        <w:t xml:space="preserve"> could contribute to healthier people and communities across Canada </w:t>
      </w:r>
      <w:r w:rsidR="005C456B" w:rsidRPr="001A50DE">
        <w:rPr>
          <w:rFonts w:eastAsia="Calibri"/>
          <w:lang w:val="en-GB"/>
        </w:rPr>
        <w:t xml:space="preserve">by alleviating </w:t>
      </w:r>
      <w:r w:rsidRPr="001A50DE">
        <w:rPr>
          <w:rFonts w:eastAsia="Calibri"/>
          <w:lang w:val="en-GB"/>
        </w:rPr>
        <w:t xml:space="preserve">laundry expenses for </w:t>
      </w:r>
      <w:r w:rsidR="005C456B" w:rsidRPr="001A50DE">
        <w:rPr>
          <w:rFonts w:eastAsia="Calibri"/>
          <w:lang w:val="en-GB"/>
        </w:rPr>
        <w:t>low-</w:t>
      </w:r>
      <w:r w:rsidRPr="001A50DE">
        <w:rPr>
          <w:rFonts w:eastAsia="Calibri"/>
          <w:lang w:val="en-GB"/>
        </w:rPr>
        <w:t>income households</w:t>
      </w:r>
      <w:r w:rsidR="00CB784C" w:rsidRPr="001A50DE">
        <w:rPr>
          <w:rFonts w:eastAsia="Calibri"/>
          <w:lang w:val="en-GB"/>
        </w:rPr>
        <w:t>.</w:t>
      </w:r>
    </w:p>
    <w:p w14:paraId="31C13459" w14:textId="77777777" w:rsidR="00EC2907" w:rsidRPr="001A50DE" w:rsidRDefault="00EC2907" w:rsidP="00CB784C">
      <w:pPr>
        <w:pStyle w:val="BodyTextMain"/>
        <w:rPr>
          <w:rFonts w:eastAsia="Calibri"/>
          <w:lang w:val="en-GB"/>
        </w:rPr>
      </w:pPr>
    </w:p>
    <w:p w14:paraId="2907924D" w14:textId="3DF32197" w:rsidR="00820F7C" w:rsidRPr="001A50DE" w:rsidRDefault="00820F7C" w:rsidP="00CB784C">
      <w:pPr>
        <w:pStyle w:val="BodyTextMain"/>
        <w:rPr>
          <w:rFonts w:eastAsia="Calibri"/>
          <w:lang w:val="en-GB"/>
        </w:rPr>
      </w:pPr>
      <w:r w:rsidRPr="001A50DE">
        <w:rPr>
          <w:rFonts w:eastAsia="Calibri"/>
          <w:lang w:val="en-GB"/>
        </w:rPr>
        <w:t>Often ta</w:t>
      </w:r>
      <w:r w:rsidR="00B552DB" w:rsidRPr="001A50DE">
        <w:rPr>
          <w:rFonts w:eastAsia="Calibri"/>
          <w:lang w:val="en-GB"/>
        </w:rPr>
        <w:t>ken for granted, clean clothes we</w:t>
      </w:r>
      <w:r w:rsidRPr="001A50DE">
        <w:rPr>
          <w:rFonts w:eastAsia="Calibri"/>
          <w:lang w:val="en-GB"/>
        </w:rPr>
        <w:t xml:space="preserve">re important </w:t>
      </w:r>
      <w:r w:rsidR="005C456B" w:rsidRPr="001A50DE">
        <w:rPr>
          <w:rFonts w:eastAsia="Calibri"/>
          <w:lang w:val="en-GB"/>
        </w:rPr>
        <w:t xml:space="preserve">to </w:t>
      </w:r>
      <w:r w:rsidRPr="001A50DE">
        <w:rPr>
          <w:rFonts w:eastAsia="Calibri"/>
          <w:lang w:val="en-GB"/>
        </w:rPr>
        <w:t xml:space="preserve">the health of individuals and the community. </w:t>
      </w:r>
      <w:r w:rsidR="00B552DB" w:rsidRPr="001A50DE">
        <w:rPr>
          <w:rFonts w:eastAsia="Calibri"/>
          <w:lang w:val="en-GB"/>
        </w:rPr>
        <w:t>Research</w:t>
      </w:r>
      <w:r w:rsidRPr="001A50DE">
        <w:rPr>
          <w:rFonts w:eastAsia="Calibri"/>
          <w:lang w:val="en-GB"/>
        </w:rPr>
        <w:t xml:space="preserve"> found that the state of the </w:t>
      </w:r>
      <w:r w:rsidR="00277D0E" w:rsidRPr="001A50DE">
        <w:rPr>
          <w:rFonts w:eastAsia="Calibri"/>
          <w:lang w:val="en-GB"/>
        </w:rPr>
        <w:t xml:space="preserve">clothes </w:t>
      </w:r>
      <w:r w:rsidR="0020642D">
        <w:rPr>
          <w:rFonts w:eastAsia="Calibri"/>
          <w:lang w:val="en-GB"/>
        </w:rPr>
        <w:t>people</w:t>
      </w:r>
      <w:r w:rsidR="00277D0E" w:rsidRPr="001A50DE">
        <w:rPr>
          <w:rFonts w:eastAsia="Calibri"/>
          <w:lang w:val="en-GB"/>
        </w:rPr>
        <w:t xml:space="preserve"> wore could </w:t>
      </w:r>
      <w:r w:rsidRPr="001A50DE">
        <w:rPr>
          <w:rFonts w:eastAsia="Calibri"/>
          <w:lang w:val="en-GB"/>
        </w:rPr>
        <w:t xml:space="preserve">significantly affect </w:t>
      </w:r>
      <w:r w:rsidR="0020642D">
        <w:rPr>
          <w:rFonts w:eastAsia="Calibri"/>
          <w:lang w:val="en-GB"/>
        </w:rPr>
        <w:t>their</w:t>
      </w:r>
      <w:r w:rsidR="00277D0E" w:rsidRPr="001A50DE">
        <w:rPr>
          <w:rFonts w:eastAsia="Calibri"/>
          <w:lang w:val="en-GB"/>
        </w:rPr>
        <w:t xml:space="preserve"> </w:t>
      </w:r>
      <w:r w:rsidRPr="001A50DE">
        <w:rPr>
          <w:rFonts w:eastAsia="Calibri"/>
          <w:lang w:val="en-GB"/>
        </w:rPr>
        <w:t>self-</w:t>
      </w:r>
      <w:r w:rsidR="00277D0E" w:rsidRPr="001A50DE">
        <w:rPr>
          <w:rFonts w:eastAsia="Calibri"/>
          <w:lang w:val="en-GB"/>
        </w:rPr>
        <w:t>image</w:t>
      </w:r>
      <w:r w:rsidR="00BA23EA" w:rsidRPr="001A50DE">
        <w:rPr>
          <w:rStyle w:val="EndnoteReference"/>
          <w:rFonts w:eastAsia="Calibri"/>
          <w:lang w:val="en-GB"/>
        </w:rPr>
        <w:endnoteReference w:id="22"/>
      </w:r>
      <w:r w:rsidRPr="001A50DE">
        <w:rPr>
          <w:rFonts w:eastAsia="Calibri"/>
          <w:lang w:val="en-GB"/>
        </w:rPr>
        <w:t xml:space="preserve"> and </w:t>
      </w:r>
      <w:r w:rsidR="00277D0E" w:rsidRPr="001A50DE">
        <w:rPr>
          <w:rFonts w:eastAsia="Calibri"/>
          <w:lang w:val="en-GB"/>
        </w:rPr>
        <w:lastRenderedPageBreak/>
        <w:t xml:space="preserve">the way </w:t>
      </w:r>
      <w:r w:rsidRPr="001A50DE">
        <w:rPr>
          <w:rFonts w:eastAsia="Calibri"/>
          <w:lang w:val="en-GB"/>
        </w:rPr>
        <w:t>others view</w:t>
      </w:r>
      <w:r w:rsidR="00277D0E" w:rsidRPr="001A50DE">
        <w:rPr>
          <w:rFonts w:eastAsia="Calibri"/>
          <w:lang w:val="en-GB"/>
        </w:rPr>
        <w:t>ed</w:t>
      </w:r>
      <w:r w:rsidRPr="001A50DE">
        <w:rPr>
          <w:rFonts w:eastAsia="Calibri"/>
          <w:lang w:val="en-GB"/>
        </w:rPr>
        <w:t xml:space="preserve"> them.</w:t>
      </w:r>
      <w:r w:rsidR="00BA23EA" w:rsidRPr="001A50DE">
        <w:rPr>
          <w:rStyle w:val="EndnoteReference"/>
          <w:rFonts w:eastAsia="Calibri"/>
          <w:lang w:val="en-GB"/>
        </w:rPr>
        <w:endnoteReference w:id="23"/>
      </w:r>
      <w:r w:rsidR="00B552DB" w:rsidRPr="001A50DE">
        <w:rPr>
          <w:rFonts w:eastAsia="Calibri"/>
          <w:lang w:val="en-GB"/>
        </w:rPr>
        <w:t xml:space="preserve"> Studies found that employers we</w:t>
      </w:r>
      <w:r w:rsidRPr="001A50DE">
        <w:rPr>
          <w:rFonts w:eastAsia="Calibri"/>
          <w:lang w:val="en-GB"/>
        </w:rPr>
        <w:t>re more li</w:t>
      </w:r>
      <w:r w:rsidR="00B552DB" w:rsidRPr="001A50DE">
        <w:rPr>
          <w:rFonts w:eastAsia="Calibri"/>
          <w:lang w:val="en-GB"/>
        </w:rPr>
        <w:t>kely to hire applicants who wore</w:t>
      </w:r>
      <w:r w:rsidRPr="001A50DE">
        <w:rPr>
          <w:rFonts w:eastAsia="Calibri"/>
          <w:lang w:val="en-GB"/>
        </w:rPr>
        <w:t xml:space="preserve"> </w:t>
      </w:r>
      <w:r w:rsidR="0020642D">
        <w:rPr>
          <w:rFonts w:eastAsia="Calibri"/>
          <w:lang w:val="en-GB"/>
        </w:rPr>
        <w:t>tidy</w:t>
      </w:r>
      <w:r w:rsidR="00277D0E" w:rsidRPr="001A50DE">
        <w:rPr>
          <w:rFonts w:eastAsia="Calibri"/>
          <w:lang w:val="en-GB"/>
        </w:rPr>
        <w:t xml:space="preserve"> </w:t>
      </w:r>
      <w:r w:rsidRPr="001A50DE">
        <w:rPr>
          <w:rFonts w:eastAsia="Calibri"/>
          <w:lang w:val="en-GB"/>
        </w:rPr>
        <w:t xml:space="preserve">clothes </w:t>
      </w:r>
      <w:r w:rsidR="00B552DB" w:rsidRPr="001A50DE">
        <w:rPr>
          <w:rFonts w:eastAsia="Calibri"/>
          <w:lang w:val="en-GB"/>
        </w:rPr>
        <w:t>than those who wore</w:t>
      </w:r>
      <w:r w:rsidRPr="001A50DE">
        <w:rPr>
          <w:rFonts w:eastAsia="Calibri"/>
          <w:lang w:val="en-GB"/>
        </w:rPr>
        <w:t xml:space="preserve"> dirty or damaged clothing.</w:t>
      </w:r>
      <w:r w:rsidR="00BA23EA" w:rsidRPr="001A50DE">
        <w:rPr>
          <w:rStyle w:val="EndnoteReference"/>
          <w:rFonts w:eastAsia="Calibri"/>
          <w:lang w:val="en-GB"/>
        </w:rPr>
        <w:endnoteReference w:id="24"/>
      </w:r>
      <w:r w:rsidRPr="001A50DE">
        <w:rPr>
          <w:rFonts w:eastAsia="Calibri"/>
          <w:lang w:val="en-GB"/>
        </w:rPr>
        <w:t xml:space="preserve"> People</w:t>
      </w:r>
      <w:r w:rsidR="00B552DB" w:rsidRPr="001A50DE">
        <w:rPr>
          <w:rFonts w:eastAsia="Calibri"/>
          <w:lang w:val="en-GB"/>
        </w:rPr>
        <w:t xml:space="preserve"> had</w:t>
      </w:r>
      <w:r w:rsidRPr="001A50DE">
        <w:rPr>
          <w:rFonts w:eastAsia="Calibri"/>
          <w:lang w:val="en-GB"/>
        </w:rPr>
        <w:t xml:space="preserve"> also been found to display higher levels of concentration and competency at their jobs when </w:t>
      </w:r>
      <w:r w:rsidR="00277D0E" w:rsidRPr="001A50DE">
        <w:rPr>
          <w:rFonts w:eastAsia="Calibri"/>
          <w:lang w:val="en-GB"/>
        </w:rPr>
        <w:t xml:space="preserve">they were </w:t>
      </w:r>
      <w:r w:rsidRPr="001A50DE">
        <w:rPr>
          <w:rFonts w:eastAsia="Calibri"/>
          <w:lang w:val="en-GB"/>
        </w:rPr>
        <w:t xml:space="preserve">suitably clothed in </w:t>
      </w:r>
      <w:r w:rsidR="00277D0E" w:rsidRPr="001A50DE">
        <w:rPr>
          <w:rFonts w:eastAsia="Calibri"/>
          <w:lang w:val="en-GB"/>
        </w:rPr>
        <w:t>high-</w:t>
      </w:r>
      <w:r w:rsidRPr="001A50DE">
        <w:rPr>
          <w:rFonts w:eastAsia="Calibri"/>
          <w:lang w:val="en-GB"/>
        </w:rPr>
        <w:t xml:space="preserve">quality, </w:t>
      </w:r>
      <w:r w:rsidR="00277D0E" w:rsidRPr="001A50DE">
        <w:rPr>
          <w:rFonts w:eastAsia="Calibri"/>
          <w:lang w:val="en-GB"/>
        </w:rPr>
        <w:t>well-</w:t>
      </w:r>
      <w:r w:rsidRPr="001A50DE">
        <w:rPr>
          <w:rFonts w:eastAsia="Calibri"/>
          <w:lang w:val="en-GB"/>
        </w:rPr>
        <w:t>maintained clothing.</w:t>
      </w:r>
      <w:r w:rsidR="00BA23EA" w:rsidRPr="001A50DE">
        <w:rPr>
          <w:rStyle w:val="EndnoteReference"/>
          <w:rFonts w:eastAsia="Calibri"/>
          <w:lang w:val="en-GB"/>
        </w:rPr>
        <w:endnoteReference w:id="25"/>
      </w:r>
      <w:r w:rsidRPr="001A50DE">
        <w:rPr>
          <w:rFonts w:eastAsia="Calibri"/>
          <w:lang w:val="en-GB"/>
        </w:rPr>
        <w:t xml:space="preserve"> </w:t>
      </w:r>
      <w:r w:rsidR="00277D0E" w:rsidRPr="001A50DE">
        <w:rPr>
          <w:rFonts w:eastAsia="Calibri"/>
          <w:lang w:val="en-GB"/>
        </w:rPr>
        <w:t>S</w:t>
      </w:r>
      <w:r w:rsidRPr="001A50DE">
        <w:rPr>
          <w:rFonts w:eastAsia="Calibri"/>
          <w:lang w:val="en-GB"/>
        </w:rPr>
        <w:t xml:space="preserve">tudies </w:t>
      </w:r>
      <w:r w:rsidR="00277D0E" w:rsidRPr="001A50DE">
        <w:rPr>
          <w:rFonts w:eastAsia="Calibri"/>
          <w:lang w:val="en-GB"/>
        </w:rPr>
        <w:t xml:space="preserve">also </w:t>
      </w:r>
      <w:r w:rsidRPr="001A50DE">
        <w:rPr>
          <w:rFonts w:eastAsia="Calibri"/>
          <w:lang w:val="en-GB"/>
        </w:rPr>
        <w:t>found that people often adopted characteristics of the clothes they were wearing.</w:t>
      </w:r>
      <w:r w:rsidR="00BA23EA" w:rsidRPr="001A50DE">
        <w:rPr>
          <w:rStyle w:val="EndnoteReference"/>
          <w:rFonts w:eastAsia="Calibri"/>
          <w:lang w:val="en-GB"/>
        </w:rPr>
        <w:endnoteReference w:id="26"/>
      </w:r>
      <w:r w:rsidRPr="001A50DE">
        <w:rPr>
          <w:rFonts w:eastAsia="Calibri"/>
          <w:lang w:val="en-GB"/>
        </w:rPr>
        <w:t xml:space="preserve"> This </w:t>
      </w:r>
      <w:r w:rsidR="005A36B6">
        <w:rPr>
          <w:rFonts w:eastAsia="Calibri"/>
          <w:lang w:val="en-GB"/>
        </w:rPr>
        <w:t xml:space="preserve">finding </w:t>
      </w:r>
      <w:r w:rsidRPr="001A50DE">
        <w:rPr>
          <w:rFonts w:eastAsia="Calibri"/>
          <w:lang w:val="en-GB"/>
        </w:rPr>
        <w:t xml:space="preserve">meant </w:t>
      </w:r>
      <w:r w:rsidR="005A36B6">
        <w:rPr>
          <w:rFonts w:eastAsia="Calibri"/>
          <w:lang w:val="en-GB"/>
        </w:rPr>
        <w:t xml:space="preserve">that </w:t>
      </w:r>
      <w:r w:rsidRPr="001A50DE">
        <w:rPr>
          <w:rFonts w:eastAsia="Calibri"/>
          <w:lang w:val="en-GB"/>
        </w:rPr>
        <w:t>people in dirty, worn clothing often expressed lower self-confidence and felt worse about themselves</w:t>
      </w:r>
      <w:r w:rsidR="00277D0E" w:rsidRPr="001A50DE">
        <w:rPr>
          <w:rFonts w:eastAsia="Calibri"/>
          <w:lang w:val="en-GB"/>
        </w:rPr>
        <w:t xml:space="preserve"> than</w:t>
      </w:r>
      <w:r w:rsidRPr="001A50DE">
        <w:rPr>
          <w:rFonts w:eastAsia="Calibri"/>
          <w:lang w:val="en-GB"/>
        </w:rPr>
        <w:t xml:space="preserve"> those </w:t>
      </w:r>
      <w:r w:rsidR="00277D0E" w:rsidRPr="001A50DE">
        <w:rPr>
          <w:rFonts w:eastAsia="Calibri"/>
          <w:lang w:val="en-GB"/>
        </w:rPr>
        <w:t xml:space="preserve">who were </w:t>
      </w:r>
      <w:r w:rsidRPr="001A50DE">
        <w:rPr>
          <w:rFonts w:eastAsia="Calibri"/>
          <w:lang w:val="en-GB"/>
        </w:rPr>
        <w:t>cleanly dressed.</w:t>
      </w:r>
      <w:r w:rsidR="00F04BB7" w:rsidRPr="001A50DE">
        <w:rPr>
          <w:rFonts w:eastAsia="Calibri"/>
          <w:vertAlign w:val="superscript"/>
          <w:lang w:val="en-GB"/>
        </w:rPr>
        <w:t xml:space="preserve"> </w:t>
      </w:r>
      <w:r w:rsidRPr="001A50DE">
        <w:rPr>
          <w:rFonts w:eastAsia="Calibri"/>
          <w:lang w:val="en-GB"/>
        </w:rPr>
        <w:t xml:space="preserve">All of this </w:t>
      </w:r>
      <w:r w:rsidR="005A36B6">
        <w:rPr>
          <w:rFonts w:eastAsia="Calibri"/>
          <w:lang w:val="en-GB"/>
        </w:rPr>
        <w:t xml:space="preserve">research </w:t>
      </w:r>
      <w:r w:rsidRPr="001A50DE">
        <w:rPr>
          <w:rFonts w:eastAsia="Calibri"/>
          <w:lang w:val="en-GB"/>
        </w:rPr>
        <w:t>demonstrated that, by helping people keep their clothes clean and in good shape</w:t>
      </w:r>
      <w:r w:rsidR="00277D0E" w:rsidRPr="001A50DE">
        <w:rPr>
          <w:rFonts w:eastAsia="Calibri"/>
          <w:lang w:val="en-GB"/>
        </w:rPr>
        <w:t>,</w:t>
      </w:r>
      <w:r w:rsidRPr="001A50DE">
        <w:rPr>
          <w:rFonts w:eastAsia="Calibri"/>
          <w:lang w:val="en-GB"/>
        </w:rPr>
        <w:t xml:space="preserve"> FTLOL was improving community and personal health. </w:t>
      </w:r>
      <w:r w:rsidR="00277D0E" w:rsidRPr="001A50DE">
        <w:rPr>
          <w:rFonts w:eastAsia="Calibri"/>
          <w:lang w:val="en-GB"/>
        </w:rPr>
        <w:t>The business was</w:t>
      </w:r>
      <w:r w:rsidRPr="001A50DE">
        <w:rPr>
          <w:rFonts w:eastAsia="Calibri"/>
          <w:lang w:val="en-GB"/>
        </w:rPr>
        <w:t xml:space="preserve"> helping improve the employability, productivity, well-being, and general confidence of those who could not afford to maintain their clothing. </w:t>
      </w:r>
    </w:p>
    <w:p w14:paraId="22846546" w14:textId="77777777" w:rsidR="00CB784C" w:rsidRPr="001A50DE" w:rsidRDefault="00CB784C" w:rsidP="00CB784C">
      <w:pPr>
        <w:pStyle w:val="BodyTextMain"/>
        <w:rPr>
          <w:rFonts w:eastAsia="Calibri"/>
          <w:lang w:val="en-GB"/>
        </w:rPr>
      </w:pPr>
    </w:p>
    <w:p w14:paraId="4C2DE4FA" w14:textId="1B03F744" w:rsidR="00820F7C" w:rsidRPr="00E578E0" w:rsidRDefault="00B552DB" w:rsidP="00CB784C">
      <w:pPr>
        <w:pStyle w:val="BodyTextMain"/>
        <w:rPr>
          <w:rFonts w:eastAsia="Calibri"/>
          <w:lang w:val="en-GB"/>
        </w:rPr>
      </w:pPr>
      <w:r w:rsidRPr="001A50DE">
        <w:rPr>
          <w:rFonts w:eastAsia="Calibri"/>
          <w:lang w:val="en-GB"/>
        </w:rPr>
        <w:t>FTLOL</w:t>
      </w:r>
      <w:r w:rsidR="00820F7C" w:rsidRPr="001A50DE">
        <w:rPr>
          <w:rFonts w:eastAsia="Calibri"/>
          <w:lang w:val="en-GB"/>
        </w:rPr>
        <w:t xml:space="preserve"> offered customers the opportunity to </w:t>
      </w:r>
      <w:r w:rsidR="0020642D">
        <w:rPr>
          <w:rFonts w:eastAsia="Calibri"/>
          <w:lang w:val="en-GB"/>
        </w:rPr>
        <w:t>help</w:t>
      </w:r>
      <w:r w:rsidR="00820F7C" w:rsidRPr="001A50DE">
        <w:rPr>
          <w:rFonts w:eastAsia="Calibri"/>
          <w:lang w:val="en-GB"/>
        </w:rPr>
        <w:t xml:space="preserve"> </w:t>
      </w:r>
      <w:r w:rsidR="005A36B6">
        <w:rPr>
          <w:rFonts w:eastAsia="Calibri"/>
          <w:lang w:val="en-GB"/>
        </w:rPr>
        <w:t>a</w:t>
      </w:r>
      <w:r w:rsidR="00277D0E" w:rsidRPr="001A50DE">
        <w:rPr>
          <w:rFonts w:eastAsia="Calibri"/>
          <w:lang w:val="en-GB"/>
        </w:rPr>
        <w:t xml:space="preserve"> </w:t>
      </w:r>
      <w:r w:rsidR="00820F7C" w:rsidRPr="001A50DE">
        <w:rPr>
          <w:rFonts w:eastAsia="Calibri"/>
          <w:lang w:val="en-GB"/>
        </w:rPr>
        <w:t>substantial number of Canadians who struggle</w:t>
      </w:r>
      <w:r w:rsidR="00277D0E" w:rsidRPr="001A50DE">
        <w:rPr>
          <w:rFonts w:eastAsia="Calibri"/>
          <w:lang w:val="en-GB"/>
        </w:rPr>
        <w:t>d</w:t>
      </w:r>
      <w:r w:rsidR="00820F7C" w:rsidRPr="001A50DE">
        <w:rPr>
          <w:rFonts w:eastAsia="Calibri"/>
          <w:lang w:val="en-GB"/>
        </w:rPr>
        <w:t xml:space="preserve"> financially to enjoy the benefits of clean clothes. By giving customers this feeling of satisfaction while fulfilling </w:t>
      </w:r>
      <w:r w:rsidR="00277D0E" w:rsidRPr="001A50DE">
        <w:rPr>
          <w:rFonts w:eastAsia="Calibri"/>
          <w:lang w:val="en-GB"/>
        </w:rPr>
        <w:t xml:space="preserve">its </w:t>
      </w:r>
      <w:r w:rsidR="00820F7C" w:rsidRPr="001A50DE">
        <w:rPr>
          <w:rFonts w:eastAsia="Calibri"/>
          <w:lang w:val="en-GB"/>
        </w:rPr>
        <w:t xml:space="preserve">social mission, </w:t>
      </w:r>
      <w:r w:rsidR="00277D0E" w:rsidRPr="001A50DE">
        <w:rPr>
          <w:rFonts w:eastAsia="Calibri"/>
          <w:lang w:val="en-GB"/>
        </w:rPr>
        <w:t xml:space="preserve">FTLOL had </w:t>
      </w:r>
      <w:r w:rsidR="00820F7C" w:rsidRPr="001A50DE">
        <w:rPr>
          <w:rFonts w:eastAsia="Calibri"/>
          <w:lang w:val="en-GB"/>
        </w:rPr>
        <w:t xml:space="preserve">been able to add value to the brand and product line. </w:t>
      </w:r>
      <w:r w:rsidR="00277D0E" w:rsidRPr="001A50DE">
        <w:rPr>
          <w:rFonts w:eastAsia="Calibri"/>
          <w:lang w:val="en-GB"/>
        </w:rPr>
        <w:t>A</w:t>
      </w:r>
      <w:r w:rsidR="00820F7C" w:rsidRPr="001A50DE">
        <w:rPr>
          <w:rFonts w:eastAsia="Calibri"/>
          <w:lang w:val="en-GB"/>
        </w:rPr>
        <w:t xml:space="preserve">s FTLOL grew and sought to expand </w:t>
      </w:r>
      <w:r w:rsidR="00277D0E" w:rsidRPr="001A50DE">
        <w:rPr>
          <w:rFonts w:eastAsia="Calibri"/>
          <w:lang w:val="en-GB"/>
        </w:rPr>
        <w:t xml:space="preserve">its </w:t>
      </w:r>
      <w:r w:rsidR="00820F7C" w:rsidRPr="001A50DE">
        <w:rPr>
          <w:rFonts w:eastAsia="Calibri"/>
          <w:lang w:val="en-GB"/>
        </w:rPr>
        <w:t xml:space="preserve">social impact, </w:t>
      </w:r>
      <w:r w:rsidR="00277D0E" w:rsidRPr="001A50DE">
        <w:rPr>
          <w:rFonts w:eastAsia="Calibri"/>
          <w:lang w:val="en-GB"/>
        </w:rPr>
        <w:t xml:space="preserve">the company </w:t>
      </w:r>
      <w:r w:rsidR="00820F7C" w:rsidRPr="001A50DE">
        <w:rPr>
          <w:rFonts w:eastAsia="Calibri"/>
          <w:lang w:val="en-GB"/>
        </w:rPr>
        <w:t xml:space="preserve">hoped that the opportunity to give back to </w:t>
      </w:r>
      <w:r w:rsidR="00277D0E" w:rsidRPr="001A50DE">
        <w:rPr>
          <w:rFonts w:eastAsia="Calibri"/>
          <w:lang w:val="en-GB"/>
        </w:rPr>
        <w:t>company-</w:t>
      </w:r>
      <w:r w:rsidR="00820F7C" w:rsidRPr="001A50DE">
        <w:rPr>
          <w:rFonts w:eastAsia="Calibri"/>
          <w:lang w:val="en-GB"/>
        </w:rPr>
        <w:t>branded laundromats in specific communities would generate more interest and sales from the people within those communities.</w:t>
      </w:r>
    </w:p>
    <w:p w14:paraId="17B62DA7" w14:textId="77777777" w:rsidR="00CB784C" w:rsidRPr="001A50DE" w:rsidRDefault="00CB784C" w:rsidP="00CB784C">
      <w:pPr>
        <w:pStyle w:val="BodyTextMain"/>
        <w:rPr>
          <w:lang w:val="en-GB"/>
        </w:rPr>
      </w:pPr>
    </w:p>
    <w:p w14:paraId="4302298C" w14:textId="77777777" w:rsidR="00CB784C" w:rsidRPr="001A50DE" w:rsidRDefault="00CB784C" w:rsidP="00CB784C">
      <w:pPr>
        <w:pStyle w:val="BodyTextMain"/>
        <w:rPr>
          <w:lang w:val="en-GB"/>
        </w:rPr>
      </w:pPr>
    </w:p>
    <w:p w14:paraId="4500BD72" w14:textId="552D3335" w:rsidR="00820F7C" w:rsidRPr="001A50DE" w:rsidRDefault="00820F7C" w:rsidP="00CB784C">
      <w:pPr>
        <w:pStyle w:val="Casehead1"/>
        <w:rPr>
          <w:rFonts w:eastAsia="Calibri"/>
          <w:lang w:val="en-GB"/>
        </w:rPr>
      </w:pPr>
      <w:r w:rsidRPr="001A50DE">
        <w:rPr>
          <w:rFonts w:eastAsia="Calibri"/>
          <w:lang w:val="en-GB"/>
        </w:rPr>
        <w:t>Scaling Up and Identity</w:t>
      </w:r>
    </w:p>
    <w:p w14:paraId="4870933C" w14:textId="77777777" w:rsidR="00CB784C" w:rsidRPr="001A50DE" w:rsidRDefault="00CB784C" w:rsidP="00CB784C">
      <w:pPr>
        <w:pStyle w:val="BodyTextMain"/>
        <w:rPr>
          <w:rFonts w:eastAsia="Calibri"/>
          <w:lang w:val="en-GB"/>
        </w:rPr>
      </w:pPr>
    </w:p>
    <w:p w14:paraId="21CD2FF4" w14:textId="238DD79B" w:rsidR="00820F7C" w:rsidRPr="001A50DE" w:rsidRDefault="00820F7C" w:rsidP="00CB784C">
      <w:pPr>
        <w:pStyle w:val="BodyTextMain"/>
        <w:rPr>
          <w:rFonts w:eastAsia="Calibri"/>
          <w:lang w:val="en-GB"/>
        </w:rPr>
      </w:pPr>
      <w:r w:rsidRPr="001A50DE">
        <w:rPr>
          <w:rFonts w:eastAsia="Calibri"/>
          <w:lang w:val="en-GB"/>
        </w:rPr>
        <w:t xml:space="preserve">Looking forward to the future, Power realized </w:t>
      </w:r>
      <w:r w:rsidR="0020642D">
        <w:rPr>
          <w:rFonts w:eastAsia="Calibri"/>
          <w:lang w:val="en-GB"/>
        </w:rPr>
        <w:t xml:space="preserve">that </w:t>
      </w:r>
      <w:r w:rsidRPr="001A50DE">
        <w:rPr>
          <w:rFonts w:eastAsia="Calibri"/>
          <w:lang w:val="en-GB"/>
        </w:rPr>
        <w:t>FTLOL had four str</w:t>
      </w:r>
      <w:r w:rsidR="0056454B" w:rsidRPr="001A50DE">
        <w:rPr>
          <w:rFonts w:eastAsia="Calibri"/>
          <w:lang w:val="en-GB"/>
        </w:rPr>
        <w:t xml:space="preserve">uctural options: </w:t>
      </w:r>
      <w:r w:rsidR="00277D0E" w:rsidRPr="001A50DE">
        <w:rPr>
          <w:rFonts w:eastAsia="Calibri"/>
          <w:lang w:val="en-GB"/>
        </w:rPr>
        <w:t>it could operate as a</w:t>
      </w:r>
      <w:r w:rsidR="0056454B" w:rsidRPr="001A50DE">
        <w:rPr>
          <w:rFonts w:eastAsia="Calibri"/>
          <w:lang w:val="en-GB"/>
        </w:rPr>
        <w:t xml:space="preserve"> for-profit</w:t>
      </w:r>
      <w:r w:rsidR="00277D0E" w:rsidRPr="001A50DE">
        <w:rPr>
          <w:rFonts w:eastAsia="Calibri"/>
          <w:lang w:val="en-GB"/>
        </w:rPr>
        <w:t xml:space="preserve"> business, </w:t>
      </w:r>
      <w:r w:rsidR="00D12B5B" w:rsidRPr="001A50DE">
        <w:rPr>
          <w:rFonts w:eastAsia="Calibri"/>
          <w:lang w:val="en-GB"/>
        </w:rPr>
        <w:t>an NPO</w:t>
      </w:r>
      <w:r w:rsidR="00277D0E" w:rsidRPr="001A50DE">
        <w:rPr>
          <w:rFonts w:eastAsia="Calibri"/>
          <w:lang w:val="en-GB"/>
        </w:rPr>
        <w:t>, a</w:t>
      </w:r>
      <w:r w:rsidRPr="001A50DE">
        <w:rPr>
          <w:rFonts w:eastAsia="Calibri"/>
          <w:lang w:val="en-GB"/>
        </w:rPr>
        <w:t xml:space="preserve"> registered charity</w:t>
      </w:r>
      <w:r w:rsidR="00277D0E" w:rsidRPr="001A50DE">
        <w:rPr>
          <w:rFonts w:eastAsia="Calibri"/>
          <w:lang w:val="en-GB"/>
        </w:rPr>
        <w:t xml:space="preserve">, </w:t>
      </w:r>
      <w:r w:rsidRPr="001A50DE">
        <w:rPr>
          <w:rFonts w:eastAsia="Calibri"/>
          <w:lang w:val="en-GB"/>
        </w:rPr>
        <w:t xml:space="preserve">or </w:t>
      </w:r>
      <w:r w:rsidR="00277D0E" w:rsidRPr="001A50DE">
        <w:rPr>
          <w:rFonts w:eastAsia="Calibri"/>
          <w:lang w:val="en-GB"/>
        </w:rPr>
        <w:t>a</w:t>
      </w:r>
      <w:r w:rsidRPr="001A50DE">
        <w:rPr>
          <w:rFonts w:eastAsia="Calibri"/>
          <w:lang w:val="en-GB"/>
        </w:rPr>
        <w:t xml:space="preserve"> co-operative</w:t>
      </w:r>
      <w:r w:rsidR="0056454B" w:rsidRPr="001A50DE">
        <w:rPr>
          <w:rFonts w:eastAsia="Calibri"/>
          <w:lang w:val="en-GB"/>
        </w:rPr>
        <w:t>.</w:t>
      </w:r>
    </w:p>
    <w:p w14:paraId="57B55E3C" w14:textId="77777777" w:rsidR="00CB784C" w:rsidRPr="001A50DE" w:rsidRDefault="00CB784C" w:rsidP="00CB784C">
      <w:pPr>
        <w:pStyle w:val="BodyTextMain"/>
        <w:rPr>
          <w:rFonts w:eastAsia="Calibri"/>
          <w:lang w:val="en-GB"/>
        </w:rPr>
      </w:pPr>
    </w:p>
    <w:p w14:paraId="63ECFF48" w14:textId="77777777" w:rsidR="00CB784C" w:rsidRPr="001A50DE" w:rsidRDefault="00CB784C" w:rsidP="00CB784C">
      <w:pPr>
        <w:pStyle w:val="BodyTextMain"/>
        <w:rPr>
          <w:rFonts w:eastAsia="Calibri"/>
          <w:lang w:val="en-GB"/>
        </w:rPr>
      </w:pPr>
    </w:p>
    <w:p w14:paraId="160A650B" w14:textId="4472FC5C" w:rsidR="00820F7C" w:rsidRPr="001A50DE" w:rsidRDefault="00820F7C" w:rsidP="0056454B">
      <w:pPr>
        <w:pStyle w:val="Casehead2"/>
        <w:rPr>
          <w:rFonts w:eastAsia="Calibri"/>
          <w:lang w:val="en-GB"/>
        </w:rPr>
      </w:pPr>
      <w:r w:rsidRPr="001A50DE">
        <w:rPr>
          <w:rFonts w:eastAsia="Calibri"/>
          <w:lang w:val="en-GB"/>
        </w:rPr>
        <w:t>For-</w:t>
      </w:r>
      <w:r w:rsidR="00277D0E" w:rsidRPr="001A50DE">
        <w:rPr>
          <w:rFonts w:eastAsia="Calibri"/>
          <w:lang w:val="en-GB"/>
        </w:rPr>
        <w:t>Profit Business</w:t>
      </w:r>
    </w:p>
    <w:p w14:paraId="27D32273" w14:textId="77777777" w:rsidR="00CB784C" w:rsidRPr="00694D30" w:rsidRDefault="00CB784C" w:rsidP="00CB784C">
      <w:pPr>
        <w:pStyle w:val="BodyTextMain"/>
        <w:rPr>
          <w:rFonts w:eastAsia="Calibri"/>
          <w:sz w:val="18"/>
          <w:szCs w:val="18"/>
          <w:lang w:val="en-GB"/>
        </w:rPr>
      </w:pPr>
    </w:p>
    <w:p w14:paraId="69DD6C3E" w14:textId="12FE6A00" w:rsidR="00820F7C" w:rsidRPr="00694D30" w:rsidRDefault="0056454B" w:rsidP="00CB784C">
      <w:pPr>
        <w:pStyle w:val="BodyTextMain"/>
        <w:rPr>
          <w:rFonts w:eastAsia="Calibri"/>
          <w:spacing w:val="-2"/>
          <w:kern w:val="22"/>
          <w:lang w:val="en-GB"/>
        </w:rPr>
      </w:pPr>
      <w:r w:rsidRPr="00694D30">
        <w:rPr>
          <w:rFonts w:eastAsia="Calibri"/>
          <w:spacing w:val="-2"/>
          <w:kern w:val="22"/>
          <w:lang w:val="en-GB"/>
        </w:rPr>
        <w:t>There wer</w:t>
      </w:r>
      <w:r w:rsidR="00820F7C" w:rsidRPr="00694D30">
        <w:rPr>
          <w:rFonts w:eastAsia="Calibri"/>
          <w:spacing w:val="-2"/>
          <w:kern w:val="22"/>
          <w:lang w:val="en-GB"/>
        </w:rPr>
        <w:t xml:space="preserve">e four potential benefits to </w:t>
      </w:r>
      <w:r w:rsidR="009D0274" w:rsidRPr="00694D30">
        <w:rPr>
          <w:rFonts w:eastAsia="Calibri"/>
          <w:spacing w:val="-2"/>
          <w:kern w:val="22"/>
          <w:lang w:val="en-GB"/>
        </w:rPr>
        <w:t xml:space="preserve">continuing </w:t>
      </w:r>
      <w:r w:rsidR="00820F7C" w:rsidRPr="00694D30">
        <w:rPr>
          <w:rFonts w:eastAsia="Calibri"/>
          <w:spacing w:val="-2"/>
          <w:kern w:val="22"/>
          <w:lang w:val="en-GB"/>
        </w:rPr>
        <w:t>as a for-profit organization</w:t>
      </w:r>
      <w:r w:rsidR="009D0274" w:rsidRPr="00694D30">
        <w:rPr>
          <w:rFonts w:eastAsia="Calibri"/>
          <w:spacing w:val="-2"/>
          <w:kern w:val="22"/>
          <w:lang w:val="en-GB"/>
        </w:rPr>
        <w:t>. First,</w:t>
      </w:r>
      <w:r w:rsidRPr="00694D30">
        <w:rPr>
          <w:rFonts w:eastAsia="Calibri"/>
          <w:spacing w:val="-2"/>
          <w:kern w:val="22"/>
          <w:lang w:val="en-GB"/>
        </w:rPr>
        <w:t xml:space="preserve"> </w:t>
      </w:r>
      <w:r w:rsidR="009D0274" w:rsidRPr="00694D30">
        <w:rPr>
          <w:rFonts w:eastAsia="Calibri"/>
          <w:spacing w:val="-2"/>
          <w:kern w:val="22"/>
          <w:lang w:val="en-GB"/>
        </w:rPr>
        <w:t xml:space="preserve">a </w:t>
      </w:r>
      <w:r w:rsidR="00820F7C" w:rsidRPr="00694D30">
        <w:rPr>
          <w:rFonts w:eastAsia="Calibri"/>
          <w:spacing w:val="-2"/>
          <w:kern w:val="22"/>
          <w:lang w:val="en-GB"/>
        </w:rPr>
        <w:t>for-profit model c</w:t>
      </w:r>
      <w:r w:rsidR="009B512D" w:rsidRPr="00694D30">
        <w:rPr>
          <w:rFonts w:eastAsia="Calibri"/>
          <w:spacing w:val="-2"/>
          <w:kern w:val="22"/>
          <w:lang w:val="en-GB"/>
        </w:rPr>
        <w:t>a</w:t>
      </w:r>
      <w:r w:rsidR="00820F7C" w:rsidRPr="00694D30">
        <w:rPr>
          <w:rFonts w:eastAsia="Calibri"/>
          <w:spacing w:val="-2"/>
          <w:kern w:val="22"/>
          <w:lang w:val="en-GB"/>
        </w:rPr>
        <w:t xml:space="preserve">me with a wealth of </w:t>
      </w:r>
      <w:r w:rsidR="0026078D" w:rsidRPr="00694D30">
        <w:rPr>
          <w:rFonts w:eastAsia="Calibri"/>
          <w:spacing w:val="-2"/>
          <w:kern w:val="22"/>
          <w:lang w:val="en-GB"/>
        </w:rPr>
        <w:t>established growth practices</w:t>
      </w:r>
      <w:r w:rsidR="00820F7C" w:rsidRPr="00694D30">
        <w:rPr>
          <w:rFonts w:eastAsia="Calibri"/>
          <w:spacing w:val="-2"/>
          <w:kern w:val="22"/>
          <w:lang w:val="en-GB"/>
        </w:rPr>
        <w:t xml:space="preserve"> </w:t>
      </w:r>
      <w:r w:rsidR="009D0274" w:rsidRPr="00694D30">
        <w:rPr>
          <w:rFonts w:eastAsia="Calibri"/>
          <w:spacing w:val="-2"/>
          <w:kern w:val="22"/>
          <w:lang w:val="en-GB"/>
        </w:rPr>
        <w:t>based on the creation of</w:t>
      </w:r>
      <w:r w:rsidR="00820F7C" w:rsidRPr="00694D30">
        <w:rPr>
          <w:rFonts w:eastAsia="Calibri"/>
          <w:spacing w:val="-2"/>
          <w:kern w:val="22"/>
          <w:lang w:val="en-GB"/>
        </w:rPr>
        <w:t xml:space="preserve"> a </w:t>
      </w:r>
      <w:r w:rsidR="00CC1588" w:rsidRPr="00694D30">
        <w:rPr>
          <w:rFonts w:eastAsia="Calibri"/>
          <w:spacing w:val="-2"/>
          <w:kern w:val="22"/>
          <w:lang w:val="en-GB"/>
        </w:rPr>
        <w:t>business</w:t>
      </w:r>
      <w:r w:rsidR="00820F7C" w:rsidRPr="00694D30">
        <w:rPr>
          <w:rFonts w:eastAsia="Calibri"/>
          <w:spacing w:val="-2"/>
          <w:kern w:val="22"/>
          <w:lang w:val="en-GB"/>
        </w:rPr>
        <w:t xml:space="preserve"> plan</w:t>
      </w:r>
      <w:r w:rsidRPr="00694D30">
        <w:rPr>
          <w:rFonts w:eastAsia="Calibri"/>
          <w:spacing w:val="-2"/>
          <w:kern w:val="22"/>
          <w:lang w:val="en-GB"/>
        </w:rPr>
        <w:t>.</w:t>
      </w:r>
      <w:r w:rsidR="00820F7C" w:rsidRPr="00694D30">
        <w:rPr>
          <w:rFonts w:eastAsia="Calibri"/>
          <w:spacing w:val="-2"/>
          <w:kern w:val="22"/>
          <w:lang w:val="en-GB"/>
        </w:rPr>
        <w:t xml:space="preserve"> </w:t>
      </w:r>
      <w:r w:rsidR="009D0274" w:rsidRPr="00694D30">
        <w:rPr>
          <w:rFonts w:eastAsia="Calibri"/>
          <w:spacing w:val="-2"/>
          <w:kern w:val="22"/>
          <w:lang w:val="en-GB"/>
        </w:rPr>
        <w:t>Second, f</w:t>
      </w:r>
      <w:r w:rsidR="004B7539" w:rsidRPr="00694D30">
        <w:rPr>
          <w:rFonts w:eastAsia="Calibri"/>
          <w:spacing w:val="-2"/>
          <w:kern w:val="22"/>
          <w:lang w:val="en-GB"/>
        </w:rPr>
        <w:t>or-profit social enterprises c</w:t>
      </w:r>
      <w:r w:rsidR="00EE69BF" w:rsidRPr="00694D30">
        <w:rPr>
          <w:rFonts w:eastAsia="Calibri"/>
          <w:spacing w:val="-2"/>
          <w:kern w:val="22"/>
          <w:lang w:val="en-GB"/>
        </w:rPr>
        <w:t>ould</w:t>
      </w:r>
      <w:r w:rsidR="004B7539" w:rsidRPr="00694D30">
        <w:rPr>
          <w:rFonts w:eastAsia="Calibri"/>
          <w:spacing w:val="-2"/>
          <w:kern w:val="22"/>
          <w:lang w:val="en-GB"/>
        </w:rPr>
        <w:t xml:space="preserve"> pursue revenue</w:t>
      </w:r>
      <w:r w:rsidR="002644BA" w:rsidRPr="00694D30">
        <w:rPr>
          <w:rFonts w:eastAsia="Calibri"/>
          <w:spacing w:val="-2"/>
          <w:kern w:val="22"/>
          <w:lang w:val="en-GB"/>
        </w:rPr>
        <w:t>,</w:t>
      </w:r>
      <w:r w:rsidR="004B7539" w:rsidRPr="00694D30">
        <w:rPr>
          <w:rFonts w:eastAsia="Calibri"/>
          <w:spacing w:val="-2"/>
          <w:kern w:val="22"/>
          <w:lang w:val="en-GB"/>
        </w:rPr>
        <w:t xml:space="preserve"> manage their assets</w:t>
      </w:r>
      <w:r w:rsidR="002644BA" w:rsidRPr="00694D30">
        <w:rPr>
          <w:rFonts w:eastAsia="Calibri"/>
          <w:spacing w:val="-2"/>
          <w:kern w:val="22"/>
          <w:lang w:val="en-GB"/>
        </w:rPr>
        <w:t xml:space="preserve">, and utilize profits </w:t>
      </w:r>
      <w:r w:rsidR="004B7539" w:rsidRPr="00694D30">
        <w:rPr>
          <w:rFonts w:eastAsia="Calibri"/>
          <w:spacing w:val="-2"/>
          <w:kern w:val="22"/>
          <w:lang w:val="en-GB"/>
        </w:rPr>
        <w:t>without legal restriction</w:t>
      </w:r>
      <w:r w:rsidR="009D0274" w:rsidRPr="00694D30">
        <w:rPr>
          <w:rFonts w:eastAsia="Calibri"/>
          <w:spacing w:val="-2"/>
          <w:kern w:val="22"/>
          <w:lang w:val="en-GB"/>
        </w:rPr>
        <w:t>s</w:t>
      </w:r>
      <w:r w:rsidR="004343A5">
        <w:rPr>
          <w:rFonts w:eastAsia="Calibri"/>
          <w:spacing w:val="-2"/>
          <w:kern w:val="22"/>
          <w:lang w:val="en-GB"/>
        </w:rPr>
        <w:t>, which</w:t>
      </w:r>
      <w:r w:rsidR="002644BA" w:rsidRPr="00694D30">
        <w:rPr>
          <w:rFonts w:eastAsia="Calibri"/>
          <w:spacing w:val="-2"/>
          <w:kern w:val="22"/>
          <w:lang w:val="en-GB"/>
        </w:rPr>
        <w:t xml:space="preserve"> allow</w:t>
      </w:r>
      <w:r w:rsidR="009B512D" w:rsidRPr="00694D30">
        <w:rPr>
          <w:rFonts w:eastAsia="Calibri"/>
          <w:spacing w:val="-2"/>
          <w:kern w:val="22"/>
          <w:lang w:val="en-GB"/>
        </w:rPr>
        <w:t>ed</w:t>
      </w:r>
      <w:r w:rsidR="002644BA" w:rsidRPr="00694D30">
        <w:rPr>
          <w:rFonts w:eastAsia="Calibri"/>
          <w:spacing w:val="-2"/>
          <w:kern w:val="22"/>
          <w:lang w:val="en-GB"/>
        </w:rPr>
        <w:t xml:space="preserve"> them to fully utilize growth tools </w:t>
      </w:r>
      <w:r w:rsidR="004343A5">
        <w:rPr>
          <w:rFonts w:eastAsia="Calibri"/>
          <w:spacing w:val="-2"/>
          <w:kern w:val="22"/>
          <w:lang w:val="en-GB"/>
        </w:rPr>
        <w:t>such as</w:t>
      </w:r>
      <w:r w:rsidR="004343A5" w:rsidRPr="00694D30">
        <w:rPr>
          <w:rFonts w:eastAsia="Calibri"/>
          <w:spacing w:val="-2"/>
          <w:kern w:val="22"/>
          <w:lang w:val="en-GB"/>
        </w:rPr>
        <w:t xml:space="preserve"> </w:t>
      </w:r>
      <w:r w:rsidR="002644BA" w:rsidRPr="00694D30">
        <w:rPr>
          <w:rFonts w:eastAsia="Calibri"/>
          <w:spacing w:val="-2"/>
          <w:kern w:val="22"/>
          <w:lang w:val="en-GB"/>
        </w:rPr>
        <w:t>debt without losing organizational control</w:t>
      </w:r>
      <w:r w:rsidR="00820F7C" w:rsidRPr="00694D30">
        <w:rPr>
          <w:rFonts w:eastAsia="Calibri"/>
          <w:spacing w:val="-2"/>
          <w:kern w:val="22"/>
          <w:lang w:val="en-GB"/>
        </w:rPr>
        <w:t>.</w:t>
      </w:r>
      <w:r w:rsidR="00BA23EA" w:rsidRPr="00694D30">
        <w:rPr>
          <w:rStyle w:val="EndnoteReference"/>
          <w:rFonts w:eastAsia="Calibri"/>
          <w:spacing w:val="-2"/>
          <w:kern w:val="22"/>
          <w:lang w:val="en-GB"/>
        </w:rPr>
        <w:endnoteReference w:id="27"/>
      </w:r>
      <w:r w:rsidR="00820F7C" w:rsidRPr="00694D30">
        <w:rPr>
          <w:rFonts w:eastAsia="Calibri"/>
          <w:spacing w:val="-2"/>
          <w:kern w:val="22"/>
          <w:lang w:val="en-GB"/>
        </w:rPr>
        <w:t xml:space="preserve"> </w:t>
      </w:r>
      <w:r w:rsidR="009D0274" w:rsidRPr="00694D30">
        <w:rPr>
          <w:rFonts w:eastAsia="Calibri"/>
          <w:spacing w:val="-2"/>
          <w:kern w:val="22"/>
          <w:lang w:val="en-GB"/>
        </w:rPr>
        <w:t>Third, a</w:t>
      </w:r>
      <w:r w:rsidR="00820F7C" w:rsidRPr="00694D30">
        <w:rPr>
          <w:rFonts w:eastAsia="Calibri"/>
          <w:spacing w:val="-2"/>
          <w:kern w:val="22"/>
          <w:lang w:val="en-GB"/>
        </w:rPr>
        <w:t xml:space="preserve"> for-profit structure would attract traditional investors with the promise of financial return. </w:t>
      </w:r>
      <w:r w:rsidR="009D0274" w:rsidRPr="00694D30">
        <w:rPr>
          <w:rFonts w:eastAsia="Calibri"/>
          <w:spacing w:val="-2"/>
          <w:kern w:val="22"/>
          <w:lang w:val="en-GB"/>
        </w:rPr>
        <w:t>Finally, f</w:t>
      </w:r>
      <w:r w:rsidR="00896961" w:rsidRPr="00694D30">
        <w:rPr>
          <w:rFonts w:eastAsia="Calibri"/>
          <w:spacing w:val="-2"/>
          <w:kern w:val="22"/>
          <w:lang w:val="en-GB"/>
        </w:rPr>
        <w:t>or-profit social enterprises c</w:t>
      </w:r>
      <w:r w:rsidR="00EE69BF" w:rsidRPr="00694D30">
        <w:rPr>
          <w:rFonts w:eastAsia="Calibri"/>
          <w:spacing w:val="-2"/>
          <w:kern w:val="22"/>
          <w:lang w:val="en-GB"/>
        </w:rPr>
        <w:t>ould</w:t>
      </w:r>
      <w:r w:rsidR="00896961" w:rsidRPr="00694D30">
        <w:rPr>
          <w:rFonts w:eastAsia="Calibri"/>
          <w:spacing w:val="-2"/>
          <w:kern w:val="22"/>
          <w:lang w:val="en-GB"/>
        </w:rPr>
        <w:t xml:space="preserve"> </w:t>
      </w:r>
      <w:r w:rsidR="009D0274" w:rsidRPr="00694D30">
        <w:rPr>
          <w:rFonts w:eastAsia="Calibri"/>
          <w:spacing w:val="-2"/>
          <w:kern w:val="22"/>
          <w:lang w:val="en-GB"/>
        </w:rPr>
        <w:t xml:space="preserve">also </w:t>
      </w:r>
      <w:r w:rsidR="00896961" w:rsidRPr="00694D30">
        <w:rPr>
          <w:rFonts w:eastAsia="Calibri"/>
          <w:spacing w:val="-2"/>
          <w:kern w:val="22"/>
          <w:lang w:val="en-GB"/>
        </w:rPr>
        <w:t>attract socially responsible investors.</w:t>
      </w:r>
      <w:r w:rsidR="00820F7C" w:rsidRPr="00694D30">
        <w:rPr>
          <w:rFonts w:eastAsia="Calibri"/>
          <w:spacing w:val="-2"/>
          <w:kern w:val="22"/>
          <w:lang w:val="en-GB"/>
        </w:rPr>
        <w:t xml:space="preserve"> Impact investing</w:t>
      </w:r>
      <w:r w:rsidR="009D0274" w:rsidRPr="00694D30">
        <w:rPr>
          <w:rFonts w:eastAsia="Calibri"/>
          <w:spacing w:val="-2"/>
          <w:kern w:val="22"/>
          <w:lang w:val="en-GB"/>
        </w:rPr>
        <w:t>, one of the main branches of socially responsible investing, was</w:t>
      </w:r>
      <w:r w:rsidR="00820F7C" w:rsidRPr="00694D30">
        <w:rPr>
          <w:rFonts w:eastAsia="Calibri"/>
          <w:spacing w:val="-2"/>
          <w:kern w:val="22"/>
          <w:lang w:val="en-GB"/>
        </w:rPr>
        <w:t xml:space="preserve"> investment in companies, funds</w:t>
      </w:r>
      <w:r w:rsidR="009D0274" w:rsidRPr="00694D30">
        <w:rPr>
          <w:rFonts w:eastAsia="Calibri"/>
          <w:spacing w:val="-2"/>
          <w:kern w:val="22"/>
          <w:lang w:val="en-GB"/>
        </w:rPr>
        <w:t>,</w:t>
      </w:r>
      <w:r w:rsidR="00820F7C" w:rsidRPr="00694D30">
        <w:rPr>
          <w:rFonts w:eastAsia="Calibri"/>
          <w:spacing w:val="-2"/>
          <w:kern w:val="22"/>
          <w:lang w:val="en-GB"/>
        </w:rPr>
        <w:t xml:space="preserve"> or </w:t>
      </w:r>
      <w:r w:rsidR="00D12B5B" w:rsidRPr="00694D30">
        <w:rPr>
          <w:rFonts w:eastAsia="Calibri"/>
          <w:spacing w:val="-2"/>
          <w:kern w:val="22"/>
          <w:lang w:val="en-GB"/>
        </w:rPr>
        <w:t>NPOs</w:t>
      </w:r>
      <w:r w:rsidR="00820F7C" w:rsidRPr="00694D30">
        <w:rPr>
          <w:rFonts w:eastAsia="Calibri"/>
          <w:spacing w:val="-2"/>
          <w:kern w:val="22"/>
          <w:lang w:val="en-GB"/>
        </w:rPr>
        <w:t xml:space="preserve"> with the intention of generating beneficial social or environmental impact.</w:t>
      </w:r>
      <w:r w:rsidR="00BA23EA" w:rsidRPr="00694D30">
        <w:rPr>
          <w:rStyle w:val="EndnoteReference"/>
          <w:rFonts w:eastAsia="Calibri"/>
          <w:spacing w:val="-2"/>
          <w:kern w:val="22"/>
          <w:lang w:val="en-GB"/>
        </w:rPr>
        <w:endnoteReference w:id="28"/>
      </w:r>
      <w:r w:rsidR="00820F7C" w:rsidRPr="00694D30">
        <w:rPr>
          <w:rFonts w:eastAsia="Calibri"/>
          <w:spacing w:val="-2"/>
          <w:kern w:val="22"/>
          <w:lang w:val="en-GB"/>
        </w:rPr>
        <w:t xml:space="preserve"> Investment research show</w:t>
      </w:r>
      <w:r w:rsidR="009B512D" w:rsidRPr="00694D30">
        <w:rPr>
          <w:rFonts w:eastAsia="Calibri"/>
          <w:spacing w:val="-2"/>
          <w:kern w:val="22"/>
          <w:lang w:val="en-GB"/>
        </w:rPr>
        <w:t>ed</w:t>
      </w:r>
      <w:r w:rsidR="00820F7C" w:rsidRPr="00694D30">
        <w:rPr>
          <w:rFonts w:eastAsia="Calibri"/>
          <w:spacing w:val="-2"/>
          <w:kern w:val="22"/>
          <w:lang w:val="en-GB"/>
        </w:rPr>
        <w:t xml:space="preserve"> that impact investing</w:t>
      </w:r>
      <w:r w:rsidR="009D0274" w:rsidRPr="00694D30">
        <w:rPr>
          <w:rFonts w:eastAsia="Calibri"/>
          <w:spacing w:val="-2"/>
          <w:kern w:val="22"/>
          <w:lang w:val="en-GB"/>
        </w:rPr>
        <w:t xml:space="preserve"> </w:t>
      </w:r>
      <w:r w:rsidR="009B512D" w:rsidRPr="00694D30">
        <w:rPr>
          <w:rFonts w:eastAsia="Calibri"/>
          <w:spacing w:val="-2"/>
          <w:kern w:val="22"/>
          <w:lang w:val="en-GB"/>
        </w:rPr>
        <w:t>wa</w:t>
      </w:r>
      <w:r w:rsidR="00820F7C" w:rsidRPr="00694D30">
        <w:rPr>
          <w:rFonts w:eastAsia="Calibri"/>
          <w:spacing w:val="-2"/>
          <w:kern w:val="22"/>
          <w:lang w:val="en-GB"/>
        </w:rPr>
        <w:t>s a growing phenomenon</w:t>
      </w:r>
      <w:r w:rsidR="009D0274" w:rsidRPr="00694D30">
        <w:rPr>
          <w:rFonts w:eastAsia="Calibri"/>
          <w:spacing w:val="-2"/>
          <w:kern w:val="22"/>
          <w:lang w:val="en-GB"/>
        </w:rPr>
        <w:t>:</w:t>
      </w:r>
      <w:r w:rsidR="00820F7C" w:rsidRPr="00694D30">
        <w:rPr>
          <w:rFonts w:eastAsia="Calibri"/>
          <w:spacing w:val="-2"/>
          <w:kern w:val="22"/>
          <w:lang w:val="en-GB"/>
        </w:rPr>
        <w:t xml:space="preserve"> </w:t>
      </w:r>
      <w:r w:rsidR="001A04F7">
        <w:rPr>
          <w:rFonts w:eastAsia="Calibri"/>
          <w:spacing w:val="-2"/>
          <w:kern w:val="22"/>
          <w:lang w:val="en-GB"/>
        </w:rPr>
        <w:t>US</w:t>
      </w:r>
      <w:r w:rsidR="00820F7C" w:rsidRPr="00694D30">
        <w:rPr>
          <w:rFonts w:eastAsia="Calibri"/>
          <w:spacing w:val="-2"/>
          <w:kern w:val="22"/>
          <w:lang w:val="en-GB"/>
        </w:rPr>
        <w:t xml:space="preserve">$25.9 billion of capital </w:t>
      </w:r>
      <w:r w:rsidR="009D0274" w:rsidRPr="00694D30">
        <w:rPr>
          <w:rFonts w:eastAsia="Calibri"/>
          <w:spacing w:val="-2"/>
          <w:kern w:val="22"/>
          <w:lang w:val="en-GB"/>
        </w:rPr>
        <w:t xml:space="preserve">was </w:t>
      </w:r>
      <w:r w:rsidR="00820F7C" w:rsidRPr="00694D30">
        <w:rPr>
          <w:rFonts w:eastAsia="Calibri"/>
          <w:spacing w:val="-2"/>
          <w:kern w:val="22"/>
          <w:lang w:val="en-GB"/>
        </w:rPr>
        <w:t xml:space="preserve">invested into </w:t>
      </w:r>
      <w:r w:rsidR="00D12B5B" w:rsidRPr="00694D30">
        <w:rPr>
          <w:rFonts w:eastAsia="Calibri"/>
          <w:spacing w:val="-2"/>
          <w:kern w:val="22"/>
          <w:lang w:val="en-GB"/>
        </w:rPr>
        <w:t xml:space="preserve">this </w:t>
      </w:r>
      <w:r w:rsidR="00820F7C" w:rsidRPr="00694D30">
        <w:rPr>
          <w:rFonts w:eastAsia="Calibri"/>
          <w:spacing w:val="-2"/>
          <w:kern w:val="22"/>
          <w:lang w:val="en-GB"/>
        </w:rPr>
        <w:t>area in 2017.</w:t>
      </w:r>
      <w:r w:rsidR="0053461A" w:rsidRPr="00694D30">
        <w:rPr>
          <w:rStyle w:val="EndnoteReference"/>
          <w:rFonts w:eastAsia="Calibri"/>
          <w:spacing w:val="-2"/>
          <w:kern w:val="22"/>
          <w:lang w:val="en-GB"/>
        </w:rPr>
        <w:endnoteReference w:id="29"/>
      </w:r>
    </w:p>
    <w:p w14:paraId="6E8E77E3" w14:textId="77777777" w:rsidR="00CB784C" w:rsidRPr="00694D30" w:rsidRDefault="00CB784C" w:rsidP="00CB784C">
      <w:pPr>
        <w:pStyle w:val="BodyTextMain"/>
        <w:rPr>
          <w:rFonts w:eastAsia="Calibri"/>
          <w:sz w:val="18"/>
          <w:szCs w:val="18"/>
          <w:lang w:val="en-GB"/>
        </w:rPr>
      </w:pPr>
    </w:p>
    <w:p w14:paraId="6A9A38D9" w14:textId="28E371DE" w:rsidR="00820F7C" w:rsidRPr="001A50DE" w:rsidRDefault="0056454B" w:rsidP="00CB784C">
      <w:pPr>
        <w:pStyle w:val="BodyTextMain"/>
        <w:rPr>
          <w:rFonts w:eastAsia="Calibri"/>
          <w:vertAlign w:val="superscript"/>
          <w:lang w:val="en-GB"/>
        </w:rPr>
      </w:pPr>
      <w:r w:rsidRPr="001A50DE">
        <w:rPr>
          <w:rFonts w:eastAsia="Calibri"/>
          <w:lang w:val="en-GB"/>
        </w:rPr>
        <w:t>There wer</w:t>
      </w:r>
      <w:r w:rsidR="00820F7C" w:rsidRPr="001A50DE">
        <w:rPr>
          <w:rFonts w:eastAsia="Calibri"/>
          <w:lang w:val="en-GB"/>
        </w:rPr>
        <w:t>e four potential cost</w:t>
      </w:r>
      <w:r w:rsidRPr="001A50DE">
        <w:rPr>
          <w:rFonts w:eastAsia="Calibri"/>
          <w:lang w:val="en-GB"/>
        </w:rPr>
        <w:t>s</w:t>
      </w:r>
      <w:r w:rsidR="00820F7C" w:rsidRPr="001A50DE">
        <w:rPr>
          <w:rFonts w:eastAsia="Calibri"/>
          <w:lang w:val="en-GB"/>
        </w:rPr>
        <w:t xml:space="preserve"> to </w:t>
      </w:r>
      <w:r w:rsidR="009D0274" w:rsidRPr="001A50DE">
        <w:rPr>
          <w:rFonts w:eastAsia="Calibri"/>
          <w:lang w:val="en-GB"/>
        </w:rPr>
        <w:t xml:space="preserve">continuing </w:t>
      </w:r>
      <w:r w:rsidR="00820F7C" w:rsidRPr="001A50DE">
        <w:rPr>
          <w:rFonts w:eastAsia="Calibri"/>
          <w:lang w:val="en-GB"/>
        </w:rPr>
        <w:t>as a for-profit organization</w:t>
      </w:r>
      <w:r w:rsidR="009D0274" w:rsidRPr="001A50DE">
        <w:rPr>
          <w:rFonts w:eastAsia="Calibri"/>
          <w:lang w:val="en-GB"/>
        </w:rPr>
        <w:t xml:space="preserve">. First, no </w:t>
      </w:r>
      <w:r w:rsidR="00896961" w:rsidRPr="001A50DE">
        <w:rPr>
          <w:rFonts w:eastAsia="Calibri"/>
          <w:lang w:val="en-GB"/>
        </w:rPr>
        <w:t>tax</w:t>
      </w:r>
      <w:r w:rsidR="009D0274" w:rsidRPr="001A50DE">
        <w:rPr>
          <w:rFonts w:eastAsia="Calibri"/>
          <w:lang w:val="en-GB"/>
        </w:rPr>
        <w:t xml:space="preserve"> </w:t>
      </w:r>
      <w:r w:rsidR="00896961" w:rsidRPr="001A50DE">
        <w:rPr>
          <w:rFonts w:eastAsia="Calibri"/>
          <w:lang w:val="en-GB"/>
        </w:rPr>
        <w:t>exemptions</w:t>
      </w:r>
      <w:r w:rsidR="009D0274" w:rsidRPr="001A50DE">
        <w:rPr>
          <w:rFonts w:eastAsia="Calibri"/>
          <w:lang w:val="en-GB"/>
        </w:rPr>
        <w:t xml:space="preserve"> were available.</w:t>
      </w:r>
      <w:r w:rsidR="00820F7C" w:rsidRPr="001A50DE">
        <w:rPr>
          <w:rFonts w:eastAsia="Calibri"/>
          <w:lang w:val="en-GB"/>
        </w:rPr>
        <w:t xml:space="preserve"> </w:t>
      </w:r>
      <w:r w:rsidR="009D0274" w:rsidRPr="001A50DE">
        <w:rPr>
          <w:rFonts w:eastAsia="Calibri"/>
          <w:lang w:val="en-GB"/>
        </w:rPr>
        <w:t>Second, as a for</w:t>
      </w:r>
      <w:r w:rsidR="00896961" w:rsidRPr="001A50DE">
        <w:rPr>
          <w:rFonts w:eastAsia="Calibri"/>
          <w:lang w:val="en-GB"/>
        </w:rPr>
        <w:t>-profit</w:t>
      </w:r>
      <w:r w:rsidR="009D0274" w:rsidRPr="001A50DE">
        <w:rPr>
          <w:rFonts w:eastAsia="Calibri"/>
          <w:lang w:val="en-GB"/>
        </w:rPr>
        <w:t xml:space="preserve"> organization, FTLOL</w:t>
      </w:r>
      <w:r w:rsidR="00896961" w:rsidRPr="001A50DE">
        <w:rPr>
          <w:rFonts w:eastAsia="Calibri"/>
          <w:lang w:val="en-GB"/>
        </w:rPr>
        <w:t xml:space="preserve"> c</w:t>
      </w:r>
      <w:r w:rsidR="00EE69BF" w:rsidRPr="001A50DE">
        <w:rPr>
          <w:rFonts w:eastAsia="Calibri"/>
          <w:lang w:val="en-GB"/>
        </w:rPr>
        <w:t>ould not</w:t>
      </w:r>
      <w:r w:rsidR="00896961" w:rsidRPr="001A50DE">
        <w:rPr>
          <w:rFonts w:eastAsia="Calibri"/>
          <w:lang w:val="en-GB"/>
        </w:rPr>
        <w:t xml:space="preserve"> legally receive funding from charities or foundations</w:t>
      </w:r>
      <w:r w:rsidR="00820F7C" w:rsidRPr="001A50DE">
        <w:rPr>
          <w:rFonts w:eastAsia="Calibri"/>
          <w:lang w:val="en-GB"/>
        </w:rPr>
        <w:t>.</w:t>
      </w:r>
      <w:r w:rsidR="0053461A" w:rsidRPr="001A50DE">
        <w:rPr>
          <w:rStyle w:val="EndnoteReference"/>
          <w:rFonts w:eastAsia="Calibri"/>
          <w:lang w:val="en-GB"/>
        </w:rPr>
        <w:endnoteReference w:id="30"/>
      </w:r>
      <w:r w:rsidR="00820F7C" w:rsidRPr="001A50DE">
        <w:rPr>
          <w:rFonts w:eastAsia="Calibri"/>
          <w:lang w:val="en-GB"/>
        </w:rPr>
        <w:t xml:space="preserve"> </w:t>
      </w:r>
      <w:r w:rsidR="009D0274" w:rsidRPr="001A50DE">
        <w:rPr>
          <w:rFonts w:eastAsia="Calibri"/>
          <w:lang w:val="en-GB"/>
        </w:rPr>
        <w:t>Third, e</w:t>
      </w:r>
      <w:r w:rsidR="00896961" w:rsidRPr="001A50DE">
        <w:rPr>
          <w:rFonts w:eastAsia="Calibri"/>
          <w:lang w:val="en-GB"/>
        </w:rPr>
        <w:t>quity investors c</w:t>
      </w:r>
      <w:r w:rsidR="00EE69BF" w:rsidRPr="001A50DE">
        <w:rPr>
          <w:rFonts w:eastAsia="Calibri"/>
          <w:lang w:val="en-GB"/>
        </w:rPr>
        <w:t>ould</w:t>
      </w:r>
      <w:r w:rsidR="00896961" w:rsidRPr="001A50DE">
        <w:rPr>
          <w:rFonts w:eastAsia="Calibri"/>
          <w:lang w:val="en-GB"/>
        </w:rPr>
        <w:t xml:space="preserve"> interfere with </w:t>
      </w:r>
      <w:r w:rsidR="009D0274" w:rsidRPr="001A50DE">
        <w:rPr>
          <w:rFonts w:eastAsia="Calibri"/>
          <w:lang w:val="en-GB"/>
        </w:rPr>
        <w:t xml:space="preserve">the </w:t>
      </w:r>
      <w:r w:rsidR="00896961" w:rsidRPr="001A50DE">
        <w:rPr>
          <w:rFonts w:eastAsia="Calibri"/>
          <w:lang w:val="en-GB"/>
        </w:rPr>
        <w:t>company</w:t>
      </w:r>
      <w:r w:rsidR="009D0274" w:rsidRPr="001A50DE">
        <w:rPr>
          <w:rFonts w:eastAsia="Calibri"/>
          <w:lang w:val="en-GB"/>
        </w:rPr>
        <w:t>’s</w:t>
      </w:r>
      <w:r w:rsidR="00896961" w:rsidRPr="001A50DE">
        <w:rPr>
          <w:rFonts w:eastAsia="Calibri"/>
          <w:lang w:val="en-GB"/>
        </w:rPr>
        <w:t xml:space="preserve"> social operations in </w:t>
      </w:r>
      <w:r w:rsidR="00EE69BF" w:rsidRPr="001A50DE">
        <w:rPr>
          <w:rFonts w:eastAsia="Calibri"/>
          <w:lang w:val="en-GB"/>
        </w:rPr>
        <w:t>an effort</w:t>
      </w:r>
      <w:r w:rsidR="00896961" w:rsidRPr="001A50DE">
        <w:rPr>
          <w:rFonts w:eastAsia="Calibri"/>
          <w:lang w:val="en-GB"/>
        </w:rPr>
        <w:t xml:space="preserve"> to pursue </w:t>
      </w:r>
      <w:r w:rsidR="00EE69BF" w:rsidRPr="001A50DE">
        <w:rPr>
          <w:rFonts w:eastAsia="Calibri"/>
          <w:lang w:val="en-GB"/>
        </w:rPr>
        <w:t>profit distribution</w:t>
      </w:r>
      <w:r w:rsidR="001A50DE" w:rsidRPr="001A50DE">
        <w:rPr>
          <w:rFonts w:eastAsia="Calibri"/>
          <w:lang w:val="en-GB"/>
        </w:rPr>
        <w:t>,</w:t>
      </w:r>
      <w:r w:rsidR="0053461A" w:rsidRPr="001A50DE">
        <w:rPr>
          <w:rStyle w:val="EndnoteReference"/>
          <w:rFonts w:eastAsia="Calibri"/>
          <w:lang w:val="en-GB"/>
        </w:rPr>
        <w:endnoteReference w:id="31"/>
      </w:r>
      <w:r w:rsidR="00820F7C" w:rsidRPr="001A50DE">
        <w:rPr>
          <w:rFonts w:eastAsia="Calibri"/>
          <w:lang w:val="en-GB"/>
        </w:rPr>
        <w:t xml:space="preserve"> </w:t>
      </w:r>
      <w:r w:rsidR="009D0274" w:rsidRPr="001A50DE">
        <w:rPr>
          <w:rFonts w:eastAsia="Calibri"/>
          <w:lang w:val="en-GB"/>
        </w:rPr>
        <w:t xml:space="preserve">which </w:t>
      </w:r>
      <w:r w:rsidR="00896961" w:rsidRPr="001A50DE">
        <w:rPr>
          <w:rFonts w:eastAsia="Calibri"/>
          <w:lang w:val="en-GB"/>
        </w:rPr>
        <w:t>c</w:t>
      </w:r>
      <w:r w:rsidR="00EE69BF" w:rsidRPr="001A50DE">
        <w:rPr>
          <w:rFonts w:eastAsia="Calibri"/>
          <w:lang w:val="en-GB"/>
        </w:rPr>
        <w:t>ould</w:t>
      </w:r>
      <w:r w:rsidR="00896961" w:rsidRPr="001A50DE">
        <w:rPr>
          <w:rFonts w:eastAsia="Calibri"/>
          <w:lang w:val="en-GB"/>
        </w:rPr>
        <w:t xml:space="preserve"> damage </w:t>
      </w:r>
      <w:r w:rsidR="00EE69BF" w:rsidRPr="001A50DE">
        <w:rPr>
          <w:rFonts w:eastAsia="Calibri"/>
          <w:lang w:val="en-GB"/>
        </w:rPr>
        <w:t xml:space="preserve">the </w:t>
      </w:r>
      <w:r w:rsidR="00896961" w:rsidRPr="001A50DE">
        <w:rPr>
          <w:rFonts w:eastAsia="Calibri"/>
          <w:lang w:val="en-GB"/>
        </w:rPr>
        <w:t>social effectiveness</w:t>
      </w:r>
      <w:r w:rsidR="00EE69BF" w:rsidRPr="001A50DE">
        <w:rPr>
          <w:rFonts w:eastAsia="Calibri"/>
          <w:lang w:val="en-GB"/>
        </w:rPr>
        <w:t xml:space="preserve"> of </w:t>
      </w:r>
      <w:r w:rsidR="009D0274" w:rsidRPr="001A50DE">
        <w:rPr>
          <w:rFonts w:eastAsia="Calibri"/>
          <w:lang w:val="en-GB"/>
        </w:rPr>
        <w:t xml:space="preserve">the </w:t>
      </w:r>
      <w:r w:rsidR="00EE69BF" w:rsidRPr="001A50DE">
        <w:rPr>
          <w:rFonts w:eastAsia="Calibri"/>
          <w:lang w:val="en-GB"/>
        </w:rPr>
        <w:t>organization</w:t>
      </w:r>
      <w:r w:rsidR="009D0274" w:rsidRPr="001A50DE">
        <w:rPr>
          <w:rFonts w:eastAsia="Calibri"/>
          <w:lang w:val="en-GB"/>
        </w:rPr>
        <w:t>.</w:t>
      </w:r>
      <w:r w:rsidR="0053461A" w:rsidRPr="001A50DE">
        <w:rPr>
          <w:rStyle w:val="EndnoteReference"/>
          <w:rFonts w:eastAsia="Calibri"/>
          <w:lang w:val="en-GB"/>
        </w:rPr>
        <w:endnoteReference w:id="32"/>
      </w:r>
      <w:r w:rsidR="00820F7C" w:rsidRPr="001A50DE">
        <w:rPr>
          <w:rFonts w:eastAsia="Calibri"/>
          <w:lang w:val="en-GB"/>
        </w:rPr>
        <w:t xml:space="preserve"> </w:t>
      </w:r>
      <w:r w:rsidR="009D0274" w:rsidRPr="001A50DE">
        <w:rPr>
          <w:rFonts w:eastAsia="Calibri"/>
          <w:lang w:val="en-GB"/>
        </w:rPr>
        <w:t>Finally, as a f</w:t>
      </w:r>
      <w:r w:rsidR="00896961" w:rsidRPr="001A50DE">
        <w:rPr>
          <w:rFonts w:eastAsia="Calibri"/>
          <w:lang w:val="en-GB"/>
        </w:rPr>
        <w:t>or-profit social enterprise</w:t>
      </w:r>
      <w:r w:rsidR="009D0274" w:rsidRPr="001A50DE">
        <w:rPr>
          <w:rFonts w:eastAsia="Calibri"/>
          <w:lang w:val="en-GB"/>
        </w:rPr>
        <w:t>, the company c</w:t>
      </w:r>
      <w:r w:rsidR="00EE69BF" w:rsidRPr="001A50DE">
        <w:rPr>
          <w:rFonts w:eastAsia="Calibri"/>
          <w:lang w:val="en-GB"/>
        </w:rPr>
        <w:t>ould not</w:t>
      </w:r>
      <w:r w:rsidR="00896961" w:rsidRPr="001A50DE">
        <w:rPr>
          <w:rFonts w:eastAsia="Calibri"/>
          <w:lang w:val="en-GB"/>
        </w:rPr>
        <w:t xml:space="preserve"> legally enforce </w:t>
      </w:r>
      <w:r w:rsidR="009D0274" w:rsidRPr="001A50DE">
        <w:rPr>
          <w:rFonts w:eastAsia="Calibri"/>
          <w:lang w:val="en-GB"/>
        </w:rPr>
        <w:t xml:space="preserve">its </w:t>
      </w:r>
      <w:r w:rsidR="00896961" w:rsidRPr="001A50DE">
        <w:rPr>
          <w:rFonts w:eastAsia="Calibri"/>
          <w:lang w:val="en-GB"/>
        </w:rPr>
        <w:t>social mission on shareholders</w:t>
      </w:r>
      <w:r w:rsidR="00820F7C" w:rsidRPr="001A50DE">
        <w:rPr>
          <w:rFonts w:eastAsia="Calibri"/>
          <w:lang w:val="en-GB"/>
        </w:rPr>
        <w:t>,</w:t>
      </w:r>
      <w:r w:rsidR="0053461A" w:rsidRPr="001A50DE">
        <w:rPr>
          <w:rStyle w:val="EndnoteReference"/>
          <w:rFonts w:eastAsia="Calibri"/>
          <w:lang w:val="en-GB"/>
        </w:rPr>
        <w:endnoteReference w:id="33"/>
      </w:r>
      <w:r w:rsidR="00820F7C" w:rsidRPr="001A50DE">
        <w:rPr>
          <w:rFonts w:eastAsia="Calibri"/>
          <w:lang w:val="en-GB"/>
        </w:rPr>
        <w:t xml:space="preserve"> </w:t>
      </w:r>
      <w:r w:rsidR="009D0274" w:rsidRPr="001A50DE">
        <w:rPr>
          <w:rFonts w:eastAsia="Calibri"/>
          <w:lang w:val="en-GB"/>
        </w:rPr>
        <w:t xml:space="preserve">and </w:t>
      </w:r>
      <w:r w:rsidR="001A04F7">
        <w:rPr>
          <w:rFonts w:eastAsia="Calibri"/>
          <w:lang w:val="en-GB"/>
        </w:rPr>
        <w:t>thereby risked</w:t>
      </w:r>
      <w:r w:rsidR="009D0274" w:rsidRPr="001A50DE">
        <w:rPr>
          <w:rFonts w:eastAsia="Calibri"/>
          <w:lang w:val="en-GB"/>
        </w:rPr>
        <w:t xml:space="preserve"> </w:t>
      </w:r>
      <w:r w:rsidR="001A04F7" w:rsidRPr="001A50DE">
        <w:rPr>
          <w:rFonts w:eastAsia="Calibri"/>
          <w:lang w:val="en-GB"/>
        </w:rPr>
        <w:t>erod</w:t>
      </w:r>
      <w:r w:rsidR="001A04F7">
        <w:rPr>
          <w:rFonts w:eastAsia="Calibri"/>
          <w:lang w:val="en-GB"/>
        </w:rPr>
        <w:t>ing</w:t>
      </w:r>
      <w:r w:rsidR="001A04F7" w:rsidRPr="001A50DE">
        <w:rPr>
          <w:rFonts w:eastAsia="Calibri"/>
          <w:lang w:val="en-GB"/>
        </w:rPr>
        <w:t xml:space="preserve"> </w:t>
      </w:r>
      <w:r w:rsidR="009D0274" w:rsidRPr="001A50DE">
        <w:rPr>
          <w:rFonts w:eastAsia="Calibri"/>
          <w:lang w:val="en-GB"/>
        </w:rPr>
        <w:t>FTLOL’s</w:t>
      </w:r>
      <w:r w:rsidR="00820F7C" w:rsidRPr="001A50DE">
        <w:rPr>
          <w:rFonts w:eastAsia="Calibri"/>
          <w:lang w:val="en-GB"/>
        </w:rPr>
        <w:t xml:space="preserve"> </w:t>
      </w:r>
      <w:r w:rsidR="00896961" w:rsidRPr="001A50DE">
        <w:rPr>
          <w:rFonts w:eastAsia="Calibri"/>
          <w:lang w:val="en-GB"/>
        </w:rPr>
        <w:t>core identity</w:t>
      </w:r>
      <w:r w:rsidR="00D12B5B" w:rsidRPr="001A50DE">
        <w:rPr>
          <w:rFonts w:eastAsia="Calibri"/>
          <w:lang w:val="en-GB"/>
        </w:rPr>
        <w:t>,</w:t>
      </w:r>
      <w:r w:rsidR="0053461A" w:rsidRPr="001A50DE">
        <w:rPr>
          <w:rStyle w:val="EndnoteReference"/>
          <w:rFonts w:eastAsia="Calibri"/>
          <w:lang w:val="en-GB"/>
        </w:rPr>
        <w:endnoteReference w:id="34"/>
      </w:r>
      <w:r w:rsidR="00820F7C" w:rsidRPr="001A50DE">
        <w:rPr>
          <w:rFonts w:eastAsia="Calibri"/>
          <w:lang w:val="en-GB"/>
        </w:rPr>
        <w:t xml:space="preserve"> </w:t>
      </w:r>
      <w:r w:rsidR="00D12B5B" w:rsidRPr="001A50DE">
        <w:rPr>
          <w:rFonts w:eastAsia="Calibri"/>
          <w:lang w:val="en-GB"/>
        </w:rPr>
        <w:t xml:space="preserve">which </w:t>
      </w:r>
      <w:r w:rsidR="00896961" w:rsidRPr="001A50DE">
        <w:rPr>
          <w:rFonts w:eastAsia="Calibri"/>
          <w:lang w:val="en-GB"/>
        </w:rPr>
        <w:t>c</w:t>
      </w:r>
      <w:r w:rsidR="00EE69BF" w:rsidRPr="001A50DE">
        <w:rPr>
          <w:rFonts w:eastAsia="Calibri"/>
          <w:lang w:val="en-GB"/>
        </w:rPr>
        <w:t>ould</w:t>
      </w:r>
      <w:r w:rsidR="00896961" w:rsidRPr="001A50DE">
        <w:rPr>
          <w:rFonts w:eastAsia="Calibri"/>
          <w:lang w:val="en-GB"/>
        </w:rPr>
        <w:t xml:space="preserve"> </w:t>
      </w:r>
      <w:r w:rsidR="00D12B5B" w:rsidRPr="001A50DE">
        <w:rPr>
          <w:rFonts w:eastAsia="Calibri"/>
          <w:lang w:val="en-GB"/>
        </w:rPr>
        <w:t xml:space="preserve">in turn result </w:t>
      </w:r>
      <w:r w:rsidR="00EE69BF" w:rsidRPr="001A50DE">
        <w:rPr>
          <w:rFonts w:eastAsia="Calibri"/>
          <w:lang w:val="en-GB"/>
        </w:rPr>
        <w:t>in</w:t>
      </w:r>
      <w:r w:rsidR="00896961" w:rsidRPr="001A50DE">
        <w:rPr>
          <w:rFonts w:eastAsia="Calibri"/>
          <w:lang w:val="en-GB"/>
        </w:rPr>
        <w:t xml:space="preserve"> poor execution of </w:t>
      </w:r>
      <w:r w:rsidR="00D12B5B" w:rsidRPr="001A50DE">
        <w:rPr>
          <w:rFonts w:eastAsia="Calibri"/>
          <w:lang w:val="en-GB"/>
        </w:rPr>
        <w:t xml:space="preserve">the </w:t>
      </w:r>
      <w:r w:rsidR="00896961" w:rsidRPr="001A50DE">
        <w:rPr>
          <w:rFonts w:eastAsia="Calibri"/>
          <w:lang w:val="en-GB"/>
        </w:rPr>
        <w:t xml:space="preserve">social mission and </w:t>
      </w:r>
      <w:r w:rsidR="00D12B5B" w:rsidRPr="001A50DE">
        <w:rPr>
          <w:rFonts w:eastAsia="Calibri"/>
          <w:lang w:val="en-GB"/>
        </w:rPr>
        <w:t xml:space="preserve">disillusionment of </w:t>
      </w:r>
      <w:r w:rsidR="00896961" w:rsidRPr="001A50DE">
        <w:rPr>
          <w:rFonts w:eastAsia="Calibri"/>
          <w:lang w:val="en-GB"/>
        </w:rPr>
        <w:t>external stakeholder</w:t>
      </w:r>
      <w:r w:rsidR="00D12B5B" w:rsidRPr="001A50DE">
        <w:rPr>
          <w:rFonts w:eastAsia="Calibri"/>
          <w:lang w:val="en-GB"/>
        </w:rPr>
        <w:t>s</w:t>
      </w:r>
      <w:r w:rsidR="00820F7C" w:rsidRPr="001A50DE">
        <w:rPr>
          <w:rFonts w:eastAsia="Calibri"/>
          <w:lang w:val="en-GB"/>
        </w:rPr>
        <w:t>.</w:t>
      </w:r>
      <w:r w:rsidR="0053461A" w:rsidRPr="001A50DE">
        <w:rPr>
          <w:rStyle w:val="EndnoteReference"/>
          <w:rFonts w:eastAsia="Calibri"/>
          <w:lang w:val="en-GB"/>
        </w:rPr>
        <w:endnoteReference w:id="35"/>
      </w:r>
      <w:r w:rsidR="00820F7C" w:rsidRPr="001A50DE">
        <w:rPr>
          <w:rFonts w:eastAsia="Calibri"/>
          <w:lang w:val="en-GB"/>
        </w:rPr>
        <w:t xml:space="preserve"> </w:t>
      </w:r>
    </w:p>
    <w:p w14:paraId="3983C090" w14:textId="77777777" w:rsidR="00CB784C" w:rsidRPr="00694D30" w:rsidRDefault="00CB784C" w:rsidP="00CB784C">
      <w:pPr>
        <w:pStyle w:val="BodyTextMain"/>
        <w:rPr>
          <w:sz w:val="18"/>
          <w:szCs w:val="18"/>
          <w:lang w:val="en-GB"/>
        </w:rPr>
      </w:pPr>
    </w:p>
    <w:p w14:paraId="3EBE8F7D" w14:textId="6BC1C70A" w:rsidR="00820F7C" w:rsidRPr="001A50DE" w:rsidRDefault="00820F7C" w:rsidP="0056454B">
      <w:pPr>
        <w:pStyle w:val="Casehead2"/>
        <w:rPr>
          <w:rFonts w:eastAsia="Calibri"/>
          <w:lang w:val="en-GB"/>
        </w:rPr>
      </w:pPr>
      <w:r w:rsidRPr="001A50DE">
        <w:rPr>
          <w:rFonts w:eastAsia="Calibri"/>
          <w:lang w:val="en-GB"/>
        </w:rPr>
        <w:t>Non-</w:t>
      </w:r>
      <w:r w:rsidR="00277D0E" w:rsidRPr="001A50DE">
        <w:rPr>
          <w:rFonts w:eastAsia="Calibri"/>
          <w:lang w:val="en-GB"/>
        </w:rPr>
        <w:t>Profit Organization</w:t>
      </w:r>
    </w:p>
    <w:p w14:paraId="2F9387BA" w14:textId="77777777" w:rsidR="00CB784C" w:rsidRPr="00694D30" w:rsidRDefault="00CB784C" w:rsidP="00CB784C">
      <w:pPr>
        <w:pStyle w:val="BodyTextMain"/>
        <w:rPr>
          <w:sz w:val="18"/>
          <w:szCs w:val="18"/>
          <w:lang w:val="en-GB"/>
        </w:rPr>
      </w:pPr>
    </w:p>
    <w:p w14:paraId="49CAB1D4" w14:textId="44D72B33" w:rsidR="00820F7C" w:rsidRPr="001A50DE" w:rsidRDefault="0056454B" w:rsidP="00CB784C">
      <w:pPr>
        <w:pStyle w:val="BodyTextMain"/>
        <w:rPr>
          <w:rFonts w:eastAsia="Calibri"/>
          <w:lang w:val="en-GB"/>
        </w:rPr>
      </w:pPr>
      <w:r w:rsidRPr="001A50DE">
        <w:rPr>
          <w:rFonts w:eastAsia="Calibri"/>
          <w:lang w:val="en-GB"/>
        </w:rPr>
        <w:t>There wer</w:t>
      </w:r>
      <w:r w:rsidR="00820F7C" w:rsidRPr="001A50DE">
        <w:rPr>
          <w:rFonts w:eastAsia="Calibri"/>
          <w:lang w:val="en-GB"/>
        </w:rPr>
        <w:t xml:space="preserve">e five potential benefits to </w:t>
      </w:r>
      <w:r w:rsidR="00D12B5B" w:rsidRPr="001A50DE">
        <w:rPr>
          <w:rFonts w:eastAsia="Calibri"/>
          <w:lang w:val="en-GB"/>
        </w:rPr>
        <w:t xml:space="preserve">operating according to </w:t>
      </w:r>
      <w:r w:rsidR="00820F7C" w:rsidRPr="001A50DE">
        <w:rPr>
          <w:rFonts w:eastAsia="Calibri"/>
          <w:lang w:val="en-GB"/>
        </w:rPr>
        <w:t xml:space="preserve">a non-profit model. </w:t>
      </w:r>
      <w:r w:rsidR="00D12B5B" w:rsidRPr="001A50DE">
        <w:rPr>
          <w:rFonts w:eastAsia="Calibri"/>
          <w:lang w:val="en-GB"/>
        </w:rPr>
        <w:t>First, NPOs</w:t>
      </w:r>
      <w:r w:rsidR="008354D8" w:rsidRPr="001A50DE">
        <w:rPr>
          <w:rFonts w:eastAsia="Calibri"/>
          <w:lang w:val="en-GB"/>
        </w:rPr>
        <w:t xml:space="preserve"> </w:t>
      </w:r>
      <w:r w:rsidR="00EE69BF" w:rsidRPr="001A50DE">
        <w:rPr>
          <w:rFonts w:eastAsia="Calibri"/>
          <w:lang w:val="en-GB"/>
        </w:rPr>
        <w:t xml:space="preserve">were </w:t>
      </w:r>
      <w:r w:rsidR="008354D8" w:rsidRPr="001A50DE">
        <w:rPr>
          <w:rFonts w:eastAsia="Calibri"/>
          <w:lang w:val="en-GB"/>
        </w:rPr>
        <w:t xml:space="preserve">exempt from paying income </w:t>
      </w:r>
      <w:r w:rsidR="00E22ABA">
        <w:rPr>
          <w:rFonts w:eastAsia="Calibri"/>
          <w:lang w:val="en-GB"/>
        </w:rPr>
        <w:t xml:space="preserve">tax </w:t>
      </w:r>
      <w:r w:rsidR="008354D8" w:rsidRPr="001A50DE">
        <w:rPr>
          <w:rFonts w:eastAsia="Calibri"/>
          <w:lang w:val="en-GB"/>
        </w:rPr>
        <w:t xml:space="preserve">and property tax. </w:t>
      </w:r>
      <w:r w:rsidR="00D12B5B" w:rsidRPr="001A50DE">
        <w:rPr>
          <w:rFonts w:eastAsia="Calibri"/>
          <w:lang w:val="en-GB"/>
        </w:rPr>
        <w:t xml:space="preserve">Second, </w:t>
      </w:r>
      <w:r w:rsidR="00213B7F">
        <w:rPr>
          <w:rFonts w:eastAsia="Calibri"/>
          <w:lang w:val="en-GB"/>
        </w:rPr>
        <w:t>NPOs</w:t>
      </w:r>
      <w:r w:rsidR="008354D8" w:rsidRPr="001A50DE">
        <w:rPr>
          <w:rFonts w:eastAsia="Calibri"/>
          <w:lang w:val="en-GB"/>
        </w:rPr>
        <w:t xml:space="preserve"> </w:t>
      </w:r>
      <w:r w:rsidR="00EE69BF" w:rsidRPr="001A50DE">
        <w:rPr>
          <w:rFonts w:eastAsia="Calibri"/>
          <w:lang w:val="en-GB"/>
        </w:rPr>
        <w:t>could qualify for</w:t>
      </w:r>
      <w:r w:rsidR="008354D8" w:rsidRPr="001A50DE">
        <w:rPr>
          <w:rFonts w:eastAsia="Calibri"/>
          <w:lang w:val="en-GB"/>
        </w:rPr>
        <w:t xml:space="preserve"> many government grants </w:t>
      </w:r>
      <w:r w:rsidR="00A60A33" w:rsidRPr="001A50DE">
        <w:rPr>
          <w:rFonts w:eastAsia="Calibri"/>
          <w:lang w:val="en-GB"/>
        </w:rPr>
        <w:t>that</w:t>
      </w:r>
      <w:r w:rsidR="008354D8" w:rsidRPr="001A50DE">
        <w:rPr>
          <w:rFonts w:eastAsia="Calibri"/>
          <w:lang w:val="en-GB"/>
        </w:rPr>
        <w:t xml:space="preserve"> c</w:t>
      </w:r>
      <w:r w:rsidR="00EE69BF" w:rsidRPr="001A50DE">
        <w:rPr>
          <w:rFonts w:eastAsia="Calibri"/>
          <w:lang w:val="en-GB"/>
        </w:rPr>
        <w:t>ould fuel</w:t>
      </w:r>
      <w:r w:rsidR="008354D8" w:rsidRPr="001A50DE">
        <w:rPr>
          <w:rFonts w:eastAsia="Calibri"/>
          <w:lang w:val="en-GB"/>
        </w:rPr>
        <w:t xml:space="preserve"> growth</w:t>
      </w:r>
      <w:r w:rsidR="00820F7C" w:rsidRPr="001A50DE">
        <w:rPr>
          <w:rFonts w:eastAsia="Calibri"/>
          <w:lang w:val="en-GB"/>
        </w:rPr>
        <w:t>.</w:t>
      </w:r>
      <w:r w:rsidR="0053461A" w:rsidRPr="001A50DE">
        <w:rPr>
          <w:rStyle w:val="EndnoteReference"/>
          <w:rFonts w:eastAsia="Calibri"/>
          <w:lang w:val="en-GB"/>
        </w:rPr>
        <w:endnoteReference w:id="36"/>
      </w:r>
      <w:r w:rsidR="00820F7C" w:rsidRPr="001A50DE">
        <w:rPr>
          <w:rFonts w:eastAsia="Calibri"/>
          <w:lang w:val="en-GB"/>
        </w:rPr>
        <w:t xml:space="preserve"> </w:t>
      </w:r>
      <w:r w:rsidR="00D12B5B" w:rsidRPr="001A50DE">
        <w:rPr>
          <w:rFonts w:eastAsia="Calibri"/>
          <w:lang w:val="en-GB"/>
        </w:rPr>
        <w:t>Third, NPOs</w:t>
      </w:r>
      <w:r w:rsidR="008354D8" w:rsidRPr="001A50DE">
        <w:rPr>
          <w:rFonts w:eastAsia="Calibri"/>
          <w:lang w:val="en-GB"/>
        </w:rPr>
        <w:t xml:space="preserve"> c</w:t>
      </w:r>
      <w:r w:rsidR="00EE69BF" w:rsidRPr="001A50DE">
        <w:rPr>
          <w:rFonts w:eastAsia="Calibri"/>
          <w:lang w:val="en-GB"/>
        </w:rPr>
        <w:t>ould</w:t>
      </w:r>
      <w:r w:rsidR="008354D8" w:rsidRPr="001A50DE">
        <w:rPr>
          <w:rFonts w:eastAsia="Calibri"/>
          <w:lang w:val="en-GB"/>
        </w:rPr>
        <w:t xml:space="preserve"> receive capital from impact investors</w:t>
      </w:r>
      <w:r w:rsidR="00820F7C" w:rsidRPr="001A50DE">
        <w:rPr>
          <w:rFonts w:eastAsia="Calibri"/>
          <w:lang w:val="en-GB"/>
        </w:rPr>
        <w:t>.</w:t>
      </w:r>
      <w:r w:rsidR="0053461A" w:rsidRPr="001A50DE">
        <w:rPr>
          <w:rStyle w:val="EndnoteReference"/>
          <w:rFonts w:eastAsia="Calibri"/>
          <w:lang w:val="en-GB"/>
        </w:rPr>
        <w:endnoteReference w:id="37"/>
      </w:r>
      <w:r w:rsidR="00820F7C" w:rsidRPr="001A50DE">
        <w:rPr>
          <w:rFonts w:eastAsia="Calibri"/>
          <w:lang w:val="en-GB"/>
        </w:rPr>
        <w:t xml:space="preserve"> Although</w:t>
      </w:r>
      <w:r w:rsidR="001A04F7">
        <w:rPr>
          <w:rFonts w:eastAsia="Calibri"/>
          <w:lang w:val="en-GB"/>
        </w:rPr>
        <w:t xml:space="preserve">, </w:t>
      </w:r>
      <w:r w:rsidR="001A04F7" w:rsidRPr="001A50DE">
        <w:rPr>
          <w:rFonts w:eastAsia="Calibri"/>
          <w:lang w:val="en-GB"/>
        </w:rPr>
        <w:t>as mentioned previously,</w:t>
      </w:r>
      <w:r w:rsidR="00820F7C" w:rsidRPr="001A50DE">
        <w:rPr>
          <w:rFonts w:eastAsia="Calibri"/>
          <w:lang w:val="en-GB"/>
        </w:rPr>
        <w:t xml:space="preserve"> some impact investors</w:t>
      </w:r>
      <w:r w:rsidRPr="001A50DE">
        <w:rPr>
          <w:rFonts w:eastAsia="Calibri"/>
          <w:lang w:val="en-GB"/>
        </w:rPr>
        <w:t xml:space="preserve"> s</w:t>
      </w:r>
      <w:r w:rsidR="00EE69BF" w:rsidRPr="001A50DE">
        <w:rPr>
          <w:rFonts w:eastAsia="Calibri"/>
          <w:lang w:val="en-GB"/>
        </w:rPr>
        <w:t>ought</w:t>
      </w:r>
      <w:r w:rsidR="00820F7C" w:rsidRPr="001A50DE">
        <w:rPr>
          <w:rFonts w:eastAsia="Calibri"/>
          <w:lang w:val="en-GB"/>
        </w:rPr>
        <w:t xml:space="preserve"> traditional financial returns, numerous </w:t>
      </w:r>
      <w:r w:rsidRPr="001A50DE">
        <w:rPr>
          <w:rFonts w:eastAsia="Calibri"/>
          <w:lang w:val="en-GB"/>
        </w:rPr>
        <w:t>impact funds had</w:t>
      </w:r>
      <w:r w:rsidR="00820F7C" w:rsidRPr="001A50DE">
        <w:rPr>
          <w:rFonts w:eastAsia="Calibri"/>
          <w:lang w:val="en-GB"/>
        </w:rPr>
        <w:t xml:space="preserve"> no </w:t>
      </w:r>
      <w:r w:rsidR="00820F7C" w:rsidRPr="001A50DE">
        <w:rPr>
          <w:rFonts w:eastAsia="Calibri"/>
          <w:lang w:val="en-GB"/>
        </w:rPr>
        <w:lastRenderedPageBreak/>
        <w:t>financial fiduciary responsibility to their investors</w:t>
      </w:r>
      <w:r w:rsidR="001A04F7">
        <w:rPr>
          <w:rFonts w:eastAsia="Calibri"/>
          <w:lang w:val="en-GB"/>
        </w:rPr>
        <w:t>,</w:t>
      </w:r>
      <w:r w:rsidR="0053461A" w:rsidRPr="001A50DE">
        <w:rPr>
          <w:rStyle w:val="EndnoteReference"/>
          <w:rFonts w:eastAsia="Calibri"/>
          <w:lang w:val="en-GB"/>
        </w:rPr>
        <w:endnoteReference w:id="38"/>
      </w:r>
      <w:r w:rsidRPr="001A50DE">
        <w:rPr>
          <w:rFonts w:eastAsia="Calibri"/>
          <w:lang w:val="en-GB"/>
        </w:rPr>
        <w:t xml:space="preserve"> </w:t>
      </w:r>
      <w:r w:rsidR="001A04F7">
        <w:rPr>
          <w:rFonts w:eastAsia="Calibri"/>
          <w:lang w:val="en-GB"/>
        </w:rPr>
        <w:t>which</w:t>
      </w:r>
      <w:r w:rsidR="001A04F7" w:rsidRPr="001A50DE">
        <w:rPr>
          <w:rFonts w:eastAsia="Calibri"/>
          <w:lang w:val="en-GB"/>
        </w:rPr>
        <w:t xml:space="preserve"> </w:t>
      </w:r>
      <w:r w:rsidRPr="001A50DE">
        <w:rPr>
          <w:rFonts w:eastAsia="Calibri"/>
          <w:lang w:val="en-GB"/>
        </w:rPr>
        <w:t>granted</w:t>
      </w:r>
      <w:r w:rsidR="00820F7C" w:rsidRPr="001A50DE">
        <w:rPr>
          <w:rFonts w:eastAsia="Calibri"/>
          <w:lang w:val="en-GB"/>
        </w:rPr>
        <w:t xml:space="preserve"> them the freedom to invest based </w:t>
      </w:r>
      <w:r w:rsidR="00D12B5B" w:rsidRPr="001A50DE">
        <w:rPr>
          <w:rFonts w:eastAsia="Calibri"/>
          <w:lang w:val="en-GB"/>
        </w:rPr>
        <w:t xml:space="preserve">solely </w:t>
      </w:r>
      <w:r w:rsidR="00820F7C" w:rsidRPr="001A50DE">
        <w:rPr>
          <w:rFonts w:eastAsia="Calibri"/>
          <w:lang w:val="en-GB"/>
        </w:rPr>
        <w:t xml:space="preserve">on social impact and </w:t>
      </w:r>
      <w:r w:rsidR="00D12B5B" w:rsidRPr="001A50DE">
        <w:rPr>
          <w:rFonts w:eastAsia="Calibri"/>
          <w:lang w:val="en-GB"/>
        </w:rPr>
        <w:t xml:space="preserve">to </w:t>
      </w:r>
      <w:r w:rsidR="00820F7C" w:rsidRPr="001A50DE">
        <w:rPr>
          <w:rFonts w:eastAsia="Calibri"/>
          <w:lang w:val="en-GB"/>
        </w:rPr>
        <w:t xml:space="preserve">offer capital to </w:t>
      </w:r>
      <w:r w:rsidR="00213B7F">
        <w:rPr>
          <w:rFonts w:eastAsia="Calibri"/>
          <w:lang w:val="en-GB"/>
        </w:rPr>
        <w:t>NPO</w:t>
      </w:r>
      <w:r w:rsidR="00820F7C" w:rsidRPr="001A50DE">
        <w:rPr>
          <w:rFonts w:eastAsia="Calibri"/>
          <w:lang w:val="en-GB"/>
        </w:rPr>
        <w:t>s. This type of i</w:t>
      </w:r>
      <w:r w:rsidRPr="001A50DE">
        <w:rPr>
          <w:rFonts w:eastAsia="Calibri"/>
          <w:lang w:val="en-GB"/>
        </w:rPr>
        <w:t>mpact investing wa</w:t>
      </w:r>
      <w:r w:rsidR="00820F7C" w:rsidRPr="001A50DE">
        <w:rPr>
          <w:rFonts w:eastAsia="Calibri"/>
          <w:lang w:val="en-GB"/>
        </w:rPr>
        <w:t>s growing</w:t>
      </w:r>
      <w:r w:rsidR="00D12B5B" w:rsidRPr="001A50DE">
        <w:rPr>
          <w:rFonts w:eastAsia="Calibri"/>
          <w:lang w:val="en-GB"/>
        </w:rPr>
        <w:t>;</w:t>
      </w:r>
      <w:r w:rsidR="00820F7C" w:rsidRPr="001A50DE">
        <w:rPr>
          <w:rFonts w:eastAsia="Calibri"/>
          <w:lang w:val="en-GB"/>
        </w:rPr>
        <w:t xml:space="preserve"> </w:t>
      </w:r>
      <w:r w:rsidR="00D12B5B" w:rsidRPr="001A50DE">
        <w:rPr>
          <w:rFonts w:eastAsia="Calibri"/>
          <w:lang w:val="en-GB"/>
        </w:rPr>
        <w:t xml:space="preserve">the </w:t>
      </w:r>
      <w:r w:rsidR="00820F7C" w:rsidRPr="001A50DE">
        <w:rPr>
          <w:rFonts w:eastAsia="Calibri"/>
          <w:lang w:val="en-GB"/>
        </w:rPr>
        <w:t xml:space="preserve">Global Impact Investing Network </w:t>
      </w:r>
      <w:r w:rsidR="00D12B5B" w:rsidRPr="001A50DE">
        <w:rPr>
          <w:rFonts w:eastAsia="Calibri"/>
          <w:lang w:val="en-GB"/>
        </w:rPr>
        <w:t xml:space="preserve">found </w:t>
      </w:r>
      <w:r w:rsidR="00820F7C" w:rsidRPr="001A50DE">
        <w:rPr>
          <w:rFonts w:eastAsia="Calibri"/>
          <w:lang w:val="en-GB"/>
        </w:rPr>
        <w:t xml:space="preserve">that </w:t>
      </w:r>
      <w:r w:rsidR="00D12B5B" w:rsidRPr="001A50DE">
        <w:rPr>
          <w:rFonts w:eastAsia="Calibri"/>
          <w:lang w:val="en-GB"/>
        </w:rPr>
        <w:t xml:space="preserve">71 </w:t>
      </w:r>
      <w:r w:rsidR="00820F7C" w:rsidRPr="001A50DE">
        <w:rPr>
          <w:rFonts w:eastAsia="Calibri"/>
          <w:lang w:val="en-GB"/>
        </w:rPr>
        <w:t xml:space="preserve">of the 209 investors responsible for </w:t>
      </w:r>
      <w:r w:rsidR="00D12B5B" w:rsidRPr="001A50DE">
        <w:rPr>
          <w:rFonts w:eastAsia="Calibri"/>
          <w:lang w:val="en-GB"/>
        </w:rPr>
        <w:t xml:space="preserve">investing </w:t>
      </w:r>
      <w:r w:rsidR="001A04F7">
        <w:rPr>
          <w:rFonts w:eastAsia="Calibri"/>
          <w:lang w:val="en-GB"/>
        </w:rPr>
        <w:t>US</w:t>
      </w:r>
      <w:r w:rsidR="00820F7C" w:rsidRPr="001A50DE">
        <w:rPr>
          <w:rFonts w:eastAsia="Calibri"/>
          <w:lang w:val="en-GB"/>
        </w:rPr>
        <w:t>$25.9 billion in social impact funds</w:t>
      </w:r>
      <w:r w:rsidR="00D12B5B" w:rsidRPr="001A50DE">
        <w:rPr>
          <w:rFonts w:eastAsia="Calibri"/>
          <w:lang w:val="en-GB"/>
        </w:rPr>
        <w:t xml:space="preserve"> in 2017</w:t>
      </w:r>
      <w:r w:rsidR="00820F7C" w:rsidRPr="001A50DE">
        <w:rPr>
          <w:rFonts w:eastAsia="Calibri"/>
          <w:lang w:val="en-GB"/>
        </w:rPr>
        <w:t xml:space="preserve"> offer</w:t>
      </w:r>
      <w:r w:rsidR="00D12B5B" w:rsidRPr="001A50DE">
        <w:rPr>
          <w:rFonts w:eastAsia="Calibri"/>
          <w:lang w:val="en-GB"/>
        </w:rPr>
        <w:t>ed</w:t>
      </w:r>
      <w:r w:rsidR="00820F7C" w:rsidRPr="001A50DE">
        <w:rPr>
          <w:rFonts w:eastAsia="Calibri"/>
          <w:lang w:val="en-GB"/>
        </w:rPr>
        <w:t xml:space="preserve"> funding to </w:t>
      </w:r>
      <w:r w:rsidR="00D12B5B" w:rsidRPr="001A50DE">
        <w:rPr>
          <w:rFonts w:eastAsia="Calibri"/>
          <w:lang w:val="en-GB"/>
        </w:rPr>
        <w:t>NPOs</w:t>
      </w:r>
      <w:r w:rsidR="00820F7C" w:rsidRPr="001A50DE">
        <w:rPr>
          <w:rFonts w:eastAsia="Calibri"/>
          <w:lang w:val="en-GB"/>
        </w:rPr>
        <w:t xml:space="preserve"> at </w:t>
      </w:r>
      <w:r w:rsidR="00D12B5B" w:rsidRPr="001A50DE">
        <w:rPr>
          <w:rFonts w:eastAsia="Calibri"/>
          <w:lang w:val="en-GB"/>
        </w:rPr>
        <w:t>below-</w:t>
      </w:r>
      <w:r w:rsidR="00820F7C" w:rsidRPr="001A50DE">
        <w:rPr>
          <w:rFonts w:eastAsia="Calibri"/>
          <w:lang w:val="en-GB"/>
        </w:rPr>
        <w:t>market rate</w:t>
      </w:r>
      <w:r w:rsidR="00D12B5B" w:rsidRPr="001A50DE">
        <w:rPr>
          <w:rFonts w:eastAsia="Calibri"/>
          <w:lang w:val="en-GB"/>
        </w:rPr>
        <w:t>s</w:t>
      </w:r>
      <w:r w:rsidR="00820F7C" w:rsidRPr="001A50DE">
        <w:rPr>
          <w:rFonts w:eastAsia="Calibri"/>
          <w:lang w:val="en-GB"/>
        </w:rPr>
        <w:t xml:space="preserve"> or for no return at all.</w:t>
      </w:r>
      <w:r w:rsidR="0053461A" w:rsidRPr="001A50DE">
        <w:rPr>
          <w:rStyle w:val="EndnoteReference"/>
          <w:rFonts w:eastAsia="Calibri"/>
          <w:lang w:val="en-GB"/>
        </w:rPr>
        <w:endnoteReference w:id="39"/>
      </w:r>
      <w:r w:rsidR="00820F7C" w:rsidRPr="001A50DE">
        <w:rPr>
          <w:rFonts w:eastAsia="Calibri"/>
          <w:lang w:val="en-GB"/>
        </w:rPr>
        <w:t xml:space="preserve"> </w:t>
      </w:r>
      <w:r w:rsidR="00D12B5B" w:rsidRPr="001A50DE">
        <w:rPr>
          <w:rFonts w:eastAsia="Calibri"/>
          <w:lang w:val="en-GB"/>
        </w:rPr>
        <w:t>Fourth,</w:t>
      </w:r>
      <w:r w:rsidR="00820F7C" w:rsidRPr="001A50DE">
        <w:rPr>
          <w:rFonts w:eastAsia="Calibri"/>
          <w:lang w:val="en-GB"/>
        </w:rPr>
        <w:t xml:space="preserve"> </w:t>
      </w:r>
      <w:r w:rsidR="00D12B5B" w:rsidRPr="001A50DE">
        <w:rPr>
          <w:rFonts w:eastAsia="Calibri"/>
          <w:lang w:val="en-GB"/>
        </w:rPr>
        <w:t>NPOs</w:t>
      </w:r>
      <w:r w:rsidR="008354D8" w:rsidRPr="001A50DE">
        <w:rPr>
          <w:rFonts w:eastAsia="Calibri"/>
          <w:lang w:val="en-GB"/>
        </w:rPr>
        <w:t xml:space="preserve"> </w:t>
      </w:r>
      <w:r w:rsidR="003D147B">
        <w:rPr>
          <w:rFonts w:eastAsia="Calibri"/>
          <w:lang w:val="en-GB"/>
        </w:rPr>
        <w:t xml:space="preserve">were </w:t>
      </w:r>
      <w:r w:rsidR="008354D8" w:rsidRPr="001A50DE">
        <w:rPr>
          <w:rFonts w:eastAsia="Calibri"/>
          <w:lang w:val="en-GB"/>
        </w:rPr>
        <w:t xml:space="preserve">legally </w:t>
      </w:r>
      <w:r w:rsidR="003D147B">
        <w:rPr>
          <w:rFonts w:eastAsia="Calibri"/>
          <w:lang w:val="en-GB"/>
        </w:rPr>
        <w:t>required</w:t>
      </w:r>
      <w:r w:rsidR="003D147B" w:rsidRPr="001A50DE">
        <w:rPr>
          <w:rFonts w:eastAsia="Calibri"/>
          <w:lang w:val="en-GB"/>
        </w:rPr>
        <w:t xml:space="preserve"> </w:t>
      </w:r>
      <w:r w:rsidR="009B512D" w:rsidRPr="001A50DE">
        <w:rPr>
          <w:rFonts w:eastAsia="Calibri"/>
          <w:lang w:val="en-GB"/>
        </w:rPr>
        <w:t>to</w:t>
      </w:r>
      <w:r w:rsidR="008354D8" w:rsidRPr="001A50DE">
        <w:rPr>
          <w:rFonts w:eastAsia="Calibri"/>
          <w:lang w:val="en-GB"/>
        </w:rPr>
        <w:t xml:space="preserve"> invest any profit into pursuing their social mission</w:t>
      </w:r>
      <w:r w:rsidR="00D12B5B" w:rsidRPr="001A50DE">
        <w:rPr>
          <w:rFonts w:eastAsia="Calibri"/>
          <w:lang w:val="en-GB"/>
        </w:rPr>
        <w:t>s</w:t>
      </w:r>
      <w:r w:rsidR="008354D8" w:rsidRPr="001A50DE">
        <w:rPr>
          <w:rFonts w:eastAsia="Calibri"/>
          <w:lang w:val="en-GB"/>
        </w:rPr>
        <w:t xml:space="preserve">, thus protecting their social </w:t>
      </w:r>
      <w:r w:rsidR="00D12B5B" w:rsidRPr="001A50DE">
        <w:rPr>
          <w:rFonts w:eastAsia="Calibri"/>
          <w:lang w:val="en-GB"/>
        </w:rPr>
        <w:t>identities</w:t>
      </w:r>
      <w:r w:rsidR="00820F7C" w:rsidRPr="001A50DE">
        <w:rPr>
          <w:rFonts w:eastAsia="Calibri"/>
          <w:lang w:val="en-GB"/>
        </w:rPr>
        <w:t xml:space="preserve">. </w:t>
      </w:r>
      <w:r w:rsidR="00D12B5B" w:rsidRPr="001A50DE">
        <w:rPr>
          <w:rFonts w:eastAsia="Calibri"/>
          <w:lang w:val="en-GB"/>
        </w:rPr>
        <w:t>Finally, NPOs</w:t>
      </w:r>
      <w:r w:rsidR="008354D8" w:rsidRPr="001A50DE">
        <w:rPr>
          <w:rFonts w:eastAsia="Calibri"/>
          <w:lang w:val="en-GB"/>
        </w:rPr>
        <w:t xml:space="preserve"> </w:t>
      </w:r>
      <w:r w:rsidR="00EE69BF" w:rsidRPr="001A50DE">
        <w:rPr>
          <w:rFonts w:eastAsia="Calibri"/>
          <w:lang w:val="en-GB"/>
        </w:rPr>
        <w:t>were</w:t>
      </w:r>
      <w:r w:rsidR="008354D8" w:rsidRPr="001A50DE">
        <w:rPr>
          <w:rFonts w:eastAsia="Calibri"/>
          <w:lang w:val="en-GB"/>
        </w:rPr>
        <w:t xml:space="preserve"> eligible to receive and offer funding to </w:t>
      </w:r>
      <w:r w:rsidR="00D12B5B" w:rsidRPr="001A50DE">
        <w:rPr>
          <w:rFonts w:eastAsia="Calibri"/>
          <w:lang w:val="en-GB"/>
        </w:rPr>
        <w:t>like-</w:t>
      </w:r>
      <w:r w:rsidR="008354D8" w:rsidRPr="001A50DE">
        <w:rPr>
          <w:rFonts w:eastAsia="Calibri"/>
          <w:lang w:val="en-GB"/>
        </w:rPr>
        <w:t>minded organizations or foundations, allowing for growth partnerships</w:t>
      </w:r>
      <w:r w:rsidR="00820F7C" w:rsidRPr="001A50DE">
        <w:rPr>
          <w:rFonts w:eastAsia="Calibri"/>
          <w:lang w:val="en-GB"/>
        </w:rPr>
        <w:t>.</w:t>
      </w:r>
      <w:r w:rsidR="0053461A" w:rsidRPr="001A50DE">
        <w:rPr>
          <w:rStyle w:val="EndnoteReference"/>
          <w:rFonts w:eastAsia="Calibri"/>
          <w:lang w:val="en-GB"/>
        </w:rPr>
        <w:endnoteReference w:id="40"/>
      </w:r>
      <w:r w:rsidR="00820F7C" w:rsidRPr="001A50DE">
        <w:rPr>
          <w:rFonts w:eastAsia="Calibri"/>
          <w:lang w:val="en-GB"/>
        </w:rPr>
        <w:t xml:space="preserve"> </w:t>
      </w:r>
    </w:p>
    <w:p w14:paraId="0014E1E5" w14:textId="77777777" w:rsidR="0056454B" w:rsidRPr="001A50DE" w:rsidRDefault="0056454B" w:rsidP="00CB784C">
      <w:pPr>
        <w:pStyle w:val="BodyTextMain"/>
        <w:rPr>
          <w:rFonts w:eastAsia="Calibri"/>
          <w:lang w:val="en-GB"/>
        </w:rPr>
      </w:pPr>
    </w:p>
    <w:p w14:paraId="3C2AB36E" w14:textId="6DCCBBB3" w:rsidR="00820F7C" w:rsidRPr="00694D30" w:rsidRDefault="0056454B" w:rsidP="00CB784C">
      <w:pPr>
        <w:pStyle w:val="BodyTextMain"/>
        <w:rPr>
          <w:rFonts w:eastAsia="Calibri"/>
          <w:spacing w:val="-2"/>
          <w:kern w:val="22"/>
          <w:lang w:val="en-GB"/>
        </w:rPr>
      </w:pPr>
      <w:r w:rsidRPr="00694D30">
        <w:rPr>
          <w:rFonts w:eastAsia="Calibri"/>
          <w:spacing w:val="-2"/>
          <w:kern w:val="22"/>
          <w:lang w:val="en-GB"/>
        </w:rPr>
        <w:t>There wer</w:t>
      </w:r>
      <w:r w:rsidR="00820F7C" w:rsidRPr="00694D30">
        <w:rPr>
          <w:rFonts w:eastAsia="Calibri"/>
          <w:spacing w:val="-2"/>
          <w:kern w:val="22"/>
          <w:lang w:val="en-GB"/>
        </w:rPr>
        <w:t xml:space="preserve">e potential costs to a non-profit model. </w:t>
      </w:r>
      <w:r w:rsidR="003D147B">
        <w:rPr>
          <w:rFonts w:eastAsia="Calibri"/>
          <w:spacing w:val="-2"/>
          <w:kern w:val="22"/>
          <w:lang w:val="en-GB"/>
        </w:rPr>
        <w:t>T</w:t>
      </w:r>
      <w:r w:rsidR="003D147B" w:rsidRPr="00694D30">
        <w:rPr>
          <w:rFonts w:eastAsia="Calibri"/>
          <w:spacing w:val="-2"/>
          <w:kern w:val="22"/>
          <w:lang w:val="en-GB"/>
        </w:rPr>
        <w:t>o maintain their tax-exempt status</w:t>
      </w:r>
      <w:r w:rsidR="003D147B">
        <w:rPr>
          <w:rFonts w:eastAsia="Calibri"/>
          <w:spacing w:val="-2"/>
          <w:kern w:val="22"/>
          <w:lang w:val="en-GB"/>
        </w:rPr>
        <w:t>,</w:t>
      </w:r>
      <w:r w:rsidR="003D147B" w:rsidRPr="00694D30">
        <w:rPr>
          <w:rFonts w:eastAsia="Calibri"/>
          <w:spacing w:val="-2"/>
          <w:kern w:val="22"/>
          <w:lang w:val="en-GB"/>
        </w:rPr>
        <w:t xml:space="preserve"> </w:t>
      </w:r>
      <w:r w:rsidR="00535FC8" w:rsidRPr="00694D30">
        <w:rPr>
          <w:rFonts w:eastAsia="Calibri"/>
          <w:spacing w:val="-2"/>
          <w:kern w:val="22"/>
          <w:lang w:val="en-GB"/>
        </w:rPr>
        <w:t>NPOs</w:t>
      </w:r>
      <w:r w:rsidR="00820F7C" w:rsidRPr="00694D30">
        <w:rPr>
          <w:rFonts w:eastAsia="Calibri"/>
          <w:spacing w:val="-2"/>
          <w:kern w:val="22"/>
          <w:lang w:val="en-GB"/>
        </w:rPr>
        <w:t xml:space="preserve"> </w:t>
      </w:r>
      <w:r w:rsidR="003D147B">
        <w:rPr>
          <w:rFonts w:eastAsia="Calibri"/>
          <w:spacing w:val="-2"/>
          <w:kern w:val="22"/>
          <w:lang w:val="en-GB"/>
        </w:rPr>
        <w:t>in Canada needed</w:t>
      </w:r>
      <w:r w:rsidR="003D147B" w:rsidRPr="00694D30">
        <w:rPr>
          <w:rFonts w:eastAsia="Calibri"/>
          <w:spacing w:val="-2"/>
          <w:kern w:val="22"/>
          <w:lang w:val="en-GB"/>
        </w:rPr>
        <w:t xml:space="preserve"> </w:t>
      </w:r>
      <w:r w:rsidR="00BD4344" w:rsidRPr="00694D30">
        <w:rPr>
          <w:rFonts w:eastAsia="Calibri"/>
          <w:spacing w:val="-2"/>
          <w:kern w:val="22"/>
          <w:lang w:val="en-GB"/>
        </w:rPr>
        <w:t xml:space="preserve">to comply with </w:t>
      </w:r>
      <w:r w:rsidR="00820F7C" w:rsidRPr="00694D30">
        <w:rPr>
          <w:rFonts w:eastAsia="Calibri"/>
          <w:spacing w:val="-2"/>
          <w:kern w:val="22"/>
          <w:lang w:val="en-GB"/>
        </w:rPr>
        <w:t xml:space="preserve">strict regulations and </w:t>
      </w:r>
      <w:r w:rsidR="00BD4344" w:rsidRPr="00694D30">
        <w:rPr>
          <w:rFonts w:eastAsia="Calibri"/>
          <w:spacing w:val="-2"/>
          <w:kern w:val="22"/>
          <w:lang w:val="en-GB"/>
        </w:rPr>
        <w:t xml:space="preserve">faced </w:t>
      </w:r>
      <w:r w:rsidR="00820F7C" w:rsidRPr="00694D30">
        <w:rPr>
          <w:rFonts w:eastAsia="Calibri"/>
          <w:spacing w:val="-2"/>
          <w:kern w:val="22"/>
          <w:lang w:val="en-GB"/>
        </w:rPr>
        <w:t>government oversight surrounding revenue generation</w:t>
      </w:r>
      <w:r w:rsidR="003D147B">
        <w:rPr>
          <w:rFonts w:eastAsia="Calibri"/>
          <w:spacing w:val="-2"/>
          <w:kern w:val="22"/>
          <w:lang w:val="en-GB"/>
        </w:rPr>
        <w:t>,</w:t>
      </w:r>
      <w:r w:rsidRPr="00694D30">
        <w:rPr>
          <w:rFonts w:eastAsia="Calibri"/>
          <w:spacing w:val="-2"/>
          <w:kern w:val="22"/>
          <w:lang w:val="en-GB"/>
        </w:rPr>
        <w:t xml:space="preserve"> </w:t>
      </w:r>
      <w:r w:rsidR="003D147B" w:rsidRPr="00694D30">
        <w:rPr>
          <w:rFonts w:eastAsia="Calibri"/>
          <w:spacing w:val="-2"/>
          <w:kern w:val="22"/>
          <w:lang w:val="en-GB"/>
        </w:rPr>
        <w:t>includ</w:t>
      </w:r>
      <w:r w:rsidR="003D147B">
        <w:rPr>
          <w:rFonts w:eastAsia="Calibri"/>
          <w:spacing w:val="-2"/>
          <w:kern w:val="22"/>
          <w:lang w:val="en-GB"/>
        </w:rPr>
        <w:t>ing</w:t>
      </w:r>
      <w:r w:rsidR="003D147B" w:rsidRPr="00694D30">
        <w:rPr>
          <w:rFonts w:eastAsia="Calibri"/>
          <w:spacing w:val="-2"/>
          <w:kern w:val="22"/>
          <w:lang w:val="en-GB"/>
        </w:rPr>
        <w:t xml:space="preserve"> demonstrat</w:t>
      </w:r>
      <w:r w:rsidR="003D147B">
        <w:rPr>
          <w:rFonts w:eastAsia="Calibri"/>
          <w:spacing w:val="-2"/>
          <w:kern w:val="22"/>
          <w:lang w:val="en-GB"/>
        </w:rPr>
        <w:t>ing</w:t>
      </w:r>
      <w:r w:rsidR="003D147B" w:rsidRPr="00694D30">
        <w:rPr>
          <w:rFonts w:eastAsia="Calibri"/>
          <w:spacing w:val="-2"/>
          <w:kern w:val="22"/>
          <w:lang w:val="en-GB"/>
        </w:rPr>
        <w:t xml:space="preserve"> </w:t>
      </w:r>
      <w:r w:rsidR="00820F7C" w:rsidRPr="00694D30">
        <w:rPr>
          <w:rFonts w:eastAsia="Calibri"/>
          <w:spacing w:val="-2"/>
          <w:kern w:val="22"/>
          <w:lang w:val="en-GB"/>
        </w:rPr>
        <w:t>that any profi</w:t>
      </w:r>
      <w:r w:rsidRPr="00694D30">
        <w:rPr>
          <w:rFonts w:eastAsia="Calibri"/>
          <w:spacing w:val="-2"/>
          <w:kern w:val="22"/>
          <w:lang w:val="en-GB"/>
        </w:rPr>
        <w:t>ts wer</w:t>
      </w:r>
      <w:r w:rsidR="00820F7C" w:rsidRPr="00694D30">
        <w:rPr>
          <w:rFonts w:eastAsia="Calibri"/>
          <w:spacing w:val="-2"/>
          <w:kern w:val="22"/>
          <w:lang w:val="en-GB"/>
        </w:rPr>
        <w:t>e reinvested in the social mission.</w:t>
      </w:r>
      <w:r w:rsidR="00820F7C" w:rsidRPr="00694D30">
        <w:rPr>
          <w:rFonts w:eastAsia="Calibri"/>
          <w:spacing w:val="-2"/>
          <w:kern w:val="22"/>
          <w:vertAlign w:val="superscript"/>
          <w:lang w:val="en-GB"/>
        </w:rPr>
        <w:t xml:space="preserve"> </w:t>
      </w:r>
      <w:r w:rsidR="008354D8" w:rsidRPr="00694D30">
        <w:rPr>
          <w:rFonts w:eastAsia="Calibri"/>
          <w:spacing w:val="-2"/>
          <w:kern w:val="22"/>
          <w:lang w:val="en-GB"/>
        </w:rPr>
        <w:t xml:space="preserve">Charitable donations to </w:t>
      </w:r>
      <w:r w:rsidR="00535FC8" w:rsidRPr="00694D30">
        <w:rPr>
          <w:rFonts w:eastAsia="Calibri"/>
          <w:spacing w:val="-2"/>
          <w:kern w:val="22"/>
          <w:lang w:val="en-GB"/>
        </w:rPr>
        <w:t>NPOs</w:t>
      </w:r>
      <w:r w:rsidR="008354D8" w:rsidRPr="00694D30">
        <w:rPr>
          <w:rFonts w:eastAsia="Calibri"/>
          <w:spacing w:val="-2"/>
          <w:kern w:val="22"/>
          <w:lang w:val="en-GB"/>
        </w:rPr>
        <w:t xml:space="preserve"> </w:t>
      </w:r>
      <w:r w:rsidR="003D147B">
        <w:rPr>
          <w:rFonts w:eastAsia="Calibri"/>
          <w:spacing w:val="-2"/>
          <w:kern w:val="22"/>
          <w:lang w:val="en-GB"/>
        </w:rPr>
        <w:t xml:space="preserve">that were not registered charities </w:t>
      </w:r>
      <w:r w:rsidR="006A6DB4" w:rsidRPr="00694D30">
        <w:rPr>
          <w:rFonts w:eastAsia="Calibri"/>
          <w:spacing w:val="-2"/>
          <w:kern w:val="22"/>
          <w:lang w:val="en-GB"/>
        </w:rPr>
        <w:t>were</w:t>
      </w:r>
      <w:r w:rsidR="008354D8" w:rsidRPr="00694D30">
        <w:rPr>
          <w:rFonts w:eastAsia="Calibri"/>
          <w:spacing w:val="-2"/>
          <w:kern w:val="22"/>
          <w:lang w:val="en-GB"/>
        </w:rPr>
        <w:t xml:space="preserve"> not tax</w:t>
      </w:r>
      <w:r w:rsidR="003D147B">
        <w:rPr>
          <w:rFonts w:eastAsia="Calibri"/>
          <w:spacing w:val="-2"/>
          <w:kern w:val="22"/>
          <w:lang w:val="en-GB"/>
        </w:rPr>
        <w:t>-</w:t>
      </w:r>
      <w:r w:rsidR="008354D8" w:rsidRPr="00694D30">
        <w:rPr>
          <w:rFonts w:eastAsia="Calibri"/>
          <w:spacing w:val="-2"/>
          <w:kern w:val="22"/>
          <w:lang w:val="en-GB"/>
        </w:rPr>
        <w:t>deductible</w:t>
      </w:r>
      <w:r w:rsidR="00BD4344" w:rsidRPr="00694D30">
        <w:rPr>
          <w:rFonts w:eastAsia="Calibri"/>
          <w:spacing w:val="-2"/>
          <w:kern w:val="22"/>
          <w:lang w:val="en-GB"/>
        </w:rPr>
        <w:t>, and</w:t>
      </w:r>
      <w:r w:rsidR="00535FC8" w:rsidRPr="00694D30">
        <w:rPr>
          <w:rFonts w:eastAsia="Calibri"/>
          <w:spacing w:val="-2"/>
          <w:kern w:val="22"/>
          <w:lang w:val="en-GB"/>
        </w:rPr>
        <w:t xml:space="preserve"> NPOs</w:t>
      </w:r>
      <w:r w:rsidR="008354D8" w:rsidRPr="00694D30">
        <w:rPr>
          <w:rFonts w:eastAsia="Calibri"/>
          <w:spacing w:val="-2"/>
          <w:kern w:val="22"/>
          <w:lang w:val="en-GB"/>
        </w:rPr>
        <w:t xml:space="preserve"> </w:t>
      </w:r>
      <w:r w:rsidR="003670F3" w:rsidRPr="00694D30">
        <w:rPr>
          <w:rFonts w:eastAsia="Calibri"/>
          <w:spacing w:val="-2"/>
          <w:kern w:val="22"/>
          <w:lang w:val="en-GB"/>
        </w:rPr>
        <w:t>could</w:t>
      </w:r>
      <w:r w:rsidR="008354D8" w:rsidRPr="00694D30">
        <w:rPr>
          <w:rFonts w:eastAsia="Calibri"/>
          <w:spacing w:val="-2"/>
          <w:kern w:val="22"/>
          <w:lang w:val="en-GB"/>
        </w:rPr>
        <w:t xml:space="preserve"> not attract traditional investors</w:t>
      </w:r>
      <w:r w:rsidR="00CB784C" w:rsidRPr="00694D30">
        <w:rPr>
          <w:rFonts w:eastAsia="Calibri"/>
          <w:spacing w:val="-2"/>
          <w:kern w:val="22"/>
          <w:lang w:val="en-GB"/>
        </w:rPr>
        <w:t>.</w:t>
      </w:r>
      <w:r w:rsidR="0053461A" w:rsidRPr="00694D30">
        <w:rPr>
          <w:rStyle w:val="EndnoteReference"/>
          <w:rFonts w:eastAsia="Calibri"/>
          <w:spacing w:val="-2"/>
          <w:kern w:val="22"/>
          <w:lang w:val="en-GB"/>
        </w:rPr>
        <w:endnoteReference w:id="41"/>
      </w:r>
      <w:r w:rsidR="00BD4344" w:rsidRPr="00694D30">
        <w:rPr>
          <w:rFonts w:eastAsia="Calibri"/>
          <w:spacing w:val="-2"/>
          <w:kern w:val="22"/>
          <w:lang w:val="en-GB"/>
        </w:rPr>
        <w:t xml:space="preserve"> An NPO was required to have a board of directors, which signalled a loss of control for founders.</w:t>
      </w:r>
    </w:p>
    <w:p w14:paraId="4D32675E" w14:textId="77777777" w:rsidR="00CB784C" w:rsidRPr="001A50DE" w:rsidRDefault="00CB784C" w:rsidP="00CB784C">
      <w:pPr>
        <w:pStyle w:val="BodyTextMain"/>
        <w:rPr>
          <w:rFonts w:eastAsia="Calibri"/>
          <w:lang w:val="en-GB"/>
        </w:rPr>
      </w:pPr>
    </w:p>
    <w:p w14:paraId="21B4518C" w14:textId="77777777" w:rsidR="00CB784C" w:rsidRPr="001A50DE" w:rsidRDefault="00CB784C" w:rsidP="00CB784C">
      <w:pPr>
        <w:pStyle w:val="BodyTextMain"/>
        <w:rPr>
          <w:rFonts w:eastAsia="Calibri"/>
          <w:lang w:val="en-GB"/>
        </w:rPr>
      </w:pPr>
    </w:p>
    <w:p w14:paraId="1DA93DE1" w14:textId="2E8890F2" w:rsidR="00820F7C" w:rsidRPr="001A50DE" w:rsidRDefault="000512BE" w:rsidP="0056454B">
      <w:pPr>
        <w:pStyle w:val="Casehead2"/>
        <w:rPr>
          <w:rFonts w:eastAsia="Calibri"/>
          <w:lang w:val="en-GB"/>
        </w:rPr>
      </w:pPr>
      <w:r>
        <w:rPr>
          <w:rFonts w:eastAsia="Calibri"/>
          <w:lang w:val="en-GB"/>
        </w:rPr>
        <w:t xml:space="preserve">Registered </w:t>
      </w:r>
      <w:r w:rsidR="00820F7C" w:rsidRPr="001A50DE">
        <w:rPr>
          <w:rFonts w:eastAsia="Calibri"/>
          <w:lang w:val="en-GB"/>
        </w:rPr>
        <w:t>Charity</w:t>
      </w:r>
    </w:p>
    <w:p w14:paraId="00B7A84D" w14:textId="77777777" w:rsidR="00CB784C" w:rsidRPr="001A50DE" w:rsidRDefault="00CB784C" w:rsidP="00CB784C">
      <w:pPr>
        <w:pStyle w:val="BodyTextMain"/>
        <w:rPr>
          <w:rFonts w:eastAsia="Calibri"/>
          <w:lang w:val="en-GB"/>
        </w:rPr>
      </w:pPr>
    </w:p>
    <w:p w14:paraId="20C030FF" w14:textId="38E930C4" w:rsidR="00820F7C" w:rsidRPr="001A50DE" w:rsidRDefault="00772D67" w:rsidP="00CB784C">
      <w:pPr>
        <w:pStyle w:val="BodyTextMain"/>
        <w:rPr>
          <w:rFonts w:eastAsia="Calibri"/>
          <w:lang w:val="en-GB"/>
        </w:rPr>
      </w:pPr>
      <w:r w:rsidRPr="001A50DE">
        <w:rPr>
          <w:rFonts w:eastAsia="Calibri"/>
          <w:lang w:val="en-GB"/>
        </w:rPr>
        <w:t>There wer</w:t>
      </w:r>
      <w:r w:rsidR="00820F7C" w:rsidRPr="001A50DE">
        <w:rPr>
          <w:rFonts w:eastAsia="Calibri"/>
          <w:lang w:val="en-GB"/>
        </w:rPr>
        <w:t>e four potential benefits to a registered charity structure</w:t>
      </w:r>
      <w:r w:rsidR="00535FC8" w:rsidRPr="001A50DE">
        <w:rPr>
          <w:rFonts w:eastAsia="Calibri"/>
          <w:lang w:val="en-GB"/>
        </w:rPr>
        <w:t>:</w:t>
      </w:r>
      <w:r w:rsidR="00BD4344">
        <w:rPr>
          <w:rFonts w:eastAsia="Calibri"/>
          <w:lang w:val="en-GB"/>
        </w:rPr>
        <w:t xml:space="preserve"> </w:t>
      </w:r>
      <w:r w:rsidR="00820F7C" w:rsidRPr="001A50DE">
        <w:rPr>
          <w:rFonts w:eastAsia="Calibri"/>
          <w:lang w:val="en-GB"/>
        </w:rPr>
        <w:t xml:space="preserve">(1) </w:t>
      </w:r>
      <w:r w:rsidR="00BD4344">
        <w:rPr>
          <w:rFonts w:eastAsia="Calibri"/>
          <w:lang w:val="en-GB"/>
        </w:rPr>
        <w:t>c</w:t>
      </w:r>
      <w:r w:rsidR="00BD4344" w:rsidRPr="001A50DE">
        <w:rPr>
          <w:rFonts w:eastAsia="Calibri"/>
          <w:lang w:val="en-GB"/>
        </w:rPr>
        <w:t xml:space="preserve">harities </w:t>
      </w:r>
      <w:r w:rsidR="006A6DB4" w:rsidRPr="001A50DE">
        <w:rPr>
          <w:rFonts w:eastAsia="Calibri"/>
          <w:lang w:val="en-GB"/>
        </w:rPr>
        <w:t>were</w:t>
      </w:r>
      <w:r w:rsidR="007B772D" w:rsidRPr="001A50DE">
        <w:rPr>
          <w:rFonts w:eastAsia="Calibri"/>
          <w:lang w:val="en-GB"/>
        </w:rPr>
        <w:t xml:space="preserve"> exempt from paying income </w:t>
      </w:r>
      <w:r w:rsidR="00E22ABA">
        <w:rPr>
          <w:rFonts w:eastAsia="Calibri"/>
          <w:lang w:val="en-GB"/>
        </w:rPr>
        <w:t xml:space="preserve">tax </w:t>
      </w:r>
      <w:r w:rsidR="007B772D" w:rsidRPr="001A50DE">
        <w:rPr>
          <w:rFonts w:eastAsia="Calibri"/>
          <w:lang w:val="en-GB"/>
        </w:rPr>
        <w:t>and property tax</w:t>
      </w:r>
      <w:r w:rsidR="00535FC8" w:rsidRPr="001A50DE">
        <w:rPr>
          <w:rFonts w:eastAsia="Calibri"/>
          <w:lang w:val="en-GB"/>
        </w:rPr>
        <w:t xml:space="preserve">; </w:t>
      </w:r>
      <w:r w:rsidR="00820F7C" w:rsidRPr="001A50DE">
        <w:rPr>
          <w:rFonts w:eastAsia="Calibri"/>
          <w:lang w:val="en-GB"/>
        </w:rPr>
        <w:t>(2)</w:t>
      </w:r>
      <w:r w:rsidR="007B772D" w:rsidRPr="001A50DE">
        <w:rPr>
          <w:rFonts w:eastAsia="Calibri"/>
          <w:lang w:val="en-GB"/>
        </w:rPr>
        <w:t xml:space="preserve"> </w:t>
      </w:r>
      <w:r w:rsidR="00BD4344" w:rsidRPr="001A50DE">
        <w:rPr>
          <w:rFonts w:eastAsia="Calibri"/>
          <w:lang w:val="en-GB"/>
        </w:rPr>
        <w:t xml:space="preserve">they </w:t>
      </w:r>
      <w:r w:rsidR="007B772D" w:rsidRPr="001A50DE">
        <w:rPr>
          <w:rFonts w:eastAsia="Calibri"/>
          <w:lang w:val="en-GB"/>
        </w:rPr>
        <w:t>c</w:t>
      </w:r>
      <w:r w:rsidR="006A6DB4" w:rsidRPr="001A50DE">
        <w:rPr>
          <w:rFonts w:eastAsia="Calibri"/>
          <w:lang w:val="en-GB"/>
        </w:rPr>
        <w:t>ould</w:t>
      </w:r>
      <w:r w:rsidR="007B772D" w:rsidRPr="001A50DE">
        <w:rPr>
          <w:rFonts w:eastAsia="Calibri"/>
          <w:lang w:val="en-GB"/>
        </w:rPr>
        <w:t xml:space="preserve"> issue tax receipts to individuals and businesses for contributions they </w:t>
      </w:r>
      <w:r w:rsidR="00535FC8" w:rsidRPr="001A50DE">
        <w:rPr>
          <w:rFonts w:eastAsia="Calibri"/>
          <w:lang w:val="en-GB"/>
        </w:rPr>
        <w:t xml:space="preserve">made; </w:t>
      </w:r>
      <w:r w:rsidR="00820F7C" w:rsidRPr="001A50DE">
        <w:rPr>
          <w:rFonts w:eastAsia="Calibri"/>
          <w:lang w:val="en-GB"/>
        </w:rPr>
        <w:t xml:space="preserve">(3) </w:t>
      </w:r>
      <w:r w:rsidR="00535FC8" w:rsidRPr="001A50DE">
        <w:rPr>
          <w:rFonts w:eastAsia="Calibri"/>
          <w:lang w:val="en-GB"/>
        </w:rPr>
        <w:t>they</w:t>
      </w:r>
      <w:r w:rsidR="007B772D" w:rsidRPr="001A50DE">
        <w:rPr>
          <w:rFonts w:eastAsia="Calibri"/>
          <w:lang w:val="en-GB"/>
        </w:rPr>
        <w:t xml:space="preserve"> </w:t>
      </w:r>
      <w:r w:rsidR="006A6DB4" w:rsidRPr="001A50DE">
        <w:rPr>
          <w:rFonts w:eastAsia="Calibri"/>
          <w:lang w:val="en-GB"/>
        </w:rPr>
        <w:t>were</w:t>
      </w:r>
      <w:r w:rsidR="007B772D" w:rsidRPr="001A50DE">
        <w:rPr>
          <w:rFonts w:eastAsia="Calibri"/>
          <w:lang w:val="en-GB"/>
        </w:rPr>
        <w:t xml:space="preserve"> eligible to receive funding from other charities and foundations looking to support their social mission</w:t>
      </w:r>
      <w:r w:rsidR="00535FC8" w:rsidRPr="001A50DE">
        <w:rPr>
          <w:rFonts w:eastAsia="Calibri"/>
          <w:lang w:val="en-GB"/>
        </w:rPr>
        <w:t>;</w:t>
      </w:r>
      <w:r w:rsidR="00535FC8" w:rsidRPr="001A50DE">
        <w:rPr>
          <w:rStyle w:val="EndnoteReference"/>
          <w:rFonts w:eastAsia="Calibri"/>
          <w:lang w:val="en-GB"/>
        </w:rPr>
        <w:endnoteReference w:id="42"/>
      </w:r>
      <w:r w:rsidR="00535FC8" w:rsidRPr="001A50DE">
        <w:rPr>
          <w:rFonts w:eastAsia="Calibri"/>
          <w:lang w:val="en-GB"/>
        </w:rPr>
        <w:t xml:space="preserve"> </w:t>
      </w:r>
      <w:r w:rsidR="00BD4344">
        <w:rPr>
          <w:rFonts w:eastAsia="Calibri"/>
          <w:lang w:val="en-GB"/>
        </w:rPr>
        <w:t xml:space="preserve">and </w:t>
      </w:r>
      <w:r w:rsidRPr="001A50DE">
        <w:rPr>
          <w:rFonts w:eastAsia="Calibri"/>
          <w:lang w:val="en-GB"/>
        </w:rPr>
        <w:t xml:space="preserve">(4) </w:t>
      </w:r>
      <w:r w:rsidR="00535FC8" w:rsidRPr="001A50DE">
        <w:rPr>
          <w:rFonts w:eastAsia="Calibri"/>
          <w:lang w:val="en-GB"/>
        </w:rPr>
        <w:t>they</w:t>
      </w:r>
      <w:r w:rsidRPr="001A50DE">
        <w:rPr>
          <w:rFonts w:eastAsia="Calibri"/>
          <w:lang w:val="en-GB"/>
        </w:rPr>
        <w:t xml:space="preserve"> wer</w:t>
      </w:r>
      <w:r w:rsidR="00820F7C" w:rsidRPr="001A50DE">
        <w:rPr>
          <w:rFonts w:eastAsia="Calibri"/>
          <w:lang w:val="en-GB"/>
        </w:rPr>
        <w:t>e legally required to enforce the execution of their charitable goal</w:t>
      </w:r>
      <w:r w:rsidR="00535FC8" w:rsidRPr="001A50DE">
        <w:rPr>
          <w:rFonts w:eastAsia="Calibri"/>
          <w:lang w:val="en-GB"/>
        </w:rPr>
        <w:t>s</w:t>
      </w:r>
      <w:r w:rsidR="00820F7C" w:rsidRPr="001A50DE">
        <w:rPr>
          <w:rFonts w:eastAsia="Calibri"/>
          <w:lang w:val="en-GB"/>
        </w:rPr>
        <w:t xml:space="preserve">, </w:t>
      </w:r>
      <w:r w:rsidR="00535FC8" w:rsidRPr="001A50DE">
        <w:rPr>
          <w:rFonts w:eastAsia="Calibri"/>
          <w:lang w:val="en-GB"/>
        </w:rPr>
        <w:t xml:space="preserve">which meant </w:t>
      </w:r>
      <w:r w:rsidRPr="001A50DE">
        <w:rPr>
          <w:rFonts w:eastAsia="Calibri"/>
          <w:lang w:val="en-GB"/>
        </w:rPr>
        <w:t>that all of their profits had to</w:t>
      </w:r>
      <w:r w:rsidR="00820F7C" w:rsidRPr="001A50DE">
        <w:rPr>
          <w:rFonts w:eastAsia="Calibri"/>
          <w:lang w:val="en-GB"/>
        </w:rPr>
        <w:t xml:space="preserve"> be adequately distributed to objectives that further</w:t>
      </w:r>
      <w:r w:rsidRPr="001A50DE">
        <w:rPr>
          <w:rFonts w:eastAsia="Calibri"/>
          <w:lang w:val="en-GB"/>
        </w:rPr>
        <w:t>ed</w:t>
      </w:r>
      <w:r w:rsidR="00820F7C" w:rsidRPr="001A50DE">
        <w:rPr>
          <w:rFonts w:eastAsia="Calibri"/>
          <w:lang w:val="en-GB"/>
        </w:rPr>
        <w:t xml:space="preserve"> their positive social impact. Significantly, board members for charities </w:t>
      </w:r>
      <w:r w:rsidRPr="001A50DE">
        <w:rPr>
          <w:rFonts w:eastAsia="Calibri"/>
          <w:lang w:val="en-GB"/>
        </w:rPr>
        <w:t>were restricted from having</w:t>
      </w:r>
      <w:r w:rsidR="00820F7C" w:rsidRPr="001A50DE">
        <w:rPr>
          <w:rFonts w:eastAsia="Calibri"/>
          <w:lang w:val="en-GB"/>
        </w:rPr>
        <w:t xml:space="preserve"> financial stake</w:t>
      </w:r>
      <w:r w:rsidR="00535FC8" w:rsidRPr="001A50DE">
        <w:rPr>
          <w:rFonts w:eastAsia="Calibri"/>
          <w:lang w:val="en-GB"/>
        </w:rPr>
        <w:t>s</w:t>
      </w:r>
      <w:r w:rsidR="00820F7C" w:rsidRPr="001A50DE">
        <w:rPr>
          <w:rFonts w:eastAsia="Calibri"/>
          <w:lang w:val="en-GB"/>
        </w:rPr>
        <w:t xml:space="preserve"> in the </w:t>
      </w:r>
      <w:r w:rsidR="00535FC8" w:rsidRPr="001A50DE">
        <w:rPr>
          <w:rFonts w:eastAsia="Calibri"/>
          <w:lang w:val="en-GB"/>
        </w:rPr>
        <w:t>charities themselves</w:t>
      </w:r>
      <w:r w:rsidR="00714259">
        <w:rPr>
          <w:rFonts w:eastAsia="Calibri"/>
          <w:lang w:val="en-GB"/>
        </w:rPr>
        <w:t>, which</w:t>
      </w:r>
      <w:r w:rsidR="00462FD7">
        <w:rPr>
          <w:rFonts w:eastAsia="Calibri"/>
          <w:lang w:val="en-GB"/>
        </w:rPr>
        <w:t xml:space="preserve"> avoided conflicts between revenue-generating activities and the charity’s social mission.</w:t>
      </w:r>
      <w:r w:rsidR="0053461A" w:rsidRPr="001A50DE">
        <w:rPr>
          <w:rStyle w:val="EndnoteReference"/>
          <w:rFonts w:eastAsia="Calibri"/>
          <w:lang w:val="en-GB"/>
        </w:rPr>
        <w:endnoteReference w:id="43"/>
      </w:r>
    </w:p>
    <w:p w14:paraId="082461C3" w14:textId="77777777" w:rsidR="00CB784C" w:rsidRPr="001A50DE" w:rsidRDefault="00CB784C" w:rsidP="00CB784C">
      <w:pPr>
        <w:pStyle w:val="BodyTextMain"/>
        <w:rPr>
          <w:rFonts w:eastAsia="Calibri"/>
          <w:lang w:val="en-GB"/>
        </w:rPr>
      </w:pPr>
    </w:p>
    <w:p w14:paraId="76C71A84" w14:textId="781A830C" w:rsidR="00820F7C" w:rsidRPr="001A50DE" w:rsidRDefault="00772D67" w:rsidP="00CB784C">
      <w:pPr>
        <w:pStyle w:val="BodyTextMain"/>
        <w:rPr>
          <w:rFonts w:eastAsia="Calibri"/>
          <w:lang w:val="en-GB"/>
        </w:rPr>
      </w:pPr>
      <w:r w:rsidRPr="001A50DE">
        <w:rPr>
          <w:rFonts w:eastAsia="Calibri"/>
          <w:lang w:val="en-GB"/>
        </w:rPr>
        <w:t>A charitable structure posed</w:t>
      </w:r>
      <w:r w:rsidR="00820F7C" w:rsidRPr="001A50DE">
        <w:rPr>
          <w:rFonts w:eastAsia="Calibri"/>
          <w:lang w:val="en-GB"/>
        </w:rPr>
        <w:t xml:space="preserve"> three potential </w:t>
      </w:r>
      <w:r w:rsidR="00D42F52" w:rsidRPr="001A50DE">
        <w:rPr>
          <w:rFonts w:eastAsia="Calibri"/>
          <w:lang w:val="en-GB"/>
        </w:rPr>
        <w:t>challenges</w:t>
      </w:r>
      <w:r w:rsidR="00820F7C" w:rsidRPr="001A50DE">
        <w:rPr>
          <w:rFonts w:eastAsia="Calibri"/>
          <w:lang w:val="en-GB"/>
        </w:rPr>
        <w:t xml:space="preserve">. </w:t>
      </w:r>
      <w:r w:rsidR="00D42F52" w:rsidRPr="001A50DE">
        <w:rPr>
          <w:rFonts w:eastAsia="Calibri"/>
          <w:lang w:val="en-GB"/>
        </w:rPr>
        <w:t>First, c</w:t>
      </w:r>
      <w:r w:rsidR="00B842D4" w:rsidRPr="001A50DE">
        <w:rPr>
          <w:rFonts w:eastAsia="Calibri"/>
          <w:lang w:val="en-GB"/>
        </w:rPr>
        <w:t xml:space="preserve">harities </w:t>
      </w:r>
      <w:r w:rsidR="008162F1">
        <w:rPr>
          <w:rFonts w:eastAsia="Calibri"/>
          <w:lang w:val="en-GB"/>
        </w:rPr>
        <w:t>needed</w:t>
      </w:r>
      <w:r w:rsidR="008162F1" w:rsidRPr="001A50DE">
        <w:rPr>
          <w:rFonts w:eastAsia="Calibri"/>
          <w:lang w:val="en-GB"/>
        </w:rPr>
        <w:t xml:space="preserve"> </w:t>
      </w:r>
      <w:r w:rsidR="009B512D" w:rsidRPr="001A50DE">
        <w:rPr>
          <w:rFonts w:eastAsia="Calibri"/>
          <w:lang w:val="en-GB"/>
        </w:rPr>
        <w:t>to</w:t>
      </w:r>
      <w:r w:rsidR="00B842D4" w:rsidRPr="001A50DE">
        <w:rPr>
          <w:rFonts w:eastAsia="Calibri"/>
          <w:lang w:val="en-GB"/>
        </w:rPr>
        <w:t xml:space="preserve"> satisfy a </w:t>
      </w:r>
      <w:r w:rsidR="00D42F52" w:rsidRPr="001A50DE">
        <w:rPr>
          <w:rFonts w:eastAsia="Calibri"/>
          <w:lang w:val="en-GB"/>
        </w:rPr>
        <w:t>government-</w:t>
      </w:r>
      <w:r w:rsidR="00B842D4" w:rsidRPr="001A50DE">
        <w:rPr>
          <w:rFonts w:eastAsia="Calibri"/>
          <w:lang w:val="en-GB"/>
        </w:rPr>
        <w:t>mandated disbursement quota and generate accountability reports for their operations and activities.</w:t>
      </w:r>
      <w:r w:rsidR="00820F7C" w:rsidRPr="001A50DE">
        <w:rPr>
          <w:rFonts w:eastAsia="Calibri"/>
          <w:lang w:val="en-GB"/>
        </w:rPr>
        <w:t xml:space="preserve"> </w:t>
      </w:r>
      <w:r w:rsidR="00D42F52" w:rsidRPr="001A50DE">
        <w:rPr>
          <w:rFonts w:eastAsia="Calibri"/>
          <w:lang w:val="en-GB"/>
        </w:rPr>
        <w:t>Second, s</w:t>
      </w:r>
      <w:r w:rsidR="00820F7C" w:rsidRPr="001A50DE">
        <w:rPr>
          <w:rFonts w:eastAsia="Calibri"/>
          <w:lang w:val="en-GB"/>
        </w:rPr>
        <w:t xml:space="preserve">trict government regulations and oversight </w:t>
      </w:r>
      <w:r w:rsidR="00B842D4" w:rsidRPr="001A50DE">
        <w:rPr>
          <w:rFonts w:eastAsia="Calibri"/>
          <w:lang w:val="en-GB"/>
        </w:rPr>
        <w:t>impair</w:t>
      </w:r>
      <w:r w:rsidR="003670F3" w:rsidRPr="001A50DE">
        <w:rPr>
          <w:rFonts w:eastAsia="Calibri"/>
          <w:lang w:val="en-GB"/>
        </w:rPr>
        <w:t>ed</w:t>
      </w:r>
      <w:r w:rsidR="00B842D4" w:rsidRPr="001A50DE">
        <w:rPr>
          <w:rFonts w:eastAsia="Calibri"/>
          <w:lang w:val="en-GB"/>
        </w:rPr>
        <w:t xml:space="preserve"> the flexibility and </w:t>
      </w:r>
      <w:r w:rsidR="00E22ABA" w:rsidRPr="001A50DE">
        <w:rPr>
          <w:rFonts w:eastAsia="Calibri"/>
          <w:lang w:val="en-GB"/>
        </w:rPr>
        <w:t>adapt</w:t>
      </w:r>
      <w:r w:rsidR="00E22ABA">
        <w:rPr>
          <w:rFonts w:eastAsia="Calibri"/>
          <w:lang w:val="en-GB"/>
        </w:rPr>
        <w:t>ability</w:t>
      </w:r>
      <w:r w:rsidR="00E22ABA" w:rsidRPr="001A50DE">
        <w:rPr>
          <w:rFonts w:eastAsia="Calibri"/>
          <w:lang w:val="en-GB"/>
        </w:rPr>
        <w:t xml:space="preserve"> </w:t>
      </w:r>
      <w:r w:rsidR="00B842D4" w:rsidRPr="001A50DE">
        <w:rPr>
          <w:rFonts w:eastAsia="Calibri"/>
          <w:lang w:val="en-GB"/>
        </w:rPr>
        <w:t>of charities</w:t>
      </w:r>
      <w:r w:rsidR="00D42F52" w:rsidRPr="001A50DE">
        <w:rPr>
          <w:rFonts w:eastAsia="Calibri"/>
          <w:lang w:val="en-GB"/>
        </w:rPr>
        <w:t xml:space="preserve">, which </w:t>
      </w:r>
      <w:r w:rsidR="008162F1">
        <w:rPr>
          <w:rFonts w:eastAsia="Calibri"/>
          <w:lang w:val="en-GB"/>
        </w:rPr>
        <w:t>needed</w:t>
      </w:r>
      <w:r w:rsidR="008162F1" w:rsidRPr="001A50DE">
        <w:rPr>
          <w:rFonts w:eastAsia="Calibri"/>
          <w:lang w:val="en-GB"/>
        </w:rPr>
        <w:t xml:space="preserve"> </w:t>
      </w:r>
      <w:r w:rsidR="009B512D" w:rsidRPr="001A50DE">
        <w:rPr>
          <w:rFonts w:eastAsia="Calibri"/>
          <w:lang w:val="en-GB"/>
        </w:rPr>
        <w:t>to</w:t>
      </w:r>
      <w:r w:rsidR="00B842D4" w:rsidRPr="001A50DE">
        <w:rPr>
          <w:rFonts w:eastAsia="Calibri"/>
          <w:lang w:val="en-GB"/>
        </w:rPr>
        <w:t xml:space="preserve"> prove all </w:t>
      </w:r>
      <w:r w:rsidR="00D42F52" w:rsidRPr="001A50DE">
        <w:rPr>
          <w:rFonts w:eastAsia="Calibri"/>
          <w:lang w:val="en-GB"/>
        </w:rPr>
        <w:t>revenue-</w:t>
      </w:r>
      <w:r w:rsidR="00B842D4" w:rsidRPr="001A50DE">
        <w:rPr>
          <w:rFonts w:eastAsia="Calibri"/>
          <w:lang w:val="en-GB"/>
        </w:rPr>
        <w:t xml:space="preserve">generating activities were closely tied to their social mission. </w:t>
      </w:r>
      <w:r w:rsidR="00D42F52" w:rsidRPr="001A50DE">
        <w:rPr>
          <w:rFonts w:eastAsia="Calibri"/>
          <w:lang w:val="en-GB"/>
        </w:rPr>
        <w:t>Third, c</w:t>
      </w:r>
      <w:r w:rsidR="00B842D4" w:rsidRPr="001A50DE">
        <w:rPr>
          <w:rFonts w:eastAsia="Calibri"/>
          <w:lang w:val="en-GB"/>
        </w:rPr>
        <w:t xml:space="preserve">harities </w:t>
      </w:r>
      <w:r w:rsidR="003670F3" w:rsidRPr="001A50DE">
        <w:rPr>
          <w:rFonts w:eastAsia="Calibri"/>
          <w:lang w:val="en-GB"/>
        </w:rPr>
        <w:t xml:space="preserve">could </w:t>
      </w:r>
      <w:r w:rsidR="00B842D4" w:rsidRPr="001A50DE">
        <w:rPr>
          <w:rFonts w:eastAsia="Calibri"/>
          <w:lang w:val="en-GB"/>
        </w:rPr>
        <w:t xml:space="preserve">not attract traditional investors, </w:t>
      </w:r>
      <w:r w:rsidR="00D42F52" w:rsidRPr="001A50DE">
        <w:rPr>
          <w:rFonts w:eastAsia="Calibri"/>
          <w:lang w:val="en-GB"/>
        </w:rPr>
        <w:t xml:space="preserve">but </w:t>
      </w:r>
      <w:r w:rsidR="00B842D4" w:rsidRPr="001A50DE">
        <w:rPr>
          <w:rFonts w:eastAsia="Calibri"/>
          <w:lang w:val="en-GB"/>
        </w:rPr>
        <w:t xml:space="preserve">instead </w:t>
      </w:r>
      <w:r w:rsidR="00D42F52" w:rsidRPr="001A50DE">
        <w:rPr>
          <w:rFonts w:eastAsia="Calibri"/>
          <w:lang w:val="en-GB"/>
        </w:rPr>
        <w:t xml:space="preserve">relied </w:t>
      </w:r>
      <w:r w:rsidR="00B842D4" w:rsidRPr="001A50DE">
        <w:rPr>
          <w:rFonts w:eastAsia="Calibri"/>
          <w:lang w:val="en-GB"/>
        </w:rPr>
        <w:t xml:space="preserve">on fundraising, grants, and donors for growth capital. </w:t>
      </w:r>
      <w:r w:rsidR="00D42F52" w:rsidRPr="001A50DE">
        <w:rPr>
          <w:rFonts w:eastAsia="Calibri"/>
          <w:lang w:val="en-GB"/>
        </w:rPr>
        <w:t>Finally, c</w:t>
      </w:r>
      <w:r w:rsidR="003670F3" w:rsidRPr="001A50DE">
        <w:rPr>
          <w:rFonts w:eastAsia="Calibri"/>
          <w:lang w:val="en-GB"/>
        </w:rPr>
        <w:t xml:space="preserve">harities </w:t>
      </w:r>
      <w:r w:rsidR="009B512D" w:rsidRPr="001A50DE">
        <w:rPr>
          <w:rFonts w:eastAsia="Calibri"/>
          <w:lang w:val="en-GB"/>
        </w:rPr>
        <w:t>we</w:t>
      </w:r>
      <w:r w:rsidR="003670F3" w:rsidRPr="001A50DE">
        <w:rPr>
          <w:rFonts w:eastAsia="Calibri"/>
          <w:lang w:val="en-GB"/>
        </w:rPr>
        <w:t>re required to elect board</w:t>
      </w:r>
      <w:r w:rsidR="00D42F52" w:rsidRPr="001A50DE">
        <w:rPr>
          <w:rFonts w:eastAsia="Calibri"/>
          <w:lang w:val="en-GB"/>
        </w:rPr>
        <w:t>s</w:t>
      </w:r>
      <w:r w:rsidR="003670F3" w:rsidRPr="001A50DE">
        <w:rPr>
          <w:rFonts w:eastAsia="Calibri"/>
          <w:lang w:val="en-GB"/>
        </w:rPr>
        <w:t xml:space="preserve"> of directors, </w:t>
      </w:r>
      <w:r w:rsidR="00D42F52" w:rsidRPr="001A50DE">
        <w:rPr>
          <w:rFonts w:eastAsia="Calibri"/>
          <w:lang w:val="en-GB"/>
        </w:rPr>
        <w:t xml:space="preserve">which meant that </w:t>
      </w:r>
      <w:r w:rsidR="003670F3" w:rsidRPr="001A50DE">
        <w:rPr>
          <w:rFonts w:eastAsia="Calibri"/>
          <w:lang w:val="en-GB"/>
        </w:rPr>
        <w:t>founders sacrifice</w:t>
      </w:r>
      <w:r w:rsidR="008162F1">
        <w:rPr>
          <w:rFonts w:eastAsia="Calibri"/>
          <w:lang w:val="en-GB"/>
        </w:rPr>
        <w:t>d any</w:t>
      </w:r>
      <w:r w:rsidR="003670F3" w:rsidRPr="001A50DE">
        <w:rPr>
          <w:rFonts w:eastAsia="Calibri"/>
          <w:lang w:val="en-GB"/>
        </w:rPr>
        <w:t xml:space="preserve"> organizational control.</w:t>
      </w:r>
      <w:r w:rsidR="0053461A" w:rsidRPr="001A50DE">
        <w:rPr>
          <w:rStyle w:val="EndnoteReference"/>
          <w:rFonts w:eastAsia="Calibri"/>
          <w:lang w:val="en-GB"/>
        </w:rPr>
        <w:endnoteReference w:id="44"/>
      </w:r>
    </w:p>
    <w:p w14:paraId="4F5123A4" w14:textId="77777777" w:rsidR="00CB784C" w:rsidRPr="001A50DE" w:rsidRDefault="00CB784C" w:rsidP="00CB784C">
      <w:pPr>
        <w:pStyle w:val="BodyTextMain"/>
        <w:rPr>
          <w:rFonts w:eastAsia="Calibri"/>
          <w:lang w:val="en-GB"/>
        </w:rPr>
      </w:pPr>
    </w:p>
    <w:p w14:paraId="76D1192D" w14:textId="77777777" w:rsidR="00CB784C" w:rsidRPr="001A50DE" w:rsidRDefault="00CB784C" w:rsidP="00CB784C">
      <w:pPr>
        <w:pStyle w:val="BodyTextMain"/>
        <w:rPr>
          <w:rFonts w:eastAsia="Calibri"/>
          <w:lang w:val="en-GB"/>
        </w:rPr>
      </w:pPr>
    </w:p>
    <w:p w14:paraId="4EBFC1F1" w14:textId="77777777" w:rsidR="00820F7C" w:rsidRPr="001A50DE" w:rsidRDefault="00820F7C" w:rsidP="00E578E0">
      <w:pPr>
        <w:pStyle w:val="Casehead2"/>
        <w:keepNext/>
        <w:keepLines/>
        <w:rPr>
          <w:rFonts w:eastAsia="Calibri"/>
          <w:lang w:val="en-GB"/>
        </w:rPr>
      </w:pPr>
      <w:r w:rsidRPr="001A50DE">
        <w:rPr>
          <w:rFonts w:eastAsia="Calibri"/>
          <w:lang w:val="en-GB"/>
        </w:rPr>
        <w:t>Co-operative</w:t>
      </w:r>
    </w:p>
    <w:p w14:paraId="2D80184A" w14:textId="77777777" w:rsidR="00CB784C" w:rsidRPr="001A50DE" w:rsidRDefault="00CB784C" w:rsidP="00E578E0">
      <w:pPr>
        <w:pStyle w:val="BodyTextMain"/>
        <w:keepNext/>
        <w:keepLines/>
        <w:rPr>
          <w:rFonts w:eastAsia="Calibri"/>
          <w:lang w:val="en-GB"/>
        </w:rPr>
      </w:pPr>
    </w:p>
    <w:p w14:paraId="26308B47" w14:textId="3CA61067" w:rsidR="00820F7C" w:rsidRPr="001A50DE" w:rsidRDefault="00772D67" w:rsidP="00E578E0">
      <w:pPr>
        <w:pStyle w:val="BodyTextMain"/>
        <w:keepNext/>
        <w:keepLines/>
        <w:rPr>
          <w:rFonts w:eastAsia="Calibri"/>
          <w:lang w:val="en-GB"/>
        </w:rPr>
      </w:pPr>
      <w:r w:rsidRPr="001A50DE">
        <w:rPr>
          <w:rFonts w:eastAsia="Calibri"/>
          <w:lang w:val="en-GB"/>
        </w:rPr>
        <w:t>Co-operatives wer</w:t>
      </w:r>
      <w:r w:rsidR="00820F7C" w:rsidRPr="001A50DE">
        <w:rPr>
          <w:rFonts w:eastAsia="Calibri"/>
          <w:lang w:val="en-GB"/>
        </w:rPr>
        <w:t xml:space="preserve">e membership corporations controlled and owned by members and designed to function for the benefits of </w:t>
      </w:r>
      <w:r w:rsidR="00D42F52" w:rsidRPr="001A50DE">
        <w:rPr>
          <w:rFonts w:eastAsia="Calibri"/>
          <w:lang w:val="en-GB"/>
        </w:rPr>
        <w:t xml:space="preserve">their </w:t>
      </w:r>
      <w:r w:rsidR="00820F7C" w:rsidRPr="001A50DE">
        <w:rPr>
          <w:rFonts w:eastAsia="Calibri"/>
          <w:lang w:val="en-GB"/>
        </w:rPr>
        <w:t>members and the community. They operate</w:t>
      </w:r>
      <w:r w:rsidRPr="001A50DE">
        <w:rPr>
          <w:rFonts w:eastAsia="Calibri"/>
          <w:lang w:val="en-GB"/>
        </w:rPr>
        <w:t>d</w:t>
      </w:r>
      <w:r w:rsidR="00820F7C" w:rsidRPr="001A50DE">
        <w:rPr>
          <w:rFonts w:eastAsia="Calibri"/>
          <w:lang w:val="en-GB"/>
        </w:rPr>
        <w:t xml:space="preserve"> </w:t>
      </w:r>
      <w:r w:rsidR="00D42F52" w:rsidRPr="001A50DE">
        <w:rPr>
          <w:rFonts w:eastAsia="Calibri"/>
          <w:lang w:val="en-GB"/>
        </w:rPr>
        <w:t>according to three</w:t>
      </w:r>
      <w:r w:rsidR="00820F7C" w:rsidRPr="001A50DE">
        <w:rPr>
          <w:rFonts w:eastAsia="Calibri"/>
          <w:lang w:val="en-GB"/>
        </w:rPr>
        <w:t xml:space="preserve"> core pr</w:t>
      </w:r>
      <w:r w:rsidRPr="001A50DE">
        <w:rPr>
          <w:rFonts w:eastAsia="Calibri"/>
          <w:lang w:val="en-GB"/>
        </w:rPr>
        <w:t>inciples</w:t>
      </w:r>
      <w:r w:rsidR="00D42F52" w:rsidRPr="001A50DE">
        <w:rPr>
          <w:rFonts w:eastAsia="Calibri"/>
          <w:lang w:val="en-GB"/>
        </w:rPr>
        <w:t>:</w:t>
      </w:r>
      <w:r w:rsidRPr="001A50DE">
        <w:rPr>
          <w:rFonts w:eastAsia="Calibri"/>
          <w:lang w:val="en-GB"/>
        </w:rPr>
        <w:t xml:space="preserve"> (1) </w:t>
      </w:r>
      <w:r w:rsidR="00D42F52" w:rsidRPr="001A50DE">
        <w:rPr>
          <w:rFonts w:eastAsia="Calibri"/>
          <w:lang w:val="en-GB"/>
        </w:rPr>
        <w:t xml:space="preserve">all </w:t>
      </w:r>
      <w:r w:rsidRPr="001A50DE">
        <w:rPr>
          <w:rFonts w:eastAsia="Calibri"/>
          <w:lang w:val="en-GB"/>
        </w:rPr>
        <w:t>member</w:t>
      </w:r>
      <w:r w:rsidR="00D42F52" w:rsidRPr="001A50DE">
        <w:rPr>
          <w:rFonts w:eastAsia="Calibri"/>
          <w:lang w:val="en-GB"/>
        </w:rPr>
        <w:t>s</w:t>
      </w:r>
      <w:r w:rsidRPr="001A50DE">
        <w:rPr>
          <w:rFonts w:eastAsia="Calibri"/>
          <w:lang w:val="en-GB"/>
        </w:rPr>
        <w:t xml:space="preserve"> </w:t>
      </w:r>
      <w:r w:rsidR="00E22ABA">
        <w:rPr>
          <w:rFonts w:eastAsia="Calibri"/>
          <w:lang w:val="en-GB"/>
        </w:rPr>
        <w:t>had</w:t>
      </w:r>
      <w:r w:rsidR="00E22ABA" w:rsidRPr="001A50DE">
        <w:rPr>
          <w:rFonts w:eastAsia="Calibri"/>
          <w:lang w:val="en-GB"/>
        </w:rPr>
        <w:t xml:space="preserve"> </w:t>
      </w:r>
      <w:r w:rsidR="00820F7C" w:rsidRPr="001A50DE">
        <w:rPr>
          <w:rFonts w:eastAsia="Calibri"/>
          <w:lang w:val="en-GB"/>
        </w:rPr>
        <w:t>one vote</w:t>
      </w:r>
      <w:r w:rsidR="00D42F52" w:rsidRPr="001A50DE">
        <w:rPr>
          <w:rFonts w:eastAsia="Calibri"/>
          <w:lang w:val="en-GB"/>
        </w:rPr>
        <w:t xml:space="preserve"> each</w:t>
      </w:r>
      <w:r w:rsidR="00820F7C" w:rsidRPr="001A50DE">
        <w:rPr>
          <w:rFonts w:eastAsia="Calibri"/>
          <w:lang w:val="en-GB"/>
        </w:rPr>
        <w:t>, regardless of thei</w:t>
      </w:r>
      <w:r w:rsidRPr="001A50DE">
        <w:rPr>
          <w:rFonts w:eastAsia="Calibri"/>
          <w:lang w:val="en-GB"/>
        </w:rPr>
        <w:t>r investment level</w:t>
      </w:r>
      <w:r w:rsidR="00D42F52" w:rsidRPr="001A50DE">
        <w:rPr>
          <w:rFonts w:eastAsia="Calibri"/>
          <w:lang w:val="en-GB"/>
        </w:rPr>
        <w:t xml:space="preserve">; </w:t>
      </w:r>
      <w:r w:rsidRPr="001A50DE">
        <w:rPr>
          <w:rFonts w:eastAsia="Calibri"/>
          <w:lang w:val="en-GB"/>
        </w:rPr>
        <w:t>(2) there wer</w:t>
      </w:r>
      <w:r w:rsidR="00820F7C" w:rsidRPr="001A50DE">
        <w:rPr>
          <w:rFonts w:eastAsia="Calibri"/>
          <w:lang w:val="en-GB"/>
        </w:rPr>
        <w:t>e hard limits on the amount of interest paid for debt financin</w:t>
      </w:r>
      <w:r w:rsidRPr="001A50DE">
        <w:rPr>
          <w:rFonts w:eastAsia="Calibri"/>
          <w:lang w:val="en-GB"/>
        </w:rPr>
        <w:t>g and dividends, though they could</w:t>
      </w:r>
      <w:r w:rsidR="00820F7C" w:rsidRPr="001A50DE">
        <w:rPr>
          <w:rFonts w:eastAsia="Calibri"/>
          <w:lang w:val="en-GB"/>
        </w:rPr>
        <w:t xml:space="preserve"> be </w:t>
      </w:r>
      <w:r w:rsidRPr="001A50DE">
        <w:rPr>
          <w:rFonts w:eastAsia="Calibri"/>
          <w:lang w:val="en-GB"/>
        </w:rPr>
        <w:t>paid</w:t>
      </w:r>
      <w:r w:rsidR="00D42F52" w:rsidRPr="001A50DE">
        <w:rPr>
          <w:rFonts w:eastAsia="Calibri"/>
          <w:lang w:val="en-GB"/>
        </w:rPr>
        <w:t xml:space="preserve">; </w:t>
      </w:r>
      <w:r w:rsidRPr="001A50DE">
        <w:rPr>
          <w:rFonts w:eastAsia="Calibri"/>
          <w:lang w:val="en-GB"/>
        </w:rPr>
        <w:t>and (3) co-operative</w:t>
      </w:r>
      <w:r w:rsidR="00D42F52" w:rsidRPr="001A50DE">
        <w:rPr>
          <w:rFonts w:eastAsia="Calibri"/>
          <w:lang w:val="en-GB"/>
        </w:rPr>
        <w:t>s</w:t>
      </w:r>
      <w:r w:rsidRPr="001A50DE">
        <w:rPr>
          <w:rFonts w:eastAsia="Calibri"/>
          <w:lang w:val="en-GB"/>
        </w:rPr>
        <w:t xml:space="preserve"> </w:t>
      </w:r>
      <w:r w:rsidR="00D42F52" w:rsidRPr="001A50DE">
        <w:rPr>
          <w:rFonts w:eastAsia="Calibri"/>
          <w:lang w:val="en-GB"/>
        </w:rPr>
        <w:t xml:space="preserve">were </w:t>
      </w:r>
      <w:r w:rsidR="00820F7C" w:rsidRPr="001A50DE">
        <w:rPr>
          <w:rFonts w:eastAsia="Calibri"/>
          <w:lang w:val="en-GB"/>
        </w:rPr>
        <w:t xml:space="preserve">required to operate on a cost-recovery model as </w:t>
      </w:r>
      <w:r w:rsidR="00435527" w:rsidRPr="001A50DE">
        <w:rPr>
          <w:rFonts w:eastAsia="Calibri"/>
          <w:lang w:val="en-GB"/>
        </w:rPr>
        <w:t xml:space="preserve">much as </w:t>
      </w:r>
      <w:r w:rsidR="00820F7C" w:rsidRPr="001A50DE">
        <w:rPr>
          <w:rFonts w:eastAsia="Calibri"/>
          <w:lang w:val="en-GB"/>
        </w:rPr>
        <w:t>possible, with any additional profits being reinvested into the social mission.</w:t>
      </w:r>
      <w:r w:rsidR="0053461A" w:rsidRPr="001A50DE">
        <w:rPr>
          <w:rStyle w:val="EndnoteReference"/>
          <w:rFonts w:eastAsia="Calibri"/>
          <w:lang w:val="en-GB"/>
        </w:rPr>
        <w:endnoteReference w:id="45"/>
      </w:r>
    </w:p>
    <w:p w14:paraId="2F5BE5B5" w14:textId="77777777" w:rsidR="00CB784C" w:rsidRPr="001A50DE" w:rsidRDefault="00CB784C" w:rsidP="00CB784C">
      <w:pPr>
        <w:pStyle w:val="BodyTextMain"/>
        <w:rPr>
          <w:rFonts w:eastAsia="Calibri"/>
          <w:lang w:val="en-GB"/>
        </w:rPr>
      </w:pPr>
    </w:p>
    <w:p w14:paraId="73880C18" w14:textId="1FEC9EFF" w:rsidR="00820F7C" w:rsidRPr="001A50DE" w:rsidRDefault="00772D67" w:rsidP="00CB784C">
      <w:pPr>
        <w:pStyle w:val="BodyTextMain"/>
        <w:rPr>
          <w:rFonts w:eastAsia="Calibri"/>
          <w:lang w:val="en-GB"/>
        </w:rPr>
      </w:pPr>
      <w:r w:rsidRPr="001A50DE">
        <w:rPr>
          <w:rFonts w:eastAsia="Calibri"/>
          <w:lang w:val="en-GB"/>
        </w:rPr>
        <w:t>There wer</w:t>
      </w:r>
      <w:r w:rsidR="00820F7C" w:rsidRPr="001A50DE">
        <w:rPr>
          <w:rFonts w:eastAsia="Calibri"/>
          <w:lang w:val="en-GB"/>
        </w:rPr>
        <w:t xml:space="preserve">e five potential benefits of </w:t>
      </w:r>
      <w:r w:rsidR="00435527" w:rsidRPr="001A50DE">
        <w:rPr>
          <w:rFonts w:eastAsia="Calibri"/>
          <w:lang w:val="en-GB"/>
        </w:rPr>
        <w:t xml:space="preserve">using a </w:t>
      </w:r>
      <w:r w:rsidR="00820F7C" w:rsidRPr="001A50DE">
        <w:rPr>
          <w:rFonts w:eastAsia="Calibri"/>
          <w:lang w:val="en-GB"/>
        </w:rPr>
        <w:t xml:space="preserve">co-operative model. </w:t>
      </w:r>
      <w:r w:rsidR="00435527" w:rsidRPr="001A50DE">
        <w:rPr>
          <w:rFonts w:eastAsia="Calibri"/>
          <w:lang w:val="en-GB"/>
        </w:rPr>
        <w:t>First, c</w:t>
      </w:r>
      <w:r w:rsidR="00CA2329" w:rsidRPr="001A50DE">
        <w:rPr>
          <w:rFonts w:eastAsia="Calibri"/>
          <w:lang w:val="en-GB"/>
        </w:rPr>
        <w:t xml:space="preserve">o-operatives </w:t>
      </w:r>
      <w:r w:rsidR="006E015B">
        <w:rPr>
          <w:rFonts w:eastAsia="Calibri"/>
          <w:lang w:val="en-GB"/>
        </w:rPr>
        <w:t>were restricted to</w:t>
      </w:r>
      <w:r w:rsidR="00CA2329" w:rsidRPr="001A50DE">
        <w:rPr>
          <w:rFonts w:eastAsia="Calibri"/>
          <w:lang w:val="en-GB"/>
        </w:rPr>
        <w:t xml:space="preserve"> a fixed percentage of revenue to repay loans or </w:t>
      </w:r>
      <w:r w:rsidR="006E015B">
        <w:rPr>
          <w:rFonts w:eastAsia="Calibri"/>
          <w:lang w:val="en-GB"/>
        </w:rPr>
        <w:t>pay</w:t>
      </w:r>
      <w:r w:rsidR="006E015B" w:rsidRPr="001A50DE">
        <w:rPr>
          <w:rFonts w:eastAsia="Calibri"/>
          <w:lang w:val="en-GB"/>
        </w:rPr>
        <w:t xml:space="preserve"> </w:t>
      </w:r>
      <w:r w:rsidR="00CA2329" w:rsidRPr="001A50DE">
        <w:rPr>
          <w:rFonts w:eastAsia="Calibri"/>
          <w:lang w:val="en-GB"/>
        </w:rPr>
        <w:t xml:space="preserve">dividends. This </w:t>
      </w:r>
      <w:r w:rsidR="006E015B">
        <w:rPr>
          <w:rFonts w:eastAsia="Calibri"/>
          <w:lang w:val="en-GB"/>
        </w:rPr>
        <w:t xml:space="preserve">limitation </w:t>
      </w:r>
      <w:r w:rsidR="00CA2329" w:rsidRPr="001A50DE">
        <w:rPr>
          <w:rFonts w:eastAsia="Calibri"/>
          <w:lang w:val="en-GB"/>
        </w:rPr>
        <w:t>protect</w:t>
      </w:r>
      <w:r w:rsidR="006A6DB4" w:rsidRPr="001A50DE">
        <w:rPr>
          <w:rFonts w:eastAsia="Calibri"/>
          <w:lang w:val="en-GB"/>
        </w:rPr>
        <w:t>ed</w:t>
      </w:r>
      <w:r w:rsidR="00CA2329" w:rsidRPr="001A50DE">
        <w:rPr>
          <w:rFonts w:eastAsia="Calibri"/>
          <w:lang w:val="en-GB"/>
        </w:rPr>
        <w:t xml:space="preserve"> them from identity erosion</w:t>
      </w:r>
      <w:r w:rsidR="00435527" w:rsidRPr="001A50DE">
        <w:rPr>
          <w:rFonts w:eastAsia="Calibri"/>
          <w:lang w:val="en-GB"/>
        </w:rPr>
        <w:t>. Second, t</w:t>
      </w:r>
      <w:r w:rsidR="00CA2329" w:rsidRPr="001A50DE">
        <w:rPr>
          <w:rFonts w:eastAsia="Calibri"/>
          <w:lang w:val="en-GB"/>
        </w:rPr>
        <w:t>he fixed payout percentage allow</w:t>
      </w:r>
      <w:r w:rsidR="006A6DB4" w:rsidRPr="001A50DE">
        <w:rPr>
          <w:rFonts w:eastAsia="Calibri"/>
          <w:lang w:val="en-GB"/>
        </w:rPr>
        <w:t>ed</w:t>
      </w:r>
      <w:r w:rsidR="00CA2329" w:rsidRPr="001A50DE">
        <w:rPr>
          <w:rFonts w:eastAsia="Calibri"/>
          <w:lang w:val="en-GB"/>
        </w:rPr>
        <w:t xml:space="preserve"> co-operatives to attract capital from traditional and socially responsible investors. </w:t>
      </w:r>
      <w:r w:rsidR="00435527" w:rsidRPr="001A50DE">
        <w:rPr>
          <w:rFonts w:eastAsia="Calibri"/>
          <w:lang w:val="en-GB"/>
        </w:rPr>
        <w:t>Third, co</w:t>
      </w:r>
      <w:r w:rsidR="00CA2329" w:rsidRPr="001A50DE">
        <w:rPr>
          <w:rFonts w:eastAsia="Calibri"/>
          <w:lang w:val="en-GB"/>
        </w:rPr>
        <w:t xml:space="preserve">-operatives could issue shares and loans to non-members in </w:t>
      </w:r>
      <w:r w:rsidR="004D69E5">
        <w:rPr>
          <w:rFonts w:eastAsia="Calibri"/>
          <w:lang w:val="en-GB"/>
        </w:rPr>
        <w:t>an effort</w:t>
      </w:r>
      <w:r w:rsidR="004D69E5" w:rsidRPr="001A50DE">
        <w:rPr>
          <w:rFonts w:eastAsia="Calibri"/>
          <w:lang w:val="en-GB"/>
        </w:rPr>
        <w:t xml:space="preserve"> </w:t>
      </w:r>
      <w:r w:rsidR="00CA2329" w:rsidRPr="001A50DE">
        <w:rPr>
          <w:rFonts w:eastAsia="Calibri"/>
          <w:lang w:val="en-GB"/>
        </w:rPr>
        <w:t>to raise capital</w:t>
      </w:r>
      <w:r w:rsidR="00DC7F60" w:rsidRPr="001A50DE">
        <w:rPr>
          <w:rFonts w:eastAsia="Calibri"/>
          <w:lang w:val="en-GB"/>
        </w:rPr>
        <w:t xml:space="preserve">. </w:t>
      </w:r>
      <w:r w:rsidR="00435527" w:rsidRPr="001A50DE">
        <w:rPr>
          <w:rFonts w:eastAsia="Calibri"/>
          <w:lang w:val="en-GB"/>
        </w:rPr>
        <w:t xml:space="preserve">Fourth, </w:t>
      </w:r>
      <w:r w:rsidR="00820F7C" w:rsidRPr="001A50DE">
        <w:rPr>
          <w:rFonts w:eastAsia="Calibri"/>
          <w:lang w:val="en-GB"/>
        </w:rPr>
        <w:t xml:space="preserve">the </w:t>
      </w:r>
      <w:r w:rsidR="00435527" w:rsidRPr="001A50DE">
        <w:rPr>
          <w:rFonts w:eastAsia="Calibri"/>
          <w:lang w:val="en-GB"/>
        </w:rPr>
        <w:t>one-vote-per-</w:t>
      </w:r>
      <w:r w:rsidRPr="001A50DE">
        <w:rPr>
          <w:rFonts w:eastAsia="Calibri"/>
          <w:lang w:val="en-GB"/>
        </w:rPr>
        <w:t xml:space="preserve">member rule ensured that no investor </w:t>
      </w:r>
      <w:r w:rsidR="00435527" w:rsidRPr="001A50DE">
        <w:rPr>
          <w:rFonts w:eastAsia="Calibri"/>
          <w:lang w:val="en-GB"/>
        </w:rPr>
        <w:t xml:space="preserve">could </w:t>
      </w:r>
      <w:r w:rsidRPr="001A50DE">
        <w:rPr>
          <w:rFonts w:eastAsia="Calibri"/>
          <w:lang w:val="en-GB"/>
        </w:rPr>
        <w:t>gain</w:t>
      </w:r>
      <w:r w:rsidR="00820F7C" w:rsidRPr="001A50DE">
        <w:rPr>
          <w:rFonts w:eastAsia="Calibri"/>
          <w:lang w:val="en-GB"/>
        </w:rPr>
        <w:t xml:space="preserve"> excessive control over business operations, </w:t>
      </w:r>
      <w:r w:rsidR="00435527" w:rsidRPr="001A50DE">
        <w:rPr>
          <w:rFonts w:eastAsia="Calibri"/>
          <w:lang w:val="en-GB"/>
        </w:rPr>
        <w:t xml:space="preserve">which prevented </w:t>
      </w:r>
      <w:r w:rsidR="00820F7C" w:rsidRPr="001A50DE">
        <w:rPr>
          <w:rFonts w:eastAsia="Calibri"/>
          <w:lang w:val="en-GB"/>
        </w:rPr>
        <w:t xml:space="preserve">organizational goals from being shifted away </w:t>
      </w:r>
      <w:r w:rsidR="00BD4344">
        <w:rPr>
          <w:rFonts w:eastAsia="Calibri"/>
          <w:lang w:val="en-GB"/>
        </w:rPr>
        <w:t xml:space="preserve">from </w:t>
      </w:r>
      <w:r w:rsidR="00435527" w:rsidRPr="001A50DE">
        <w:rPr>
          <w:rFonts w:eastAsia="Calibri"/>
          <w:lang w:val="en-GB"/>
        </w:rPr>
        <w:t>the</w:t>
      </w:r>
      <w:r w:rsidR="00820F7C" w:rsidRPr="001A50DE">
        <w:rPr>
          <w:rFonts w:eastAsia="Calibri"/>
          <w:lang w:val="en-GB"/>
        </w:rPr>
        <w:t xml:space="preserve"> </w:t>
      </w:r>
      <w:r w:rsidR="00820F7C" w:rsidRPr="001A50DE">
        <w:rPr>
          <w:rFonts w:eastAsia="Calibri"/>
          <w:lang w:val="en-GB"/>
        </w:rPr>
        <w:lastRenderedPageBreak/>
        <w:t xml:space="preserve">social enterprise due to internal disagreement. </w:t>
      </w:r>
      <w:r w:rsidR="00435527" w:rsidRPr="001A50DE">
        <w:rPr>
          <w:rFonts w:eastAsia="Calibri"/>
          <w:lang w:val="en-GB"/>
        </w:rPr>
        <w:t>Finally, while they were</w:t>
      </w:r>
      <w:r w:rsidR="00820F7C" w:rsidRPr="001A50DE">
        <w:rPr>
          <w:rFonts w:eastAsia="Calibri"/>
          <w:lang w:val="en-GB"/>
        </w:rPr>
        <w:t xml:space="preserve"> </w:t>
      </w:r>
      <w:r w:rsidR="00435527" w:rsidRPr="001A50DE">
        <w:rPr>
          <w:rFonts w:eastAsia="Calibri"/>
          <w:lang w:val="en-GB"/>
        </w:rPr>
        <w:t xml:space="preserve">required </w:t>
      </w:r>
      <w:r w:rsidR="00820F7C" w:rsidRPr="001A50DE">
        <w:rPr>
          <w:rFonts w:eastAsia="Calibri"/>
          <w:lang w:val="en-GB"/>
        </w:rPr>
        <w:t xml:space="preserve">to operate </w:t>
      </w:r>
      <w:r w:rsidR="00435527" w:rsidRPr="001A50DE">
        <w:rPr>
          <w:rFonts w:eastAsia="Calibri"/>
          <w:lang w:val="en-GB"/>
        </w:rPr>
        <w:t>according to</w:t>
      </w:r>
      <w:r w:rsidR="00820F7C" w:rsidRPr="001A50DE">
        <w:rPr>
          <w:rFonts w:eastAsia="Calibri"/>
          <w:lang w:val="en-GB"/>
        </w:rPr>
        <w:t xml:space="preserve"> a cost-</w:t>
      </w:r>
      <w:r w:rsidRPr="001A50DE">
        <w:rPr>
          <w:rFonts w:eastAsia="Calibri"/>
          <w:lang w:val="en-GB"/>
        </w:rPr>
        <w:t>recovery model, co-operatives wer</w:t>
      </w:r>
      <w:r w:rsidR="00820F7C" w:rsidRPr="001A50DE">
        <w:rPr>
          <w:rFonts w:eastAsia="Calibri"/>
          <w:lang w:val="en-GB"/>
        </w:rPr>
        <w:t>e unr</w:t>
      </w:r>
      <w:r w:rsidRPr="001A50DE">
        <w:rPr>
          <w:rFonts w:eastAsia="Calibri"/>
          <w:lang w:val="en-GB"/>
        </w:rPr>
        <w:t xml:space="preserve">estricted in </w:t>
      </w:r>
      <w:r w:rsidR="00435527" w:rsidRPr="001A50DE">
        <w:rPr>
          <w:rFonts w:eastAsia="Calibri"/>
          <w:lang w:val="en-GB"/>
        </w:rPr>
        <w:t xml:space="preserve">terms of </w:t>
      </w:r>
      <w:r w:rsidRPr="001A50DE">
        <w:rPr>
          <w:rFonts w:eastAsia="Calibri"/>
          <w:lang w:val="en-GB"/>
        </w:rPr>
        <w:t xml:space="preserve">the methods they could </w:t>
      </w:r>
      <w:r w:rsidR="00820F7C" w:rsidRPr="001A50DE">
        <w:rPr>
          <w:rFonts w:eastAsia="Calibri"/>
          <w:lang w:val="en-GB"/>
        </w:rPr>
        <w:t>use to make money</w:t>
      </w:r>
      <w:r w:rsidR="00435527" w:rsidRPr="001A50DE">
        <w:rPr>
          <w:rFonts w:eastAsia="Calibri"/>
          <w:lang w:val="en-GB"/>
        </w:rPr>
        <w:t xml:space="preserve">; this </w:t>
      </w:r>
      <w:r w:rsidR="004D69E5">
        <w:rPr>
          <w:rFonts w:eastAsia="Calibri"/>
          <w:lang w:val="en-GB"/>
        </w:rPr>
        <w:t xml:space="preserve">latitude </w:t>
      </w:r>
      <w:r w:rsidR="00435527" w:rsidRPr="001A50DE">
        <w:rPr>
          <w:rFonts w:eastAsia="Calibri"/>
          <w:lang w:val="en-GB"/>
        </w:rPr>
        <w:t>made</w:t>
      </w:r>
      <w:r w:rsidR="00820F7C" w:rsidRPr="001A50DE">
        <w:rPr>
          <w:rFonts w:eastAsia="Calibri"/>
          <w:lang w:val="en-GB"/>
        </w:rPr>
        <w:t xml:space="preserve"> them much more flexible in a business sense than </w:t>
      </w:r>
      <w:r w:rsidR="00435527" w:rsidRPr="001A50DE">
        <w:rPr>
          <w:rFonts w:eastAsia="Calibri"/>
          <w:lang w:val="en-GB"/>
        </w:rPr>
        <w:t>NPOs</w:t>
      </w:r>
      <w:r w:rsidR="00820F7C" w:rsidRPr="001A50DE">
        <w:rPr>
          <w:rFonts w:eastAsia="Calibri"/>
          <w:lang w:val="en-GB"/>
        </w:rPr>
        <w:t xml:space="preserve"> or charities.</w:t>
      </w:r>
      <w:r w:rsidR="0053461A" w:rsidRPr="001A50DE">
        <w:rPr>
          <w:rStyle w:val="EndnoteReference"/>
          <w:rFonts w:eastAsia="Calibri"/>
          <w:lang w:val="en-GB"/>
        </w:rPr>
        <w:endnoteReference w:id="46"/>
      </w:r>
    </w:p>
    <w:p w14:paraId="4544EF87" w14:textId="77777777" w:rsidR="00772D67" w:rsidRPr="001A50DE" w:rsidRDefault="00772D67" w:rsidP="00CB784C">
      <w:pPr>
        <w:pStyle w:val="BodyTextMain"/>
        <w:rPr>
          <w:rFonts w:eastAsia="Calibri"/>
          <w:lang w:val="en-GB"/>
        </w:rPr>
      </w:pPr>
    </w:p>
    <w:p w14:paraId="3941DC22" w14:textId="539C701B" w:rsidR="008A7856" w:rsidRPr="001A50DE" w:rsidRDefault="008A7856" w:rsidP="00CB784C">
      <w:pPr>
        <w:pStyle w:val="BodyTextMain"/>
        <w:rPr>
          <w:rFonts w:eastAsia="Calibri"/>
          <w:lang w:val="en-GB"/>
        </w:rPr>
      </w:pPr>
      <w:r w:rsidRPr="001A50DE">
        <w:rPr>
          <w:rFonts w:eastAsia="Calibri"/>
          <w:lang w:val="en-GB"/>
        </w:rPr>
        <w:t>One</w:t>
      </w:r>
      <w:r w:rsidR="00820F7C" w:rsidRPr="001A50DE">
        <w:rPr>
          <w:rFonts w:eastAsia="Calibri"/>
          <w:lang w:val="en-GB"/>
        </w:rPr>
        <w:t xml:space="preserve"> potential cost</w:t>
      </w:r>
      <w:r w:rsidRPr="001A50DE">
        <w:rPr>
          <w:rFonts w:eastAsia="Calibri"/>
          <w:lang w:val="en-GB"/>
        </w:rPr>
        <w:t xml:space="preserve"> of using</w:t>
      </w:r>
      <w:r w:rsidR="00435527" w:rsidRPr="001A50DE">
        <w:rPr>
          <w:rFonts w:eastAsia="Calibri"/>
          <w:lang w:val="en-GB"/>
        </w:rPr>
        <w:t xml:space="preserve"> </w:t>
      </w:r>
      <w:r w:rsidR="00820F7C" w:rsidRPr="001A50DE">
        <w:rPr>
          <w:rFonts w:eastAsia="Calibri"/>
          <w:lang w:val="en-GB"/>
        </w:rPr>
        <w:t>a co-</w:t>
      </w:r>
      <w:r w:rsidR="00772D67" w:rsidRPr="001A50DE">
        <w:rPr>
          <w:rFonts w:eastAsia="Calibri"/>
          <w:lang w:val="en-GB"/>
        </w:rPr>
        <w:t>operative model</w:t>
      </w:r>
      <w:r w:rsidRPr="001A50DE">
        <w:rPr>
          <w:rFonts w:eastAsia="Calibri"/>
          <w:lang w:val="en-GB"/>
        </w:rPr>
        <w:t xml:space="preserve"> was that</w:t>
      </w:r>
      <w:r w:rsidR="00435527" w:rsidRPr="001A50DE">
        <w:rPr>
          <w:rFonts w:eastAsia="Calibri"/>
          <w:lang w:val="en-GB"/>
        </w:rPr>
        <w:t>, d</w:t>
      </w:r>
      <w:r w:rsidR="00772D67" w:rsidRPr="001A50DE">
        <w:rPr>
          <w:rFonts w:eastAsia="Calibri"/>
          <w:lang w:val="en-GB"/>
        </w:rPr>
        <w:t xml:space="preserve">espite </w:t>
      </w:r>
      <w:r w:rsidR="00435527" w:rsidRPr="001A50DE">
        <w:rPr>
          <w:rFonts w:eastAsia="Calibri"/>
          <w:lang w:val="en-GB"/>
        </w:rPr>
        <w:t xml:space="preserve">the </w:t>
      </w:r>
      <w:r w:rsidR="00820F7C" w:rsidRPr="001A50DE">
        <w:rPr>
          <w:rFonts w:eastAsia="Calibri"/>
          <w:lang w:val="en-GB"/>
        </w:rPr>
        <w:t>legal requirement to operate close to a cost-recovery basis and invest any profits into the social mission, co-operatives enjoy</w:t>
      </w:r>
      <w:r w:rsidR="00772D67" w:rsidRPr="001A50DE">
        <w:rPr>
          <w:rFonts w:eastAsia="Calibri"/>
          <w:lang w:val="en-GB"/>
        </w:rPr>
        <w:t>ed</w:t>
      </w:r>
      <w:r w:rsidR="00820F7C" w:rsidRPr="001A50DE">
        <w:rPr>
          <w:rFonts w:eastAsia="Calibri"/>
          <w:lang w:val="en-GB"/>
        </w:rPr>
        <w:t xml:space="preserve"> no tax advantages or preferential tax treatment. While it would</w:t>
      </w:r>
      <w:r w:rsidR="00772D67" w:rsidRPr="001A50DE">
        <w:rPr>
          <w:rFonts w:eastAsia="Calibri"/>
          <w:lang w:val="en-GB"/>
        </w:rPr>
        <w:t xml:space="preserve"> have</w:t>
      </w:r>
      <w:r w:rsidR="00820F7C" w:rsidRPr="001A50DE">
        <w:rPr>
          <w:rFonts w:eastAsia="Calibri"/>
          <w:lang w:val="en-GB"/>
        </w:rPr>
        <w:t xml:space="preserve"> be</w:t>
      </w:r>
      <w:r w:rsidR="00772D67" w:rsidRPr="001A50DE">
        <w:rPr>
          <w:rFonts w:eastAsia="Calibri"/>
          <w:lang w:val="en-GB"/>
        </w:rPr>
        <w:t>en</w:t>
      </w:r>
      <w:r w:rsidR="00820F7C" w:rsidRPr="001A50DE">
        <w:rPr>
          <w:rFonts w:eastAsia="Calibri"/>
          <w:lang w:val="en-GB"/>
        </w:rPr>
        <w:t xml:space="preserve"> possible </w:t>
      </w:r>
      <w:r w:rsidR="00435527" w:rsidRPr="001A50DE">
        <w:rPr>
          <w:rFonts w:eastAsia="Calibri"/>
          <w:lang w:val="en-GB"/>
        </w:rPr>
        <w:t xml:space="preserve">for FTLOL </w:t>
      </w:r>
      <w:r w:rsidR="00820F7C" w:rsidRPr="001A50DE">
        <w:rPr>
          <w:rFonts w:eastAsia="Calibri"/>
          <w:lang w:val="en-GB"/>
        </w:rPr>
        <w:t>to operate as a</w:t>
      </w:r>
      <w:r w:rsidR="00435527" w:rsidRPr="001A50DE">
        <w:rPr>
          <w:rFonts w:eastAsia="Calibri"/>
          <w:lang w:val="en-GB"/>
        </w:rPr>
        <w:t>n</w:t>
      </w:r>
      <w:r w:rsidR="00820F7C" w:rsidRPr="001A50DE">
        <w:rPr>
          <w:rFonts w:eastAsia="Calibri"/>
          <w:lang w:val="en-GB"/>
        </w:rPr>
        <w:t xml:space="preserve"> </w:t>
      </w:r>
      <w:r w:rsidR="00435527" w:rsidRPr="001A50DE">
        <w:rPr>
          <w:rFonts w:eastAsia="Calibri"/>
          <w:lang w:val="en-GB"/>
        </w:rPr>
        <w:t>NPO</w:t>
      </w:r>
      <w:r w:rsidR="00820F7C" w:rsidRPr="001A50DE">
        <w:rPr>
          <w:rFonts w:eastAsia="Calibri"/>
          <w:lang w:val="en-GB"/>
        </w:rPr>
        <w:t xml:space="preserve"> or </w:t>
      </w:r>
      <w:r w:rsidR="00435527" w:rsidRPr="001A50DE">
        <w:rPr>
          <w:rFonts w:eastAsia="Calibri"/>
          <w:lang w:val="en-GB"/>
        </w:rPr>
        <w:t xml:space="preserve">charity </w:t>
      </w:r>
      <w:r w:rsidR="00820F7C" w:rsidRPr="001A50DE">
        <w:rPr>
          <w:rFonts w:eastAsia="Calibri"/>
          <w:lang w:val="en-GB"/>
        </w:rPr>
        <w:t xml:space="preserve">to gain tax advantages, </w:t>
      </w:r>
      <w:r w:rsidR="00E22ABA">
        <w:rPr>
          <w:rFonts w:eastAsia="Calibri"/>
          <w:lang w:val="en-GB"/>
        </w:rPr>
        <w:t>doing so</w:t>
      </w:r>
      <w:r w:rsidR="00E22ABA" w:rsidRPr="001A50DE">
        <w:rPr>
          <w:rFonts w:eastAsia="Calibri"/>
          <w:lang w:val="en-GB"/>
        </w:rPr>
        <w:t xml:space="preserve"> </w:t>
      </w:r>
      <w:r w:rsidR="00820F7C" w:rsidRPr="001A50DE">
        <w:rPr>
          <w:rFonts w:eastAsia="Calibri"/>
          <w:lang w:val="en-GB"/>
        </w:rPr>
        <w:t xml:space="preserve">would </w:t>
      </w:r>
      <w:r w:rsidR="00772D67" w:rsidRPr="001A50DE">
        <w:rPr>
          <w:rFonts w:eastAsia="Calibri"/>
          <w:lang w:val="en-GB"/>
        </w:rPr>
        <w:t xml:space="preserve">have </w:t>
      </w:r>
      <w:r w:rsidR="00820F7C" w:rsidRPr="001A50DE">
        <w:rPr>
          <w:rFonts w:eastAsia="Calibri"/>
          <w:lang w:val="en-GB"/>
        </w:rPr>
        <w:t>mean</w:t>
      </w:r>
      <w:r w:rsidR="00772D67" w:rsidRPr="001A50DE">
        <w:rPr>
          <w:rFonts w:eastAsia="Calibri"/>
          <w:lang w:val="en-GB"/>
        </w:rPr>
        <w:t>t</w:t>
      </w:r>
      <w:r w:rsidR="00820F7C" w:rsidRPr="001A50DE">
        <w:rPr>
          <w:rFonts w:eastAsia="Calibri"/>
          <w:lang w:val="en-GB"/>
        </w:rPr>
        <w:t xml:space="preserve"> taking on the added restrictions of those structures, and losing any flexibility or investment advantages of the pure co-operative model. </w:t>
      </w:r>
    </w:p>
    <w:p w14:paraId="54199ECA" w14:textId="77777777" w:rsidR="008A7856" w:rsidRPr="001A50DE" w:rsidRDefault="008A7856" w:rsidP="00CB784C">
      <w:pPr>
        <w:pStyle w:val="BodyTextMain"/>
        <w:rPr>
          <w:rFonts w:eastAsia="Calibri"/>
          <w:lang w:val="en-GB"/>
        </w:rPr>
      </w:pPr>
    </w:p>
    <w:p w14:paraId="00A5DCCC" w14:textId="7CE5A9DD" w:rsidR="00820F7C" w:rsidRPr="00E578E0" w:rsidRDefault="008A7856" w:rsidP="00CB784C">
      <w:pPr>
        <w:pStyle w:val="BodyTextMain"/>
        <w:rPr>
          <w:rFonts w:eastAsia="Calibri"/>
          <w:lang w:val="en-GB"/>
        </w:rPr>
      </w:pPr>
      <w:r w:rsidRPr="001A50DE">
        <w:rPr>
          <w:rFonts w:eastAsia="Calibri"/>
          <w:lang w:val="en-GB"/>
        </w:rPr>
        <w:t xml:space="preserve">There were three other potential costs to using </w:t>
      </w:r>
      <w:r w:rsidR="00963391">
        <w:rPr>
          <w:rFonts w:eastAsia="Calibri"/>
          <w:lang w:val="en-GB"/>
        </w:rPr>
        <w:t>the co-operative</w:t>
      </w:r>
      <w:r w:rsidRPr="001A50DE">
        <w:rPr>
          <w:rFonts w:eastAsia="Calibri"/>
          <w:lang w:val="en-GB"/>
        </w:rPr>
        <w:t xml:space="preserve"> model. First,</w:t>
      </w:r>
      <w:r w:rsidR="00820F7C" w:rsidRPr="001A50DE">
        <w:rPr>
          <w:rFonts w:eastAsia="Calibri"/>
          <w:lang w:val="en-GB"/>
        </w:rPr>
        <w:t xml:space="preserve"> since only a</w:t>
      </w:r>
      <w:r w:rsidR="00772D67" w:rsidRPr="001A50DE">
        <w:rPr>
          <w:rFonts w:eastAsia="Calibri"/>
          <w:lang w:val="en-GB"/>
        </w:rPr>
        <w:t xml:space="preserve"> fixed percentage of revenue could</w:t>
      </w:r>
      <w:r w:rsidR="00820F7C" w:rsidRPr="001A50DE">
        <w:rPr>
          <w:rFonts w:eastAsia="Calibri"/>
          <w:lang w:val="en-GB"/>
        </w:rPr>
        <w:t xml:space="preserve"> be paid out to raise capital under the co-operative agreement, </w:t>
      </w:r>
      <w:r w:rsidRPr="001A50DE">
        <w:rPr>
          <w:rFonts w:eastAsia="Calibri"/>
          <w:lang w:val="en-GB"/>
        </w:rPr>
        <w:t xml:space="preserve">any </w:t>
      </w:r>
      <w:r w:rsidR="00820F7C" w:rsidRPr="001A50DE">
        <w:rPr>
          <w:rFonts w:eastAsia="Calibri"/>
          <w:lang w:val="en-GB"/>
        </w:rPr>
        <w:t xml:space="preserve">returns </w:t>
      </w:r>
      <w:r w:rsidRPr="001A50DE">
        <w:rPr>
          <w:rFonts w:eastAsia="Calibri"/>
          <w:lang w:val="en-GB"/>
        </w:rPr>
        <w:t xml:space="preserve">initially promised </w:t>
      </w:r>
      <w:r w:rsidR="00820F7C" w:rsidRPr="001A50DE">
        <w:rPr>
          <w:rFonts w:eastAsia="Calibri"/>
          <w:lang w:val="en-GB"/>
        </w:rPr>
        <w:t xml:space="preserve">to stakeholders would </w:t>
      </w:r>
      <w:r w:rsidRPr="001A50DE">
        <w:rPr>
          <w:rFonts w:eastAsia="Calibri"/>
          <w:lang w:val="en-GB"/>
        </w:rPr>
        <w:t>be</w:t>
      </w:r>
      <w:r w:rsidR="00820F7C" w:rsidRPr="001A50DE">
        <w:rPr>
          <w:rFonts w:eastAsia="Calibri"/>
          <w:lang w:val="en-GB"/>
        </w:rPr>
        <w:t xml:space="preserve"> exceedingly low, unless revenue </w:t>
      </w:r>
      <w:r w:rsidRPr="001A50DE">
        <w:rPr>
          <w:rFonts w:eastAsia="Calibri"/>
          <w:lang w:val="en-GB"/>
        </w:rPr>
        <w:t xml:space="preserve">grew </w:t>
      </w:r>
      <w:r w:rsidR="00820F7C" w:rsidRPr="001A50DE">
        <w:rPr>
          <w:rFonts w:eastAsia="Calibri"/>
          <w:lang w:val="en-GB"/>
        </w:rPr>
        <w:t xml:space="preserve">quickly. </w:t>
      </w:r>
      <w:r w:rsidRPr="001A50DE">
        <w:rPr>
          <w:rFonts w:eastAsia="Calibri"/>
          <w:lang w:val="en-GB"/>
        </w:rPr>
        <w:t>Second, s</w:t>
      </w:r>
      <w:r w:rsidR="00820F7C" w:rsidRPr="001A50DE">
        <w:rPr>
          <w:rFonts w:eastAsia="Calibri"/>
          <w:lang w:val="en-GB"/>
        </w:rPr>
        <w:t>caling up in this model require</w:t>
      </w:r>
      <w:r w:rsidR="00772D67" w:rsidRPr="001A50DE">
        <w:rPr>
          <w:rFonts w:eastAsia="Calibri"/>
          <w:lang w:val="en-GB"/>
        </w:rPr>
        <w:t>d</w:t>
      </w:r>
      <w:r w:rsidR="00820F7C" w:rsidRPr="001A50DE">
        <w:rPr>
          <w:rFonts w:eastAsia="Calibri"/>
          <w:lang w:val="en-GB"/>
        </w:rPr>
        <w:t xml:space="preserve"> dedicated members</w:t>
      </w:r>
      <w:r w:rsidRPr="001A50DE">
        <w:rPr>
          <w:rFonts w:eastAsia="Calibri"/>
          <w:lang w:val="en-GB"/>
        </w:rPr>
        <w:t xml:space="preserve"> who would be </w:t>
      </w:r>
      <w:r w:rsidR="00820F7C" w:rsidRPr="001A50DE">
        <w:rPr>
          <w:rFonts w:eastAsia="Calibri"/>
          <w:lang w:val="en-GB"/>
        </w:rPr>
        <w:t xml:space="preserve">willing to invest into the business financially and participate heavily in the </w:t>
      </w:r>
      <w:r w:rsidR="003670F3" w:rsidRPr="001A50DE">
        <w:rPr>
          <w:rFonts w:eastAsia="Calibri"/>
          <w:lang w:val="en-GB"/>
        </w:rPr>
        <w:t>decision-making</w:t>
      </w:r>
      <w:r w:rsidR="00820F7C" w:rsidRPr="001A50DE">
        <w:rPr>
          <w:rFonts w:eastAsia="Calibri"/>
          <w:lang w:val="en-GB"/>
        </w:rPr>
        <w:t xml:space="preserve"> process</w:t>
      </w:r>
      <w:r w:rsidR="003670F3" w:rsidRPr="001A50DE">
        <w:rPr>
          <w:rFonts w:eastAsia="Calibri"/>
          <w:lang w:val="en-GB"/>
        </w:rPr>
        <w:t>.</w:t>
      </w:r>
      <w:r w:rsidR="00820F7C" w:rsidRPr="001A50DE">
        <w:rPr>
          <w:rFonts w:eastAsia="Calibri"/>
          <w:lang w:val="en-GB"/>
        </w:rPr>
        <w:t xml:space="preserve"> </w:t>
      </w:r>
      <w:r w:rsidRPr="001A50DE">
        <w:rPr>
          <w:rFonts w:eastAsia="Calibri"/>
          <w:lang w:val="en-GB"/>
        </w:rPr>
        <w:t>Third, c</w:t>
      </w:r>
      <w:r w:rsidR="00820F7C" w:rsidRPr="001A50DE">
        <w:rPr>
          <w:rFonts w:eastAsia="Calibri"/>
          <w:lang w:val="en-GB"/>
        </w:rPr>
        <w:t>o-operatives always operate</w:t>
      </w:r>
      <w:r w:rsidR="00AA22BD" w:rsidRPr="001A50DE">
        <w:rPr>
          <w:rFonts w:eastAsia="Calibri"/>
          <w:lang w:val="en-GB"/>
        </w:rPr>
        <w:t>d</w:t>
      </w:r>
      <w:r w:rsidR="00820F7C" w:rsidRPr="001A50DE">
        <w:rPr>
          <w:rFonts w:eastAsia="Calibri"/>
          <w:lang w:val="en-GB"/>
        </w:rPr>
        <w:t xml:space="preserve"> on a </w:t>
      </w:r>
      <w:r w:rsidRPr="001A50DE">
        <w:rPr>
          <w:rFonts w:eastAsia="Calibri"/>
          <w:lang w:val="en-GB"/>
        </w:rPr>
        <w:t>one-vote-per-</w:t>
      </w:r>
      <w:r w:rsidR="00820F7C" w:rsidRPr="001A50DE">
        <w:rPr>
          <w:rFonts w:eastAsia="Calibri"/>
          <w:lang w:val="en-GB"/>
        </w:rPr>
        <w:t>memb</w:t>
      </w:r>
      <w:r w:rsidR="00AA22BD" w:rsidRPr="001A50DE">
        <w:rPr>
          <w:rFonts w:eastAsia="Calibri"/>
          <w:lang w:val="en-GB"/>
        </w:rPr>
        <w:t>er basis, and founding members we</w:t>
      </w:r>
      <w:r w:rsidR="00820F7C" w:rsidRPr="001A50DE">
        <w:rPr>
          <w:rFonts w:eastAsia="Calibri"/>
          <w:lang w:val="en-GB"/>
        </w:rPr>
        <w:t>re treated no differently</w:t>
      </w:r>
      <w:r w:rsidRPr="001A50DE">
        <w:rPr>
          <w:rFonts w:eastAsia="Calibri"/>
          <w:lang w:val="en-GB"/>
        </w:rPr>
        <w:t xml:space="preserve">; this </w:t>
      </w:r>
      <w:r w:rsidR="003670F3" w:rsidRPr="001A50DE">
        <w:rPr>
          <w:rFonts w:eastAsia="Calibri"/>
          <w:lang w:val="en-GB"/>
        </w:rPr>
        <w:t>represented a large loss of organizational control for founders</w:t>
      </w:r>
      <w:r w:rsidR="00820F7C" w:rsidRPr="001A50DE">
        <w:rPr>
          <w:rFonts w:eastAsia="Calibri"/>
          <w:lang w:val="en-GB"/>
        </w:rPr>
        <w:t>.</w:t>
      </w:r>
      <w:r w:rsidR="0053461A" w:rsidRPr="001A50DE">
        <w:rPr>
          <w:rStyle w:val="EndnoteReference"/>
          <w:rFonts w:eastAsia="Calibri"/>
          <w:lang w:val="en-GB"/>
        </w:rPr>
        <w:endnoteReference w:id="47"/>
      </w:r>
    </w:p>
    <w:p w14:paraId="76142DE9" w14:textId="77777777" w:rsidR="00CB784C" w:rsidRPr="001A50DE" w:rsidRDefault="00CB784C" w:rsidP="00CB784C">
      <w:pPr>
        <w:pStyle w:val="BodyTextMain"/>
        <w:rPr>
          <w:rFonts w:eastAsia="Calibri"/>
          <w:lang w:val="en-GB"/>
        </w:rPr>
      </w:pPr>
    </w:p>
    <w:p w14:paraId="7F323F80" w14:textId="77777777" w:rsidR="00CB784C" w:rsidRPr="001A50DE" w:rsidRDefault="00CB784C" w:rsidP="00CB784C">
      <w:pPr>
        <w:pStyle w:val="BodyTextMain"/>
        <w:rPr>
          <w:rFonts w:eastAsia="Calibri"/>
          <w:b/>
          <w:lang w:val="en-GB"/>
        </w:rPr>
      </w:pPr>
    </w:p>
    <w:p w14:paraId="45BB009E" w14:textId="77777777" w:rsidR="00820F7C" w:rsidRPr="001A50DE" w:rsidRDefault="00820F7C" w:rsidP="00CB784C">
      <w:pPr>
        <w:pStyle w:val="Casehead1"/>
        <w:rPr>
          <w:rFonts w:eastAsia="Calibri"/>
          <w:lang w:val="en-GB"/>
        </w:rPr>
      </w:pPr>
      <w:r w:rsidRPr="001A50DE">
        <w:rPr>
          <w:rFonts w:eastAsia="Calibri"/>
          <w:lang w:val="en-GB"/>
        </w:rPr>
        <w:t>Power’s Choice</w:t>
      </w:r>
    </w:p>
    <w:p w14:paraId="321395A0" w14:textId="77777777" w:rsidR="00CB784C" w:rsidRPr="001A50DE" w:rsidRDefault="00CB784C" w:rsidP="00CB784C">
      <w:pPr>
        <w:pStyle w:val="BodyTextMain"/>
        <w:rPr>
          <w:rFonts w:eastAsia="Calibri"/>
          <w:lang w:val="en-GB"/>
        </w:rPr>
      </w:pPr>
    </w:p>
    <w:p w14:paraId="345FE801" w14:textId="7EFBF642" w:rsidR="00820F7C" w:rsidRPr="001A50DE" w:rsidRDefault="00820F7C" w:rsidP="00CB784C">
      <w:pPr>
        <w:pStyle w:val="BodyTextMain"/>
        <w:rPr>
          <w:rFonts w:eastAsia="Calibri"/>
          <w:lang w:val="en-GB"/>
        </w:rPr>
      </w:pPr>
      <w:r w:rsidRPr="001A50DE">
        <w:rPr>
          <w:rFonts w:eastAsia="Calibri"/>
          <w:lang w:val="en-GB"/>
        </w:rPr>
        <w:t xml:space="preserve">As Power considered the future of her company, she couldn’t help but </w:t>
      </w:r>
      <w:r w:rsidR="00B66EF4" w:rsidRPr="001A50DE">
        <w:rPr>
          <w:rFonts w:eastAsia="Calibri"/>
          <w:lang w:val="en-GB"/>
        </w:rPr>
        <w:t>be proud of</w:t>
      </w:r>
      <w:r w:rsidRPr="001A50DE">
        <w:rPr>
          <w:rFonts w:eastAsia="Calibri"/>
          <w:lang w:val="en-GB"/>
        </w:rPr>
        <w:t xml:space="preserve"> how far it had come</w:t>
      </w:r>
      <w:r w:rsidR="00B66EF4" w:rsidRPr="001A50DE">
        <w:rPr>
          <w:rFonts w:eastAsia="Calibri"/>
          <w:lang w:val="en-GB"/>
        </w:rPr>
        <w:t xml:space="preserve">: from </w:t>
      </w:r>
      <w:r w:rsidRPr="001A50DE">
        <w:rPr>
          <w:rFonts w:eastAsia="Calibri"/>
          <w:lang w:val="en-GB"/>
        </w:rPr>
        <w:t>a small dream to donate laundry supplies</w:t>
      </w:r>
      <w:r w:rsidR="00B66EF4" w:rsidRPr="001A50DE">
        <w:rPr>
          <w:rFonts w:eastAsia="Calibri"/>
          <w:lang w:val="en-GB"/>
        </w:rPr>
        <w:t xml:space="preserve"> t</w:t>
      </w:r>
      <w:r w:rsidRPr="001A50DE">
        <w:rPr>
          <w:rFonts w:eastAsia="Calibri"/>
          <w:lang w:val="en-GB"/>
        </w:rPr>
        <w:t xml:space="preserve">o a social enterprise generating thousands of dollars in revenue and helping hundreds of people. It was clear, however, that the next step in the company’s evolution would be critical. </w:t>
      </w:r>
      <w:r w:rsidR="00B66EF4" w:rsidRPr="001A50DE">
        <w:rPr>
          <w:rFonts w:eastAsia="Calibri"/>
          <w:lang w:val="en-GB"/>
        </w:rPr>
        <w:t>S</w:t>
      </w:r>
      <w:r w:rsidRPr="001A50DE">
        <w:rPr>
          <w:rFonts w:eastAsia="Calibri"/>
          <w:lang w:val="en-GB"/>
        </w:rPr>
        <w:t>ell</w:t>
      </w:r>
      <w:r w:rsidR="00B66EF4" w:rsidRPr="001A50DE">
        <w:rPr>
          <w:rFonts w:eastAsia="Calibri"/>
          <w:lang w:val="en-GB"/>
        </w:rPr>
        <w:t>ing</w:t>
      </w:r>
      <w:r w:rsidRPr="001A50DE">
        <w:rPr>
          <w:rFonts w:eastAsia="Calibri"/>
          <w:lang w:val="en-GB"/>
        </w:rPr>
        <w:t xml:space="preserve"> products to stores across the country while help</w:t>
      </w:r>
      <w:r w:rsidR="00B66EF4" w:rsidRPr="001A50DE">
        <w:rPr>
          <w:rFonts w:eastAsia="Calibri"/>
          <w:lang w:val="en-GB"/>
        </w:rPr>
        <w:t>ing</w:t>
      </w:r>
      <w:r w:rsidRPr="001A50DE">
        <w:rPr>
          <w:rFonts w:eastAsia="Calibri"/>
          <w:lang w:val="en-GB"/>
        </w:rPr>
        <w:t xml:space="preserve"> more people than ever before would clearly not be possible with </w:t>
      </w:r>
      <w:r w:rsidR="00B66EF4" w:rsidRPr="001A50DE">
        <w:rPr>
          <w:rFonts w:eastAsia="Calibri"/>
          <w:lang w:val="en-GB"/>
        </w:rPr>
        <w:t xml:space="preserve">just </w:t>
      </w:r>
      <w:r w:rsidRPr="001A50DE">
        <w:rPr>
          <w:rFonts w:eastAsia="Calibri"/>
          <w:lang w:val="en-GB"/>
        </w:rPr>
        <w:t xml:space="preserve">one part-time employee and production in Power’s home. Scaling up was essential. </w:t>
      </w:r>
    </w:p>
    <w:p w14:paraId="5E542FC6" w14:textId="77777777" w:rsidR="00CB784C" w:rsidRPr="001A50DE" w:rsidRDefault="00CB784C" w:rsidP="00CB784C">
      <w:pPr>
        <w:pStyle w:val="BodyTextMain"/>
        <w:rPr>
          <w:rFonts w:eastAsia="Calibri"/>
          <w:lang w:val="en-GB"/>
        </w:rPr>
      </w:pPr>
    </w:p>
    <w:p w14:paraId="280EA464" w14:textId="3385A2FC" w:rsidR="00694D30" w:rsidRDefault="00820F7C" w:rsidP="00E22ABA">
      <w:pPr>
        <w:pStyle w:val="BodyTextMain"/>
        <w:rPr>
          <w:rFonts w:eastAsia="Calibri"/>
          <w:lang w:val="en-GB"/>
        </w:rPr>
      </w:pPr>
      <w:r w:rsidRPr="001A50DE">
        <w:rPr>
          <w:rFonts w:eastAsia="Calibri"/>
          <w:lang w:val="en-GB"/>
        </w:rPr>
        <w:t xml:space="preserve">The concept of strategic balance was critical as Power moved forward with her social enterprise. </w:t>
      </w:r>
      <w:r w:rsidR="00B66EF4" w:rsidRPr="001A50DE">
        <w:rPr>
          <w:rFonts w:eastAsia="Calibri"/>
          <w:lang w:val="en-GB"/>
        </w:rPr>
        <w:t xml:space="preserve">She </w:t>
      </w:r>
      <w:r w:rsidRPr="001A50DE">
        <w:rPr>
          <w:rFonts w:eastAsia="Calibri"/>
          <w:lang w:val="en-GB"/>
        </w:rPr>
        <w:t xml:space="preserve">needed to balance </w:t>
      </w:r>
      <w:r w:rsidR="00A772E1">
        <w:rPr>
          <w:rFonts w:eastAsia="Calibri"/>
          <w:lang w:val="en-GB"/>
        </w:rPr>
        <w:t xml:space="preserve">her social goals with </w:t>
      </w:r>
      <w:r w:rsidRPr="001A50DE">
        <w:rPr>
          <w:rFonts w:eastAsia="Calibri"/>
          <w:lang w:val="en-GB"/>
        </w:rPr>
        <w:t>expan</w:t>
      </w:r>
      <w:r w:rsidR="00B66EF4" w:rsidRPr="001A50DE">
        <w:rPr>
          <w:rFonts w:eastAsia="Calibri"/>
          <w:lang w:val="en-GB"/>
        </w:rPr>
        <w:t>ding</w:t>
      </w:r>
      <w:r w:rsidR="00E22ABA">
        <w:rPr>
          <w:rFonts w:eastAsia="Calibri"/>
          <w:lang w:val="en-GB"/>
        </w:rPr>
        <w:t xml:space="preserve"> beyond the local community</w:t>
      </w:r>
      <w:r w:rsidRPr="001A50DE">
        <w:rPr>
          <w:rFonts w:eastAsia="Calibri"/>
          <w:lang w:val="en-GB"/>
        </w:rPr>
        <w:t>, generati</w:t>
      </w:r>
      <w:r w:rsidR="00B66EF4" w:rsidRPr="001A50DE">
        <w:rPr>
          <w:rFonts w:eastAsia="Calibri"/>
          <w:lang w:val="en-GB"/>
        </w:rPr>
        <w:t>ng capital</w:t>
      </w:r>
      <w:r w:rsidRPr="001A50DE">
        <w:rPr>
          <w:rFonts w:eastAsia="Calibri"/>
          <w:lang w:val="en-GB"/>
        </w:rPr>
        <w:t xml:space="preserve">, </w:t>
      </w:r>
      <w:r w:rsidR="00B66EF4" w:rsidRPr="001A50DE">
        <w:rPr>
          <w:rFonts w:eastAsia="Calibri"/>
          <w:lang w:val="en-GB"/>
        </w:rPr>
        <w:t xml:space="preserve">growing </w:t>
      </w:r>
      <w:r w:rsidRPr="001A50DE">
        <w:rPr>
          <w:rFonts w:eastAsia="Calibri"/>
          <w:lang w:val="en-GB"/>
        </w:rPr>
        <w:t xml:space="preserve">revenue, and </w:t>
      </w:r>
      <w:r w:rsidR="00B66EF4" w:rsidRPr="001A50DE">
        <w:rPr>
          <w:rFonts w:eastAsia="Calibri"/>
          <w:lang w:val="en-GB"/>
        </w:rPr>
        <w:t>maintaining</w:t>
      </w:r>
      <w:r w:rsidRPr="001A50DE">
        <w:rPr>
          <w:rFonts w:eastAsia="Calibri"/>
          <w:lang w:val="en-GB"/>
        </w:rPr>
        <w:t xml:space="preserve"> organizational control. She knew she was at the helm of a hybrid organization</w:t>
      </w:r>
      <w:r w:rsidR="00AA22BD" w:rsidRPr="001A50DE">
        <w:rPr>
          <w:rFonts w:eastAsia="Calibri"/>
          <w:lang w:val="en-GB"/>
        </w:rPr>
        <w:t>,</w:t>
      </w:r>
      <w:r w:rsidRPr="001A50DE">
        <w:rPr>
          <w:rFonts w:eastAsia="Calibri"/>
          <w:lang w:val="en-GB"/>
        </w:rPr>
        <w:t xml:space="preserve"> and that it would be easy to lose organizational stability and identity during the scaling process. </w:t>
      </w:r>
      <w:r w:rsidR="00B66EF4" w:rsidRPr="001A50DE">
        <w:rPr>
          <w:rFonts w:eastAsia="Calibri"/>
          <w:lang w:val="en-GB"/>
        </w:rPr>
        <w:t>She needed</w:t>
      </w:r>
      <w:r w:rsidRPr="001A50DE">
        <w:rPr>
          <w:rFonts w:eastAsia="Calibri"/>
          <w:lang w:val="en-GB"/>
        </w:rPr>
        <w:t xml:space="preserve"> to find a way to bring together two seemingly contradictory concepts</w:t>
      </w:r>
      <w:r w:rsidR="00B66EF4" w:rsidRPr="001A50DE">
        <w:rPr>
          <w:rFonts w:eastAsia="Calibri"/>
          <w:lang w:val="en-GB"/>
        </w:rPr>
        <w:t>—</w:t>
      </w:r>
      <w:r w:rsidRPr="001A50DE">
        <w:rPr>
          <w:rFonts w:eastAsia="Calibri"/>
          <w:lang w:val="en-GB"/>
        </w:rPr>
        <w:t>financial growth and social purpose</w:t>
      </w:r>
      <w:r w:rsidR="00B66EF4" w:rsidRPr="001A50DE">
        <w:rPr>
          <w:rFonts w:eastAsia="Calibri"/>
          <w:lang w:val="en-GB"/>
        </w:rPr>
        <w:t xml:space="preserve">—to </w:t>
      </w:r>
      <w:r w:rsidRPr="001A50DE">
        <w:rPr>
          <w:rFonts w:eastAsia="Calibri"/>
          <w:lang w:val="en-GB"/>
        </w:rPr>
        <w:t xml:space="preserve">allow FTLOL to achieve </w:t>
      </w:r>
      <w:r w:rsidR="00B66EF4" w:rsidRPr="001A50DE">
        <w:rPr>
          <w:rFonts w:eastAsia="Calibri"/>
          <w:lang w:val="en-GB"/>
        </w:rPr>
        <w:t>the growth it was</w:t>
      </w:r>
      <w:r w:rsidRPr="001A50DE">
        <w:rPr>
          <w:rFonts w:eastAsia="Calibri"/>
          <w:lang w:val="en-GB"/>
        </w:rPr>
        <w:t xml:space="preserve"> capable of while ensuring that its social mission </w:t>
      </w:r>
      <w:r w:rsidR="00B66EF4" w:rsidRPr="001A50DE">
        <w:rPr>
          <w:rFonts w:eastAsia="Calibri"/>
          <w:lang w:val="en-GB"/>
        </w:rPr>
        <w:t>remained</w:t>
      </w:r>
      <w:r w:rsidRPr="001A50DE">
        <w:rPr>
          <w:rFonts w:eastAsia="Calibri"/>
          <w:lang w:val="en-GB"/>
        </w:rPr>
        <w:t xml:space="preserve"> its fundamental identity marker.</w:t>
      </w:r>
      <w:r w:rsidR="0053461A" w:rsidRPr="001A50DE">
        <w:rPr>
          <w:rStyle w:val="EndnoteReference"/>
          <w:rFonts w:eastAsia="Calibri"/>
          <w:lang w:val="en-GB"/>
        </w:rPr>
        <w:endnoteReference w:id="48"/>
      </w:r>
      <w:r w:rsidR="00694D30">
        <w:rPr>
          <w:rFonts w:eastAsia="Calibri"/>
          <w:lang w:val="en-GB"/>
        </w:rPr>
        <w:br w:type="page"/>
      </w:r>
    </w:p>
    <w:p w14:paraId="62B849AA" w14:textId="64E09410" w:rsidR="006071FF" w:rsidRPr="001A50DE" w:rsidRDefault="006071FF" w:rsidP="006071FF">
      <w:pPr>
        <w:pStyle w:val="ExhibitHeading"/>
        <w:keepNext/>
        <w:rPr>
          <w:rFonts w:eastAsia="Calibri"/>
          <w:lang w:val="en-GB"/>
        </w:rPr>
      </w:pPr>
      <w:r w:rsidRPr="001A50DE">
        <w:rPr>
          <w:rFonts w:eastAsia="Calibri"/>
          <w:lang w:val="en-GB"/>
        </w:rPr>
        <w:lastRenderedPageBreak/>
        <w:t xml:space="preserve">Exhibit 1: </w:t>
      </w:r>
      <w:r w:rsidR="00E22ABA">
        <w:rPr>
          <w:rFonts w:eastAsia="Calibri"/>
          <w:lang w:val="en-GB"/>
        </w:rPr>
        <w:t xml:space="preserve">For the Love of Laundry’s </w:t>
      </w:r>
      <w:r w:rsidRPr="001A50DE">
        <w:rPr>
          <w:rFonts w:eastAsia="Calibri"/>
          <w:lang w:val="en-GB"/>
        </w:rPr>
        <w:t>Financial summary</w:t>
      </w:r>
    </w:p>
    <w:p w14:paraId="52EEF512" w14:textId="77777777" w:rsidR="006071FF" w:rsidRPr="001A50DE" w:rsidRDefault="006071FF" w:rsidP="006071FF">
      <w:pPr>
        <w:pStyle w:val="ExhibitText"/>
        <w:keepNext/>
        <w:rPr>
          <w:rFonts w:eastAsia="Calibri"/>
          <w:lang w:val="en-GB"/>
        </w:rPr>
      </w:pPr>
    </w:p>
    <w:tbl>
      <w:tblPr>
        <w:tblStyle w:val="TableGrid1"/>
        <w:tblW w:w="4050" w:type="dxa"/>
        <w:jc w:val="center"/>
        <w:tblLook w:val="04A0" w:firstRow="1" w:lastRow="0" w:firstColumn="1" w:lastColumn="0" w:noHBand="0" w:noVBand="1"/>
      </w:tblPr>
      <w:tblGrid>
        <w:gridCol w:w="2547"/>
        <w:gridCol w:w="1503"/>
      </w:tblGrid>
      <w:tr w:rsidR="006071FF" w:rsidRPr="001A50DE" w14:paraId="25710BA4" w14:textId="77777777" w:rsidTr="006071FF">
        <w:trPr>
          <w:jc w:val="center"/>
        </w:trPr>
        <w:tc>
          <w:tcPr>
            <w:tcW w:w="2547" w:type="dxa"/>
            <w:vAlign w:val="center"/>
          </w:tcPr>
          <w:p w14:paraId="343C861C" w14:textId="77777777" w:rsidR="006071FF" w:rsidRPr="001A50DE" w:rsidRDefault="006071FF" w:rsidP="006071FF">
            <w:pPr>
              <w:pStyle w:val="ExhibitText"/>
              <w:keepNext/>
              <w:jc w:val="center"/>
              <w:rPr>
                <w:rFonts w:eastAsia="Calibri"/>
                <w:b/>
                <w:lang w:val="en-GB"/>
              </w:rPr>
            </w:pPr>
            <w:r w:rsidRPr="001A50DE">
              <w:rPr>
                <w:rFonts w:eastAsia="Calibri"/>
                <w:b/>
                <w:lang w:val="en-GB"/>
              </w:rPr>
              <w:t>Item</w:t>
            </w:r>
          </w:p>
        </w:tc>
        <w:tc>
          <w:tcPr>
            <w:tcW w:w="1503" w:type="dxa"/>
            <w:vAlign w:val="center"/>
          </w:tcPr>
          <w:p w14:paraId="31F58791" w14:textId="77777777" w:rsidR="00E22ABA" w:rsidRDefault="006071FF" w:rsidP="006071FF">
            <w:pPr>
              <w:pStyle w:val="ExhibitText"/>
              <w:keepNext/>
              <w:jc w:val="center"/>
              <w:rPr>
                <w:rFonts w:eastAsia="Calibri"/>
                <w:b/>
                <w:lang w:val="en-GB"/>
              </w:rPr>
            </w:pPr>
            <w:r w:rsidRPr="001A50DE">
              <w:rPr>
                <w:rFonts w:eastAsia="Calibri"/>
                <w:b/>
                <w:lang w:val="en-GB"/>
              </w:rPr>
              <w:t xml:space="preserve">Expenses </w:t>
            </w:r>
          </w:p>
          <w:p w14:paraId="10F1C075" w14:textId="335E99AC" w:rsidR="006071FF" w:rsidRPr="001A50DE" w:rsidRDefault="006071FF" w:rsidP="006071FF">
            <w:pPr>
              <w:pStyle w:val="ExhibitText"/>
              <w:keepNext/>
              <w:jc w:val="center"/>
              <w:rPr>
                <w:rFonts w:eastAsia="Calibri"/>
                <w:b/>
                <w:lang w:val="en-GB"/>
              </w:rPr>
            </w:pPr>
            <w:r w:rsidRPr="001A50DE">
              <w:rPr>
                <w:rFonts w:eastAsia="Calibri"/>
                <w:b/>
                <w:lang w:val="en-GB"/>
              </w:rPr>
              <w:t>(in CA$/year)</w:t>
            </w:r>
          </w:p>
        </w:tc>
      </w:tr>
      <w:tr w:rsidR="006071FF" w:rsidRPr="001A50DE" w14:paraId="7B6CBA07" w14:textId="77777777" w:rsidTr="006071FF">
        <w:trPr>
          <w:jc w:val="center"/>
        </w:trPr>
        <w:tc>
          <w:tcPr>
            <w:tcW w:w="2547" w:type="dxa"/>
          </w:tcPr>
          <w:p w14:paraId="7CD862D3" w14:textId="77777777" w:rsidR="006071FF" w:rsidRPr="001A50DE" w:rsidRDefault="006071FF" w:rsidP="006071FF">
            <w:pPr>
              <w:pStyle w:val="ExhibitText"/>
              <w:keepNext/>
              <w:rPr>
                <w:rFonts w:eastAsia="Calibri"/>
                <w:lang w:val="en-GB"/>
              </w:rPr>
            </w:pPr>
            <w:r w:rsidRPr="001A50DE">
              <w:rPr>
                <w:rFonts w:eastAsia="Calibri"/>
                <w:lang w:val="en-GB"/>
              </w:rPr>
              <w:t>Power’s Salary</w:t>
            </w:r>
          </w:p>
        </w:tc>
        <w:tc>
          <w:tcPr>
            <w:tcW w:w="1503" w:type="dxa"/>
            <w:vAlign w:val="center"/>
          </w:tcPr>
          <w:p w14:paraId="1454271A" w14:textId="4969BBF4" w:rsidR="006071FF" w:rsidRPr="001A50DE" w:rsidRDefault="006071FF" w:rsidP="006071FF">
            <w:pPr>
              <w:pStyle w:val="ExhibitText"/>
              <w:keepNext/>
              <w:jc w:val="right"/>
              <w:rPr>
                <w:rFonts w:eastAsia="Calibri"/>
                <w:lang w:val="en-GB"/>
              </w:rPr>
            </w:pPr>
            <w:r w:rsidRPr="001A50DE">
              <w:rPr>
                <w:rFonts w:eastAsia="Calibri"/>
                <w:lang w:val="en-GB"/>
              </w:rPr>
              <w:t>6</w:t>
            </w:r>
            <w:r w:rsidR="00F0672C" w:rsidRPr="001A50DE">
              <w:rPr>
                <w:rFonts w:eastAsia="Calibri"/>
                <w:lang w:val="en-GB"/>
              </w:rPr>
              <w:t>,</w:t>
            </w:r>
            <w:r w:rsidRPr="001A50DE">
              <w:rPr>
                <w:rFonts w:eastAsia="Calibri"/>
                <w:lang w:val="en-GB"/>
              </w:rPr>
              <w:t>500.00</w:t>
            </w:r>
          </w:p>
        </w:tc>
      </w:tr>
      <w:tr w:rsidR="006071FF" w:rsidRPr="001A50DE" w14:paraId="108DD430" w14:textId="77777777" w:rsidTr="006071FF">
        <w:trPr>
          <w:jc w:val="center"/>
        </w:trPr>
        <w:tc>
          <w:tcPr>
            <w:tcW w:w="2547" w:type="dxa"/>
          </w:tcPr>
          <w:p w14:paraId="1529977B" w14:textId="16B2364B" w:rsidR="006071FF" w:rsidRPr="001A50DE" w:rsidRDefault="006071FF">
            <w:pPr>
              <w:pStyle w:val="ExhibitText"/>
              <w:keepNext/>
              <w:rPr>
                <w:rFonts w:eastAsia="Calibri"/>
                <w:lang w:val="en-GB"/>
              </w:rPr>
            </w:pPr>
            <w:r w:rsidRPr="001A50DE">
              <w:rPr>
                <w:rFonts w:eastAsia="Calibri"/>
                <w:lang w:val="en-GB"/>
              </w:rPr>
              <w:t>Part-</w:t>
            </w:r>
            <w:r w:rsidR="00F0672C" w:rsidRPr="001A50DE">
              <w:rPr>
                <w:rFonts w:eastAsia="Calibri"/>
                <w:lang w:val="en-GB"/>
              </w:rPr>
              <w:t xml:space="preserve">Time </w:t>
            </w:r>
            <w:r w:rsidRPr="001A50DE">
              <w:rPr>
                <w:rFonts w:eastAsia="Calibri"/>
                <w:lang w:val="en-GB"/>
              </w:rPr>
              <w:t>Employee</w:t>
            </w:r>
          </w:p>
        </w:tc>
        <w:tc>
          <w:tcPr>
            <w:tcW w:w="1503" w:type="dxa"/>
            <w:vAlign w:val="center"/>
          </w:tcPr>
          <w:p w14:paraId="77A503C0" w14:textId="785C64CA" w:rsidR="006071FF" w:rsidRPr="001A50DE" w:rsidRDefault="006071FF" w:rsidP="006071FF">
            <w:pPr>
              <w:pStyle w:val="ExhibitText"/>
              <w:keepNext/>
              <w:jc w:val="right"/>
              <w:rPr>
                <w:rFonts w:eastAsia="Calibri"/>
                <w:lang w:val="en-GB"/>
              </w:rPr>
            </w:pPr>
            <w:r w:rsidRPr="001A50DE">
              <w:rPr>
                <w:rFonts w:eastAsia="Calibri"/>
                <w:lang w:val="en-GB"/>
              </w:rPr>
              <w:t>4</w:t>
            </w:r>
            <w:r w:rsidR="00F0672C" w:rsidRPr="001A50DE">
              <w:rPr>
                <w:rFonts w:eastAsia="Calibri"/>
                <w:lang w:val="en-GB"/>
              </w:rPr>
              <w:t>,</w:t>
            </w:r>
            <w:r w:rsidRPr="001A50DE">
              <w:rPr>
                <w:rFonts w:eastAsia="Calibri"/>
                <w:lang w:val="en-GB"/>
              </w:rPr>
              <w:t>742.40</w:t>
            </w:r>
          </w:p>
        </w:tc>
      </w:tr>
      <w:tr w:rsidR="006071FF" w:rsidRPr="001A50DE" w14:paraId="6559586C" w14:textId="77777777" w:rsidTr="006071FF">
        <w:trPr>
          <w:jc w:val="center"/>
        </w:trPr>
        <w:tc>
          <w:tcPr>
            <w:tcW w:w="2547" w:type="dxa"/>
          </w:tcPr>
          <w:p w14:paraId="2C11FD98" w14:textId="4DD99E3B" w:rsidR="006071FF" w:rsidRPr="001A50DE" w:rsidRDefault="006071FF">
            <w:pPr>
              <w:pStyle w:val="ExhibitText"/>
              <w:keepNext/>
              <w:rPr>
                <w:rFonts w:eastAsia="Calibri"/>
                <w:lang w:val="en-GB"/>
              </w:rPr>
            </w:pPr>
            <w:r w:rsidRPr="001A50DE">
              <w:rPr>
                <w:rFonts w:eastAsia="Calibri"/>
                <w:lang w:val="en-GB"/>
              </w:rPr>
              <w:t xml:space="preserve">Market </w:t>
            </w:r>
            <w:r w:rsidR="00F0672C" w:rsidRPr="001A50DE">
              <w:rPr>
                <w:rFonts w:eastAsia="Calibri"/>
                <w:lang w:val="en-GB"/>
              </w:rPr>
              <w:t>Booth</w:t>
            </w:r>
          </w:p>
        </w:tc>
        <w:tc>
          <w:tcPr>
            <w:tcW w:w="1503" w:type="dxa"/>
            <w:vAlign w:val="center"/>
          </w:tcPr>
          <w:p w14:paraId="493A86FC" w14:textId="0B93A1D5" w:rsidR="006071FF" w:rsidRPr="001A50DE" w:rsidRDefault="006071FF" w:rsidP="006071FF">
            <w:pPr>
              <w:pStyle w:val="ExhibitText"/>
              <w:keepNext/>
              <w:jc w:val="right"/>
              <w:rPr>
                <w:rFonts w:eastAsia="Calibri"/>
                <w:lang w:val="en-GB"/>
              </w:rPr>
            </w:pPr>
            <w:r w:rsidRPr="001A50DE">
              <w:rPr>
                <w:rFonts w:eastAsia="Calibri"/>
                <w:lang w:val="en-GB"/>
              </w:rPr>
              <w:t>2</w:t>
            </w:r>
            <w:r w:rsidR="00F0672C" w:rsidRPr="001A50DE">
              <w:rPr>
                <w:rFonts w:eastAsia="Calibri"/>
                <w:lang w:val="en-GB"/>
              </w:rPr>
              <w:t>,</w:t>
            </w:r>
            <w:r w:rsidRPr="001A50DE">
              <w:rPr>
                <w:rFonts w:eastAsia="Calibri"/>
                <w:lang w:val="en-GB"/>
              </w:rPr>
              <w:t>860.00</w:t>
            </w:r>
          </w:p>
        </w:tc>
      </w:tr>
      <w:tr w:rsidR="006071FF" w:rsidRPr="001A50DE" w14:paraId="18488FD1" w14:textId="77777777" w:rsidTr="006071FF">
        <w:trPr>
          <w:jc w:val="center"/>
        </w:trPr>
        <w:tc>
          <w:tcPr>
            <w:tcW w:w="2547" w:type="dxa"/>
          </w:tcPr>
          <w:p w14:paraId="2FA21023" w14:textId="77777777" w:rsidR="006071FF" w:rsidRPr="001A50DE" w:rsidRDefault="006071FF" w:rsidP="006071FF">
            <w:pPr>
              <w:pStyle w:val="ExhibitText"/>
              <w:keepNext/>
              <w:rPr>
                <w:rFonts w:eastAsia="Calibri"/>
                <w:lang w:val="en-GB"/>
              </w:rPr>
            </w:pPr>
            <w:r w:rsidRPr="001A50DE">
              <w:rPr>
                <w:rFonts w:eastAsia="Calibri"/>
                <w:lang w:val="en-GB"/>
              </w:rPr>
              <w:t>Laundry Events</w:t>
            </w:r>
          </w:p>
        </w:tc>
        <w:tc>
          <w:tcPr>
            <w:tcW w:w="1503" w:type="dxa"/>
            <w:vAlign w:val="center"/>
          </w:tcPr>
          <w:p w14:paraId="7751CD94" w14:textId="39B41304" w:rsidR="006071FF" w:rsidRPr="001A50DE" w:rsidRDefault="006071FF" w:rsidP="006071FF">
            <w:pPr>
              <w:pStyle w:val="ExhibitText"/>
              <w:keepNext/>
              <w:jc w:val="right"/>
              <w:rPr>
                <w:rFonts w:eastAsia="Calibri"/>
                <w:lang w:val="en-GB"/>
              </w:rPr>
            </w:pPr>
            <w:r w:rsidRPr="001A50DE">
              <w:rPr>
                <w:rFonts w:eastAsia="Calibri"/>
                <w:lang w:val="en-GB"/>
              </w:rPr>
              <w:t>2</w:t>
            </w:r>
            <w:r w:rsidR="00F0672C" w:rsidRPr="001A50DE">
              <w:rPr>
                <w:rFonts w:eastAsia="Calibri"/>
                <w:lang w:val="en-GB"/>
              </w:rPr>
              <w:t>,</w:t>
            </w:r>
            <w:r w:rsidRPr="001A50DE">
              <w:rPr>
                <w:rFonts w:eastAsia="Calibri"/>
                <w:lang w:val="en-GB"/>
              </w:rPr>
              <w:t>400.00</w:t>
            </w:r>
          </w:p>
        </w:tc>
      </w:tr>
      <w:tr w:rsidR="006071FF" w:rsidRPr="001A50DE" w14:paraId="31E24392" w14:textId="77777777" w:rsidTr="006071FF">
        <w:trPr>
          <w:jc w:val="center"/>
        </w:trPr>
        <w:tc>
          <w:tcPr>
            <w:tcW w:w="2547" w:type="dxa"/>
          </w:tcPr>
          <w:p w14:paraId="32C211E1" w14:textId="77777777" w:rsidR="006071FF" w:rsidRPr="001A50DE" w:rsidRDefault="006071FF" w:rsidP="006071FF">
            <w:pPr>
              <w:pStyle w:val="ExhibitText"/>
              <w:keepNext/>
              <w:rPr>
                <w:rFonts w:eastAsia="Calibri"/>
                <w:lang w:val="en-GB"/>
              </w:rPr>
            </w:pPr>
            <w:r w:rsidRPr="001A50DE">
              <w:rPr>
                <w:rFonts w:eastAsia="Calibri"/>
                <w:lang w:val="en-GB"/>
              </w:rPr>
              <w:t>Total Expenses</w:t>
            </w:r>
          </w:p>
        </w:tc>
        <w:tc>
          <w:tcPr>
            <w:tcW w:w="1503" w:type="dxa"/>
            <w:vAlign w:val="center"/>
          </w:tcPr>
          <w:p w14:paraId="5A34AD1E" w14:textId="77777777" w:rsidR="006071FF" w:rsidRPr="001A50DE" w:rsidRDefault="006071FF" w:rsidP="006071FF">
            <w:pPr>
              <w:pStyle w:val="ExhibitText"/>
              <w:keepNext/>
              <w:jc w:val="right"/>
              <w:rPr>
                <w:rFonts w:eastAsia="Calibri"/>
                <w:lang w:val="en-GB"/>
              </w:rPr>
            </w:pPr>
            <w:r w:rsidRPr="001A50DE">
              <w:rPr>
                <w:rFonts w:eastAsia="Calibri"/>
                <w:lang w:val="en-GB"/>
              </w:rPr>
              <w:t>16,502.40</w:t>
            </w:r>
          </w:p>
        </w:tc>
      </w:tr>
      <w:tr w:rsidR="006071FF" w:rsidRPr="001A50DE" w14:paraId="722D6C8C" w14:textId="77777777" w:rsidTr="006071FF">
        <w:trPr>
          <w:jc w:val="center"/>
        </w:trPr>
        <w:tc>
          <w:tcPr>
            <w:tcW w:w="2547" w:type="dxa"/>
          </w:tcPr>
          <w:p w14:paraId="5047128D" w14:textId="77777777" w:rsidR="006071FF" w:rsidRPr="001A50DE" w:rsidRDefault="006071FF" w:rsidP="006071FF">
            <w:pPr>
              <w:pStyle w:val="ExhibitText"/>
              <w:rPr>
                <w:rFonts w:eastAsia="Calibri"/>
                <w:lang w:val="en-GB"/>
              </w:rPr>
            </w:pPr>
            <w:r w:rsidRPr="001A50DE">
              <w:rPr>
                <w:rFonts w:eastAsia="Calibri"/>
                <w:lang w:val="en-GB"/>
              </w:rPr>
              <w:t>2016 Sales Revenue</w:t>
            </w:r>
          </w:p>
        </w:tc>
        <w:tc>
          <w:tcPr>
            <w:tcW w:w="1503" w:type="dxa"/>
            <w:vAlign w:val="center"/>
          </w:tcPr>
          <w:p w14:paraId="519F953F" w14:textId="77777777" w:rsidR="006071FF" w:rsidRPr="001A50DE" w:rsidRDefault="006071FF" w:rsidP="006071FF">
            <w:pPr>
              <w:pStyle w:val="ExhibitText"/>
              <w:jc w:val="right"/>
              <w:rPr>
                <w:rFonts w:eastAsia="Calibri"/>
                <w:lang w:val="en-GB"/>
              </w:rPr>
            </w:pPr>
            <w:r w:rsidRPr="001A50DE">
              <w:rPr>
                <w:rFonts w:eastAsia="Calibri"/>
                <w:lang w:val="en-GB"/>
              </w:rPr>
              <w:t>22,000.00</w:t>
            </w:r>
          </w:p>
        </w:tc>
      </w:tr>
      <w:tr w:rsidR="006071FF" w:rsidRPr="001A50DE" w14:paraId="33D1F856" w14:textId="77777777" w:rsidTr="006071FF">
        <w:trPr>
          <w:jc w:val="center"/>
        </w:trPr>
        <w:tc>
          <w:tcPr>
            <w:tcW w:w="2547" w:type="dxa"/>
          </w:tcPr>
          <w:p w14:paraId="53AA2ED2" w14:textId="77777777" w:rsidR="006071FF" w:rsidRPr="001A50DE" w:rsidRDefault="006071FF" w:rsidP="006071FF">
            <w:pPr>
              <w:pStyle w:val="ExhibitText"/>
              <w:rPr>
                <w:rFonts w:eastAsia="Calibri"/>
                <w:lang w:val="en-GB"/>
              </w:rPr>
            </w:pPr>
            <w:r w:rsidRPr="001A50DE">
              <w:rPr>
                <w:rFonts w:eastAsia="Calibri"/>
                <w:lang w:val="en-GB"/>
              </w:rPr>
              <w:t>Expected 2017 Revenue</w:t>
            </w:r>
          </w:p>
        </w:tc>
        <w:tc>
          <w:tcPr>
            <w:tcW w:w="1503" w:type="dxa"/>
            <w:vAlign w:val="center"/>
          </w:tcPr>
          <w:p w14:paraId="42D300C9" w14:textId="77777777" w:rsidR="006071FF" w:rsidRPr="001A50DE" w:rsidRDefault="006071FF" w:rsidP="006071FF">
            <w:pPr>
              <w:pStyle w:val="ExhibitText"/>
              <w:jc w:val="right"/>
              <w:rPr>
                <w:rFonts w:eastAsia="Calibri"/>
                <w:lang w:val="en-GB"/>
              </w:rPr>
            </w:pPr>
            <w:r w:rsidRPr="001A50DE">
              <w:rPr>
                <w:rFonts w:eastAsia="Calibri"/>
                <w:lang w:val="en-GB"/>
              </w:rPr>
              <w:t>30,000.00</w:t>
            </w:r>
          </w:p>
        </w:tc>
      </w:tr>
    </w:tbl>
    <w:p w14:paraId="1930C280" w14:textId="77777777" w:rsidR="006071FF" w:rsidRPr="001A50DE" w:rsidRDefault="006071FF" w:rsidP="006071FF">
      <w:pPr>
        <w:spacing w:after="200"/>
        <w:rPr>
          <w:rFonts w:eastAsia="Calibri"/>
          <w:sz w:val="22"/>
          <w:szCs w:val="22"/>
          <w:lang w:val="en-GB"/>
        </w:rPr>
      </w:pPr>
    </w:p>
    <w:tbl>
      <w:tblPr>
        <w:tblStyle w:val="TableGrid1"/>
        <w:tblW w:w="0" w:type="auto"/>
        <w:jc w:val="center"/>
        <w:tblLook w:val="04A0" w:firstRow="1" w:lastRow="0" w:firstColumn="1" w:lastColumn="0" w:noHBand="0" w:noVBand="1"/>
      </w:tblPr>
      <w:tblGrid>
        <w:gridCol w:w="2144"/>
        <w:gridCol w:w="1150"/>
        <w:gridCol w:w="1105"/>
        <w:gridCol w:w="1770"/>
        <w:gridCol w:w="2070"/>
      </w:tblGrid>
      <w:tr w:rsidR="006071FF" w:rsidRPr="001A50DE" w14:paraId="05D41133" w14:textId="77777777" w:rsidTr="006071FF">
        <w:trPr>
          <w:jc w:val="center"/>
        </w:trPr>
        <w:tc>
          <w:tcPr>
            <w:tcW w:w="2144" w:type="dxa"/>
            <w:vAlign w:val="center"/>
          </w:tcPr>
          <w:p w14:paraId="7EA2785F" w14:textId="77777777" w:rsidR="006071FF" w:rsidRPr="001A50DE" w:rsidRDefault="006071FF" w:rsidP="006071FF">
            <w:pPr>
              <w:pStyle w:val="ExhibitText"/>
              <w:jc w:val="center"/>
              <w:rPr>
                <w:rFonts w:eastAsia="Calibri"/>
                <w:b/>
                <w:lang w:val="en-GB"/>
              </w:rPr>
            </w:pPr>
            <w:r w:rsidRPr="001A50DE">
              <w:rPr>
                <w:rFonts w:eastAsia="Calibri"/>
                <w:b/>
                <w:lang w:val="en-GB"/>
              </w:rPr>
              <w:t>Product</w:t>
            </w:r>
          </w:p>
        </w:tc>
        <w:tc>
          <w:tcPr>
            <w:tcW w:w="1128" w:type="dxa"/>
            <w:vAlign w:val="center"/>
          </w:tcPr>
          <w:p w14:paraId="39F0C67A" w14:textId="3098261C" w:rsidR="006071FF" w:rsidRPr="001A50DE" w:rsidRDefault="006071FF">
            <w:pPr>
              <w:pStyle w:val="ExhibitText"/>
              <w:jc w:val="center"/>
              <w:rPr>
                <w:rFonts w:eastAsia="Calibri"/>
                <w:b/>
                <w:lang w:val="en-GB"/>
              </w:rPr>
            </w:pPr>
            <w:r w:rsidRPr="001A50DE">
              <w:rPr>
                <w:rFonts w:eastAsia="Calibri"/>
                <w:b/>
                <w:lang w:val="en-GB"/>
              </w:rPr>
              <w:t>Price/</w:t>
            </w:r>
            <w:r w:rsidR="00F0672C" w:rsidRPr="001A50DE">
              <w:rPr>
                <w:rFonts w:eastAsia="Calibri"/>
                <w:b/>
                <w:lang w:val="en-GB"/>
              </w:rPr>
              <w:t>Unit</w:t>
            </w:r>
          </w:p>
        </w:tc>
        <w:tc>
          <w:tcPr>
            <w:tcW w:w="1083" w:type="dxa"/>
            <w:vAlign w:val="center"/>
          </w:tcPr>
          <w:p w14:paraId="64FB1ACC" w14:textId="57FAD07E" w:rsidR="006071FF" w:rsidRPr="001A50DE" w:rsidRDefault="006071FF">
            <w:pPr>
              <w:pStyle w:val="ExhibitText"/>
              <w:jc w:val="center"/>
              <w:rPr>
                <w:rFonts w:eastAsia="Calibri"/>
                <w:b/>
                <w:lang w:val="en-GB"/>
              </w:rPr>
            </w:pPr>
            <w:r w:rsidRPr="001A50DE">
              <w:rPr>
                <w:rFonts w:eastAsia="Calibri"/>
                <w:b/>
                <w:lang w:val="en-GB"/>
              </w:rPr>
              <w:t>Cost/</w:t>
            </w:r>
            <w:r w:rsidR="00F0672C" w:rsidRPr="001A50DE">
              <w:rPr>
                <w:rFonts w:eastAsia="Calibri"/>
                <w:b/>
                <w:lang w:val="en-GB"/>
              </w:rPr>
              <w:t>Unit</w:t>
            </w:r>
          </w:p>
        </w:tc>
        <w:tc>
          <w:tcPr>
            <w:tcW w:w="1770" w:type="dxa"/>
            <w:vAlign w:val="center"/>
          </w:tcPr>
          <w:p w14:paraId="103FF435" w14:textId="4C1D6730" w:rsidR="006071FF" w:rsidRPr="001A50DE" w:rsidRDefault="006071FF">
            <w:pPr>
              <w:pStyle w:val="ExhibitText"/>
              <w:jc w:val="center"/>
              <w:rPr>
                <w:rFonts w:eastAsia="Calibri"/>
                <w:b/>
                <w:lang w:val="en-GB"/>
              </w:rPr>
            </w:pPr>
            <w:r w:rsidRPr="001A50DE">
              <w:rPr>
                <w:rFonts w:eastAsia="Calibri"/>
                <w:b/>
                <w:lang w:val="en-GB"/>
              </w:rPr>
              <w:t>Retail Profit/</w:t>
            </w:r>
            <w:r w:rsidR="00F0672C" w:rsidRPr="001A50DE">
              <w:rPr>
                <w:rFonts w:eastAsia="Calibri"/>
                <w:b/>
                <w:lang w:val="en-GB"/>
              </w:rPr>
              <w:t>Unit</w:t>
            </w:r>
          </w:p>
        </w:tc>
        <w:tc>
          <w:tcPr>
            <w:tcW w:w="2070" w:type="dxa"/>
            <w:vAlign w:val="center"/>
          </w:tcPr>
          <w:p w14:paraId="00883E8B" w14:textId="1F0C681E" w:rsidR="006071FF" w:rsidRPr="001A50DE" w:rsidRDefault="006071FF">
            <w:pPr>
              <w:pStyle w:val="ExhibitText"/>
              <w:jc w:val="center"/>
              <w:rPr>
                <w:rFonts w:eastAsia="Calibri"/>
                <w:b/>
                <w:lang w:val="en-GB"/>
              </w:rPr>
            </w:pPr>
            <w:r w:rsidRPr="001A50DE">
              <w:rPr>
                <w:rFonts w:eastAsia="Calibri"/>
                <w:b/>
                <w:lang w:val="en-GB"/>
              </w:rPr>
              <w:t>Website Profit/</w:t>
            </w:r>
            <w:r w:rsidR="00F0672C" w:rsidRPr="001A50DE">
              <w:rPr>
                <w:rFonts w:eastAsia="Calibri"/>
                <w:b/>
                <w:lang w:val="en-GB"/>
              </w:rPr>
              <w:t>Unit</w:t>
            </w:r>
          </w:p>
        </w:tc>
      </w:tr>
      <w:tr w:rsidR="006071FF" w:rsidRPr="001A50DE" w14:paraId="2B47F7DE" w14:textId="77777777" w:rsidTr="006071FF">
        <w:trPr>
          <w:jc w:val="center"/>
        </w:trPr>
        <w:tc>
          <w:tcPr>
            <w:tcW w:w="2144" w:type="dxa"/>
          </w:tcPr>
          <w:p w14:paraId="33A47592" w14:textId="77777777" w:rsidR="006071FF" w:rsidRPr="001A50DE" w:rsidRDefault="006071FF" w:rsidP="006071FF">
            <w:pPr>
              <w:pStyle w:val="ExhibitText"/>
              <w:rPr>
                <w:rFonts w:eastAsia="Calibri"/>
                <w:lang w:val="en-GB"/>
              </w:rPr>
            </w:pPr>
            <w:r w:rsidRPr="001A50DE">
              <w:rPr>
                <w:rFonts w:eastAsia="Calibri"/>
                <w:lang w:val="en-GB"/>
              </w:rPr>
              <w:t>Soap Packages</w:t>
            </w:r>
          </w:p>
        </w:tc>
        <w:tc>
          <w:tcPr>
            <w:tcW w:w="1128" w:type="dxa"/>
            <w:vAlign w:val="center"/>
          </w:tcPr>
          <w:p w14:paraId="473F2F2C" w14:textId="77777777" w:rsidR="006071FF" w:rsidRPr="001A50DE" w:rsidRDefault="006071FF" w:rsidP="006071FF">
            <w:pPr>
              <w:pStyle w:val="ExhibitText"/>
              <w:jc w:val="right"/>
              <w:rPr>
                <w:rFonts w:eastAsia="Calibri"/>
                <w:lang w:val="en-GB"/>
              </w:rPr>
            </w:pPr>
            <w:r w:rsidRPr="001A50DE">
              <w:rPr>
                <w:rFonts w:eastAsia="Calibri"/>
                <w:lang w:val="en-GB"/>
              </w:rPr>
              <w:t>$8.99</w:t>
            </w:r>
          </w:p>
        </w:tc>
        <w:tc>
          <w:tcPr>
            <w:tcW w:w="1083" w:type="dxa"/>
            <w:vAlign w:val="center"/>
          </w:tcPr>
          <w:p w14:paraId="5E019053" w14:textId="77777777" w:rsidR="006071FF" w:rsidRPr="001A50DE" w:rsidRDefault="006071FF" w:rsidP="006071FF">
            <w:pPr>
              <w:pStyle w:val="ExhibitText"/>
              <w:jc w:val="right"/>
              <w:rPr>
                <w:rFonts w:eastAsia="Calibri"/>
                <w:lang w:val="en-GB"/>
              </w:rPr>
            </w:pPr>
            <w:r w:rsidRPr="001A50DE">
              <w:rPr>
                <w:rFonts w:eastAsia="Calibri"/>
                <w:lang w:val="en-GB"/>
              </w:rPr>
              <w:t>$2.30</w:t>
            </w:r>
          </w:p>
        </w:tc>
        <w:tc>
          <w:tcPr>
            <w:tcW w:w="1770" w:type="dxa"/>
            <w:vAlign w:val="center"/>
          </w:tcPr>
          <w:p w14:paraId="7D0AA082" w14:textId="77777777" w:rsidR="006071FF" w:rsidRPr="001A50DE" w:rsidRDefault="006071FF" w:rsidP="003E3DCE">
            <w:pPr>
              <w:pStyle w:val="ExhibitText"/>
              <w:tabs>
                <w:tab w:val="decimal" w:pos="887"/>
              </w:tabs>
              <w:rPr>
                <w:rFonts w:eastAsia="Calibri"/>
                <w:lang w:val="en-GB"/>
              </w:rPr>
            </w:pPr>
            <w:r w:rsidRPr="001A50DE">
              <w:rPr>
                <w:rFonts w:eastAsia="Calibri"/>
                <w:lang w:val="en-GB"/>
              </w:rPr>
              <w:t>$3.20</w:t>
            </w:r>
          </w:p>
        </w:tc>
        <w:tc>
          <w:tcPr>
            <w:tcW w:w="2070" w:type="dxa"/>
            <w:vAlign w:val="center"/>
          </w:tcPr>
          <w:p w14:paraId="1BBC8BB2" w14:textId="77777777" w:rsidR="006071FF" w:rsidRPr="001A50DE" w:rsidRDefault="006071FF" w:rsidP="003E3DCE">
            <w:pPr>
              <w:pStyle w:val="ExhibitText"/>
              <w:tabs>
                <w:tab w:val="decimal" w:pos="1101"/>
              </w:tabs>
              <w:rPr>
                <w:rFonts w:eastAsia="Calibri"/>
                <w:lang w:val="en-GB"/>
              </w:rPr>
            </w:pPr>
            <w:r w:rsidRPr="001A50DE">
              <w:rPr>
                <w:rFonts w:eastAsia="Calibri"/>
                <w:lang w:val="en-GB"/>
              </w:rPr>
              <w:t>$6.69</w:t>
            </w:r>
          </w:p>
        </w:tc>
      </w:tr>
      <w:tr w:rsidR="006071FF" w:rsidRPr="001A50DE" w14:paraId="5009C22A" w14:textId="77777777" w:rsidTr="006071FF">
        <w:trPr>
          <w:jc w:val="center"/>
        </w:trPr>
        <w:tc>
          <w:tcPr>
            <w:tcW w:w="2144" w:type="dxa"/>
          </w:tcPr>
          <w:p w14:paraId="02FCCF14" w14:textId="77777777" w:rsidR="006071FF" w:rsidRPr="001A50DE" w:rsidRDefault="006071FF" w:rsidP="006071FF">
            <w:pPr>
              <w:pStyle w:val="ExhibitText"/>
              <w:rPr>
                <w:rFonts w:eastAsia="Calibri"/>
                <w:lang w:val="en-GB"/>
              </w:rPr>
            </w:pPr>
            <w:r w:rsidRPr="001A50DE">
              <w:rPr>
                <w:rFonts w:eastAsia="Calibri"/>
                <w:lang w:val="en-GB"/>
              </w:rPr>
              <w:t>Stain Removal Sticks</w:t>
            </w:r>
          </w:p>
        </w:tc>
        <w:tc>
          <w:tcPr>
            <w:tcW w:w="1128" w:type="dxa"/>
            <w:vAlign w:val="center"/>
          </w:tcPr>
          <w:p w14:paraId="37A0D40F" w14:textId="77777777" w:rsidR="006071FF" w:rsidRPr="001A50DE" w:rsidRDefault="006071FF" w:rsidP="006071FF">
            <w:pPr>
              <w:pStyle w:val="ExhibitText"/>
              <w:jc w:val="right"/>
              <w:rPr>
                <w:rFonts w:eastAsia="Calibri"/>
                <w:lang w:val="en-GB"/>
              </w:rPr>
            </w:pPr>
            <w:r w:rsidRPr="001A50DE">
              <w:rPr>
                <w:rFonts w:eastAsia="Calibri"/>
                <w:lang w:val="en-GB"/>
              </w:rPr>
              <w:t>$5.00</w:t>
            </w:r>
          </w:p>
        </w:tc>
        <w:tc>
          <w:tcPr>
            <w:tcW w:w="1083" w:type="dxa"/>
            <w:vAlign w:val="center"/>
          </w:tcPr>
          <w:p w14:paraId="2FF41A38" w14:textId="77777777" w:rsidR="006071FF" w:rsidRPr="001A50DE" w:rsidRDefault="006071FF" w:rsidP="006071FF">
            <w:pPr>
              <w:pStyle w:val="ExhibitText"/>
              <w:jc w:val="right"/>
              <w:rPr>
                <w:rFonts w:eastAsia="Calibri"/>
                <w:lang w:val="en-GB"/>
              </w:rPr>
            </w:pPr>
            <w:r w:rsidRPr="001A50DE">
              <w:rPr>
                <w:rFonts w:eastAsia="Calibri"/>
                <w:lang w:val="en-GB"/>
              </w:rPr>
              <w:t>$1.80</w:t>
            </w:r>
          </w:p>
        </w:tc>
        <w:tc>
          <w:tcPr>
            <w:tcW w:w="1770" w:type="dxa"/>
            <w:vAlign w:val="center"/>
          </w:tcPr>
          <w:p w14:paraId="429EADDC" w14:textId="77777777" w:rsidR="006071FF" w:rsidRPr="001A50DE" w:rsidRDefault="006071FF" w:rsidP="003E3DCE">
            <w:pPr>
              <w:pStyle w:val="ExhibitText"/>
              <w:tabs>
                <w:tab w:val="decimal" w:pos="887"/>
              </w:tabs>
              <w:rPr>
                <w:rFonts w:eastAsia="Calibri"/>
                <w:lang w:val="en-GB"/>
              </w:rPr>
            </w:pPr>
            <w:r w:rsidRPr="001A50DE">
              <w:rPr>
                <w:rFonts w:eastAsia="Calibri"/>
                <w:lang w:val="en-GB"/>
              </w:rPr>
              <w:t>$0.95</w:t>
            </w:r>
          </w:p>
        </w:tc>
        <w:tc>
          <w:tcPr>
            <w:tcW w:w="2070" w:type="dxa"/>
            <w:vAlign w:val="center"/>
          </w:tcPr>
          <w:p w14:paraId="5C80B0C1" w14:textId="77777777" w:rsidR="006071FF" w:rsidRPr="001A50DE" w:rsidRDefault="006071FF" w:rsidP="003E3DCE">
            <w:pPr>
              <w:pStyle w:val="ExhibitText"/>
              <w:tabs>
                <w:tab w:val="decimal" w:pos="1101"/>
              </w:tabs>
              <w:rPr>
                <w:rFonts w:eastAsia="Calibri"/>
                <w:lang w:val="en-GB"/>
              </w:rPr>
            </w:pPr>
            <w:r w:rsidRPr="001A50DE">
              <w:rPr>
                <w:rFonts w:eastAsia="Calibri"/>
                <w:lang w:val="en-GB"/>
              </w:rPr>
              <w:t>$3.20</w:t>
            </w:r>
          </w:p>
        </w:tc>
      </w:tr>
      <w:tr w:rsidR="006071FF" w:rsidRPr="001A50DE" w14:paraId="369C25FE" w14:textId="77777777" w:rsidTr="006071FF">
        <w:trPr>
          <w:trHeight w:val="54"/>
          <w:jc w:val="center"/>
        </w:trPr>
        <w:tc>
          <w:tcPr>
            <w:tcW w:w="2144" w:type="dxa"/>
          </w:tcPr>
          <w:p w14:paraId="216AAE3C" w14:textId="77777777" w:rsidR="006071FF" w:rsidRPr="001A50DE" w:rsidRDefault="006071FF" w:rsidP="006071FF">
            <w:pPr>
              <w:pStyle w:val="ExhibitText"/>
              <w:rPr>
                <w:rFonts w:eastAsia="Calibri"/>
                <w:lang w:val="en-GB"/>
              </w:rPr>
            </w:pPr>
            <w:r w:rsidRPr="001A50DE">
              <w:rPr>
                <w:rFonts w:eastAsia="Calibri"/>
                <w:lang w:val="en-GB"/>
              </w:rPr>
              <w:t>Dryer Balls</w:t>
            </w:r>
          </w:p>
        </w:tc>
        <w:tc>
          <w:tcPr>
            <w:tcW w:w="1128" w:type="dxa"/>
            <w:vAlign w:val="center"/>
          </w:tcPr>
          <w:p w14:paraId="14AAF9A2" w14:textId="77777777" w:rsidR="006071FF" w:rsidRPr="001A50DE" w:rsidRDefault="006071FF" w:rsidP="006071FF">
            <w:pPr>
              <w:pStyle w:val="ExhibitText"/>
              <w:jc w:val="right"/>
              <w:rPr>
                <w:rFonts w:eastAsia="Calibri"/>
                <w:lang w:val="en-GB"/>
              </w:rPr>
            </w:pPr>
            <w:r w:rsidRPr="001A50DE">
              <w:rPr>
                <w:rFonts w:eastAsia="Calibri"/>
                <w:lang w:val="en-GB"/>
              </w:rPr>
              <w:t>$25.00</w:t>
            </w:r>
          </w:p>
        </w:tc>
        <w:tc>
          <w:tcPr>
            <w:tcW w:w="1083" w:type="dxa"/>
            <w:vAlign w:val="center"/>
          </w:tcPr>
          <w:p w14:paraId="7E377A6A" w14:textId="77777777" w:rsidR="006071FF" w:rsidRPr="001A50DE" w:rsidRDefault="006071FF" w:rsidP="006071FF">
            <w:pPr>
              <w:pStyle w:val="ExhibitText"/>
              <w:jc w:val="right"/>
              <w:rPr>
                <w:rFonts w:eastAsia="Calibri"/>
                <w:lang w:val="en-GB"/>
              </w:rPr>
            </w:pPr>
            <w:r w:rsidRPr="001A50DE">
              <w:rPr>
                <w:rFonts w:eastAsia="Calibri"/>
                <w:lang w:val="en-GB"/>
              </w:rPr>
              <w:t>$7.00</w:t>
            </w:r>
          </w:p>
        </w:tc>
        <w:tc>
          <w:tcPr>
            <w:tcW w:w="1770" w:type="dxa"/>
            <w:vAlign w:val="center"/>
          </w:tcPr>
          <w:p w14:paraId="3160280C" w14:textId="77777777" w:rsidR="006071FF" w:rsidRPr="001A50DE" w:rsidRDefault="006071FF" w:rsidP="003E3DCE">
            <w:pPr>
              <w:pStyle w:val="ExhibitText"/>
              <w:tabs>
                <w:tab w:val="decimal" w:pos="887"/>
              </w:tabs>
              <w:rPr>
                <w:rFonts w:eastAsia="Calibri"/>
                <w:lang w:val="en-GB"/>
              </w:rPr>
            </w:pPr>
            <w:r w:rsidRPr="001A50DE">
              <w:rPr>
                <w:rFonts w:eastAsia="Calibri"/>
                <w:lang w:val="en-GB"/>
              </w:rPr>
              <w:t>$11.00</w:t>
            </w:r>
          </w:p>
        </w:tc>
        <w:tc>
          <w:tcPr>
            <w:tcW w:w="2070" w:type="dxa"/>
            <w:vAlign w:val="center"/>
          </w:tcPr>
          <w:p w14:paraId="50ED31CB" w14:textId="77777777" w:rsidR="006071FF" w:rsidRPr="001A50DE" w:rsidRDefault="006071FF" w:rsidP="003E3DCE">
            <w:pPr>
              <w:pStyle w:val="ExhibitText"/>
              <w:tabs>
                <w:tab w:val="decimal" w:pos="1101"/>
              </w:tabs>
              <w:rPr>
                <w:rFonts w:eastAsia="Calibri"/>
                <w:lang w:val="en-GB"/>
              </w:rPr>
            </w:pPr>
            <w:r w:rsidRPr="001A50DE">
              <w:rPr>
                <w:rFonts w:eastAsia="Calibri"/>
                <w:lang w:val="en-GB"/>
              </w:rPr>
              <w:t>$18.00</w:t>
            </w:r>
          </w:p>
        </w:tc>
      </w:tr>
    </w:tbl>
    <w:p w14:paraId="1F6A54AC" w14:textId="77777777" w:rsidR="006071FF" w:rsidRPr="001A50DE" w:rsidRDefault="006071FF" w:rsidP="006071FF">
      <w:pPr>
        <w:pStyle w:val="Footnote"/>
        <w:rPr>
          <w:rFonts w:ascii="Times New Roman" w:eastAsia="Calibri" w:hAnsi="Times New Roman" w:cs="Times New Roman"/>
          <w:sz w:val="22"/>
          <w:szCs w:val="22"/>
          <w:lang w:val="en-GB"/>
        </w:rPr>
      </w:pPr>
    </w:p>
    <w:p w14:paraId="4D3F0454" w14:textId="77777777" w:rsidR="006071FF" w:rsidRPr="001A50DE" w:rsidRDefault="006071FF" w:rsidP="006071FF">
      <w:pPr>
        <w:pStyle w:val="Footnote"/>
        <w:rPr>
          <w:rFonts w:eastAsia="Calibri"/>
          <w:lang w:val="en-GB"/>
        </w:rPr>
      </w:pPr>
      <w:r w:rsidRPr="001A50DE">
        <w:rPr>
          <w:rFonts w:eastAsia="Calibri"/>
          <w:lang w:val="en-GB"/>
        </w:rPr>
        <w:t>Source: Created by authors using company documents.</w:t>
      </w:r>
    </w:p>
    <w:p w14:paraId="42699408" w14:textId="77777777" w:rsidR="00BA4CE0" w:rsidRPr="001A50DE" w:rsidRDefault="00BA4CE0" w:rsidP="00CB784C">
      <w:pPr>
        <w:pStyle w:val="ExhibitHeading"/>
        <w:rPr>
          <w:rFonts w:eastAsia="Calibri"/>
          <w:lang w:val="en-GB"/>
        </w:rPr>
      </w:pPr>
    </w:p>
    <w:p w14:paraId="41F9B7E3" w14:textId="77777777" w:rsidR="00BA4CE0" w:rsidRPr="001A50DE" w:rsidRDefault="00BA4CE0" w:rsidP="00CB784C">
      <w:pPr>
        <w:pStyle w:val="ExhibitHeading"/>
        <w:rPr>
          <w:rFonts w:eastAsia="Calibri"/>
          <w:lang w:val="en-GB"/>
        </w:rPr>
      </w:pPr>
    </w:p>
    <w:p w14:paraId="45E92284" w14:textId="7495B19A" w:rsidR="00820F7C" w:rsidRPr="001A50DE" w:rsidRDefault="00820F7C" w:rsidP="00CB784C">
      <w:pPr>
        <w:pStyle w:val="ExhibitHeading"/>
        <w:rPr>
          <w:rFonts w:eastAsia="Calibri"/>
          <w:lang w:val="en-GB"/>
        </w:rPr>
      </w:pPr>
      <w:r w:rsidRPr="001A50DE">
        <w:rPr>
          <w:rFonts w:eastAsia="Calibri"/>
          <w:lang w:val="en-GB"/>
        </w:rPr>
        <w:t xml:space="preserve">Exhibit </w:t>
      </w:r>
      <w:r w:rsidR="00BA4CE0" w:rsidRPr="001A50DE">
        <w:rPr>
          <w:rFonts w:eastAsia="Calibri"/>
          <w:lang w:val="en-GB"/>
        </w:rPr>
        <w:t>2</w:t>
      </w:r>
      <w:r w:rsidRPr="001A50DE">
        <w:rPr>
          <w:rFonts w:eastAsia="Calibri"/>
          <w:lang w:val="en-GB"/>
        </w:rPr>
        <w:t>: F</w:t>
      </w:r>
      <w:r w:rsidR="00B924C5">
        <w:rPr>
          <w:rFonts w:eastAsia="Calibri"/>
          <w:lang w:val="en-GB"/>
        </w:rPr>
        <w:t xml:space="preserve">or </w:t>
      </w:r>
      <w:r w:rsidRPr="001A50DE">
        <w:rPr>
          <w:rFonts w:eastAsia="Calibri"/>
          <w:lang w:val="en-GB"/>
        </w:rPr>
        <w:t>T</w:t>
      </w:r>
      <w:r w:rsidR="00B924C5">
        <w:rPr>
          <w:rFonts w:eastAsia="Calibri"/>
          <w:lang w:val="en-GB"/>
        </w:rPr>
        <w:t xml:space="preserve">he </w:t>
      </w:r>
      <w:r w:rsidRPr="001A50DE">
        <w:rPr>
          <w:rFonts w:eastAsia="Calibri"/>
          <w:lang w:val="en-GB"/>
        </w:rPr>
        <w:t>L</w:t>
      </w:r>
      <w:r w:rsidR="00B924C5">
        <w:rPr>
          <w:rFonts w:eastAsia="Calibri"/>
          <w:lang w:val="en-GB"/>
        </w:rPr>
        <w:t xml:space="preserve">ove </w:t>
      </w:r>
      <w:r w:rsidRPr="001A50DE">
        <w:rPr>
          <w:rFonts w:eastAsia="Calibri"/>
          <w:lang w:val="en-GB"/>
        </w:rPr>
        <w:t>O</w:t>
      </w:r>
      <w:r w:rsidR="00B924C5">
        <w:rPr>
          <w:rFonts w:eastAsia="Calibri"/>
          <w:lang w:val="en-GB"/>
        </w:rPr>
        <w:t xml:space="preserve">f </w:t>
      </w:r>
      <w:r w:rsidRPr="001A50DE">
        <w:rPr>
          <w:rFonts w:eastAsia="Calibri"/>
          <w:lang w:val="en-GB"/>
        </w:rPr>
        <w:t>L</w:t>
      </w:r>
      <w:r w:rsidR="00B924C5">
        <w:rPr>
          <w:rFonts w:eastAsia="Calibri"/>
          <w:lang w:val="en-GB"/>
        </w:rPr>
        <w:t>aundry</w:t>
      </w:r>
      <w:r w:rsidRPr="001A50DE">
        <w:rPr>
          <w:rFonts w:eastAsia="Calibri"/>
          <w:lang w:val="en-GB"/>
        </w:rPr>
        <w:t xml:space="preserve"> Soap</w:t>
      </w:r>
    </w:p>
    <w:p w14:paraId="1BDDEADC" w14:textId="77777777" w:rsidR="00CB784C" w:rsidRPr="001A50DE" w:rsidRDefault="00CB784C" w:rsidP="00CB784C">
      <w:pPr>
        <w:pStyle w:val="ExhibitText"/>
        <w:rPr>
          <w:rFonts w:eastAsia="Calibri"/>
          <w:lang w:val="en-GB"/>
        </w:rPr>
      </w:pPr>
    </w:p>
    <w:p w14:paraId="2B87C9A6" w14:textId="77777777" w:rsidR="00820F7C" w:rsidRPr="001A50DE" w:rsidRDefault="00CB784C" w:rsidP="00820F7C">
      <w:pPr>
        <w:spacing w:after="200"/>
        <w:rPr>
          <w:rFonts w:eastAsia="Calibri"/>
          <w:b/>
          <w:sz w:val="22"/>
          <w:szCs w:val="22"/>
          <w:lang w:val="en-GB"/>
        </w:rPr>
      </w:pPr>
      <w:r w:rsidRPr="001A50DE">
        <w:rPr>
          <w:rFonts w:eastAsia="Calibri"/>
          <w:b/>
          <w:noProof/>
          <w:sz w:val="22"/>
          <w:szCs w:val="22"/>
        </w:rPr>
        <w:drawing>
          <wp:anchor distT="0" distB="0" distL="114300" distR="114300" simplePos="0" relativeHeight="251657216" behindDoc="1" locked="0" layoutInCell="1" allowOverlap="1" wp14:anchorId="2D478398" wp14:editId="2B90380F">
            <wp:simplePos x="0" y="0"/>
            <wp:positionH relativeFrom="margin">
              <wp:posOffset>1396797</wp:posOffset>
            </wp:positionH>
            <wp:positionV relativeFrom="paragraph">
              <wp:posOffset>34620</wp:posOffset>
            </wp:positionV>
            <wp:extent cx="3145155" cy="3145155"/>
            <wp:effectExtent l="0" t="0" r="0" b="0"/>
            <wp:wrapTight wrapText="bothSides">
              <wp:wrapPolygon edited="0">
                <wp:start x="0" y="0"/>
                <wp:lineTo x="0" y="21456"/>
                <wp:lineTo x="21456" y="21456"/>
                <wp:lineTo x="214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ap pic.png"/>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145155" cy="3145155"/>
                    </a:xfrm>
                    <a:prstGeom prst="rect">
                      <a:avLst/>
                    </a:prstGeom>
                  </pic:spPr>
                </pic:pic>
              </a:graphicData>
            </a:graphic>
            <wp14:sizeRelH relativeFrom="page">
              <wp14:pctWidth>0</wp14:pctWidth>
            </wp14:sizeRelH>
            <wp14:sizeRelV relativeFrom="page">
              <wp14:pctHeight>0</wp14:pctHeight>
            </wp14:sizeRelV>
          </wp:anchor>
        </w:drawing>
      </w:r>
    </w:p>
    <w:p w14:paraId="134FA2F9" w14:textId="77777777" w:rsidR="00CB784C" w:rsidRPr="001A50DE" w:rsidRDefault="00CB784C" w:rsidP="00820F7C">
      <w:pPr>
        <w:spacing w:after="200"/>
        <w:rPr>
          <w:rFonts w:eastAsia="Calibri"/>
          <w:sz w:val="22"/>
          <w:szCs w:val="22"/>
          <w:lang w:val="en-GB"/>
        </w:rPr>
      </w:pPr>
    </w:p>
    <w:p w14:paraId="712BF0BD" w14:textId="77777777" w:rsidR="00CB784C" w:rsidRPr="001A50DE" w:rsidRDefault="00CB784C" w:rsidP="00820F7C">
      <w:pPr>
        <w:spacing w:after="200"/>
        <w:rPr>
          <w:rFonts w:eastAsia="Calibri"/>
          <w:sz w:val="22"/>
          <w:szCs w:val="22"/>
          <w:lang w:val="en-GB"/>
        </w:rPr>
      </w:pPr>
    </w:p>
    <w:p w14:paraId="3DBF6B09" w14:textId="77777777" w:rsidR="00CB784C" w:rsidRPr="001A50DE" w:rsidRDefault="00CB784C" w:rsidP="00820F7C">
      <w:pPr>
        <w:spacing w:after="200"/>
        <w:rPr>
          <w:rFonts w:eastAsia="Calibri"/>
          <w:sz w:val="22"/>
          <w:szCs w:val="22"/>
          <w:lang w:val="en-GB"/>
        </w:rPr>
      </w:pPr>
    </w:p>
    <w:p w14:paraId="737A1328" w14:textId="77777777" w:rsidR="00CB784C" w:rsidRPr="001A50DE" w:rsidRDefault="00CB784C" w:rsidP="00820F7C">
      <w:pPr>
        <w:spacing w:after="200"/>
        <w:rPr>
          <w:rFonts w:eastAsia="Calibri"/>
          <w:sz w:val="22"/>
          <w:szCs w:val="22"/>
          <w:lang w:val="en-GB"/>
        </w:rPr>
      </w:pPr>
    </w:p>
    <w:p w14:paraId="2D3DCC09" w14:textId="77777777" w:rsidR="00CB784C" w:rsidRPr="001A50DE" w:rsidRDefault="00CB784C" w:rsidP="00820F7C">
      <w:pPr>
        <w:spacing w:after="200"/>
        <w:rPr>
          <w:rFonts w:eastAsia="Calibri"/>
          <w:sz w:val="22"/>
          <w:szCs w:val="22"/>
          <w:lang w:val="en-GB"/>
        </w:rPr>
      </w:pPr>
    </w:p>
    <w:p w14:paraId="36C93B54" w14:textId="77777777" w:rsidR="00CB784C" w:rsidRPr="001A50DE" w:rsidRDefault="00CB784C" w:rsidP="00820F7C">
      <w:pPr>
        <w:spacing w:after="200"/>
        <w:rPr>
          <w:rFonts w:eastAsia="Calibri"/>
          <w:sz w:val="22"/>
          <w:szCs w:val="22"/>
          <w:lang w:val="en-GB"/>
        </w:rPr>
      </w:pPr>
    </w:p>
    <w:p w14:paraId="60F5D8FC" w14:textId="77777777" w:rsidR="00CB784C" w:rsidRPr="001A50DE" w:rsidRDefault="00CB784C" w:rsidP="00820F7C">
      <w:pPr>
        <w:spacing w:after="200"/>
        <w:rPr>
          <w:rFonts w:eastAsia="Calibri"/>
          <w:sz w:val="22"/>
          <w:szCs w:val="22"/>
          <w:lang w:val="en-GB"/>
        </w:rPr>
      </w:pPr>
    </w:p>
    <w:p w14:paraId="529222B9" w14:textId="77777777" w:rsidR="00CB784C" w:rsidRPr="001A50DE" w:rsidRDefault="00CB784C" w:rsidP="00820F7C">
      <w:pPr>
        <w:spacing w:after="200"/>
        <w:rPr>
          <w:rFonts w:eastAsia="Calibri"/>
          <w:sz w:val="22"/>
          <w:szCs w:val="22"/>
          <w:lang w:val="en-GB"/>
        </w:rPr>
      </w:pPr>
    </w:p>
    <w:p w14:paraId="4B4AF19E" w14:textId="77777777" w:rsidR="00CB784C" w:rsidRPr="001A50DE" w:rsidRDefault="00CB784C" w:rsidP="00820F7C">
      <w:pPr>
        <w:spacing w:after="200"/>
        <w:rPr>
          <w:rFonts w:eastAsia="Calibri"/>
          <w:sz w:val="22"/>
          <w:szCs w:val="22"/>
          <w:lang w:val="en-GB"/>
        </w:rPr>
      </w:pPr>
    </w:p>
    <w:p w14:paraId="15240F25" w14:textId="77777777" w:rsidR="00CB784C" w:rsidRPr="001A50DE" w:rsidRDefault="00CB784C" w:rsidP="00820F7C">
      <w:pPr>
        <w:spacing w:after="200"/>
        <w:rPr>
          <w:rFonts w:eastAsia="Calibri"/>
          <w:sz w:val="22"/>
          <w:szCs w:val="22"/>
          <w:lang w:val="en-GB"/>
        </w:rPr>
      </w:pPr>
    </w:p>
    <w:p w14:paraId="2365C2A1" w14:textId="77777777" w:rsidR="00CB784C" w:rsidRPr="001A50DE" w:rsidRDefault="00CB784C" w:rsidP="00820F7C">
      <w:pPr>
        <w:spacing w:after="200"/>
        <w:rPr>
          <w:rFonts w:eastAsia="Calibri"/>
          <w:sz w:val="18"/>
          <w:szCs w:val="18"/>
          <w:lang w:val="en-GB"/>
        </w:rPr>
      </w:pPr>
    </w:p>
    <w:p w14:paraId="11E85935" w14:textId="77777777" w:rsidR="00820F7C" w:rsidRPr="001A50DE" w:rsidRDefault="00CB784C" w:rsidP="00CB784C">
      <w:pPr>
        <w:pStyle w:val="Footnote"/>
        <w:rPr>
          <w:rFonts w:eastAsia="Calibri"/>
          <w:lang w:val="en-GB"/>
        </w:rPr>
      </w:pPr>
      <w:r w:rsidRPr="001A50DE">
        <w:rPr>
          <w:rFonts w:eastAsia="Calibri"/>
          <w:lang w:val="en-GB"/>
        </w:rPr>
        <w:t>Source: Company documents.</w:t>
      </w:r>
    </w:p>
    <w:p w14:paraId="19B2FB02" w14:textId="77777777" w:rsidR="00820F7C" w:rsidRPr="001A50DE" w:rsidRDefault="00820F7C" w:rsidP="00CB784C">
      <w:pPr>
        <w:pStyle w:val="ExhibitText"/>
        <w:rPr>
          <w:rFonts w:eastAsia="Calibri"/>
          <w:lang w:val="en-GB"/>
        </w:rPr>
      </w:pPr>
    </w:p>
    <w:p w14:paraId="02542A69" w14:textId="77777777" w:rsidR="00820F7C" w:rsidRPr="001A50DE" w:rsidRDefault="00820F7C" w:rsidP="00CB784C">
      <w:pPr>
        <w:pStyle w:val="ExhibitText"/>
        <w:rPr>
          <w:rFonts w:eastAsia="Calibri"/>
          <w:lang w:val="en-GB"/>
        </w:rPr>
      </w:pPr>
    </w:p>
    <w:p w14:paraId="0068C3E0" w14:textId="77777777" w:rsidR="006071FF" w:rsidRPr="001A50DE" w:rsidRDefault="006071FF" w:rsidP="00CB784C">
      <w:pPr>
        <w:pStyle w:val="ExhibitHeading"/>
        <w:rPr>
          <w:rFonts w:eastAsia="Calibri"/>
          <w:lang w:val="en-GB"/>
        </w:rPr>
      </w:pPr>
    </w:p>
    <w:p w14:paraId="54AF2AE4" w14:textId="77777777" w:rsidR="006071FF" w:rsidRPr="001A50DE" w:rsidRDefault="006071FF" w:rsidP="00CB784C">
      <w:pPr>
        <w:pStyle w:val="ExhibitHeading"/>
        <w:rPr>
          <w:rFonts w:eastAsia="Calibri"/>
          <w:lang w:val="en-GB"/>
        </w:rPr>
      </w:pPr>
    </w:p>
    <w:p w14:paraId="5EEC5849" w14:textId="77777777" w:rsidR="006071FF" w:rsidRPr="001A50DE" w:rsidRDefault="006071FF" w:rsidP="00CB784C">
      <w:pPr>
        <w:pStyle w:val="ExhibitHeading"/>
        <w:rPr>
          <w:rFonts w:eastAsia="Calibri"/>
          <w:lang w:val="en-GB"/>
        </w:rPr>
      </w:pPr>
    </w:p>
    <w:p w14:paraId="769C27B8" w14:textId="77777777" w:rsidR="006071FF" w:rsidRPr="001A50DE" w:rsidRDefault="006071FF" w:rsidP="00CB784C">
      <w:pPr>
        <w:pStyle w:val="ExhibitHeading"/>
        <w:rPr>
          <w:rFonts w:eastAsia="Calibri"/>
          <w:lang w:val="en-GB"/>
        </w:rPr>
      </w:pPr>
    </w:p>
    <w:p w14:paraId="71EBB7D6" w14:textId="034F6CA2" w:rsidR="00820F7C" w:rsidRPr="001A50DE" w:rsidRDefault="00820F7C" w:rsidP="00CB784C">
      <w:pPr>
        <w:pStyle w:val="ExhibitHeading"/>
        <w:rPr>
          <w:rFonts w:eastAsia="Calibri"/>
          <w:lang w:val="en-GB"/>
        </w:rPr>
      </w:pPr>
      <w:r w:rsidRPr="001A50DE">
        <w:rPr>
          <w:rFonts w:eastAsia="Calibri"/>
          <w:lang w:val="en-GB"/>
        </w:rPr>
        <w:lastRenderedPageBreak/>
        <w:t xml:space="preserve">Exhibit </w:t>
      </w:r>
      <w:r w:rsidR="00BA4CE0" w:rsidRPr="001A50DE">
        <w:rPr>
          <w:rFonts w:eastAsia="Calibri"/>
          <w:lang w:val="en-GB"/>
        </w:rPr>
        <w:t>3</w:t>
      </w:r>
      <w:r w:rsidRPr="001A50DE">
        <w:rPr>
          <w:rFonts w:eastAsia="Calibri"/>
          <w:lang w:val="en-GB"/>
        </w:rPr>
        <w:t>: F</w:t>
      </w:r>
      <w:r w:rsidR="00B924C5">
        <w:rPr>
          <w:rFonts w:eastAsia="Calibri"/>
          <w:lang w:val="en-GB"/>
        </w:rPr>
        <w:t xml:space="preserve">or </w:t>
      </w:r>
      <w:r w:rsidRPr="001A50DE">
        <w:rPr>
          <w:rFonts w:eastAsia="Calibri"/>
          <w:lang w:val="en-GB"/>
        </w:rPr>
        <w:t>T</w:t>
      </w:r>
      <w:r w:rsidR="00B924C5">
        <w:rPr>
          <w:rFonts w:eastAsia="Calibri"/>
          <w:lang w:val="en-GB"/>
        </w:rPr>
        <w:t xml:space="preserve">he </w:t>
      </w:r>
      <w:r w:rsidRPr="001A50DE">
        <w:rPr>
          <w:rFonts w:eastAsia="Calibri"/>
          <w:lang w:val="en-GB"/>
        </w:rPr>
        <w:t>L</w:t>
      </w:r>
      <w:r w:rsidR="00B924C5">
        <w:rPr>
          <w:rFonts w:eastAsia="Calibri"/>
          <w:lang w:val="en-GB"/>
        </w:rPr>
        <w:t xml:space="preserve">ove </w:t>
      </w:r>
      <w:r w:rsidRPr="001A50DE">
        <w:rPr>
          <w:rFonts w:eastAsia="Calibri"/>
          <w:lang w:val="en-GB"/>
        </w:rPr>
        <w:t>O</w:t>
      </w:r>
      <w:r w:rsidR="00B924C5">
        <w:rPr>
          <w:rFonts w:eastAsia="Calibri"/>
          <w:lang w:val="en-GB"/>
        </w:rPr>
        <w:t xml:space="preserve">f </w:t>
      </w:r>
      <w:r w:rsidRPr="001A50DE">
        <w:rPr>
          <w:rFonts w:eastAsia="Calibri"/>
          <w:lang w:val="en-GB"/>
        </w:rPr>
        <w:t>L</w:t>
      </w:r>
      <w:r w:rsidR="00B924C5">
        <w:rPr>
          <w:rFonts w:eastAsia="Calibri"/>
          <w:lang w:val="en-GB"/>
        </w:rPr>
        <w:t>aundry</w:t>
      </w:r>
      <w:r w:rsidRPr="001A50DE">
        <w:rPr>
          <w:rFonts w:eastAsia="Calibri"/>
          <w:lang w:val="en-GB"/>
        </w:rPr>
        <w:t xml:space="preserve"> Stain Removal Sticks</w:t>
      </w:r>
    </w:p>
    <w:p w14:paraId="7AF887B3" w14:textId="77777777" w:rsidR="00820F7C" w:rsidRPr="001A50DE" w:rsidRDefault="00820F7C" w:rsidP="00820F7C">
      <w:pPr>
        <w:spacing w:after="200"/>
        <w:jc w:val="center"/>
        <w:rPr>
          <w:rFonts w:eastAsia="Calibri"/>
          <w:sz w:val="22"/>
          <w:szCs w:val="22"/>
          <w:lang w:val="en-GB"/>
        </w:rPr>
      </w:pPr>
    </w:p>
    <w:p w14:paraId="2B7AD1A5" w14:textId="77777777" w:rsidR="00CB784C" w:rsidRPr="001A50DE" w:rsidRDefault="00CB784C" w:rsidP="00820F7C">
      <w:pPr>
        <w:spacing w:after="200"/>
        <w:rPr>
          <w:rFonts w:eastAsia="Calibri"/>
          <w:sz w:val="22"/>
          <w:szCs w:val="22"/>
          <w:lang w:val="en-GB"/>
        </w:rPr>
      </w:pPr>
      <w:r w:rsidRPr="001A50DE">
        <w:rPr>
          <w:rFonts w:eastAsia="Calibri"/>
          <w:noProof/>
          <w:sz w:val="22"/>
          <w:szCs w:val="22"/>
        </w:rPr>
        <w:drawing>
          <wp:anchor distT="0" distB="0" distL="114300" distR="114300" simplePos="0" relativeHeight="251659264" behindDoc="1" locked="0" layoutInCell="1" allowOverlap="1" wp14:anchorId="12BF09B8" wp14:editId="45E49F8D">
            <wp:simplePos x="0" y="0"/>
            <wp:positionH relativeFrom="column">
              <wp:posOffset>1381760</wp:posOffset>
            </wp:positionH>
            <wp:positionV relativeFrom="paragraph">
              <wp:posOffset>10821</wp:posOffset>
            </wp:positionV>
            <wp:extent cx="3167380" cy="3167380"/>
            <wp:effectExtent l="0" t="0" r="0" b="0"/>
            <wp:wrapTight wrapText="bothSides">
              <wp:wrapPolygon edited="0">
                <wp:start x="0" y="0"/>
                <wp:lineTo x="0" y="21435"/>
                <wp:lineTo x="21435" y="21435"/>
                <wp:lineTo x="214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in sticks.jpg"/>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167380" cy="3167380"/>
                    </a:xfrm>
                    <a:prstGeom prst="rect">
                      <a:avLst/>
                    </a:prstGeom>
                  </pic:spPr>
                </pic:pic>
              </a:graphicData>
            </a:graphic>
            <wp14:sizeRelH relativeFrom="page">
              <wp14:pctWidth>0</wp14:pctWidth>
            </wp14:sizeRelH>
            <wp14:sizeRelV relativeFrom="page">
              <wp14:pctHeight>0</wp14:pctHeight>
            </wp14:sizeRelV>
          </wp:anchor>
        </w:drawing>
      </w:r>
    </w:p>
    <w:p w14:paraId="21C964E9" w14:textId="77777777" w:rsidR="00CB784C" w:rsidRPr="001A50DE" w:rsidRDefault="00CB784C" w:rsidP="00820F7C">
      <w:pPr>
        <w:spacing w:after="200"/>
        <w:rPr>
          <w:rFonts w:eastAsia="Calibri"/>
          <w:sz w:val="22"/>
          <w:szCs w:val="22"/>
          <w:lang w:val="en-GB"/>
        </w:rPr>
      </w:pPr>
    </w:p>
    <w:p w14:paraId="4630FA70" w14:textId="77777777" w:rsidR="00CB784C" w:rsidRPr="001A50DE" w:rsidRDefault="00CB784C" w:rsidP="00820F7C">
      <w:pPr>
        <w:spacing w:after="200"/>
        <w:rPr>
          <w:rFonts w:eastAsia="Calibri"/>
          <w:sz w:val="22"/>
          <w:szCs w:val="22"/>
          <w:lang w:val="en-GB"/>
        </w:rPr>
      </w:pPr>
    </w:p>
    <w:p w14:paraId="60047294" w14:textId="77777777" w:rsidR="00CB784C" w:rsidRPr="001A50DE" w:rsidRDefault="00CB784C" w:rsidP="00820F7C">
      <w:pPr>
        <w:spacing w:after="200"/>
        <w:rPr>
          <w:rFonts w:eastAsia="Calibri"/>
          <w:sz w:val="22"/>
          <w:szCs w:val="22"/>
          <w:lang w:val="en-GB"/>
        </w:rPr>
      </w:pPr>
    </w:p>
    <w:p w14:paraId="25AC7414" w14:textId="77777777" w:rsidR="00CB784C" w:rsidRPr="001A50DE" w:rsidRDefault="00CB784C" w:rsidP="00820F7C">
      <w:pPr>
        <w:spacing w:after="200"/>
        <w:rPr>
          <w:rFonts w:eastAsia="Calibri"/>
          <w:sz w:val="22"/>
          <w:szCs w:val="22"/>
          <w:lang w:val="en-GB"/>
        </w:rPr>
      </w:pPr>
    </w:p>
    <w:p w14:paraId="63EDF4B6" w14:textId="77777777" w:rsidR="00CB784C" w:rsidRPr="001A50DE" w:rsidRDefault="00CB784C" w:rsidP="00820F7C">
      <w:pPr>
        <w:spacing w:after="200"/>
        <w:rPr>
          <w:rFonts w:eastAsia="Calibri"/>
          <w:sz w:val="22"/>
          <w:szCs w:val="22"/>
          <w:lang w:val="en-GB"/>
        </w:rPr>
      </w:pPr>
    </w:p>
    <w:p w14:paraId="3AD1D4F7" w14:textId="77777777" w:rsidR="00CB784C" w:rsidRPr="001A50DE" w:rsidRDefault="00CB784C" w:rsidP="00820F7C">
      <w:pPr>
        <w:spacing w:after="200"/>
        <w:rPr>
          <w:rFonts w:eastAsia="Calibri"/>
          <w:sz w:val="22"/>
          <w:szCs w:val="22"/>
          <w:lang w:val="en-GB"/>
        </w:rPr>
      </w:pPr>
    </w:p>
    <w:p w14:paraId="1EE3E252" w14:textId="77777777" w:rsidR="00CB784C" w:rsidRPr="001A50DE" w:rsidRDefault="00CB784C" w:rsidP="00820F7C">
      <w:pPr>
        <w:spacing w:after="200"/>
        <w:rPr>
          <w:rFonts w:eastAsia="Calibri"/>
          <w:sz w:val="22"/>
          <w:szCs w:val="22"/>
          <w:lang w:val="en-GB"/>
        </w:rPr>
      </w:pPr>
    </w:p>
    <w:p w14:paraId="276E2E6B" w14:textId="77777777" w:rsidR="00CB784C" w:rsidRPr="001A50DE" w:rsidRDefault="00CB784C" w:rsidP="00820F7C">
      <w:pPr>
        <w:spacing w:after="200"/>
        <w:rPr>
          <w:rFonts w:eastAsia="Calibri"/>
          <w:sz w:val="22"/>
          <w:szCs w:val="22"/>
          <w:lang w:val="en-GB"/>
        </w:rPr>
      </w:pPr>
    </w:p>
    <w:p w14:paraId="48F7956A" w14:textId="77777777" w:rsidR="00CB784C" w:rsidRPr="001A50DE" w:rsidRDefault="00CB784C" w:rsidP="00820F7C">
      <w:pPr>
        <w:spacing w:after="200"/>
        <w:rPr>
          <w:rFonts w:eastAsia="Calibri"/>
          <w:sz w:val="22"/>
          <w:szCs w:val="22"/>
          <w:lang w:val="en-GB"/>
        </w:rPr>
      </w:pPr>
    </w:p>
    <w:p w14:paraId="5D2BD57A" w14:textId="77777777" w:rsidR="00CB784C" w:rsidRPr="001A50DE" w:rsidRDefault="00CB784C" w:rsidP="00CB784C">
      <w:pPr>
        <w:pStyle w:val="Footnote"/>
        <w:rPr>
          <w:rFonts w:eastAsia="Calibri"/>
          <w:lang w:val="en-GB"/>
        </w:rPr>
      </w:pPr>
    </w:p>
    <w:p w14:paraId="75A99E95" w14:textId="77777777" w:rsidR="00CB784C" w:rsidRPr="001A50DE" w:rsidRDefault="00CB784C" w:rsidP="00CB784C">
      <w:pPr>
        <w:pStyle w:val="Footnote"/>
        <w:rPr>
          <w:rFonts w:eastAsia="Calibri"/>
          <w:lang w:val="en-GB"/>
        </w:rPr>
      </w:pPr>
    </w:p>
    <w:p w14:paraId="07359E3D" w14:textId="77777777" w:rsidR="00CB784C" w:rsidRPr="001A50DE" w:rsidRDefault="00CB784C" w:rsidP="00CB784C">
      <w:pPr>
        <w:pStyle w:val="Footnote"/>
        <w:rPr>
          <w:rFonts w:eastAsia="Calibri"/>
          <w:lang w:val="en-GB"/>
        </w:rPr>
      </w:pPr>
    </w:p>
    <w:p w14:paraId="4EDA7D9D" w14:textId="54FC4A29" w:rsidR="00820F7C" w:rsidRPr="001A50DE" w:rsidRDefault="00820F7C" w:rsidP="00CB784C">
      <w:pPr>
        <w:pStyle w:val="Footnote"/>
        <w:rPr>
          <w:rFonts w:eastAsia="Calibri"/>
          <w:lang w:val="en-GB"/>
        </w:rPr>
      </w:pPr>
      <w:r w:rsidRPr="001A50DE">
        <w:rPr>
          <w:rFonts w:eastAsia="Calibri"/>
          <w:lang w:val="en-GB"/>
        </w:rPr>
        <w:t>Source: Company documents</w:t>
      </w:r>
      <w:r w:rsidR="004C3A0D">
        <w:rPr>
          <w:rFonts w:eastAsia="Calibri"/>
          <w:lang w:val="en-GB"/>
        </w:rPr>
        <w:t>.</w:t>
      </w:r>
    </w:p>
    <w:p w14:paraId="1FD83E80" w14:textId="77777777" w:rsidR="009B512D" w:rsidRPr="001A50DE" w:rsidRDefault="009B512D" w:rsidP="009B512D">
      <w:pPr>
        <w:pStyle w:val="ExhibitText"/>
        <w:rPr>
          <w:rFonts w:eastAsia="Calibri"/>
          <w:lang w:val="en-GB"/>
        </w:rPr>
      </w:pPr>
    </w:p>
    <w:p w14:paraId="45E288CB" w14:textId="77777777" w:rsidR="009B512D" w:rsidRPr="001A50DE" w:rsidRDefault="009B512D" w:rsidP="009B512D">
      <w:pPr>
        <w:pStyle w:val="ExhibitText"/>
        <w:rPr>
          <w:rFonts w:eastAsia="Calibri"/>
          <w:lang w:val="en-GB"/>
        </w:rPr>
      </w:pPr>
    </w:p>
    <w:p w14:paraId="2F11CB39" w14:textId="3F3C7E4C" w:rsidR="00820F7C" w:rsidRPr="001A50DE" w:rsidRDefault="00820F7C" w:rsidP="00CB784C">
      <w:pPr>
        <w:pStyle w:val="ExhibitHeading"/>
        <w:rPr>
          <w:rFonts w:eastAsia="Calibri"/>
          <w:lang w:val="en-GB"/>
        </w:rPr>
      </w:pPr>
      <w:r w:rsidRPr="001A50DE">
        <w:rPr>
          <w:rFonts w:eastAsia="Calibri"/>
          <w:lang w:val="en-GB"/>
        </w:rPr>
        <w:t xml:space="preserve">Exhibit </w:t>
      </w:r>
      <w:r w:rsidR="00BA4CE0" w:rsidRPr="001A50DE">
        <w:rPr>
          <w:rFonts w:eastAsia="Calibri"/>
          <w:lang w:val="en-GB"/>
        </w:rPr>
        <w:t>4</w:t>
      </w:r>
      <w:r w:rsidRPr="001A50DE">
        <w:rPr>
          <w:rFonts w:eastAsia="Calibri"/>
          <w:lang w:val="en-GB"/>
        </w:rPr>
        <w:t>: F</w:t>
      </w:r>
      <w:r w:rsidR="00486DB8">
        <w:rPr>
          <w:rFonts w:eastAsia="Calibri"/>
          <w:lang w:val="en-GB"/>
        </w:rPr>
        <w:t xml:space="preserve">or </w:t>
      </w:r>
      <w:r w:rsidRPr="001A50DE">
        <w:rPr>
          <w:rFonts w:eastAsia="Calibri"/>
          <w:lang w:val="en-GB"/>
        </w:rPr>
        <w:t>T</w:t>
      </w:r>
      <w:r w:rsidR="00486DB8">
        <w:rPr>
          <w:rFonts w:eastAsia="Calibri"/>
          <w:lang w:val="en-GB"/>
        </w:rPr>
        <w:t xml:space="preserve">he </w:t>
      </w:r>
      <w:r w:rsidRPr="001A50DE">
        <w:rPr>
          <w:rFonts w:eastAsia="Calibri"/>
          <w:lang w:val="en-GB"/>
        </w:rPr>
        <w:t>L</w:t>
      </w:r>
      <w:r w:rsidR="00486DB8">
        <w:rPr>
          <w:rFonts w:eastAsia="Calibri"/>
          <w:lang w:val="en-GB"/>
        </w:rPr>
        <w:t xml:space="preserve">ove </w:t>
      </w:r>
      <w:r w:rsidRPr="001A50DE">
        <w:rPr>
          <w:rFonts w:eastAsia="Calibri"/>
          <w:lang w:val="en-GB"/>
        </w:rPr>
        <w:t>O</w:t>
      </w:r>
      <w:r w:rsidR="00486DB8">
        <w:rPr>
          <w:rFonts w:eastAsia="Calibri"/>
          <w:lang w:val="en-GB"/>
        </w:rPr>
        <w:t xml:space="preserve">f </w:t>
      </w:r>
      <w:r w:rsidRPr="001A50DE">
        <w:rPr>
          <w:rFonts w:eastAsia="Calibri"/>
          <w:lang w:val="en-GB"/>
        </w:rPr>
        <w:t>L</w:t>
      </w:r>
      <w:r w:rsidR="00486DB8">
        <w:rPr>
          <w:rFonts w:eastAsia="Calibri"/>
          <w:lang w:val="en-GB"/>
        </w:rPr>
        <w:t>aundry</w:t>
      </w:r>
      <w:r w:rsidRPr="001A50DE">
        <w:rPr>
          <w:rFonts w:eastAsia="Calibri"/>
          <w:lang w:val="en-GB"/>
        </w:rPr>
        <w:t xml:space="preserve"> Dryer Balls</w:t>
      </w:r>
    </w:p>
    <w:p w14:paraId="58AE25B8" w14:textId="77777777" w:rsidR="00CB784C" w:rsidRPr="001A50DE" w:rsidRDefault="00CB784C" w:rsidP="00CB784C">
      <w:pPr>
        <w:pStyle w:val="ExhibitText"/>
        <w:rPr>
          <w:rFonts w:eastAsia="Calibri"/>
          <w:lang w:val="en-GB"/>
        </w:rPr>
      </w:pPr>
    </w:p>
    <w:p w14:paraId="2BE9DFC8" w14:textId="77777777" w:rsidR="00820F7C" w:rsidRPr="001A50DE" w:rsidRDefault="003F6EAF" w:rsidP="00820F7C">
      <w:pPr>
        <w:spacing w:after="200"/>
        <w:jc w:val="center"/>
        <w:rPr>
          <w:rFonts w:eastAsia="Calibri"/>
          <w:b/>
          <w:sz w:val="22"/>
          <w:szCs w:val="22"/>
          <w:lang w:val="en-GB"/>
        </w:rPr>
      </w:pPr>
      <w:r w:rsidRPr="001A50DE">
        <w:rPr>
          <w:noProof/>
        </w:rPr>
        <w:drawing>
          <wp:inline distT="0" distB="0" distL="0" distR="0" wp14:anchorId="45154CC3" wp14:editId="05281D89">
            <wp:extent cx="5841187" cy="29165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6729" cy="2919322"/>
                    </a:xfrm>
                    <a:prstGeom prst="rect">
                      <a:avLst/>
                    </a:prstGeom>
                  </pic:spPr>
                </pic:pic>
              </a:graphicData>
            </a:graphic>
          </wp:inline>
        </w:drawing>
      </w:r>
    </w:p>
    <w:p w14:paraId="463AD0A0" w14:textId="77777777" w:rsidR="00820F7C" w:rsidRPr="001A50DE" w:rsidRDefault="003F6EAF" w:rsidP="003F6EAF">
      <w:pPr>
        <w:pStyle w:val="Footnote"/>
        <w:rPr>
          <w:rFonts w:eastAsia="Calibri"/>
          <w:lang w:val="en-GB"/>
        </w:rPr>
      </w:pPr>
      <w:r w:rsidRPr="001A50DE">
        <w:rPr>
          <w:rFonts w:eastAsia="Calibri"/>
          <w:lang w:val="en-GB"/>
        </w:rPr>
        <w:t>Source: Company documents.</w:t>
      </w:r>
    </w:p>
    <w:p w14:paraId="59626337" w14:textId="77777777" w:rsidR="00820F7C" w:rsidRPr="001A50DE" w:rsidRDefault="00820F7C">
      <w:pPr>
        <w:spacing w:after="200" w:line="276" w:lineRule="auto"/>
        <w:rPr>
          <w:sz w:val="22"/>
          <w:szCs w:val="22"/>
          <w:lang w:val="en-GB"/>
        </w:rPr>
      </w:pPr>
      <w:r w:rsidRPr="001A50DE">
        <w:rPr>
          <w:lang w:val="en-GB"/>
        </w:rPr>
        <w:br w:type="page"/>
      </w:r>
    </w:p>
    <w:p w14:paraId="415A77A2" w14:textId="586CEA19" w:rsidR="000745AA" w:rsidRDefault="00820F7C" w:rsidP="0053461A">
      <w:pPr>
        <w:pStyle w:val="ExhibitHeading"/>
        <w:jc w:val="left"/>
        <w:rPr>
          <w:rFonts w:eastAsia="Calibri"/>
          <w:lang w:val="en-GB"/>
        </w:rPr>
      </w:pPr>
      <w:r w:rsidRPr="001A50DE">
        <w:rPr>
          <w:rFonts w:eastAsia="Calibri"/>
          <w:lang w:val="en-GB"/>
        </w:rPr>
        <w:lastRenderedPageBreak/>
        <w:t>Endnotes</w:t>
      </w:r>
    </w:p>
    <w:p w14:paraId="655DA137" w14:textId="68E22AFC" w:rsidR="00820F7C" w:rsidRPr="000745AA" w:rsidRDefault="00820F7C" w:rsidP="000745AA">
      <w:pPr>
        <w:pStyle w:val="ExhibitHeading"/>
        <w:jc w:val="left"/>
        <w:rPr>
          <w:rFonts w:eastAsia="Calibri"/>
          <w:lang w:val="en-GB"/>
        </w:rPr>
      </w:pPr>
    </w:p>
    <w:sectPr w:rsidR="00820F7C" w:rsidRPr="000745AA" w:rsidSect="009A11F9">
      <w:headerReference w:type="default" r:id="rId16"/>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EE1A3B" w16cid:durableId="1E0343B8"/>
  <w16cid:commentId w16cid:paraId="7FFCE303" w16cid:durableId="1E0343C5"/>
  <w16cid:commentId w16cid:paraId="20AC0990" w16cid:durableId="1E0343B9"/>
  <w16cid:commentId w16cid:paraId="5EEA80A6" w16cid:durableId="1E03444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D4F25" w14:textId="77777777" w:rsidR="0035037D" w:rsidRDefault="0035037D" w:rsidP="00D75295">
      <w:r>
        <w:separator/>
      </w:r>
    </w:p>
  </w:endnote>
  <w:endnote w:type="continuationSeparator" w:id="0">
    <w:p w14:paraId="05FD2326" w14:textId="77777777" w:rsidR="0035037D" w:rsidRDefault="0035037D" w:rsidP="00D75295">
      <w:r>
        <w:continuationSeparator/>
      </w:r>
    </w:p>
  </w:endnote>
  <w:endnote w:id="1">
    <w:p w14:paraId="27221761" w14:textId="3A030BE8" w:rsidR="000745AA" w:rsidRDefault="000745AA" w:rsidP="0053461A">
      <w:pPr>
        <w:pStyle w:val="Footnote"/>
      </w:pPr>
      <w:r>
        <w:rPr>
          <w:rStyle w:val="EndnoteReference"/>
        </w:rPr>
        <w:endnoteRef/>
      </w:r>
      <w:r>
        <w:t xml:space="preserve"> </w:t>
      </w:r>
      <w:r w:rsidRPr="00820F7C">
        <w:rPr>
          <w:rFonts w:eastAsia="Calibri"/>
          <w:lang w:val="en-CA"/>
        </w:rPr>
        <w:t xml:space="preserve">Jane Sims, “For the Love of Laundry,” </w:t>
      </w:r>
      <w:r w:rsidRPr="00820F7C">
        <w:rPr>
          <w:rFonts w:eastAsia="Calibri"/>
          <w:i/>
          <w:lang w:val="en-CA"/>
        </w:rPr>
        <w:t>London Free Press</w:t>
      </w:r>
      <w:r w:rsidRPr="00820F7C">
        <w:rPr>
          <w:rFonts w:eastAsia="Calibri"/>
          <w:lang w:val="en-CA"/>
        </w:rPr>
        <w:t>, May 31, 2015, accessed August 23, 2017, www.lfpress.com/2015/05/31/social-enterprise-founded-by-former-single-mom-allows-less-fortunate-individuals-to-do-their-laundry-for-free.</w:t>
      </w:r>
    </w:p>
  </w:endnote>
  <w:endnote w:id="2">
    <w:p w14:paraId="50BAAF18" w14:textId="372ECA17" w:rsidR="000745AA" w:rsidRDefault="000745AA" w:rsidP="000A2A9A">
      <w:pPr>
        <w:pStyle w:val="Footnote"/>
      </w:pPr>
      <w:r>
        <w:rPr>
          <w:rStyle w:val="EndnoteReference"/>
        </w:rPr>
        <w:endnoteRef/>
      </w:r>
      <w:r>
        <w:t xml:space="preserve"> All currency amounts are in Canadian dollars unless otherwise specified.</w:t>
      </w:r>
    </w:p>
  </w:endnote>
  <w:endnote w:id="3">
    <w:p w14:paraId="7D9296BE" w14:textId="6F2256AC" w:rsidR="000745AA" w:rsidRDefault="000745AA" w:rsidP="0053461A">
      <w:pPr>
        <w:pStyle w:val="Footnote"/>
      </w:pPr>
      <w:r>
        <w:rPr>
          <w:rStyle w:val="EndnoteReference"/>
        </w:rPr>
        <w:endnoteRef/>
      </w:r>
      <w:r>
        <w:t xml:space="preserve"> </w:t>
      </w:r>
      <w:r w:rsidRPr="00820F7C">
        <w:rPr>
          <w:rFonts w:eastAsia="Calibri"/>
          <w:lang w:val="en-CA"/>
        </w:rPr>
        <w:t>Government of Canada, “About Registered Charities,” accessed August 22, 2017, https://www.canada.ca/en/revenue-agency/services/charities-giving/giving-charity-information-donors/about-registered-charities/what-difference-between-a-registered-charity-a-non-profit-organization.html.</w:t>
      </w:r>
    </w:p>
  </w:endnote>
  <w:endnote w:id="4">
    <w:p w14:paraId="3AADA629" w14:textId="21ECA849" w:rsidR="000745AA" w:rsidRDefault="000745AA" w:rsidP="0053461A">
      <w:pPr>
        <w:pStyle w:val="Footnote"/>
      </w:pPr>
      <w:r>
        <w:rPr>
          <w:rStyle w:val="EndnoteReference"/>
        </w:rPr>
        <w:endnoteRef/>
      </w:r>
      <w:r>
        <w:t xml:space="preserve"> </w:t>
      </w:r>
      <w:r w:rsidRPr="00820F7C">
        <w:rPr>
          <w:rFonts w:eastAsia="Calibri"/>
          <w:lang w:val="en-CA"/>
        </w:rPr>
        <w:t xml:space="preserve">Sims, </w:t>
      </w:r>
      <w:r>
        <w:rPr>
          <w:rFonts w:eastAsia="Calibri"/>
          <w:lang w:val="en-CA"/>
        </w:rPr>
        <w:t>op. cit.</w:t>
      </w:r>
    </w:p>
  </w:endnote>
  <w:endnote w:id="5">
    <w:p w14:paraId="37525C36" w14:textId="3A84336B" w:rsidR="000745AA" w:rsidRDefault="000745AA" w:rsidP="0053461A">
      <w:pPr>
        <w:pStyle w:val="Footnote"/>
      </w:pPr>
      <w:r>
        <w:rPr>
          <w:rStyle w:val="EndnoteReference"/>
        </w:rPr>
        <w:endnoteRef/>
      </w:r>
      <w:r>
        <w:t xml:space="preserve"> </w:t>
      </w:r>
      <w:r w:rsidRPr="00694D30">
        <w:rPr>
          <w:rFonts w:eastAsia="Calibri"/>
          <w:spacing w:val="-6"/>
          <w:kern w:val="17"/>
          <w:lang w:val="en-CA"/>
        </w:rPr>
        <w:t xml:space="preserve">Raymond Dart, “The Legitimacy of Social Enterprise,” </w:t>
      </w:r>
      <w:r w:rsidRPr="00694D30">
        <w:rPr>
          <w:rFonts w:eastAsia="Calibri"/>
          <w:i/>
          <w:spacing w:val="-6"/>
          <w:kern w:val="17"/>
          <w:lang w:val="en-CA"/>
        </w:rPr>
        <w:t>Nonprofit Management &amp; Leadership</w:t>
      </w:r>
      <w:r w:rsidRPr="00694D30">
        <w:rPr>
          <w:rFonts w:eastAsia="Calibri"/>
          <w:spacing w:val="-6"/>
          <w:kern w:val="17"/>
          <w:lang w:val="en-CA"/>
        </w:rPr>
        <w:t xml:space="preserve"> 14, no. 4 (Summer 2004): 411–424.</w:t>
      </w:r>
    </w:p>
  </w:endnote>
  <w:endnote w:id="6">
    <w:p w14:paraId="01BA64EF" w14:textId="33C6675D" w:rsidR="000745AA" w:rsidRDefault="000745AA" w:rsidP="0053461A">
      <w:pPr>
        <w:pStyle w:val="Footnote"/>
      </w:pPr>
      <w:r>
        <w:rPr>
          <w:rStyle w:val="EndnoteReference"/>
        </w:rPr>
        <w:endnoteRef/>
      </w:r>
      <w:r>
        <w:t xml:space="preserve"> </w:t>
      </w:r>
      <w:r w:rsidRPr="00820F7C">
        <w:rPr>
          <w:rFonts w:eastAsia="Calibri"/>
          <w:lang w:val="en-CA"/>
        </w:rPr>
        <w:t xml:space="preserve">Stuart Albert and D.A. Whetten, “Organizational Identity,” </w:t>
      </w:r>
      <w:r w:rsidRPr="00820F7C">
        <w:rPr>
          <w:rFonts w:eastAsia="Calibri"/>
          <w:i/>
          <w:lang w:val="en-CA"/>
        </w:rPr>
        <w:t xml:space="preserve">Research in Organizational Behaviour </w:t>
      </w:r>
      <w:r w:rsidRPr="00820F7C">
        <w:rPr>
          <w:rFonts w:eastAsia="Calibri"/>
          <w:lang w:val="en-CA"/>
        </w:rPr>
        <w:t>7 (1985): 263</w:t>
      </w:r>
      <w:r>
        <w:rPr>
          <w:rFonts w:eastAsia="Calibri"/>
          <w:lang w:val="en-CA"/>
        </w:rPr>
        <w:t>–295.</w:t>
      </w:r>
    </w:p>
  </w:endnote>
  <w:endnote w:id="7">
    <w:p w14:paraId="5EEAAC96" w14:textId="18138566" w:rsidR="000745AA" w:rsidRDefault="000745AA" w:rsidP="0053461A">
      <w:pPr>
        <w:pStyle w:val="Footnote"/>
      </w:pPr>
      <w:r>
        <w:rPr>
          <w:rStyle w:val="EndnoteReference"/>
        </w:rPr>
        <w:endnoteRef/>
      </w:r>
      <w:r>
        <w:t xml:space="preserve"> </w:t>
      </w:r>
      <w:r w:rsidRPr="00820F7C">
        <w:rPr>
          <w:rFonts w:eastAsia="Calibri"/>
          <w:lang w:val="en-CA"/>
        </w:rPr>
        <w:t xml:space="preserve">Fiona Wilson and James E. Post, “Business </w:t>
      </w:r>
      <w:r>
        <w:rPr>
          <w:rFonts w:eastAsia="Calibri"/>
          <w:lang w:val="en-CA"/>
        </w:rPr>
        <w:t>M</w:t>
      </w:r>
      <w:r w:rsidRPr="00820F7C">
        <w:rPr>
          <w:rFonts w:eastAsia="Calibri"/>
          <w:lang w:val="en-CA"/>
        </w:rPr>
        <w:t xml:space="preserve">odels for </w:t>
      </w:r>
      <w:r>
        <w:rPr>
          <w:rFonts w:eastAsia="Calibri"/>
          <w:lang w:val="en-CA"/>
        </w:rPr>
        <w:t>P</w:t>
      </w:r>
      <w:r w:rsidRPr="00820F7C">
        <w:rPr>
          <w:rFonts w:eastAsia="Calibri"/>
          <w:lang w:val="en-CA"/>
        </w:rPr>
        <w:t xml:space="preserve">eople, </w:t>
      </w:r>
      <w:r>
        <w:rPr>
          <w:rFonts w:eastAsia="Calibri"/>
          <w:lang w:val="en-CA"/>
        </w:rPr>
        <w:t>P</w:t>
      </w:r>
      <w:r w:rsidRPr="00820F7C">
        <w:rPr>
          <w:rFonts w:eastAsia="Calibri"/>
          <w:lang w:val="en-CA"/>
        </w:rPr>
        <w:t xml:space="preserve">lanet (&amp; </w:t>
      </w:r>
      <w:r>
        <w:rPr>
          <w:rFonts w:eastAsia="Calibri"/>
          <w:lang w:val="en-CA"/>
        </w:rPr>
        <w:t>P</w:t>
      </w:r>
      <w:r w:rsidRPr="00820F7C">
        <w:rPr>
          <w:rFonts w:eastAsia="Calibri"/>
          <w:lang w:val="en-CA"/>
        </w:rPr>
        <w:t xml:space="preserve">rofits): </w:t>
      </w:r>
      <w:r>
        <w:rPr>
          <w:rFonts w:eastAsia="Calibri"/>
          <w:lang w:val="en-CA"/>
        </w:rPr>
        <w:t>E</w:t>
      </w:r>
      <w:r w:rsidRPr="00820F7C">
        <w:rPr>
          <w:rFonts w:eastAsia="Calibri"/>
          <w:lang w:val="en-CA"/>
        </w:rPr>
        <w:t xml:space="preserve">xploring the </w:t>
      </w:r>
      <w:r>
        <w:rPr>
          <w:rFonts w:eastAsia="Calibri"/>
          <w:lang w:val="en-CA"/>
        </w:rPr>
        <w:t>P</w:t>
      </w:r>
      <w:r w:rsidRPr="00820F7C">
        <w:rPr>
          <w:rFonts w:eastAsia="Calibri"/>
          <w:lang w:val="en-CA"/>
        </w:rPr>
        <w:t xml:space="preserve">henomena of </w:t>
      </w:r>
      <w:r>
        <w:rPr>
          <w:rFonts w:eastAsia="Calibri"/>
          <w:lang w:val="en-CA"/>
        </w:rPr>
        <w:t>S</w:t>
      </w:r>
      <w:r w:rsidRPr="00820F7C">
        <w:rPr>
          <w:rFonts w:eastAsia="Calibri"/>
          <w:lang w:val="en-CA"/>
        </w:rPr>
        <w:t xml:space="preserve">ocial </w:t>
      </w:r>
      <w:r>
        <w:rPr>
          <w:rFonts w:eastAsia="Calibri"/>
          <w:lang w:val="en-CA"/>
        </w:rPr>
        <w:t>B</w:t>
      </w:r>
      <w:r w:rsidRPr="00820F7C">
        <w:rPr>
          <w:rFonts w:eastAsia="Calibri"/>
          <w:lang w:val="en-CA"/>
        </w:rPr>
        <w:t xml:space="preserve">usiness, a </w:t>
      </w:r>
      <w:r>
        <w:rPr>
          <w:rFonts w:eastAsia="Calibri"/>
          <w:lang w:val="en-CA"/>
        </w:rPr>
        <w:t>M</w:t>
      </w:r>
      <w:r w:rsidRPr="00820F7C">
        <w:rPr>
          <w:rFonts w:eastAsia="Calibri"/>
          <w:lang w:val="en-CA"/>
        </w:rPr>
        <w:t>arket-</w:t>
      </w:r>
      <w:r>
        <w:rPr>
          <w:rFonts w:eastAsia="Calibri"/>
          <w:lang w:val="en-CA"/>
        </w:rPr>
        <w:t>B</w:t>
      </w:r>
      <w:r w:rsidRPr="00820F7C">
        <w:rPr>
          <w:rFonts w:eastAsia="Calibri"/>
          <w:lang w:val="en-CA"/>
        </w:rPr>
        <w:t xml:space="preserve">ased </w:t>
      </w:r>
      <w:r>
        <w:rPr>
          <w:rFonts w:eastAsia="Calibri"/>
          <w:lang w:val="en-CA"/>
        </w:rPr>
        <w:t>A</w:t>
      </w:r>
      <w:r w:rsidRPr="00820F7C">
        <w:rPr>
          <w:rFonts w:eastAsia="Calibri"/>
          <w:lang w:val="en-CA"/>
        </w:rPr>
        <w:t xml:space="preserve">pproach to </w:t>
      </w:r>
      <w:r>
        <w:rPr>
          <w:rFonts w:eastAsia="Calibri"/>
          <w:lang w:val="en-CA"/>
        </w:rPr>
        <w:t>S</w:t>
      </w:r>
      <w:r w:rsidRPr="00820F7C">
        <w:rPr>
          <w:rFonts w:eastAsia="Calibri"/>
          <w:lang w:val="en-CA"/>
        </w:rPr>
        <w:t xml:space="preserve">ocial </w:t>
      </w:r>
      <w:r>
        <w:rPr>
          <w:rFonts w:eastAsia="Calibri"/>
          <w:lang w:val="en-CA"/>
        </w:rPr>
        <w:t>V</w:t>
      </w:r>
      <w:r w:rsidRPr="00820F7C">
        <w:rPr>
          <w:rFonts w:eastAsia="Calibri"/>
          <w:lang w:val="en-CA"/>
        </w:rPr>
        <w:t xml:space="preserve">alue </w:t>
      </w:r>
      <w:r>
        <w:rPr>
          <w:rFonts w:eastAsia="Calibri"/>
          <w:lang w:val="en-CA"/>
        </w:rPr>
        <w:t>C</w:t>
      </w:r>
      <w:r w:rsidRPr="00820F7C">
        <w:rPr>
          <w:rFonts w:eastAsia="Calibri"/>
          <w:lang w:val="en-CA"/>
        </w:rPr>
        <w:t>reation,”</w:t>
      </w:r>
      <w:r w:rsidRPr="00820F7C">
        <w:rPr>
          <w:rFonts w:eastAsia="Calibri"/>
          <w:vertAlign w:val="superscript"/>
          <w:lang w:val="en-CA"/>
        </w:rPr>
        <w:t xml:space="preserve"> </w:t>
      </w:r>
      <w:r w:rsidRPr="00820F7C">
        <w:rPr>
          <w:rFonts w:eastAsia="Calibri"/>
          <w:i/>
          <w:lang w:val="en-CA"/>
        </w:rPr>
        <w:t>Small Business Economics</w:t>
      </w:r>
      <w:r w:rsidRPr="00820F7C">
        <w:rPr>
          <w:rFonts w:eastAsia="Calibri"/>
          <w:lang w:val="en-CA"/>
        </w:rPr>
        <w:t xml:space="preserve"> 40, no. 3 (April 2013): 715</w:t>
      </w:r>
      <w:r>
        <w:rPr>
          <w:rFonts w:eastAsia="Calibri"/>
          <w:lang w:val="en-CA"/>
        </w:rPr>
        <w:t>–</w:t>
      </w:r>
      <w:r w:rsidRPr="00820F7C">
        <w:rPr>
          <w:rFonts w:eastAsia="Calibri"/>
          <w:lang w:val="en-CA"/>
        </w:rPr>
        <w:t>737.</w:t>
      </w:r>
    </w:p>
  </w:endnote>
  <w:endnote w:id="8">
    <w:p w14:paraId="1234A7DD" w14:textId="1D2035F1" w:rsidR="000745AA" w:rsidRDefault="000745AA" w:rsidP="003E3DCE">
      <w:pPr>
        <w:pStyle w:val="EndnoteText"/>
        <w:jc w:val="both"/>
      </w:pPr>
      <w:r w:rsidRPr="003E3DCE">
        <w:rPr>
          <w:rStyle w:val="EndnoteReference"/>
          <w:rFonts w:ascii="Arial" w:hAnsi="Arial" w:cs="Arial"/>
          <w:sz w:val="17"/>
          <w:szCs w:val="17"/>
        </w:rPr>
        <w:endnoteRef/>
      </w:r>
      <w:r w:rsidRPr="003E3DCE">
        <w:rPr>
          <w:rFonts w:ascii="Arial" w:eastAsia="Calibri" w:hAnsi="Arial" w:cs="Arial"/>
          <w:sz w:val="17"/>
          <w:szCs w:val="17"/>
          <w:lang w:val="en-CA"/>
        </w:rPr>
        <w:t xml:space="preserve"> Hannah</w:t>
      </w:r>
      <w:r>
        <w:rPr>
          <w:rFonts w:ascii="Arial" w:eastAsia="Calibri" w:hAnsi="Arial" w:cs="Arial"/>
          <w:sz w:val="17"/>
          <w:szCs w:val="17"/>
          <w:lang w:val="en-CA"/>
        </w:rPr>
        <w:t xml:space="preserve"> Hickey, “Scented Laundry Products Emit Hazardous Chemicals through Dryer Vents,” </w:t>
      </w:r>
      <w:r w:rsidRPr="003E3DCE">
        <w:rPr>
          <w:rFonts w:ascii="Arial" w:eastAsia="Calibri" w:hAnsi="Arial" w:cs="Arial"/>
          <w:i/>
          <w:sz w:val="17"/>
          <w:szCs w:val="17"/>
          <w:lang w:val="en-CA"/>
        </w:rPr>
        <w:t>UW News</w:t>
      </w:r>
      <w:r>
        <w:rPr>
          <w:rFonts w:ascii="Arial" w:eastAsia="Calibri" w:hAnsi="Arial" w:cs="Arial"/>
          <w:sz w:val="17"/>
          <w:szCs w:val="17"/>
          <w:lang w:val="en-CA"/>
        </w:rPr>
        <w:t xml:space="preserve">, August 24, 2011, accessed January 10, 2018, </w:t>
      </w:r>
      <w:r w:rsidRPr="00F8354A">
        <w:rPr>
          <w:rFonts w:ascii="Arial" w:eastAsia="Calibri" w:hAnsi="Arial" w:cs="Arial"/>
          <w:sz w:val="17"/>
          <w:szCs w:val="17"/>
          <w:lang w:val="en-CA"/>
        </w:rPr>
        <w:t>www.washington.edu/news/2011/08/24/scented-laundry-products-emit-hazardous-chemicals-through-dryer-vents/</w:t>
      </w:r>
      <w:r>
        <w:rPr>
          <w:rFonts w:ascii="Arial" w:eastAsia="Calibri" w:hAnsi="Arial" w:cs="Arial"/>
          <w:sz w:val="17"/>
          <w:szCs w:val="17"/>
          <w:lang w:val="en-CA"/>
        </w:rPr>
        <w:t>.</w:t>
      </w:r>
    </w:p>
  </w:endnote>
  <w:endnote w:id="9">
    <w:p w14:paraId="3DFFDA30" w14:textId="77777777" w:rsidR="000745AA" w:rsidRDefault="000745AA" w:rsidP="00956D9C">
      <w:pPr>
        <w:pStyle w:val="Footnote"/>
      </w:pPr>
      <w:r>
        <w:rPr>
          <w:rStyle w:val="EndnoteReference"/>
        </w:rPr>
        <w:endnoteRef/>
      </w:r>
      <w:r>
        <w:t xml:space="preserve"> </w:t>
      </w:r>
      <w:r w:rsidRPr="00820F7C">
        <w:rPr>
          <w:rFonts w:eastAsia="Calibri"/>
          <w:lang w:val="en-CA"/>
        </w:rPr>
        <w:t xml:space="preserve">Anne C. Steinman, Lisa G. Gallagher, Amy L. Davis, </w:t>
      </w:r>
      <w:r>
        <w:rPr>
          <w:rFonts w:eastAsia="Calibri"/>
          <w:lang w:val="en-CA"/>
        </w:rPr>
        <w:t xml:space="preserve">and </w:t>
      </w:r>
      <w:r w:rsidRPr="00820F7C">
        <w:rPr>
          <w:rFonts w:eastAsia="Calibri"/>
          <w:lang w:val="en-CA"/>
        </w:rPr>
        <w:t xml:space="preserve">Ian C. MacGregor, “Chemical Emissions </w:t>
      </w:r>
      <w:r>
        <w:rPr>
          <w:rFonts w:eastAsia="Calibri"/>
          <w:lang w:val="en-CA"/>
        </w:rPr>
        <w:t>f</w:t>
      </w:r>
      <w:r w:rsidRPr="00820F7C">
        <w:rPr>
          <w:rFonts w:eastAsia="Calibri"/>
          <w:lang w:val="en-CA"/>
        </w:rPr>
        <w:t xml:space="preserve">rom Residential Dryer Vents During Use </w:t>
      </w:r>
      <w:r>
        <w:rPr>
          <w:rFonts w:eastAsia="Calibri"/>
          <w:lang w:val="en-CA"/>
        </w:rPr>
        <w:t>o</w:t>
      </w:r>
      <w:r w:rsidRPr="00820F7C">
        <w:rPr>
          <w:rFonts w:eastAsia="Calibri"/>
          <w:lang w:val="en-CA"/>
        </w:rPr>
        <w:t xml:space="preserve">f Fragranced Laundry Products,” </w:t>
      </w:r>
      <w:r w:rsidRPr="00820F7C">
        <w:rPr>
          <w:rFonts w:eastAsia="Calibri"/>
          <w:i/>
          <w:lang w:val="en-CA"/>
        </w:rPr>
        <w:t xml:space="preserve">Air Quality, Atmosphere &amp; Health </w:t>
      </w:r>
      <w:r w:rsidRPr="00820F7C">
        <w:rPr>
          <w:rFonts w:eastAsia="Calibri"/>
          <w:lang w:val="en-CA"/>
        </w:rPr>
        <w:t>6, (March 2013): 151</w:t>
      </w:r>
      <w:r>
        <w:rPr>
          <w:rFonts w:eastAsia="Calibri"/>
          <w:lang w:val="en-CA"/>
        </w:rPr>
        <w:t>–</w:t>
      </w:r>
      <w:r w:rsidRPr="00820F7C">
        <w:rPr>
          <w:rFonts w:eastAsia="Calibri"/>
          <w:lang w:val="en-CA"/>
        </w:rPr>
        <w:t>156.</w:t>
      </w:r>
    </w:p>
  </w:endnote>
  <w:endnote w:id="10">
    <w:p w14:paraId="651CCC9A" w14:textId="5DE1ACC5" w:rsidR="000745AA" w:rsidRPr="003E3DCE" w:rsidRDefault="000745AA" w:rsidP="0053461A">
      <w:pPr>
        <w:pStyle w:val="Footnote"/>
        <w:rPr>
          <w:b/>
        </w:rPr>
      </w:pPr>
      <w:r>
        <w:rPr>
          <w:rStyle w:val="EndnoteReference"/>
        </w:rPr>
        <w:endnoteRef/>
      </w:r>
      <w:r>
        <w:t xml:space="preserve"> </w:t>
      </w:r>
      <w:r w:rsidRPr="00820F7C">
        <w:rPr>
          <w:rFonts w:eastAsia="Calibri"/>
          <w:lang w:val="en-CA"/>
        </w:rPr>
        <w:t xml:space="preserve">Ana Carolina Kogawa, Beatriz Cernic, Leandro Domingos do Couto, and Herida Salgado, “Synthetic </w:t>
      </w:r>
      <w:r>
        <w:rPr>
          <w:rFonts w:eastAsia="Calibri"/>
          <w:lang w:val="en-CA"/>
        </w:rPr>
        <w:t>D</w:t>
      </w:r>
      <w:r w:rsidRPr="00820F7C">
        <w:rPr>
          <w:rFonts w:eastAsia="Calibri"/>
          <w:lang w:val="en-CA"/>
        </w:rPr>
        <w:t xml:space="preserve">etergents: 100 </w:t>
      </w:r>
      <w:r>
        <w:rPr>
          <w:rFonts w:eastAsia="Calibri"/>
          <w:lang w:val="en-CA"/>
        </w:rPr>
        <w:t>Y</w:t>
      </w:r>
      <w:r w:rsidRPr="00820F7C">
        <w:rPr>
          <w:rFonts w:eastAsia="Calibri"/>
          <w:lang w:val="en-CA"/>
        </w:rPr>
        <w:t xml:space="preserve">ears of </w:t>
      </w:r>
      <w:r>
        <w:rPr>
          <w:rFonts w:eastAsia="Calibri"/>
          <w:lang w:val="en-CA"/>
        </w:rPr>
        <w:t>H</w:t>
      </w:r>
      <w:r w:rsidRPr="00820F7C">
        <w:rPr>
          <w:rFonts w:eastAsia="Calibri"/>
          <w:lang w:val="en-CA"/>
        </w:rPr>
        <w:t xml:space="preserve">istory,” </w:t>
      </w:r>
      <w:r w:rsidRPr="00820F7C">
        <w:rPr>
          <w:rFonts w:eastAsia="Calibri"/>
          <w:i/>
          <w:lang w:val="en-CA"/>
        </w:rPr>
        <w:t>Saudi Pharmaceutical Journal</w:t>
      </w:r>
      <w:r w:rsidRPr="00820F7C">
        <w:rPr>
          <w:rFonts w:eastAsia="Calibri"/>
          <w:lang w:val="en-CA"/>
        </w:rPr>
        <w:t xml:space="preserve"> </w:t>
      </w:r>
      <w:r>
        <w:rPr>
          <w:rFonts w:eastAsia="Calibri"/>
          <w:lang w:val="en-CA"/>
        </w:rPr>
        <w:t xml:space="preserve">25, no. 6 </w:t>
      </w:r>
      <w:r w:rsidRPr="00820F7C">
        <w:rPr>
          <w:rFonts w:eastAsia="Calibri"/>
          <w:lang w:val="en-CA"/>
        </w:rPr>
        <w:t>(</w:t>
      </w:r>
      <w:r>
        <w:rPr>
          <w:rFonts w:eastAsia="Calibri"/>
          <w:lang w:val="en-CA"/>
        </w:rPr>
        <w:t>September</w:t>
      </w:r>
      <w:r w:rsidRPr="00820F7C">
        <w:rPr>
          <w:rFonts w:eastAsia="Calibri"/>
          <w:lang w:val="en-CA"/>
        </w:rPr>
        <w:t xml:space="preserve"> 2017)</w:t>
      </w:r>
      <w:r>
        <w:rPr>
          <w:rFonts w:eastAsia="Calibri"/>
          <w:lang w:val="en-CA"/>
        </w:rPr>
        <w:t>: 934–938</w:t>
      </w:r>
      <w:r w:rsidRPr="00820F7C">
        <w:rPr>
          <w:rFonts w:eastAsia="Calibri"/>
          <w:lang w:val="en-CA"/>
        </w:rPr>
        <w:t>.</w:t>
      </w:r>
    </w:p>
  </w:endnote>
  <w:endnote w:id="11">
    <w:p w14:paraId="79C23761" w14:textId="0B1BE1D8" w:rsidR="000745AA" w:rsidRDefault="000745AA" w:rsidP="0053461A">
      <w:pPr>
        <w:pStyle w:val="Footnote"/>
      </w:pPr>
      <w:r>
        <w:rPr>
          <w:rStyle w:val="EndnoteReference"/>
        </w:rPr>
        <w:endnoteRef/>
      </w:r>
      <w:r>
        <w:t xml:space="preserve"> </w:t>
      </w:r>
      <w:r w:rsidRPr="00820F7C">
        <w:rPr>
          <w:rFonts w:eastAsia="Calibri"/>
          <w:lang w:val="en-CA"/>
        </w:rPr>
        <w:t>Fred Lee, Walter Rust,</w:t>
      </w:r>
      <w:r>
        <w:rPr>
          <w:rFonts w:eastAsia="Calibri"/>
          <w:lang w:val="en-CA"/>
        </w:rPr>
        <w:t xml:space="preserve"> and </w:t>
      </w:r>
      <w:r w:rsidRPr="00820F7C">
        <w:rPr>
          <w:rFonts w:eastAsia="Calibri"/>
          <w:lang w:val="en-CA"/>
        </w:rPr>
        <w:t xml:space="preserve">R. Anne Jones, “Eutrophication of </w:t>
      </w:r>
      <w:r>
        <w:rPr>
          <w:rFonts w:eastAsia="Calibri"/>
          <w:lang w:val="en-CA"/>
        </w:rPr>
        <w:t>W</w:t>
      </w:r>
      <w:r w:rsidRPr="00820F7C">
        <w:rPr>
          <w:rFonts w:eastAsia="Calibri"/>
          <w:lang w:val="en-CA"/>
        </w:rPr>
        <w:t xml:space="preserve">ater </w:t>
      </w:r>
      <w:r>
        <w:rPr>
          <w:rFonts w:eastAsia="Calibri"/>
          <w:lang w:val="en-CA"/>
        </w:rPr>
        <w:t>B</w:t>
      </w:r>
      <w:r w:rsidRPr="00820F7C">
        <w:rPr>
          <w:rFonts w:eastAsia="Calibri"/>
          <w:lang w:val="en-CA"/>
        </w:rPr>
        <w:t xml:space="preserve">odies: Insights for an </w:t>
      </w:r>
      <w:r>
        <w:rPr>
          <w:rFonts w:eastAsia="Calibri"/>
          <w:lang w:val="en-CA"/>
        </w:rPr>
        <w:t>A</w:t>
      </w:r>
      <w:r w:rsidRPr="00820F7C">
        <w:rPr>
          <w:rFonts w:eastAsia="Calibri"/>
          <w:lang w:val="en-CA"/>
        </w:rPr>
        <w:t>ge-</w:t>
      </w:r>
      <w:r>
        <w:rPr>
          <w:rFonts w:eastAsia="Calibri"/>
          <w:lang w:val="en-CA"/>
        </w:rPr>
        <w:t>O</w:t>
      </w:r>
      <w:r w:rsidRPr="00820F7C">
        <w:rPr>
          <w:rFonts w:eastAsia="Calibri"/>
          <w:lang w:val="en-CA"/>
        </w:rPr>
        <w:t xml:space="preserve">ld </w:t>
      </w:r>
      <w:r>
        <w:rPr>
          <w:rFonts w:eastAsia="Calibri"/>
          <w:lang w:val="en-CA"/>
        </w:rPr>
        <w:t>P</w:t>
      </w:r>
      <w:r w:rsidRPr="00820F7C">
        <w:rPr>
          <w:rFonts w:eastAsia="Calibri"/>
          <w:lang w:val="en-CA"/>
        </w:rPr>
        <w:t xml:space="preserve">roblem,” </w:t>
      </w:r>
      <w:r w:rsidRPr="00820F7C">
        <w:rPr>
          <w:rFonts w:eastAsia="Calibri"/>
          <w:i/>
          <w:lang w:val="en-CA"/>
        </w:rPr>
        <w:t>Environmental Science &amp; Technology</w:t>
      </w:r>
      <w:r w:rsidRPr="00820F7C">
        <w:rPr>
          <w:rFonts w:eastAsia="Calibri"/>
          <w:lang w:val="en-CA"/>
        </w:rPr>
        <w:t xml:space="preserve"> 12, no. 8 (1978): 900</w:t>
      </w:r>
      <w:r>
        <w:rPr>
          <w:rFonts w:eastAsia="Calibri"/>
          <w:lang w:val="en-CA"/>
        </w:rPr>
        <w:t>–</w:t>
      </w:r>
      <w:r w:rsidRPr="00820F7C">
        <w:rPr>
          <w:rFonts w:eastAsia="Calibri"/>
          <w:lang w:val="en-CA"/>
        </w:rPr>
        <w:t>908</w:t>
      </w:r>
      <w:r>
        <w:rPr>
          <w:rFonts w:eastAsia="Calibri"/>
          <w:lang w:val="en-CA"/>
        </w:rPr>
        <w:t>.</w:t>
      </w:r>
    </w:p>
  </w:endnote>
  <w:endnote w:id="12">
    <w:p w14:paraId="310A322A" w14:textId="0A28CD64" w:rsidR="000745AA" w:rsidRPr="00E44B2A" w:rsidRDefault="000745AA" w:rsidP="0053461A">
      <w:pPr>
        <w:pStyle w:val="Footnote"/>
        <w:rPr>
          <w:rFonts w:eastAsia="Calibri"/>
          <w:lang w:val="en-CA"/>
        </w:rPr>
      </w:pPr>
      <w:r>
        <w:rPr>
          <w:rStyle w:val="EndnoteReference"/>
        </w:rPr>
        <w:endnoteRef/>
      </w:r>
      <w:r>
        <w:t xml:space="preserve"> </w:t>
      </w:r>
      <w:r w:rsidRPr="00820F7C">
        <w:rPr>
          <w:rFonts w:eastAsia="Calibri"/>
          <w:lang w:val="en-CA"/>
        </w:rPr>
        <w:t>Kogawa, Cernic, Domingos do Couto, and Salgado, op. cit.</w:t>
      </w:r>
    </w:p>
  </w:endnote>
  <w:endnote w:id="13">
    <w:p w14:paraId="5376543D" w14:textId="1C261D8E" w:rsidR="000745AA" w:rsidRDefault="000745AA" w:rsidP="0053461A">
      <w:pPr>
        <w:pStyle w:val="Footnote"/>
      </w:pPr>
      <w:r>
        <w:rPr>
          <w:rStyle w:val="EndnoteReference"/>
        </w:rPr>
        <w:endnoteRef/>
      </w:r>
      <w:r>
        <w:t xml:space="preserve"> </w:t>
      </w:r>
      <w:r w:rsidRPr="00820F7C">
        <w:rPr>
          <w:rFonts w:eastAsia="Calibri"/>
          <w:lang w:val="en-CA"/>
        </w:rPr>
        <w:t xml:space="preserve">Rebecca Sutton, “Don’t Get Slimed: Skip </w:t>
      </w:r>
      <w:r>
        <w:rPr>
          <w:rFonts w:eastAsia="Calibri"/>
          <w:lang w:val="en-CA"/>
        </w:rPr>
        <w:t>t</w:t>
      </w:r>
      <w:r w:rsidRPr="00820F7C">
        <w:rPr>
          <w:rFonts w:eastAsia="Calibri"/>
          <w:lang w:val="en-CA"/>
        </w:rPr>
        <w:t xml:space="preserve">he Fabric Softener,” </w:t>
      </w:r>
      <w:r w:rsidRPr="00E578E0">
        <w:rPr>
          <w:rFonts w:eastAsia="Calibri"/>
          <w:lang w:val="en-CA"/>
        </w:rPr>
        <w:t>EWG</w:t>
      </w:r>
      <w:r w:rsidRPr="00707E87">
        <w:rPr>
          <w:rFonts w:eastAsia="Calibri"/>
          <w:lang w:val="en-CA"/>
        </w:rPr>
        <w:t>,</w:t>
      </w:r>
      <w:r w:rsidRPr="00820F7C">
        <w:rPr>
          <w:rFonts w:eastAsia="Calibri"/>
          <w:lang w:val="en-CA"/>
        </w:rPr>
        <w:t xml:space="preserve"> November 1, 2011, accessed August 23, 2016, www.ewg.org/enviroblog/2011/11/dont-get-slimed-skip-fabric-softener#.WZ4dUyiGM2w.</w:t>
      </w:r>
    </w:p>
  </w:endnote>
  <w:endnote w:id="14">
    <w:p w14:paraId="6B6E9173" w14:textId="3517B23C" w:rsidR="000745AA" w:rsidRDefault="000745AA" w:rsidP="0053461A">
      <w:pPr>
        <w:pStyle w:val="Footnote"/>
      </w:pPr>
      <w:r>
        <w:rPr>
          <w:rStyle w:val="EndnoteReference"/>
        </w:rPr>
        <w:endnoteRef/>
      </w:r>
      <w:r>
        <w:t xml:space="preserve"> </w:t>
      </w:r>
      <w:r w:rsidRPr="00820F7C">
        <w:rPr>
          <w:rFonts w:eastAsia="Calibri"/>
          <w:lang w:val="en-CA"/>
        </w:rPr>
        <w:t>R</w:t>
      </w:r>
      <w:r>
        <w:rPr>
          <w:rFonts w:eastAsia="Calibri"/>
          <w:lang w:val="en-CA"/>
        </w:rPr>
        <w:t xml:space="preserve">osalind </w:t>
      </w:r>
      <w:r w:rsidRPr="00820F7C">
        <w:rPr>
          <w:rFonts w:eastAsia="Calibri"/>
          <w:lang w:val="en-CA"/>
        </w:rPr>
        <w:t>C</w:t>
      </w:r>
      <w:r>
        <w:rPr>
          <w:rFonts w:eastAsia="Calibri"/>
          <w:lang w:val="en-CA"/>
        </w:rPr>
        <w:t>.</w:t>
      </w:r>
      <w:r w:rsidRPr="00820F7C">
        <w:rPr>
          <w:rFonts w:eastAsia="Calibri"/>
          <w:lang w:val="en-CA"/>
        </w:rPr>
        <w:t xml:space="preserve"> Anderson</w:t>
      </w:r>
      <w:r>
        <w:rPr>
          <w:rFonts w:eastAsia="Calibri"/>
          <w:lang w:val="en-CA"/>
        </w:rPr>
        <w:t xml:space="preserve"> and</w:t>
      </w:r>
      <w:r w:rsidRPr="00820F7C">
        <w:rPr>
          <w:rFonts w:eastAsia="Calibri"/>
          <w:lang w:val="en-CA"/>
        </w:rPr>
        <w:t xml:space="preserve"> J</w:t>
      </w:r>
      <w:r>
        <w:rPr>
          <w:rFonts w:eastAsia="Calibri"/>
          <w:lang w:val="en-CA"/>
        </w:rPr>
        <w:t xml:space="preserve">ulius </w:t>
      </w:r>
      <w:r w:rsidRPr="00820F7C">
        <w:rPr>
          <w:rFonts w:eastAsia="Calibri"/>
          <w:lang w:val="en-CA"/>
        </w:rPr>
        <w:t>H</w:t>
      </w:r>
      <w:r>
        <w:rPr>
          <w:rFonts w:eastAsia="Calibri"/>
          <w:lang w:val="en-CA"/>
        </w:rPr>
        <w:t>.</w:t>
      </w:r>
      <w:r w:rsidRPr="00820F7C">
        <w:rPr>
          <w:rFonts w:eastAsia="Calibri"/>
          <w:lang w:val="en-CA"/>
        </w:rPr>
        <w:t xml:space="preserve"> Anderson, “Respiratory Toxicity </w:t>
      </w:r>
      <w:r>
        <w:rPr>
          <w:rFonts w:eastAsia="Calibri"/>
          <w:lang w:val="en-CA"/>
        </w:rPr>
        <w:t>o</w:t>
      </w:r>
      <w:r w:rsidRPr="00820F7C">
        <w:rPr>
          <w:rFonts w:eastAsia="Calibri"/>
          <w:lang w:val="en-CA"/>
        </w:rPr>
        <w:t xml:space="preserve">f Fabric Softener Emissions,” </w:t>
      </w:r>
      <w:r w:rsidRPr="00820F7C">
        <w:rPr>
          <w:rFonts w:eastAsia="Calibri"/>
          <w:i/>
          <w:lang w:val="en-CA"/>
        </w:rPr>
        <w:t>Journal of Toxicology and Environmental Health</w:t>
      </w:r>
      <w:r w:rsidRPr="00820F7C">
        <w:rPr>
          <w:rFonts w:eastAsia="Calibri"/>
          <w:lang w:val="en-CA"/>
        </w:rPr>
        <w:t xml:space="preserve"> 60, no. 2 (May 2000): 121</w:t>
      </w:r>
      <w:r>
        <w:rPr>
          <w:rFonts w:eastAsia="Calibri"/>
          <w:lang w:val="en-CA"/>
        </w:rPr>
        <w:t>–</w:t>
      </w:r>
      <w:r w:rsidRPr="00820F7C">
        <w:rPr>
          <w:rFonts w:eastAsia="Calibri"/>
          <w:lang w:val="en-CA"/>
        </w:rPr>
        <w:t>136.</w:t>
      </w:r>
    </w:p>
  </w:endnote>
  <w:endnote w:id="15">
    <w:p w14:paraId="1348399D" w14:textId="691D883A" w:rsidR="000745AA" w:rsidRDefault="000745AA" w:rsidP="0053461A">
      <w:pPr>
        <w:pStyle w:val="Footnote"/>
      </w:pPr>
      <w:r>
        <w:rPr>
          <w:rStyle w:val="EndnoteReference"/>
        </w:rPr>
        <w:endnoteRef/>
      </w:r>
      <w:r>
        <w:t xml:space="preserve"> </w:t>
      </w:r>
      <w:r w:rsidRPr="00820F7C">
        <w:rPr>
          <w:rFonts w:eastAsia="Calibri"/>
          <w:lang w:val="en-CA"/>
        </w:rPr>
        <w:t>Sutton, op. cit.</w:t>
      </w:r>
    </w:p>
  </w:endnote>
  <w:endnote w:id="16">
    <w:p w14:paraId="7D79057B" w14:textId="2D001082" w:rsidR="000745AA" w:rsidRDefault="000745AA" w:rsidP="0053461A">
      <w:pPr>
        <w:pStyle w:val="Footnote"/>
      </w:pPr>
      <w:r>
        <w:rPr>
          <w:rStyle w:val="EndnoteReference"/>
        </w:rPr>
        <w:endnoteRef/>
      </w:r>
      <w:r>
        <w:t xml:space="preserve"> </w:t>
      </w:r>
      <w:r w:rsidRPr="00820F7C">
        <w:rPr>
          <w:rFonts w:eastAsia="Calibri"/>
          <w:lang w:val="en-CA"/>
        </w:rPr>
        <w:t xml:space="preserve">Carol Potera, “Indoor Air Quality: Scented Products Emit a Bouquet of VOCs,” </w:t>
      </w:r>
      <w:r w:rsidRPr="00820F7C">
        <w:rPr>
          <w:rFonts w:eastAsia="Calibri"/>
          <w:i/>
          <w:lang w:val="en-CA"/>
        </w:rPr>
        <w:t>Environmental Health Perspectives</w:t>
      </w:r>
      <w:r w:rsidRPr="00820F7C">
        <w:rPr>
          <w:rFonts w:eastAsia="Calibri"/>
          <w:lang w:val="en-CA"/>
        </w:rPr>
        <w:t xml:space="preserve"> 119, no. 1 (January 2011): A16.</w:t>
      </w:r>
    </w:p>
  </w:endnote>
  <w:endnote w:id="17">
    <w:p w14:paraId="079EFD28" w14:textId="4E408E02" w:rsidR="000745AA" w:rsidRDefault="000745AA" w:rsidP="0053461A">
      <w:pPr>
        <w:pStyle w:val="Footnote"/>
      </w:pPr>
      <w:r>
        <w:rPr>
          <w:rStyle w:val="EndnoteReference"/>
        </w:rPr>
        <w:endnoteRef/>
      </w:r>
      <w:r>
        <w:t xml:space="preserve"> </w:t>
      </w:r>
      <w:r w:rsidRPr="00820F7C">
        <w:rPr>
          <w:rFonts w:eastAsia="Calibri"/>
          <w:lang w:val="en-CA"/>
        </w:rPr>
        <w:t xml:space="preserve">Lalin Anik, Lara B. Aknin, Michael I. Norton, </w:t>
      </w:r>
      <w:r>
        <w:rPr>
          <w:rFonts w:eastAsia="Calibri"/>
          <w:lang w:val="en-CA"/>
        </w:rPr>
        <w:t xml:space="preserve">and </w:t>
      </w:r>
      <w:r w:rsidRPr="00820F7C">
        <w:rPr>
          <w:rFonts w:eastAsia="Calibri"/>
          <w:lang w:val="en-CA"/>
        </w:rPr>
        <w:t xml:space="preserve">Elizabeth W. Dunn, “Feeling Good about Giving: The Benefits (and </w:t>
      </w:r>
      <w:r>
        <w:rPr>
          <w:rFonts w:eastAsia="Calibri"/>
          <w:lang w:val="en-CA"/>
        </w:rPr>
        <w:t>C</w:t>
      </w:r>
      <w:r w:rsidRPr="00820F7C">
        <w:rPr>
          <w:rFonts w:eastAsia="Calibri"/>
          <w:lang w:val="en-CA"/>
        </w:rPr>
        <w:t xml:space="preserve">osts) of Self-Interested Charitable Behaviour,” </w:t>
      </w:r>
      <w:r>
        <w:rPr>
          <w:rFonts w:eastAsia="Calibri"/>
          <w:lang w:val="en-CA"/>
        </w:rPr>
        <w:t xml:space="preserve">HBS Working Paper </w:t>
      </w:r>
      <w:r w:rsidRPr="003154FD">
        <w:rPr>
          <w:rFonts w:eastAsia="Calibri"/>
          <w:lang w:val="en-CA"/>
        </w:rPr>
        <w:t>10-012</w:t>
      </w:r>
      <w:r w:rsidRPr="00820F7C">
        <w:rPr>
          <w:rFonts w:eastAsia="Calibri"/>
          <w:lang w:val="en-CA"/>
        </w:rPr>
        <w:t xml:space="preserve">, </w:t>
      </w:r>
      <w:r>
        <w:rPr>
          <w:rFonts w:eastAsia="Calibri"/>
          <w:lang w:val="en-CA"/>
        </w:rPr>
        <w:t xml:space="preserve">Harvard Business School, Boston MA, </w:t>
      </w:r>
      <w:r w:rsidRPr="00820F7C">
        <w:rPr>
          <w:rFonts w:eastAsia="Calibri"/>
          <w:lang w:val="en-CA"/>
        </w:rPr>
        <w:t>August 2009, accessed August 24, 2017, www.hbs.edu/faculty/Publication%20Files/10-012.pdf.</w:t>
      </w:r>
    </w:p>
  </w:endnote>
  <w:endnote w:id="18">
    <w:p w14:paraId="1C1C799F" w14:textId="35ADF4BB" w:rsidR="000745AA" w:rsidRDefault="000745AA" w:rsidP="0053461A">
      <w:pPr>
        <w:pStyle w:val="Footnote"/>
      </w:pPr>
      <w:r>
        <w:rPr>
          <w:rStyle w:val="EndnoteReference"/>
        </w:rPr>
        <w:endnoteRef/>
      </w:r>
      <w:r>
        <w:t xml:space="preserve"> </w:t>
      </w:r>
      <w:r w:rsidRPr="00820F7C">
        <w:rPr>
          <w:rFonts w:eastAsia="Calibri"/>
          <w:lang w:val="en-CA"/>
        </w:rPr>
        <w:t xml:space="preserve">Tavia Grant, “Nearly </w:t>
      </w:r>
      <w:r>
        <w:rPr>
          <w:rFonts w:eastAsia="Calibri"/>
          <w:lang w:val="en-CA"/>
        </w:rPr>
        <w:t>F</w:t>
      </w:r>
      <w:r w:rsidRPr="00820F7C">
        <w:rPr>
          <w:rFonts w:eastAsia="Calibri"/>
          <w:lang w:val="en-CA"/>
        </w:rPr>
        <w:t xml:space="preserve">ive </w:t>
      </w:r>
      <w:r>
        <w:rPr>
          <w:rFonts w:eastAsia="Calibri"/>
          <w:lang w:val="en-CA"/>
        </w:rPr>
        <w:t>M</w:t>
      </w:r>
      <w:r w:rsidRPr="00820F7C">
        <w:rPr>
          <w:rFonts w:eastAsia="Calibri"/>
          <w:lang w:val="en-CA"/>
        </w:rPr>
        <w:t xml:space="preserve">illion Canadians in </w:t>
      </w:r>
      <w:r>
        <w:rPr>
          <w:rFonts w:eastAsia="Calibri"/>
          <w:lang w:val="en-CA"/>
        </w:rPr>
        <w:t>L</w:t>
      </w:r>
      <w:r w:rsidRPr="00820F7C">
        <w:rPr>
          <w:rFonts w:eastAsia="Calibri"/>
          <w:lang w:val="en-CA"/>
        </w:rPr>
        <w:t>ow-</w:t>
      </w:r>
      <w:r>
        <w:rPr>
          <w:rFonts w:eastAsia="Calibri"/>
          <w:lang w:val="en-CA"/>
        </w:rPr>
        <w:t>I</w:t>
      </w:r>
      <w:r w:rsidRPr="00820F7C">
        <w:rPr>
          <w:rFonts w:eastAsia="Calibri"/>
          <w:lang w:val="en-CA"/>
        </w:rPr>
        <w:t xml:space="preserve">ncome </w:t>
      </w:r>
      <w:r>
        <w:rPr>
          <w:rFonts w:eastAsia="Calibri"/>
          <w:lang w:val="en-CA"/>
        </w:rPr>
        <w:t>S</w:t>
      </w:r>
      <w:r w:rsidRPr="00820F7C">
        <w:rPr>
          <w:rFonts w:eastAsia="Calibri"/>
          <w:lang w:val="en-CA"/>
        </w:rPr>
        <w:t xml:space="preserve">tatus, 2012 </w:t>
      </w:r>
      <w:r>
        <w:rPr>
          <w:rFonts w:eastAsia="Calibri"/>
          <w:lang w:val="en-CA"/>
        </w:rPr>
        <w:t>R</w:t>
      </w:r>
      <w:r w:rsidRPr="00820F7C">
        <w:rPr>
          <w:rFonts w:eastAsia="Calibri"/>
          <w:lang w:val="en-CA"/>
        </w:rPr>
        <w:t xml:space="preserve">esearch </w:t>
      </w:r>
      <w:r>
        <w:rPr>
          <w:rFonts w:eastAsia="Calibri"/>
          <w:lang w:val="en-CA"/>
        </w:rPr>
        <w:t>S</w:t>
      </w:r>
      <w:r w:rsidRPr="00820F7C">
        <w:rPr>
          <w:rFonts w:eastAsia="Calibri"/>
          <w:lang w:val="en-CA"/>
        </w:rPr>
        <w:t xml:space="preserve">hows,” </w:t>
      </w:r>
      <w:r w:rsidRPr="00820F7C">
        <w:rPr>
          <w:rFonts w:eastAsia="Calibri"/>
          <w:i/>
          <w:lang w:val="en-CA"/>
        </w:rPr>
        <w:t>Globe and Mail</w:t>
      </w:r>
      <w:r w:rsidRPr="00820F7C">
        <w:rPr>
          <w:rFonts w:eastAsia="Calibri"/>
          <w:lang w:val="en-CA"/>
        </w:rPr>
        <w:t>, December 1</w:t>
      </w:r>
      <w:r>
        <w:rPr>
          <w:rFonts w:eastAsia="Calibri"/>
          <w:lang w:val="en-CA"/>
        </w:rPr>
        <w:t>0</w:t>
      </w:r>
      <w:r w:rsidRPr="00820F7C">
        <w:rPr>
          <w:rFonts w:eastAsia="Calibri"/>
          <w:lang w:val="en-CA"/>
        </w:rPr>
        <w:t>, 2014, accessed August 24, 2017, https://www.theglobeandmail.com/report-on-business/economy/nearly-5-million-canadians-in-low-income-status-2012-research-shows/article22020841/.</w:t>
      </w:r>
    </w:p>
  </w:endnote>
  <w:endnote w:id="19">
    <w:p w14:paraId="7ECE5943" w14:textId="5A708B74" w:rsidR="000745AA" w:rsidRPr="00BA23EA" w:rsidRDefault="000745AA" w:rsidP="0053461A">
      <w:pPr>
        <w:pStyle w:val="Footnote"/>
        <w:rPr>
          <w:rFonts w:eastAsia="Calibri"/>
          <w:lang w:val="en-CA"/>
        </w:rPr>
      </w:pPr>
      <w:r>
        <w:rPr>
          <w:rStyle w:val="EndnoteReference"/>
        </w:rPr>
        <w:endnoteRef/>
      </w:r>
      <w:r>
        <w:t xml:space="preserve"> </w:t>
      </w:r>
      <w:r w:rsidRPr="00820F7C">
        <w:rPr>
          <w:rFonts w:eastAsia="Calibri"/>
          <w:lang w:val="en-CA"/>
        </w:rPr>
        <w:t xml:space="preserve">Statistics Canada, “High-Income Trends </w:t>
      </w:r>
      <w:r>
        <w:rPr>
          <w:rFonts w:eastAsia="Calibri"/>
          <w:lang w:val="en-CA"/>
        </w:rPr>
        <w:t>a</w:t>
      </w:r>
      <w:r w:rsidRPr="00820F7C">
        <w:rPr>
          <w:rFonts w:eastAsia="Calibri"/>
          <w:lang w:val="en-CA"/>
        </w:rPr>
        <w:t>mong Canadian Taxfilers, 1982 to 2010,” January 28, 2013, accessed August 24, 2017, www.statcan.gc.ca/daily-quotidien/130128/dq130128a-eng.pdf.</w:t>
      </w:r>
      <w:r>
        <w:rPr>
          <w:rFonts w:eastAsia="Calibri"/>
          <w:lang w:val="en-CA"/>
        </w:rPr>
        <w:t xml:space="preserve"> </w:t>
      </w:r>
    </w:p>
  </w:endnote>
  <w:endnote w:id="20">
    <w:p w14:paraId="00C79351" w14:textId="2AA2D428" w:rsidR="000745AA" w:rsidRDefault="000745AA" w:rsidP="0053461A">
      <w:pPr>
        <w:pStyle w:val="Footnote"/>
      </w:pPr>
      <w:r>
        <w:rPr>
          <w:rStyle w:val="EndnoteReference"/>
        </w:rPr>
        <w:endnoteRef/>
      </w:r>
      <w:r>
        <w:t xml:space="preserve"> </w:t>
      </w:r>
      <w:r w:rsidRPr="00820F7C">
        <w:rPr>
          <w:rFonts w:eastAsia="Calibri"/>
          <w:lang w:val="en-CA"/>
        </w:rPr>
        <w:t>Statistics Canada, “Canadian Income Survey, 2015,” May 26, 2017, accessed August 24, 2017, www.statcan.gc.ca/daily-quotidien/170526/dq170526a-eng.htm.</w:t>
      </w:r>
    </w:p>
  </w:endnote>
  <w:endnote w:id="21">
    <w:p w14:paraId="2F321243" w14:textId="2F2533F2" w:rsidR="000745AA" w:rsidRDefault="000745AA" w:rsidP="0053461A">
      <w:pPr>
        <w:pStyle w:val="Footnote"/>
      </w:pPr>
      <w:r>
        <w:rPr>
          <w:rStyle w:val="EndnoteReference"/>
        </w:rPr>
        <w:endnoteRef/>
      </w:r>
      <w:r>
        <w:t xml:space="preserve"> </w:t>
      </w:r>
      <w:r w:rsidRPr="00820F7C">
        <w:rPr>
          <w:rFonts w:eastAsia="Calibri"/>
          <w:lang w:val="en-CA"/>
        </w:rPr>
        <w:t xml:space="preserve">Grant, </w:t>
      </w:r>
      <w:r>
        <w:rPr>
          <w:rFonts w:eastAsia="Calibri"/>
          <w:lang w:val="en-CA"/>
        </w:rPr>
        <w:t>op. cit</w:t>
      </w:r>
      <w:r w:rsidRPr="00820F7C">
        <w:rPr>
          <w:rFonts w:eastAsia="Calibri"/>
          <w:lang w:val="en-CA"/>
        </w:rPr>
        <w:t>.</w:t>
      </w:r>
    </w:p>
  </w:endnote>
  <w:endnote w:id="22">
    <w:p w14:paraId="5C4D9BE0" w14:textId="0DCBF9D1" w:rsidR="000745AA" w:rsidRPr="003E3DCE" w:rsidRDefault="000745AA" w:rsidP="0053461A">
      <w:pPr>
        <w:pStyle w:val="Footnote"/>
        <w:rPr>
          <w:b/>
        </w:rPr>
      </w:pPr>
      <w:r>
        <w:rPr>
          <w:rStyle w:val="EndnoteReference"/>
        </w:rPr>
        <w:endnoteRef/>
      </w:r>
      <w:r>
        <w:t xml:space="preserve"> </w:t>
      </w:r>
      <w:r w:rsidRPr="00820F7C">
        <w:rPr>
          <w:rFonts w:eastAsia="Calibri"/>
          <w:lang w:val="en-CA"/>
        </w:rPr>
        <w:t xml:space="preserve">Jill Ferguson, “How Clothing Choices Affect and Reflect Your Self-Image,” </w:t>
      </w:r>
      <w:r w:rsidRPr="00820F7C">
        <w:rPr>
          <w:rFonts w:eastAsia="Calibri"/>
          <w:i/>
          <w:lang w:val="en-CA"/>
        </w:rPr>
        <w:t>Huffpost</w:t>
      </w:r>
      <w:r>
        <w:rPr>
          <w:rFonts w:eastAsia="Calibri"/>
          <w:i/>
          <w:lang w:val="en-CA"/>
        </w:rPr>
        <w:t xml:space="preserve"> </w:t>
      </w:r>
      <w:r w:rsidRPr="00E578E0">
        <w:rPr>
          <w:rFonts w:eastAsia="Calibri"/>
          <w:lang w:val="en-CA"/>
        </w:rPr>
        <w:t>(blog)</w:t>
      </w:r>
      <w:r w:rsidRPr="00963391">
        <w:rPr>
          <w:rFonts w:eastAsia="Calibri"/>
          <w:lang w:val="en-CA"/>
        </w:rPr>
        <w:t>,</w:t>
      </w:r>
      <w:r w:rsidRPr="00820F7C">
        <w:rPr>
          <w:rFonts w:eastAsia="Calibri"/>
          <w:lang w:val="en-CA"/>
        </w:rPr>
        <w:t xml:space="preserve"> </w:t>
      </w:r>
      <w:r w:rsidRPr="003E3DCE">
        <w:rPr>
          <w:rFonts w:eastAsia="Calibri"/>
          <w:i/>
          <w:lang w:val="en-CA"/>
        </w:rPr>
        <w:t>Huffington Post</w:t>
      </w:r>
      <w:r>
        <w:rPr>
          <w:rFonts w:eastAsia="Calibri"/>
          <w:lang w:val="en-CA"/>
        </w:rPr>
        <w:t xml:space="preserve">, </w:t>
      </w:r>
      <w:r w:rsidRPr="00820F7C">
        <w:rPr>
          <w:rFonts w:eastAsia="Calibri"/>
          <w:lang w:val="en-CA"/>
        </w:rPr>
        <w:t xml:space="preserve">February 5, 2017, accessed August 24, 2017, </w:t>
      </w:r>
      <w:r w:rsidRPr="003E3DCE">
        <w:rPr>
          <w:rFonts w:eastAsia="Calibri"/>
        </w:rPr>
        <w:t>www.huffingtonpost.com/jill-l-ferguson/how-clothing-choices-affect-and-reflect-your-self-image_b_9163992.html</w:t>
      </w:r>
      <w:r w:rsidRPr="00820F7C">
        <w:rPr>
          <w:rFonts w:eastAsia="Calibri"/>
          <w:lang w:val="en-CA"/>
        </w:rPr>
        <w:t>.</w:t>
      </w:r>
    </w:p>
  </w:endnote>
  <w:endnote w:id="23">
    <w:p w14:paraId="35ED7766" w14:textId="498230D5" w:rsidR="000745AA" w:rsidRDefault="000745AA" w:rsidP="0053461A">
      <w:pPr>
        <w:pStyle w:val="Footnote"/>
      </w:pPr>
      <w:r>
        <w:rPr>
          <w:rStyle w:val="EndnoteReference"/>
        </w:rPr>
        <w:endnoteRef/>
      </w:r>
      <w:r>
        <w:t xml:space="preserve"> </w:t>
      </w:r>
      <w:r w:rsidRPr="00820F7C">
        <w:rPr>
          <w:rFonts w:eastAsia="Calibri"/>
          <w:lang w:val="en-CA"/>
        </w:rPr>
        <w:t xml:space="preserve">Jacquelyn Smith, “Here’s How Clothing Affects Your Success,” </w:t>
      </w:r>
      <w:r w:rsidRPr="00820F7C">
        <w:rPr>
          <w:rFonts w:eastAsia="Calibri"/>
          <w:i/>
          <w:lang w:val="en-CA"/>
        </w:rPr>
        <w:t>Business Insider</w:t>
      </w:r>
      <w:r w:rsidRPr="00820F7C">
        <w:rPr>
          <w:rFonts w:eastAsia="Calibri"/>
          <w:lang w:val="en-CA"/>
        </w:rPr>
        <w:t>, August 19, 2014, accessed August 24, 2017, www.businessinsider.com/how-your-clothing-impacts-your-success-2014-8.</w:t>
      </w:r>
    </w:p>
  </w:endnote>
  <w:endnote w:id="24">
    <w:p w14:paraId="4F5EC29E" w14:textId="44DCF150" w:rsidR="000745AA" w:rsidRDefault="000745AA" w:rsidP="0053461A">
      <w:pPr>
        <w:pStyle w:val="Footnote"/>
      </w:pPr>
      <w:r>
        <w:rPr>
          <w:rStyle w:val="EndnoteReference"/>
        </w:rPr>
        <w:endnoteRef/>
      </w:r>
      <w:r>
        <w:t xml:space="preserve"> </w:t>
      </w:r>
      <w:r w:rsidRPr="00820F7C">
        <w:rPr>
          <w:rFonts w:eastAsia="Calibri"/>
          <w:lang w:val="en-CA"/>
        </w:rPr>
        <w:t xml:space="preserve">Sandra Forsythe, “Effect of Applicant’s Clothing on Interviewer’s Decision to Hire,” </w:t>
      </w:r>
      <w:r w:rsidRPr="00820F7C">
        <w:rPr>
          <w:rFonts w:eastAsia="Calibri"/>
          <w:i/>
          <w:lang w:val="en-CA"/>
        </w:rPr>
        <w:t>Journal of Applied Social Psychology</w:t>
      </w:r>
      <w:r w:rsidRPr="00820F7C">
        <w:rPr>
          <w:rFonts w:eastAsia="Calibri"/>
          <w:lang w:val="en-CA"/>
        </w:rPr>
        <w:t xml:space="preserve"> 20, no. 19 (November 1990): 1579</w:t>
      </w:r>
      <w:r>
        <w:rPr>
          <w:rFonts w:eastAsia="Calibri"/>
          <w:lang w:val="en-CA"/>
        </w:rPr>
        <w:t>–</w:t>
      </w:r>
      <w:r w:rsidRPr="00820F7C">
        <w:rPr>
          <w:rFonts w:eastAsia="Calibri"/>
          <w:lang w:val="en-CA"/>
        </w:rPr>
        <w:t>1595.</w:t>
      </w:r>
    </w:p>
  </w:endnote>
  <w:endnote w:id="25">
    <w:p w14:paraId="0CF555CD" w14:textId="0A35A002" w:rsidR="000745AA" w:rsidRDefault="000745AA" w:rsidP="0053461A">
      <w:pPr>
        <w:pStyle w:val="Footnote"/>
      </w:pPr>
      <w:r>
        <w:rPr>
          <w:rStyle w:val="EndnoteReference"/>
        </w:rPr>
        <w:endnoteRef/>
      </w:r>
      <w:r>
        <w:t xml:space="preserve"> </w:t>
      </w:r>
      <w:r w:rsidRPr="00694D30">
        <w:rPr>
          <w:rFonts w:eastAsia="Calibri"/>
          <w:spacing w:val="-4"/>
          <w:kern w:val="17"/>
          <w:lang w:val="en-CA"/>
        </w:rPr>
        <w:t xml:space="preserve">Hajo Adam and Adam D. Galinsky, “Enclothed Cognition,” </w:t>
      </w:r>
      <w:r w:rsidRPr="00694D30">
        <w:rPr>
          <w:rFonts w:eastAsia="Calibri"/>
          <w:i/>
          <w:spacing w:val="-4"/>
          <w:kern w:val="17"/>
          <w:lang w:val="en-CA"/>
        </w:rPr>
        <w:t>Journal of Experimental Social Psychology</w:t>
      </w:r>
      <w:r w:rsidRPr="00694D30">
        <w:rPr>
          <w:rFonts w:eastAsia="Calibri"/>
          <w:spacing w:val="-4"/>
          <w:kern w:val="17"/>
          <w:lang w:val="en-CA"/>
        </w:rPr>
        <w:t xml:space="preserve"> 48, </w:t>
      </w:r>
      <w:r>
        <w:rPr>
          <w:rFonts w:eastAsia="Calibri"/>
          <w:spacing w:val="-4"/>
          <w:kern w:val="17"/>
          <w:lang w:val="en-CA"/>
        </w:rPr>
        <w:t xml:space="preserve">no. 4 </w:t>
      </w:r>
      <w:r w:rsidRPr="00694D30">
        <w:rPr>
          <w:rFonts w:eastAsia="Calibri"/>
          <w:spacing w:val="-4"/>
          <w:kern w:val="17"/>
          <w:lang w:val="en-CA"/>
        </w:rPr>
        <w:t>(</w:t>
      </w:r>
      <w:r>
        <w:rPr>
          <w:rFonts w:eastAsia="Calibri"/>
          <w:spacing w:val="-4"/>
          <w:kern w:val="17"/>
          <w:lang w:val="en-CA"/>
        </w:rPr>
        <w:t xml:space="preserve">July </w:t>
      </w:r>
      <w:r w:rsidRPr="00694D30">
        <w:rPr>
          <w:rFonts w:eastAsia="Calibri"/>
          <w:spacing w:val="-4"/>
          <w:kern w:val="17"/>
          <w:lang w:val="en-CA"/>
        </w:rPr>
        <w:t>2012): 918–925.</w:t>
      </w:r>
    </w:p>
  </w:endnote>
  <w:endnote w:id="26">
    <w:p w14:paraId="6A3597DA" w14:textId="653B6C50" w:rsidR="000745AA" w:rsidRDefault="000745AA" w:rsidP="0053461A">
      <w:pPr>
        <w:pStyle w:val="Footnote"/>
      </w:pPr>
      <w:r>
        <w:rPr>
          <w:rStyle w:val="EndnoteReference"/>
        </w:rPr>
        <w:endnoteRef/>
      </w:r>
      <w:r>
        <w:t xml:space="preserve"> </w:t>
      </w:r>
      <w:r w:rsidRPr="000745AA">
        <w:rPr>
          <w:rFonts w:eastAsia="Calibri"/>
          <w:lang w:val="en-CA"/>
        </w:rPr>
        <w:t>Karen J. Pine</w:t>
      </w:r>
      <w:r w:rsidRPr="00820F7C">
        <w:rPr>
          <w:rFonts w:eastAsia="Calibri"/>
          <w:lang w:val="en-CA"/>
        </w:rPr>
        <w:t xml:space="preserve">, </w:t>
      </w:r>
      <w:r w:rsidRPr="00820F7C">
        <w:rPr>
          <w:rFonts w:eastAsia="Calibri"/>
          <w:i/>
          <w:lang w:val="en-CA"/>
        </w:rPr>
        <w:t>Mind What You Wear: The Psychology of Fashion</w:t>
      </w:r>
      <w:r w:rsidRPr="00820F7C">
        <w:rPr>
          <w:rFonts w:eastAsia="Calibri"/>
          <w:lang w:val="en-CA"/>
        </w:rPr>
        <w:t xml:space="preserve"> (Amazon D</w:t>
      </w:r>
      <w:r>
        <w:rPr>
          <w:rFonts w:eastAsia="Calibri"/>
          <w:lang w:val="en-CA"/>
        </w:rPr>
        <w:t>igital Services, May 13, 2014)</w:t>
      </w:r>
      <w:r w:rsidR="00C96FC8">
        <w:rPr>
          <w:rFonts w:eastAsia="Calibri"/>
          <w:lang w:val="en-CA"/>
        </w:rPr>
        <w:t>,</w:t>
      </w:r>
      <w:r>
        <w:rPr>
          <w:rFonts w:eastAsia="Calibri"/>
          <w:lang w:val="en-CA"/>
        </w:rPr>
        <w:t xml:space="preserve"> Kindle edition</w:t>
      </w:r>
      <w:r w:rsidR="00C96FC8">
        <w:rPr>
          <w:rFonts w:eastAsia="Calibri"/>
          <w:lang w:val="en-CA"/>
        </w:rPr>
        <w:t>.</w:t>
      </w:r>
      <w:r>
        <w:rPr>
          <w:rFonts w:eastAsia="Calibri"/>
          <w:lang w:val="en-CA"/>
        </w:rPr>
        <w:t xml:space="preserve"> </w:t>
      </w:r>
    </w:p>
  </w:endnote>
  <w:endnote w:id="27">
    <w:p w14:paraId="595D26C8" w14:textId="41A066BB" w:rsidR="000745AA" w:rsidRDefault="000745AA" w:rsidP="0053461A">
      <w:pPr>
        <w:pStyle w:val="Footnote"/>
      </w:pPr>
      <w:r>
        <w:rPr>
          <w:rStyle w:val="EndnoteReference"/>
        </w:rPr>
        <w:endnoteRef/>
      </w:r>
      <w:r>
        <w:t xml:space="preserve"> </w:t>
      </w:r>
      <w:r w:rsidRPr="00820F7C">
        <w:rPr>
          <w:rFonts w:eastAsia="Calibri"/>
          <w:lang w:val="en-CA"/>
        </w:rPr>
        <w:t>Susan Manwaring</w:t>
      </w:r>
      <w:r>
        <w:rPr>
          <w:rFonts w:eastAsia="Calibri"/>
          <w:lang w:val="en-CA"/>
        </w:rPr>
        <w:t xml:space="preserve"> and</w:t>
      </w:r>
      <w:r w:rsidRPr="00820F7C">
        <w:rPr>
          <w:rFonts w:eastAsia="Calibri"/>
          <w:lang w:val="en-CA"/>
        </w:rPr>
        <w:t xml:space="preserve"> Andrew Valentine, “Social Enterprises in Canada: Structural Options,” </w:t>
      </w:r>
      <w:r w:rsidRPr="00707E87">
        <w:rPr>
          <w:rFonts w:eastAsia="Calibri"/>
          <w:lang w:val="en-CA"/>
        </w:rPr>
        <w:t xml:space="preserve">MaRS White Paper, MaRS Discovery District, Toronto, </w:t>
      </w:r>
      <w:r w:rsidRPr="00820F7C">
        <w:rPr>
          <w:rFonts w:eastAsia="Calibri"/>
          <w:lang w:val="en-CA"/>
        </w:rPr>
        <w:t>December 2011, accessed September 7, 2017, https://www.marsdd.com/wp-content/uploads/2012/04/MaRSReport-Social-Enterprise_2012.pdf.</w:t>
      </w:r>
    </w:p>
  </w:endnote>
  <w:endnote w:id="28">
    <w:p w14:paraId="73316A3C" w14:textId="5F7E4E9B" w:rsidR="000745AA" w:rsidRDefault="000745AA" w:rsidP="0053461A">
      <w:pPr>
        <w:pStyle w:val="Footnote"/>
      </w:pPr>
      <w:r>
        <w:rPr>
          <w:rStyle w:val="EndnoteReference"/>
        </w:rPr>
        <w:endnoteRef/>
      </w:r>
      <w:r>
        <w:t xml:space="preserve"> </w:t>
      </w:r>
      <w:r w:rsidRPr="00820F7C">
        <w:rPr>
          <w:rFonts w:eastAsia="Calibri"/>
          <w:lang w:val="en-CA"/>
        </w:rPr>
        <w:t>Global Impact Investing Network</w:t>
      </w:r>
      <w:r w:rsidRPr="00707E87">
        <w:rPr>
          <w:rFonts w:eastAsia="Calibri"/>
          <w:lang w:val="en-CA"/>
        </w:rPr>
        <w:t xml:space="preserve"> </w:t>
      </w:r>
      <w:r>
        <w:rPr>
          <w:rFonts w:eastAsia="Calibri"/>
          <w:lang w:val="en-CA"/>
        </w:rPr>
        <w:t xml:space="preserve">and </w:t>
      </w:r>
      <w:r w:rsidRPr="00B707F5">
        <w:rPr>
          <w:rFonts w:eastAsia="Calibri"/>
          <w:lang w:val="en-CA"/>
        </w:rPr>
        <w:t>Cambridge Associates</w:t>
      </w:r>
      <w:r w:rsidRPr="00820F7C">
        <w:rPr>
          <w:rFonts w:eastAsia="Calibri"/>
          <w:lang w:val="en-CA"/>
        </w:rPr>
        <w:t xml:space="preserve">, </w:t>
      </w:r>
      <w:r w:rsidRPr="00E578E0">
        <w:rPr>
          <w:rFonts w:eastAsia="Calibri"/>
          <w:i/>
          <w:lang w:val="en-CA"/>
        </w:rPr>
        <w:t>Introducing the Impact Investing Benchmark</w:t>
      </w:r>
      <w:r>
        <w:rPr>
          <w:rFonts w:eastAsia="Calibri"/>
          <w:lang w:val="en-CA"/>
        </w:rPr>
        <w:t xml:space="preserve">, </w:t>
      </w:r>
      <w:r w:rsidRPr="00820F7C">
        <w:rPr>
          <w:rFonts w:eastAsia="Calibri"/>
          <w:lang w:val="en-CA"/>
        </w:rPr>
        <w:t>2015, accessed August 31, 2017, https://thegiin.org/assets/documents/pub/Introducing_the_Impact_Investing_Benchmark.pdf.</w:t>
      </w:r>
    </w:p>
  </w:endnote>
  <w:endnote w:id="29">
    <w:p w14:paraId="2D43EFAF" w14:textId="5EBDF05E" w:rsidR="000745AA" w:rsidRDefault="000745AA" w:rsidP="0053461A">
      <w:pPr>
        <w:pStyle w:val="Footnote"/>
      </w:pPr>
      <w:r>
        <w:rPr>
          <w:rStyle w:val="EndnoteReference"/>
        </w:rPr>
        <w:endnoteRef/>
      </w:r>
      <w:r>
        <w:t xml:space="preserve"> </w:t>
      </w:r>
      <w:r w:rsidRPr="00820F7C">
        <w:rPr>
          <w:rFonts w:eastAsia="Calibri"/>
          <w:lang w:val="en-CA"/>
        </w:rPr>
        <w:t xml:space="preserve">Abhilash Mudaliar, Hannah Schiff, Rachel Bass, </w:t>
      </w:r>
      <w:r>
        <w:rPr>
          <w:rFonts w:eastAsia="Calibri"/>
          <w:lang w:val="en-CA"/>
        </w:rPr>
        <w:t xml:space="preserve">and </w:t>
      </w:r>
      <w:r w:rsidRPr="00820F7C">
        <w:rPr>
          <w:rFonts w:eastAsia="Calibri"/>
          <w:lang w:val="en-CA"/>
        </w:rPr>
        <w:t xml:space="preserve">Hannah Dithrich, </w:t>
      </w:r>
      <w:r w:rsidRPr="00E578E0">
        <w:rPr>
          <w:rFonts w:eastAsia="Calibri"/>
          <w:i/>
          <w:lang w:val="en-CA"/>
        </w:rPr>
        <w:t>Annual Impact Investor Survey</w:t>
      </w:r>
      <w:r w:rsidRPr="00820F7C">
        <w:rPr>
          <w:rFonts w:eastAsia="Calibri"/>
          <w:lang w:val="en-CA"/>
        </w:rPr>
        <w:t xml:space="preserve"> </w:t>
      </w:r>
      <w:r>
        <w:rPr>
          <w:rFonts w:eastAsia="Calibri"/>
          <w:lang w:val="en-CA"/>
        </w:rPr>
        <w:t xml:space="preserve">(New York: </w:t>
      </w:r>
      <w:r w:rsidRPr="00E578E0">
        <w:rPr>
          <w:rFonts w:eastAsia="Calibri"/>
          <w:lang w:val="en-CA"/>
        </w:rPr>
        <w:t>Global Impact Investing Network</w:t>
      </w:r>
      <w:r w:rsidRPr="004C493B">
        <w:rPr>
          <w:rFonts w:eastAsia="Calibri"/>
          <w:lang w:val="en-CA"/>
        </w:rPr>
        <w:t xml:space="preserve">, </w:t>
      </w:r>
      <w:r w:rsidRPr="00820F7C">
        <w:rPr>
          <w:rFonts w:eastAsia="Calibri"/>
          <w:lang w:val="en-CA"/>
        </w:rPr>
        <w:t>2017), accessed September 8, 2017, https://thegiin.org/assets/GIIN_AnnualImpactInvestorSurvey_2017_Web_Final.pdf</w:t>
      </w:r>
      <w:r>
        <w:rPr>
          <w:rFonts w:eastAsia="Calibri"/>
          <w:lang w:val="en-CA"/>
        </w:rPr>
        <w:t>.</w:t>
      </w:r>
    </w:p>
  </w:endnote>
  <w:endnote w:id="30">
    <w:p w14:paraId="5D861784" w14:textId="73D760A3" w:rsidR="000745AA" w:rsidRDefault="000745AA" w:rsidP="0053461A">
      <w:pPr>
        <w:pStyle w:val="Footnote"/>
      </w:pPr>
      <w:r>
        <w:rPr>
          <w:rStyle w:val="EndnoteReference"/>
        </w:rPr>
        <w:endnoteRef/>
      </w:r>
      <w:r>
        <w:t xml:space="preserve"> </w:t>
      </w:r>
      <w:r w:rsidRPr="00820F7C">
        <w:rPr>
          <w:rFonts w:eastAsia="Calibri"/>
          <w:lang w:val="en-CA"/>
        </w:rPr>
        <w:t>Susan Manwaring</w:t>
      </w:r>
      <w:r>
        <w:rPr>
          <w:rFonts w:eastAsia="Calibri"/>
          <w:lang w:val="en-CA"/>
        </w:rPr>
        <w:t xml:space="preserve"> and</w:t>
      </w:r>
      <w:r w:rsidRPr="00820F7C">
        <w:rPr>
          <w:rFonts w:eastAsia="Calibri"/>
          <w:lang w:val="en-CA"/>
        </w:rPr>
        <w:t xml:space="preserve"> Andrew Valentine, “The State of Social Enterprise in Canada,” </w:t>
      </w:r>
      <w:r>
        <w:rPr>
          <w:rFonts w:eastAsia="Calibri"/>
          <w:lang w:val="en-CA"/>
        </w:rPr>
        <w:t xml:space="preserve">in </w:t>
      </w:r>
      <w:r w:rsidRPr="00820F7C">
        <w:rPr>
          <w:rFonts w:eastAsia="Calibri"/>
          <w:i/>
          <w:lang w:val="en-CA"/>
        </w:rPr>
        <w:t>The 2012 Lexpert/American Lawyer Guide to the Leading 500 Lawyers in Canada</w:t>
      </w:r>
      <w:r w:rsidRPr="00820F7C">
        <w:rPr>
          <w:rFonts w:eastAsia="Calibri"/>
          <w:lang w:val="en-CA"/>
        </w:rPr>
        <w:t xml:space="preserve"> (</w:t>
      </w:r>
      <w:r>
        <w:rPr>
          <w:rFonts w:eastAsia="Calibri"/>
          <w:lang w:val="en-CA"/>
        </w:rPr>
        <w:t xml:space="preserve">Thomson Reuters Canada Limited, </w:t>
      </w:r>
      <w:r w:rsidRPr="00820F7C">
        <w:rPr>
          <w:rFonts w:eastAsia="Calibri"/>
          <w:lang w:val="en-CA"/>
        </w:rPr>
        <w:t xml:space="preserve">2012), accessed August 24, 2017, </w:t>
      </w:r>
      <w:r w:rsidRPr="003E3DCE">
        <w:rPr>
          <w:rFonts w:eastAsia="Calibri"/>
        </w:rPr>
        <w:t>www.millerthomson.com/assets/files/article_attachments2/S-Manwaring_A-Valentine_Social-Enterprise-in-Canada_Miller-Thomson.pdf</w:t>
      </w:r>
      <w:r w:rsidRPr="00963391">
        <w:rPr>
          <w:rFonts w:eastAsia="Calibri"/>
          <w:lang w:val="en-CA"/>
        </w:rPr>
        <w:t>.</w:t>
      </w:r>
    </w:p>
  </w:endnote>
  <w:endnote w:id="31">
    <w:p w14:paraId="37C7B329" w14:textId="49790CCE" w:rsidR="000745AA" w:rsidRDefault="000745AA" w:rsidP="0053461A">
      <w:pPr>
        <w:pStyle w:val="Footnote"/>
      </w:pPr>
      <w:r>
        <w:rPr>
          <w:rStyle w:val="EndnoteReference"/>
        </w:rPr>
        <w:endnoteRef/>
      </w:r>
      <w:r>
        <w:t xml:space="preserve"> </w:t>
      </w:r>
      <w:r w:rsidRPr="00820F7C">
        <w:rPr>
          <w:rFonts w:eastAsia="Calibri"/>
          <w:lang w:val="en-CA"/>
        </w:rPr>
        <w:t>Manwaring</w:t>
      </w:r>
      <w:r>
        <w:rPr>
          <w:rFonts w:eastAsia="Calibri"/>
          <w:lang w:val="en-CA"/>
        </w:rPr>
        <w:t xml:space="preserve"> and</w:t>
      </w:r>
      <w:r w:rsidRPr="00820F7C">
        <w:rPr>
          <w:rFonts w:eastAsia="Calibri"/>
          <w:lang w:val="en-CA"/>
        </w:rPr>
        <w:t xml:space="preserve"> Valentine, </w:t>
      </w:r>
      <w:r w:rsidRPr="009D7F3F">
        <w:rPr>
          <w:rFonts w:eastAsia="Calibri"/>
          <w:lang w:val="en-CA"/>
        </w:rPr>
        <w:t xml:space="preserve">“Social Enterprises in Canada: Structural Options,” </w:t>
      </w:r>
      <w:r w:rsidRPr="00820F7C">
        <w:rPr>
          <w:rFonts w:eastAsia="Calibri"/>
          <w:lang w:val="en-CA"/>
        </w:rPr>
        <w:t>op. cit.</w:t>
      </w:r>
    </w:p>
  </w:endnote>
  <w:endnote w:id="32">
    <w:p w14:paraId="10998D0B" w14:textId="1B02FF65" w:rsidR="000745AA" w:rsidRDefault="000745AA" w:rsidP="0053461A">
      <w:pPr>
        <w:pStyle w:val="Footnote"/>
      </w:pPr>
      <w:r>
        <w:rPr>
          <w:rStyle w:val="EndnoteReference"/>
        </w:rPr>
        <w:endnoteRef/>
      </w:r>
      <w:r>
        <w:t xml:space="preserve"> </w:t>
      </w:r>
      <w:r w:rsidRPr="00820F7C">
        <w:rPr>
          <w:rFonts w:eastAsia="Calibri"/>
          <w:lang w:val="en-CA"/>
        </w:rPr>
        <w:t xml:space="preserve">Brett Smith, Joshua Knapp, Terri Barr, Christopher Stevens, </w:t>
      </w:r>
      <w:r>
        <w:rPr>
          <w:rFonts w:eastAsia="Calibri"/>
          <w:lang w:val="en-CA"/>
        </w:rPr>
        <w:t xml:space="preserve">and </w:t>
      </w:r>
      <w:r w:rsidRPr="00820F7C">
        <w:rPr>
          <w:rFonts w:eastAsia="Calibri"/>
          <w:lang w:val="en-CA"/>
        </w:rPr>
        <w:t xml:space="preserve">Bendetto Cannatelli, “Social Enterprises and the Timing of Conception: Organizational Identity, Tension, Management, and Marketing,” </w:t>
      </w:r>
      <w:r w:rsidRPr="00820F7C">
        <w:rPr>
          <w:rFonts w:eastAsia="Calibri"/>
          <w:i/>
          <w:lang w:val="en-CA"/>
        </w:rPr>
        <w:t xml:space="preserve">Journal of Nonprofit &amp; Public Sector Marketing </w:t>
      </w:r>
      <w:r w:rsidRPr="00820F7C">
        <w:rPr>
          <w:rFonts w:eastAsia="Calibri"/>
          <w:lang w:val="en-CA"/>
        </w:rPr>
        <w:t>22, no. 2 (May 2010): 108</w:t>
      </w:r>
      <w:r>
        <w:rPr>
          <w:rFonts w:eastAsia="Calibri"/>
          <w:lang w:val="en-CA"/>
        </w:rPr>
        <w:t>–</w:t>
      </w:r>
      <w:r w:rsidRPr="00820F7C">
        <w:rPr>
          <w:rFonts w:eastAsia="Calibri"/>
          <w:lang w:val="en-CA"/>
        </w:rPr>
        <w:t>134.</w:t>
      </w:r>
    </w:p>
  </w:endnote>
  <w:endnote w:id="33">
    <w:p w14:paraId="3729EB10" w14:textId="68B5F9F6" w:rsidR="000745AA" w:rsidRDefault="000745AA" w:rsidP="0053461A">
      <w:pPr>
        <w:pStyle w:val="Footnote"/>
      </w:pPr>
      <w:r>
        <w:rPr>
          <w:rStyle w:val="EndnoteReference"/>
        </w:rPr>
        <w:endnoteRef/>
      </w:r>
      <w:r>
        <w:t xml:space="preserve"> </w:t>
      </w:r>
      <w:r w:rsidRPr="00820F7C">
        <w:rPr>
          <w:rFonts w:eastAsia="Calibri"/>
          <w:lang w:val="en-CA"/>
        </w:rPr>
        <w:t>Manwaring</w:t>
      </w:r>
      <w:r>
        <w:rPr>
          <w:rFonts w:eastAsia="Calibri"/>
          <w:lang w:val="en-CA"/>
        </w:rPr>
        <w:t xml:space="preserve"> and</w:t>
      </w:r>
      <w:r w:rsidRPr="00820F7C">
        <w:rPr>
          <w:rFonts w:eastAsia="Calibri"/>
          <w:lang w:val="en-CA"/>
        </w:rPr>
        <w:t xml:space="preserve"> Valentine, </w:t>
      </w:r>
      <w:r w:rsidRPr="003A1BFE">
        <w:rPr>
          <w:rFonts w:eastAsia="Calibri"/>
          <w:lang w:val="en-CA"/>
        </w:rPr>
        <w:t>“Social Enterprises in Canada: Structural Options,”</w:t>
      </w:r>
      <w:r w:rsidRPr="00820F7C">
        <w:rPr>
          <w:rFonts w:eastAsia="Calibri"/>
          <w:lang w:val="en-CA"/>
        </w:rPr>
        <w:t xml:space="preserve"> op. cit.</w:t>
      </w:r>
    </w:p>
  </w:endnote>
  <w:endnote w:id="34">
    <w:p w14:paraId="0EC1FB2E" w14:textId="39C65C95" w:rsidR="000745AA" w:rsidRDefault="000745AA" w:rsidP="0053461A">
      <w:pPr>
        <w:pStyle w:val="Footnote"/>
      </w:pPr>
      <w:r>
        <w:rPr>
          <w:rStyle w:val="EndnoteReference"/>
        </w:rPr>
        <w:endnoteRef/>
      </w:r>
      <w:r>
        <w:t xml:space="preserve"> </w:t>
      </w:r>
      <w:r w:rsidRPr="00820F7C">
        <w:rPr>
          <w:rFonts w:eastAsia="Calibri"/>
          <w:lang w:val="en-CA"/>
        </w:rPr>
        <w:t xml:space="preserve">Francine Schlosser, Eva Balan-Vnuk, “Balancing Social and Entrepreneurial Foci in Born and Adapted Social Enterprises,” </w:t>
      </w:r>
      <w:r w:rsidRPr="00820F7C">
        <w:rPr>
          <w:rFonts w:eastAsia="Calibri"/>
          <w:i/>
          <w:lang w:val="en-CA"/>
        </w:rPr>
        <w:t>Frontiers of Entrepreneurial Research</w:t>
      </w:r>
      <w:r w:rsidRPr="00820F7C">
        <w:rPr>
          <w:rFonts w:eastAsia="Calibri"/>
          <w:lang w:val="en-CA"/>
        </w:rPr>
        <w:t xml:space="preserve"> 32, no. 19 (2012): 9.</w:t>
      </w:r>
    </w:p>
  </w:endnote>
  <w:endnote w:id="35">
    <w:p w14:paraId="240F527B" w14:textId="538417BA" w:rsidR="000745AA" w:rsidRDefault="000745AA" w:rsidP="0053461A">
      <w:pPr>
        <w:pStyle w:val="Footnote"/>
      </w:pPr>
      <w:r>
        <w:rPr>
          <w:rStyle w:val="EndnoteReference"/>
        </w:rPr>
        <w:endnoteRef/>
      </w:r>
      <w:r>
        <w:t xml:space="preserve"> </w:t>
      </w:r>
      <w:r w:rsidRPr="00820F7C">
        <w:rPr>
          <w:rFonts w:eastAsia="Calibri"/>
          <w:lang w:val="en-CA"/>
        </w:rPr>
        <w:t xml:space="preserve">Smith, Knapp, Barr, Stevens, </w:t>
      </w:r>
      <w:r>
        <w:rPr>
          <w:rFonts w:eastAsia="Calibri"/>
          <w:lang w:val="en-CA"/>
        </w:rPr>
        <w:t>and</w:t>
      </w:r>
      <w:r w:rsidRPr="00820F7C">
        <w:rPr>
          <w:rFonts w:eastAsia="Calibri"/>
          <w:lang w:val="en-CA"/>
        </w:rPr>
        <w:t xml:space="preserve"> Cannatelli, </w:t>
      </w:r>
      <w:r>
        <w:rPr>
          <w:rFonts w:eastAsia="Calibri"/>
          <w:lang w:val="en-CA"/>
        </w:rPr>
        <w:t>op. cit</w:t>
      </w:r>
      <w:r w:rsidRPr="00820F7C">
        <w:rPr>
          <w:rFonts w:eastAsia="Calibri"/>
          <w:lang w:val="en-CA"/>
        </w:rPr>
        <w:t>.</w:t>
      </w:r>
    </w:p>
  </w:endnote>
  <w:endnote w:id="36">
    <w:p w14:paraId="11CE54EA" w14:textId="1982447C" w:rsidR="000745AA" w:rsidRDefault="000745AA" w:rsidP="0053461A">
      <w:pPr>
        <w:pStyle w:val="Footnote"/>
      </w:pPr>
      <w:r>
        <w:rPr>
          <w:rStyle w:val="EndnoteReference"/>
        </w:rPr>
        <w:endnoteRef/>
      </w:r>
      <w:r>
        <w:t xml:space="preserve"> </w:t>
      </w:r>
      <w:r w:rsidRPr="00820F7C">
        <w:rPr>
          <w:rFonts w:eastAsia="Calibri"/>
          <w:lang w:val="en-CA"/>
        </w:rPr>
        <w:t>Ibid.</w:t>
      </w:r>
    </w:p>
  </w:endnote>
  <w:endnote w:id="37">
    <w:p w14:paraId="1642824D" w14:textId="530B51F0" w:rsidR="000745AA" w:rsidRDefault="000745AA" w:rsidP="0053461A">
      <w:pPr>
        <w:pStyle w:val="Footnote"/>
      </w:pPr>
      <w:r>
        <w:rPr>
          <w:rStyle w:val="EndnoteReference"/>
        </w:rPr>
        <w:endnoteRef/>
      </w:r>
      <w:r>
        <w:t xml:space="preserve"> </w:t>
      </w:r>
      <w:r w:rsidRPr="00820F7C">
        <w:rPr>
          <w:rFonts w:eastAsia="Calibri"/>
          <w:lang w:val="en-CA"/>
        </w:rPr>
        <w:t>Global Impact Investing Network</w:t>
      </w:r>
      <w:r w:rsidRPr="00366CFE">
        <w:t xml:space="preserve"> </w:t>
      </w:r>
      <w:r w:rsidRPr="00366CFE">
        <w:rPr>
          <w:rFonts w:eastAsia="Calibri"/>
          <w:lang w:val="en-CA"/>
        </w:rPr>
        <w:t>and Cambridge Associates</w:t>
      </w:r>
      <w:r w:rsidRPr="00820F7C">
        <w:rPr>
          <w:rFonts w:eastAsia="Calibri"/>
          <w:lang w:val="en-CA"/>
        </w:rPr>
        <w:t>, op. cit.</w:t>
      </w:r>
    </w:p>
  </w:endnote>
  <w:endnote w:id="38">
    <w:p w14:paraId="64DB12AB" w14:textId="33B72B67" w:rsidR="000745AA" w:rsidRDefault="000745AA" w:rsidP="0053461A">
      <w:pPr>
        <w:pStyle w:val="Footnote"/>
      </w:pPr>
      <w:r>
        <w:rPr>
          <w:rStyle w:val="EndnoteReference"/>
        </w:rPr>
        <w:endnoteRef/>
      </w:r>
      <w:r>
        <w:t xml:space="preserve"> </w:t>
      </w:r>
      <w:r w:rsidRPr="00820F7C">
        <w:rPr>
          <w:rFonts w:eastAsia="Calibri"/>
          <w:lang w:val="en-CA"/>
        </w:rPr>
        <w:t xml:space="preserve">Paul Sullivan, “With Impact Investing, a Focus on More than Returns,” </w:t>
      </w:r>
      <w:r w:rsidRPr="00820F7C">
        <w:rPr>
          <w:rFonts w:eastAsia="Calibri"/>
          <w:i/>
          <w:lang w:val="en-CA"/>
        </w:rPr>
        <w:t>New York Times</w:t>
      </w:r>
      <w:r w:rsidRPr="00820F7C">
        <w:rPr>
          <w:rFonts w:eastAsia="Calibri"/>
          <w:lang w:val="en-CA"/>
        </w:rPr>
        <w:t>, April 23, 2010, accessed August 23, 2017, www.nytimes.com/2010/04/24/your-money/24wealth.html.</w:t>
      </w:r>
    </w:p>
  </w:endnote>
  <w:endnote w:id="39">
    <w:p w14:paraId="2E6C9075" w14:textId="3D046FC3" w:rsidR="000745AA" w:rsidRPr="0053461A" w:rsidRDefault="000745AA" w:rsidP="0053461A">
      <w:pPr>
        <w:pStyle w:val="Footnote"/>
        <w:rPr>
          <w:rFonts w:eastAsia="Calibri"/>
          <w:lang w:val="en-CA"/>
        </w:rPr>
      </w:pPr>
      <w:r>
        <w:rPr>
          <w:rStyle w:val="EndnoteReference"/>
        </w:rPr>
        <w:endnoteRef/>
      </w:r>
      <w:r>
        <w:t xml:space="preserve"> </w:t>
      </w:r>
      <w:r w:rsidRPr="00820F7C">
        <w:rPr>
          <w:rFonts w:eastAsia="Calibri"/>
          <w:lang w:val="en-CA"/>
        </w:rPr>
        <w:t xml:space="preserve">Mudaliar, Schiff, Bass, </w:t>
      </w:r>
      <w:r>
        <w:rPr>
          <w:rFonts w:eastAsia="Calibri"/>
          <w:lang w:val="en-CA"/>
        </w:rPr>
        <w:t>and</w:t>
      </w:r>
      <w:r w:rsidRPr="00820F7C">
        <w:rPr>
          <w:rFonts w:eastAsia="Calibri"/>
          <w:lang w:val="en-CA"/>
        </w:rPr>
        <w:t xml:space="preserve"> Dithrich, op. cit.</w:t>
      </w:r>
    </w:p>
  </w:endnote>
  <w:endnote w:id="40">
    <w:p w14:paraId="34B2E9F5" w14:textId="236F3B48" w:rsidR="000745AA" w:rsidRDefault="000745AA" w:rsidP="0053461A">
      <w:pPr>
        <w:pStyle w:val="Footnote"/>
      </w:pPr>
      <w:r>
        <w:rPr>
          <w:rStyle w:val="EndnoteReference"/>
        </w:rPr>
        <w:endnoteRef/>
      </w:r>
      <w:r>
        <w:t xml:space="preserve"> </w:t>
      </w:r>
      <w:r w:rsidRPr="00820F7C">
        <w:rPr>
          <w:rFonts w:eastAsia="Calibri"/>
          <w:lang w:val="en-CA"/>
        </w:rPr>
        <w:t>Manwaring</w:t>
      </w:r>
      <w:r>
        <w:rPr>
          <w:rFonts w:eastAsia="Calibri"/>
          <w:lang w:val="en-CA"/>
        </w:rPr>
        <w:t xml:space="preserve"> and</w:t>
      </w:r>
      <w:r w:rsidRPr="00820F7C">
        <w:rPr>
          <w:rFonts w:eastAsia="Calibri"/>
          <w:lang w:val="en-CA"/>
        </w:rPr>
        <w:t xml:space="preserve"> Valentine, </w:t>
      </w:r>
      <w:r w:rsidRPr="003A1BFE">
        <w:rPr>
          <w:rFonts w:eastAsia="Calibri"/>
          <w:lang w:val="en-CA"/>
        </w:rPr>
        <w:t>“Social Enterprises in Canada: Structural Options,”</w:t>
      </w:r>
      <w:r w:rsidRPr="00820F7C">
        <w:rPr>
          <w:rFonts w:eastAsia="Calibri"/>
          <w:lang w:val="en-CA"/>
        </w:rPr>
        <w:t xml:space="preserve"> op. cit.</w:t>
      </w:r>
    </w:p>
  </w:endnote>
  <w:endnote w:id="41">
    <w:p w14:paraId="33508CF3" w14:textId="5B38D7DB" w:rsidR="000745AA" w:rsidRDefault="000745AA" w:rsidP="0053461A">
      <w:pPr>
        <w:pStyle w:val="Footnote"/>
      </w:pPr>
      <w:r>
        <w:rPr>
          <w:rStyle w:val="EndnoteReference"/>
        </w:rPr>
        <w:endnoteRef/>
      </w:r>
      <w:r>
        <w:t xml:space="preserve"> </w:t>
      </w:r>
      <w:r>
        <w:rPr>
          <w:rFonts w:eastAsia="Calibri"/>
          <w:lang w:val="en-CA"/>
        </w:rPr>
        <w:t>Ibid.</w:t>
      </w:r>
    </w:p>
  </w:endnote>
  <w:endnote w:id="42">
    <w:p w14:paraId="00AC69BA" w14:textId="12D1317F" w:rsidR="000745AA" w:rsidRDefault="000745AA" w:rsidP="0053461A">
      <w:pPr>
        <w:pStyle w:val="Footnote"/>
      </w:pPr>
      <w:r>
        <w:rPr>
          <w:rStyle w:val="EndnoteReference"/>
        </w:rPr>
        <w:endnoteRef/>
      </w:r>
      <w:r>
        <w:t xml:space="preserve"> </w:t>
      </w:r>
      <w:r w:rsidRPr="00820F7C">
        <w:rPr>
          <w:rFonts w:eastAsia="Calibri"/>
          <w:lang w:val="en-CA"/>
        </w:rPr>
        <w:t xml:space="preserve">Sara Neely, “Non-Profits, Not-for-Profits, and Charities: What’s the </w:t>
      </w:r>
      <w:r>
        <w:rPr>
          <w:rFonts w:eastAsia="Calibri"/>
          <w:lang w:val="en-CA"/>
        </w:rPr>
        <w:t>D</w:t>
      </w:r>
      <w:r w:rsidRPr="00820F7C">
        <w:rPr>
          <w:rFonts w:eastAsia="Calibri"/>
          <w:lang w:val="en-CA"/>
        </w:rPr>
        <w:t>ifference?</w:t>
      </w:r>
      <w:r>
        <w:rPr>
          <w:rFonts w:eastAsia="Calibri"/>
          <w:lang w:val="en-CA"/>
        </w:rPr>
        <w:t>,</w:t>
      </w:r>
      <w:r w:rsidRPr="00820F7C">
        <w:rPr>
          <w:rFonts w:eastAsia="Calibri"/>
          <w:lang w:val="en-CA"/>
        </w:rPr>
        <w:t xml:space="preserve">” </w:t>
      </w:r>
      <w:r w:rsidRPr="00820F7C">
        <w:rPr>
          <w:rFonts w:eastAsia="Calibri"/>
          <w:i/>
          <w:lang w:val="en-CA"/>
        </w:rPr>
        <w:t>Scrivener</w:t>
      </w:r>
      <w:r w:rsidRPr="00820F7C">
        <w:rPr>
          <w:rFonts w:eastAsia="Calibri"/>
          <w:lang w:val="en-CA"/>
        </w:rPr>
        <w:t xml:space="preserve"> 12, </w:t>
      </w:r>
      <w:r>
        <w:rPr>
          <w:rFonts w:eastAsia="Calibri"/>
          <w:lang w:val="en-CA"/>
        </w:rPr>
        <w:t>n</w:t>
      </w:r>
      <w:r w:rsidRPr="00820F7C">
        <w:rPr>
          <w:rFonts w:eastAsia="Calibri"/>
          <w:lang w:val="en-CA"/>
        </w:rPr>
        <w:t>o. 3 (October 2003): 11</w:t>
      </w:r>
      <w:r>
        <w:rPr>
          <w:rFonts w:eastAsia="Calibri"/>
          <w:lang w:val="en-CA"/>
        </w:rPr>
        <w:t>–</w:t>
      </w:r>
      <w:r w:rsidRPr="00820F7C">
        <w:rPr>
          <w:rFonts w:eastAsia="Calibri"/>
          <w:lang w:val="en-CA"/>
        </w:rPr>
        <w:t>12, accessed August 23, 2017, www.notaries.bc.ca/resources/scrivener/fall2003/12_3_5.pdf.</w:t>
      </w:r>
    </w:p>
  </w:endnote>
  <w:endnote w:id="43">
    <w:p w14:paraId="2F5B06BF" w14:textId="70447D0A" w:rsidR="000745AA" w:rsidRDefault="000745AA" w:rsidP="0053461A">
      <w:pPr>
        <w:pStyle w:val="Footnote"/>
      </w:pPr>
      <w:r>
        <w:rPr>
          <w:rStyle w:val="EndnoteReference"/>
        </w:rPr>
        <w:endnoteRef/>
      </w:r>
      <w:r>
        <w:t xml:space="preserve"> </w:t>
      </w:r>
      <w:r w:rsidRPr="00820F7C">
        <w:rPr>
          <w:rFonts w:eastAsia="Calibri"/>
          <w:lang w:val="en-CA"/>
        </w:rPr>
        <w:t>Manwaring</w:t>
      </w:r>
      <w:r>
        <w:rPr>
          <w:rFonts w:eastAsia="Calibri"/>
          <w:lang w:val="en-CA"/>
        </w:rPr>
        <w:t xml:space="preserve"> and</w:t>
      </w:r>
      <w:r w:rsidRPr="00820F7C">
        <w:rPr>
          <w:rFonts w:eastAsia="Calibri"/>
          <w:lang w:val="en-CA"/>
        </w:rPr>
        <w:t xml:space="preserve"> Valentine, </w:t>
      </w:r>
      <w:r w:rsidRPr="00EE1D28">
        <w:rPr>
          <w:rFonts w:eastAsia="Calibri"/>
          <w:lang w:val="en-CA"/>
        </w:rPr>
        <w:t>“Social Enterprises in Canada: Structural Options,”</w:t>
      </w:r>
      <w:r w:rsidRPr="00820F7C">
        <w:rPr>
          <w:rFonts w:eastAsia="Calibri"/>
          <w:lang w:val="en-CA"/>
        </w:rPr>
        <w:t xml:space="preserve"> op. cit.</w:t>
      </w:r>
    </w:p>
  </w:endnote>
  <w:endnote w:id="44">
    <w:p w14:paraId="3C1BC440" w14:textId="52E07160" w:rsidR="000745AA" w:rsidRDefault="000745AA" w:rsidP="0053461A">
      <w:pPr>
        <w:pStyle w:val="Footnote"/>
      </w:pPr>
      <w:r>
        <w:rPr>
          <w:rStyle w:val="EndnoteReference"/>
        </w:rPr>
        <w:endnoteRef/>
      </w:r>
      <w:r>
        <w:t xml:space="preserve"> </w:t>
      </w:r>
      <w:r>
        <w:rPr>
          <w:rFonts w:eastAsia="Calibri"/>
          <w:lang w:val="en-CA"/>
        </w:rPr>
        <w:t>Ibid.</w:t>
      </w:r>
    </w:p>
  </w:endnote>
  <w:endnote w:id="45">
    <w:p w14:paraId="4EF1B398" w14:textId="7E64846A" w:rsidR="000745AA" w:rsidRDefault="000745AA" w:rsidP="0053461A">
      <w:pPr>
        <w:pStyle w:val="Footnote"/>
      </w:pPr>
      <w:r>
        <w:rPr>
          <w:rStyle w:val="EndnoteReference"/>
        </w:rPr>
        <w:endnoteRef/>
      </w:r>
      <w:r>
        <w:t xml:space="preserve"> </w:t>
      </w:r>
      <w:r w:rsidRPr="00820F7C">
        <w:rPr>
          <w:rFonts w:eastAsia="Calibri"/>
          <w:lang w:val="en-CA"/>
        </w:rPr>
        <w:t xml:space="preserve">Canada Business Network, “Why </w:t>
      </w:r>
      <w:r>
        <w:rPr>
          <w:rFonts w:eastAsia="Calibri"/>
          <w:lang w:val="en-CA"/>
        </w:rPr>
        <w:t>S</w:t>
      </w:r>
      <w:r w:rsidRPr="00820F7C">
        <w:rPr>
          <w:rFonts w:eastAsia="Calibri"/>
          <w:lang w:val="en-CA"/>
        </w:rPr>
        <w:t xml:space="preserve">tart a </w:t>
      </w:r>
      <w:r>
        <w:rPr>
          <w:rFonts w:eastAsia="Calibri"/>
          <w:lang w:val="en-CA"/>
        </w:rPr>
        <w:t>C</w:t>
      </w:r>
      <w:r w:rsidRPr="00820F7C">
        <w:rPr>
          <w:rFonts w:eastAsia="Calibri"/>
          <w:lang w:val="en-CA"/>
        </w:rPr>
        <w:t>o-operative?</w:t>
      </w:r>
      <w:r>
        <w:rPr>
          <w:rFonts w:eastAsia="Calibri"/>
          <w:lang w:val="en-CA"/>
        </w:rPr>
        <w:t>,</w:t>
      </w:r>
      <w:r w:rsidRPr="00820F7C">
        <w:rPr>
          <w:rFonts w:eastAsia="Calibri"/>
          <w:lang w:val="en-CA"/>
        </w:rPr>
        <w:t>” March 20, 2014, accessed September 7, 2017, https://canadabusiness.ca/blog/why-start-a-co-operative-1/.</w:t>
      </w:r>
    </w:p>
  </w:endnote>
  <w:endnote w:id="46">
    <w:p w14:paraId="2DE39EC1" w14:textId="7E843C02" w:rsidR="000745AA" w:rsidRDefault="000745AA" w:rsidP="0053461A">
      <w:pPr>
        <w:pStyle w:val="Footnote"/>
      </w:pPr>
      <w:r>
        <w:rPr>
          <w:rStyle w:val="EndnoteReference"/>
        </w:rPr>
        <w:endnoteRef/>
      </w:r>
      <w:r>
        <w:t xml:space="preserve"> </w:t>
      </w:r>
      <w:r w:rsidRPr="00820F7C">
        <w:rPr>
          <w:rFonts w:eastAsia="Calibri"/>
          <w:lang w:val="en-CA"/>
        </w:rPr>
        <w:t>Manwaring</w:t>
      </w:r>
      <w:r>
        <w:rPr>
          <w:rFonts w:eastAsia="Calibri"/>
          <w:lang w:val="en-CA"/>
        </w:rPr>
        <w:t xml:space="preserve"> and </w:t>
      </w:r>
      <w:r w:rsidRPr="00820F7C">
        <w:rPr>
          <w:rFonts w:eastAsia="Calibri"/>
          <w:lang w:val="en-CA"/>
        </w:rPr>
        <w:t xml:space="preserve">Valentine, </w:t>
      </w:r>
      <w:r w:rsidRPr="00EE1D28">
        <w:rPr>
          <w:rFonts w:eastAsia="Calibri"/>
          <w:lang w:val="en-CA"/>
        </w:rPr>
        <w:t>“Social Enterprises in Canada: Structural Options,”</w:t>
      </w:r>
      <w:r w:rsidRPr="00820F7C">
        <w:rPr>
          <w:rFonts w:eastAsia="Calibri"/>
          <w:lang w:val="en-CA"/>
        </w:rPr>
        <w:t xml:space="preserve"> op. cit.</w:t>
      </w:r>
    </w:p>
  </w:endnote>
  <w:endnote w:id="47">
    <w:p w14:paraId="4EEF2C6B" w14:textId="51425484" w:rsidR="000745AA" w:rsidRDefault="000745AA" w:rsidP="0053461A">
      <w:pPr>
        <w:pStyle w:val="Footnote"/>
      </w:pPr>
      <w:r>
        <w:rPr>
          <w:rStyle w:val="EndnoteReference"/>
        </w:rPr>
        <w:endnoteRef/>
      </w:r>
      <w:r>
        <w:t xml:space="preserve"> </w:t>
      </w:r>
      <w:r w:rsidRPr="00820F7C">
        <w:rPr>
          <w:rFonts w:eastAsia="Calibri"/>
          <w:lang w:val="en-CA"/>
        </w:rPr>
        <w:t>Ibid.</w:t>
      </w:r>
    </w:p>
  </w:endnote>
  <w:endnote w:id="48">
    <w:p w14:paraId="362C569A" w14:textId="23BC8501" w:rsidR="000745AA" w:rsidRDefault="000745AA" w:rsidP="0053461A">
      <w:pPr>
        <w:pStyle w:val="Footnote"/>
      </w:pPr>
      <w:r>
        <w:rPr>
          <w:rStyle w:val="EndnoteReference"/>
        </w:rPr>
        <w:endnoteRef/>
      </w:r>
      <w:r>
        <w:t xml:space="preserve"> </w:t>
      </w:r>
      <w:r w:rsidRPr="00820F7C">
        <w:rPr>
          <w:rFonts w:eastAsia="Calibri"/>
          <w:lang w:val="en-CA"/>
        </w:rPr>
        <w:t>Wilson and Post,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2309C" w14:textId="77777777" w:rsidR="0035037D" w:rsidRDefault="0035037D" w:rsidP="00D75295">
      <w:r>
        <w:separator/>
      </w:r>
    </w:p>
  </w:footnote>
  <w:footnote w:type="continuationSeparator" w:id="0">
    <w:p w14:paraId="1E5E5DC9" w14:textId="77777777" w:rsidR="0035037D" w:rsidRDefault="0035037D"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62098" w14:textId="3F108735" w:rsidR="000745AA" w:rsidRDefault="000745AA"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412DA">
      <w:rPr>
        <w:rFonts w:ascii="Arial" w:hAnsi="Arial"/>
        <w:b/>
        <w:noProof/>
      </w:rPr>
      <w:t>7</w:t>
    </w:r>
    <w:r>
      <w:rPr>
        <w:rFonts w:ascii="Arial" w:hAnsi="Arial"/>
        <w:b/>
      </w:rPr>
      <w:fldChar w:fldCharType="end"/>
    </w:r>
    <w:r w:rsidR="00346611">
      <w:rPr>
        <w:rFonts w:ascii="Arial" w:hAnsi="Arial"/>
        <w:b/>
      </w:rPr>
      <w:tab/>
      <w:t>9B18M008</w:t>
    </w:r>
  </w:p>
  <w:p w14:paraId="522D1DC4" w14:textId="77777777" w:rsidR="000745AA" w:rsidRPr="00C92CC4" w:rsidRDefault="000745AA">
    <w:pPr>
      <w:pStyle w:val="Header"/>
      <w:rPr>
        <w:sz w:val="18"/>
        <w:szCs w:val="18"/>
      </w:rPr>
    </w:pPr>
  </w:p>
  <w:p w14:paraId="27DBCB09" w14:textId="77777777" w:rsidR="000745AA" w:rsidRPr="00C92CC4" w:rsidRDefault="000745AA">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5106"/>
    <w:rsid w:val="00013360"/>
    <w:rsid w:val="000216CE"/>
    <w:rsid w:val="00025DC7"/>
    <w:rsid w:val="00026486"/>
    <w:rsid w:val="00044ECC"/>
    <w:rsid w:val="00050694"/>
    <w:rsid w:val="000512BE"/>
    <w:rsid w:val="000531D3"/>
    <w:rsid w:val="0005646B"/>
    <w:rsid w:val="00066342"/>
    <w:rsid w:val="000745AA"/>
    <w:rsid w:val="0008102D"/>
    <w:rsid w:val="00094C0E"/>
    <w:rsid w:val="000A2A9A"/>
    <w:rsid w:val="000B4CD9"/>
    <w:rsid w:val="000C1161"/>
    <w:rsid w:val="000F0C22"/>
    <w:rsid w:val="000F46B7"/>
    <w:rsid w:val="000F6B09"/>
    <w:rsid w:val="000F6FDC"/>
    <w:rsid w:val="00104567"/>
    <w:rsid w:val="00127294"/>
    <w:rsid w:val="0012732D"/>
    <w:rsid w:val="001412DA"/>
    <w:rsid w:val="00154FC9"/>
    <w:rsid w:val="001565D4"/>
    <w:rsid w:val="001727D4"/>
    <w:rsid w:val="00184593"/>
    <w:rsid w:val="0019241A"/>
    <w:rsid w:val="001A04F7"/>
    <w:rsid w:val="001A50DE"/>
    <w:rsid w:val="001A5335"/>
    <w:rsid w:val="001A752D"/>
    <w:rsid w:val="001F7942"/>
    <w:rsid w:val="00203AA1"/>
    <w:rsid w:val="0020642D"/>
    <w:rsid w:val="0020728E"/>
    <w:rsid w:val="00207535"/>
    <w:rsid w:val="00213B7F"/>
    <w:rsid w:val="00213E98"/>
    <w:rsid w:val="0021470D"/>
    <w:rsid w:val="00230D31"/>
    <w:rsid w:val="00241BC4"/>
    <w:rsid w:val="0026078D"/>
    <w:rsid w:val="002644BA"/>
    <w:rsid w:val="00271309"/>
    <w:rsid w:val="00277D0E"/>
    <w:rsid w:val="0029402B"/>
    <w:rsid w:val="002A4EDA"/>
    <w:rsid w:val="002D25FC"/>
    <w:rsid w:val="002E32F0"/>
    <w:rsid w:val="002F460C"/>
    <w:rsid w:val="002F48D6"/>
    <w:rsid w:val="003154FD"/>
    <w:rsid w:val="00343565"/>
    <w:rsid w:val="00346611"/>
    <w:rsid w:val="0035037D"/>
    <w:rsid w:val="00354899"/>
    <w:rsid w:val="00355FD6"/>
    <w:rsid w:val="003567FE"/>
    <w:rsid w:val="00361C8E"/>
    <w:rsid w:val="00364A5C"/>
    <w:rsid w:val="00366CFE"/>
    <w:rsid w:val="003670F3"/>
    <w:rsid w:val="00373FB1"/>
    <w:rsid w:val="0038397C"/>
    <w:rsid w:val="0038710E"/>
    <w:rsid w:val="003926F0"/>
    <w:rsid w:val="003A1BFE"/>
    <w:rsid w:val="003A75A3"/>
    <w:rsid w:val="003B30D8"/>
    <w:rsid w:val="003B7EF2"/>
    <w:rsid w:val="003C3FA4"/>
    <w:rsid w:val="003D147B"/>
    <w:rsid w:val="003D581D"/>
    <w:rsid w:val="003E3DCE"/>
    <w:rsid w:val="003E7348"/>
    <w:rsid w:val="003F1FB0"/>
    <w:rsid w:val="003F2B0C"/>
    <w:rsid w:val="003F6EAF"/>
    <w:rsid w:val="0041502D"/>
    <w:rsid w:val="004221E4"/>
    <w:rsid w:val="004343A5"/>
    <w:rsid w:val="00435527"/>
    <w:rsid w:val="00462FD7"/>
    <w:rsid w:val="00471088"/>
    <w:rsid w:val="00483AF9"/>
    <w:rsid w:val="00486DB8"/>
    <w:rsid w:val="00495C86"/>
    <w:rsid w:val="004B1CCB"/>
    <w:rsid w:val="004B7539"/>
    <w:rsid w:val="004C3A0D"/>
    <w:rsid w:val="004C493B"/>
    <w:rsid w:val="004C5171"/>
    <w:rsid w:val="004D69E5"/>
    <w:rsid w:val="004D73A5"/>
    <w:rsid w:val="004E1AA2"/>
    <w:rsid w:val="00517448"/>
    <w:rsid w:val="00532CF5"/>
    <w:rsid w:val="0053461A"/>
    <w:rsid w:val="00535FC8"/>
    <w:rsid w:val="005528CB"/>
    <w:rsid w:val="0056454B"/>
    <w:rsid w:val="00566771"/>
    <w:rsid w:val="005702D2"/>
    <w:rsid w:val="00581E2E"/>
    <w:rsid w:val="00584F15"/>
    <w:rsid w:val="005A36B6"/>
    <w:rsid w:val="005C456B"/>
    <w:rsid w:val="005F0C20"/>
    <w:rsid w:val="006071FF"/>
    <w:rsid w:val="006105A9"/>
    <w:rsid w:val="00615AEC"/>
    <w:rsid w:val="006163F7"/>
    <w:rsid w:val="006171F2"/>
    <w:rsid w:val="0062179B"/>
    <w:rsid w:val="006437FE"/>
    <w:rsid w:val="00652606"/>
    <w:rsid w:val="00675340"/>
    <w:rsid w:val="00682754"/>
    <w:rsid w:val="00694D30"/>
    <w:rsid w:val="006A58A9"/>
    <w:rsid w:val="006A606D"/>
    <w:rsid w:val="006A6DB4"/>
    <w:rsid w:val="006B7F7A"/>
    <w:rsid w:val="006C0371"/>
    <w:rsid w:val="006C08B6"/>
    <w:rsid w:val="006C0B1A"/>
    <w:rsid w:val="006C4384"/>
    <w:rsid w:val="006C5FA7"/>
    <w:rsid w:val="006C6065"/>
    <w:rsid w:val="006C7F9F"/>
    <w:rsid w:val="006D6D8D"/>
    <w:rsid w:val="006E015B"/>
    <w:rsid w:val="006E07C2"/>
    <w:rsid w:val="006E2F6D"/>
    <w:rsid w:val="006E54C4"/>
    <w:rsid w:val="006E58F6"/>
    <w:rsid w:val="006E6852"/>
    <w:rsid w:val="006E77E1"/>
    <w:rsid w:val="006F131D"/>
    <w:rsid w:val="00707D2D"/>
    <w:rsid w:val="00707E87"/>
    <w:rsid w:val="00714259"/>
    <w:rsid w:val="00720FD0"/>
    <w:rsid w:val="00752BCD"/>
    <w:rsid w:val="00766DA1"/>
    <w:rsid w:val="00772D67"/>
    <w:rsid w:val="007866A6"/>
    <w:rsid w:val="007972EC"/>
    <w:rsid w:val="007A130D"/>
    <w:rsid w:val="007B2259"/>
    <w:rsid w:val="007B772D"/>
    <w:rsid w:val="007D0B4F"/>
    <w:rsid w:val="007D4102"/>
    <w:rsid w:val="007D56CA"/>
    <w:rsid w:val="007E5921"/>
    <w:rsid w:val="007F24EE"/>
    <w:rsid w:val="007F51FC"/>
    <w:rsid w:val="007F5561"/>
    <w:rsid w:val="007F764D"/>
    <w:rsid w:val="008162F1"/>
    <w:rsid w:val="00820F7C"/>
    <w:rsid w:val="00821FFC"/>
    <w:rsid w:val="008271CA"/>
    <w:rsid w:val="008354D8"/>
    <w:rsid w:val="008467D5"/>
    <w:rsid w:val="00847224"/>
    <w:rsid w:val="00856D9F"/>
    <w:rsid w:val="008575B3"/>
    <w:rsid w:val="00866F6D"/>
    <w:rsid w:val="00875F4C"/>
    <w:rsid w:val="00896961"/>
    <w:rsid w:val="008A4DC4"/>
    <w:rsid w:val="008A7856"/>
    <w:rsid w:val="008C476A"/>
    <w:rsid w:val="008F2913"/>
    <w:rsid w:val="009067A4"/>
    <w:rsid w:val="0090722E"/>
    <w:rsid w:val="009340DB"/>
    <w:rsid w:val="00956D9C"/>
    <w:rsid w:val="00963391"/>
    <w:rsid w:val="00972498"/>
    <w:rsid w:val="00974727"/>
    <w:rsid w:val="00974CC6"/>
    <w:rsid w:val="00976AD4"/>
    <w:rsid w:val="009A11F9"/>
    <w:rsid w:val="009A312F"/>
    <w:rsid w:val="009A5348"/>
    <w:rsid w:val="009A67BB"/>
    <w:rsid w:val="009B3B14"/>
    <w:rsid w:val="009B512D"/>
    <w:rsid w:val="009C5251"/>
    <w:rsid w:val="009C76D5"/>
    <w:rsid w:val="009D0274"/>
    <w:rsid w:val="009D11D8"/>
    <w:rsid w:val="009D7F3F"/>
    <w:rsid w:val="009E295C"/>
    <w:rsid w:val="009F7AA4"/>
    <w:rsid w:val="00A46A43"/>
    <w:rsid w:val="00A559DB"/>
    <w:rsid w:val="00A60A33"/>
    <w:rsid w:val="00A772E1"/>
    <w:rsid w:val="00AA22BD"/>
    <w:rsid w:val="00AC645A"/>
    <w:rsid w:val="00AD5B06"/>
    <w:rsid w:val="00AF35FC"/>
    <w:rsid w:val="00B03639"/>
    <w:rsid w:val="00B05366"/>
    <w:rsid w:val="00B0652A"/>
    <w:rsid w:val="00B3757D"/>
    <w:rsid w:val="00B40937"/>
    <w:rsid w:val="00B423EF"/>
    <w:rsid w:val="00B453DE"/>
    <w:rsid w:val="00B4742F"/>
    <w:rsid w:val="00B552DB"/>
    <w:rsid w:val="00B66EF4"/>
    <w:rsid w:val="00B842D4"/>
    <w:rsid w:val="00B901F9"/>
    <w:rsid w:val="00B924C5"/>
    <w:rsid w:val="00B96F45"/>
    <w:rsid w:val="00BA23EA"/>
    <w:rsid w:val="00BA4CE0"/>
    <w:rsid w:val="00BD4344"/>
    <w:rsid w:val="00BD6EFB"/>
    <w:rsid w:val="00C13FD4"/>
    <w:rsid w:val="00C15BE2"/>
    <w:rsid w:val="00C22219"/>
    <w:rsid w:val="00C318C0"/>
    <w:rsid w:val="00C3447F"/>
    <w:rsid w:val="00C40B7E"/>
    <w:rsid w:val="00C620B1"/>
    <w:rsid w:val="00C640D5"/>
    <w:rsid w:val="00C81491"/>
    <w:rsid w:val="00C81676"/>
    <w:rsid w:val="00C830DD"/>
    <w:rsid w:val="00C92CC4"/>
    <w:rsid w:val="00C953AE"/>
    <w:rsid w:val="00C96FC8"/>
    <w:rsid w:val="00CA0AFB"/>
    <w:rsid w:val="00CA2329"/>
    <w:rsid w:val="00CA2CE1"/>
    <w:rsid w:val="00CA3976"/>
    <w:rsid w:val="00CA757B"/>
    <w:rsid w:val="00CB784C"/>
    <w:rsid w:val="00CC1588"/>
    <w:rsid w:val="00CC1787"/>
    <w:rsid w:val="00CC182C"/>
    <w:rsid w:val="00CC7822"/>
    <w:rsid w:val="00CD0824"/>
    <w:rsid w:val="00CD2908"/>
    <w:rsid w:val="00D02461"/>
    <w:rsid w:val="00D03A82"/>
    <w:rsid w:val="00D12B5B"/>
    <w:rsid w:val="00D15344"/>
    <w:rsid w:val="00D208A8"/>
    <w:rsid w:val="00D2290C"/>
    <w:rsid w:val="00D22A48"/>
    <w:rsid w:val="00D2404D"/>
    <w:rsid w:val="00D25269"/>
    <w:rsid w:val="00D31BEC"/>
    <w:rsid w:val="00D42F52"/>
    <w:rsid w:val="00D63150"/>
    <w:rsid w:val="00D64A32"/>
    <w:rsid w:val="00D64EFC"/>
    <w:rsid w:val="00D73711"/>
    <w:rsid w:val="00D75295"/>
    <w:rsid w:val="00D76CE9"/>
    <w:rsid w:val="00D96E53"/>
    <w:rsid w:val="00D97F12"/>
    <w:rsid w:val="00DB42E7"/>
    <w:rsid w:val="00DB4FF5"/>
    <w:rsid w:val="00DC7F60"/>
    <w:rsid w:val="00DD47B0"/>
    <w:rsid w:val="00DF32C2"/>
    <w:rsid w:val="00E05004"/>
    <w:rsid w:val="00E14889"/>
    <w:rsid w:val="00E22ABA"/>
    <w:rsid w:val="00E3754A"/>
    <w:rsid w:val="00E44B2A"/>
    <w:rsid w:val="00E471A7"/>
    <w:rsid w:val="00E578E0"/>
    <w:rsid w:val="00E635CF"/>
    <w:rsid w:val="00E85B20"/>
    <w:rsid w:val="00E971BD"/>
    <w:rsid w:val="00EB3AA3"/>
    <w:rsid w:val="00EB5410"/>
    <w:rsid w:val="00EC2907"/>
    <w:rsid w:val="00EC6E0A"/>
    <w:rsid w:val="00ED4E18"/>
    <w:rsid w:val="00EE1D28"/>
    <w:rsid w:val="00EE1F37"/>
    <w:rsid w:val="00EE69BF"/>
    <w:rsid w:val="00F0159C"/>
    <w:rsid w:val="00F04BB7"/>
    <w:rsid w:val="00F0672C"/>
    <w:rsid w:val="00F105B7"/>
    <w:rsid w:val="00F1286C"/>
    <w:rsid w:val="00F17A21"/>
    <w:rsid w:val="00F37E00"/>
    <w:rsid w:val="00F50E91"/>
    <w:rsid w:val="00F57D29"/>
    <w:rsid w:val="00F664E3"/>
    <w:rsid w:val="00F77357"/>
    <w:rsid w:val="00F8354A"/>
    <w:rsid w:val="00F92A99"/>
    <w:rsid w:val="00F96201"/>
    <w:rsid w:val="00FC30E9"/>
    <w:rsid w:val="00FC51E6"/>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5A23C11C"/>
  <w15:docId w15:val="{05F2A178-FF0F-40D4-8012-817031FE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customStyle="1" w:styleId="UnresolvedMention1">
    <w:name w:val="Unresolved Mention1"/>
    <w:basedOn w:val="DefaultParagraphFont"/>
    <w:uiPriority w:val="99"/>
    <w:semiHidden/>
    <w:unhideWhenUsed/>
    <w:rsid w:val="001565D4"/>
    <w:rPr>
      <w:color w:val="808080"/>
      <w:shd w:val="clear" w:color="auto" w:fill="E6E6E6"/>
    </w:rPr>
  </w:style>
  <w:style w:type="table" w:customStyle="1" w:styleId="TableGrid1">
    <w:name w:val="Table Grid1"/>
    <w:basedOn w:val="TableNormal"/>
    <w:next w:val="TableGrid"/>
    <w:uiPriority w:val="59"/>
    <w:rsid w:val="006071FF"/>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13F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03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8E60324-5054-4201-BF10-174E633E01B2}">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24DF63D-4C99-455B-9F40-9505E2CE559B}">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6FD01-23D1-4F75-8845-0FA105D35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3990</Words>
  <Characters>22748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5</cp:revision>
  <cp:lastPrinted>2011-06-23T13:34:00Z</cp:lastPrinted>
  <dcterms:created xsi:type="dcterms:W3CDTF">2018-01-15T15:56:00Z</dcterms:created>
  <dcterms:modified xsi:type="dcterms:W3CDTF">2018-01-25T16:36:00Z</dcterms:modified>
</cp:coreProperties>
</file>