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75295" w:rsidRDefault="00CF71AC" w:rsidP="00F105B7">
      <w:pPr>
        <w:pStyle w:val="ProductNumber"/>
      </w:pPr>
      <w:r>
        <w:t>9B18M020</w:t>
      </w:r>
    </w:p>
    <w:p w:rsidR="00D75295" w:rsidRPr="003D0BA1" w:rsidRDefault="00D75295" w:rsidP="00D75295">
      <w:pPr>
        <w:jc w:val="right"/>
        <w:rPr>
          <w:rFonts w:ascii="Arial" w:hAnsi="Arial"/>
          <w:b/>
          <w:sz w:val="28"/>
          <w:szCs w:val="28"/>
        </w:rPr>
      </w:pPr>
    </w:p>
    <w:p w:rsidR="00013360" w:rsidRPr="003D0BA1" w:rsidRDefault="00013360" w:rsidP="00D75295">
      <w:pPr>
        <w:jc w:val="right"/>
        <w:rPr>
          <w:rFonts w:ascii="Arial" w:hAnsi="Arial"/>
          <w:b/>
          <w:sz w:val="28"/>
          <w:szCs w:val="28"/>
        </w:rPr>
      </w:pPr>
    </w:p>
    <w:p w:rsidR="00013360" w:rsidRPr="00CF71AC" w:rsidRDefault="00CF71AC" w:rsidP="00013360">
      <w:pPr>
        <w:pStyle w:val="CaseTitle"/>
        <w:spacing w:after="0" w:line="240" w:lineRule="auto"/>
        <w:rPr>
          <w:sz w:val="20"/>
          <w:szCs w:val="20"/>
        </w:rPr>
      </w:pPr>
      <w:r w:rsidRPr="00CF71AC">
        <w:rPr>
          <w:lang w:val="en-GB"/>
        </w:rPr>
        <w:t>FORTIS INC. AND THE $11.8 Billion ITC DECISION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CF71AC" w:rsidP="00627C63">
      <w:pPr>
        <w:pStyle w:val="StyleCopyrightStatementAfter0ptBottomSinglesolidline1"/>
      </w:pPr>
      <w:r>
        <w:t>Selena Shannon Pritchard</w:t>
      </w:r>
      <w:r w:rsidR="001C7777">
        <w:t xml:space="preserve"> </w:t>
      </w:r>
      <w:r w:rsidR="004B632F" w:rsidRPr="00104567">
        <w:t>wrote this</w:t>
      </w:r>
      <w:r w:rsidR="004B632F">
        <w:t xml:space="preserve"> </w:t>
      </w:r>
      <w:r w:rsidR="00152682">
        <w:t>case</w:t>
      </w:r>
      <w:r w:rsidR="004B632F">
        <w:t xml:space="preserve"> </w:t>
      </w:r>
      <w:r>
        <w:t xml:space="preserve">under the </w:t>
      </w:r>
      <w:proofErr w:type="spellStart"/>
      <w:r>
        <w:t>supervison</w:t>
      </w:r>
      <w:proofErr w:type="spellEnd"/>
      <w:r>
        <w:t xml:space="preserve"> of Professors Roderick E. White and W. Glenn Rowe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w:t>
      </w:r>
      <w:r w:rsidR="00CF71AC">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CF71AC">
        <w:t>18</w:t>
      </w:r>
      <w:r w:rsidR="001C7777">
        <w:t>-</w:t>
      </w:r>
      <w:r w:rsidR="00CF71AC">
        <w:t>0</w:t>
      </w:r>
      <w:r w:rsidR="00745EF4">
        <w:t>2</w:t>
      </w:r>
      <w:r w:rsidR="00751E0B">
        <w:t>-</w:t>
      </w:r>
      <w:r w:rsidR="00745EF4">
        <w:t>0</w:t>
      </w:r>
      <w:bookmarkStart w:id="0" w:name="_GoBack"/>
      <w:bookmarkEnd w:id="0"/>
      <w:r w:rsidR="00961060">
        <w:t>1</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CF71AC" w:rsidRPr="007D2AA2" w:rsidRDefault="00CF71AC" w:rsidP="00050835">
      <w:pPr>
        <w:pStyle w:val="BodyTextMain"/>
        <w:rPr>
          <w:lang w:val="en-GB"/>
        </w:rPr>
      </w:pPr>
      <w:r w:rsidRPr="007D2AA2">
        <w:rPr>
          <w:lang w:val="en-GB"/>
        </w:rPr>
        <w:t xml:space="preserve">In the late fall of 2015, Karl Smith, </w:t>
      </w:r>
      <w:r>
        <w:rPr>
          <w:lang w:val="en-GB"/>
        </w:rPr>
        <w:t>e</w:t>
      </w:r>
      <w:r w:rsidRPr="007D2AA2">
        <w:rPr>
          <w:lang w:val="en-GB"/>
        </w:rPr>
        <w:t xml:space="preserve">xecutive vice-president and chief financial officer </w:t>
      </w:r>
      <w:r>
        <w:rPr>
          <w:lang w:val="en-GB"/>
        </w:rPr>
        <w:t xml:space="preserve">(CFO) </w:t>
      </w:r>
      <w:r w:rsidR="00961060">
        <w:rPr>
          <w:lang w:val="en-GB"/>
        </w:rPr>
        <w:t>of</w:t>
      </w:r>
      <w:r w:rsidRPr="007D2AA2">
        <w:rPr>
          <w:lang w:val="en-GB"/>
        </w:rPr>
        <w:t xml:space="preserve"> Fortis Inc.</w:t>
      </w:r>
      <w:r>
        <w:rPr>
          <w:lang w:val="en-GB"/>
        </w:rPr>
        <w:t xml:space="preserve"> (Fortis),</w:t>
      </w:r>
      <w:r w:rsidRPr="007D2AA2">
        <w:rPr>
          <w:lang w:val="en-GB"/>
        </w:rPr>
        <w:t xml:space="preserve"> </w:t>
      </w:r>
      <w:r w:rsidRPr="002A53B1">
        <w:rPr>
          <w:lang w:val="en-GB"/>
        </w:rPr>
        <w:t xml:space="preserve">a </w:t>
      </w:r>
      <w:proofErr w:type="spellStart"/>
      <w:r w:rsidRPr="002A53B1">
        <w:rPr>
          <w:lang w:val="en-GB"/>
        </w:rPr>
        <w:t>homegrown</w:t>
      </w:r>
      <w:proofErr w:type="spellEnd"/>
      <w:r w:rsidRPr="002A53B1">
        <w:rPr>
          <w:lang w:val="en-GB"/>
        </w:rPr>
        <w:t xml:space="preserve"> energy delivery company based in St John’s, Newfoundland</w:t>
      </w:r>
      <w:r>
        <w:rPr>
          <w:lang w:val="en-GB"/>
        </w:rPr>
        <w:t xml:space="preserve"> and Labrador, </w:t>
      </w:r>
      <w:r w:rsidRPr="007D2AA2">
        <w:rPr>
          <w:lang w:val="en-GB"/>
        </w:rPr>
        <w:t>was preparing to meet with Fortis’</w:t>
      </w:r>
      <w:r>
        <w:rPr>
          <w:lang w:val="en-GB"/>
        </w:rPr>
        <w:t>s</w:t>
      </w:r>
      <w:r w:rsidRPr="007D2AA2">
        <w:rPr>
          <w:lang w:val="en-GB"/>
        </w:rPr>
        <w:t xml:space="preserve"> leadership committee. On the agenda, was whether Fortis should make an offer to acquire ITC Holdings Corporation</w:t>
      </w:r>
      <w:r>
        <w:rPr>
          <w:lang w:val="en-GB"/>
        </w:rPr>
        <w:t xml:space="preserve"> (ITC)</w:t>
      </w:r>
      <w:r w:rsidRPr="007D2AA2">
        <w:rPr>
          <w:lang w:val="en-GB"/>
        </w:rPr>
        <w:t>, the largest independent transmission utility in the United States, for US$11.8 billion.</w:t>
      </w:r>
      <w:r>
        <w:rPr>
          <w:rStyle w:val="FootnoteReference"/>
          <w:lang w:val="en-GB"/>
        </w:rPr>
        <w:footnoteReference w:id="1"/>
      </w:r>
      <w:r w:rsidRPr="007D2AA2">
        <w:rPr>
          <w:lang w:val="en-GB"/>
        </w:rPr>
        <w:t xml:space="preserve"> If Fortis </w:t>
      </w:r>
      <w:r>
        <w:rPr>
          <w:lang w:val="en-GB"/>
        </w:rPr>
        <w:t>went</w:t>
      </w:r>
      <w:r w:rsidRPr="007D2AA2">
        <w:rPr>
          <w:lang w:val="en-GB"/>
        </w:rPr>
        <w:t xml:space="preserve"> ahead</w:t>
      </w:r>
      <w:r>
        <w:rPr>
          <w:lang w:val="en-GB"/>
        </w:rPr>
        <w:t xml:space="preserve"> with the offer and it was accepted</w:t>
      </w:r>
      <w:r w:rsidRPr="007D2AA2">
        <w:rPr>
          <w:lang w:val="en-GB"/>
        </w:rPr>
        <w:t xml:space="preserve">, this deal would be </w:t>
      </w:r>
      <w:r>
        <w:rPr>
          <w:lang w:val="en-GB"/>
        </w:rPr>
        <w:t xml:space="preserve">Fortis’s </w:t>
      </w:r>
      <w:r w:rsidRPr="007D2AA2">
        <w:rPr>
          <w:lang w:val="en-GB"/>
        </w:rPr>
        <w:t xml:space="preserve">most significant acquisition in its history and </w:t>
      </w:r>
      <w:r>
        <w:rPr>
          <w:lang w:val="en-GB"/>
        </w:rPr>
        <w:t xml:space="preserve">would </w:t>
      </w:r>
      <w:r w:rsidRPr="007D2AA2">
        <w:rPr>
          <w:lang w:val="en-GB"/>
        </w:rPr>
        <w:t>mark the company’s entry into the electricity transmission industry.</w:t>
      </w:r>
      <w:r w:rsidRPr="007D2AA2">
        <w:rPr>
          <w:rStyle w:val="FootnoteReference"/>
          <w:lang w:val="en-GB"/>
        </w:rPr>
        <w:footnoteReference w:id="2"/>
      </w:r>
      <w:r w:rsidRPr="007D2AA2">
        <w:rPr>
          <w:lang w:val="en-GB"/>
        </w:rPr>
        <w:t xml:space="preserve"> Smith reflected on his </w:t>
      </w:r>
      <w:r>
        <w:rPr>
          <w:lang w:val="en-GB"/>
        </w:rPr>
        <w:t>p</w:t>
      </w:r>
      <w:r w:rsidRPr="007D2AA2">
        <w:rPr>
          <w:lang w:val="en-GB"/>
        </w:rPr>
        <w:t xml:space="preserve">ast 30 years with Fortis and how far the small energy company from Newfoundland and Labrador had come. The company had grown from </w:t>
      </w:r>
      <w:r>
        <w:rPr>
          <w:lang w:val="en-GB"/>
        </w:rPr>
        <w:t>CA</w:t>
      </w:r>
      <w:r w:rsidRPr="007D2AA2">
        <w:rPr>
          <w:lang w:val="en-GB"/>
        </w:rPr>
        <w:t xml:space="preserve">$390 million in assets in 1987 to an anticipated </w:t>
      </w:r>
      <w:r>
        <w:rPr>
          <w:lang w:val="en-GB"/>
        </w:rPr>
        <w:t>CA</w:t>
      </w:r>
      <w:r w:rsidRPr="007D2AA2">
        <w:rPr>
          <w:lang w:val="en-GB"/>
        </w:rPr>
        <w:t>$48 billion, if the ITC transaction were to proceed. The ITC deal would make Fortis one of the 14 largest public utilities by enterprise value in North America. Furthermore, the deal would increase Fortis’</w:t>
      </w:r>
      <w:r>
        <w:rPr>
          <w:lang w:val="en-GB"/>
        </w:rPr>
        <w:t>s</w:t>
      </w:r>
      <w:r w:rsidRPr="007D2AA2">
        <w:rPr>
          <w:lang w:val="en-GB"/>
        </w:rPr>
        <w:t xml:space="preserve"> </w:t>
      </w:r>
      <w:r>
        <w:rPr>
          <w:lang w:val="en-GB"/>
        </w:rPr>
        <w:t>U.S.</w:t>
      </w:r>
      <w:r w:rsidRPr="007D2AA2">
        <w:rPr>
          <w:lang w:val="en-GB"/>
        </w:rPr>
        <w:t xml:space="preserve"> presence to nine states from two, in addition to the five Canadian provinces and three Caribbean countries in which the company already operated. While the potential ITC acquisition marked a big move for Fortis, Smith wondered </w:t>
      </w:r>
      <w:r>
        <w:rPr>
          <w:lang w:val="en-GB"/>
        </w:rPr>
        <w:t>whether</w:t>
      </w:r>
      <w:r w:rsidRPr="007D2AA2">
        <w:rPr>
          <w:lang w:val="en-GB"/>
        </w:rPr>
        <w:t xml:space="preserve"> this </w:t>
      </w:r>
      <w:r>
        <w:rPr>
          <w:lang w:val="en-GB"/>
        </w:rPr>
        <w:t xml:space="preserve">acquisition </w:t>
      </w:r>
      <w:r w:rsidRPr="007D2AA2">
        <w:rPr>
          <w:lang w:val="en-GB"/>
        </w:rPr>
        <w:t>was the best decision for the company.</w:t>
      </w:r>
    </w:p>
    <w:p w:rsidR="00CF71AC" w:rsidRPr="007D2AA2" w:rsidRDefault="00CF71AC" w:rsidP="00050835">
      <w:pPr>
        <w:pStyle w:val="BodyTextMain"/>
        <w:rPr>
          <w:lang w:val="en-GB"/>
        </w:rPr>
      </w:pPr>
    </w:p>
    <w:p w:rsidR="00CF71AC" w:rsidRPr="007D2AA2" w:rsidRDefault="00CF71AC" w:rsidP="00050835">
      <w:pPr>
        <w:pStyle w:val="BodyTextMain"/>
        <w:rPr>
          <w:lang w:val="en-GB"/>
        </w:rPr>
      </w:pPr>
    </w:p>
    <w:p w:rsidR="00CF71AC" w:rsidRPr="007D2AA2" w:rsidRDefault="00CF71AC" w:rsidP="00050835">
      <w:pPr>
        <w:pStyle w:val="Casehead1"/>
        <w:rPr>
          <w:lang w:val="en-GB"/>
        </w:rPr>
      </w:pPr>
      <w:r w:rsidRPr="007D2AA2">
        <w:rPr>
          <w:lang w:val="en-GB"/>
        </w:rPr>
        <w:t>Fortis</w:t>
      </w:r>
      <w:r>
        <w:rPr>
          <w:lang w:val="en-GB"/>
        </w:rPr>
        <w:t>’s</w:t>
      </w:r>
      <w:r w:rsidRPr="007D2AA2">
        <w:rPr>
          <w:lang w:val="en-GB"/>
        </w:rPr>
        <w:t xml:space="preserve"> Background</w:t>
      </w:r>
    </w:p>
    <w:p w:rsidR="00CF71AC" w:rsidRPr="007D2AA2" w:rsidRDefault="00CF71AC" w:rsidP="00050835">
      <w:pPr>
        <w:pStyle w:val="BodyTextMain"/>
        <w:rPr>
          <w:lang w:val="en-GB"/>
        </w:rPr>
      </w:pPr>
    </w:p>
    <w:p w:rsidR="00CF71AC" w:rsidRPr="007D2AA2" w:rsidRDefault="00CF71AC" w:rsidP="00050835">
      <w:pPr>
        <w:pStyle w:val="BodyTextMain"/>
        <w:rPr>
          <w:color w:val="000000"/>
          <w:lang w:val="en-GB"/>
        </w:rPr>
      </w:pPr>
      <w:r w:rsidRPr="007D2AA2">
        <w:rPr>
          <w:lang w:val="en-GB"/>
        </w:rPr>
        <w:t>Fortis had been founded in 1987 as a holding company for the Newfoundland Light &amp; Power Company</w:t>
      </w:r>
      <w:r>
        <w:rPr>
          <w:lang w:val="en-GB"/>
        </w:rPr>
        <w:t>, which</w:t>
      </w:r>
      <w:r w:rsidRPr="007D2AA2">
        <w:rPr>
          <w:lang w:val="en-GB"/>
        </w:rPr>
        <w:t xml:space="preserve"> had a long history dating back to 1885 and was one of </w:t>
      </w:r>
      <w:r>
        <w:rPr>
          <w:lang w:val="en-GB"/>
        </w:rPr>
        <w:t>Canada’s</w:t>
      </w:r>
      <w:r w:rsidRPr="007D2AA2">
        <w:rPr>
          <w:lang w:val="en-GB"/>
        </w:rPr>
        <w:t xml:space="preserve"> few investor-owned electricity distribution companies. After Fortis was formed, the company continued to focus on growing in electricity distribution and made its first investment</w:t>
      </w:r>
      <w:r>
        <w:rPr>
          <w:lang w:val="en-GB"/>
        </w:rPr>
        <w:t>,</w:t>
      </w:r>
      <w:r w:rsidRPr="007D2AA2">
        <w:rPr>
          <w:lang w:val="en-GB"/>
        </w:rPr>
        <w:t xml:space="preserve"> outside of the province of Newfoundland and Labrador, in Maritime Electric in Prince Edward Island, Canada. </w:t>
      </w:r>
      <w:r>
        <w:rPr>
          <w:lang w:val="en-GB"/>
        </w:rPr>
        <w:t>During this period, e</w:t>
      </w:r>
      <w:r w:rsidRPr="007D2AA2">
        <w:rPr>
          <w:lang w:val="en-GB"/>
        </w:rPr>
        <w:t>nergy distribution, particularly in Canada</w:t>
      </w:r>
      <w:r>
        <w:rPr>
          <w:lang w:val="en-GB"/>
        </w:rPr>
        <w:t>,</w:t>
      </w:r>
      <w:r w:rsidRPr="007D2AA2">
        <w:rPr>
          <w:lang w:val="en-GB"/>
        </w:rPr>
        <w:t xml:space="preserve"> remained mostly publicly</w:t>
      </w:r>
      <w:r>
        <w:rPr>
          <w:lang w:val="en-GB"/>
        </w:rPr>
        <w:t xml:space="preserve"> </w:t>
      </w:r>
      <w:r w:rsidRPr="007D2AA2">
        <w:rPr>
          <w:lang w:val="en-GB"/>
        </w:rPr>
        <w:t>owned and heavily regulated. Consequently, Fortis invested in new regions when opportunities were available, in part to diversify its regulatory risk.</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Starting in 1987, </w:t>
      </w:r>
      <w:r>
        <w:rPr>
          <w:lang w:val="en-GB"/>
        </w:rPr>
        <w:t>Fortis’s chief executive officer (</w:t>
      </w:r>
      <w:r w:rsidRPr="007D2AA2">
        <w:rPr>
          <w:lang w:val="en-GB"/>
        </w:rPr>
        <w:t>CEO</w:t>
      </w:r>
      <w:r>
        <w:rPr>
          <w:lang w:val="en-GB"/>
        </w:rPr>
        <w:t>),</w:t>
      </w:r>
      <w:r w:rsidRPr="007D2AA2">
        <w:rPr>
          <w:lang w:val="en-GB"/>
        </w:rPr>
        <w:t xml:space="preserve"> Angus </w:t>
      </w:r>
      <w:proofErr w:type="spellStart"/>
      <w:r w:rsidRPr="007D2AA2">
        <w:rPr>
          <w:lang w:val="en-GB"/>
        </w:rPr>
        <w:t>Bruneau</w:t>
      </w:r>
      <w:proofErr w:type="spellEnd"/>
      <w:r w:rsidRPr="007D2AA2">
        <w:rPr>
          <w:lang w:val="en-GB"/>
        </w:rPr>
        <w:t>, spearheaded the transformation of Fortis.</w:t>
      </w:r>
      <w:r>
        <w:rPr>
          <w:lang w:val="en-GB"/>
        </w:rPr>
        <w:t xml:space="preserve"> </w:t>
      </w:r>
      <w:proofErr w:type="spellStart"/>
      <w:r>
        <w:rPr>
          <w:lang w:val="en-GB"/>
        </w:rPr>
        <w:t>Bruneau</w:t>
      </w:r>
      <w:proofErr w:type="spellEnd"/>
      <w:r>
        <w:rPr>
          <w:lang w:val="en-GB"/>
        </w:rPr>
        <w:t xml:space="preserve"> was </w:t>
      </w:r>
      <w:r w:rsidRPr="007D2AA2">
        <w:rPr>
          <w:lang w:val="en-GB"/>
        </w:rPr>
        <w:t xml:space="preserve">a former academic who had been the </w:t>
      </w:r>
      <w:r>
        <w:rPr>
          <w:lang w:val="en-GB"/>
        </w:rPr>
        <w:t>f</w:t>
      </w:r>
      <w:r w:rsidRPr="007D2AA2">
        <w:rPr>
          <w:lang w:val="en-GB"/>
        </w:rPr>
        <w:t xml:space="preserve">ounding </w:t>
      </w:r>
      <w:r>
        <w:rPr>
          <w:lang w:val="en-GB"/>
        </w:rPr>
        <w:t>d</w:t>
      </w:r>
      <w:r w:rsidRPr="007D2AA2">
        <w:rPr>
          <w:lang w:val="en-GB"/>
        </w:rPr>
        <w:t xml:space="preserve">ean of the Faculty of Engineering and Applied Science and later the </w:t>
      </w:r>
      <w:r>
        <w:rPr>
          <w:lang w:val="en-GB"/>
        </w:rPr>
        <w:t>v</w:t>
      </w:r>
      <w:r w:rsidRPr="007D2AA2">
        <w:rPr>
          <w:lang w:val="en-GB"/>
        </w:rPr>
        <w:t>ice-</w:t>
      </w:r>
      <w:r>
        <w:rPr>
          <w:lang w:val="en-GB"/>
        </w:rPr>
        <w:t>p</w:t>
      </w:r>
      <w:r w:rsidRPr="007D2AA2">
        <w:rPr>
          <w:lang w:val="en-GB"/>
        </w:rPr>
        <w:t xml:space="preserve">resident for Professional Schools and Community Services at </w:t>
      </w:r>
      <w:r w:rsidRPr="007D2AA2">
        <w:rPr>
          <w:lang w:val="en-GB"/>
        </w:rPr>
        <w:lastRenderedPageBreak/>
        <w:t>Memorial University of Newfoundland in St. John’s. “</w:t>
      </w:r>
      <w:r w:rsidRPr="007D2AA2">
        <w:rPr>
          <w:color w:val="000000"/>
          <w:shd w:val="clear" w:color="auto" w:fill="FFFFFF"/>
          <w:lang w:val="en-GB"/>
        </w:rPr>
        <w:t>He [</w:t>
      </w:r>
      <w:proofErr w:type="spellStart"/>
      <w:r w:rsidRPr="007D2AA2">
        <w:rPr>
          <w:color w:val="000000"/>
          <w:shd w:val="clear" w:color="auto" w:fill="FFFFFF"/>
          <w:lang w:val="en-GB"/>
        </w:rPr>
        <w:t>Bruneau</w:t>
      </w:r>
      <w:proofErr w:type="spellEnd"/>
      <w:r w:rsidRPr="007D2AA2">
        <w:rPr>
          <w:color w:val="000000"/>
          <w:shd w:val="clear" w:color="auto" w:fill="FFFFFF"/>
          <w:lang w:val="en-GB"/>
        </w:rPr>
        <w:t>] changed what was a very traditional utility into an exciting employee</w:t>
      </w:r>
      <w:r>
        <w:rPr>
          <w:color w:val="000000"/>
          <w:shd w:val="clear" w:color="auto" w:fill="FFFFFF"/>
          <w:lang w:val="en-GB"/>
        </w:rPr>
        <w:t>-</w:t>
      </w:r>
      <w:r w:rsidRPr="007D2AA2">
        <w:rPr>
          <w:color w:val="000000"/>
          <w:shd w:val="clear" w:color="auto" w:fill="FFFFFF"/>
          <w:lang w:val="en-GB"/>
        </w:rPr>
        <w:t>, customer</w:t>
      </w:r>
      <w:r>
        <w:rPr>
          <w:color w:val="000000"/>
          <w:shd w:val="clear" w:color="auto" w:fill="FFFFFF"/>
          <w:lang w:val="en-GB"/>
        </w:rPr>
        <w:t>-,</w:t>
      </w:r>
      <w:r w:rsidRPr="007D2AA2">
        <w:rPr>
          <w:color w:val="000000"/>
          <w:shd w:val="clear" w:color="auto" w:fill="FFFFFF"/>
          <w:lang w:val="en-GB"/>
        </w:rPr>
        <w:t xml:space="preserve"> and community-focused company which provided many of us </w:t>
      </w:r>
      <w:r>
        <w:rPr>
          <w:color w:val="000000"/>
          <w:shd w:val="clear" w:color="auto" w:fill="FFFFFF"/>
          <w:lang w:val="en-GB"/>
        </w:rPr>
        <w:t xml:space="preserve">[with] a </w:t>
      </w:r>
      <w:r w:rsidRPr="007D2AA2">
        <w:rPr>
          <w:color w:val="000000"/>
          <w:shd w:val="clear" w:color="auto" w:fill="FFFFFF"/>
          <w:lang w:val="en-GB"/>
        </w:rPr>
        <w:t>fulfilling career,</w:t>
      </w:r>
      <w:r w:rsidRPr="007D2AA2">
        <w:rPr>
          <w:lang w:val="en-GB"/>
        </w:rPr>
        <w:t>”</w:t>
      </w:r>
      <w:r w:rsidRPr="007D2AA2">
        <w:rPr>
          <w:color w:val="000000"/>
          <w:shd w:val="clear" w:color="auto" w:fill="FFFFFF"/>
          <w:lang w:val="en-GB"/>
        </w:rPr>
        <w:t xml:space="preserve"> said Earl Ludlow,</w:t>
      </w:r>
      <w:r w:rsidRPr="007D2AA2">
        <w:rPr>
          <w:rStyle w:val="FootnoteReference"/>
          <w:color w:val="000000"/>
          <w:shd w:val="clear" w:color="auto" w:fill="FFFFFF"/>
          <w:lang w:val="en-GB"/>
        </w:rPr>
        <w:footnoteReference w:id="3"/>
      </w:r>
      <w:r w:rsidRPr="007D2AA2">
        <w:rPr>
          <w:color w:val="000000"/>
          <w:shd w:val="clear" w:color="auto" w:fill="FFFFFF"/>
          <w:lang w:val="en-GB"/>
        </w:rPr>
        <w:t xml:space="preserve"> </w:t>
      </w:r>
      <w:r>
        <w:rPr>
          <w:color w:val="000000"/>
          <w:shd w:val="clear" w:color="auto" w:fill="FFFFFF"/>
          <w:lang w:val="en-GB"/>
        </w:rPr>
        <w:t>e</w:t>
      </w:r>
      <w:r w:rsidRPr="007D2AA2">
        <w:rPr>
          <w:color w:val="000000"/>
          <w:shd w:val="clear" w:color="auto" w:fill="FFFFFF"/>
          <w:lang w:val="en-GB"/>
        </w:rPr>
        <w:t xml:space="preserve">xecutive </w:t>
      </w:r>
      <w:r>
        <w:rPr>
          <w:color w:val="000000"/>
          <w:shd w:val="clear" w:color="auto" w:fill="FFFFFF"/>
          <w:lang w:val="en-GB"/>
        </w:rPr>
        <w:t>v</w:t>
      </w:r>
      <w:r w:rsidRPr="007D2AA2">
        <w:rPr>
          <w:color w:val="000000"/>
          <w:shd w:val="clear" w:color="auto" w:fill="FFFFFF"/>
          <w:lang w:val="en-GB"/>
        </w:rPr>
        <w:t>ice</w:t>
      </w:r>
      <w:r>
        <w:rPr>
          <w:color w:val="000000"/>
          <w:shd w:val="clear" w:color="auto" w:fill="FFFFFF"/>
          <w:lang w:val="en-GB"/>
        </w:rPr>
        <w:t>-p</w:t>
      </w:r>
      <w:r w:rsidRPr="007D2AA2">
        <w:rPr>
          <w:color w:val="000000"/>
          <w:shd w:val="clear" w:color="auto" w:fill="FFFFFF"/>
          <w:lang w:val="en-GB"/>
        </w:rPr>
        <w:t>resident, Eastern Canadian and Caribbean Operations at Fortis.</w:t>
      </w:r>
      <w:r w:rsidRPr="007D2AA2">
        <w:rPr>
          <w:color w:val="000000"/>
          <w:lang w:val="en-GB"/>
        </w:rPr>
        <w:t xml:space="preserve"> </w:t>
      </w:r>
      <w:r w:rsidRPr="007D2AA2">
        <w:rPr>
          <w:lang w:val="en-GB"/>
        </w:rPr>
        <w:t xml:space="preserve">When </w:t>
      </w:r>
      <w:proofErr w:type="spellStart"/>
      <w:r w:rsidRPr="007D2AA2">
        <w:rPr>
          <w:lang w:val="en-GB"/>
        </w:rPr>
        <w:t>Bruneau</w:t>
      </w:r>
      <w:proofErr w:type="spellEnd"/>
      <w:r w:rsidRPr="007D2AA2">
        <w:rPr>
          <w:lang w:val="en-GB"/>
        </w:rPr>
        <w:t xml:space="preserve"> retired in 1996, Stan Marshall was named CEO of Fortis. Karl Smith noted, “Stan was the primary architect—Angus was the visionary and Stan was the architect. Stan carried that torch for so many years.”</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Marshall’s primary goal for Fortis was to ensure no more than 25 per cent of the company was exposed to one regulator. Regulation of the energy industry added significant pressures to companies operating within this space. Said Smith</w:t>
      </w:r>
      <w:r>
        <w:rPr>
          <w:lang w:val="en-GB"/>
        </w:rPr>
        <w:t>:</w:t>
      </w:r>
      <w:r w:rsidRPr="007D2AA2">
        <w:rPr>
          <w:lang w:val="en-GB"/>
        </w:rPr>
        <w:t xml:space="preserve"> “This is the way regulation works. You have a regulator in the province of Alberta (for example) whose obligation is to make sure that electricity customers in Alberta pay the least amount they should for electricity. That</w:t>
      </w:r>
      <w:r>
        <w:rPr>
          <w:lang w:val="en-GB"/>
        </w:rPr>
        <w:t>’</w:t>
      </w:r>
      <w:r w:rsidRPr="007D2AA2">
        <w:rPr>
          <w:lang w:val="en-GB"/>
        </w:rPr>
        <w:t>s all they care about.” Accordingly, the company focused on acquisitions to diversify its regulatory risk</w:t>
      </w:r>
      <w:r>
        <w:rPr>
          <w:lang w:val="en-GB"/>
        </w:rPr>
        <w:t xml:space="preserve"> (see Exhibit 1)</w:t>
      </w:r>
      <w:r w:rsidRPr="007D2AA2">
        <w:rPr>
          <w:lang w:val="en-GB"/>
        </w:rPr>
        <w:t>. In 1999, Fortis made its first international investment</w:t>
      </w:r>
      <w:r>
        <w:rPr>
          <w:lang w:val="en-GB"/>
        </w:rPr>
        <w:t>,</w:t>
      </w:r>
      <w:r w:rsidRPr="007D2AA2">
        <w:rPr>
          <w:lang w:val="en-GB"/>
        </w:rPr>
        <w:t xml:space="preserve"> in Belize</w:t>
      </w:r>
      <w:r>
        <w:rPr>
          <w:lang w:val="en-GB"/>
        </w:rPr>
        <w:t>,</w:t>
      </w:r>
      <w:r w:rsidRPr="007D2AA2">
        <w:rPr>
          <w:lang w:val="en-GB"/>
        </w:rPr>
        <w:t xml:space="preserve"> where Fortis owned a 33 per cent interest in Belize Electricity as of late 2015</w:t>
      </w:r>
      <w:r>
        <w:rPr>
          <w:lang w:val="en-GB"/>
        </w:rPr>
        <w:t>; and in 2000</w:t>
      </w:r>
      <w:r w:rsidRPr="007D2AA2">
        <w:rPr>
          <w:lang w:val="en-GB"/>
        </w:rPr>
        <w:t xml:space="preserve">, </w:t>
      </w:r>
      <w:r>
        <w:rPr>
          <w:lang w:val="en-GB"/>
        </w:rPr>
        <w:t xml:space="preserve">Fortis invested </w:t>
      </w:r>
      <w:r w:rsidRPr="007D2AA2">
        <w:rPr>
          <w:lang w:val="en-GB"/>
        </w:rPr>
        <w:t>in the Cayman Islands</w:t>
      </w:r>
      <w:r>
        <w:rPr>
          <w:lang w:val="en-GB"/>
        </w:rPr>
        <w:t>,</w:t>
      </w:r>
      <w:r w:rsidRPr="007D2AA2">
        <w:rPr>
          <w:lang w:val="en-GB"/>
        </w:rPr>
        <w:t xml:space="preserve"> where it owned a 60 per cent interest in Caribbean Utilities on Grand Cayman, and in the Turks and Caicos</w:t>
      </w:r>
      <w:r>
        <w:rPr>
          <w:lang w:val="en-GB"/>
        </w:rPr>
        <w:t>,</w:t>
      </w:r>
      <w:r w:rsidRPr="007D2AA2">
        <w:rPr>
          <w:lang w:val="en-GB"/>
        </w:rPr>
        <w:t xml:space="preserve"> where Fortis TCI was owned 100 per cent. </w:t>
      </w:r>
    </w:p>
    <w:p w:rsidR="00CF71AC" w:rsidRPr="007D2AA2" w:rsidRDefault="00CF71AC" w:rsidP="00050835">
      <w:pPr>
        <w:pStyle w:val="BodyTextMain"/>
        <w:rPr>
          <w:lang w:val="en-GB"/>
        </w:rPr>
      </w:pPr>
    </w:p>
    <w:p w:rsidR="00CF71AC" w:rsidRPr="00A41B52" w:rsidRDefault="00CF71AC" w:rsidP="00050835">
      <w:pPr>
        <w:pStyle w:val="BodyTextMain"/>
        <w:rPr>
          <w:spacing w:val="-2"/>
          <w:lang w:val="en-GB"/>
        </w:rPr>
      </w:pPr>
      <w:r w:rsidRPr="00A41B52">
        <w:rPr>
          <w:spacing w:val="-2"/>
          <w:lang w:val="en-GB"/>
        </w:rPr>
        <w:t>During this time, Fortis also expanded into a variety of non-electricity-related subsidiaries, including the ownership of a hotel business, a real estate business, a finance business, and a partnership with AT&amp;T</w:t>
      </w:r>
      <w:r w:rsidR="00961060">
        <w:rPr>
          <w:spacing w:val="-2"/>
          <w:lang w:val="en-GB"/>
        </w:rPr>
        <w:t xml:space="preserve"> Inc</w:t>
      </w:r>
      <w:r w:rsidRPr="00A41B52">
        <w:rPr>
          <w:spacing w:val="-2"/>
          <w:lang w:val="en-GB"/>
        </w:rPr>
        <w:t xml:space="preserve">. The company anticipated expanding its customer service strengths from the public utility sector into these different industries. These subsidiaries were designed to reduce the company’s risk from regulatory pressures, while providing tax benefits. However, the decision was eventually made to exit these businesses and focus on energy delivery through distribution. By 2015, these non-core businesses had been sold. </w:t>
      </w:r>
    </w:p>
    <w:p w:rsidR="00CF71AC" w:rsidRPr="007D2AA2" w:rsidRDefault="00CF71AC" w:rsidP="00050835">
      <w:pPr>
        <w:pStyle w:val="BodyTextMain"/>
        <w:rPr>
          <w:lang w:val="en-GB"/>
        </w:rPr>
      </w:pPr>
    </w:p>
    <w:p w:rsidR="00CF71AC" w:rsidRPr="00A41B52" w:rsidRDefault="00CF71AC" w:rsidP="00050835">
      <w:pPr>
        <w:pStyle w:val="BodyTextMain"/>
        <w:rPr>
          <w:spacing w:val="-2"/>
          <w:lang w:val="en-GB"/>
        </w:rPr>
      </w:pPr>
      <w:r w:rsidRPr="00A41B52">
        <w:rPr>
          <w:spacing w:val="-2"/>
          <w:lang w:val="en-GB"/>
        </w:rPr>
        <w:t xml:space="preserve">In 2004, the company had made substantial investments in Western Canada, acquiring electricity distribution companies in Alberta and British Columbia from the energy company Aquila. These acquisitions were formalized into subsidiaries under the names </w:t>
      </w:r>
      <w:proofErr w:type="spellStart"/>
      <w:r w:rsidRPr="00A41B52">
        <w:rPr>
          <w:spacing w:val="-2"/>
          <w:lang w:val="en-GB"/>
        </w:rPr>
        <w:t>FortisAlberta</w:t>
      </w:r>
      <w:proofErr w:type="spellEnd"/>
      <w:r w:rsidRPr="00A41B52">
        <w:rPr>
          <w:spacing w:val="-2"/>
          <w:lang w:val="en-GB"/>
        </w:rPr>
        <w:t xml:space="preserve"> Inc. and </w:t>
      </w:r>
      <w:proofErr w:type="spellStart"/>
      <w:r w:rsidRPr="00A41B52">
        <w:rPr>
          <w:spacing w:val="-2"/>
          <w:lang w:val="en-GB"/>
        </w:rPr>
        <w:t>FortisBC</w:t>
      </w:r>
      <w:proofErr w:type="spellEnd"/>
      <w:r w:rsidRPr="00A41B52">
        <w:rPr>
          <w:spacing w:val="-2"/>
          <w:lang w:val="en-GB"/>
        </w:rPr>
        <w:t xml:space="preserve">. In 2007, Fortis made its first investment in gas distribution with the purchase of </w:t>
      </w:r>
      <w:proofErr w:type="spellStart"/>
      <w:r w:rsidRPr="00A41B52">
        <w:rPr>
          <w:spacing w:val="-2"/>
          <w:lang w:val="en-GB"/>
        </w:rPr>
        <w:t>Terasen</w:t>
      </w:r>
      <w:proofErr w:type="spellEnd"/>
      <w:r w:rsidRPr="00A41B52">
        <w:rPr>
          <w:spacing w:val="-2"/>
          <w:lang w:val="en-GB"/>
        </w:rPr>
        <w:t xml:space="preserve">, which was </w:t>
      </w:r>
      <w:proofErr w:type="gramStart"/>
      <w:r w:rsidRPr="00A41B52">
        <w:rPr>
          <w:spacing w:val="-2"/>
          <w:lang w:val="en-GB"/>
        </w:rPr>
        <w:t>later</w:t>
      </w:r>
      <w:proofErr w:type="gramEnd"/>
      <w:r w:rsidRPr="00A41B52">
        <w:rPr>
          <w:spacing w:val="-2"/>
          <w:lang w:val="en-GB"/>
        </w:rPr>
        <w:t xml:space="preserve"> renamed </w:t>
      </w:r>
      <w:proofErr w:type="spellStart"/>
      <w:r w:rsidRPr="00A41B52">
        <w:rPr>
          <w:spacing w:val="-2"/>
          <w:lang w:val="en-GB"/>
        </w:rPr>
        <w:t>FortisBC</w:t>
      </w:r>
      <w:proofErr w:type="spellEnd"/>
      <w:r w:rsidRPr="00A41B52">
        <w:rPr>
          <w:spacing w:val="-2"/>
          <w:lang w:val="en-GB"/>
        </w:rPr>
        <w:t xml:space="preserve"> Energy. These acquisitions were considerable for the </w:t>
      </w:r>
      <w:proofErr w:type="gramStart"/>
      <w:r w:rsidRPr="00A41B52">
        <w:rPr>
          <w:spacing w:val="-2"/>
          <w:lang w:val="en-GB"/>
        </w:rPr>
        <w:t>company,</w:t>
      </w:r>
      <w:proofErr w:type="gramEnd"/>
      <w:r w:rsidRPr="00A41B52">
        <w:rPr>
          <w:spacing w:val="-2"/>
          <w:lang w:val="en-GB"/>
        </w:rPr>
        <w:t xml:space="preserve"> and at one point </w:t>
      </w:r>
      <w:proofErr w:type="spellStart"/>
      <w:r w:rsidRPr="00A41B52">
        <w:rPr>
          <w:spacing w:val="-2"/>
          <w:lang w:val="en-GB"/>
        </w:rPr>
        <w:t>FortisBC</w:t>
      </w:r>
      <w:proofErr w:type="spellEnd"/>
      <w:r w:rsidRPr="00A41B52">
        <w:rPr>
          <w:spacing w:val="-2"/>
          <w:lang w:val="en-GB"/>
        </w:rPr>
        <w:t xml:space="preserve"> and </w:t>
      </w:r>
      <w:proofErr w:type="spellStart"/>
      <w:r w:rsidRPr="00A41B52">
        <w:rPr>
          <w:spacing w:val="-2"/>
          <w:lang w:val="en-GB"/>
        </w:rPr>
        <w:t>FortisBC</w:t>
      </w:r>
      <w:proofErr w:type="spellEnd"/>
      <w:r w:rsidRPr="00A41B52">
        <w:rPr>
          <w:spacing w:val="-2"/>
          <w:lang w:val="en-GB"/>
        </w:rPr>
        <w:t xml:space="preserve"> Energy represented 35 per cent of the company’s asset base. Given Fortis’s goal to ensure more diverse regulatory exposure, the executive team continued to consider new acquisition targets. During this time, Fortis attempted to acquire Central Vermont Public Service Corporation, an integrated electricity company in Vermont. The sale would have marked the company’s first foray into the United States, a market with substantially more investor-owned utilities. However, the deal fell through during the review period, when the sale was reopened to additional bids. </w:t>
      </w:r>
      <w:proofErr w:type="spellStart"/>
      <w:r w:rsidRPr="00A41B52">
        <w:rPr>
          <w:spacing w:val="-2"/>
          <w:lang w:val="en-GB"/>
        </w:rPr>
        <w:t>Gaz</w:t>
      </w:r>
      <w:proofErr w:type="spellEnd"/>
      <w:r w:rsidRPr="00A41B52">
        <w:rPr>
          <w:spacing w:val="-2"/>
          <w:lang w:val="en-GB"/>
        </w:rPr>
        <w:t xml:space="preserve"> Metro, another Canadian utility company, placed a higher bid and eventually acquired Central Vermont Public Service Corporation for an additional premium.</w:t>
      </w:r>
      <w:r w:rsidRPr="00A41B52">
        <w:rPr>
          <w:rStyle w:val="FootnoteReference"/>
          <w:spacing w:val="-2"/>
          <w:lang w:val="en-GB"/>
        </w:rPr>
        <w:footnoteReference w:id="4"/>
      </w:r>
      <w:r w:rsidRPr="00A41B52">
        <w:rPr>
          <w:spacing w:val="-2"/>
          <w:lang w:val="en-GB"/>
        </w:rPr>
        <w:t xml:space="preserve"> </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Fortis continued to target investments in the United States</w:t>
      </w:r>
      <w:r>
        <w:rPr>
          <w:lang w:val="en-GB"/>
        </w:rPr>
        <w:t>,</w:t>
      </w:r>
      <w:r w:rsidRPr="007D2AA2">
        <w:rPr>
          <w:lang w:val="en-GB"/>
        </w:rPr>
        <w:t xml:space="preserve"> recognizing the lack of viable targets in Canada. In 2012, Fortis announced its first American acquisition, the CH Energy Group </w:t>
      </w:r>
      <w:r>
        <w:rPr>
          <w:lang w:val="en-GB"/>
        </w:rPr>
        <w:t>Inc.</w:t>
      </w:r>
      <w:r w:rsidRPr="007D2AA2">
        <w:rPr>
          <w:lang w:val="en-GB"/>
        </w:rPr>
        <w:t>, the parent company of an electricity and gas distributor in the state of New York</w:t>
      </w:r>
      <w:r>
        <w:rPr>
          <w:lang w:val="en-GB"/>
        </w:rPr>
        <w:t>, for $1.5 billion</w:t>
      </w:r>
      <w:r w:rsidRPr="007D2AA2">
        <w:rPr>
          <w:lang w:val="en-GB"/>
        </w:rPr>
        <w:t xml:space="preserve">. The 2013 acquisition of </w:t>
      </w:r>
      <w:r>
        <w:rPr>
          <w:lang w:val="en-GB"/>
        </w:rPr>
        <w:t xml:space="preserve">Arizona-based </w:t>
      </w:r>
      <w:r w:rsidRPr="007D2AA2">
        <w:rPr>
          <w:lang w:val="en-GB"/>
        </w:rPr>
        <w:t>UNS Energy</w:t>
      </w:r>
      <w:r>
        <w:rPr>
          <w:lang w:val="en-GB"/>
        </w:rPr>
        <w:t xml:space="preserve"> Corp.</w:t>
      </w:r>
      <w:r w:rsidRPr="007D2AA2">
        <w:rPr>
          <w:lang w:val="en-GB"/>
        </w:rPr>
        <w:t xml:space="preserve">, the parent company of a vertically integrated electric utility and a gas distribution utility, for $4.3 billion followed. </w:t>
      </w:r>
      <w:r>
        <w:rPr>
          <w:lang w:val="en-GB"/>
        </w:rPr>
        <w:t xml:space="preserve">The following year, </w:t>
      </w:r>
      <w:r w:rsidRPr="007D2AA2">
        <w:rPr>
          <w:lang w:val="en-GB"/>
        </w:rPr>
        <w:t>2014</w:t>
      </w:r>
      <w:r>
        <w:rPr>
          <w:lang w:val="en-GB"/>
        </w:rPr>
        <w:t>,</w:t>
      </w:r>
      <w:r w:rsidRPr="007D2AA2">
        <w:rPr>
          <w:lang w:val="en-GB"/>
        </w:rPr>
        <w:t xml:space="preserve"> marked the retirement of Stan Marshall. Under his leadership, Fortis’</w:t>
      </w:r>
      <w:r>
        <w:rPr>
          <w:lang w:val="en-GB"/>
        </w:rPr>
        <w:t>s</w:t>
      </w:r>
      <w:r w:rsidRPr="007D2AA2">
        <w:rPr>
          <w:lang w:val="en-GB"/>
        </w:rPr>
        <w:t xml:space="preserve"> assets had grown from </w:t>
      </w:r>
      <w:r>
        <w:rPr>
          <w:lang w:val="en-GB"/>
        </w:rPr>
        <w:t>CA</w:t>
      </w:r>
      <w:r w:rsidRPr="007D2AA2">
        <w:rPr>
          <w:lang w:val="en-GB"/>
        </w:rPr>
        <w:t xml:space="preserve">$1 billion in 1996 to </w:t>
      </w:r>
      <w:r>
        <w:rPr>
          <w:lang w:val="en-GB"/>
        </w:rPr>
        <w:lastRenderedPageBreak/>
        <w:t>CA</w:t>
      </w:r>
      <w:r w:rsidRPr="007D2AA2">
        <w:rPr>
          <w:lang w:val="en-GB"/>
        </w:rPr>
        <w:t xml:space="preserve">$26 billion. Upon Marshall’s retirement, Barry Perry, the company’s </w:t>
      </w:r>
      <w:r>
        <w:rPr>
          <w:lang w:val="en-GB"/>
        </w:rPr>
        <w:t>v</w:t>
      </w:r>
      <w:r w:rsidRPr="007D2AA2">
        <w:rPr>
          <w:lang w:val="en-GB"/>
        </w:rPr>
        <w:t>ice</w:t>
      </w:r>
      <w:r>
        <w:rPr>
          <w:lang w:val="en-GB"/>
        </w:rPr>
        <w:t>-p</w:t>
      </w:r>
      <w:r w:rsidRPr="007D2AA2">
        <w:rPr>
          <w:lang w:val="en-GB"/>
        </w:rPr>
        <w:t xml:space="preserve">resident of Finance and its CFO, was named CEO. </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While the majority of Fortis’</w:t>
      </w:r>
      <w:r>
        <w:rPr>
          <w:lang w:val="en-GB"/>
        </w:rPr>
        <w:t>s</w:t>
      </w:r>
      <w:r w:rsidRPr="007D2AA2">
        <w:rPr>
          <w:lang w:val="en-GB"/>
        </w:rPr>
        <w:t xml:space="preserve"> subsidiaries were regulated, the company also operated several non-regulated entities</w:t>
      </w:r>
      <w:r>
        <w:rPr>
          <w:lang w:val="en-GB"/>
        </w:rPr>
        <w:t>,</w:t>
      </w:r>
      <w:r w:rsidRPr="007D2AA2">
        <w:rPr>
          <w:lang w:val="en-GB"/>
        </w:rPr>
        <w:t xml:space="preserve"> including Fortis Generation, which comprised power generation facilities in British Columbia and Belize. In 2015, these non-regulated entities contributed a little less than 10 per cent of the company’s earnings (see Exhibit 2).</w:t>
      </w:r>
    </w:p>
    <w:p w:rsidR="00CF71AC" w:rsidRPr="007D2AA2" w:rsidRDefault="00CF71AC" w:rsidP="00050835">
      <w:pPr>
        <w:pStyle w:val="BodyTextMain"/>
        <w:rPr>
          <w:lang w:val="en-GB"/>
        </w:rPr>
      </w:pPr>
    </w:p>
    <w:p w:rsidR="00CF71AC" w:rsidRPr="007D2AA2" w:rsidRDefault="00CF71AC" w:rsidP="00050835">
      <w:pPr>
        <w:pStyle w:val="BodyTextMain"/>
        <w:rPr>
          <w:lang w:val="en-GB"/>
        </w:rPr>
      </w:pPr>
    </w:p>
    <w:p w:rsidR="00CF71AC" w:rsidRPr="007D2AA2" w:rsidRDefault="00CF71AC" w:rsidP="00050835">
      <w:pPr>
        <w:pStyle w:val="Casehead1"/>
        <w:rPr>
          <w:lang w:val="en-GB"/>
        </w:rPr>
      </w:pPr>
      <w:r>
        <w:rPr>
          <w:lang w:val="en-GB"/>
        </w:rPr>
        <w:t xml:space="preserve">fortis’s </w:t>
      </w:r>
      <w:r w:rsidRPr="007D2AA2">
        <w:rPr>
          <w:lang w:val="en-GB"/>
        </w:rPr>
        <w:t>Financial Situation</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Through its history of acquisitions, Fortis had continued to post consistent financial results. Smith expected the ITC acquisition to be completed by October of 2016. If the deal were to close on that timeline, Fortis anticipated having </w:t>
      </w:r>
      <w:r>
        <w:rPr>
          <w:lang w:val="en-GB"/>
        </w:rPr>
        <w:t>CA</w:t>
      </w:r>
      <w:r w:rsidRPr="007D2AA2">
        <w:rPr>
          <w:lang w:val="en-GB"/>
        </w:rPr>
        <w:t xml:space="preserve">$6.838 billion in fiscal 2016 revenue (given that Fortis would have owned ITC for </w:t>
      </w:r>
      <w:r>
        <w:rPr>
          <w:lang w:val="en-GB"/>
        </w:rPr>
        <w:t xml:space="preserve">only </w:t>
      </w:r>
      <w:r w:rsidRPr="007D2AA2">
        <w:rPr>
          <w:lang w:val="en-GB"/>
        </w:rPr>
        <w:t>two and one-half months by Fortis’</w:t>
      </w:r>
      <w:r>
        <w:rPr>
          <w:lang w:val="en-GB"/>
        </w:rPr>
        <w:t>s</w:t>
      </w:r>
      <w:r w:rsidRPr="007D2AA2">
        <w:rPr>
          <w:lang w:val="en-GB"/>
        </w:rPr>
        <w:t xml:space="preserve"> fiscal year</w:t>
      </w:r>
      <w:r>
        <w:rPr>
          <w:lang w:val="en-GB"/>
        </w:rPr>
        <w:t>-</w:t>
      </w:r>
      <w:r w:rsidRPr="007D2AA2">
        <w:rPr>
          <w:lang w:val="en-GB"/>
        </w:rPr>
        <w:t xml:space="preserve">end) up from </w:t>
      </w:r>
      <w:r>
        <w:rPr>
          <w:lang w:val="en-GB"/>
        </w:rPr>
        <w:t>CA</w:t>
      </w:r>
      <w:r w:rsidRPr="007D2AA2">
        <w:rPr>
          <w:lang w:val="en-GB"/>
        </w:rPr>
        <w:t xml:space="preserve">$6.757 billion the year before. Fortis had historically delivered its shareholders sustained dividends, attaining a 9 per cent compound annual growth rate on dividends over the past </w:t>
      </w:r>
      <w:r>
        <w:rPr>
          <w:lang w:val="en-GB"/>
        </w:rPr>
        <w:t>10</w:t>
      </w:r>
      <w:r w:rsidRPr="007D2AA2">
        <w:rPr>
          <w:lang w:val="en-GB"/>
        </w:rPr>
        <w:t xml:space="preserve"> years. Over the past 43 years, Fortis had delivered an increased dividend payment to shareholders every year, among the longest records </w:t>
      </w:r>
      <w:r>
        <w:rPr>
          <w:lang w:val="en-GB"/>
        </w:rPr>
        <w:t>for continuous dividend payments by</w:t>
      </w:r>
      <w:r w:rsidRPr="007D2AA2">
        <w:rPr>
          <w:lang w:val="en-GB"/>
        </w:rPr>
        <w:t xml:space="preserve"> any public company in Canada. If the ITC acquisition was completed, Fortis anticipated its financials to include a 22 per cent increase to its adjusted earnings and a 5 per cent increase to its adjusted </w:t>
      </w:r>
      <w:r>
        <w:rPr>
          <w:lang w:val="en-GB"/>
        </w:rPr>
        <w:t>earnings per share (</w:t>
      </w:r>
      <w:r w:rsidRPr="007D2AA2">
        <w:rPr>
          <w:lang w:val="en-GB"/>
        </w:rPr>
        <w:t>EPS</w:t>
      </w:r>
      <w:r>
        <w:rPr>
          <w:lang w:val="en-GB"/>
        </w:rPr>
        <w:t>)</w:t>
      </w:r>
      <w:r w:rsidRPr="007D2AA2">
        <w:rPr>
          <w:lang w:val="en-GB"/>
        </w:rPr>
        <w:t xml:space="preserve"> year-over-year after 2016 (see Exhibits 3 and 4). </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Fortis had delivered above</w:t>
      </w:r>
      <w:r>
        <w:rPr>
          <w:lang w:val="en-GB"/>
        </w:rPr>
        <w:t>-</w:t>
      </w:r>
      <w:r w:rsidRPr="007D2AA2">
        <w:rPr>
          <w:lang w:val="en-GB"/>
        </w:rPr>
        <w:t>normal performance for its industry. Total shareholder returns over the 10-year period from 2006 to 2016 were 8.3 per cent annually. In the same period, the S&amp;P 500 utility sector had returned 7.4 per cent</w:t>
      </w:r>
      <w:r>
        <w:rPr>
          <w:lang w:val="en-GB"/>
        </w:rPr>
        <w:t>,</w:t>
      </w:r>
      <w:r w:rsidRPr="007D2AA2">
        <w:rPr>
          <w:lang w:val="en-GB"/>
        </w:rPr>
        <w:t xml:space="preserve"> and the TSX Utilities Index had returned 4.8 per cent. </w:t>
      </w:r>
    </w:p>
    <w:p w:rsidR="00CF71AC" w:rsidRPr="007D2AA2" w:rsidRDefault="00CF71AC" w:rsidP="00050835">
      <w:pPr>
        <w:pStyle w:val="BodyTextMain"/>
        <w:rPr>
          <w:lang w:val="en-GB"/>
        </w:rPr>
      </w:pPr>
    </w:p>
    <w:p w:rsidR="00CF71AC" w:rsidRPr="007D2AA2" w:rsidRDefault="00CF71AC" w:rsidP="00050835">
      <w:pPr>
        <w:pStyle w:val="BodyTextMain"/>
        <w:rPr>
          <w:lang w:val="en-GB"/>
        </w:rPr>
      </w:pPr>
    </w:p>
    <w:p w:rsidR="00CF71AC" w:rsidRPr="007D2AA2" w:rsidRDefault="00CF71AC" w:rsidP="00050835">
      <w:pPr>
        <w:pStyle w:val="Casehead1"/>
        <w:rPr>
          <w:lang w:val="en-GB"/>
        </w:rPr>
      </w:pPr>
      <w:r w:rsidRPr="007D2AA2">
        <w:rPr>
          <w:lang w:val="en-GB"/>
        </w:rPr>
        <w:t>ITC Background</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ITC, Fortis’</w:t>
      </w:r>
      <w:r>
        <w:rPr>
          <w:lang w:val="en-GB"/>
        </w:rPr>
        <w:t>s</w:t>
      </w:r>
      <w:r w:rsidRPr="007D2AA2">
        <w:rPr>
          <w:lang w:val="en-GB"/>
        </w:rPr>
        <w:t xml:space="preserve"> acquisition target, had been founded in 1999, as a subsidiary of Detroit Edison and operated primarily in the </w:t>
      </w:r>
      <w:r>
        <w:rPr>
          <w:lang w:val="en-GB"/>
        </w:rPr>
        <w:t xml:space="preserve">U.S. </w:t>
      </w:r>
      <w:r w:rsidRPr="007D2AA2">
        <w:rPr>
          <w:lang w:val="en-GB"/>
        </w:rPr>
        <w:t>Midwest. ITC had changed ownership and structures several times and by 2003 had become the first independent electricity transmission company in the United States. ITC operated across Iowa, Michigan, Minnesota, Illinois, Missouri, Kansas, and Oklahoma.</w:t>
      </w:r>
      <w:r w:rsidRPr="007D2AA2">
        <w:rPr>
          <w:rStyle w:val="FootnoteReference"/>
          <w:lang w:val="en-GB"/>
        </w:rPr>
        <w:footnoteReference w:id="5"/>
      </w:r>
      <w:r w:rsidRPr="007D2AA2">
        <w:rPr>
          <w:lang w:val="en-GB"/>
        </w:rPr>
        <w:t xml:space="preserve"> ITC and its subsidiaries—Michigan Electric Transmission Company, ITC Midwest</w:t>
      </w:r>
      <w:r>
        <w:rPr>
          <w:lang w:val="en-GB"/>
        </w:rPr>
        <w:t>,</w:t>
      </w:r>
      <w:r w:rsidRPr="007D2AA2">
        <w:rPr>
          <w:lang w:val="en-GB"/>
        </w:rPr>
        <w:t xml:space="preserve"> and ITC Great Plains—faced regulations and rate setting from the Federal Energy Regulation Commission (FERC). ITC was headquartered in Novi, Michigan</w:t>
      </w:r>
      <w:r>
        <w:rPr>
          <w:lang w:val="en-GB"/>
        </w:rPr>
        <w:t>;</w:t>
      </w:r>
      <w:r w:rsidRPr="007D2AA2">
        <w:rPr>
          <w:lang w:val="en-GB"/>
        </w:rPr>
        <w:t xml:space="preserve"> became publicly listed in 2005</w:t>
      </w:r>
      <w:r>
        <w:rPr>
          <w:lang w:val="en-GB"/>
        </w:rPr>
        <w:t>;</w:t>
      </w:r>
      <w:r w:rsidRPr="007D2AA2">
        <w:rPr>
          <w:lang w:val="en-GB"/>
        </w:rPr>
        <w:t xml:space="preserve"> and had assets of nearly $7.4 billion. </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Prior to the deal announcement by Fortis, ITC shares had been trading at around $40 </w:t>
      </w:r>
      <w:r>
        <w:rPr>
          <w:lang w:val="en-GB"/>
        </w:rPr>
        <w:t>per share,</w:t>
      </w:r>
      <w:r w:rsidRPr="007D2AA2">
        <w:rPr>
          <w:lang w:val="en-GB"/>
        </w:rPr>
        <w:t xml:space="preserve"> and the company had a market capitalization around $10.5 billion. In 2015, ITC delivered $1,045 million in revenue, up from $1,023 million in 2014 and $941 million in 2013. ITC had also delivered year</w:t>
      </w:r>
      <w:r>
        <w:rPr>
          <w:lang w:val="en-GB"/>
        </w:rPr>
        <w:t>-</w:t>
      </w:r>
      <w:r w:rsidRPr="007D2AA2">
        <w:rPr>
          <w:lang w:val="en-GB"/>
        </w:rPr>
        <w:t>over</w:t>
      </w:r>
      <w:r>
        <w:rPr>
          <w:lang w:val="en-GB"/>
        </w:rPr>
        <w:t>-</w:t>
      </w:r>
      <w:r w:rsidRPr="007D2AA2">
        <w:rPr>
          <w:lang w:val="en-GB"/>
        </w:rPr>
        <w:t xml:space="preserve">year increased earnings per share, growing from $1.49 </w:t>
      </w:r>
      <w:r>
        <w:rPr>
          <w:lang w:val="en-GB"/>
        </w:rPr>
        <w:t xml:space="preserve">per share </w:t>
      </w:r>
      <w:r w:rsidRPr="007D2AA2">
        <w:rPr>
          <w:lang w:val="en-GB"/>
        </w:rPr>
        <w:t xml:space="preserve">in 2013 to $1.57 </w:t>
      </w:r>
      <w:r>
        <w:rPr>
          <w:lang w:val="en-GB"/>
        </w:rPr>
        <w:t xml:space="preserve">per share </w:t>
      </w:r>
      <w:r w:rsidRPr="007D2AA2">
        <w:rPr>
          <w:lang w:val="en-GB"/>
        </w:rPr>
        <w:t xml:space="preserve">in 2015. Over the </w:t>
      </w:r>
      <w:r>
        <w:rPr>
          <w:lang w:val="en-GB"/>
        </w:rPr>
        <w:t>p</w:t>
      </w:r>
      <w:r w:rsidRPr="007D2AA2">
        <w:rPr>
          <w:lang w:val="en-GB"/>
        </w:rPr>
        <w:t>ast five years, ITC had also delivered above</w:t>
      </w:r>
      <w:r>
        <w:rPr>
          <w:lang w:val="en-GB"/>
        </w:rPr>
        <w:t>-</w:t>
      </w:r>
      <w:r w:rsidRPr="007D2AA2">
        <w:rPr>
          <w:lang w:val="en-GB"/>
        </w:rPr>
        <w:t>normal results in the capital markets, delivering returns 15 per cent above the S&amp;P 500 Index and 22 per cent above the Dow Jones U.S. Utilities Index.</w:t>
      </w:r>
      <w:r w:rsidRPr="007D2AA2">
        <w:rPr>
          <w:rStyle w:val="FootnoteReference"/>
          <w:lang w:val="en-GB"/>
        </w:rPr>
        <w:footnoteReference w:id="6"/>
      </w:r>
      <w:r w:rsidRPr="007D2AA2">
        <w:rPr>
          <w:lang w:val="en-GB"/>
        </w:rPr>
        <w:t xml:space="preserve"> </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When asked why Fortis should acquire ITC</w:t>
      </w:r>
      <w:r>
        <w:rPr>
          <w:lang w:val="en-GB"/>
        </w:rPr>
        <w:t>,</w:t>
      </w:r>
      <w:r w:rsidRPr="007D2AA2">
        <w:rPr>
          <w:lang w:val="en-GB"/>
        </w:rPr>
        <w:t xml:space="preserve"> given it would be Fortis’</w:t>
      </w:r>
      <w:r>
        <w:rPr>
          <w:lang w:val="en-GB"/>
        </w:rPr>
        <w:t>s</w:t>
      </w:r>
      <w:r w:rsidRPr="007D2AA2">
        <w:rPr>
          <w:lang w:val="en-GB"/>
        </w:rPr>
        <w:t xml:space="preserve"> first foray into </w:t>
      </w:r>
      <w:r>
        <w:rPr>
          <w:lang w:val="en-GB"/>
        </w:rPr>
        <w:t xml:space="preserve">the </w:t>
      </w:r>
      <w:r w:rsidRPr="007D2AA2">
        <w:rPr>
          <w:lang w:val="en-GB"/>
        </w:rPr>
        <w:t>transmission</w:t>
      </w:r>
      <w:r>
        <w:rPr>
          <w:lang w:val="en-GB"/>
        </w:rPr>
        <w:t xml:space="preserve"> industry</w:t>
      </w:r>
      <w:r w:rsidRPr="007D2AA2">
        <w:rPr>
          <w:lang w:val="en-GB"/>
        </w:rPr>
        <w:t>, Smith said:</w:t>
      </w:r>
    </w:p>
    <w:p w:rsidR="00CF71AC" w:rsidRPr="007D2AA2" w:rsidRDefault="00CF71AC" w:rsidP="00050835">
      <w:pPr>
        <w:pStyle w:val="BodyTextMain"/>
        <w:ind w:left="720"/>
        <w:rPr>
          <w:lang w:val="en-GB"/>
        </w:rPr>
      </w:pPr>
      <w:r w:rsidRPr="007D2AA2">
        <w:rPr>
          <w:lang w:val="en-GB"/>
        </w:rPr>
        <w:lastRenderedPageBreak/>
        <w:t>ITC has a great franchise and is very well managed. It is a company we have been following for years but was valued too high to make an acquisition work. When their premium valuation disappeared</w:t>
      </w:r>
      <w:r>
        <w:rPr>
          <w:lang w:val="en-GB"/>
        </w:rPr>
        <w:t>,</w:t>
      </w:r>
      <w:r w:rsidRPr="007D2AA2">
        <w:rPr>
          <w:lang w:val="en-GB"/>
        </w:rPr>
        <w:t xml:space="preserve"> it made the transaction doable. We love the regulation of transmission assets in the U</w:t>
      </w:r>
      <w:r w:rsidR="00961060">
        <w:rPr>
          <w:lang w:val="en-GB"/>
        </w:rPr>
        <w:t xml:space="preserve">nited </w:t>
      </w:r>
      <w:r w:rsidRPr="007D2AA2">
        <w:rPr>
          <w:lang w:val="en-GB"/>
        </w:rPr>
        <w:t>S</w:t>
      </w:r>
      <w:r w:rsidR="00961060">
        <w:rPr>
          <w:lang w:val="en-GB"/>
        </w:rPr>
        <w:t>tates</w:t>
      </w:r>
      <w:r>
        <w:rPr>
          <w:lang w:val="en-GB"/>
        </w:rPr>
        <w:t>—</w:t>
      </w:r>
      <w:r w:rsidRPr="007D2AA2">
        <w:rPr>
          <w:lang w:val="en-GB"/>
        </w:rPr>
        <w:t>higher returns and no regulatory lag. Transmission is not that different than distribution from an operations perspective.</w:t>
      </w:r>
    </w:p>
    <w:p w:rsidR="00CF71AC"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When asked to explain regulatory lag, Smith described it as follows: </w:t>
      </w:r>
    </w:p>
    <w:p w:rsidR="00CF71AC" w:rsidRPr="007D2AA2" w:rsidRDefault="00CF71AC" w:rsidP="00050835">
      <w:pPr>
        <w:pStyle w:val="BodyTextMain"/>
        <w:rPr>
          <w:lang w:val="en-GB"/>
        </w:rPr>
      </w:pPr>
    </w:p>
    <w:p w:rsidR="00CF71AC" w:rsidRPr="007D2AA2" w:rsidRDefault="00CF71AC" w:rsidP="00050835">
      <w:pPr>
        <w:pStyle w:val="BodyTextMain"/>
        <w:ind w:left="720"/>
        <w:rPr>
          <w:lang w:val="en-GB"/>
        </w:rPr>
      </w:pPr>
      <w:r w:rsidRPr="007D2AA2">
        <w:rPr>
          <w:lang w:val="en-GB"/>
        </w:rPr>
        <w:t>Regulatory lag refers to the time it takes to get through the regulatory process and have new rates approved. Some jurisdictions look at historical costs and some look ahead. As our industry is very capital</w:t>
      </w:r>
      <w:r>
        <w:rPr>
          <w:lang w:val="en-GB"/>
        </w:rPr>
        <w:t>-</w:t>
      </w:r>
      <w:r w:rsidRPr="007D2AA2">
        <w:rPr>
          <w:lang w:val="en-GB"/>
        </w:rPr>
        <w:t>intensive, in jurisdictions that look backwards (e.g., Arizona)</w:t>
      </w:r>
      <w:r>
        <w:rPr>
          <w:lang w:val="en-GB"/>
        </w:rPr>
        <w:t>,</w:t>
      </w:r>
      <w:r w:rsidRPr="007D2AA2">
        <w:rPr>
          <w:lang w:val="en-GB"/>
        </w:rPr>
        <w:t xml:space="preserve"> we may have invested significant capital without commensurate revenue to compensate for it.</w:t>
      </w:r>
    </w:p>
    <w:p w:rsidR="00CF71AC" w:rsidRPr="007D2AA2" w:rsidRDefault="00CF71AC" w:rsidP="00050835">
      <w:pPr>
        <w:pStyle w:val="BodyTextMain"/>
        <w:ind w:left="720"/>
        <w:rPr>
          <w:lang w:val="en-GB"/>
        </w:rPr>
      </w:pPr>
    </w:p>
    <w:p w:rsidR="00CF71AC" w:rsidRPr="007D2AA2" w:rsidRDefault="00CF71AC" w:rsidP="00050835">
      <w:pPr>
        <w:pStyle w:val="BodyTextMain"/>
        <w:ind w:left="720"/>
        <w:rPr>
          <w:lang w:val="en-GB"/>
        </w:rPr>
      </w:pPr>
      <w:r w:rsidRPr="007D2AA2">
        <w:rPr>
          <w:lang w:val="en-GB"/>
        </w:rPr>
        <w:t>ITC is regulated by the FERC</w:t>
      </w:r>
      <w:r>
        <w:rPr>
          <w:lang w:val="en-GB"/>
        </w:rPr>
        <w:t>,</w:t>
      </w:r>
      <w:r w:rsidRPr="007D2AA2">
        <w:rPr>
          <w:lang w:val="en-GB"/>
        </w:rPr>
        <w:t xml:space="preserve"> which trues up costs and investments every year and provides new revenue to compensate for the same. We refer to it as “real time” rates. The less regulatory lag</w:t>
      </w:r>
      <w:r>
        <w:rPr>
          <w:lang w:val="en-GB"/>
        </w:rPr>
        <w:t>,</w:t>
      </w:r>
      <w:r w:rsidRPr="007D2AA2">
        <w:rPr>
          <w:lang w:val="en-GB"/>
        </w:rPr>
        <w:t xml:space="preserve"> the quicker we recoup our investment.</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If the ITC acquisition were to go through, it would mark the first time in its history that more than half of Fortis’</w:t>
      </w:r>
      <w:r>
        <w:rPr>
          <w:lang w:val="en-GB"/>
        </w:rPr>
        <w:t>s</w:t>
      </w:r>
      <w:r w:rsidRPr="007D2AA2">
        <w:rPr>
          <w:lang w:val="en-GB"/>
        </w:rPr>
        <w:t xml:space="preserve"> assets and roughly 62 per cent of the company’s earnings would come from the United States.</w:t>
      </w:r>
      <w:r w:rsidRPr="007D2AA2">
        <w:rPr>
          <w:rStyle w:val="FootnoteReference"/>
          <w:lang w:val="en-GB"/>
        </w:rPr>
        <w:footnoteReference w:id="7"/>
      </w:r>
      <w:r w:rsidRPr="007D2AA2">
        <w:rPr>
          <w:lang w:val="en-GB"/>
        </w:rPr>
        <w:t xml:space="preserve"> The deal also would enlarge the company from about 7,700 employees to 8,800 employees. </w:t>
      </w:r>
    </w:p>
    <w:p w:rsidR="00CF71AC" w:rsidRPr="007D2AA2" w:rsidRDefault="00CF71AC" w:rsidP="00050835">
      <w:pPr>
        <w:pStyle w:val="BodyTextMain"/>
        <w:rPr>
          <w:lang w:val="en-GB"/>
        </w:rPr>
      </w:pPr>
    </w:p>
    <w:p w:rsidR="00CF71AC" w:rsidRPr="007D2AA2" w:rsidRDefault="00CF71AC" w:rsidP="00050835">
      <w:pPr>
        <w:pStyle w:val="BodyTextMain"/>
        <w:rPr>
          <w:lang w:val="en-GB"/>
        </w:rPr>
      </w:pPr>
    </w:p>
    <w:p w:rsidR="00CF71AC" w:rsidRPr="007D2AA2" w:rsidRDefault="00CF71AC" w:rsidP="00050835">
      <w:pPr>
        <w:pStyle w:val="Casehead1"/>
        <w:rPr>
          <w:lang w:val="en-GB"/>
        </w:rPr>
      </w:pPr>
      <w:r w:rsidRPr="007D2AA2">
        <w:rPr>
          <w:lang w:val="en-GB"/>
        </w:rPr>
        <w:t>Electricity and Gas Distribution</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Fortis considered itself an energy delivery company (i.e., a distribution company), operating primarily in the delivery of electricity and gas. The ITC acquisition would move Fortis heavily into the transmission segment of the electricity business (see Exhibit 5). </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The energy delivery industry for both electricity and gas </w:t>
      </w:r>
      <w:r>
        <w:rPr>
          <w:lang w:val="en-GB"/>
        </w:rPr>
        <w:t>comprised three</w:t>
      </w:r>
      <w:r w:rsidRPr="007D2AA2">
        <w:rPr>
          <w:lang w:val="en-GB"/>
        </w:rPr>
        <w:t xml:space="preserve"> different stages—generation</w:t>
      </w:r>
      <w:r>
        <w:rPr>
          <w:lang w:val="en-GB"/>
        </w:rPr>
        <w:t xml:space="preserve"> and </w:t>
      </w:r>
      <w:r w:rsidRPr="007D2AA2">
        <w:rPr>
          <w:lang w:val="en-GB"/>
        </w:rPr>
        <w:t>production, longer</w:t>
      </w:r>
      <w:r>
        <w:rPr>
          <w:lang w:val="en-GB"/>
        </w:rPr>
        <w:t>-</w:t>
      </w:r>
      <w:r w:rsidRPr="007D2AA2">
        <w:rPr>
          <w:lang w:val="en-GB"/>
        </w:rPr>
        <w:t>distance transmission</w:t>
      </w:r>
      <w:r>
        <w:rPr>
          <w:lang w:val="en-GB"/>
        </w:rPr>
        <w:t>,</w:t>
      </w:r>
      <w:r w:rsidRPr="007D2AA2">
        <w:rPr>
          <w:lang w:val="en-GB"/>
        </w:rPr>
        <w:t xml:space="preserve"> and local distribution (see Exhibit 6). </w:t>
      </w:r>
      <w:r>
        <w:rPr>
          <w:lang w:val="en-GB"/>
        </w:rPr>
        <w:t>Both p</w:t>
      </w:r>
      <w:r w:rsidRPr="007D2AA2">
        <w:rPr>
          <w:lang w:val="en-GB"/>
        </w:rPr>
        <w:t>rivate, investor-owned companies and public, government institutions operated in parts</w:t>
      </w:r>
      <w:r>
        <w:rPr>
          <w:lang w:val="en-GB"/>
        </w:rPr>
        <w:t>,</w:t>
      </w:r>
      <w:r w:rsidRPr="007D2AA2">
        <w:rPr>
          <w:lang w:val="en-GB"/>
        </w:rPr>
        <w:t xml:space="preserve"> or all</w:t>
      </w:r>
      <w:r>
        <w:rPr>
          <w:lang w:val="en-GB"/>
        </w:rPr>
        <w:t>,</w:t>
      </w:r>
      <w:r w:rsidRPr="007D2AA2">
        <w:rPr>
          <w:lang w:val="en-GB"/>
        </w:rPr>
        <w:t xml:space="preserve"> of the system. In some jurisdictions</w:t>
      </w:r>
      <w:r>
        <w:rPr>
          <w:lang w:val="en-GB"/>
        </w:rPr>
        <w:t>,</w:t>
      </w:r>
      <w:r w:rsidRPr="007D2AA2">
        <w:rPr>
          <w:lang w:val="en-GB"/>
        </w:rPr>
        <w:t xml:space="preserve"> energy delivery was fully integrated and run by government-owned entities. In others</w:t>
      </w:r>
      <w:r>
        <w:rPr>
          <w:lang w:val="en-GB"/>
        </w:rPr>
        <w:t>,</w:t>
      </w:r>
      <w:r w:rsidRPr="007D2AA2">
        <w:rPr>
          <w:lang w:val="en-GB"/>
        </w:rPr>
        <w:t xml:space="preserve"> each aspect from generation, transmission, distribution</w:t>
      </w:r>
      <w:r>
        <w:rPr>
          <w:lang w:val="en-GB"/>
        </w:rPr>
        <w:t>,</w:t>
      </w:r>
      <w:r w:rsidRPr="007D2AA2">
        <w:rPr>
          <w:lang w:val="en-GB"/>
        </w:rPr>
        <w:t xml:space="preserve"> and retailing was owned and operated by different investor-owned companies, with various government regulators establishing </w:t>
      </w:r>
      <w:r>
        <w:rPr>
          <w:lang w:val="en-GB"/>
        </w:rPr>
        <w:t xml:space="preserve">the base rates and the </w:t>
      </w:r>
      <w:r w:rsidRPr="007D2AA2">
        <w:rPr>
          <w:lang w:val="en-GB"/>
        </w:rPr>
        <w:t>production and transmission volume</w:t>
      </w:r>
      <w:r>
        <w:rPr>
          <w:lang w:val="en-GB"/>
        </w:rPr>
        <w:t>s</w:t>
      </w:r>
      <w:r w:rsidRPr="007D2AA2">
        <w:rPr>
          <w:lang w:val="en-GB"/>
        </w:rPr>
        <w:t>. As Smith explained, “The regulatory construct between a company and the regulator and its customers, basically, is that in return for running a utility well the regulator will let you earn a reasonable return.”</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Local distributors received their energy through transmission companies and distributed it locally. In Canada, electricity was traditionally </w:t>
      </w:r>
      <w:r>
        <w:rPr>
          <w:lang w:val="en-GB"/>
        </w:rPr>
        <w:t xml:space="preserve">distributed </w:t>
      </w:r>
      <w:r w:rsidRPr="007D2AA2">
        <w:rPr>
          <w:lang w:val="en-GB"/>
        </w:rPr>
        <w:t>by local publicly</w:t>
      </w:r>
      <w:r>
        <w:rPr>
          <w:lang w:val="en-GB"/>
        </w:rPr>
        <w:t xml:space="preserve"> </w:t>
      </w:r>
      <w:r w:rsidRPr="007D2AA2">
        <w:rPr>
          <w:lang w:val="en-GB"/>
        </w:rPr>
        <w:t>owned utility commissions. Increasingly this segment of the industry was consolidating and being privatized. The transmission segment of the electricity delivery industry had been owned and regulated along provincial and territorial jurisdictions. While some privatization had occurred beginning in the 1990s, most transmission utilities were still Crown</w:t>
      </w:r>
      <w:r>
        <w:rPr>
          <w:lang w:val="en-GB"/>
        </w:rPr>
        <w:t>-</w:t>
      </w:r>
      <w:r w:rsidRPr="007D2AA2">
        <w:rPr>
          <w:lang w:val="en-GB"/>
        </w:rPr>
        <w:t xml:space="preserve">owned corporations. The most significant privatization had occurred in Ontario and Alberta. Both operated electricity markets </w:t>
      </w:r>
      <w:r>
        <w:rPr>
          <w:lang w:val="en-GB"/>
        </w:rPr>
        <w:t>that</w:t>
      </w:r>
      <w:r w:rsidRPr="007D2AA2">
        <w:rPr>
          <w:lang w:val="en-GB"/>
        </w:rPr>
        <w:t xml:space="preserve"> opened components of the energy generation and delivery process to private ownership and, when possible, competitive markets. Newfoundland and Labrador, the Northwest Territories, Yukon, British Columbia, Saskatchewan, Manitoba, Quebec</w:t>
      </w:r>
      <w:r>
        <w:rPr>
          <w:lang w:val="en-GB"/>
        </w:rPr>
        <w:t>,</w:t>
      </w:r>
      <w:r w:rsidRPr="007D2AA2">
        <w:rPr>
          <w:lang w:val="en-GB"/>
        </w:rPr>
        <w:t xml:space="preserve"> and New Brunswick had Crown</w:t>
      </w:r>
      <w:r>
        <w:rPr>
          <w:lang w:val="en-GB"/>
        </w:rPr>
        <w:t>-</w:t>
      </w:r>
      <w:r w:rsidRPr="007D2AA2">
        <w:rPr>
          <w:lang w:val="en-GB"/>
        </w:rPr>
        <w:t xml:space="preserve">operated generators but relied on investor-owned distributors, such as Fortis. Nova Scotia was the </w:t>
      </w:r>
      <w:r w:rsidRPr="007D2AA2">
        <w:rPr>
          <w:lang w:val="en-GB"/>
        </w:rPr>
        <w:lastRenderedPageBreak/>
        <w:t>only province that had completely divested all of its energy holdings and had granted a virtual monopoly to Nova Scotia Power, Inc.</w:t>
      </w:r>
      <w:r w:rsidRPr="007D2AA2">
        <w:rPr>
          <w:rStyle w:val="FootnoteReference"/>
          <w:lang w:val="en-GB"/>
        </w:rPr>
        <w:footnoteReference w:id="8"/>
      </w:r>
    </w:p>
    <w:p w:rsidR="00CF71AC" w:rsidRPr="007D2AA2" w:rsidRDefault="00CF71AC" w:rsidP="00050835">
      <w:pPr>
        <w:pStyle w:val="BodyTextMain"/>
        <w:rPr>
          <w:lang w:val="en-GB"/>
        </w:rPr>
      </w:pPr>
    </w:p>
    <w:p w:rsidR="00CF71AC" w:rsidRPr="007D2AA2" w:rsidRDefault="00CF71AC" w:rsidP="00050835">
      <w:pPr>
        <w:pStyle w:val="BodyTextMain"/>
        <w:rPr>
          <w:lang w:val="en-GB"/>
        </w:rPr>
      </w:pPr>
      <w:r>
        <w:rPr>
          <w:lang w:val="en-GB"/>
        </w:rPr>
        <w:t>In Canada, the</w:t>
      </w:r>
      <w:r w:rsidRPr="007D2AA2">
        <w:rPr>
          <w:lang w:val="en-GB"/>
        </w:rPr>
        <w:t xml:space="preserve"> generation and sale of natural gas (but not </w:t>
      </w:r>
      <w:r>
        <w:rPr>
          <w:lang w:val="en-GB"/>
        </w:rPr>
        <w:t xml:space="preserve">its </w:t>
      </w:r>
      <w:r w:rsidRPr="007D2AA2">
        <w:rPr>
          <w:lang w:val="en-GB"/>
        </w:rPr>
        <w:t xml:space="preserve">transmission and distribution) </w:t>
      </w:r>
      <w:r>
        <w:rPr>
          <w:lang w:val="en-GB"/>
        </w:rPr>
        <w:t>were</w:t>
      </w:r>
      <w:r w:rsidRPr="007D2AA2">
        <w:rPr>
          <w:lang w:val="en-GB"/>
        </w:rPr>
        <w:t xml:space="preserve"> deregulated</w:t>
      </w:r>
      <w:r>
        <w:rPr>
          <w:lang w:val="en-GB"/>
        </w:rPr>
        <w:t>,</w:t>
      </w:r>
      <w:r w:rsidRPr="007D2AA2">
        <w:rPr>
          <w:lang w:val="en-GB"/>
        </w:rPr>
        <w:t xml:space="preserve"> starting in the mid-1980s.</w:t>
      </w:r>
      <w:r w:rsidRPr="007D2AA2">
        <w:rPr>
          <w:rStyle w:val="FootnoteReference"/>
          <w:lang w:val="en-GB"/>
        </w:rPr>
        <w:footnoteReference w:id="9"/>
      </w:r>
      <w:r w:rsidRPr="007D2AA2">
        <w:rPr>
          <w:lang w:val="en-GB"/>
        </w:rPr>
        <w:t xml:space="preserve"> This change had created open marketplaces in many provinces</w:t>
      </w:r>
      <w:r>
        <w:rPr>
          <w:lang w:val="en-GB"/>
        </w:rPr>
        <w:t>;</w:t>
      </w:r>
      <w:r w:rsidRPr="007D2AA2">
        <w:rPr>
          <w:lang w:val="en-GB"/>
        </w:rPr>
        <w:t xml:space="preserve"> however, incumbent distributors were able to effectively fight off competition in open markets and the majority of provinces still had few competitive options for consumers.</w:t>
      </w:r>
      <w:r w:rsidRPr="007D2AA2">
        <w:rPr>
          <w:rStyle w:val="FootnoteReference"/>
          <w:lang w:val="en-GB"/>
        </w:rPr>
        <w:footnoteReference w:id="10"/>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In the United States, electricity generation and distribution had become increasingly complex, as 16 states were deregulated to some extent, while other states had a variety of regulatory policies that governed the electricity industry. No state, however, was fully deregulated.</w:t>
      </w:r>
      <w:r w:rsidRPr="007D2AA2">
        <w:rPr>
          <w:rStyle w:val="FootnoteReference"/>
          <w:lang w:val="en-GB"/>
        </w:rPr>
        <w:footnoteReference w:id="11"/>
      </w:r>
      <w:r w:rsidRPr="007D2AA2">
        <w:rPr>
          <w:lang w:val="en-GB"/>
        </w:rPr>
        <w:t xml:space="preserve"> In addition, the </w:t>
      </w:r>
      <w:r>
        <w:rPr>
          <w:lang w:val="en-GB"/>
        </w:rPr>
        <w:t xml:space="preserve">U.S. </w:t>
      </w:r>
      <w:r w:rsidRPr="007D2AA2">
        <w:rPr>
          <w:lang w:val="en-GB"/>
        </w:rPr>
        <w:t>federal government provided policy guidance through the Department of Energy, the Environmental Protection Agency</w:t>
      </w:r>
      <w:r>
        <w:rPr>
          <w:lang w:val="en-GB"/>
        </w:rPr>
        <w:t>,</w:t>
      </w:r>
      <w:r w:rsidRPr="007D2AA2">
        <w:rPr>
          <w:lang w:val="en-GB"/>
        </w:rPr>
        <w:t xml:space="preserve"> and the Federal Trade Commission. Deregulation had initially caused chaos in some early adopter states, including California</w:t>
      </w:r>
      <w:r>
        <w:rPr>
          <w:lang w:val="en-GB"/>
        </w:rPr>
        <w:t>,</w:t>
      </w:r>
      <w:r w:rsidRPr="007D2AA2">
        <w:rPr>
          <w:lang w:val="en-GB"/>
        </w:rPr>
        <w:t xml:space="preserve"> during the Enron scandal. As a result of such issues, many states had halted deregulation proceedings. </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The deregulation of the sale of natural gas at the wellhead source had begun in full in 1989 with the passing of the </w:t>
      </w:r>
      <w:r w:rsidRPr="00C1131C">
        <w:rPr>
          <w:i/>
          <w:lang w:val="en-GB"/>
        </w:rPr>
        <w:t>Natural Gas Wellhead Decontrol Act</w:t>
      </w:r>
      <w:r w:rsidRPr="007D2AA2">
        <w:rPr>
          <w:lang w:val="en-GB"/>
        </w:rPr>
        <w:t>. This legislation enabled natural gas producers to sell at any price, free of regulation to the “first sale,” whether to a pipeline company, a local distributor</w:t>
      </w:r>
      <w:r>
        <w:rPr>
          <w:lang w:val="en-GB"/>
        </w:rPr>
        <w:t>,</w:t>
      </w:r>
      <w:r w:rsidRPr="007D2AA2">
        <w:rPr>
          <w:lang w:val="en-GB"/>
        </w:rPr>
        <w:t xml:space="preserve"> or directly to the end</w:t>
      </w:r>
      <w:r>
        <w:rPr>
          <w:lang w:val="en-GB"/>
        </w:rPr>
        <w:t>-</w:t>
      </w:r>
      <w:r w:rsidRPr="007D2AA2">
        <w:rPr>
          <w:lang w:val="en-GB"/>
        </w:rPr>
        <w:t>user.</w:t>
      </w:r>
      <w:r w:rsidRPr="007D2AA2">
        <w:rPr>
          <w:rStyle w:val="FootnoteReference"/>
          <w:lang w:val="en-GB"/>
        </w:rPr>
        <w:footnoteReference w:id="12"/>
      </w:r>
    </w:p>
    <w:p w:rsidR="00CF71AC" w:rsidRPr="007D2AA2" w:rsidRDefault="00CF71AC" w:rsidP="00050835">
      <w:pPr>
        <w:pStyle w:val="BodyTextMain"/>
        <w:rPr>
          <w:lang w:val="en-GB"/>
        </w:rPr>
      </w:pPr>
    </w:p>
    <w:p w:rsidR="00CF71AC" w:rsidRPr="007D2AA2" w:rsidRDefault="00CF71AC" w:rsidP="00050835">
      <w:pPr>
        <w:pStyle w:val="BodyTextMain"/>
        <w:rPr>
          <w:lang w:val="en-GB"/>
        </w:rPr>
      </w:pPr>
    </w:p>
    <w:p w:rsidR="00CF71AC" w:rsidRPr="007D2AA2" w:rsidRDefault="00CF71AC" w:rsidP="00050835">
      <w:pPr>
        <w:pStyle w:val="Casehead1"/>
        <w:rPr>
          <w:lang w:val="en-GB"/>
        </w:rPr>
      </w:pPr>
      <w:r w:rsidRPr="007D2AA2">
        <w:rPr>
          <w:lang w:val="en-GB"/>
        </w:rPr>
        <w:t>Industry Trends</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Over the </w:t>
      </w:r>
      <w:r>
        <w:rPr>
          <w:lang w:val="en-GB"/>
        </w:rPr>
        <w:t>p</w:t>
      </w:r>
      <w:r w:rsidRPr="007D2AA2">
        <w:rPr>
          <w:lang w:val="en-GB"/>
        </w:rPr>
        <w:t>ast five years, large players within the electricity industry continued to consistently grow their asset bases through both investment and acquisitions (see Exhibit 7). While Ontario Power Generation remained a pure</w:t>
      </w:r>
      <w:r>
        <w:rPr>
          <w:lang w:val="en-GB"/>
        </w:rPr>
        <w:t>-</w:t>
      </w:r>
      <w:r w:rsidRPr="007D2AA2">
        <w:rPr>
          <w:lang w:val="en-GB"/>
        </w:rPr>
        <w:t>play generation company</w:t>
      </w:r>
      <w:r>
        <w:rPr>
          <w:lang w:val="en-GB"/>
        </w:rPr>
        <w:t>,</w:t>
      </w:r>
      <w:r w:rsidRPr="007D2AA2">
        <w:rPr>
          <w:lang w:val="en-GB"/>
        </w:rPr>
        <w:t xml:space="preserve"> other major players in both Canada and the United States maintained operations in more than one segment of the energy creation and distribution business. As noted in Exhibit 7, other large electricity utility companies in Canada and the United States (outside of Ontario Power Generation) operated in transmission, while Fortis operated primarily in distribution with a few generation assets. </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Demand for energy at a global level was consistently increasing. By 2050, it was expected that demand for electricity would account for 25 per cent of all energy demand, up from 18 per cent to date. According to research performed by McKinsey &amp; Company, wind and solar energy generation would account for 77 per cent of the new generation capacity that would be required. However, 71 per cent of the new energy demand would come from China and India, while European and North American demand was expected to decline.</w:t>
      </w:r>
      <w:r w:rsidRPr="007D2AA2">
        <w:rPr>
          <w:rStyle w:val="FootnoteReference"/>
          <w:lang w:val="en-GB"/>
        </w:rPr>
        <w:footnoteReference w:id="13"/>
      </w:r>
      <w:r w:rsidRPr="007D2AA2">
        <w:rPr>
          <w:lang w:val="en-GB"/>
        </w:rPr>
        <w:t xml:space="preserve"> This expected growth led to increased investment in the energy industry from private firms. </w:t>
      </w:r>
      <w:r w:rsidRPr="007D2AA2">
        <w:rPr>
          <w:lang w:val="en-GB"/>
        </w:rPr>
        <w:lastRenderedPageBreak/>
        <w:t>From 2012 to 2017, it was expected that private equity firms would have invested more than $200 billion into the energy industry, investing in both traditional energy companies and innovative technologies.</w:t>
      </w:r>
      <w:r w:rsidRPr="007D2AA2">
        <w:rPr>
          <w:rStyle w:val="FootnoteReference"/>
          <w:lang w:val="en-GB"/>
        </w:rPr>
        <w:footnoteReference w:id="14"/>
      </w:r>
    </w:p>
    <w:p w:rsidR="00CF71AC" w:rsidRPr="007D2AA2" w:rsidRDefault="00CF71AC" w:rsidP="00050835">
      <w:pPr>
        <w:pStyle w:val="BodyTextMain"/>
        <w:rPr>
          <w:lang w:val="en-GB"/>
        </w:rPr>
      </w:pPr>
    </w:p>
    <w:p w:rsidR="00CF71AC" w:rsidRPr="007D2AA2" w:rsidRDefault="00CF71AC" w:rsidP="00050835">
      <w:pPr>
        <w:pStyle w:val="BodyTextMain"/>
        <w:rPr>
          <w:lang w:val="en-GB"/>
        </w:rPr>
      </w:pPr>
    </w:p>
    <w:p w:rsidR="00CF71AC" w:rsidRPr="007D2AA2" w:rsidRDefault="00CF71AC" w:rsidP="00050835">
      <w:pPr>
        <w:pStyle w:val="Casehead1"/>
        <w:rPr>
          <w:lang w:val="en-GB"/>
        </w:rPr>
      </w:pPr>
      <w:r w:rsidRPr="007D2AA2">
        <w:rPr>
          <w:lang w:val="en-GB"/>
        </w:rPr>
        <w:t>Fortis</w:t>
      </w:r>
      <w:r>
        <w:rPr>
          <w:lang w:val="en-GB"/>
        </w:rPr>
        <w:t>’S</w:t>
      </w:r>
      <w:r w:rsidRPr="007D2AA2">
        <w:rPr>
          <w:lang w:val="en-GB"/>
        </w:rPr>
        <w:t xml:space="preserve"> Company Structure </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Fortis allowed its subsidiaries a tremendous amount of autonomy in their respective operations. Additionally, the company strove to provide certainty to its subsidiaries upon acquisition by maintaining </w:t>
      </w:r>
      <w:r>
        <w:rPr>
          <w:lang w:val="en-GB"/>
        </w:rPr>
        <w:t xml:space="preserve">their </w:t>
      </w:r>
      <w:r w:rsidRPr="007D2AA2">
        <w:rPr>
          <w:lang w:val="en-GB"/>
        </w:rPr>
        <w:t xml:space="preserve">existing leadership wherever possible. Fortis focused on extending influence over its subsidiaries by placing senior Fortis leaders on the respective boards of the acquired companies. Fortis would also seek to cross-pollinate its leadership, inviting senior leaders of its subsidiaries, to sit on the boards of other Fortis subsidiary companies. As Smith noted: </w:t>
      </w:r>
    </w:p>
    <w:p w:rsidR="00CF71AC" w:rsidRPr="007D2AA2" w:rsidRDefault="00CF71AC" w:rsidP="00050835">
      <w:pPr>
        <w:pStyle w:val="BodyTextMain"/>
        <w:rPr>
          <w:lang w:val="en-GB"/>
        </w:rPr>
      </w:pPr>
    </w:p>
    <w:p w:rsidR="00CF71AC" w:rsidRPr="007D2AA2" w:rsidRDefault="00CF71AC" w:rsidP="00050835">
      <w:pPr>
        <w:pStyle w:val="BodyTextMain"/>
        <w:ind w:left="720"/>
        <w:rPr>
          <w:lang w:val="en-GB"/>
        </w:rPr>
      </w:pPr>
      <w:r w:rsidRPr="007D2AA2">
        <w:rPr>
          <w:lang w:val="en-GB"/>
        </w:rPr>
        <w:t xml:space="preserve">The way we run our business is an ongoing conversation. We don’t have regularly scheduled meetings. Around here, we manage by walking into each other’s offices and talking. Every week I will probably talk to each of our [subsidiary] CFOs. Barry </w:t>
      </w:r>
      <w:r>
        <w:rPr>
          <w:lang w:val="en-GB"/>
        </w:rPr>
        <w:t xml:space="preserve">[Barry Perry, Fortis’s CEO] </w:t>
      </w:r>
      <w:r w:rsidRPr="007D2AA2">
        <w:rPr>
          <w:lang w:val="en-GB"/>
        </w:rPr>
        <w:t>will definitely talk to each of our [subsidiary] CEOs. That</w:t>
      </w:r>
      <w:r>
        <w:rPr>
          <w:lang w:val="en-GB"/>
        </w:rPr>
        <w:t>’</w:t>
      </w:r>
      <w:r w:rsidRPr="007D2AA2">
        <w:rPr>
          <w:lang w:val="en-GB"/>
        </w:rPr>
        <w:t>s the culture of how we run our business.</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Executives of the subsidiaries were said to have tremendous autonomy. Reporting requirements to </w:t>
      </w:r>
      <w:r>
        <w:rPr>
          <w:lang w:val="en-GB"/>
        </w:rPr>
        <w:t>Fortis</w:t>
      </w:r>
      <w:r w:rsidRPr="007D2AA2">
        <w:rPr>
          <w:lang w:val="en-GB"/>
        </w:rPr>
        <w:t xml:space="preserve"> were minimal. However, </w:t>
      </w:r>
      <w:r>
        <w:rPr>
          <w:lang w:val="en-GB"/>
        </w:rPr>
        <w:t xml:space="preserve">Smith noted that the subsidiaries’ ownership </w:t>
      </w:r>
      <w:r w:rsidRPr="007D2AA2">
        <w:rPr>
          <w:lang w:val="en-GB"/>
        </w:rPr>
        <w:t>by Fortis</w:t>
      </w:r>
      <w:r>
        <w:rPr>
          <w:lang w:val="en-GB"/>
        </w:rPr>
        <w:t xml:space="preserve"> led to</w:t>
      </w:r>
      <w:r w:rsidRPr="007D2AA2">
        <w:rPr>
          <w:lang w:val="en-GB"/>
        </w:rPr>
        <w:t xml:space="preserve"> “more tools at their disposal in the bigger enterprise and, therefore, we</w:t>
      </w:r>
      <w:r>
        <w:rPr>
          <w:lang w:val="en-GB"/>
        </w:rPr>
        <w:t>’</w:t>
      </w:r>
      <w:r w:rsidRPr="007D2AA2">
        <w:rPr>
          <w:lang w:val="en-GB"/>
        </w:rPr>
        <w:t>d like to think they are better at managing their businesses as a consequence of our ownership.” Fortis also would act as a cushion between the board of the subsidiary and the subsidiary’s management, by positioning members of Fortis’</w:t>
      </w:r>
      <w:r>
        <w:rPr>
          <w:lang w:val="en-GB"/>
        </w:rPr>
        <w:t>s</w:t>
      </w:r>
      <w:r w:rsidRPr="007D2AA2">
        <w:rPr>
          <w:lang w:val="en-GB"/>
        </w:rPr>
        <w:t xml:space="preserve"> senior management team on the subsidiary boards and</w:t>
      </w:r>
      <w:r>
        <w:rPr>
          <w:lang w:val="en-GB"/>
        </w:rPr>
        <w:t>, when necessary,</w:t>
      </w:r>
      <w:r w:rsidRPr="007D2AA2">
        <w:rPr>
          <w:lang w:val="en-GB"/>
        </w:rPr>
        <w:t xml:space="preserve"> by advocating on behalf of the subsidiary’s management.</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Smith noted that influence at the subsidiary board level from experienced Fortis leaders was especially important in the electricity industry: </w:t>
      </w:r>
    </w:p>
    <w:p w:rsidR="00CF71AC" w:rsidRPr="007D2AA2" w:rsidRDefault="00CF71AC" w:rsidP="00050835">
      <w:pPr>
        <w:pStyle w:val="BodyTextMain"/>
        <w:rPr>
          <w:lang w:val="en-GB"/>
        </w:rPr>
      </w:pPr>
    </w:p>
    <w:p w:rsidR="00CF71AC" w:rsidRDefault="00CF71AC" w:rsidP="00050835">
      <w:pPr>
        <w:pStyle w:val="BodyTextMain"/>
        <w:ind w:left="720"/>
        <w:rPr>
          <w:lang w:val="en-GB"/>
        </w:rPr>
      </w:pPr>
      <w:r w:rsidRPr="007D2AA2">
        <w:rPr>
          <w:lang w:val="en-GB"/>
        </w:rPr>
        <w:t>Most other businesses share some common aspects, but the electric utility business because of the significant amount of regulatory oversight and the fact that people think it is a public good—it is so different than anything else. So it’s hard to be intuitive about the electric utility business—I’ve seen this so many times over the years where a new board member comes on—and we see them in Newfoundland Power, we see them in other companies, and they are sitting there saying</w:t>
      </w:r>
      <w:r>
        <w:rPr>
          <w:lang w:val="en-GB"/>
        </w:rPr>
        <w:t>,</w:t>
      </w:r>
      <w:r w:rsidRPr="007D2AA2">
        <w:rPr>
          <w:lang w:val="en-GB"/>
        </w:rPr>
        <w:t xml:space="preserve"> “</w:t>
      </w:r>
      <w:r>
        <w:rPr>
          <w:lang w:val="en-GB"/>
        </w:rPr>
        <w:t>H</w:t>
      </w:r>
      <w:r w:rsidRPr="007D2AA2">
        <w:rPr>
          <w:lang w:val="en-GB"/>
        </w:rPr>
        <w:t xml:space="preserve">ow does that work?” </w:t>
      </w:r>
    </w:p>
    <w:p w:rsidR="00A41B52" w:rsidRDefault="00A41B52" w:rsidP="00A41B52">
      <w:pPr>
        <w:pStyle w:val="BodyTextMain"/>
      </w:pPr>
    </w:p>
    <w:p w:rsidR="00A41B52" w:rsidRPr="00A41B52" w:rsidRDefault="00A41B52" w:rsidP="00A41B52">
      <w:pPr>
        <w:pStyle w:val="BodyTextMain"/>
      </w:pPr>
    </w:p>
    <w:p w:rsidR="00CF71AC" w:rsidRPr="007D2AA2" w:rsidRDefault="00CF71AC" w:rsidP="00050835">
      <w:pPr>
        <w:pStyle w:val="Casehead1"/>
        <w:rPr>
          <w:lang w:val="en-GB"/>
        </w:rPr>
      </w:pPr>
      <w:r w:rsidRPr="007D2AA2">
        <w:rPr>
          <w:lang w:val="en-GB"/>
        </w:rPr>
        <w:t>Talent Development</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Fortis generally did not move talent across subsidiaries in </w:t>
      </w:r>
      <w:r>
        <w:rPr>
          <w:lang w:val="en-GB"/>
        </w:rPr>
        <w:t>an attempt</w:t>
      </w:r>
      <w:r w:rsidRPr="007D2AA2">
        <w:rPr>
          <w:lang w:val="en-GB"/>
        </w:rPr>
        <w:t xml:space="preserve"> to support each subsidiary acting as a separate entity with its own respective succession and talent development plans. However, Fortis’</w:t>
      </w:r>
      <w:r>
        <w:rPr>
          <w:lang w:val="en-GB"/>
        </w:rPr>
        <w:t>s</w:t>
      </w:r>
      <w:r w:rsidRPr="007D2AA2">
        <w:rPr>
          <w:lang w:val="en-GB"/>
        </w:rPr>
        <w:t xml:space="preserve"> head office was able to exert significant influence on the selection of executives for its subsidiaries, through its membership on their respective boards (see Exhibit 8). In Fortis’</w:t>
      </w:r>
      <w:r>
        <w:rPr>
          <w:lang w:val="en-GB"/>
        </w:rPr>
        <w:t>s</w:t>
      </w:r>
      <w:r w:rsidRPr="007D2AA2">
        <w:rPr>
          <w:lang w:val="en-GB"/>
        </w:rPr>
        <w:t xml:space="preserve"> history, there had been a few occasions where a high</w:t>
      </w:r>
      <w:r>
        <w:rPr>
          <w:lang w:val="en-GB"/>
        </w:rPr>
        <w:t>-</w:t>
      </w:r>
      <w:r w:rsidRPr="007D2AA2">
        <w:rPr>
          <w:lang w:val="en-GB"/>
        </w:rPr>
        <w:t xml:space="preserve">potential employee </w:t>
      </w:r>
      <w:r>
        <w:rPr>
          <w:lang w:val="en-GB"/>
        </w:rPr>
        <w:t xml:space="preserve">was </w:t>
      </w:r>
      <w:r w:rsidRPr="007D2AA2">
        <w:rPr>
          <w:lang w:val="en-GB"/>
        </w:rPr>
        <w:t xml:space="preserve">suited </w:t>
      </w:r>
      <w:r>
        <w:rPr>
          <w:lang w:val="en-GB"/>
        </w:rPr>
        <w:t xml:space="preserve">for </w:t>
      </w:r>
      <w:r w:rsidRPr="007D2AA2">
        <w:rPr>
          <w:lang w:val="en-GB"/>
        </w:rPr>
        <w:t>a role in a different subsidiary</w:t>
      </w:r>
      <w:r>
        <w:rPr>
          <w:lang w:val="en-GB"/>
        </w:rPr>
        <w:t>, and</w:t>
      </w:r>
      <w:r w:rsidRPr="007D2AA2">
        <w:rPr>
          <w:lang w:val="en-GB"/>
        </w:rPr>
        <w:t xml:space="preserve"> that employee was able to apply for that role when it became open, as long as the role fell within the employee’s individual leadership development plan. In general, Fortis encouraged talent development and liked to see some talent move across its subsidiaries</w:t>
      </w:r>
      <w:r>
        <w:rPr>
          <w:lang w:val="en-GB"/>
        </w:rPr>
        <w:t>,</w:t>
      </w:r>
      <w:r w:rsidRPr="007D2AA2">
        <w:rPr>
          <w:lang w:val="en-GB"/>
        </w:rPr>
        <w:t xml:space="preserve"> but </w:t>
      </w:r>
      <w:r>
        <w:rPr>
          <w:lang w:val="en-GB"/>
        </w:rPr>
        <w:t>doing so</w:t>
      </w:r>
      <w:r w:rsidRPr="007D2AA2">
        <w:rPr>
          <w:lang w:val="en-GB"/>
        </w:rPr>
        <w:t xml:space="preserve"> was</w:t>
      </w:r>
      <w:r>
        <w:rPr>
          <w:lang w:val="en-GB"/>
        </w:rPr>
        <w:t xml:space="preserve"> difficult and happened rarely</w:t>
      </w:r>
      <w:r w:rsidRPr="007D2AA2">
        <w:rPr>
          <w:lang w:val="en-GB"/>
        </w:rPr>
        <w:t>.</w:t>
      </w:r>
    </w:p>
    <w:p w:rsidR="00CF71AC" w:rsidRPr="007D2AA2" w:rsidRDefault="00CF71AC" w:rsidP="00050835">
      <w:pPr>
        <w:pStyle w:val="BodyTextMain"/>
        <w:rPr>
          <w:lang w:val="en-GB"/>
        </w:rPr>
      </w:pPr>
      <w:r w:rsidRPr="007D2AA2">
        <w:rPr>
          <w:lang w:val="en-GB"/>
        </w:rPr>
        <w:lastRenderedPageBreak/>
        <w:t xml:space="preserve">Fortis also encouraged information sharing between its subsidiaries by </w:t>
      </w:r>
      <w:r>
        <w:rPr>
          <w:lang w:val="en-GB"/>
        </w:rPr>
        <w:t>having the</w:t>
      </w:r>
      <w:r w:rsidRPr="007D2AA2">
        <w:rPr>
          <w:lang w:val="en-GB"/>
        </w:rPr>
        <w:t xml:space="preserve"> senior leaders </w:t>
      </w:r>
      <w:r>
        <w:rPr>
          <w:lang w:val="en-GB"/>
        </w:rPr>
        <w:t xml:space="preserve">meet regularly to </w:t>
      </w:r>
      <w:r w:rsidRPr="007D2AA2">
        <w:rPr>
          <w:lang w:val="en-GB"/>
        </w:rPr>
        <w:t>focus on topics that impacted all of its subsidiaries</w:t>
      </w:r>
      <w:r>
        <w:rPr>
          <w:lang w:val="en-GB"/>
        </w:rPr>
        <w:t>,</w:t>
      </w:r>
      <w:r w:rsidRPr="007D2AA2">
        <w:rPr>
          <w:lang w:val="en-GB"/>
        </w:rPr>
        <w:t xml:space="preserve"> such as safety and corporate communications. When it came to assigning promotions, Fortis’</w:t>
      </w:r>
      <w:r>
        <w:rPr>
          <w:lang w:val="en-GB"/>
        </w:rPr>
        <w:t>s</w:t>
      </w:r>
      <w:r w:rsidRPr="007D2AA2">
        <w:rPr>
          <w:lang w:val="en-GB"/>
        </w:rPr>
        <w:t xml:space="preserve"> senior leadership preferred to lead through influence at the board level of its subsidiaries. However, as Smith noted: “We do have a role and a say but the approach we take is one of convincing them rather than ordering them.” </w:t>
      </w:r>
    </w:p>
    <w:p w:rsidR="00CF71AC" w:rsidRPr="007D2AA2" w:rsidRDefault="00CF71AC" w:rsidP="00050835">
      <w:pPr>
        <w:pStyle w:val="BodyTextMain"/>
        <w:rPr>
          <w:lang w:val="en-GB"/>
        </w:rPr>
      </w:pPr>
    </w:p>
    <w:p w:rsidR="00CF71AC" w:rsidRPr="007D2AA2" w:rsidRDefault="00CF71AC" w:rsidP="00050835">
      <w:pPr>
        <w:pStyle w:val="BodyTextMain"/>
        <w:rPr>
          <w:lang w:val="en-GB"/>
        </w:rPr>
      </w:pPr>
    </w:p>
    <w:p w:rsidR="00CF71AC" w:rsidRPr="007D2AA2" w:rsidRDefault="00CF71AC" w:rsidP="00050835">
      <w:pPr>
        <w:pStyle w:val="Casehead1"/>
        <w:rPr>
          <w:lang w:val="en-GB"/>
        </w:rPr>
      </w:pPr>
      <w:r w:rsidRPr="007D2AA2">
        <w:rPr>
          <w:lang w:val="en-GB"/>
        </w:rPr>
        <w:t>Compensation</w:t>
      </w:r>
    </w:p>
    <w:p w:rsidR="00CF71AC"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Compensation at the executive level within the subsidiaries was tied to several metrics</w:t>
      </w:r>
      <w:r>
        <w:rPr>
          <w:lang w:val="en-GB"/>
        </w:rPr>
        <w:t>,</w:t>
      </w:r>
      <w:r w:rsidRPr="007D2AA2">
        <w:rPr>
          <w:lang w:val="en-GB"/>
        </w:rPr>
        <w:t xml:space="preserve"> includ</w:t>
      </w:r>
      <w:r>
        <w:rPr>
          <w:lang w:val="en-GB"/>
        </w:rPr>
        <w:t>ing</w:t>
      </w:r>
      <w:r w:rsidRPr="007D2AA2">
        <w:rPr>
          <w:lang w:val="en-GB"/>
        </w:rPr>
        <w:t xml:space="preserve"> Fortis’</w:t>
      </w:r>
      <w:r>
        <w:rPr>
          <w:lang w:val="en-GB"/>
        </w:rPr>
        <w:t>s</w:t>
      </w:r>
      <w:r w:rsidRPr="007D2AA2">
        <w:rPr>
          <w:lang w:val="en-GB"/>
        </w:rPr>
        <w:t xml:space="preserve"> financial performance and the overall safety, reliability</w:t>
      </w:r>
      <w:r>
        <w:rPr>
          <w:lang w:val="en-GB"/>
        </w:rPr>
        <w:t>,</w:t>
      </w:r>
      <w:r w:rsidRPr="007D2AA2">
        <w:rPr>
          <w:lang w:val="en-GB"/>
        </w:rPr>
        <w:t xml:space="preserve"> and customer service performance of their respective organization. The </w:t>
      </w:r>
      <w:proofErr w:type="spellStart"/>
      <w:r w:rsidRPr="007D2AA2">
        <w:rPr>
          <w:lang w:val="en-GB"/>
        </w:rPr>
        <w:t>payout</w:t>
      </w:r>
      <w:proofErr w:type="spellEnd"/>
      <w:r w:rsidRPr="007D2AA2">
        <w:rPr>
          <w:lang w:val="en-GB"/>
        </w:rPr>
        <w:t xml:space="preserve"> of their compensation was both in a base salary and in an annual cash-based</w:t>
      </w:r>
      <w:r>
        <w:rPr>
          <w:lang w:val="en-GB"/>
        </w:rPr>
        <w:t>,</w:t>
      </w:r>
      <w:r w:rsidRPr="007D2AA2">
        <w:rPr>
          <w:lang w:val="en-GB"/>
        </w:rPr>
        <w:t xml:space="preserve"> short-term incentive</w:t>
      </w:r>
      <w:r>
        <w:rPr>
          <w:lang w:val="en-GB"/>
        </w:rPr>
        <w:t>;</w:t>
      </w:r>
      <w:r w:rsidRPr="007D2AA2">
        <w:rPr>
          <w:lang w:val="en-GB"/>
        </w:rPr>
        <w:t xml:space="preserve"> a long-term stock incentive of either stock options or performance shares</w:t>
      </w:r>
      <w:r>
        <w:rPr>
          <w:lang w:val="en-GB"/>
        </w:rPr>
        <w:t>;</w:t>
      </w:r>
      <w:r w:rsidRPr="007D2AA2">
        <w:rPr>
          <w:lang w:val="en-GB"/>
        </w:rPr>
        <w:t xml:space="preserve"> full-career performance tied to an employee share purchase plan</w:t>
      </w:r>
      <w:r>
        <w:rPr>
          <w:lang w:val="en-GB"/>
        </w:rPr>
        <w:t>;</w:t>
      </w:r>
      <w:r w:rsidRPr="007D2AA2">
        <w:rPr>
          <w:lang w:val="en-GB"/>
        </w:rPr>
        <w:t xml:space="preserve"> and </w:t>
      </w:r>
      <w:r>
        <w:rPr>
          <w:lang w:val="en-GB"/>
        </w:rPr>
        <w:t xml:space="preserve">a matching program for a </w:t>
      </w:r>
      <w:r w:rsidRPr="007D2AA2">
        <w:rPr>
          <w:lang w:val="en-GB"/>
        </w:rPr>
        <w:t>registered retirement savings plan. At the corporate level, senior executives</w:t>
      </w:r>
      <w:r>
        <w:rPr>
          <w:lang w:val="en-GB"/>
        </w:rPr>
        <w:t>’ compensation was more significantly tied</w:t>
      </w:r>
      <w:r w:rsidRPr="007D2AA2">
        <w:rPr>
          <w:lang w:val="en-GB"/>
        </w:rPr>
        <w:t xml:space="preserve"> </w:t>
      </w:r>
      <w:r>
        <w:rPr>
          <w:lang w:val="en-GB"/>
        </w:rPr>
        <w:t xml:space="preserve">to </w:t>
      </w:r>
      <w:r w:rsidRPr="007D2AA2">
        <w:rPr>
          <w:lang w:val="en-GB"/>
        </w:rPr>
        <w:t xml:space="preserve">total shareholder return (TSR). </w:t>
      </w:r>
      <w:r>
        <w:rPr>
          <w:lang w:val="en-GB"/>
        </w:rPr>
        <w:t>F</w:t>
      </w:r>
      <w:r w:rsidRPr="007D2AA2">
        <w:rPr>
          <w:lang w:val="en-GB"/>
        </w:rPr>
        <w:t xml:space="preserve">or example, </w:t>
      </w:r>
      <w:r>
        <w:rPr>
          <w:lang w:val="en-GB"/>
        </w:rPr>
        <w:t xml:space="preserve">over a three-year period, the </w:t>
      </w:r>
      <w:r w:rsidRPr="007D2AA2">
        <w:rPr>
          <w:lang w:val="en-GB"/>
        </w:rPr>
        <w:t xml:space="preserve">TSR </w:t>
      </w:r>
      <w:r>
        <w:rPr>
          <w:lang w:val="en-GB"/>
        </w:rPr>
        <w:t xml:space="preserve">would </w:t>
      </w:r>
      <w:r w:rsidRPr="007D2AA2">
        <w:rPr>
          <w:lang w:val="en-GB"/>
        </w:rPr>
        <w:t>contribute approximately 25 per cent of</w:t>
      </w:r>
      <w:r>
        <w:rPr>
          <w:lang w:val="en-GB"/>
        </w:rPr>
        <w:t xml:space="preserve"> the compensation for the CEO of </w:t>
      </w:r>
      <w:proofErr w:type="spellStart"/>
      <w:r>
        <w:rPr>
          <w:lang w:val="en-GB"/>
        </w:rPr>
        <w:t>FortisBC</w:t>
      </w:r>
      <w:proofErr w:type="spellEnd"/>
      <w:r>
        <w:rPr>
          <w:lang w:val="en-GB"/>
        </w:rPr>
        <w:t>;</w:t>
      </w:r>
      <w:r w:rsidRPr="007D2AA2">
        <w:rPr>
          <w:lang w:val="en-GB"/>
        </w:rPr>
        <w:t xml:space="preserve"> </w:t>
      </w:r>
      <w:r>
        <w:rPr>
          <w:lang w:val="en-GB"/>
        </w:rPr>
        <w:t xml:space="preserve">over the same period, the TSR would contribute </w:t>
      </w:r>
      <w:r w:rsidRPr="007D2AA2">
        <w:rPr>
          <w:lang w:val="en-GB"/>
        </w:rPr>
        <w:t>closer to 70 per</w:t>
      </w:r>
      <w:r>
        <w:rPr>
          <w:lang w:val="en-GB"/>
        </w:rPr>
        <w:t xml:space="preserve"> </w:t>
      </w:r>
      <w:r w:rsidRPr="007D2AA2">
        <w:rPr>
          <w:lang w:val="en-GB"/>
        </w:rPr>
        <w:t>cent</w:t>
      </w:r>
      <w:r>
        <w:rPr>
          <w:lang w:val="en-GB"/>
        </w:rPr>
        <w:t xml:space="preserve"> of the compensation for a Fortis executive</w:t>
      </w:r>
      <w:r w:rsidRPr="007D2AA2">
        <w:rPr>
          <w:lang w:val="en-GB"/>
        </w:rPr>
        <w:t xml:space="preserve">. This compensation structure was designed to ensure that the </w:t>
      </w:r>
      <w:r>
        <w:rPr>
          <w:lang w:val="en-GB"/>
        </w:rPr>
        <w:t xml:space="preserve">compensation of </w:t>
      </w:r>
      <w:r w:rsidRPr="007D2AA2">
        <w:rPr>
          <w:lang w:val="en-GB"/>
        </w:rPr>
        <w:t xml:space="preserve">senior executives at the respective subsidiaries would be connected to the overall performance of Fortis, but more closely tied to the results they individually controlled. </w:t>
      </w:r>
    </w:p>
    <w:p w:rsidR="00CF71AC" w:rsidRPr="007D2AA2" w:rsidRDefault="00CF71AC" w:rsidP="00050835">
      <w:pPr>
        <w:pStyle w:val="BodyTextMain"/>
        <w:rPr>
          <w:lang w:val="en-GB"/>
        </w:rPr>
      </w:pPr>
    </w:p>
    <w:p w:rsidR="00CF71AC" w:rsidRPr="007D2AA2" w:rsidRDefault="00CF71AC" w:rsidP="00050835">
      <w:pPr>
        <w:pStyle w:val="BodyTextMain"/>
        <w:rPr>
          <w:lang w:val="en-GB"/>
        </w:rPr>
      </w:pPr>
    </w:p>
    <w:p w:rsidR="00CF71AC" w:rsidRPr="007D2AA2" w:rsidRDefault="00CF71AC" w:rsidP="00050835">
      <w:pPr>
        <w:pStyle w:val="Casehead1"/>
        <w:rPr>
          <w:lang w:val="en-GB"/>
        </w:rPr>
      </w:pPr>
      <w:r w:rsidRPr="007D2AA2">
        <w:rPr>
          <w:lang w:val="en-GB"/>
        </w:rPr>
        <w:t>Investment Decisions</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As Smith reflected on the industry today, he noted the consistent consolidation that was occurring, primarily in the United States: </w:t>
      </w:r>
      <w:r w:rsidR="00050835">
        <w:rPr>
          <w:lang w:val="en-GB"/>
        </w:rPr>
        <w:t>“</w:t>
      </w:r>
      <w:r w:rsidRPr="007D2AA2">
        <w:rPr>
          <w:lang w:val="en-GB"/>
        </w:rPr>
        <w:t xml:space="preserve">When we started traipsing around the United States about </w:t>
      </w:r>
      <w:r>
        <w:rPr>
          <w:lang w:val="en-GB"/>
        </w:rPr>
        <w:t>10</w:t>
      </w:r>
      <w:r w:rsidRPr="007D2AA2">
        <w:rPr>
          <w:lang w:val="en-GB"/>
        </w:rPr>
        <w:t xml:space="preserve"> years ago</w:t>
      </w:r>
      <w:r>
        <w:rPr>
          <w:lang w:val="en-GB"/>
        </w:rPr>
        <w:t>,</w:t>
      </w:r>
      <w:r w:rsidRPr="007D2AA2">
        <w:rPr>
          <w:lang w:val="en-GB"/>
        </w:rPr>
        <w:t xml:space="preserve"> there were over </w:t>
      </w:r>
      <w:r>
        <w:rPr>
          <w:lang w:val="en-GB"/>
        </w:rPr>
        <w:t>100</w:t>
      </w:r>
      <w:r w:rsidRPr="007D2AA2">
        <w:rPr>
          <w:lang w:val="en-GB"/>
        </w:rPr>
        <w:t xml:space="preserve"> investor-owned utilities in the United States compared to three in Canada. Today, we are down to about </w:t>
      </w:r>
      <w:r>
        <w:rPr>
          <w:lang w:val="en-GB"/>
        </w:rPr>
        <w:t>40</w:t>
      </w:r>
      <w:r w:rsidRPr="007D2AA2">
        <w:rPr>
          <w:lang w:val="en-GB"/>
        </w:rPr>
        <w:t xml:space="preserve"> in the United States.</w:t>
      </w:r>
      <w:r w:rsidR="00050835">
        <w:rPr>
          <w:lang w:val="en-GB"/>
        </w:rPr>
        <w:t xml:space="preserve">” </w:t>
      </w:r>
      <w:r w:rsidRPr="007D2AA2">
        <w:rPr>
          <w:lang w:val="en-GB"/>
        </w:rPr>
        <w:t>The active consolidation had created an opportunity for Fortis to make a variety of acquisitions.</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In addition, because energy distribution was a capital-intensive industry, in 2016, Fortis expected to spend </w:t>
      </w:r>
      <w:r>
        <w:rPr>
          <w:lang w:val="en-GB"/>
        </w:rPr>
        <w:t>CA</w:t>
      </w:r>
      <w:r w:rsidRPr="007D2AA2">
        <w:rPr>
          <w:lang w:val="en-GB"/>
        </w:rPr>
        <w:t xml:space="preserve">$2.1 billion on capital improvements and expansion and expected to spend </w:t>
      </w:r>
      <w:r>
        <w:rPr>
          <w:lang w:val="en-GB"/>
        </w:rPr>
        <w:t>CA</w:t>
      </w:r>
      <w:r w:rsidRPr="007D2AA2">
        <w:rPr>
          <w:lang w:val="en-GB"/>
        </w:rPr>
        <w:t xml:space="preserve">$13 billion over the next five years. The company also had two large development projects in the pipeline through its </w:t>
      </w:r>
      <w:proofErr w:type="spellStart"/>
      <w:r w:rsidRPr="007D2AA2">
        <w:rPr>
          <w:lang w:val="en-GB"/>
        </w:rPr>
        <w:t>FortisBC</w:t>
      </w:r>
      <w:proofErr w:type="spellEnd"/>
      <w:r w:rsidRPr="007D2AA2">
        <w:rPr>
          <w:lang w:val="en-GB"/>
        </w:rPr>
        <w:t xml:space="preserve"> and </w:t>
      </w:r>
      <w:proofErr w:type="spellStart"/>
      <w:r w:rsidRPr="007D2AA2">
        <w:rPr>
          <w:lang w:val="en-GB"/>
        </w:rPr>
        <w:t>FortisOntario</w:t>
      </w:r>
      <w:proofErr w:type="spellEnd"/>
      <w:r w:rsidRPr="007D2AA2">
        <w:rPr>
          <w:lang w:val="en-GB"/>
        </w:rPr>
        <w:t xml:space="preserve"> subsidiaries. Both projects were still in the early stages and </w:t>
      </w:r>
      <w:r>
        <w:rPr>
          <w:lang w:val="en-GB"/>
        </w:rPr>
        <w:t xml:space="preserve">were </w:t>
      </w:r>
      <w:r w:rsidRPr="007D2AA2">
        <w:rPr>
          <w:lang w:val="en-GB"/>
        </w:rPr>
        <w:t xml:space="preserve">not expected to be operational until early 2020. Furthermore, the </w:t>
      </w:r>
      <w:proofErr w:type="spellStart"/>
      <w:r w:rsidRPr="007D2AA2">
        <w:rPr>
          <w:lang w:val="en-GB"/>
        </w:rPr>
        <w:t>FortisOntario</w:t>
      </w:r>
      <w:proofErr w:type="spellEnd"/>
      <w:r w:rsidRPr="007D2AA2">
        <w:rPr>
          <w:lang w:val="en-GB"/>
        </w:rPr>
        <w:t xml:space="preserve"> project was not expected to be approved by regulatory boards until early 2017. </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Despite Fortis’</w:t>
      </w:r>
      <w:r>
        <w:rPr>
          <w:lang w:val="en-GB"/>
        </w:rPr>
        <w:t>s</w:t>
      </w:r>
      <w:r w:rsidRPr="007D2AA2">
        <w:rPr>
          <w:lang w:val="en-GB"/>
        </w:rPr>
        <w:t xml:space="preserve"> success to date, Smith recognized the risk. Every investment needed to balance the demands of the shareholders, customers, acquisition targets</w:t>
      </w:r>
      <w:r>
        <w:rPr>
          <w:lang w:val="en-GB"/>
        </w:rPr>
        <w:t>,</w:t>
      </w:r>
      <w:r w:rsidRPr="007D2AA2">
        <w:rPr>
          <w:lang w:val="en-GB"/>
        </w:rPr>
        <w:t xml:space="preserve"> and regulators. Internally, Fortis was clear its growth and market capitalization should be greater than the average of other North American energy utilities of a similar size and that its risk tolerance should be no greater than any other North American utility of a similar size. In short, the company wanted to structure itself like a singularly well-run utility that enjoyed the diversification of risk brought on by operating in a variety of regulatory landscapes.</w:t>
      </w:r>
    </w:p>
    <w:p w:rsidR="00CF71AC" w:rsidRPr="007D2AA2" w:rsidRDefault="00CF71AC" w:rsidP="00050835">
      <w:pPr>
        <w:pStyle w:val="BodyTextMain"/>
        <w:rPr>
          <w:lang w:val="en-GB"/>
        </w:rPr>
      </w:pPr>
    </w:p>
    <w:p w:rsidR="00CF71AC" w:rsidRPr="00A41B52" w:rsidRDefault="00CF71AC" w:rsidP="00050835">
      <w:pPr>
        <w:pStyle w:val="BodyTextMain"/>
        <w:rPr>
          <w:spacing w:val="-2"/>
          <w:lang w:val="en-GB"/>
        </w:rPr>
      </w:pPr>
      <w:r w:rsidRPr="00A41B52">
        <w:rPr>
          <w:spacing w:val="-2"/>
          <w:lang w:val="en-GB"/>
        </w:rPr>
        <w:t>Fortis was intentional in marketing the sale of its shares toward sophisticated investors, who were well versed in the industry. To those investors, focused diversification was a strong selling feature, and, according to Smith, “Of all the utilities in our sector, we believe that we are probably the most diversified.”</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lastRenderedPageBreak/>
        <w:t>The ITC deal was structured such that Fortis would incur $6.4 billion in incremental debt, $4.4 billion of which was ITC debt assumed on acquisition and $2 billion of debt issued by Fortis in exchange for cash to complete the deal. Fortis would also need to issue an additional 115 million shares to buy out the current shareholders of ITC, representing a 41 per cent increase of shares to Fortis. Fortis, however, was expected to maintain a consistent investment grade rating of A</w:t>
      </w:r>
      <w:r>
        <w:rPr>
          <w:lang w:val="en-GB"/>
        </w:rPr>
        <w:t>–</w:t>
      </w:r>
      <w:r w:rsidRPr="007D2AA2">
        <w:rPr>
          <w:lang w:val="en-GB"/>
        </w:rPr>
        <w:t xml:space="preserve"> from S</w:t>
      </w:r>
      <w:r>
        <w:rPr>
          <w:lang w:val="en-GB"/>
        </w:rPr>
        <w:t>&amp;P</w:t>
      </w:r>
      <w:r w:rsidRPr="007D2AA2">
        <w:rPr>
          <w:lang w:val="en-GB"/>
        </w:rPr>
        <w:t>. The deal was also expected to be accretive by approximately 5 per cent to Fortis’</w:t>
      </w:r>
      <w:r>
        <w:rPr>
          <w:lang w:val="en-GB"/>
        </w:rPr>
        <w:t>s</w:t>
      </w:r>
      <w:r w:rsidRPr="007D2AA2">
        <w:rPr>
          <w:lang w:val="en-GB"/>
        </w:rPr>
        <w:t xml:space="preserve"> 2017 EPS.</w:t>
      </w:r>
      <w:r w:rsidRPr="007D2AA2">
        <w:rPr>
          <w:rStyle w:val="FootnoteReference"/>
          <w:lang w:val="en-GB"/>
        </w:rPr>
        <w:footnoteReference w:id="15"/>
      </w:r>
      <w:r w:rsidRPr="007D2AA2">
        <w:rPr>
          <w:lang w:val="en-GB"/>
        </w:rPr>
        <w:t xml:space="preserve"> The deal was supported by ITC’s board</w:t>
      </w:r>
      <w:r>
        <w:rPr>
          <w:lang w:val="en-GB"/>
        </w:rPr>
        <w:t>;</w:t>
      </w:r>
      <w:r w:rsidRPr="007D2AA2">
        <w:rPr>
          <w:lang w:val="en-GB"/>
        </w:rPr>
        <w:t xml:space="preserve"> however, the deal still needed regulatory approval from </w:t>
      </w:r>
      <w:r>
        <w:rPr>
          <w:lang w:val="en-GB"/>
        </w:rPr>
        <w:t xml:space="preserve">the </w:t>
      </w:r>
      <w:r w:rsidRPr="007D2AA2">
        <w:rPr>
          <w:lang w:val="en-GB"/>
        </w:rPr>
        <w:t>FERC and the individual state regulators from Iowa, Michigan, Minnesota, Illinois, Missouri, Kansas, and Oklahoma.</w:t>
      </w:r>
    </w:p>
    <w:p w:rsidR="00CF71AC" w:rsidRPr="007D2AA2" w:rsidRDefault="00CF71AC" w:rsidP="00050835">
      <w:pPr>
        <w:pStyle w:val="BodyTextMain"/>
        <w:rPr>
          <w:lang w:val="en-GB"/>
        </w:rPr>
      </w:pPr>
    </w:p>
    <w:p w:rsidR="00CF71AC" w:rsidRPr="007D2AA2" w:rsidRDefault="00CF71AC" w:rsidP="00050835">
      <w:pPr>
        <w:pStyle w:val="BodyTextMain"/>
        <w:rPr>
          <w:lang w:val="en-GB"/>
        </w:rPr>
      </w:pPr>
    </w:p>
    <w:p w:rsidR="00CF71AC" w:rsidRPr="00050835" w:rsidRDefault="00CF71AC" w:rsidP="00050835">
      <w:pPr>
        <w:pStyle w:val="casehead10"/>
      </w:pPr>
      <w:r w:rsidRPr="00050835">
        <w:t>The ITC Decision</w:t>
      </w:r>
    </w:p>
    <w:p w:rsidR="00CF71AC" w:rsidRPr="007D2AA2" w:rsidRDefault="00CF71AC" w:rsidP="00050835">
      <w:pPr>
        <w:pStyle w:val="BodyTextMain"/>
        <w:rPr>
          <w:lang w:val="en-GB"/>
        </w:rPr>
      </w:pPr>
    </w:p>
    <w:p w:rsidR="00CF71AC" w:rsidRPr="007D2AA2" w:rsidRDefault="00CF71AC" w:rsidP="00050835">
      <w:pPr>
        <w:pStyle w:val="BodyTextMain"/>
        <w:rPr>
          <w:lang w:val="en-GB"/>
        </w:rPr>
      </w:pPr>
      <w:r w:rsidRPr="007D2AA2">
        <w:rPr>
          <w:lang w:val="en-GB"/>
        </w:rPr>
        <w:t xml:space="preserve">The ITC acquisition marked a significant investment for the </w:t>
      </w:r>
      <w:proofErr w:type="spellStart"/>
      <w:r w:rsidRPr="007D2AA2">
        <w:rPr>
          <w:lang w:val="en-GB"/>
        </w:rPr>
        <w:t>homegrown</w:t>
      </w:r>
      <w:proofErr w:type="spellEnd"/>
      <w:r w:rsidRPr="007D2AA2">
        <w:rPr>
          <w:lang w:val="en-GB"/>
        </w:rPr>
        <w:t xml:space="preserve"> Fortis—the largest in its history. Not only would this acquisition move a significant portion of the company’s operations into the United States but it would also considerably alter the makeup of the organization. Smith was confident in Fortis’</w:t>
      </w:r>
      <w:r>
        <w:rPr>
          <w:lang w:val="en-GB"/>
        </w:rPr>
        <w:t>s</w:t>
      </w:r>
      <w:r w:rsidRPr="007D2AA2">
        <w:rPr>
          <w:lang w:val="en-GB"/>
        </w:rPr>
        <w:t xml:space="preserve"> ability to manage acquisitions, given the </w:t>
      </w:r>
      <w:r>
        <w:rPr>
          <w:lang w:val="en-GB"/>
        </w:rPr>
        <w:t xml:space="preserve">company’s </w:t>
      </w:r>
      <w:r w:rsidRPr="007D2AA2">
        <w:rPr>
          <w:lang w:val="en-GB"/>
        </w:rPr>
        <w:t>long history</w:t>
      </w:r>
      <w:r>
        <w:rPr>
          <w:lang w:val="en-GB"/>
        </w:rPr>
        <w:t>,</w:t>
      </w:r>
      <w:r w:rsidRPr="007D2AA2">
        <w:rPr>
          <w:lang w:val="en-GB"/>
        </w:rPr>
        <w:t xml:space="preserve"> and </w:t>
      </w:r>
      <w:r>
        <w:rPr>
          <w:lang w:val="en-GB"/>
        </w:rPr>
        <w:t xml:space="preserve">he </w:t>
      </w:r>
      <w:r w:rsidRPr="007D2AA2">
        <w:rPr>
          <w:lang w:val="en-GB"/>
        </w:rPr>
        <w:t>knew that Fortis’</w:t>
      </w:r>
      <w:r>
        <w:rPr>
          <w:lang w:val="en-GB"/>
        </w:rPr>
        <w:t>s</w:t>
      </w:r>
      <w:r w:rsidRPr="007D2AA2">
        <w:rPr>
          <w:lang w:val="en-GB"/>
        </w:rPr>
        <w:t xml:space="preserve"> investors looked favourably upon the company becoming more diversified from a regulatory risk perspective. However, </w:t>
      </w:r>
      <w:r>
        <w:rPr>
          <w:lang w:val="en-GB"/>
        </w:rPr>
        <w:t>the ITC deal</w:t>
      </w:r>
      <w:r w:rsidRPr="007D2AA2">
        <w:rPr>
          <w:lang w:val="en-GB"/>
        </w:rPr>
        <w:t xml:space="preserve"> still </w:t>
      </w:r>
      <w:r>
        <w:rPr>
          <w:lang w:val="en-GB"/>
        </w:rPr>
        <w:t xml:space="preserve">held </w:t>
      </w:r>
      <w:r w:rsidRPr="007D2AA2">
        <w:rPr>
          <w:lang w:val="en-GB"/>
        </w:rPr>
        <w:t>considerable risk, considering the cost of the transaction, the new regulatory environment</w:t>
      </w:r>
      <w:r>
        <w:rPr>
          <w:lang w:val="en-GB"/>
        </w:rPr>
        <w:t>,</w:t>
      </w:r>
      <w:r w:rsidRPr="007D2AA2">
        <w:rPr>
          <w:lang w:val="en-GB"/>
        </w:rPr>
        <w:t xml:space="preserve"> and the fact that ITC operated in transmission, in which Fortis had no previous experience, not to mention that the deal required approval by </w:t>
      </w:r>
      <w:r>
        <w:rPr>
          <w:lang w:val="en-GB"/>
        </w:rPr>
        <w:t xml:space="preserve">the U.S. </w:t>
      </w:r>
      <w:r w:rsidRPr="007D2AA2">
        <w:rPr>
          <w:lang w:val="en-GB"/>
        </w:rPr>
        <w:t>federal regulatory bodies. The question remained</w:t>
      </w:r>
      <w:r>
        <w:rPr>
          <w:lang w:val="en-GB"/>
        </w:rPr>
        <w:t>: s</w:t>
      </w:r>
      <w:r w:rsidRPr="007D2AA2">
        <w:rPr>
          <w:lang w:val="en-GB"/>
        </w:rPr>
        <w:t>hould Fortis move forward with this deal, or was taking on ITC too big a risk?</w:t>
      </w:r>
    </w:p>
    <w:p w:rsidR="00CF71AC" w:rsidRPr="007D2AA2" w:rsidRDefault="00CF71AC" w:rsidP="00050835">
      <w:pPr>
        <w:pStyle w:val="BodyTextMain"/>
        <w:rPr>
          <w:lang w:val="en-GB"/>
        </w:rPr>
      </w:pPr>
      <w:r w:rsidRPr="007D2AA2">
        <w:rPr>
          <w:lang w:val="en-GB"/>
        </w:rPr>
        <w:br w:type="page"/>
      </w:r>
    </w:p>
    <w:p w:rsidR="00CF71AC" w:rsidRPr="007D2AA2" w:rsidRDefault="00CF71AC" w:rsidP="00CF71AC">
      <w:pPr>
        <w:pStyle w:val="casehead10"/>
        <w:jc w:val="center"/>
        <w:rPr>
          <w:lang w:val="en-GB"/>
        </w:rPr>
      </w:pPr>
      <w:r w:rsidRPr="007D2AA2">
        <w:rPr>
          <w:lang w:val="en-GB"/>
        </w:rPr>
        <w:lastRenderedPageBreak/>
        <w:t>Exhibit 1: Fortis</w:t>
      </w:r>
      <w:r>
        <w:rPr>
          <w:lang w:val="en-GB"/>
        </w:rPr>
        <w:t>’S</w:t>
      </w:r>
      <w:r w:rsidRPr="007D2AA2">
        <w:rPr>
          <w:lang w:val="en-GB"/>
        </w:rPr>
        <w:t xml:space="preserve"> Values</w:t>
      </w:r>
    </w:p>
    <w:p w:rsidR="00CF71AC" w:rsidRPr="007D2AA2" w:rsidRDefault="00CF71AC" w:rsidP="00B43EEE">
      <w:pPr>
        <w:pStyle w:val="BodyTextMain"/>
        <w:rPr>
          <w:lang w:val="en-GB"/>
        </w:rPr>
      </w:pPr>
    </w:p>
    <w:p w:rsidR="00CF71AC" w:rsidRPr="0064450C" w:rsidRDefault="00CF71AC" w:rsidP="0064450C">
      <w:pPr>
        <w:rPr>
          <w:rStyle w:val="BodyTextMainChar"/>
        </w:rPr>
      </w:pPr>
      <w:r w:rsidRPr="007D2AA2">
        <w:rPr>
          <w:rFonts w:ascii="Arial" w:hAnsi="Arial" w:cs="Arial"/>
          <w:b/>
          <w:noProof/>
          <w:lang w:val="en-GB" w:eastAsia="en-GB"/>
        </w:rPr>
        <w:drawing>
          <wp:inline distT="0" distB="0" distL="0" distR="0" wp14:anchorId="440B8A41" wp14:editId="09C3AB98">
            <wp:extent cx="5943600" cy="1971675"/>
            <wp:effectExtent l="0" t="0" r="0" b="9525"/>
            <wp:docPr id="4" name="Picture 1" descr="Screen%20Shot%202017-05-03%20at%209.29.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3%20at%209.29.33%20AM.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rsidR="00CF71AC" w:rsidRPr="0064450C" w:rsidRDefault="00CF71AC" w:rsidP="00CF71AC">
      <w:pPr>
        <w:pStyle w:val="FootnoteText"/>
        <w:rPr>
          <w:rFonts w:cs="Arial"/>
          <w:szCs w:val="17"/>
          <w:lang w:val="en-GB"/>
        </w:rPr>
      </w:pPr>
    </w:p>
    <w:p w:rsidR="00CF71AC" w:rsidRPr="0064450C" w:rsidRDefault="00CF71AC" w:rsidP="00CF71AC">
      <w:pPr>
        <w:pStyle w:val="FootnoteText"/>
        <w:rPr>
          <w:rFonts w:cs="Arial"/>
          <w:szCs w:val="17"/>
          <w:lang w:val="en-GB"/>
        </w:rPr>
      </w:pPr>
      <w:r w:rsidRPr="0064450C">
        <w:rPr>
          <w:rFonts w:cs="Arial"/>
          <w:szCs w:val="17"/>
          <w:lang w:val="en-GB"/>
        </w:rPr>
        <w:t>Source: Company documents.</w:t>
      </w:r>
    </w:p>
    <w:p w:rsidR="00CF71AC" w:rsidRDefault="00CF71AC" w:rsidP="0064450C">
      <w:pPr>
        <w:pStyle w:val="BodyTextMain"/>
        <w:rPr>
          <w:lang w:val="en-GB"/>
        </w:rPr>
      </w:pPr>
    </w:p>
    <w:p w:rsidR="00CF71AC" w:rsidRPr="007D2AA2" w:rsidRDefault="00CF71AC" w:rsidP="0064450C">
      <w:pPr>
        <w:pStyle w:val="BodyTextMain"/>
        <w:rPr>
          <w:lang w:val="en-GB"/>
        </w:rPr>
      </w:pPr>
    </w:p>
    <w:p w:rsidR="00CF71AC" w:rsidRPr="007D2AA2" w:rsidRDefault="00CF71AC" w:rsidP="00CF71AC">
      <w:pPr>
        <w:pStyle w:val="casehead10"/>
        <w:jc w:val="center"/>
        <w:rPr>
          <w:lang w:val="en-GB"/>
        </w:rPr>
      </w:pPr>
      <w:r w:rsidRPr="007D2AA2">
        <w:rPr>
          <w:lang w:val="en-GB"/>
        </w:rPr>
        <w:t>Exhibit 2: Fortis</w:t>
      </w:r>
      <w:r>
        <w:rPr>
          <w:lang w:val="en-GB"/>
        </w:rPr>
        <w:t>’s</w:t>
      </w:r>
      <w:r w:rsidRPr="007D2AA2">
        <w:rPr>
          <w:lang w:val="en-GB"/>
        </w:rPr>
        <w:t xml:space="preserve"> Subsidiary Summary</w:t>
      </w:r>
    </w:p>
    <w:p w:rsidR="00CF71AC" w:rsidRPr="007D2AA2" w:rsidRDefault="00CF71AC" w:rsidP="0064450C">
      <w:pPr>
        <w:pStyle w:val="BodyTextMain"/>
        <w:rPr>
          <w:lang w:val="en-GB"/>
        </w:rPr>
      </w:pPr>
    </w:p>
    <w:p w:rsidR="00CF71AC" w:rsidRPr="007D2AA2" w:rsidRDefault="00CF71AC" w:rsidP="00CF71AC">
      <w:pPr>
        <w:pStyle w:val="casehead20"/>
        <w:jc w:val="center"/>
        <w:rPr>
          <w:lang w:val="en-GB"/>
        </w:rPr>
      </w:pPr>
      <w:r w:rsidRPr="007D2AA2">
        <w:rPr>
          <w:lang w:val="en-GB"/>
        </w:rPr>
        <w:t>Part One: Fortis</w:t>
      </w:r>
      <w:r>
        <w:rPr>
          <w:lang w:val="en-GB"/>
        </w:rPr>
        <w:t>’s</w:t>
      </w:r>
      <w:r w:rsidRPr="007D2AA2">
        <w:rPr>
          <w:lang w:val="en-GB"/>
        </w:rPr>
        <w:t xml:space="preserve"> Regulated Subsidiaries Customers, Earnings</w:t>
      </w:r>
      <w:r>
        <w:rPr>
          <w:lang w:val="en-GB"/>
        </w:rPr>
        <w:t>,</w:t>
      </w:r>
      <w:r w:rsidRPr="007D2AA2">
        <w:rPr>
          <w:lang w:val="en-GB"/>
        </w:rPr>
        <w:t xml:space="preserve"> and Assets</w:t>
      </w:r>
      <w:proofErr w:type="gramStart"/>
      <w:r>
        <w:rPr>
          <w:lang w:val="en-GB"/>
        </w:rPr>
        <w:t>,</w:t>
      </w:r>
      <w:r w:rsidRPr="007D2AA2">
        <w:rPr>
          <w:lang w:val="en-GB"/>
        </w:rPr>
        <w:t>(</w:t>
      </w:r>
      <w:proofErr w:type="gramEnd"/>
      <w:r>
        <w:rPr>
          <w:lang w:val="en-GB"/>
        </w:rPr>
        <w:t>as e</w:t>
      </w:r>
      <w:r w:rsidRPr="007D2AA2">
        <w:rPr>
          <w:lang w:val="en-GB"/>
        </w:rPr>
        <w:t xml:space="preserve">xpected with </w:t>
      </w:r>
      <w:r>
        <w:rPr>
          <w:lang w:val="en-GB"/>
        </w:rPr>
        <w:t xml:space="preserve">the </w:t>
      </w:r>
      <w:r w:rsidRPr="007D2AA2">
        <w:rPr>
          <w:lang w:val="en-GB"/>
        </w:rPr>
        <w:t>ITC acquisition)</w:t>
      </w:r>
    </w:p>
    <w:p w:rsidR="00CF71AC" w:rsidRPr="007D2AA2" w:rsidRDefault="00CF71AC" w:rsidP="0064450C">
      <w:pPr>
        <w:pStyle w:val="BodyTextMain"/>
        <w:rPr>
          <w:lang w:val="en-GB"/>
        </w:rPr>
      </w:pPr>
    </w:p>
    <w:tbl>
      <w:tblPr>
        <w:tblStyle w:val="TableGrid"/>
        <w:tblW w:w="9408" w:type="dxa"/>
        <w:jc w:val="center"/>
        <w:tblLayout w:type="fixed"/>
        <w:tblLook w:val="04A0" w:firstRow="1" w:lastRow="0" w:firstColumn="1" w:lastColumn="0" w:noHBand="0" w:noVBand="1"/>
      </w:tblPr>
      <w:tblGrid>
        <w:gridCol w:w="1312"/>
        <w:gridCol w:w="1232"/>
        <w:gridCol w:w="1350"/>
        <w:gridCol w:w="1350"/>
        <w:gridCol w:w="1260"/>
        <w:gridCol w:w="1530"/>
        <w:gridCol w:w="1374"/>
      </w:tblGrid>
      <w:tr w:rsidR="00CF71AC" w:rsidRPr="00E44B60" w:rsidTr="007B7648">
        <w:trPr>
          <w:trHeight w:val="20"/>
          <w:jc w:val="center"/>
        </w:trPr>
        <w:tc>
          <w:tcPr>
            <w:tcW w:w="1312" w:type="dxa"/>
          </w:tcPr>
          <w:p w:rsidR="00CF71AC" w:rsidRPr="00E44B60" w:rsidRDefault="00CF71AC" w:rsidP="00346242">
            <w:pPr>
              <w:rPr>
                <w:rFonts w:ascii="Arial" w:hAnsi="Arial" w:cs="Arial"/>
                <w:b/>
                <w:sz w:val="18"/>
                <w:szCs w:val="18"/>
                <w:lang w:val="en-GB"/>
              </w:rPr>
            </w:pPr>
          </w:p>
        </w:tc>
        <w:tc>
          <w:tcPr>
            <w:tcW w:w="1232" w:type="dxa"/>
            <w:vAlign w:val="center"/>
          </w:tcPr>
          <w:p w:rsidR="00CF71AC" w:rsidRPr="00C605FA" w:rsidRDefault="00CF71AC" w:rsidP="00346242">
            <w:pPr>
              <w:jc w:val="center"/>
              <w:rPr>
                <w:rFonts w:ascii="Arial" w:hAnsi="Arial" w:cs="Arial"/>
                <w:b/>
                <w:sz w:val="19"/>
                <w:szCs w:val="19"/>
                <w:lang w:val="en-GB"/>
              </w:rPr>
            </w:pPr>
            <w:r w:rsidRPr="00C605FA">
              <w:rPr>
                <w:rFonts w:ascii="Arial" w:hAnsi="Arial" w:cs="Arial"/>
                <w:b/>
                <w:sz w:val="19"/>
                <w:szCs w:val="19"/>
                <w:lang w:val="en-GB"/>
              </w:rPr>
              <w:t>2015 Customers (#)</w:t>
            </w:r>
          </w:p>
        </w:tc>
        <w:tc>
          <w:tcPr>
            <w:tcW w:w="1350" w:type="dxa"/>
            <w:vAlign w:val="center"/>
          </w:tcPr>
          <w:p w:rsidR="00CF71AC" w:rsidRPr="00C605FA" w:rsidRDefault="00CF71AC" w:rsidP="00346242">
            <w:pPr>
              <w:jc w:val="center"/>
              <w:rPr>
                <w:rFonts w:ascii="Arial" w:hAnsi="Arial" w:cs="Arial"/>
                <w:b/>
                <w:sz w:val="19"/>
                <w:szCs w:val="19"/>
                <w:lang w:val="en-GB"/>
              </w:rPr>
            </w:pPr>
            <w:r w:rsidRPr="00C605FA">
              <w:rPr>
                <w:rFonts w:ascii="Arial" w:hAnsi="Arial" w:cs="Arial"/>
                <w:b/>
                <w:sz w:val="19"/>
                <w:szCs w:val="19"/>
                <w:lang w:val="en-GB"/>
              </w:rPr>
              <w:t>2015</w:t>
            </w:r>
          </w:p>
          <w:p w:rsidR="00CF71AC" w:rsidRPr="00C605FA" w:rsidRDefault="00CF71AC" w:rsidP="00C605FA">
            <w:pPr>
              <w:jc w:val="center"/>
              <w:rPr>
                <w:rFonts w:ascii="Arial" w:hAnsi="Arial" w:cs="Arial"/>
                <w:b/>
                <w:sz w:val="19"/>
                <w:szCs w:val="19"/>
                <w:lang w:val="en-GB"/>
              </w:rPr>
            </w:pPr>
            <w:r w:rsidRPr="00C605FA">
              <w:rPr>
                <w:rFonts w:ascii="Arial" w:hAnsi="Arial" w:cs="Arial"/>
                <w:b/>
                <w:sz w:val="19"/>
                <w:szCs w:val="19"/>
                <w:lang w:val="en-GB"/>
              </w:rPr>
              <w:t>Earnings</w:t>
            </w:r>
            <w:r w:rsidR="00C605FA">
              <w:rPr>
                <w:rFonts w:ascii="Arial" w:hAnsi="Arial" w:cs="Arial"/>
                <w:b/>
                <w:sz w:val="19"/>
                <w:szCs w:val="19"/>
                <w:lang w:val="en-GB"/>
              </w:rPr>
              <w:t xml:space="preserve"> </w:t>
            </w:r>
            <w:r w:rsidRPr="00C605FA">
              <w:rPr>
                <w:rFonts w:ascii="Arial" w:hAnsi="Arial" w:cs="Arial"/>
                <w:b/>
                <w:sz w:val="19"/>
                <w:szCs w:val="19"/>
                <w:lang w:val="en-GB"/>
              </w:rPr>
              <w:t>(CA$ millions)</w:t>
            </w:r>
          </w:p>
        </w:tc>
        <w:tc>
          <w:tcPr>
            <w:tcW w:w="1350" w:type="dxa"/>
            <w:vAlign w:val="center"/>
          </w:tcPr>
          <w:p w:rsidR="00CF71AC" w:rsidRPr="00C605FA" w:rsidRDefault="00CF71AC" w:rsidP="00346242">
            <w:pPr>
              <w:jc w:val="center"/>
              <w:rPr>
                <w:rFonts w:ascii="Arial" w:hAnsi="Arial" w:cs="Arial"/>
                <w:b/>
                <w:sz w:val="19"/>
                <w:szCs w:val="19"/>
                <w:lang w:val="en-GB"/>
              </w:rPr>
            </w:pPr>
            <w:r w:rsidRPr="00C605FA">
              <w:rPr>
                <w:rFonts w:ascii="Arial" w:hAnsi="Arial" w:cs="Arial"/>
                <w:b/>
                <w:sz w:val="19"/>
                <w:szCs w:val="19"/>
                <w:lang w:val="en-GB"/>
              </w:rPr>
              <w:t>2015</w:t>
            </w:r>
          </w:p>
          <w:p w:rsidR="00CF71AC" w:rsidRPr="00C605FA" w:rsidRDefault="00CF71AC" w:rsidP="00C605FA">
            <w:pPr>
              <w:jc w:val="center"/>
              <w:rPr>
                <w:rFonts w:ascii="Arial" w:hAnsi="Arial" w:cs="Arial"/>
                <w:b/>
                <w:sz w:val="19"/>
                <w:szCs w:val="19"/>
                <w:lang w:val="en-GB"/>
              </w:rPr>
            </w:pPr>
            <w:r w:rsidRPr="00C605FA">
              <w:rPr>
                <w:rFonts w:ascii="Arial" w:hAnsi="Arial" w:cs="Arial"/>
                <w:b/>
                <w:sz w:val="19"/>
                <w:szCs w:val="19"/>
                <w:lang w:val="en-GB"/>
              </w:rPr>
              <w:t>Assets</w:t>
            </w:r>
            <w:r w:rsidR="00C605FA">
              <w:rPr>
                <w:rFonts w:ascii="Arial" w:hAnsi="Arial" w:cs="Arial"/>
                <w:b/>
                <w:sz w:val="19"/>
                <w:szCs w:val="19"/>
                <w:lang w:val="en-GB"/>
              </w:rPr>
              <w:t xml:space="preserve"> </w:t>
            </w:r>
            <w:r w:rsidRPr="00C605FA">
              <w:rPr>
                <w:rFonts w:ascii="Arial" w:hAnsi="Arial" w:cs="Arial"/>
                <w:b/>
                <w:sz w:val="19"/>
                <w:szCs w:val="19"/>
                <w:lang w:val="en-GB"/>
              </w:rPr>
              <w:t>(CA$ billions)</w:t>
            </w:r>
          </w:p>
        </w:tc>
        <w:tc>
          <w:tcPr>
            <w:tcW w:w="1260" w:type="dxa"/>
            <w:vAlign w:val="center"/>
          </w:tcPr>
          <w:p w:rsidR="00CF71AC" w:rsidRPr="00C605FA" w:rsidRDefault="00CF71AC" w:rsidP="00346242">
            <w:pPr>
              <w:jc w:val="center"/>
              <w:rPr>
                <w:rFonts w:ascii="Arial" w:hAnsi="Arial" w:cs="Arial"/>
                <w:b/>
                <w:sz w:val="19"/>
                <w:szCs w:val="19"/>
                <w:lang w:val="en-GB"/>
              </w:rPr>
            </w:pPr>
            <w:r w:rsidRPr="00C605FA">
              <w:rPr>
                <w:rFonts w:ascii="Arial" w:hAnsi="Arial" w:cs="Arial"/>
                <w:b/>
                <w:sz w:val="19"/>
                <w:szCs w:val="19"/>
                <w:lang w:val="en-GB"/>
              </w:rPr>
              <w:t>2016 Customers (#)</w:t>
            </w:r>
          </w:p>
        </w:tc>
        <w:tc>
          <w:tcPr>
            <w:tcW w:w="1530" w:type="dxa"/>
            <w:vAlign w:val="center"/>
          </w:tcPr>
          <w:p w:rsidR="00CF71AC" w:rsidRPr="00C605FA" w:rsidRDefault="00CF71AC" w:rsidP="00346242">
            <w:pPr>
              <w:jc w:val="center"/>
              <w:rPr>
                <w:rFonts w:ascii="Arial" w:hAnsi="Arial" w:cs="Arial"/>
                <w:b/>
                <w:sz w:val="19"/>
                <w:szCs w:val="19"/>
                <w:lang w:val="en-GB"/>
              </w:rPr>
            </w:pPr>
            <w:r w:rsidRPr="00C605FA">
              <w:rPr>
                <w:rFonts w:ascii="Arial" w:hAnsi="Arial" w:cs="Arial"/>
                <w:b/>
                <w:sz w:val="19"/>
                <w:szCs w:val="19"/>
                <w:lang w:val="en-GB"/>
              </w:rPr>
              <w:t>2016</w:t>
            </w:r>
          </w:p>
          <w:p w:rsidR="00CF71AC" w:rsidRPr="00C605FA" w:rsidRDefault="00CF71AC" w:rsidP="00C605FA">
            <w:pPr>
              <w:jc w:val="center"/>
              <w:rPr>
                <w:rFonts w:ascii="Arial" w:hAnsi="Arial" w:cs="Arial"/>
                <w:b/>
                <w:sz w:val="19"/>
                <w:szCs w:val="19"/>
                <w:lang w:val="en-GB"/>
              </w:rPr>
            </w:pPr>
            <w:r w:rsidRPr="00C605FA">
              <w:rPr>
                <w:rFonts w:ascii="Arial" w:hAnsi="Arial" w:cs="Arial"/>
                <w:b/>
                <w:sz w:val="19"/>
                <w:szCs w:val="19"/>
                <w:lang w:val="en-GB"/>
              </w:rPr>
              <w:t>Earnings</w:t>
            </w:r>
            <w:r w:rsidR="00C605FA">
              <w:rPr>
                <w:rFonts w:ascii="Arial" w:hAnsi="Arial" w:cs="Arial"/>
                <w:b/>
                <w:sz w:val="19"/>
                <w:szCs w:val="19"/>
                <w:lang w:val="en-GB"/>
              </w:rPr>
              <w:t xml:space="preserve"> </w:t>
            </w:r>
            <w:r w:rsidRPr="00C605FA">
              <w:rPr>
                <w:rFonts w:ascii="Arial" w:hAnsi="Arial" w:cs="Arial"/>
                <w:b/>
                <w:sz w:val="19"/>
                <w:szCs w:val="19"/>
                <w:lang w:val="en-GB"/>
              </w:rPr>
              <w:t>(CA$ millions)</w:t>
            </w:r>
          </w:p>
        </w:tc>
        <w:tc>
          <w:tcPr>
            <w:tcW w:w="1374" w:type="dxa"/>
            <w:vAlign w:val="center"/>
          </w:tcPr>
          <w:p w:rsidR="00CF71AC" w:rsidRPr="00C605FA" w:rsidRDefault="00CF71AC" w:rsidP="00346242">
            <w:pPr>
              <w:jc w:val="center"/>
              <w:rPr>
                <w:rFonts w:ascii="Arial" w:hAnsi="Arial" w:cs="Arial"/>
                <w:b/>
                <w:sz w:val="19"/>
                <w:szCs w:val="19"/>
                <w:lang w:val="en-GB"/>
              </w:rPr>
            </w:pPr>
            <w:r w:rsidRPr="00C605FA">
              <w:rPr>
                <w:rFonts w:ascii="Arial" w:hAnsi="Arial" w:cs="Arial"/>
                <w:b/>
                <w:sz w:val="19"/>
                <w:szCs w:val="19"/>
                <w:lang w:val="en-GB"/>
              </w:rPr>
              <w:t>2016</w:t>
            </w:r>
          </w:p>
          <w:p w:rsidR="00CF71AC" w:rsidRPr="00C605FA" w:rsidRDefault="00CF71AC" w:rsidP="00C605FA">
            <w:pPr>
              <w:jc w:val="center"/>
              <w:rPr>
                <w:rFonts w:ascii="Arial" w:hAnsi="Arial" w:cs="Arial"/>
                <w:b/>
                <w:sz w:val="19"/>
                <w:szCs w:val="19"/>
                <w:lang w:val="en-GB"/>
              </w:rPr>
            </w:pPr>
            <w:r w:rsidRPr="00C605FA">
              <w:rPr>
                <w:rFonts w:ascii="Arial" w:hAnsi="Arial" w:cs="Arial"/>
                <w:b/>
                <w:sz w:val="19"/>
                <w:szCs w:val="19"/>
                <w:lang w:val="en-GB"/>
              </w:rPr>
              <w:t>Assets</w:t>
            </w:r>
            <w:r w:rsidR="00C605FA">
              <w:rPr>
                <w:rFonts w:ascii="Arial" w:hAnsi="Arial" w:cs="Arial"/>
                <w:b/>
                <w:sz w:val="19"/>
                <w:szCs w:val="19"/>
                <w:lang w:val="en-GB"/>
              </w:rPr>
              <w:t xml:space="preserve"> </w:t>
            </w:r>
            <w:r w:rsidRPr="00C605FA">
              <w:rPr>
                <w:rFonts w:ascii="Arial" w:hAnsi="Arial" w:cs="Arial"/>
                <w:b/>
                <w:sz w:val="19"/>
                <w:szCs w:val="19"/>
                <w:lang w:val="en-GB"/>
              </w:rPr>
              <w:t>(CA$ billions)</w:t>
            </w:r>
          </w:p>
        </w:tc>
      </w:tr>
      <w:tr w:rsidR="00CF71AC" w:rsidRPr="00E44B60" w:rsidTr="007B7648">
        <w:trPr>
          <w:trHeight w:val="20"/>
          <w:jc w:val="center"/>
        </w:trPr>
        <w:tc>
          <w:tcPr>
            <w:tcW w:w="1312" w:type="dxa"/>
          </w:tcPr>
          <w:p w:rsidR="00CF71AC" w:rsidRPr="007B7648" w:rsidRDefault="00CF71AC" w:rsidP="00346242">
            <w:pPr>
              <w:rPr>
                <w:rFonts w:ascii="Arial" w:hAnsi="Arial" w:cs="Arial"/>
                <w:b/>
                <w:sz w:val="19"/>
                <w:szCs w:val="19"/>
                <w:lang w:val="en-GB"/>
              </w:rPr>
            </w:pPr>
            <w:r w:rsidRPr="007B7648">
              <w:rPr>
                <w:rFonts w:ascii="Arial" w:hAnsi="Arial" w:cs="Arial"/>
                <w:b/>
                <w:sz w:val="19"/>
                <w:szCs w:val="19"/>
                <w:lang w:val="en-GB"/>
              </w:rPr>
              <w:t>ITC</w:t>
            </w:r>
          </w:p>
        </w:tc>
        <w:tc>
          <w:tcPr>
            <w:tcW w:w="1232" w:type="dxa"/>
          </w:tcPr>
          <w:p w:rsidR="00CF71AC" w:rsidRPr="00C605FA" w:rsidRDefault="00CF71AC" w:rsidP="00C605FA">
            <w:pPr>
              <w:tabs>
                <w:tab w:val="decimal" w:pos="404"/>
              </w:tabs>
              <w:jc w:val="right"/>
              <w:rPr>
                <w:rFonts w:ascii="Arial" w:hAnsi="Arial" w:cs="Arial"/>
                <w:lang w:val="en-GB"/>
              </w:rPr>
            </w:pPr>
            <w:r w:rsidRPr="00C605FA">
              <w:rPr>
                <w:rFonts w:ascii="Arial" w:hAnsi="Arial" w:cs="Arial"/>
                <w:lang w:val="en-GB"/>
              </w:rPr>
              <w:t>N/A</w:t>
            </w:r>
          </w:p>
        </w:tc>
        <w:tc>
          <w:tcPr>
            <w:tcW w:w="1350" w:type="dxa"/>
          </w:tcPr>
          <w:p w:rsidR="00CF71AC" w:rsidRPr="00C605FA" w:rsidRDefault="00CF71AC" w:rsidP="00C605FA">
            <w:pPr>
              <w:tabs>
                <w:tab w:val="decimal" w:pos="228"/>
              </w:tabs>
              <w:jc w:val="right"/>
              <w:rPr>
                <w:rFonts w:ascii="Arial" w:hAnsi="Arial" w:cs="Arial"/>
                <w:lang w:val="en-GB"/>
              </w:rPr>
            </w:pPr>
            <w:r w:rsidRPr="00C605FA">
              <w:rPr>
                <w:rFonts w:ascii="Arial" w:hAnsi="Arial" w:cs="Arial"/>
                <w:lang w:val="en-GB"/>
              </w:rPr>
              <w:t>N/A</w:t>
            </w:r>
          </w:p>
        </w:tc>
        <w:tc>
          <w:tcPr>
            <w:tcW w:w="1350" w:type="dxa"/>
          </w:tcPr>
          <w:p w:rsidR="00CF71AC" w:rsidRPr="00C605FA" w:rsidRDefault="00CF71AC" w:rsidP="00C605FA">
            <w:pPr>
              <w:tabs>
                <w:tab w:val="decimal" w:pos="318"/>
              </w:tabs>
              <w:jc w:val="right"/>
              <w:rPr>
                <w:rFonts w:ascii="Arial" w:hAnsi="Arial" w:cs="Arial"/>
                <w:lang w:val="en-GB"/>
              </w:rPr>
            </w:pPr>
            <w:r w:rsidRPr="00C605FA">
              <w:rPr>
                <w:rFonts w:ascii="Arial" w:hAnsi="Arial" w:cs="Arial"/>
                <w:lang w:val="en-GB"/>
              </w:rPr>
              <w:t>N/A</w:t>
            </w:r>
          </w:p>
        </w:tc>
        <w:tc>
          <w:tcPr>
            <w:tcW w:w="1260" w:type="dxa"/>
          </w:tcPr>
          <w:p w:rsidR="00CF71AC" w:rsidRPr="00C605FA" w:rsidRDefault="00CF71AC" w:rsidP="00C605FA">
            <w:pPr>
              <w:ind w:left="-132"/>
              <w:jc w:val="right"/>
              <w:rPr>
                <w:rFonts w:ascii="Arial" w:hAnsi="Arial" w:cs="Arial"/>
                <w:lang w:val="en-GB"/>
              </w:rPr>
            </w:pPr>
            <w:r w:rsidRPr="00C605FA">
              <w:rPr>
                <w:rFonts w:ascii="Arial" w:hAnsi="Arial" w:cs="Arial"/>
                <w:lang w:val="en-GB"/>
              </w:rPr>
              <w:t>N/A</w:t>
            </w:r>
          </w:p>
        </w:tc>
        <w:tc>
          <w:tcPr>
            <w:tcW w:w="1530" w:type="dxa"/>
          </w:tcPr>
          <w:p w:rsidR="00CF71AC" w:rsidRPr="00C605FA" w:rsidRDefault="00CF71AC" w:rsidP="00C605FA">
            <w:pPr>
              <w:tabs>
                <w:tab w:val="decimal" w:pos="138"/>
              </w:tabs>
              <w:jc w:val="right"/>
              <w:rPr>
                <w:rFonts w:ascii="Arial" w:hAnsi="Arial" w:cs="Arial"/>
                <w:lang w:val="en-GB"/>
              </w:rPr>
            </w:pPr>
            <w:r w:rsidRPr="00C605FA">
              <w:rPr>
                <w:rFonts w:ascii="Arial" w:hAnsi="Arial" w:cs="Arial"/>
                <w:lang w:val="en-GB"/>
              </w:rPr>
              <w:t>59</w:t>
            </w:r>
          </w:p>
        </w:tc>
        <w:tc>
          <w:tcPr>
            <w:tcW w:w="1374" w:type="dxa"/>
          </w:tcPr>
          <w:p w:rsidR="00CF71AC" w:rsidRPr="00C605FA" w:rsidRDefault="00CF71AC" w:rsidP="00C605FA">
            <w:pPr>
              <w:tabs>
                <w:tab w:val="decimal" w:pos="48"/>
              </w:tabs>
              <w:jc w:val="right"/>
              <w:rPr>
                <w:rFonts w:ascii="Arial" w:hAnsi="Arial" w:cs="Arial"/>
                <w:lang w:val="en-GB"/>
              </w:rPr>
            </w:pPr>
            <w:r w:rsidRPr="00C605FA">
              <w:rPr>
                <w:rFonts w:ascii="Arial" w:hAnsi="Arial" w:cs="Arial"/>
                <w:lang w:val="en-GB"/>
              </w:rPr>
              <w:t>18</w:t>
            </w:r>
          </w:p>
        </w:tc>
      </w:tr>
      <w:tr w:rsidR="00CF71AC" w:rsidRPr="00E44B60" w:rsidTr="007B7648">
        <w:trPr>
          <w:trHeight w:val="20"/>
          <w:jc w:val="center"/>
        </w:trPr>
        <w:tc>
          <w:tcPr>
            <w:tcW w:w="1312" w:type="dxa"/>
          </w:tcPr>
          <w:p w:rsidR="00CF71AC" w:rsidRPr="007B7648" w:rsidRDefault="00CF71AC" w:rsidP="00346242">
            <w:pPr>
              <w:rPr>
                <w:rFonts w:ascii="Arial" w:hAnsi="Arial" w:cs="Arial"/>
                <w:b/>
                <w:sz w:val="19"/>
                <w:szCs w:val="19"/>
                <w:lang w:val="en-GB"/>
              </w:rPr>
            </w:pPr>
            <w:r w:rsidRPr="007B7648">
              <w:rPr>
                <w:rFonts w:ascii="Arial" w:hAnsi="Arial" w:cs="Arial"/>
                <w:b/>
                <w:sz w:val="19"/>
                <w:szCs w:val="19"/>
                <w:lang w:val="en-GB"/>
              </w:rPr>
              <w:t>UNS Energy</w:t>
            </w:r>
          </w:p>
        </w:tc>
        <w:tc>
          <w:tcPr>
            <w:tcW w:w="1232" w:type="dxa"/>
            <w:vAlign w:val="center"/>
          </w:tcPr>
          <w:p w:rsidR="00CF71AC" w:rsidRPr="00C605FA" w:rsidRDefault="00CF71AC" w:rsidP="007B7648">
            <w:pPr>
              <w:tabs>
                <w:tab w:val="decimal" w:pos="674"/>
              </w:tabs>
              <w:jc w:val="right"/>
              <w:rPr>
                <w:rFonts w:ascii="Arial" w:hAnsi="Arial" w:cs="Arial"/>
                <w:lang w:val="en-GB"/>
              </w:rPr>
            </w:pPr>
            <w:r w:rsidRPr="00C605FA">
              <w:rPr>
                <w:rFonts w:ascii="Arial" w:hAnsi="Arial" w:cs="Arial"/>
                <w:lang w:val="en-GB"/>
              </w:rPr>
              <w:t>663,000</w:t>
            </w:r>
          </w:p>
        </w:tc>
        <w:tc>
          <w:tcPr>
            <w:tcW w:w="1350" w:type="dxa"/>
            <w:vAlign w:val="center"/>
          </w:tcPr>
          <w:p w:rsidR="00CF71AC" w:rsidRPr="00C605FA" w:rsidRDefault="00CF71AC" w:rsidP="007B7648">
            <w:pPr>
              <w:tabs>
                <w:tab w:val="decimal" w:pos="228"/>
              </w:tabs>
              <w:jc w:val="right"/>
              <w:rPr>
                <w:rFonts w:ascii="Arial" w:hAnsi="Arial" w:cs="Arial"/>
                <w:lang w:val="en-GB"/>
              </w:rPr>
            </w:pPr>
            <w:r w:rsidRPr="00C605FA">
              <w:rPr>
                <w:rFonts w:ascii="Arial" w:hAnsi="Arial" w:cs="Arial"/>
                <w:lang w:val="en-GB"/>
              </w:rPr>
              <w:t>195</w:t>
            </w:r>
          </w:p>
        </w:tc>
        <w:tc>
          <w:tcPr>
            <w:tcW w:w="1350" w:type="dxa"/>
            <w:vAlign w:val="center"/>
          </w:tcPr>
          <w:p w:rsidR="00CF71AC" w:rsidRPr="00C605FA" w:rsidRDefault="00CF71AC" w:rsidP="007B7648">
            <w:pPr>
              <w:tabs>
                <w:tab w:val="decimal" w:pos="948"/>
                <w:tab w:val="decimal" w:pos="1128"/>
              </w:tabs>
              <w:jc w:val="right"/>
              <w:rPr>
                <w:rFonts w:ascii="Arial" w:hAnsi="Arial" w:cs="Arial"/>
                <w:lang w:val="en-GB"/>
              </w:rPr>
            </w:pPr>
            <w:r w:rsidRPr="00C605FA">
              <w:rPr>
                <w:rFonts w:ascii="Arial" w:hAnsi="Arial" w:cs="Arial"/>
                <w:lang w:val="en-GB"/>
              </w:rPr>
              <w:t>8.9</w:t>
            </w:r>
          </w:p>
        </w:tc>
        <w:tc>
          <w:tcPr>
            <w:tcW w:w="1260" w:type="dxa"/>
            <w:vAlign w:val="center"/>
          </w:tcPr>
          <w:p w:rsidR="00CF71AC" w:rsidRPr="00C605FA" w:rsidRDefault="00CF71AC" w:rsidP="007B7648">
            <w:pPr>
              <w:tabs>
                <w:tab w:val="decimal" w:pos="588"/>
              </w:tabs>
              <w:ind w:left="-132"/>
              <w:jc w:val="right"/>
              <w:rPr>
                <w:rFonts w:ascii="Arial" w:hAnsi="Arial" w:cs="Arial"/>
                <w:lang w:val="en-GB"/>
              </w:rPr>
            </w:pPr>
            <w:r w:rsidRPr="00C605FA">
              <w:rPr>
                <w:rFonts w:ascii="Arial" w:hAnsi="Arial" w:cs="Arial"/>
                <w:lang w:val="en-GB"/>
              </w:rPr>
              <w:t>669,000</w:t>
            </w:r>
          </w:p>
        </w:tc>
        <w:tc>
          <w:tcPr>
            <w:tcW w:w="1530" w:type="dxa"/>
            <w:vAlign w:val="center"/>
          </w:tcPr>
          <w:p w:rsidR="00CF71AC" w:rsidRPr="00C605FA" w:rsidRDefault="00CF71AC" w:rsidP="007B7648">
            <w:pPr>
              <w:tabs>
                <w:tab w:val="decimal" w:pos="138"/>
              </w:tabs>
              <w:jc w:val="right"/>
              <w:rPr>
                <w:rFonts w:ascii="Arial" w:hAnsi="Arial" w:cs="Arial"/>
                <w:lang w:val="en-GB"/>
              </w:rPr>
            </w:pPr>
            <w:r w:rsidRPr="00C605FA">
              <w:rPr>
                <w:rFonts w:ascii="Arial" w:hAnsi="Arial" w:cs="Arial"/>
                <w:lang w:val="en-GB"/>
              </w:rPr>
              <w:t>199</w:t>
            </w:r>
          </w:p>
        </w:tc>
        <w:tc>
          <w:tcPr>
            <w:tcW w:w="1374" w:type="dxa"/>
            <w:vAlign w:val="center"/>
          </w:tcPr>
          <w:p w:rsidR="00CF71AC" w:rsidRPr="00C605FA" w:rsidRDefault="00CF71AC" w:rsidP="007B7648">
            <w:pPr>
              <w:tabs>
                <w:tab w:val="decimal" w:pos="48"/>
              </w:tabs>
              <w:jc w:val="right"/>
              <w:rPr>
                <w:rFonts w:ascii="Arial" w:hAnsi="Arial" w:cs="Arial"/>
                <w:lang w:val="en-GB"/>
              </w:rPr>
            </w:pPr>
            <w:r w:rsidRPr="00C605FA">
              <w:rPr>
                <w:rFonts w:ascii="Arial" w:hAnsi="Arial" w:cs="Arial"/>
                <w:lang w:val="en-GB"/>
              </w:rPr>
              <w:t>8.9</w:t>
            </w:r>
          </w:p>
        </w:tc>
      </w:tr>
      <w:tr w:rsidR="00CF71AC" w:rsidRPr="00E44B60" w:rsidTr="007B7648">
        <w:trPr>
          <w:trHeight w:val="20"/>
          <w:jc w:val="center"/>
        </w:trPr>
        <w:tc>
          <w:tcPr>
            <w:tcW w:w="1312" w:type="dxa"/>
          </w:tcPr>
          <w:p w:rsidR="00CF71AC" w:rsidRPr="007B7648" w:rsidRDefault="00CF71AC" w:rsidP="00346242">
            <w:pPr>
              <w:rPr>
                <w:rFonts w:ascii="Arial" w:hAnsi="Arial" w:cs="Arial"/>
                <w:b/>
                <w:sz w:val="19"/>
                <w:szCs w:val="19"/>
                <w:lang w:val="en-GB"/>
              </w:rPr>
            </w:pPr>
            <w:r w:rsidRPr="007B7648">
              <w:rPr>
                <w:rFonts w:ascii="Arial" w:hAnsi="Arial" w:cs="Arial"/>
                <w:b/>
                <w:sz w:val="19"/>
                <w:szCs w:val="19"/>
                <w:lang w:val="en-GB"/>
              </w:rPr>
              <w:t>Central Hudson</w:t>
            </w:r>
          </w:p>
        </w:tc>
        <w:tc>
          <w:tcPr>
            <w:tcW w:w="1232" w:type="dxa"/>
            <w:vAlign w:val="center"/>
          </w:tcPr>
          <w:p w:rsidR="00CF71AC" w:rsidRPr="00C605FA" w:rsidRDefault="00CF71AC" w:rsidP="00C605FA">
            <w:pPr>
              <w:tabs>
                <w:tab w:val="decimal" w:pos="674"/>
              </w:tabs>
              <w:jc w:val="right"/>
              <w:rPr>
                <w:rFonts w:ascii="Arial" w:hAnsi="Arial" w:cs="Arial"/>
                <w:lang w:val="en-GB"/>
              </w:rPr>
            </w:pPr>
            <w:r w:rsidRPr="00C605FA">
              <w:rPr>
                <w:rFonts w:ascii="Arial" w:hAnsi="Arial" w:cs="Arial"/>
                <w:lang w:val="en-GB"/>
              </w:rPr>
              <w:t>379,000</w:t>
            </w:r>
          </w:p>
        </w:tc>
        <w:tc>
          <w:tcPr>
            <w:tcW w:w="1350" w:type="dxa"/>
            <w:vAlign w:val="center"/>
          </w:tcPr>
          <w:p w:rsidR="00CF71AC" w:rsidRPr="00C605FA" w:rsidRDefault="00CF71AC" w:rsidP="00C605FA">
            <w:pPr>
              <w:tabs>
                <w:tab w:val="decimal" w:pos="228"/>
              </w:tabs>
              <w:jc w:val="right"/>
              <w:rPr>
                <w:rFonts w:ascii="Arial" w:hAnsi="Arial" w:cs="Arial"/>
                <w:lang w:val="en-GB"/>
              </w:rPr>
            </w:pPr>
            <w:r w:rsidRPr="00C605FA">
              <w:rPr>
                <w:rFonts w:ascii="Arial" w:hAnsi="Arial" w:cs="Arial"/>
                <w:lang w:val="en-GB"/>
              </w:rPr>
              <w:t>58</w:t>
            </w:r>
          </w:p>
        </w:tc>
        <w:tc>
          <w:tcPr>
            <w:tcW w:w="1350" w:type="dxa"/>
            <w:vAlign w:val="center"/>
          </w:tcPr>
          <w:p w:rsidR="00CF71AC" w:rsidRPr="00C605FA" w:rsidRDefault="00CF71AC" w:rsidP="00C605FA">
            <w:pPr>
              <w:tabs>
                <w:tab w:val="decimal" w:pos="948"/>
                <w:tab w:val="decimal" w:pos="1128"/>
              </w:tabs>
              <w:jc w:val="right"/>
              <w:rPr>
                <w:rFonts w:ascii="Arial" w:hAnsi="Arial" w:cs="Arial"/>
                <w:lang w:val="en-GB"/>
              </w:rPr>
            </w:pPr>
            <w:r w:rsidRPr="00C605FA">
              <w:rPr>
                <w:rFonts w:ascii="Arial" w:hAnsi="Arial" w:cs="Arial"/>
                <w:lang w:val="en-GB"/>
              </w:rPr>
              <w:t>3.2</w:t>
            </w:r>
          </w:p>
        </w:tc>
        <w:tc>
          <w:tcPr>
            <w:tcW w:w="1260" w:type="dxa"/>
            <w:vAlign w:val="center"/>
          </w:tcPr>
          <w:p w:rsidR="00CF71AC" w:rsidRPr="00C605FA" w:rsidRDefault="00CF71AC" w:rsidP="00C605FA">
            <w:pPr>
              <w:tabs>
                <w:tab w:val="decimal" w:pos="588"/>
              </w:tabs>
              <w:ind w:left="-132"/>
              <w:jc w:val="right"/>
              <w:rPr>
                <w:rFonts w:ascii="Arial" w:hAnsi="Arial" w:cs="Arial"/>
                <w:lang w:val="en-GB"/>
              </w:rPr>
            </w:pPr>
            <w:r w:rsidRPr="00C605FA">
              <w:rPr>
                <w:rFonts w:ascii="Arial" w:hAnsi="Arial" w:cs="Arial"/>
                <w:lang w:val="en-GB"/>
              </w:rPr>
              <w:t>379,000</w:t>
            </w:r>
          </w:p>
        </w:tc>
        <w:tc>
          <w:tcPr>
            <w:tcW w:w="1530" w:type="dxa"/>
            <w:vAlign w:val="center"/>
          </w:tcPr>
          <w:p w:rsidR="00CF71AC" w:rsidRPr="00C605FA" w:rsidRDefault="00CF71AC" w:rsidP="00C605FA">
            <w:pPr>
              <w:tabs>
                <w:tab w:val="decimal" w:pos="138"/>
              </w:tabs>
              <w:jc w:val="right"/>
              <w:rPr>
                <w:rFonts w:ascii="Arial" w:hAnsi="Arial" w:cs="Arial"/>
                <w:lang w:val="en-GB"/>
              </w:rPr>
            </w:pPr>
            <w:r w:rsidRPr="00C605FA">
              <w:rPr>
                <w:rFonts w:ascii="Arial" w:hAnsi="Arial" w:cs="Arial"/>
                <w:lang w:val="en-GB"/>
              </w:rPr>
              <w:t>70</w:t>
            </w:r>
          </w:p>
        </w:tc>
        <w:tc>
          <w:tcPr>
            <w:tcW w:w="1374" w:type="dxa"/>
            <w:vAlign w:val="center"/>
          </w:tcPr>
          <w:p w:rsidR="00CF71AC" w:rsidRPr="00C605FA" w:rsidRDefault="00CF71AC" w:rsidP="00C605FA">
            <w:pPr>
              <w:tabs>
                <w:tab w:val="decimal" w:pos="48"/>
              </w:tabs>
              <w:jc w:val="right"/>
              <w:rPr>
                <w:rFonts w:ascii="Arial" w:hAnsi="Arial" w:cs="Arial"/>
                <w:lang w:val="en-GB"/>
              </w:rPr>
            </w:pPr>
            <w:r w:rsidRPr="00C605FA">
              <w:rPr>
                <w:rFonts w:ascii="Arial" w:hAnsi="Arial" w:cs="Arial"/>
                <w:lang w:val="en-GB"/>
              </w:rPr>
              <w:t>3.2</w:t>
            </w:r>
          </w:p>
        </w:tc>
      </w:tr>
      <w:tr w:rsidR="00CF71AC" w:rsidRPr="00E44B60" w:rsidTr="007B7648">
        <w:trPr>
          <w:trHeight w:val="20"/>
          <w:jc w:val="center"/>
        </w:trPr>
        <w:tc>
          <w:tcPr>
            <w:tcW w:w="1312" w:type="dxa"/>
          </w:tcPr>
          <w:p w:rsidR="00CF71AC" w:rsidRPr="007B7648" w:rsidRDefault="00CF71AC" w:rsidP="00346242">
            <w:pPr>
              <w:rPr>
                <w:rFonts w:ascii="Arial" w:hAnsi="Arial" w:cs="Arial"/>
                <w:b/>
                <w:sz w:val="19"/>
                <w:szCs w:val="19"/>
                <w:lang w:val="en-GB"/>
              </w:rPr>
            </w:pPr>
            <w:proofErr w:type="spellStart"/>
            <w:r w:rsidRPr="007B7648">
              <w:rPr>
                <w:rFonts w:ascii="Arial" w:hAnsi="Arial" w:cs="Arial"/>
                <w:b/>
                <w:sz w:val="19"/>
                <w:szCs w:val="19"/>
                <w:lang w:val="en-GB"/>
              </w:rPr>
              <w:t>FortisBC</w:t>
            </w:r>
            <w:proofErr w:type="spellEnd"/>
            <w:r w:rsidRPr="007B7648">
              <w:rPr>
                <w:rFonts w:ascii="Arial" w:hAnsi="Arial" w:cs="Arial"/>
                <w:sz w:val="19"/>
                <w:szCs w:val="19"/>
                <w:vertAlign w:val="superscript"/>
                <w:lang w:val="en-GB"/>
              </w:rPr>
              <w:t>(1)</w:t>
            </w:r>
          </w:p>
        </w:tc>
        <w:tc>
          <w:tcPr>
            <w:tcW w:w="1232" w:type="dxa"/>
          </w:tcPr>
          <w:p w:rsidR="00CF71AC" w:rsidRPr="00C605FA" w:rsidRDefault="00CF71AC" w:rsidP="00C605FA">
            <w:pPr>
              <w:tabs>
                <w:tab w:val="decimal" w:pos="764"/>
              </w:tabs>
              <w:jc w:val="right"/>
              <w:rPr>
                <w:rFonts w:ascii="Arial" w:hAnsi="Arial" w:cs="Arial"/>
                <w:lang w:val="en-GB"/>
              </w:rPr>
            </w:pPr>
            <w:r w:rsidRPr="00C605FA">
              <w:rPr>
                <w:rFonts w:ascii="Arial" w:hAnsi="Arial" w:cs="Arial"/>
                <w:lang w:val="en-GB"/>
              </w:rPr>
              <w:t>1,150,000</w:t>
            </w:r>
          </w:p>
        </w:tc>
        <w:tc>
          <w:tcPr>
            <w:tcW w:w="1350" w:type="dxa"/>
          </w:tcPr>
          <w:p w:rsidR="00CF71AC" w:rsidRPr="00C605FA" w:rsidRDefault="00CF71AC" w:rsidP="00C605FA">
            <w:pPr>
              <w:tabs>
                <w:tab w:val="decimal" w:pos="228"/>
              </w:tabs>
              <w:jc w:val="right"/>
              <w:rPr>
                <w:rFonts w:ascii="Arial" w:hAnsi="Arial" w:cs="Arial"/>
                <w:lang w:val="en-GB"/>
              </w:rPr>
            </w:pPr>
            <w:r w:rsidRPr="00C605FA">
              <w:rPr>
                <w:rFonts w:ascii="Arial" w:hAnsi="Arial" w:cs="Arial"/>
                <w:lang w:val="en-GB"/>
              </w:rPr>
              <w:t>190</w:t>
            </w:r>
          </w:p>
        </w:tc>
        <w:tc>
          <w:tcPr>
            <w:tcW w:w="1350" w:type="dxa"/>
          </w:tcPr>
          <w:p w:rsidR="00CF71AC" w:rsidRPr="00C605FA" w:rsidRDefault="00CF71AC" w:rsidP="00C605FA">
            <w:pPr>
              <w:tabs>
                <w:tab w:val="decimal" w:pos="948"/>
                <w:tab w:val="decimal" w:pos="1128"/>
              </w:tabs>
              <w:jc w:val="right"/>
              <w:rPr>
                <w:rFonts w:ascii="Arial" w:hAnsi="Arial" w:cs="Arial"/>
                <w:lang w:val="en-GB"/>
              </w:rPr>
            </w:pPr>
            <w:r w:rsidRPr="00C605FA">
              <w:rPr>
                <w:rFonts w:ascii="Arial" w:hAnsi="Arial" w:cs="Arial"/>
                <w:lang w:val="en-GB"/>
              </w:rPr>
              <w:t>8.1</w:t>
            </w:r>
          </w:p>
        </w:tc>
        <w:tc>
          <w:tcPr>
            <w:tcW w:w="1260" w:type="dxa"/>
          </w:tcPr>
          <w:p w:rsidR="00CF71AC" w:rsidRPr="00C605FA" w:rsidRDefault="00CF71AC" w:rsidP="00C605FA">
            <w:pPr>
              <w:tabs>
                <w:tab w:val="decimal" w:pos="588"/>
              </w:tabs>
              <w:ind w:left="-132"/>
              <w:jc w:val="right"/>
              <w:rPr>
                <w:rFonts w:ascii="Arial" w:hAnsi="Arial" w:cs="Arial"/>
                <w:lang w:val="en-GB"/>
              </w:rPr>
            </w:pPr>
            <w:r w:rsidRPr="00C605FA">
              <w:rPr>
                <w:rFonts w:ascii="Arial" w:hAnsi="Arial" w:cs="Arial"/>
                <w:lang w:val="en-GB"/>
              </w:rPr>
              <w:t>1,164,000</w:t>
            </w:r>
          </w:p>
        </w:tc>
        <w:tc>
          <w:tcPr>
            <w:tcW w:w="1530" w:type="dxa"/>
          </w:tcPr>
          <w:p w:rsidR="00CF71AC" w:rsidRPr="00C605FA" w:rsidRDefault="00CF71AC" w:rsidP="00C605FA">
            <w:pPr>
              <w:tabs>
                <w:tab w:val="decimal" w:pos="138"/>
              </w:tabs>
              <w:jc w:val="right"/>
              <w:rPr>
                <w:rFonts w:ascii="Arial" w:hAnsi="Arial" w:cs="Arial"/>
                <w:lang w:val="en-GB"/>
              </w:rPr>
            </w:pPr>
            <w:r w:rsidRPr="00C605FA">
              <w:rPr>
                <w:rFonts w:ascii="Arial" w:hAnsi="Arial" w:cs="Arial"/>
                <w:lang w:val="en-GB"/>
              </w:rPr>
              <w:t>205</w:t>
            </w:r>
          </w:p>
        </w:tc>
        <w:tc>
          <w:tcPr>
            <w:tcW w:w="1374" w:type="dxa"/>
          </w:tcPr>
          <w:p w:rsidR="00CF71AC" w:rsidRPr="00C605FA" w:rsidRDefault="00CF71AC" w:rsidP="00C605FA">
            <w:pPr>
              <w:tabs>
                <w:tab w:val="decimal" w:pos="48"/>
              </w:tabs>
              <w:jc w:val="right"/>
              <w:rPr>
                <w:rFonts w:ascii="Arial" w:hAnsi="Arial" w:cs="Arial"/>
                <w:lang w:val="en-GB"/>
              </w:rPr>
            </w:pPr>
            <w:r w:rsidRPr="00C605FA">
              <w:rPr>
                <w:rFonts w:ascii="Arial" w:hAnsi="Arial" w:cs="Arial"/>
                <w:lang w:val="en-GB"/>
              </w:rPr>
              <w:t>8.4</w:t>
            </w:r>
          </w:p>
        </w:tc>
      </w:tr>
      <w:tr w:rsidR="00CF71AC" w:rsidRPr="00E44B60" w:rsidTr="007B7648">
        <w:trPr>
          <w:trHeight w:val="20"/>
          <w:jc w:val="center"/>
        </w:trPr>
        <w:tc>
          <w:tcPr>
            <w:tcW w:w="1312" w:type="dxa"/>
          </w:tcPr>
          <w:p w:rsidR="00CF71AC" w:rsidRPr="007B7648" w:rsidRDefault="00CF71AC" w:rsidP="00346242">
            <w:pPr>
              <w:rPr>
                <w:rFonts w:ascii="Arial" w:hAnsi="Arial" w:cs="Arial"/>
                <w:b/>
                <w:sz w:val="19"/>
                <w:szCs w:val="19"/>
                <w:lang w:val="en-GB"/>
              </w:rPr>
            </w:pPr>
            <w:r w:rsidRPr="007B7648">
              <w:rPr>
                <w:rFonts w:ascii="Arial" w:hAnsi="Arial" w:cs="Arial"/>
                <w:b/>
                <w:sz w:val="19"/>
                <w:szCs w:val="19"/>
                <w:lang w:val="en-GB"/>
              </w:rPr>
              <w:t>Fortis Alberta</w:t>
            </w:r>
          </w:p>
        </w:tc>
        <w:tc>
          <w:tcPr>
            <w:tcW w:w="1232" w:type="dxa"/>
            <w:vAlign w:val="center"/>
          </w:tcPr>
          <w:p w:rsidR="00CF71AC" w:rsidRPr="00C605FA" w:rsidRDefault="00CF71AC" w:rsidP="007B7648">
            <w:pPr>
              <w:tabs>
                <w:tab w:val="decimal" w:pos="674"/>
              </w:tabs>
              <w:jc w:val="right"/>
              <w:rPr>
                <w:rFonts w:ascii="Arial" w:hAnsi="Arial" w:cs="Arial"/>
                <w:lang w:val="en-GB"/>
              </w:rPr>
            </w:pPr>
            <w:r w:rsidRPr="00C605FA">
              <w:rPr>
                <w:rFonts w:ascii="Arial" w:hAnsi="Arial" w:cs="Arial"/>
                <w:lang w:val="en-GB"/>
              </w:rPr>
              <w:t>539,000</w:t>
            </w:r>
          </w:p>
        </w:tc>
        <w:tc>
          <w:tcPr>
            <w:tcW w:w="1350" w:type="dxa"/>
            <w:vAlign w:val="center"/>
          </w:tcPr>
          <w:p w:rsidR="00CF71AC" w:rsidRPr="00C605FA" w:rsidRDefault="00CF71AC" w:rsidP="007B7648">
            <w:pPr>
              <w:tabs>
                <w:tab w:val="decimal" w:pos="228"/>
              </w:tabs>
              <w:jc w:val="right"/>
              <w:rPr>
                <w:rFonts w:ascii="Arial" w:hAnsi="Arial" w:cs="Arial"/>
                <w:lang w:val="en-GB"/>
              </w:rPr>
            </w:pPr>
            <w:r w:rsidRPr="00C605FA">
              <w:rPr>
                <w:rFonts w:ascii="Arial" w:hAnsi="Arial" w:cs="Arial"/>
                <w:lang w:val="en-GB"/>
              </w:rPr>
              <w:t>138</w:t>
            </w:r>
          </w:p>
        </w:tc>
        <w:tc>
          <w:tcPr>
            <w:tcW w:w="1350" w:type="dxa"/>
            <w:vAlign w:val="center"/>
          </w:tcPr>
          <w:p w:rsidR="00CF71AC" w:rsidRPr="00C605FA" w:rsidRDefault="00CF71AC" w:rsidP="007B7648">
            <w:pPr>
              <w:tabs>
                <w:tab w:val="decimal" w:pos="948"/>
                <w:tab w:val="decimal" w:pos="1128"/>
              </w:tabs>
              <w:jc w:val="right"/>
              <w:rPr>
                <w:rFonts w:ascii="Arial" w:hAnsi="Arial" w:cs="Arial"/>
                <w:lang w:val="en-GB"/>
              </w:rPr>
            </w:pPr>
            <w:r w:rsidRPr="00C605FA">
              <w:rPr>
                <w:rFonts w:ascii="Arial" w:hAnsi="Arial" w:cs="Arial"/>
                <w:lang w:val="en-GB"/>
              </w:rPr>
              <w:t>3.8</w:t>
            </w:r>
          </w:p>
        </w:tc>
        <w:tc>
          <w:tcPr>
            <w:tcW w:w="1260" w:type="dxa"/>
            <w:vAlign w:val="center"/>
          </w:tcPr>
          <w:p w:rsidR="00CF71AC" w:rsidRPr="00C605FA" w:rsidRDefault="00CF71AC" w:rsidP="007B7648">
            <w:pPr>
              <w:tabs>
                <w:tab w:val="decimal" w:pos="588"/>
              </w:tabs>
              <w:ind w:left="-132"/>
              <w:jc w:val="right"/>
              <w:rPr>
                <w:rFonts w:ascii="Arial" w:hAnsi="Arial" w:cs="Arial"/>
                <w:lang w:val="en-GB"/>
              </w:rPr>
            </w:pPr>
            <w:r w:rsidRPr="00C605FA">
              <w:rPr>
                <w:rFonts w:ascii="Arial" w:hAnsi="Arial" w:cs="Arial"/>
                <w:lang w:val="en-GB"/>
              </w:rPr>
              <w:t>549,000</w:t>
            </w:r>
          </w:p>
        </w:tc>
        <w:tc>
          <w:tcPr>
            <w:tcW w:w="1530" w:type="dxa"/>
            <w:vAlign w:val="center"/>
          </w:tcPr>
          <w:p w:rsidR="00CF71AC" w:rsidRPr="00C605FA" w:rsidRDefault="00CF71AC" w:rsidP="007B7648">
            <w:pPr>
              <w:tabs>
                <w:tab w:val="decimal" w:pos="138"/>
              </w:tabs>
              <w:jc w:val="right"/>
              <w:rPr>
                <w:rFonts w:ascii="Arial" w:hAnsi="Arial" w:cs="Arial"/>
                <w:lang w:val="en-GB"/>
              </w:rPr>
            </w:pPr>
            <w:r w:rsidRPr="00C605FA">
              <w:rPr>
                <w:rFonts w:ascii="Arial" w:hAnsi="Arial" w:cs="Arial"/>
                <w:lang w:val="en-GB"/>
              </w:rPr>
              <w:t>121</w:t>
            </w:r>
          </w:p>
        </w:tc>
        <w:tc>
          <w:tcPr>
            <w:tcW w:w="1374" w:type="dxa"/>
            <w:vAlign w:val="center"/>
          </w:tcPr>
          <w:p w:rsidR="00CF71AC" w:rsidRPr="00C605FA" w:rsidRDefault="00CF71AC" w:rsidP="007B7648">
            <w:pPr>
              <w:tabs>
                <w:tab w:val="decimal" w:pos="48"/>
              </w:tabs>
              <w:jc w:val="right"/>
              <w:rPr>
                <w:rFonts w:ascii="Arial" w:hAnsi="Arial" w:cs="Arial"/>
                <w:lang w:val="en-GB"/>
              </w:rPr>
            </w:pPr>
            <w:r w:rsidRPr="00C605FA">
              <w:rPr>
                <w:rFonts w:ascii="Arial" w:hAnsi="Arial" w:cs="Arial"/>
                <w:lang w:val="en-GB"/>
              </w:rPr>
              <w:t>4.1</w:t>
            </w:r>
          </w:p>
        </w:tc>
      </w:tr>
      <w:tr w:rsidR="00CF71AC" w:rsidRPr="00E44B60" w:rsidTr="007B7648">
        <w:trPr>
          <w:trHeight w:val="20"/>
          <w:jc w:val="center"/>
        </w:trPr>
        <w:tc>
          <w:tcPr>
            <w:tcW w:w="1312" w:type="dxa"/>
          </w:tcPr>
          <w:p w:rsidR="00CF71AC" w:rsidRPr="007B7648" w:rsidRDefault="00CF71AC" w:rsidP="00346242">
            <w:pPr>
              <w:rPr>
                <w:rFonts w:ascii="Arial" w:hAnsi="Arial" w:cs="Arial"/>
                <w:b/>
                <w:sz w:val="19"/>
                <w:szCs w:val="19"/>
                <w:lang w:val="en-GB"/>
              </w:rPr>
            </w:pPr>
            <w:r w:rsidRPr="007B7648">
              <w:rPr>
                <w:rFonts w:ascii="Arial" w:hAnsi="Arial" w:cs="Arial"/>
                <w:b/>
                <w:sz w:val="19"/>
                <w:szCs w:val="19"/>
                <w:lang w:val="en-GB"/>
              </w:rPr>
              <w:t>Eastern Canadian</w:t>
            </w:r>
            <w:r w:rsidRPr="007B7648">
              <w:rPr>
                <w:rFonts w:ascii="Arial" w:hAnsi="Arial" w:cs="Arial"/>
                <w:sz w:val="19"/>
                <w:szCs w:val="19"/>
                <w:vertAlign w:val="superscript"/>
                <w:lang w:val="en-GB"/>
              </w:rPr>
              <w:t>(2)</w:t>
            </w:r>
          </w:p>
        </w:tc>
        <w:tc>
          <w:tcPr>
            <w:tcW w:w="1232" w:type="dxa"/>
            <w:vAlign w:val="center"/>
          </w:tcPr>
          <w:p w:rsidR="00CF71AC" w:rsidRPr="00C605FA" w:rsidRDefault="00CF71AC" w:rsidP="00C605FA">
            <w:pPr>
              <w:tabs>
                <w:tab w:val="decimal" w:pos="674"/>
              </w:tabs>
              <w:jc w:val="right"/>
              <w:rPr>
                <w:rFonts w:ascii="Arial" w:hAnsi="Arial" w:cs="Arial"/>
                <w:lang w:val="en-GB"/>
              </w:rPr>
            </w:pPr>
            <w:r w:rsidRPr="00C605FA">
              <w:rPr>
                <w:rFonts w:ascii="Arial" w:hAnsi="Arial" w:cs="Arial"/>
                <w:lang w:val="en-GB"/>
              </w:rPr>
              <w:t>405,000</w:t>
            </w:r>
          </w:p>
        </w:tc>
        <w:tc>
          <w:tcPr>
            <w:tcW w:w="1350" w:type="dxa"/>
            <w:vAlign w:val="center"/>
          </w:tcPr>
          <w:p w:rsidR="00CF71AC" w:rsidRPr="00C605FA" w:rsidRDefault="00CF71AC" w:rsidP="00C605FA">
            <w:pPr>
              <w:tabs>
                <w:tab w:val="decimal" w:pos="228"/>
              </w:tabs>
              <w:jc w:val="right"/>
              <w:rPr>
                <w:rFonts w:ascii="Arial" w:hAnsi="Arial" w:cs="Arial"/>
                <w:lang w:val="en-GB"/>
              </w:rPr>
            </w:pPr>
            <w:r w:rsidRPr="00C605FA">
              <w:rPr>
                <w:rFonts w:ascii="Arial" w:hAnsi="Arial" w:cs="Arial"/>
                <w:lang w:val="en-GB"/>
              </w:rPr>
              <w:t>62</w:t>
            </w:r>
          </w:p>
        </w:tc>
        <w:tc>
          <w:tcPr>
            <w:tcW w:w="1350" w:type="dxa"/>
            <w:vAlign w:val="center"/>
          </w:tcPr>
          <w:p w:rsidR="00CF71AC" w:rsidRPr="00C605FA" w:rsidRDefault="00CF71AC" w:rsidP="00C605FA">
            <w:pPr>
              <w:tabs>
                <w:tab w:val="decimal" w:pos="948"/>
                <w:tab w:val="decimal" w:pos="1128"/>
              </w:tabs>
              <w:jc w:val="right"/>
              <w:rPr>
                <w:rFonts w:ascii="Arial" w:hAnsi="Arial" w:cs="Arial"/>
                <w:lang w:val="en-GB"/>
              </w:rPr>
            </w:pPr>
            <w:r w:rsidRPr="00C605FA">
              <w:rPr>
                <w:rFonts w:ascii="Arial" w:hAnsi="Arial" w:cs="Arial"/>
                <w:lang w:val="en-GB"/>
              </w:rPr>
              <w:t>2.3</w:t>
            </w:r>
          </w:p>
        </w:tc>
        <w:tc>
          <w:tcPr>
            <w:tcW w:w="1260" w:type="dxa"/>
            <w:vAlign w:val="center"/>
          </w:tcPr>
          <w:p w:rsidR="00CF71AC" w:rsidRPr="00C605FA" w:rsidRDefault="00CF71AC" w:rsidP="00C605FA">
            <w:pPr>
              <w:tabs>
                <w:tab w:val="decimal" w:pos="588"/>
              </w:tabs>
              <w:ind w:left="-132"/>
              <w:jc w:val="right"/>
              <w:rPr>
                <w:rFonts w:ascii="Arial" w:hAnsi="Arial" w:cs="Arial"/>
                <w:lang w:val="en-GB"/>
              </w:rPr>
            </w:pPr>
            <w:r w:rsidRPr="00C605FA">
              <w:rPr>
                <w:rFonts w:ascii="Arial" w:hAnsi="Arial" w:cs="Arial"/>
                <w:lang w:val="en-GB"/>
              </w:rPr>
              <w:t>408,000</w:t>
            </w:r>
          </w:p>
        </w:tc>
        <w:tc>
          <w:tcPr>
            <w:tcW w:w="1530" w:type="dxa"/>
            <w:vAlign w:val="center"/>
          </w:tcPr>
          <w:p w:rsidR="00CF71AC" w:rsidRPr="00C605FA" w:rsidRDefault="00CF71AC" w:rsidP="00C605FA">
            <w:pPr>
              <w:tabs>
                <w:tab w:val="decimal" w:pos="138"/>
              </w:tabs>
              <w:jc w:val="right"/>
              <w:rPr>
                <w:rFonts w:ascii="Arial" w:hAnsi="Arial" w:cs="Arial"/>
                <w:lang w:val="en-GB"/>
              </w:rPr>
            </w:pPr>
            <w:r w:rsidRPr="00C605FA">
              <w:rPr>
                <w:rFonts w:ascii="Arial" w:hAnsi="Arial" w:cs="Arial"/>
                <w:lang w:val="en-GB"/>
              </w:rPr>
              <w:t>64</w:t>
            </w:r>
          </w:p>
        </w:tc>
        <w:tc>
          <w:tcPr>
            <w:tcW w:w="1374" w:type="dxa"/>
            <w:vAlign w:val="center"/>
          </w:tcPr>
          <w:p w:rsidR="00CF71AC" w:rsidRPr="00C605FA" w:rsidRDefault="00CF71AC" w:rsidP="00C605FA">
            <w:pPr>
              <w:tabs>
                <w:tab w:val="decimal" w:pos="48"/>
              </w:tabs>
              <w:jc w:val="right"/>
              <w:rPr>
                <w:rFonts w:ascii="Arial" w:hAnsi="Arial" w:cs="Arial"/>
                <w:lang w:val="en-GB"/>
              </w:rPr>
            </w:pPr>
            <w:r w:rsidRPr="00C605FA">
              <w:rPr>
                <w:rFonts w:ascii="Arial" w:hAnsi="Arial" w:cs="Arial"/>
                <w:lang w:val="en-GB"/>
              </w:rPr>
              <w:t>2.4</w:t>
            </w:r>
          </w:p>
        </w:tc>
      </w:tr>
      <w:tr w:rsidR="00CF71AC" w:rsidRPr="00E44B60" w:rsidTr="007B7648">
        <w:trPr>
          <w:trHeight w:val="20"/>
          <w:jc w:val="center"/>
        </w:trPr>
        <w:tc>
          <w:tcPr>
            <w:tcW w:w="1312" w:type="dxa"/>
          </w:tcPr>
          <w:p w:rsidR="00CF71AC" w:rsidRPr="007B7648" w:rsidRDefault="00CF71AC" w:rsidP="00346242">
            <w:pPr>
              <w:rPr>
                <w:rFonts w:ascii="Arial" w:hAnsi="Arial" w:cs="Arial"/>
                <w:b/>
                <w:sz w:val="19"/>
                <w:szCs w:val="19"/>
                <w:lang w:val="en-GB"/>
              </w:rPr>
            </w:pPr>
            <w:r w:rsidRPr="007B7648">
              <w:rPr>
                <w:rFonts w:ascii="Arial" w:hAnsi="Arial" w:cs="Arial"/>
                <w:b/>
                <w:sz w:val="19"/>
                <w:szCs w:val="19"/>
                <w:lang w:val="en-GB"/>
              </w:rPr>
              <w:t>Caribbean Electric</w:t>
            </w:r>
            <w:r w:rsidRPr="007B7648">
              <w:rPr>
                <w:rFonts w:ascii="Arial" w:hAnsi="Arial" w:cs="Arial"/>
                <w:sz w:val="19"/>
                <w:szCs w:val="19"/>
                <w:vertAlign w:val="superscript"/>
                <w:lang w:val="en-GB"/>
              </w:rPr>
              <w:t>(3)</w:t>
            </w:r>
          </w:p>
        </w:tc>
        <w:tc>
          <w:tcPr>
            <w:tcW w:w="1232" w:type="dxa"/>
            <w:vAlign w:val="center"/>
          </w:tcPr>
          <w:p w:rsidR="00CF71AC" w:rsidRPr="00C605FA" w:rsidRDefault="00CF71AC" w:rsidP="00C605FA">
            <w:pPr>
              <w:tabs>
                <w:tab w:val="decimal" w:pos="674"/>
              </w:tabs>
              <w:jc w:val="right"/>
              <w:rPr>
                <w:rFonts w:ascii="Arial" w:hAnsi="Arial" w:cs="Arial"/>
                <w:lang w:val="en-GB"/>
              </w:rPr>
            </w:pPr>
            <w:r w:rsidRPr="00C605FA">
              <w:rPr>
                <w:rFonts w:ascii="Arial" w:hAnsi="Arial" w:cs="Arial"/>
                <w:lang w:val="en-GB"/>
              </w:rPr>
              <w:t>42,000</w:t>
            </w:r>
          </w:p>
        </w:tc>
        <w:tc>
          <w:tcPr>
            <w:tcW w:w="1350" w:type="dxa"/>
            <w:vAlign w:val="center"/>
          </w:tcPr>
          <w:p w:rsidR="00CF71AC" w:rsidRPr="00C605FA" w:rsidRDefault="00CF71AC" w:rsidP="00C605FA">
            <w:pPr>
              <w:tabs>
                <w:tab w:val="decimal" w:pos="228"/>
              </w:tabs>
              <w:jc w:val="right"/>
              <w:rPr>
                <w:rFonts w:ascii="Arial" w:hAnsi="Arial" w:cs="Arial"/>
                <w:lang w:val="en-GB"/>
              </w:rPr>
            </w:pPr>
            <w:r w:rsidRPr="00C605FA">
              <w:rPr>
                <w:rFonts w:ascii="Arial" w:hAnsi="Arial" w:cs="Arial"/>
                <w:lang w:val="en-GB"/>
              </w:rPr>
              <w:t>34</w:t>
            </w:r>
          </w:p>
        </w:tc>
        <w:tc>
          <w:tcPr>
            <w:tcW w:w="1350" w:type="dxa"/>
            <w:vAlign w:val="center"/>
          </w:tcPr>
          <w:p w:rsidR="00CF71AC" w:rsidRPr="00C605FA" w:rsidRDefault="00CF71AC" w:rsidP="00C605FA">
            <w:pPr>
              <w:tabs>
                <w:tab w:val="decimal" w:pos="948"/>
                <w:tab w:val="decimal" w:pos="1128"/>
              </w:tabs>
              <w:jc w:val="right"/>
              <w:rPr>
                <w:rFonts w:ascii="Arial" w:hAnsi="Arial" w:cs="Arial"/>
                <w:lang w:val="en-GB"/>
              </w:rPr>
            </w:pPr>
            <w:r w:rsidRPr="00C605FA">
              <w:rPr>
                <w:rFonts w:ascii="Arial" w:hAnsi="Arial" w:cs="Arial"/>
                <w:lang w:val="en-GB"/>
              </w:rPr>
              <w:t>1.3</w:t>
            </w:r>
          </w:p>
        </w:tc>
        <w:tc>
          <w:tcPr>
            <w:tcW w:w="1260" w:type="dxa"/>
            <w:vAlign w:val="center"/>
          </w:tcPr>
          <w:p w:rsidR="00CF71AC" w:rsidRPr="00C605FA" w:rsidRDefault="00CF71AC" w:rsidP="00C605FA">
            <w:pPr>
              <w:tabs>
                <w:tab w:val="decimal" w:pos="588"/>
              </w:tabs>
              <w:ind w:left="-132"/>
              <w:jc w:val="right"/>
              <w:rPr>
                <w:rFonts w:ascii="Arial" w:hAnsi="Arial" w:cs="Arial"/>
                <w:lang w:val="en-GB"/>
              </w:rPr>
            </w:pPr>
            <w:r w:rsidRPr="00C605FA">
              <w:rPr>
                <w:rFonts w:ascii="Arial" w:hAnsi="Arial" w:cs="Arial"/>
                <w:lang w:val="en-GB"/>
              </w:rPr>
              <w:t>44,000</w:t>
            </w:r>
          </w:p>
        </w:tc>
        <w:tc>
          <w:tcPr>
            <w:tcW w:w="1530" w:type="dxa"/>
            <w:vAlign w:val="center"/>
          </w:tcPr>
          <w:p w:rsidR="00CF71AC" w:rsidRPr="00C605FA" w:rsidRDefault="00CF71AC" w:rsidP="00C605FA">
            <w:pPr>
              <w:tabs>
                <w:tab w:val="decimal" w:pos="138"/>
              </w:tabs>
              <w:jc w:val="right"/>
              <w:rPr>
                <w:rFonts w:ascii="Arial" w:hAnsi="Arial" w:cs="Arial"/>
                <w:lang w:val="en-GB"/>
              </w:rPr>
            </w:pPr>
            <w:r w:rsidRPr="00C605FA">
              <w:rPr>
                <w:rFonts w:ascii="Arial" w:hAnsi="Arial" w:cs="Arial"/>
                <w:lang w:val="en-GB"/>
              </w:rPr>
              <w:t>46</w:t>
            </w:r>
          </w:p>
        </w:tc>
        <w:tc>
          <w:tcPr>
            <w:tcW w:w="1374" w:type="dxa"/>
            <w:vAlign w:val="center"/>
          </w:tcPr>
          <w:p w:rsidR="00CF71AC" w:rsidRPr="00C605FA" w:rsidRDefault="00CF71AC" w:rsidP="00C605FA">
            <w:pPr>
              <w:tabs>
                <w:tab w:val="decimal" w:pos="48"/>
              </w:tabs>
              <w:jc w:val="right"/>
              <w:rPr>
                <w:rFonts w:ascii="Arial" w:hAnsi="Arial" w:cs="Arial"/>
                <w:lang w:val="en-GB"/>
              </w:rPr>
            </w:pPr>
            <w:r w:rsidRPr="00C605FA">
              <w:rPr>
                <w:rFonts w:ascii="Arial" w:hAnsi="Arial" w:cs="Arial"/>
                <w:lang w:val="en-GB"/>
              </w:rPr>
              <w:t>1.3</w:t>
            </w:r>
          </w:p>
        </w:tc>
      </w:tr>
      <w:tr w:rsidR="00CF71AC" w:rsidRPr="00E44B60" w:rsidTr="007B7648">
        <w:trPr>
          <w:trHeight w:val="20"/>
          <w:jc w:val="center"/>
        </w:trPr>
        <w:tc>
          <w:tcPr>
            <w:tcW w:w="1312" w:type="dxa"/>
          </w:tcPr>
          <w:p w:rsidR="00CF71AC" w:rsidRPr="007B7648" w:rsidRDefault="00CF71AC" w:rsidP="00346242">
            <w:pPr>
              <w:rPr>
                <w:rFonts w:ascii="Arial" w:hAnsi="Arial" w:cs="Arial"/>
                <w:b/>
                <w:sz w:val="19"/>
                <w:szCs w:val="19"/>
                <w:lang w:val="en-GB"/>
              </w:rPr>
            </w:pPr>
            <w:r w:rsidRPr="007B7648">
              <w:rPr>
                <w:rFonts w:ascii="Arial" w:hAnsi="Arial" w:cs="Arial"/>
                <w:b/>
                <w:sz w:val="19"/>
                <w:szCs w:val="19"/>
                <w:lang w:val="en-GB"/>
              </w:rPr>
              <w:t>Total</w:t>
            </w:r>
          </w:p>
        </w:tc>
        <w:tc>
          <w:tcPr>
            <w:tcW w:w="1232" w:type="dxa"/>
          </w:tcPr>
          <w:p w:rsidR="00CF71AC" w:rsidRPr="00C605FA" w:rsidRDefault="00CF71AC" w:rsidP="00C605FA">
            <w:pPr>
              <w:tabs>
                <w:tab w:val="decimal" w:pos="764"/>
              </w:tabs>
              <w:jc w:val="right"/>
              <w:rPr>
                <w:rFonts w:ascii="Arial" w:hAnsi="Arial" w:cs="Arial"/>
                <w:lang w:val="en-GB"/>
              </w:rPr>
            </w:pPr>
            <w:r w:rsidRPr="00C605FA">
              <w:rPr>
                <w:rFonts w:ascii="Arial" w:hAnsi="Arial" w:cs="Arial"/>
                <w:lang w:val="en-GB"/>
              </w:rPr>
              <w:t>3,178,000</w:t>
            </w:r>
          </w:p>
        </w:tc>
        <w:tc>
          <w:tcPr>
            <w:tcW w:w="1350" w:type="dxa"/>
          </w:tcPr>
          <w:p w:rsidR="00CF71AC" w:rsidRPr="00C605FA" w:rsidRDefault="00CF71AC" w:rsidP="00C605FA">
            <w:pPr>
              <w:tabs>
                <w:tab w:val="decimal" w:pos="228"/>
              </w:tabs>
              <w:jc w:val="right"/>
              <w:rPr>
                <w:rFonts w:ascii="Arial" w:hAnsi="Arial" w:cs="Arial"/>
                <w:vertAlign w:val="superscript"/>
                <w:lang w:val="en-GB"/>
              </w:rPr>
            </w:pPr>
            <w:r w:rsidRPr="00C605FA">
              <w:rPr>
                <w:rFonts w:ascii="Arial" w:hAnsi="Arial" w:cs="Arial"/>
                <w:lang w:val="en-GB"/>
              </w:rPr>
              <w:t>677</w:t>
            </w:r>
            <w:r w:rsidRPr="00C605FA">
              <w:rPr>
                <w:rFonts w:ascii="Arial" w:hAnsi="Arial" w:cs="Arial"/>
                <w:vertAlign w:val="superscript"/>
                <w:lang w:val="en-GB"/>
              </w:rPr>
              <w:t>(4)</w:t>
            </w:r>
          </w:p>
        </w:tc>
        <w:tc>
          <w:tcPr>
            <w:tcW w:w="1350" w:type="dxa"/>
          </w:tcPr>
          <w:p w:rsidR="00CF71AC" w:rsidRPr="00C605FA" w:rsidRDefault="00CF71AC" w:rsidP="00C605FA">
            <w:pPr>
              <w:tabs>
                <w:tab w:val="decimal" w:pos="948"/>
                <w:tab w:val="decimal" w:pos="1128"/>
              </w:tabs>
              <w:jc w:val="right"/>
              <w:rPr>
                <w:rFonts w:ascii="Arial" w:hAnsi="Arial" w:cs="Arial"/>
                <w:lang w:val="en-GB"/>
              </w:rPr>
            </w:pPr>
            <w:r w:rsidRPr="00C605FA">
              <w:rPr>
                <w:rFonts w:ascii="Arial" w:hAnsi="Arial" w:cs="Arial"/>
                <w:lang w:val="en-GB"/>
              </w:rPr>
              <w:t>27.6</w:t>
            </w:r>
          </w:p>
        </w:tc>
        <w:tc>
          <w:tcPr>
            <w:tcW w:w="1260" w:type="dxa"/>
          </w:tcPr>
          <w:p w:rsidR="00CF71AC" w:rsidRPr="00C605FA" w:rsidRDefault="00CF71AC" w:rsidP="00C605FA">
            <w:pPr>
              <w:tabs>
                <w:tab w:val="decimal" w:pos="588"/>
              </w:tabs>
              <w:ind w:left="-132"/>
              <w:jc w:val="right"/>
              <w:rPr>
                <w:rFonts w:ascii="Arial" w:hAnsi="Arial" w:cs="Arial"/>
                <w:lang w:val="en-GB"/>
              </w:rPr>
            </w:pPr>
            <w:r w:rsidRPr="00C605FA">
              <w:rPr>
                <w:rFonts w:ascii="Arial" w:hAnsi="Arial" w:cs="Arial"/>
                <w:lang w:val="en-GB"/>
              </w:rPr>
              <w:t>3,213,000</w:t>
            </w:r>
          </w:p>
        </w:tc>
        <w:tc>
          <w:tcPr>
            <w:tcW w:w="1530" w:type="dxa"/>
          </w:tcPr>
          <w:p w:rsidR="00CF71AC" w:rsidRPr="00C605FA" w:rsidRDefault="00CF71AC" w:rsidP="00C605FA">
            <w:pPr>
              <w:tabs>
                <w:tab w:val="decimal" w:pos="138"/>
              </w:tabs>
              <w:jc w:val="right"/>
              <w:rPr>
                <w:rFonts w:ascii="Arial" w:hAnsi="Arial" w:cs="Arial"/>
                <w:lang w:val="en-GB"/>
              </w:rPr>
            </w:pPr>
            <w:r w:rsidRPr="00C605FA">
              <w:rPr>
                <w:rFonts w:ascii="Arial" w:hAnsi="Arial" w:cs="Arial"/>
                <w:lang w:val="en-GB"/>
              </w:rPr>
              <w:t>764</w:t>
            </w:r>
          </w:p>
        </w:tc>
        <w:tc>
          <w:tcPr>
            <w:tcW w:w="1374" w:type="dxa"/>
          </w:tcPr>
          <w:p w:rsidR="00CF71AC" w:rsidRPr="00C605FA" w:rsidRDefault="00CF71AC" w:rsidP="00C605FA">
            <w:pPr>
              <w:tabs>
                <w:tab w:val="decimal" w:pos="48"/>
              </w:tabs>
              <w:jc w:val="right"/>
              <w:rPr>
                <w:rFonts w:ascii="Arial" w:hAnsi="Arial" w:cs="Arial"/>
                <w:lang w:val="en-GB"/>
              </w:rPr>
            </w:pPr>
            <w:r w:rsidRPr="00C605FA">
              <w:rPr>
                <w:rFonts w:ascii="Arial" w:hAnsi="Arial" w:cs="Arial"/>
                <w:lang w:val="en-GB"/>
              </w:rPr>
              <w:t>46.3</w:t>
            </w:r>
          </w:p>
        </w:tc>
      </w:tr>
    </w:tbl>
    <w:p w:rsidR="00CF71AC" w:rsidRPr="0064450C" w:rsidRDefault="00CF71AC" w:rsidP="00CF71AC">
      <w:pPr>
        <w:pStyle w:val="FootnoteText"/>
        <w:rPr>
          <w:rFonts w:cs="Arial"/>
          <w:szCs w:val="17"/>
          <w:lang w:val="en-GB"/>
        </w:rPr>
      </w:pPr>
    </w:p>
    <w:p w:rsidR="00CF71AC" w:rsidRPr="0064450C" w:rsidRDefault="00CF71AC" w:rsidP="00CF71AC">
      <w:pPr>
        <w:pStyle w:val="FootnoteText"/>
        <w:rPr>
          <w:rFonts w:cs="Arial"/>
          <w:szCs w:val="17"/>
          <w:lang w:val="en-GB"/>
        </w:rPr>
      </w:pPr>
      <w:r w:rsidRPr="0064450C">
        <w:rPr>
          <w:rFonts w:cs="Arial"/>
          <w:szCs w:val="17"/>
          <w:lang w:val="en-GB"/>
        </w:rPr>
        <w:t xml:space="preserve">Note: N/A = not applicable; (1) </w:t>
      </w:r>
      <w:proofErr w:type="spellStart"/>
      <w:r w:rsidRPr="0064450C">
        <w:rPr>
          <w:rFonts w:cs="Arial"/>
          <w:szCs w:val="17"/>
          <w:lang w:val="en-GB"/>
        </w:rPr>
        <w:t>FortisBC</w:t>
      </w:r>
      <w:proofErr w:type="spellEnd"/>
      <w:r w:rsidRPr="0064450C">
        <w:rPr>
          <w:rFonts w:cs="Arial"/>
          <w:szCs w:val="17"/>
          <w:lang w:val="en-GB"/>
        </w:rPr>
        <w:t xml:space="preserve"> includes </w:t>
      </w:r>
      <w:proofErr w:type="spellStart"/>
      <w:r w:rsidRPr="0064450C">
        <w:rPr>
          <w:rFonts w:cs="Arial"/>
          <w:szCs w:val="17"/>
          <w:lang w:val="en-GB"/>
        </w:rPr>
        <w:t>FortisBC</w:t>
      </w:r>
      <w:proofErr w:type="spellEnd"/>
      <w:r w:rsidRPr="0064450C">
        <w:rPr>
          <w:rFonts w:cs="Arial"/>
          <w:szCs w:val="17"/>
          <w:lang w:val="en-GB"/>
        </w:rPr>
        <w:t xml:space="preserve"> Energy and </w:t>
      </w:r>
      <w:proofErr w:type="spellStart"/>
      <w:r w:rsidRPr="0064450C">
        <w:rPr>
          <w:rFonts w:cs="Arial"/>
          <w:szCs w:val="17"/>
          <w:lang w:val="en-GB"/>
        </w:rPr>
        <w:t>FortisBC</w:t>
      </w:r>
      <w:proofErr w:type="spellEnd"/>
      <w:r w:rsidRPr="0064450C">
        <w:rPr>
          <w:rFonts w:cs="Arial"/>
          <w:szCs w:val="17"/>
          <w:lang w:val="en-GB"/>
        </w:rPr>
        <w:t xml:space="preserve"> Electric; (2) Eastern Canadian includes Newfoundland Power, Maritime Electric, and </w:t>
      </w:r>
      <w:proofErr w:type="spellStart"/>
      <w:r w:rsidRPr="0064450C">
        <w:rPr>
          <w:rFonts w:cs="Arial"/>
          <w:szCs w:val="17"/>
          <w:lang w:val="en-GB"/>
        </w:rPr>
        <w:t>FortisOntario</w:t>
      </w:r>
      <w:proofErr w:type="spellEnd"/>
      <w:r w:rsidRPr="0064450C">
        <w:rPr>
          <w:rFonts w:cs="Arial"/>
          <w:szCs w:val="17"/>
          <w:lang w:val="en-GB"/>
        </w:rPr>
        <w:t>; (3) Caribbean Electric includes Caribbean Utilities (specifically 100 per cent of Caribbean Utilities’ operational data and the earnings attributed to Fortis through Fortis’s 60 per cent ownership of the company), Fortis Turks and Caicos, and 33 per cent equity investment in Belize Electricity; (4) 2015 earnings total includes gains on the sale of Fortis’s power generation facilities in Ontario in 2015.</w:t>
      </w:r>
    </w:p>
    <w:p w:rsidR="00CF71AC" w:rsidRPr="0064450C" w:rsidRDefault="00CF71AC" w:rsidP="00CF71AC">
      <w:pPr>
        <w:pStyle w:val="FootnoteText1"/>
        <w:rPr>
          <w:i w:val="0"/>
          <w:lang w:val="en-GB"/>
        </w:rPr>
      </w:pPr>
      <w:r w:rsidRPr="0064450C">
        <w:rPr>
          <w:i w:val="0"/>
          <w:lang w:val="en-GB"/>
        </w:rPr>
        <w:t>Source: Company documents.</w:t>
      </w:r>
    </w:p>
    <w:p w:rsidR="00CF71AC" w:rsidRPr="007D2AA2" w:rsidRDefault="00CF71AC" w:rsidP="00C605FA">
      <w:pPr>
        <w:pStyle w:val="BodyTextMain"/>
        <w:rPr>
          <w:lang w:val="en-GB"/>
        </w:rPr>
      </w:pPr>
    </w:p>
    <w:p w:rsidR="00CF71AC" w:rsidRPr="007D2AA2" w:rsidRDefault="00CF71AC" w:rsidP="00CF71AC">
      <w:pPr>
        <w:rPr>
          <w:rFonts w:ascii="Arial" w:hAnsi="Arial" w:cs="Arial"/>
          <w:b/>
          <w:lang w:val="en-GB"/>
        </w:rPr>
      </w:pPr>
      <w:r w:rsidRPr="007D2AA2">
        <w:rPr>
          <w:rFonts w:ascii="Arial" w:hAnsi="Arial" w:cs="Arial"/>
          <w:b/>
          <w:lang w:val="en-GB"/>
        </w:rPr>
        <w:br w:type="page"/>
      </w:r>
    </w:p>
    <w:p w:rsidR="0064450C" w:rsidRDefault="0064450C" w:rsidP="0064450C">
      <w:pPr>
        <w:pStyle w:val="Casehead1"/>
        <w:jc w:val="center"/>
        <w:rPr>
          <w:lang w:val="en-GB"/>
        </w:rPr>
      </w:pPr>
      <w:r w:rsidRPr="007D2AA2">
        <w:rPr>
          <w:lang w:val="en-GB"/>
        </w:rPr>
        <w:lastRenderedPageBreak/>
        <w:t>Exhibit 2</w:t>
      </w:r>
      <w:r>
        <w:rPr>
          <w:lang w:val="en-GB"/>
        </w:rPr>
        <w:t xml:space="preserve"> (continued)</w:t>
      </w:r>
    </w:p>
    <w:p w:rsidR="0064450C" w:rsidRDefault="0064450C" w:rsidP="0064450C">
      <w:pPr>
        <w:pStyle w:val="BodyTextMain"/>
        <w:rPr>
          <w:lang w:val="en-GB"/>
        </w:rPr>
      </w:pPr>
    </w:p>
    <w:p w:rsidR="00CF71AC" w:rsidRPr="007D2AA2" w:rsidRDefault="00CF71AC" w:rsidP="00CF71AC">
      <w:pPr>
        <w:pStyle w:val="casehead20"/>
        <w:jc w:val="center"/>
        <w:rPr>
          <w:lang w:val="en-GB"/>
        </w:rPr>
      </w:pPr>
      <w:r w:rsidRPr="007D2AA2">
        <w:rPr>
          <w:lang w:val="en-GB"/>
        </w:rPr>
        <w:t>Part Two: Fortis</w:t>
      </w:r>
      <w:r>
        <w:rPr>
          <w:lang w:val="en-GB"/>
        </w:rPr>
        <w:t>’s</w:t>
      </w:r>
      <w:r w:rsidRPr="007D2AA2">
        <w:rPr>
          <w:lang w:val="en-GB"/>
        </w:rPr>
        <w:t xml:space="preserve"> Non-regulated Subsidiaries, Customers, Earnings</w:t>
      </w:r>
      <w:r>
        <w:rPr>
          <w:lang w:val="en-GB"/>
        </w:rPr>
        <w:t>,</w:t>
      </w:r>
      <w:r w:rsidRPr="007D2AA2">
        <w:rPr>
          <w:lang w:val="en-GB"/>
        </w:rPr>
        <w:t xml:space="preserve"> Assets</w:t>
      </w:r>
      <w:proofErr w:type="gramStart"/>
      <w:r>
        <w:rPr>
          <w:lang w:val="en-GB"/>
        </w:rPr>
        <w:t>,</w:t>
      </w:r>
      <w:r w:rsidRPr="007D2AA2">
        <w:rPr>
          <w:lang w:val="en-GB"/>
        </w:rPr>
        <w:t>(</w:t>
      </w:r>
      <w:proofErr w:type="gramEnd"/>
      <w:r>
        <w:rPr>
          <w:lang w:val="en-GB"/>
        </w:rPr>
        <w:t>as e</w:t>
      </w:r>
      <w:r w:rsidRPr="007D2AA2">
        <w:rPr>
          <w:lang w:val="en-GB"/>
        </w:rPr>
        <w:t xml:space="preserve">xpected with </w:t>
      </w:r>
      <w:r>
        <w:rPr>
          <w:lang w:val="en-GB"/>
        </w:rPr>
        <w:t xml:space="preserve">the </w:t>
      </w:r>
      <w:r w:rsidRPr="007D2AA2">
        <w:rPr>
          <w:lang w:val="en-GB"/>
        </w:rPr>
        <w:t>ITC acquisition)</w:t>
      </w:r>
    </w:p>
    <w:p w:rsidR="00CF71AC" w:rsidRPr="007D2AA2" w:rsidRDefault="00CF71AC" w:rsidP="0064450C">
      <w:pPr>
        <w:pStyle w:val="BodyTextMain"/>
        <w:rPr>
          <w:lang w:val="en-GB"/>
        </w:rPr>
      </w:pPr>
    </w:p>
    <w:tbl>
      <w:tblPr>
        <w:tblStyle w:val="TableGrid"/>
        <w:tblW w:w="9168" w:type="dxa"/>
        <w:jc w:val="center"/>
        <w:tblInd w:w="-393" w:type="dxa"/>
        <w:tblLook w:val="04A0" w:firstRow="1" w:lastRow="0" w:firstColumn="1" w:lastColumn="0" w:noHBand="0" w:noVBand="1"/>
      </w:tblPr>
      <w:tblGrid>
        <w:gridCol w:w="2368"/>
        <w:gridCol w:w="1699"/>
        <w:gridCol w:w="1703"/>
        <w:gridCol w:w="1699"/>
        <w:gridCol w:w="1699"/>
      </w:tblGrid>
      <w:tr w:rsidR="00CF71AC" w:rsidRPr="007D2AA2" w:rsidTr="00346242">
        <w:trPr>
          <w:trHeight w:val="20"/>
          <w:jc w:val="center"/>
        </w:trPr>
        <w:tc>
          <w:tcPr>
            <w:tcW w:w="2368" w:type="dxa"/>
          </w:tcPr>
          <w:p w:rsidR="00CF71AC" w:rsidRPr="007D2AA2" w:rsidRDefault="00CF71AC" w:rsidP="00346242">
            <w:pPr>
              <w:rPr>
                <w:rFonts w:ascii="Arial" w:hAnsi="Arial" w:cs="Arial"/>
                <w:b/>
                <w:lang w:val="en-GB"/>
              </w:rPr>
            </w:pPr>
          </w:p>
        </w:tc>
        <w:tc>
          <w:tcPr>
            <w:tcW w:w="1699" w:type="dxa"/>
          </w:tcPr>
          <w:p w:rsidR="00CF71AC" w:rsidRDefault="00CF71AC" w:rsidP="00346242">
            <w:pPr>
              <w:jc w:val="center"/>
              <w:rPr>
                <w:rFonts w:ascii="Arial" w:hAnsi="Arial" w:cs="Arial"/>
                <w:b/>
                <w:lang w:val="en-GB"/>
              </w:rPr>
            </w:pPr>
            <w:r w:rsidRPr="007D2AA2">
              <w:rPr>
                <w:rFonts w:ascii="Arial" w:hAnsi="Arial" w:cs="Arial"/>
                <w:b/>
                <w:lang w:val="en-GB"/>
              </w:rPr>
              <w:t xml:space="preserve">2015 Earnings </w:t>
            </w:r>
          </w:p>
          <w:p w:rsidR="00CF71AC" w:rsidRPr="007D2AA2" w:rsidRDefault="00CF71AC" w:rsidP="00346242">
            <w:pPr>
              <w:jc w:val="center"/>
              <w:rPr>
                <w:rFonts w:ascii="Arial" w:hAnsi="Arial" w:cs="Arial"/>
                <w:b/>
                <w:lang w:val="en-GB"/>
              </w:rPr>
            </w:pPr>
            <w:r w:rsidRPr="007D2AA2">
              <w:rPr>
                <w:rFonts w:ascii="Arial" w:hAnsi="Arial" w:cs="Arial"/>
                <w:b/>
                <w:lang w:val="en-GB"/>
              </w:rPr>
              <w:t>(</w:t>
            </w:r>
            <w:r>
              <w:rPr>
                <w:rFonts w:ascii="Arial" w:hAnsi="Arial" w:cs="Arial"/>
                <w:b/>
                <w:lang w:val="en-GB"/>
              </w:rPr>
              <w:t>CA</w:t>
            </w:r>
            <w:r w:rsidRPr="007D2AA2">
              <w:rPr>
                <w:rFonts w:ascii="Arial" w:hAnsi="Arial" w:cs="Arial"/>
                <w:b/>
                <w:lang w:val="en-GB"/>
              </w:rPr>
              <w:t>$ millions)</w:t>
            </w:r>
          </w:p>
        </w:tc>
        <w:tc>
          <w:tcPr>
            <w:tcW w:w="1703" w:type="dxa"/>
          </w:tcPr>
          <w:p w:rsidR="00CF71AC" w:rsidRDefault="00CF71AC" w:rsidP="00346242">
            <w:pPr>
              <w:jc w:val="center"/>
              <w:rPr>
                <w:rFonts w:ascii="Arial" w:hAnsi="Arial" w:cs="Arial"/>
                <w:b/>
                <w:lang w:val="en-GB"/>
              </w:rPr>
            </w:pPr>
            <w:r w:rsidRPr="007D2AA2">
              <w:rPr>
                <w:rFonts w:ascii="Arial" w:hAnsi="Arial" w:cs="Arial"/>
                <w:b/>
                <w:lang w:val="en-GB"/>
              </w:rPr>
              <w:t xml:space="preserve">2015 Assets </w:t>
            </w:r>
          </w:p>
          <w:p w:rsidR="00CF71AC" w:rsidRPr="007D2AA2" w:rsidRDefault="00CF71AC" w:rsidP="00346242">
            <w:pPr>
              <w:jc w:val="center"/>
              <w:rPr>
                <w:rFonts w:ascii="Arial" w:hAnsi="Arial" w:cs="Arial"/>
                <w:b/>
                <w:lang w:val="en-GB"/>
              </w:rPr>
            </w:pPr>
            <w:r w:rsidRPr="007D2AA2">
              <w:rPr>
                <w:rFonts w:ascii="Arial" w:hAnsi="Arial" w:cs="Arial"/>
                <w:b/>
                <w:lang w:val="en-GB"/>
              </w:rPr>
              <w:t>(</w:t>
            </w:r>
            <w:r>
              <w:rPr>
                <w:rFonts w:ascii="Arial" w:hAnsi="Arial" w:cs="Arial"/>
                <w:b/>
                <w:lang w:val="en-GB"/>
              </w:rPr>
              <w:t>CA</w:t>
            </w:r>
            <w:r w:rsidRPr="007D2AA2">
              <w:rPr>
                <w:rFonts w:ascii="Arial" w:hAnsi="Arial" w:cs="Arial"/>
                <w:b/>
                <w:lang w:val="en-GB"/>
              </w:rPr>
              <w:t>$ billions)</w:t>
            </w:r>
          </w:p>
        </w:tc>
        <w:tc>
          <w:tcPr>
            <w:tcW w:w="1699" w:type="dxa"/>
          </w:tcPr>
          <w:p w:rsidR="00CF71AC" w:rsidRDefault="00CF71AC" w:rsidP="00346242">
            <w:pPr>
              <w:jc w:val="center"/>
              <w:rPr>
                <w:rFonts w:ascii="Arial" w:hAnsi="Arial" w:cs="Arial"/>
                <w:b/>
                <w:lang w:val="en-GB"/>
              </w:rPr>
            </w:pPr>
            <w:r w:rsidRPr="007D2AA2">
              <w:rPr>
                <w:rFonts w:ascii="Arial" w:hAnsi="Arial" w:cs="Arial"/>
                <w:b/>
                <w:lang w:val="en-GB"/>
              </w:rPr>
              <w:t xml:space="preserve">2016 Earnings </w:t>
            </w:r>
          </w:p>
          <w:p w:rsidR="00CF71AC" w:rsidRPr="007D2AA2" w:rsidRDefault="00CF71AC" w:rsidP="00346242">
            <w:pPr>
              <w:jc w:val="center"/>
              <w:rPr>
                <w:rFonts w:ascii="Arial" w:hAnsi="Arial" w:cs="Arial"/>
                <w:b/>
                <w:lang w:val="en-GB"/>
              </w:rPr>
            </w:pPr>
            <w:r w:rsidRPr="007D2AA2">
              <w:rPr>
                <w:rFonts w:ascii="Arial" w:hAnsi="Arial" w:cs="Arial"/>
                <w:b/>
                <w:lang w:val="en-GB"/>
              </w:rPr>
              <w:t>(</w:t>
            </w:r>
            <w:r>
              <w:rPr>
                <w:rFonts w:ascii="Arial" w:hAnsi="Arial" w:cs="Arial"/>
                <w:b/>
                <w:lang w:val="en-GB"/>
              </w:rPr>
              <w:t>CA</w:t>
            </w:r>
            <w:r w:rsidRPr="007D2AA2">
              <w:rPr>
                <w:rFonts w:ascii="Arial" w:hAnsi="Arial" w:cs="Arial"/>
                <w:b/>
                <w:lang w:val="en-GB"/>
              </w:rPr>
              <w:t>$ millions)</w:t>
            </w:r>
          </w:p>
        </w:tc>
        <w:tc>
          <w:tcPr>
            <w:tcW w:w="1699" w:type="dxa"/>
          </w:tcPr>
          <w:p w:rsidR="00CF71AC" w:rsidRDefault="00CF71AC" w:rsidP="00346242">
            <w:pPr>
              <w:jc w:val="center"/>
              <w:rPr>
                <w:rFonts w:ascii="Arial" w:hAnsi="Arial" w:cs="Arial"/>
                <w:b/>
                <w:lang w:val="en-GB"/>
              </w:rPr>
            </w:pPr>
            <w:r w:rsidRPr="007D2AA2">
              <w:rPr>
                <w:rFonts w:ascii="Arial" w:hAnsi="Arial" w:cs="Arial"/>
                <w:b/>
                <w:lang w:val="en-GB"/>
              </w:rPr>
              <w:t xml:space="preserve">2016 Assets </w:t>
            </w:r>
          </w:p>
          <w:p w:rsidR="00CF71AC" w:rsidRPr="007D2AA2" w:rsidRDefault="00CF71AC" w:rsidP="00346242">
            <w:pPr>
              <w:jc w:val="center"/>
              <w:rPr>
                <w:rFonts w:ascii="Arial" w:hAnsi="Arial" w:cs="Arial"/>
                <w:lang w:val="en-GB"/>
              </w:rPr>
            </w:pPr>
            <w:r w:rsidRPr="007D2AA2">
              <w:rPr>
                <w:rFonts w:ascii="Arial" w:hAnsi="Arial" w:cs="Arial"/>
                <w:b/>
                <w:lang w:val="en-GB"/>
              </w:rPr>
              <w:t>(</w:t>
            </w:r>
            <w:r>
              <w:rPr>
                <w:rFonts w:ascii="Arial" w:hAnsi="Arial" w:cs="Arial"/>
                <w:b/>
                <w:lang w:val="en-GB"/>
              </w:rPr>
              <w:t>CA</w:t>
            </w:r>
            <w:r w:rsidRPr="007D2AA2">
              <w:rPr>
                <w:rFonts w:ascii="Arial" w:hAnsi="Arial" w:cs="Arial"/>
                <w:b/>
                <w:lang w:val="en-GB"/>
              </w:rPr>
              <w:t>$ billions)</w:t>
            </w:r>
          </w:p>
        </w:tc>
      </w:tr>
      <w:tr w:rsidR="00CF71AC" w:rsidRPr="007D2AA2" w:rsidTr="00346242">
        <w:trPr>
          <w:trHeight w:val="20"/>
          <w:jc w:val="center"/>
        </w:trPr>
        <w:tc>
          <w:tcPr>
            <w:tcW w:w="2368" w:type="dxa"/>
          </w:tcPr>
          <w:p w:rsidR="00CF71AC" w:rsidRPr="007D2AA2" w:rsidRDefault="00CF71AC" w:rsidP="00346242">
            <w:pPr>
              <w:rPr>
                <w:rFonts w:ascii="Arial" w:hAnsi="Arial" w:cs="Arial"/>
                <w:b/>
                <w:lang w:val="en-GB"/>
              </w:rPr>
            </w:pPr>
            <w:r w:rsidRPr="007D2AA2">
              <w:rPr>
                <w:rFonts w:ascii="Arial" w:hAnsi="Arial" w:cs="Arial"/>
                <w:b/>
                <w:lang w:val="en-GB"/>
              </w:rPr>
              <w:t>Non-Regulated Energy Infrastructure</w:t>
            </w:r>
          </w:p>
        </w:tc>
        <w:tc>
          <w:tcPr>
            <w:tcW w:w="1699" w:type="dxa"/>
            <w:vAlign w:val="center"/>
          </w:tcPr>
          <w:p w:rsidR="00CF71AC" w:rsidRPr="007D2AA2" w:rsidRDefault="00CF71AC" w:rsidP="00346242">
            <w:pPr>
              <w:jc w:val="center"/>
              <w:rPr>
                <w:rFonts w:ascii="Arial" w:hAnsi="Arial" w:cs="Arial"/>
                <w:lang w:val="en-GB"/>
              </w:rPr>
            </w:pPr>
            <w:r w:rsidRPr="007D2AA2">
              <w:rPr>
                <w:rFonts w:ascii="Arial" w:hAnsi="Arial" w:cs="Arial"/>
                <w:lang w:val="en-GB"/>
              </w:rPr>
              <w:t>77</w:t>
            </w:r>
          </w:p>
        </w:tc>
        <w:tc>
          <w:tcPr>
            <w:tcW w:w="1703" w:type="dxa"/>
            <w:vAlign w:val="center"/>
          </w:tcPr>
          <w:p w:rsidR="00CF71AC" w:rsidRPr="007D2AA2" w:rsidRDefault="00CF71AC" w:rsidP="00346242">
            <w:pPr>
              <w:jc w:val="center"/>
              <w:rPr>
                <w:rFonts w:ascii="Arial" w:hAnsi="Arial" w:cs="Arial"/>
                <w:lang w:val="en-GB"/>
              </w:rPr>
            </w:pPr>
            <w:r w:rsidRPr="007D2AA2">
              <w:rPr>
                <w:rFonts w:ascii="Arial" w:hAnsi="Arial" w:cs="Arial"/>
                <w:lang w:val="en-GB"/>
              </w:rPr>
              <w:t>1.0</w:t>
            </w:r>
          </w:p>
        </w:tc>
        <w:tc>
          <w:tcPr>
            <w:tcW w:w="1699" w:type="dxa"/>
            <w:vAlign w:val="center"/>
          </w:tcPr>
          <w:p w:rsidR="00CF71AC" w:rsidRPr="007D2AA2" w:rsidRDefault="00CF71AC" w:rsidP="00346242">
            <w:pPr>
              <w:jc w:val="center"/>
              <w:rPr>
                <w:rFonts w:ascii="Arial" w:hAnsi="Arial" w:cs="Arial"/>
                <w:lang w:val="en-GB"/>
              </w:rPr>
            </w:pPr>
            <w:r w:rsidRPr="007D2AA2">
              <w:rPr>
                <w:rFonts w:ascii="Arial" w:hAnsi="Arial" w:cs="Arial"/>
                <w:lang w:val="en-GB"/>
              </w:rPr>
              <w:t>60</w:t>
            </w:r>
          </w:p>
        </w:tc>
        <w:tc>
          <w:tcPr>
            <w:tcW w:w="1699" w:type="dxa"/>
            <w:vAlign w:val="center"/>
          </w:tcPr>
          <w:p w:rsidR="00CF71AC" w:rsidRPr="007D2AA2" w:rsidRDefault="00CF71AC" w:rsidP="00346242">
            <w:pPr>
              <w:jc w:val="center"/>
              <w:rPr>
                <w:rFonts w:ascii="Arial" w:hAnsi="Arial" w:cs="Arial"/>
                <w:lang w:val="en-GB"/>
              </w:rPr>
            </w:pPr>
            <w:r w:rsidRPr="007D2AA2">
              <w:rPr>
                <w:rFonts w:ascii="Arial" w:hAnsi="Arial" w:cs="Arial"/>
                <w:lang w:val="en-GB"/>
              </w:rPr>
              <w:t>1.5</w:t>
            </w:r>
          </w:p>
        </w:tc>
      </w:tr>
    </w:tbl>
    <w:p w:rsidR="00CF71AC" w:rsidRPr="0064450C" w:rsidRDefault="00CF71AC" w:rsidP="00DB7BBD">
      <w:pPr>
        <w:pStyle w:val="FootnoteText"/>
        <w:rPr>
          <w:lang w:val="en-GB"/>
        </w:rPr>
      </w:pPr>
    </w:p>
    <w:p w:rsidR="00CF71AC" w:rsidRPr="0064450C" w:rsidRDefault="00CF71AC" w:rsidP="00DB7BBD">
      <w:pPr>
        <w:pStyle w:val="FootnoteText"/>
        <w:rPr>
          <w:lang w:val="en-GB"/>
        </w:rPr>
      </w:pPr>
      <w:r w:rsidRPr="0064450C">
        <w:rPr>
          <w:lang w:val="en-GB"/>
        </w:rPr>
        <w:t>Source: Company documents.</w:t>
      </w:r>
    </w:p>
    <w:p w:rsidR="00CF71AC" w:rsidRPr="007D2AA2" w:rsidRDefault="00CF71AC" w:rsidP="0064450C">
      <w:pPr>
        <w:pStyle w:val="BodyTextMain"/>
        <w:rPr>
          <w:lang w:val="en-GB"/>
        </w:rPr>
      </w:pPr>
    </w:p>
    <w:p w:rsidR="00CF71AC" w:rsidRPr="007D2AA2" w:rsidRDefault="00CF71AC" w:rsidP="0064450C">
      <w:pPr>
        <w:pStyle w:val="BodyTextMain"/>
        <w:rPr>
          <w:lang w:val="en-GB"/>
        </w:rPr>
      </w:pPr>
    </w:p>
    <w:p w:rsidR="00CF71AC" w:rsidRDefault="00CF71AC" w:rsidP="00CF71AC">
      <w:pPr>
        <w:pStyle w:val="casehead10"/>
        <w:jc w:val="center"/>
        <w:rPr>
          <w:lang w:val="en-GB"/>
        </w:rPr>
      </w:pPr>
      <w:r w:rsidRPr="007D2AA2">
        <w:rPr>
          <w:rFonts w:cs="Arial"/>
          <w:lang w:val="en-GB"/>
        </w:rPr>
        <w:t xml:space="preserve">Exhibit 3: </w:t>
      </w:r>
      <w:r w:rsidRPr="007D2AA2">
        <w:rPr>
          <w:lang w:val="en-GB"/>
        </w:rPr>
        <w:t>Summary of Fortis Inc.’s Financial Results</w:t>
      </w:r>
      <w:r>
        <w:rPr>
          <w:rFonts w:cs="Arial"/>
          <w:lang w:val="en-GB"/>
        </w:rPr>
        <w:t xml:space="preserve">, </w:t>
      </w:r>
      <w:r w:rsidRPr="007D2AA2">
        <w:rPr>
          <w:lang w:val="en-GB"/>
        </w:rPr>
        <w:t>2012</w:t>
      </w:r>
      <w:r>
        <w:rPr>
          <w:lang w:val="en-GB"/>
        </w:rPr>
        <w:t>–</w:t>
      </w:r>
      <w:r w:rsidRPr="007D2AA2">
        <w:rPr>
          <w:lang w:val="en-GB"/>
        </w:rPr>
        <w:t>2016</w:t>
      </w:r>
    </w:p>
    <w:p w:rsidR="00CF71AC" w:rsidRPr="007D2AA2" w:rsidRDefault="00CF71AC" w:rsidP="00CF71AC">
      <w:pPr>
        <w:pStyle w:val="casehead10"/>
        <w:jc w:val="center"/>
        <w:rPr>
          <w:lang w:val="en-GB"/>
        </w:rPr>
      </w:pPr>
      <w:r w:rsidRPr="007D2AA2">
        <w:rPr>
          <w:lang w:val="en-GB"/>
        </w:rPr>
        <w:t>(For Years Ended December 31)</w:t>
      </w:r>
    </w:p>
    <w:p w:rsidR="00CF71AC" w:rsidRPr="007D2AA2" w:rsidRDefault="00CF71AC" w:rsidP="0064450C">
      <w:pPr>
        <w:pStyle w:val="Casehead1"/>
        <w:rPr>
          <w:lang w:val="en-GB"/>
        </w:rPr>
      </w:pPr>
    </w:p>
    <w:tbl>
      <w:tblPr>
        <w:tblStyle w:val="TableGrid"/>
        <w:tblW w:w="9200" w:type="dxa"/>
        <w:jc w:val="center"/>
        <w:tblInd w:w="-298" w:type="dxa"/>
        <w:tblLayout w:type="fixed"/>
        <w:tblLook w:val="04A0" w:firstRow="1" w:lastRow="0" w:firstColumn="1" w:lastColumn="0" w:noHBand="0" w:noVBand="1"/>
      </w:tblPr>
      <w:tblGrid>
        <w:gridCol w:w="4174"/>
        <w:gridCol w:w="864"/>
        <w:gridCol w:w="864"/>
        <w:gridCol w:w="864"/>
        <w:gridCol w:w="864"/>
        <w:gridCol w:w="1570"/>
      </w:tblGrid>
      <w:tr w:rsidR="00CF71AC" w:rsidRPr="007D2AA2" w:rsidTr="00961060">
        <w:trPr>
          <w:jc w:val="center"/>
        </w:trPr>
        <w:tc>
          <w:tcPr>
            <w:tcW w:w="4174" w:type="dxa"/>
          </w:tcPr>
          <w:p w:rsidR="00CF71AC" w:rsidRPr="007D2AA2" w:rsidRDefault="00CF71AC" w:rsidP="00346242">
            <w:pPr>
              <w:outlineLvl w:val="0"/>
              <w:rPr>
                <w:rFonts w:ascii="Arial" w:hAnsi="Arial" w:cs="Arial"/>
                <w:b/>
                <w:lang w:val="en-GB"/>
              </w:rPr>
            </w:pPr>
          </w:p>
        </w:tc>
        <w:tc>
          <w:tcPr>
            <w:tcW w:w="864" w:type="dxa"/>
            <w:vAlign w:val="center"/>
          </w:tcPr>
          <w:p w:rsidR="00CF71AC" w:rsidRPr="007D2AA2" w:rsidRDefault="00CF71AC" w:rsidP="00961060">
            <w:pPr>
              <w:jc w:val="center"/>
              <w:outlineLvl w:val="0"/>
              <w:rPr>
                <w:rFonts w:ascii="Arial" w:hAnsi="Arial" w:cs="Arial"/>
                <w:b/>
                <w:lang w:val="en-GB"/>
              </w:rPr>
            </w:pPr>
            <w:r w:rsidRPr="007D2AA2">
              <w:rPr>
                <w:rFonts w:ascii="Arial" w:hAnsi="Arial" w:cs="Arial"/>
                <w:b/>
                <w:lang w:val="en-GB"/>
              </w:rPr>
              <w:t>2012</w:t>
            </w:r>
          </w:p>
        </w:tc>
        <w:tc>
          <w:tcPr>
            <w:tcW w:w="864" w:type="dxa"/>
            <w:vAlign w:val="center"/>
          </w:tcPr>
          <w:p w:rsidR="00CF71AC" w:rsidRPr="007D2AA2" w:rsidRDefault="00CF71AC" w:rsidP="00961060">
            <w:pPr>
              <w:jc w:val="center"/>
              <w:outlineLvl w:val="0"/>
              <w:rPr>
                <w:rFonts w:ascii="Arial" w:hAnsi="Arial" w:cs="Arial"/>
                <w:b/>
                <w:lang w:val="en-GB"/>
              </w:rPr>
            </w:pPr>
            <w:r w:rsidRPr="007D2AA2">
              <w:rPr>
                <w:rFonts w:ascii="Arial" w:hAnsi="Arial" w:cs="Arial"/>
                <w:b/>
                <w:lang w:val="en-GB"/>
              </w:rPr>
              <w:t>2013</w:t>
            </w:r>
          </w:p>
        </w:tc>
        <w:tc>
          <w:tcPr>
            <w:tcW w:w="864" w:type="dxa"/>
            <w:vAlign w:val="center"/>
          </w:tcPr>
          <w:p w:rsidR="00CF71AC" w:rsidRPr="007D2AA2" w:rsidRDefault="00CF71AC" w:rsidP="00961060">
            <w:pPr>
              <w:jc w:val="center"/>
              <w:outlineLvl w:val="0"/>
              <w:rPr>
                <w:rFonts w:ascii="Arial" w:hAnsi="Arial" w:cs="Arial"/>
                <w:b/>
                <w:lang w:val="en-GB"/>
              </w:rPr>
            </w:pPr>
            <w:r w:rsidRPr="007D2AA2">
              <w:rPr>
                <w:rFonts w:ascii="Arial" w:hAnsi="Arial" w:cs="Arial"/>
                <w:b/>
                <w:lang w:val="en-GB"/>
              </w:rPr>
              <w:t>2014</w:t>
            </w:r>
          </w:p>
        </w:tc>
        <w:tc>
          <w:tcPr>
            <w:tcW w:w="864" w:type="dxa"/>
            <w:vAlign w:val="center"/>
          </w:tcPr>
          <w:p w:rsidR="00CF71AC" w:rsidRPr="007D2AA2" w:rsidRDefault="00CF71AC" w:rsidP="00961060">
            <w:pPr>
              <w:jc w:val="center"/>
              <w:outlineLvl w:val="0"/>
              <w:rPr>
                <w:rFonts w:ascii="Arial" w:hAnsi="Arial" w:cs="Arial"/>
                <w:b/>
                <w:lang w:val="en-GB"/>
              </w:rPr>
            </w:pPr>
            <w:r w:rsidRPr="007D2AA2">
              <w:rPr>
                <w:rFonts w:ascii="Arial" w:hAnsi="Arial" w:cs="Arial"/>
                <w:b/>
                <w:lang w:val="en-GB"/>
              </w:rPr>
              <w:t>2015</w:t>
            </w:r>
          </w:p>
        </w:tc>
        <w:tc>
          <w:tcPr>
            <w:tcW w:w="1570" w:type="dxa"/>
          </w:tcPr>
          <w:p w:rsidR="00CF71AC" w:rsidRPr="007D2AA2" w:rsidRDefault="00CF71AC" w:rsidP="00346242">
            <w:pPr>
              <w:jc w:val="center"/>
              <w:outlineLvl w:val="0"/>
              <w:rPr>
                <w:rFonts w:ascii="Arial" w:hAnsi="Arial" w:cs="Arial"/>
                <w:b/>
                <w:lang w:val="en-GB"/>
              </w:rPr>
            </w:pPr>
            <w:r w:rsidRPr="007D2AA2">
              <w:rPr>
                <w:rFonts w:ascii="Arial" w:hAnsi="Arial" w:cs="Arial"/>
                <w:b/>
                <w:lang w:val="en-GB"/>
              </w:rPr>
              <w:t>2016 (with ITC acquisition completing in October)</w:t>
            </w:r>
          </w:p>
        </w:tc>
      </w:tr>
      <w:tr w:rsidR="00CF71AC" w:rsidRPr="007D2AA2" w:rsidTr="00346242">
        <w:trPr>
          <w:trHeight w:val="144"/>
          <w:jc w:val="center"/>
        </w:trPr>
        <w:tc>
          <w:tcPr>
            <w:tcW w:w="4174" w:type="dxa"/>
          </w:tcPr>
          <w:p w:rsidR="00CF71AC" w:rsidRPr="007D2AA2" w:rsidRDefault="00CF71AC" w:rsidP="00346242">
            <w:pPr>
              <w:outlineLvl w:val="0"/>
              <w:rPr>
                <w:rFonts w:ascii="Arial" w:hAnsi="Arial" w:cs="Arial"/>
                <w:b/>
                <w:lang w:val="en-GB"/>
              </w:rPr>
            </w:pPr>
            <w:r w:rsidRPr="007D2AA2">
              <w:rPr>
                <w:rFonts w:ascii="Arial" w:hAnsi="Arial" w:cs="Arial"/>
                <w:b/>
                <w:lang w:val="en-GB"/>
              </w:rPr>
              <w:t>Total Assets (</w:t>
            </w:r>
            <w:r>
              <w:rPr>
                <w:rFonts w:ascii="Arial" w:hAnsi="Arial" w:cs="Arial"/>
                <w:b/>
                <w:lang w:val="en-GB"/>
              </w:rPr>
              <w:t>CA</w:t>
            </w:r>
            <w:r w:rsidRPr="007D2AA2">
              <w:rPr>
                <w:rFonts w:ascii="Arial" w:hAnsi="Arial" w:cs="Arial"/>
                <w:b/>
                <w:lang w:val="en-GB"/>
              </w:rPr>
              <w:t>$ billions)</w:t>
            </w:r>
          </w:p>
        </w:tc>
        <w:tc>
          <w:tcPr>
            <w:tcW w:w="864" w:type="dxa"/>
          </w:tcPr>
          <w:p w:rsidR="00CF71AC" w:rsidRPr="007D2AA2" w:rsidRDefault="00CF71AC" w:rsidP="00346242">
            <w:pPr>
              <w:tabs>
                <w:tab w:val="decimal" w:pos="549"/>
              </w:tabs>
              <w:jc w:val="right"/>
              <w:outlineLvl w:val="0"/>
              <w:rPr>
                <w:rFonts w:ascii="Arial" w:hAnsi="Arial" w:cs="Arial"/>
                <w:lang w:val="en-GB"/>
              </w:rPr>
            </w:pPr>
            <w:r w:rsidRPr="007D2AA2">
              <w:rPr>
                <w:rFonts w:ascii="Arial" w:hAnsi="Arial" w:cs="Arial"/>
                <w:lang w:val="en-GB"/>
              </w:rPr>
              <w:t>15.0</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17.9</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26.2</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28.8</w:t>
            </w:r>
          </w:p>
        </w:tc>
        <w:tc>
          <w:tcPr>
            <w:tcW w:w="1570" w:type="dxa"/>
          </w:tcPr>
          <w:p w:rsidR="00CF71AC" w:rsidRPr="007D2AA2" w:rsidRDefault="00CF71AC" w:rsidP="00346242">
            <w:pPr>
              <w:tabs>
                <w:tab w:val="decimal" w:pos="736"/>
              </w:tabs>
              <w:jc w:val="right"/>
              <w:outlineLvl w:val="0"/>
              <w:rPr>
                <w:rFonts w:ascii="Arial" w:hAnsi="Arial" w:cs="Arial"/>
                <w:lang w:val="en-GB"/>
              </w:rPr>
            </w:pPr>
            <w:r w:rsidRPr="007D2AA2">
              <w:rPr>
                <w:rFonts w:ascii="Arial" w:hAnsi="Arial" w:cs="Arial"/>
                <w:lang w:val="en-GB"/>
              </w:rPr>
              <w:t>47.9</w:t>
            </w:r>
          </w:p>
        </w:tc>
      </w:tr>
      <w:tr w:rsidR="00CF71AC" w:rsidRPr="007D2AA2" w:rsidTr="00346242">
        <w:trPr>
          <w:jc w:val="center"/>
        </w:trPr>
        <w:tc>
          <w:tcPr>
            <w:tcW w:w="4174" w:type="dxa"/>
          </w:tcPr>
          <w:p w:rsidR="00CF71AC" w:rsidRPr="007D2AA2" w:rsidRDefault="00CF71AC" w:rsidP="00346242">
            <w:pPr>
              <w:outlineLvl w:val="0"/>
              <w:rPr>
                <w:rFonts w:ascii="Arial" w:hAnsi="Arial" w:cs="Arial"/>
                <w:b/>
                <w:lang w:val="en-GB"/>
              </w:rPr>
            </w:pPr>
            <w:r w:rsidRPr="007D2AA2">
              <w:rPr>
                <w:rFonts w:ascii="Arial" w:hAnsi="Arial" w:cs="Arial"/>
                <w:b/>
                <w:lang w:val="en-GB"/>
              </w:rPr>
              <w:t>Total Revenue (</w:t>
            </w:r>
            <w:r>
              <w:rPr>
                <w:rFonts w:ascii="Arial" w:hAnsi="Arial" w:cs="Arial"/>
                <w:b/>
                <w:lang w:val="en-GB"/>
              </w:rPr>
              <w:t>CA</w:t>
            </w:r>
            <w:r w:rsidRPr="007D2AA2">
              <w:rPr>
                <w:rFonts w:ascii="Arial" w:hAnsi="Arial" w:cs="Arial"/>
                <w:b/>
                <w:lang w:val="en-GB"/>
              </w:rPr>
              <w:t>$ millions)</w:t>
            </w:r>
          </w:p>
        </w:tc>
        <w:tc>
          <w:tcPr>
            <w:tcW w:w="864" w:type="dxa"/>
          </w:tcPr>
          <w:p w:rsidR="00CF71AC" w:rsidRPr="007D2AA2" w:rsidRDefault="00CF71AC" w:rsidP="00346242">
            <w:pPr>
              <w:tabs>
                <w:tab w:val="decimal" w:pos="549"/>
              </w:tabs>
              <w:jc w:val="right"/>
              <w:outlineLvl w:val="0"/>
              <w:rPr>
                <w:rFonts w:ascii="Arial" w:hAnsi="Arial" w:cs="Arial"/>
                <w:lang w:val="en-GB"/>
              </w:rPr>
            </w:pPr>
            <w:r w:rsidRPr="007D2AA2">
              <w:rPr>
                <w:rFonts w:ascii="Arial" w:hAnsi="Arial" w:cs="Arial"/>
                <w:lang w:val="en-GB"/>
              </w:rPr>
              <w:t>3,654</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4,047</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5,401</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6,727</w:t>
            </w:r>
          </w:p>
        </w:tc>
        <w:tc>
          <w:tcPr>
            <w:tcW w:w="1570" w:type="dxa"/>
          </w:tcPr>
          <w:p w:rsidR="00CF71AC" w:rsidRPr="007D2AA2" w:rsidRDefault="00CF71AC" w:rsidP="00346242">
            <w:pPr>
              <w:tabs>
                <w:tab w:val="decimal" w:pos="736"/>
              </w:tabs>
              <w:jc w:val="right"/>
              <w:outlineLvl w:val="0"/>
              <w:rPr>
                <w:rFonts w:ascii="Arial" w:hAnsi="Arial" w:cs="Arial"/>
                <w:lang w:val="en-GB"/>
              </w:rPr>
            </w:pPr>
            <w:r w:rsidRPr="007D2AA2">
              <w:rPr>
                <w:rFonts w:ascii="Arial" w:hAnsi="Arial" w:cs="Arial"/>
                <w:lang w:val="en-GB"/>
              </w:rPr>
              <w:t>6,838</w:t>
            </w:r>
          </w:p>
        </w:tc>
      </w:tr>
      <w:tr w:rsidR="00CF71AC" w:rsidRPr="007D2AA2" w:rsidTr="00346242">
        <w:trPr>
          <w:jc w:val="center"/>
        </w:trPr>
        <w:tc>
          <w:tcPr>
            <w:tcW w:w="4174" w:type="dxa"/>
          </w:tcPr>
          <w:p w:rsidR="00CF71AC" w:rsidRPr="007D2AA2" w:rsidRDefault="00CF71AC" w:rsidP="00346242">
            <w:pPr>
              <w:outlineLvl w:val="0"/>
              <w:rPr>
                <w:rFonts w:ascii="Arial" w:hAnsi="Arial" w:cs="Arial"/>
                <w:b/>
                <w:lang w:val="en-GB"/>
              </w:rPr>
            </w:pPr>
            <w:r w:rsidRPr="007D2AA2">
              <w:rPr>
                <w:rFonts w:ascii="Arial" w:hAnsi="Arial" w:cs="Arial"/>
                <w:b/>
                <w:lang w:val="en-GB"/>
              </w:rPr>
              <w:t>Net Earnings (</w:t>
            </w:r>
            <w:r>
              <w:rPr>
                <w:rFonts w:ascii="Arial" w:hAnsi="Arial" w:cs="Arial"/>
                <w:b/>
                <w:lang w:val="en-GB"/>
              </w:rPr>
              <w:t>CA</w:t>
            </w:r>
            <w:r w:rsidRPr="007D2AA2">
              <w:rPr>
                <w:rFonts w:ascii="Arial" w:hAnsi="Arial" w:cs="Arial"/>
                <w:b/>
                <w:lang w:val="en-GB"/>
              </w:rPr>
              <w:t>$ millions)</w:t>
            </w:r>
          </w:p>
        </w:tc>
        <w:tc>
          <w:tcPr>
            <w:tcW w:w="864" w:type="dxa"/>
          </w:tcPr>
          <w:p w:rsidR="00CF71AC" w:rsidRPr="007D2AA2" w:rsidRDefault="00CF71AC" w:rsidP="00346242">
            <w:pPr>
              <w:tabs>
                <w:tab w:val="decimal" w:pos="549"/>
              </w:tabs>
              <w:jc w:val="right"/>
              <w:outlineLvl w:val="0"/>
              <w:rPr>
                <w:rFonts w:ascii="Arial" w:hAnsi="Arial" w:cs="Arial"/>
                <w:lang w:val="en-GB"/>
              </w:rPr>
            </w:pPr>
            <w:r w:rsidRPr="007D2AA2">
              <w:rPr>
                <w:rFonts w:ascii="Arial" w:hAnsi="Arial" w:cs="Arial"/>
                <w:lang w:val="en-GB"/>
              </w:rPr>
              <w:t>371</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420</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390</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840</w:t>
            </w:r>
          </w:p>
        </w:tc>
        <w:tc>
          <w:tcPr>
            <w:tcW w:w="1570" w:type="dxa"/>
          </w:tcPr>
          <w:p w:rsidR="00CF71AC" w:rsidRPr="007D2AA2" w:rsidRDefault="00CF71AC" w:rsidP="00346242">
            <w:pPr>
              <w:tabs>
                <w:tab w:val="decimal" w:pos="736"/>
              </w:tabs>
              <w:jc w:val="right"/>
              <w:outlineLvl w:val="0"/>
              <w:rPr>
                <w:rFonts w:ascii="Arial" w:hAnsi="Arial" w:cs="Arial"/>
                <w:lang w:val="en-GB"/>
              </w:rPr>
            </w:pPr>
            <w:r w:rsidRPr="007D2AA2">
              <w:rPr>
                <w:rFonts w:ascii="Arial" w:hAnsi="Arial" w:cs="Arial"/>
                <w:lang w:val="en-GB"/>
              </w:rPr>
              <w:t>713</w:t>
            </w:r>
          </w:p>
        </w:tc>
      </w:tr>
      <w:tr w:rsidR="00CF71AC" w:rsidRPr="007D2AA2" w:rsidTr="00346242">
        <w:trPr>
          <w:jc w:val="center"/>
        </w:trPr>
        <w:tc>
          <w:tcPr>
            <w:tcW w:w="4174" w:type="dxa"/>
          </w:tcPr>
          <w:p w:rsidR="00CF71AC" w:rsidRPr="007D2AA2" w:rsidRDefault="00CF71AC" w:rsidP="00346242">
            <w:pPr>
              <w:outlineLvl w:val="0"/>
              <w:rPr>
                <w:rFonts w:ascii="Arial" w:hAnsi="Arial" w:cs="Arial"/>
                <w:b/>
                <w:lang w:val="en-GB"/>
              </w:rPr>
            </w:pPr>
            <w:r w:rsidRPr="007D2AA2">
              <w:rPr>
                <w:rFonts w:ascii="Arial" w:hAnsi="Arial" w:cs="Arial"/>
                <w:b/>
                <w:lang w:val="en-GB"/>
              </w:rPr>
              <w:t>Basic Earnings per Common Share (</w:t>
            </w:r>
            <w:r>
              <w:rPr>
                <w:rFonts w:ascii="Arial" w:hAnsi="Arial" w:cs="Arial"/>
                <w:b/>
                <w:lang w:val="en-GB"/>
              </w:rPr>
              <w:t>CA</w:t>
            </w:r>
            <w:r w:rsidRPr="007D2AA2">
              <w:rPr>
                <w:rFonts w:ascii="Arial" w:hAnsi="Arial" w:cs="Arial"/>
                <w:b/>
                <w:lang w:val="en-GB"/>
              </w:rPr>
              <w:t>$)</w:t>
            </w:r>
          </w:p>
        </w:tc>
        <w:tc>
          <w:tcPr>
            <w:tcW w:w="864" w:type="dxa"/>
          </w:tcPr>
          <w:p w:rsidR="00CF71AC" w:rsidRPr="007D2AA2" w:rsidRDefault="00CF71AC" w:rsidP="00346242">
            <w:pPr>
              <w:tabs>
                <w:tab w:val="decimal" w:pos="549"/>
              </w:tabs>
              <w:jc w:val="right"/>
              <w:outlineLvl w:val="0"/>
              <w:rPr>
                <w:rFonts w:ascii="Arial" w:hAnsi="Arial" w:cs="Arial"/>
                <w:lang w:val="en-GB"/>
              </w:rPr>
            </w:pPr>
            <w:r w:rsidRPr="007D2AA2">
              <w:rPr>
                <w:rFonts w:ascii="Arial" w:hAnsi="Arial" w:cs="Arial"/>
                <w:lang w:val="en-GB"/>
              </w:rPr>
              <w:t>1.66</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1.74</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1.41</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2.61</w:t>
            </w:r>
          </w:p>
        </w:tc>
        <w:tc>
          <w:tcPr>
            <w:tcW w:w="1570" w:type="dxa"/>
          </w:tcPr>
          <w:p w:rsidR="00CF71AC" w:rsidRPr="007D2AA2" w:rsidRDefault="00CF71AC" w:rsidP="00346242">
            <w:pPr>
              <w:tabs>
                <w:tab w:val="decimal" w:pos="736"/>
              </w:tabs>
              <w:jc w:val="right"/>
              <w:outlineLvl w:val="0"/>
              <w:rPr>
                <w:rFonts w:ascii="Arial" w:hAnsi="Arial" w:cs="Arial"/>
                <w:lang w:val="en-GB"/>
              </w:rPr>
            </w:pPr>
            <w:r w:rsidRPr="007D2AA2">
              <w:rPr>
                <w:rFonts w:ascii="Arial" w:hAnsi="Arial" w:cs="Arial"/>
                <w:lang w:val="en-GB"/>
              </w:rPr>
              <w:t>1.89</w:t>
            </w:r>
          </w:p>
        </w:tc>
      </w:tr>
      <w:tr w:rsidR="00CF71AC" w:rsidRPr="007D2AA2" w:rsidTr="00346242">
        <w:trPr>
          <w:jc w:val="center"/>
        </w:trPr>
        <w:tc>
          <w:tcPr>
            <w:tcW w:w="4174" w:type="dxa"/>
          </w:tcPr>
          <w:p w:rsidR="00CF71AC" w:rsidRPr="007D2AA2" w:rsidRDefault="00CF71AC" w:rsidP="00346242">
            <w:pPr>
              <w:outlineLvl w:val="0"/>
              <w:rPr>
                <w:rFonts w:ascii="Arial" w:hAnsi="Arial" w:cs="Arial"/>
                <w:b/>
                <w:lang w:val="en-GB"/>
              </w:rPr>
            </w:pPr>
            <w:r w:rsidRPr="007D2AA2">
              <w:rPr>
                <w:rFonts w:ascii="Arial" w:hAnsi="Arial" w:cs="Arial"/>
                <w:b/>
                <w:lang w:val="en-GB"/>
              </w:rPr>
              <w:t>Dividend per Common Share (</w:t>
            </w:r>
            <w:r>
              <w:rPr>
                <w:rFonts w:ascii="Arial" w:hAnsi="Arial" w:cs="Arial"/>
                <w:b/>
                <w:lang w:val="en-GB"/>
              </w:rPr>
              <w:t>CA</w:t>
            </w:r>
            <w:r w:rsidRPr="007D2AA2">
              <w:rPr>
                <w:rFonts w:ascii="Arial" w:hAnsi="Arial" w:cs="Arial"/>
                <w:b/>
                <w:lang w:val="en-GB"/>
              </w:rPr>
              <w:t>$)</w:t>
            </w:r>
          </w:p>
        </w:tc>
        <w:tc>
          <w:tcPr>
            <w:tcW w:w="864" w:type="dxa"/>
          </w:tcPr>
          <w:p w:rsidR="00CF71AC" w:rsidRPr="007D2AA2" w:rsidRDefault="00CF71AC" w:rsidP="00346242">
            <w:pPr>
              <w:tabs>
                <w:tab w:val="decimal" w:pos="549"/>
              </w:tabs>
              <w:jc w:val="right"/>
              <w:outlineLvl w:val="0"/>
              <w:rPr>
                <w:rFonts w:ascii="Arial" w:hAnsi="Arial" w:cs="Arial"/>
                <w:lang w:val="en-GB"/>
              </w:rPr>
            </w:pPr>
            <w:r w:rsidRPr="007D2AA2">
              <w:rPr>
                <w:rFonts w:ascii="Arial" w:hAnsi="Arial" w:cs="Arial"/>
                <w:lang w:val="en-GB"/>
              </w:rPr>
              <w:t>1.20</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1.24</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1.28</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1.40</w:t>
            </w:r>
          </w:p>
        </w:tc>
        <w:tc>
          <w:tcPr>
            <w:tcW w:w="1570" w:type="dxa"/>
          </w:tcPr>
          <w:p w:rsidR="00CF71AC" w:rsidRPr="007D2AA2" w:rsidRDefault="00CF71AC" w:rsidP="00346242">
            <w:pPr>
              <w:tabs>
                <w:tab w:val="decimal" w:pos="736"/>
              </w:tabs>
              <w:jc w:val="right"/>
              <w:outlineLvl w:val="0"/>
              <w:rPr>
                <w:rFonts w:ascii="Arial" w:hAnsi="Arial" w:cs="Arial"/>
                <w:lang w:val="en-GB"/>
              </w:rPr>
            </w:pPr>
            <w:r w:rsidRPr="007D2AA2">
              <w:rPr>
                <w:rFonts w:ascii="Arial" w:hAnsi="Arial" w:cs="Arial"/>
                <w:lang w:val="en-GB"/>
              </w:rPr>
              <w:t>1.53</w:t>
            </w:r>
          </w:p>
        </w:tc>
      </w:tr>
      <w:tr w:rsidR="00CF71AC" w:rsidRPr="007D2AA2" w:rsidTr="00346242">
        <w:trPr>
          <w:trHeight w:val="79"/>
          <w:jc w:val="center"/>
        </w:trPr>
        <w:tc>
          <w:tcPr>
            <w:tcW w:w="4174" w:type="dxa"/>
          </w:tcPr>
          <w:p w:rsidR="00CF71AC" w:rsidRPr="007D2AA2" w:rsidRDefault="00CF71AC" w:rsidP="00346242">
            <w:pPr>
              <w:outlineLvl w:val="0"/>
              <w:rPr>
                <w:rFonts w:ascii="Arial" w:hAnsi="Arial" w:cs="Arial"/>
                <w:b/>
                <w:lang w:val="en-GB"/>
              </w:rPr>
            </w:pPr>
            <w:r w:rsidRPr="007D2AA2">
              <w:rPr>
                <w:rFonts w:ascii="Arial" w:hAnsi="Arial" w:cs="Arial"/>
                <w:b/>
                <w:lang w:val="en-GB"/>
              </w:rPr>
              <w:t xml:space="preserve">Dividend </w:t>
            </w:r>
            <w:proofErr w:type="spellStart"/>
            <w:r w:rsidRPr="007D2AA2">
              <w:rPr>
                <w:rFonts w:ascii="Arial" w:hAnsi="Arial" w:cs="Arial"/>
                <w:b/>
                <w:lang w:val="en-GB"/>
              </w:rPr>
              <w:t>Payout</w:t>
            </w:r>
            <w:proofErr w:type="spellEnd"/>
            <w:r w:rsidRPr="007D2AA2">
              <w:rPr>
                <w:rFonts w:ascii="Arial" w:hAnsi="Arial" w:cs="Arial"/>
                <w:b/>
                <w:lang w:val="en-GB"/>
              </w:rPr>
              <w:t xml:space="preserve"> Ratio (%)</w:t>
            </w:r>
          </w:p>
        </w:tc>
        <w:tc>
          <w:tcPr>
            <w:tcW w:w="864" w:type="dxa"/>
          </w:tcPr>
          <w:p w:rsidR="00CF71AC" w:rsidRPr="007D2AA2" w:rsidRDefault="00CF71AC" w:rsidP="00346242">
            <w:pPr>
              <w:tabs>
                <w:tab w:val="decimal" w:pos="549"/>
              </w:tabs>
              <w:jc w:val="right"/>
              <w:outlineLvl w:val="0"/>
              <w:rPr>
                <w:rFonts w:ascii="Arial" w:hAnsi="Arial" w:cs="Arial"/>
                <w:lang w:val="en-GB"/>
              </w:rPr>
            </w:pPr>
            <w:r w:rsidRPr="007D2AA2">
              <w:rPr>
                <w:rFonts w:ascii="Arial" w:hAnsi="Arial" w:cs="Arial"/>
                <w:lang w:val="en-GB"/>
              </w:rPr>
              <w:t>72.3</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71.3</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90.8</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53.6</w:t>
            </w:r>
          </w:p>
        </w:tc>
        <w:tc>
          <w:tcPr>
            <w:tcW w:w="1570" w:type="dxa"/>
          </w:tcPr>
          <w:p w:rsidR="00CF71AC" w:rsidRPr="007D2AA2" w:rsidRDefault="00CF71AC" w:rsidP="00346242">
            <w:pPr>
              <w:tabs>
                <w:tab w:val="decimal" w:pos="736"/>
              </w:tabs>
              <w:jc w:val="right"/>
              <w:outlineLvl w:val="0"/>
              <w:rPr>
                <w:rFonts w:ascii="Arial" w:hAnsi="Arial" w:cs="Arial"/>
                <w:lang w:val="en-GB"/>
              </w:rPr>
            </w:pPr>
            <w:r w:rsidRPr="007D2AA2">
              <w:rPr>
                <w:rFonts w:ascii="Arial" w:hAnsi="Arial" w:cs="Arial"/>
                <w:lang w:val="en-GB"/>
              </w:rPr>
              <w:t>81.0</w:t>
            </w:r>
          </w:p>
        </w:tc>
      </w:tr>
      <w:tr w:rsidR="00CF71AC" w:rsidRPr="007D2AA2" w:rsidTr="00346242">
        <w:trPr>
          <w:jc w:val="center"/>
        </w:trPr>
        <w:tc>
          <w:tcPr>
            <w:tcW w:w="4174" w:type="dxa"/>
          </w:tcPr>
          <w:p w:rsidR="00CF71AC" w:rsidRPr="007D2AA2" w:rsidRDefault="00CF71AC" w:rsidP="007B7648">
            <w:pPr>
              <w:outlineLvl w:val="0"/>
              <w:rPr>
                <w:rFonts w:ascii="Arial" w:hAnsi="Arial" w:cs="Arial"/>
                <w:b/>
                <w:lang w:val="en-GB"/>
              </w:rPr>
            </w:pPr>
            <w:r w:rsidRPr="007D2AA2">
              <w:rPr>
                <w:rFonts w:ascii="Arial" w:hAnsi="Arial" w:cs="Arial"/>
                <w:b/>
                <w:lang w:val="en-GB"/>
              </w:rPr>
              <w:t>Long-Term Debt Offerings (</w:t>
            </w:r>
            <w:r>
              <w:rPr>
                <w:rFonts w:ascii="Arial" w:hAnsi="Arial" w:cs="Arial"/>
                <w:b/>
                <w:lang w:val="en-GB"/>
              </w:rPr>
              <w:t>CA</w:t>
            </w:r>
            <w:r w:rsidRPr="007D2AA2">
              <w:rPr>
                <w:rFonts w:ascii="Arial" w:hAnsi="Arial" w:cs="Arial"/>
                <w:b/>
                <w:lang w:val="en-GB"/>
              </w:rPr>
              <w:t>$ millions)</w:t>
            </w:r>
          </w:p>
        </w:tc>
        <w:tc>
          <w:tcPr>
            <w:tcW w:w="864" w:type="dxa"/>
          </w:tcPr>
          <w:p w:rsidR="00CF71AC" w:rsidRPr="007D2AA2" w:rsidRDefault="00CF71AC" w:rsidP="00346242">
            <w:pPr>
              <w:tabs>
                <w:tab w:val="decimal" w:pos="549"/>
              </w:tabs>
              <w:jc w:val="right"/>
              <w:outlineLvl w:val="0"/>
              <w:rPr>
                <w:rFonts w:ascii="Arial" w:hAnsi="Arial" w:cs="Arial"/>
                <w:lang w:val="en-GB"/>
              </w:rPr>
            </w:pPr>
            <w:r w:rsidRPr="007D2AA2">
              <w:rPr>
                <w:rFonts w:ascii="Arial" w:hAnsi="Arial" w:cs="Arial"/>
                <w:lang w:val="en-GB"/>
              </w:rPr>
              <w:t>125</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657</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1,200</w:t>
            </w:r>
          </w:p>
        </w:tc>
        <w:tc>
          <w:tcPr>
            <w:tcW w:w="864" w:type="dxa"/>
          </w:tcPr>
          <w:p w:rsidR="00CF71AC" w:rsidRPr="007D2AA2" w:rsidRDefault="00CF71AC" w:rsidP="00346242">
            <w:pPr>
              <w:tabs>
                <w:tab w:val="decimal" w:pos="459"/>
              </w:tabs>
              <w:jc w:val="right"/>
              <w:outlineLvl w:val="0"/>
              <w:rPr>
                <w:rFonts w:ascii="Arial" w:hAnsi="Arial" w:cs="Arial"/>
                <w:lang w:val="en-GB"/>
              </w:rPr>
            </w:pPr>
            <w:r w:rsidRPr="007D2AA2">
              <w:rPr>
                <w:rFonts w:ascii="Arial" w:hAnsi="Arial" w:cs="Arial"/>
                <w:lang w:val="en-GB"/>
              </w:rPr>
              <w:t>1,000</w:t>
            </w:r>
          </w:p>
        </w:tc>
        <w:tc>
          <w:tcPr>
            <w:tcW w:w="1570" w:type="dxa"/>
          </w:tcPr>
          <w:p w:rsidR="00CF71AC" w:rsidRPr="007D2AA2" w:rsidRDefault="00CF71AC" w:rsidP="00346242">
            <w:pPr>
              <w:tabs>
                <w:tab w:val="decimal" w:pos="736"/>
              </w:tabs>
              <w:jc w:val="right"/>
              <w:outlineLvl w:val="0"/>
              <w:rPr>
                <w:rFonts w:ascii="Arial" w:hAnsi="Arial" w:cs="Arial"/>
                <w:lang w:val="en-GB"/>
              </w:rPr>
            </w:pPr>
            <w:r w:rsidRPr="007D2AA2">
              <w:rPr>
                <w:rFonts w:ascii="Arial" w:hAnsi="Arial" w:cs="Arial"/>
                <w:lang w:val="en-GB"/>
              </w:rPr>
              <w:t>4,100</w:t>
            </w:r>
          </w:p>
        </w:tc>
      </w:tr>
    </w:tbl>
    <w:p w:rsidR="00CF71AC" w:rsidRPr="0064450C" w:rsidRDefault="00CF71AC" w:rsidP="00DB7BBD">
      <w:pPr>
        <w:pStyle w:val="FootnoteText"/>
        <w:rPr>
          <w:lang w:val="en-GB"/>
        </w:rPr>
      </w:pPr>
    </w:p>
    <w:p w:rsidR="00CF71AC" w:rsidRPr="0064450C" w:rsidRDefault="00CF71AC" w:rsidP="00DB7BBD">
      <w:pPr>
        <w:pStyle w:val="FootnoteText"/>
        <w:rPr>
          <w:lang w:val="en-GB"/>
        </w:rPr>
      </w:pPr>
      <w:r w:rsidRPr="0064450C">
        <w:rPr>
          <w:lang w:val="en-GB"/>
        </w:rPr>
        <w:t xml:space="preserve">Source: Company documents. </w:t>
      </w:r>
    </w:p>
    <w:p w:rsidR="00CF71AC" w:rsidRPr="007D2AA2" w:rsidRDefault="00CF71AC" w:rsidP="0064450C">
      <w:pPr>
        <w:pStyle w:val="BodyTextMain"/>
        <w:rPr>
          <w:lang w:val="en-GB"/>
        </w:rPr>
      </w:pPr>
    </w:p>
    <w:p w:rsidR="00CF71AC" w:rsidRPr="007D2AA2" w:rsidRDefault="00CF71AC" w:rsidP="0064450C">
      <w:pPr>
        <w:pStyle w:val="BodyTextMain"/>
        <w:rPr>
          <w:lang w:val="en-GB"/>
        </w:rPr>
      </w:pPr>
    </w:p>
    <w:p w:rsidR="00CF71AC" w:rsidRPr="007D2AA2" w:rsidRDefault="00CF71AC" w:rsidP="00CF71AC">
      <w:pPr>
        <w:pStyle w:val="casehead10"/>
        <w:jc w:val="center"/>
        <w:rPr>
          <w:lang w:val="en-GB"/>
        </w:rPr>
      </w:pPr>
      <w:r w:rsidRPr="007D2AA2">
        <w:rPr>
          <w:lang w:val="en-GB"/>
        </w:rPr>
        <w:t xml:space="preserve">Exhibit 4: </w:t>
      </w:r>
      <w:r>
        <w:rPr>
          <w:lang w:val="en-GB"/>
        </w:rPr>
        <w:t xml:space="preserve">Fortis’s </w:t>
      </w:r>
      <w:r w:rsidRPr="007D2AA2">
        <w:rPr>
          <w:lang w:val="en-GB"/>
        </w:rPr>
        <w:t>Consolidated Income Statement and Balance Sheet</w:t>
      </w:r>
    </w:p>
    <w:p w:rsidR="00CF71AC" w:rsidRPr="007D2AA2" w:rsidRDefault="00CF71AC" w:rsidP="0064450C">
      <w:pPr>
        <w:pStyle w:val="BodyTextMain"/>
        <w:rPr>
          <w:lang w:val="en-GB"/>
        </w:rPr>
      </w:pPr>
    </w:p>
    <w:p w:rsidR="00CF71AC" w:rsidRPr="007D2AA2" w:rsidRDefault="00CF71AC" w:rsidP="00CF71AC">
      <w:pPr>
        <w:jc w:val="center"/>
        <w:outlineLvl w:val="0"/>
        <w:rPr>
          <w:rFonts w:ascii="Arial" w:hAnsi="Arial" w:cs="Arial"/>
          <w:b/>
          <w:lang w:val="en-GB"/>
        </w:rPr>
      </w:pPr>
      <w:r w:rsidRPr="007D2AA2">
        <w:rPr>
          <w:rFonts w:ascii="Arial" w:hAnsi="Arial" w:cs="Arial"/>
          <w:b/>
          <w:lang w:val="en-GB"/>
        </w:rPr>
        <w:t xml:space="preserve">Consolidated Results of Operations (Year Ending December 31, </w:t>
      </w:r>
      <w:r>
        <w:rPr>
          <w:rFonts w:ascii="Arial" w:hAnsi="Arial" w:cs="Arial"/>
          <w:b/>
          <w:lang w:val="en-GB"/>
        </w:rPr>
        <w:t>CA</w:t>
      </w:r>
      <w:r w:rsidRPr="007D2AA2">
        <w:rPr>
          <w:rFonts w:ascii="Arial" w:hAnsi="Arial" w:cs="Arial"/>
          <w:b/>
          <w:lang w:val="en-GB"/>
        </w:rPr>
        <w:t xml:space="preserve">$ </w:t>
      </w:r>
      <w:r w:rsidR="00B43EEE">
        <w:rPr>
          <w:rFonts w:ascii="Arial" w:hAnsi="Arial" w:cs="Arial"/>
          <w:b/>
          <w:lang w:val="en-GB"/>
        </w:rPr>
        <w:t>M</w:t>
      </w:r>
      <w:r w:rsidRPr="007D2AA2">
        <w:rPr>
          <w:rFonts w:ascii="Arial" w:hAnsi="Arial" w:cs="Arial"/>
          <w:b/>
          <w:lang w:val="en-GB"/>
        </w:rPr>
        <w:t>illions)</w:t>
      </w:r>
    </w:p>
    <w:p w:rsidR="00CF71AC" w:rsidRPr="007D2AA2" w:rsidRDefault="00CF71AC" w:rsidP="0064450C">
      <w:pPr>
        <w:pStyle w:val="BodyTextMain"/>
        <w:rPr>
          <w:lang w:val="en-GB"/>
        </w:rPr>
      </w:pPr>
    </w:p>
    <w:tbl>
      <w:tblPr>
        <w:tblStyle w:val="TableGrid"/>
        <w:tblW w:w="0" w:type="auto"/>
        <w:jc w:val="center"/>
        <w:tblLook w:val="04A0" w:firstRow="1" w:lastRow="0" w:firstColumn="1" w:lastColumn="0" w:noHBand="0" w:noVBand="1"/>
      </w:tblPr>
      <w:tblGrid>
        <w:gridCol w:w="3145"/>
        <w:gridCol w:w="1800"/>
        <w:gridCol w:w="4045"/>
      </w:tblGrid>
      <w:tr w:rsidR="00CF71AC" w:rsidRPr="007D2AA2" w:rsidTr="00346242">
        <w:trPr>
          <w:jc w:val="center"/>
        </w:trPr>
        <w:tc>
          <w:tcPr>
            <w:tcW w:w="3145" w:type="dxa"/>
          </w:tcPr>
          <w:p w:rsidR="00CF71AC" w:rsidRPr="007D2AA2" w:rsidRDefault="00CF71AC" w:rsidP="00346242">
            <w:pPr>
              <w:outlineLvl w:val="0"/>
              <w:rPr>
                <w:rFonts w:ascii="Arial" w:hAnsi="Arial" w:cs="Arial"/>
                <w:b/>
                <w:lang w:val="en-GB"/>
              </w:rPr>
            </w:pPr>
          </w:p>
        </w:tc>
        <w:tc>
          <w:tcPr>
            <w:tcW w:w="1800" w:type="dxa"/>
          </w:tcPr>
          <w:p w:rsidR="00CF71AC" w:rsidRPr="007D2AA2" w:rsidRDefault="00CF71AC" w:rsidP="00346242">
            <w:pPr>
              <w:jc w:val="center"/>
              <w:outlineLvl w:val="0"/>
              <w:rPr>
                <w:rFonts w:ascii="Arial" w:hAnsi="Arial" w:cs="Arial"/>
                <w:b/>
                <w:lang w:val="en-GB"/>
              </w:rPr>
            </w:pPr>
            <w:r w:rsidRPr="007D2AA2">
              <w:rPr>
                <w:rFonts w:ascii="Arial" w:hAnsi="Arial" w:cs="Arial"/>
                <w:b/>
                <w:lang w:val="en-GB"/>
              </w:rPr>
              <w:t>2015</w:t>
            </w:r>
          </w:p>
        </w:tc>
        <w:tc>
          <w:tcPr>
            <w:tcW w:w="4045" w:type="dxa"/>
          </w:tcPr>
          <w:p w:rsidR="00CF71AC" w:rsidRPr="007D2AA2" w:rsidRDefault="00CF71AC" w:rsidP="00346242">
            <w:pPr>
              <w:jc w:val="center"/>
              <w:outlineLvl w:val="0"/>
              <w:rPr>
                <w:rFonts w:ascii="Arial" w:hAnsi="Arial" w:cs="Arial"/>
                <w:b/>
                <w:lang w:val="en-GB"/>
              </w:rPr>
            </w:pPr>
            <w:r w:rsidRPr="007D2AA2">
              <w:rPr>
                <w:rFonts w:ascii="Arial" w:hAnsi="Arial" w:cs="Arial"/>
                <w:b/>
                <w:lang w:val="en-GB"/>
              </w:rPr>
              <w:t>2016 (With ITC completing in October)</w:t>
            </w:r>
          </w:p>
        </w:tc>
      </w:tr>
      <w:tr w:rsidR="00CF71AC" w:rsidRPr="007D2AA2" w:rsidTr="00346242">
        <w:trPr>
          <w:jc w:val="center"/>
        </w:trPr>
        <w:tc>
          <w:tcPr>
            <w:tcW w:w="3145" w:type="dxa"/>
          </w:tcPr>
          <w:p w:rsidR="00CF71AC" w:rsidRPr="007D2AA2" w:rsidRDefault="00CF71AC" w:rsidP="00346242">
            <w:pPr>
              <w:outlineLvl w:val="0"/>
              <w:rPr>
                <w:rFonts w:ascii="Arial" w:hAnsi="Arial" w:cs="Arial"/>
                <w:b/>
                <w:lang w:val="en-GB"/>
              </w:rPr>
            </w:pPr>
            <w:r w:rsidRPr="007D2AA2">
              <w:rPr>
                <w:rFonts w:ascii="Arial" w:hAnsi="Arial" w:cs="Arial"/>
                <w:b/>
                <w:lang w:val="en-GB"/>
              </w:rPr>
              <w:t>Revenue</w:t>
            </w:r>
          </w:p>
        </w:tc>
        <w:tc>
          <w:tcPr>
            <w:tcW w:w="1800" w:type="dxa"/>
          </w:tcPr>
          <w:p w:rsidR="00CF71AC" w:rsidRPr="007D2AA2" w:rsidRDefault="00CF71AC" w:rsidP="00346242">
            <w:pPr>
              <w:tabs>
                <w:tab w:val="right" w:pos="1278"/>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6,757</w:t>
            </w:r>
          </w:p>
        </w:tc>
        <w:tc>
          <w:tcPr>
            <w:tcW w:w="4045" w:type="dxa"/>
          </w:tcPr>
          <w:p w:rsidR="00CF71AC" w:rsidRPr="007D2AA2" w:rsidRDefault="00CF71AC" w:rsidP="00346242">
            <w:pPr>
              <w:tabs>
                <w:tab w:val="right" w:pos="2095"/>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6,838</w:t>
            </w:r>
          </w:p>
        </w:tc>
      </w:tr>
      <w:tr w:rsidR="00CF71AC" w:rsidRPr="007D2AA2" w:rsidTr="00346242">
        <w:trPr>
          <w:jc w:val="center"/>
        </w:trPr>
        <w:tc>
          <w:tcPr>
            <w:tcW w:w="3145"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Energy Supply Costs</w:t>
            </w:r>
          </w:p>
        </w:tc>
        <w:tc>
          <w:tcPr>
            <w:tcW w:w="1800" w:type="dxa"/>
          </w:tcPr>
          <w:p w:rsidR="00CF71AC" w:rsidRPr="007D2AA2" w:rsidRDefault="00CF71AC" w:rsidP="00346242">
            <w:pPr>
              <w:tabs>
                <w:tab w:val="right" w:pos="1278"/>
              </w:tabs>
              <w:jc w:val="right"/>
              <w:outlineLvl w:val="0"/>
              <w:rPr>
                <w:rFonts w:ascii="Arial" w:hAnsi="Arial" w:cs="Arial"/>
                <w:lang w:val="en-GB"/>
              </w:rPr>
            </w:pPr>
            <w:r>
              <w:rPr>
                <w:rFonts w:ascii="Arial" w:hAnsi="Arial" w:cs="Arial"/>
                <w:lang w:val="en-GB"/>
              </w:rPr>
              <w:tab/>
            </w:r>
            <w:r w:rsidRPr="007D2AA2">
              <w:rPr>
                <w:rFonts w:ascii="Arial" w:hAnsi="Arial" w:cs="Arial"/>
                <w:lang w:val="en-GB"/>
              </w:rPr>
              <w:t>2,591</w:t>
            </w:r>
          </w:p>
        </w:tc>
        <w:tc>
          <w:tcPr>
            <w:tcW w:w="4045" w:type="dxa"/>
          </w:tcPr>
          <w:p w:rsidR="00CF71AC" w:rsidRPr="007D2AA2" w:rsidRDefault="00CF71AC" w:rsidP="00346242">
            <w:pPr>
              <w:tabs>
                <w:tab w:val="right" w:pos="2095"/>
              </w:tabs>
              <w:jc w:val="right"/>
              <w:outlineLvl w:val="0"/>
              <w:rPr>
                <w:rFonts w:ascii="Arial" w:hAnsi="Arial" w:cs="Arial"/>
                <w:lang w:val="en-GB"/>
              </w:rPr>
            </w:pPr>
            <w:r>
              <w:rPr>
                <w:rFonts w:ascii="Arial" w:hAnsi="Arial" w:cs="Arial"/>
                <w:lang w:val="en-GB"/>
              </w:rPr>
              <w:tab/>
            </w:r>
            <w:r w:rsidRPr="007D2AA2">
              <w:rPr>
                <w:rFonts w:ascii="Arial" w:hAnsi="Arial" w:cs="Arial"/>
                <w:lang w:val="en-GB"/>
              </w:rPr>
              <w:t>2,341</w:t>
            </w:r>
          </w:p>
        </w:tc>
      </w:tr>
      <w:tr w:rsidR="00CF71AC" w:rsidRPr="007D2AA2" w:rsidTr="00346242">
        <w:trPr>
          <w:jc w:val="center"/>
        </w:trPr>
        <w:tc>
          <w:tcPr>
            <w:tcW w:w="3145"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Operating Expenses</w:t>
            </w:r>
          </w:p>
        </w:tc>
        <w:tc>
          <w:tcPr>
            <w:tcW w:w="1800" w:type="dxa"/>
          </w:tcPr>
          <w:p w:rsidR="00CF71AC" w:rsidRPr="007D2AA2" w:rsidRDefault="00CF71AC" w:rsidP="00346242">
            <w:pPr>
              <w:tabs>
                <w:tab w:val="right" w:pos="1278"/>
              </w:tabs>
              <w:jc w:val="right"/>
              <w:outlineLvl w:val="0"/>
              <w:rPr>
                <w:rFonts w:ascii="Arial" w:hAnsi="Arial" w:cs="Arial"/>
                <w:lang w:val="en-GB"/>
              </w:rPr>
            </w:pPr>
            <w:r>
              <w:rPr>
                <w:rFonts w:ascii="Arial" w:hAnsi="Arial" w:cs="Arial"/>
                <w:lang w:val="en-GB"/>
              </w:rPr>
              <w:tab/>
            </w:r>
            <w:r w:rsidRPr="007D2AA2">
              <w:rPr>
                <w:rFonts w:ascii="Arial" w:hAnsi="Arial" w:cs="Arial"/>
                <w:lang w:val="en-GB"/>
              </w:rPr>
              <w:t>1,874</w:t>
            </w:r>
          </w:p>
        </w:tc>
        <w:tc>
          <w:tcPr>
            <w:tcW w:w="4045" w:type="dxa"/>
          </w:tcPr>
          <w:p w:rsidR="00CF71AC" w:rsidRPr="007D2AA2" w:rsidRDefault="00CF71AC" w:rsidP="00346242">
            <w:pPr>
              <w:tabs>
                <w:tab w:val="right" w:pos="2095"/>
              </w:tabs>
              <w:jc w:val="right"/>
              <w:outlineLvl w:val="0"/>
              <w:rPr>
                <w:rFonts w:ascii="Arial" w:hAnsi="Arial" w:cs="Arial"/>
                <w:lang w:val="en-GB"/>
              </w:rPr>
            </w:pPr>
            <w:r>
              <w:rPr>
                <w:rFonts w:ascii="Arial" w:hAnsi="Arial" w:cs="Arial"/>
                <w:lang w:val="en-GB"/>
              </w:rPr>
              <w:tab/>
            </w:r>
            <w:r w:rsidRPr="007D2AA2">
              <w:rPr>
                <w:rFonts w:ascii="Arial" w:hAnsi="Arial" w:cs="Arial"/>
                <w:lang w:val="en-GB"/>
              </w:rPr>
              <w:t>2,031</w:t>
            </w:r>
          </w:p>
        </w:tc>
      </w:tr>
      <w:tr w:rsidR="00CF71AC" w:rsidRPr="007D2AA2" w:rsidTr="00346242">
        <w:trPr>
          <w:jc w:val="center"/>
        </w:trPr>
        <w:tc>
          <w:tcPr>
            <w:tcW w:w="3145"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Depreciation and Amortization</w:t>
            </w:r>
          </w:p>
        </w:tc>
        <w:tc>
          <w:tcPr>
            <w:tcW w:w="1800" w:type="dxa"/>
          </w:tcPr>
          <w:p w:rsidR="00CF71AC" w:rsidRPr="007D2AA2" w:rsidRDefault="00CF71AC" w:rsidP="00346242">
            <w:pPr>
              <w:tabs>
                <w:tab w:val="right" w:pos="1278"/>
              </w:tabs>
              <w:jc w:val="right"/>
              <w:outlineLvl w:val="0"/>
              <w:rPr>
                <w:rFonts w:ascii="Arial" w:hAnsi="Arial" w:cs="Arial"/>
                <w:lang w:val="en-GB"/>
              </w:rPr>
            </w:pPr>
            <w:r>
              <w:rPr>
                <w:rFonts w:ascii="Arial" w:hAnsi="Arial" w:cs="Arial"/>
                <w:lang w:val="en-GB"/>
              </w:rPr>
              <w:tab/>
            </w:r>
            <w:r w:rsidRPr="007D2AA2">
              <w:rPr>
                <w:rFonts w:ascii="Arial" w:hAnsi="Arial" w:cs="Arial"/>
                <w:lang w:val="en-GB"/>
              </w:rPr>
              <w:t>873</w:t>
            </w:r>
          </w:p>
        </w:tc>
        <w:tc>
          <w:tcPr>
            <w:tcW w:w="4045" w:type="dxa"/>
          </w:tcPr>
          <w:p w:rsidR="00CF71AC" w:rsidRPr="007D2AA2" w:rsidRDefault="00CF71AC" w:rsidP="00346242">
            <w:pPr>
              <w:tabs>
                <w:tab w:val="right" w:pos="2095"/>
              </w:tabs>
              <w:jc w:val="right"/>
              <w:outlineLvl w:val="0"/>
              <w:rPr>
                <w:rFonts w:ascii="Arial" w:hAnsi="Arial" w:cs="Arial"/>
                <w:lang w:val="en-GB"/>
              </w:rPr>
            </w:pPr>
            <w:r>
              <w:rPr>
                <w:rFonts w:ascii="Arial" w:hAnsi="Arial" w:cs="Arial"/>
                <w:lang w:val="en-GB"/>
              </w:rPr>
              <w:tab/>
            </w:r>
            <w:r w:rsidRPr="007D2AA2">
              <w:rPr>
                <w:rFonts w:ascii="Arial" w:hAnsi="Arial" w:cs="Arial"/>
                <w:lang w:val="en-GB"/>
              </w:rPr>
              <w:t>983</w:t>
            </w:r>
          </w:p>
        </w:tc>
      </w:tr>
      <w:tr w:rsidR="00CF71AC" w:rsidRPr="007D2AA2" w:rsidTr="00346242">
        <w:trPr>
          <w:trHeight w:val="241"/>
          <w:jc w:val="center"/>
        </w:trPr>
        <w:tc>
          <w:tcPr>
            <w:tcW w:w="3145"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Other Income (Expenses), Net</w:t>
            </w:r>
          </w:p>
        </w:tc>
        <w:tc>
          <w:tcPr>
            <w:tcW w:w="1800" w:type="dxa"/>
          </w:tcPr>
          <w:p w:rsidR="00CF71AC" w:rsidRPr="007D2AA2" w:rsidRDefault="00CF71AC" w:rsidP="00346242">
            <w:pPr>
              <w:tabs>
                <w:tab w:val="right" w:pos="1278"/>
              </w:tabs>
              <w:jc w:val="right"/>
              <w:outlineLvl w:val="0"/>
              <w:rPr>
                <w:rFonts w:ascii="Arial" w:hAnsi="Arial" w:cs="Arial"/>
                <w:lang w:val="en-GB"/>
              </w:rPr>
            </w:pPr>
            <w:r>
              <w:rPr>
                <w:rFonts w:ascii="Arial" w:hAnsi="Arial" w:cs="Arial"/>
                <w:lang w:val="en-GB"/>
              </w:rPr>
              <w:tab/>
            </w:r>
            <w:r w:rsidRPr="007D2AA2">
              <w:rPr>
                <w:rFonts w:ascii="Arial" w:hAnsi="Arial" w:cs="Arial"/>
                <w:lang w:val="en-GB"/>
              </w:rPr>
              <w:t>197</w:t>
            </w:r>
          </w:p>
        </w:tc>
        <w:tc>
          <w:tcPr>
            <w:tcW w:w="4045" w:type="dxa"/>
          </w:tcPr>
          <w:p w:rsidR="00CF71AC" w:rsidRPr="007D2AA2" w:rsidRDefault="00CF71AC" w:rsidP="00346242">
            <w:pPr>
              <w:tabs>
                <w:tab w:val="right" w:pos="2095"/>
              </w:tabs>
              <w:jc w:val="right"/>
              <w:outlineLvl w:val="0"/>
              <w:rPr>
                <w:rFonts w:ascii="Arial" w:hAnsi="Arial" w:cs="Arial"/>
                <w:lang w:val="en-GB"/>
              </w:rPr>
            </w:pPr>
            <w:r>
              <w:rPr>
                <w:rFonts w:ascii="Arial" w:hAnsi="Arial" w:cs="Arial"/>
                <w:lang w:val="en-GB"/>
              </w:rPr>
              <w:tab/>
            </w:r>
            <w:r w:rsidRPr="007D2AA2">
              <w:rPr>
                <w:rFonts w:ascii="Arial" w:hAnsi="Arial" w:cs="Arial"/>
                <w:lang w:val="en-GB"/>
              </w:rPr>
              <w:t>53</w:t>
            </w:r>
          </w:p>
        </w:tc>
      </w:tr>
      <w:tr w:rsidR="00CF71AC" w:rsidRPr="007D2AA2" w:rsidTr="00346242">
        <w:trPr>
          <w:jc w:val="center"/>
        </w:trPr>
        <w:tc>
          <w:tcPr>
            <w:tcW w:w="3145"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Finance Charges</w:t>
            </w:r>
          </w:p>
        </w:tc>
        <w:tc>
          <w:tcPr>
            <w:tcW w:w="1800" w:type="dxa"/>
          </w:tcPr>
          <w:p w:rsidR="00CF71AC" w:rsidRPr="007D2AA2" w:rsidRDefault="00CF71AC" w:rsidP="00346242">
            <w:pPr>
              <w:tabs>
                <w:tab w:val="right" w:pos="1278"/>
              </w:tabs>
              <w:jc w:val="right"/>
              <w:outlineLvl w:val="0"/>
              <w:rPr>
                <w:rFonts w:ascii="Arial" w:hAnsi="Arial" w:cs="Arial"/>
                <w:lang w:val="en-GB"/>
              </w:rPr>
            </w:pPr>
            <w:r>
              <w:rPr>
                <w:rFonts w:ascii="Arial" w:hAnsi="Arial" w:cs="Arial"/>
                <w:lang w:val="en-GB"/>
              </w:rPr>
              <w:tab/>
            </w:r>
            <w:r w:rsidRPr="007D2AA2">
              <w:rPr>
                <w:rFonts w:ascii="Arial" w:hAnsi="Arial" w:cs="Arial"/>
                <w:lang w:val="en-GB"/>
              </w:rPr>
              <w:t>553</w:t>
            </w:r>
          </w:p>
        </w:tc>
        <w:tc>
          <w:tcPr>
            <w:tcW w:w="4045" w:type="dxa"/>
          </w:tcPr>
          <w:p w:rsidR="00CF71AC" w:rsidRPr="007D2AA2" w:rsidRDefault="00CF71AC" w:rsidP="00346242">
            <w:pPr>
              <w:tabs>
                <w:tab w:val="right" w:pos="2095"/>
              </w:tabs>
              <w:jc w:val="right"/>
              <w:outlineLvl w:val="0"/>
              <w:rPr>
                <w:rFonts w:ascii="Arial" w:hAnsi="Arial" w:cs="Arial"/>
                <w:lang w:val="en-GB"/>
              </w:rPr>
            </w:pPr>
            <w:r>
              <w:rPr>
                <w:rFonts w:ascii="Arial" w:hAnsi="Arial" w:cs="Arial"/>
                <w:lang w:val="en-GB"/>
              </w:rPr>
              <w:tab/>
            </w:r>
            <w:r w:rsidRPr="007D2AA2">
              <w:rPr>
                <w:rFonts w:ascii="Arial" w:hAnsi="Arial" w:cs="Arial"/>
                <w:lang w:val="en-GB"/>
              </w:rPr>
              <w:t>678</w:t>
            </w:r>
          </w:p>
        </w:tc>
      </w:tr>
      <w:tr w:rsidR="00CF71AC" w:rsidRPr="007D2AA2" w:rsidTr="00346242">
        <w:trPr>
          <w:jc w:val="center"/>
        </w:trPr>
        <w:tc>
          <w:tcPr>
            <w:tcW w:w="3145"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Income Tax Expense</w:t>
            </w:r>
          </w:p>
        </w:tc>
        <w:tc>
          <w:tcPr>
            <w:tcW w:w="1800" w:type="dxa"/>
          </w:tcPr>
          <w:p w:rsidR="00CF71AC" w:rsidRPr="007D2AA2" w:rsidRDefault="00CF71AC" w:rsidP="00346242">
            <w:pPr>
              <w:tabs>
                <w:tab w:val="right" w:pos="1278"/>
              </w:tabs>
              <w:jc w:val="right"/>
              <w:outlineLvl w:val="0"/>
              <w:rPr>
                <w:rFonts w:ascii="Arial" w:hAnsi="Arial" w:cs="Arial"/>
                <w:lang w:val="en-GB"/>
              </w:rPr>
            </w:pPr>
            <w:r>
              <w:rPr>
                <w:rFonts w:ascii="Arial" w:hAnsi="Arial" w:cs="Arial"/>
                <w:lang w:val="en-GB"/>
              </w:rPr>
              <w:tab/>
            </w:r>
            <w:r w:rsidRPr="007D2AA2">
              <w:rPr>
                <w:rFonts w:ascii="Arial" w:hAnsi="Arial" w:cs="Arial"/>
                <w:lang w:val="en-GB"/>
              </w:rPr>
              <w:t>223</w:t>
            </w:r>
          </w:p>
        </w:tc>
        <w:tc>
          <w:tcPr>
            <w:tcW w:w="4045" w:type="dxa"/>
          </w:tcPr>
          <w:p w:rsidR="00CF71AC" w:rsidRPr="007D2AA2" w:rsidRDefault="00CF71AC" w:rsidP="00346242">
            <w:pPr>
              <w:tabs>
                <w:tab w:val="right" w:pos="2095"/>
              </w:tabs>
              <w:jc w:val="right"/>
              <w:outlineLvl w:val="0"/>
              <w:rPr>
                <w:rFonts w:ascii="Arial" w:hAnsi="Arial" w:cs="Arial"/>
                <w:lang w:val="en-GB"/>
              </w:rPr>
            </w:pPr>
            <w:r>
              <w:rPr>
                <w:rFonts w:ascii="Arial" w:hAnsi="Arial" w:cs="Arial"/>
                <w:lang w:val="en-GB"/>
              </w:rPr>
              <w:tab/>
            </w:r>
            <w:r w:rsidRPr="007D2AA2">
              <w:rPr>
                <w:rFonts w:ascii="Arial" w:hAnsi="Arial" w:cs="Arial"/>
                <w:lang w:val="en-GB"/>
              </w:rPr>
              <w:t>145</w:t>
            </w:r>
          </w:p>
        </w:tc>
      </w:tr>
      <w:tr w:rsidR="00CF71AC" w:rsidRPr="007D2AA2" w:rsidTr="00346242">
        <w:trPr>
          <w:jc w:val="center"/>
        </w:trPr>
        <w:tc>
          <w:tcPr>
            <w:tcW w:w="3145" w:type="dxa"/>
          </w:tcPr>
          <w:p w:rsidR="00CF71AC" w:rsidRPr="007D2AA2" w:rsidRDefault="00CF71AC" w:rsidP="00346242">
            <w:pPr>
              <w:outlineLvl w:val="0"/>
              <w:rPr>
                <w:rFonts w:ascii="Arial" w:hAnsi="Arial" w:cs="Arial"/>
                <w:b/>
                <w:lang w:val="en-GB"/>
              </w:rPr>
            </w:pPr>
            <w:r w:rsidRPr="007D2AA2">
              <w:rPr>
                <w:rFonts w:ascii="Arial" w:hAnsi="Arial" w:cs="Arial"/>
                <w:b/>
                <w:lang w:val="en-GB"/>
              </w:rPr>
              <w:t>Net Earnings</w:t>
            </w:r>
          </w:p>
        </w:tc>
        <w:tc>
          <w:tcPr>
            <w:tcW w:w="1800" w:type="dxa"/>
          </w:tcPr>
          <w:p w:rsidR="00CF71AC" w:rsidRPr="007D2AA2" w:rsidRDefault="00CF71AC" w:rsidP="00346242">
            <w:pPr>
              <w:tabs>
                <w:tab w:val="right" w:pos="1278"/>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840</w:t>
            </w:r>
          </w:p>
        </w:tc>
        <w:tc>
          <w:tcPr>
            <w:tcW w:w="4045" w:type="dxa"/>
          </w:tcPr>
          <w:p w:rsidR="00CF71AC" w:rsidRPr="007D2AA2" w:rsidRDefault="00CF71AC" w:rsidP="00346242">
            <w:pPr>
              <w:tabs>
                <w:tab w:val="right" w:pos="2095"/>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713</w:t>
            </w:r>
          </w:p>
        </w:tc>
      </w:tr>
      <w:tr w:rsidR="00CF71AC" w:rsidRPr="007D2AA2" w:rsidTr="00346242">
        <w:trPr>
          <w:jc w:val="center"/>
        </w:trPr>
        <w:tc>
          <w:tcPr>
            <w:tcW w:w="3145" w:type="dxa"/>
          </w:tcPr>
          <w:p w:rsidR="00CF71AC" w:rsidRPr="007D2AA2" w:rsidRDefault="00CF71AC" w:rsidP="00346242">
            <w:pPr>
              <w:outlineLvl w:val="0"/>
              <w:rPr>
                <w:rFonts w:ascii="Arial" w:hAnsi="Arial" w:cs="Arial"/>
                <w:b/>
                <w:lang w:val="en-GB"/>
              </w:rPr>
            </w:pPr>
            <w:r w:rsidRPr="007D2AA2">
              <w:rPr>
                <w:rFonts w:ascii="Arial" w:hAnsi="Arial" w:cs="Arial"/>
                <w:b/>
                <w:lang w:val="en-GB"/>
              </w:rPr>
              <w:t>Net Earnings Attributable to</w:t>
            </w:r>
          </w:p>
        </w:tc>
        <w:tc>
          <w:tcPr>
            <w:tcW w:w="1800" w:type="dxa"/>
          </w:tcPr>
          <w:p w:rsidR="00CF71AC" w:rsidRPr="007D2AA2" w:rsidRDefault="00CF71AC" w:rsidP="00346242">
            <w:pPr>
              <w:tabs>
                <w:tab w:val="right" w:pos="1278"/>
              </w:tabs>
              <w:jc w:val="right"/>
              <w:outlineLvl w:val="0"/>
              <w:rPr>
                <w:rFonts w:ascii="Arial" w:hAnsi="Arial" w:cs="Arial"/>
                <w:b/>
                <w:lang w:val="en-GB"/>
              </w:rPr>
            </w:pPr>
          </w:p>
        </w:tc>
        <w:tc>
          <w:tcPr>
            <w:tcW w:w="4045" w:type="dxa"/>
          </w:tcPr>
          <w:p w:rsidR="00CF71AC" w:rsidRPr="007D2AA2" w:rsidRDefault="00CF71AC" w:rsidP="00346242">
            <w:pPr>
              <w:tabs>
                <w:tab w:val="right" w:pos="2095"/>
              </w:tabs>
              <w:jc w:val="right"/>
              <w:outlineLvl w:val="0"/>
              <w:rPr>
                <w:rFonts w:ascii="Arial" w:hAnsi="Arial" w:cs="Arial"/>
                <w:b/>
                <w:lang w:val="en-GB"/>
              </w:rPr>
            </w:pPr>
          </w:p>
        </w:tc>
      </w:tr>
      <w:tr w:rsidR="00CF71AC" w:rsidRPr="007D2AA2" w:rsidTr="00346242">
        <w:trPr>
          <w:jc w:val="center"/>
        </w:trPr>
        <w:tc>
          <w:tcPr>
            <w:tcW w:w="3145"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Non-Controlling Interests</w:t>
            </w:r>
          </w:p>
        </w:tc>
        <w:tc>
          <w:tcPr>
            <w:tcW w:w="1800" w:type="dxa"/>
          </w:tcPr>
          <w:p w:rsidR="00CF71AC" w:rsidRPr="007D2AA2" w:rsidRDefault="00CF71AC" w:rsidP="00346242">
            <w:pPr>
              <w:tabs>
                <w:tab w:val="right" w:pos="1278"/>
              </w:tabs>
              <w:jc w:val="right"/>
              <w:outlineLvl w:val="0"/>
              <w:rPr>
                <w:rFonts w:ascii="Arial" w:hAnsi="Arial" w:cs="Arial"/>
                <w:lang w:val="en-GB"/>
              </w:rPr>
            </w:pPr>
            <w:r>
              <w:rPr>
                <w:rFonts w:ascii="Arial" w:hAnsi="Arial" w:cs="Arial"/>
                <w:lang w:val="en-GB"/>
              </w:rPr>
              <w:tab/>
            </w:r>
            <w:r w:rsidRPr="007D2AA2">
              <w:rPr>
                <w:rFonts w:ascii="Arial" w:hAnsi="Arial" w:cs="Arial"/>
                <w:lang w:val="en-GB"/>
              </w:rPr>
              <w:t>35</w:t>
            </w:r>
          </w:p>
        </w:tc>
        <w:tc>
          <w:tcPr>
            <w:tcW w:w="4045" w:type="dxa"/>
          </w:tcPr>
          <w:p w:rsidR="00CF71AC" w:rsidRPr="007D2AA2" w:rsidRDefault="00CF71AC" w:rsidP="00346242">
            <w:pPr>
              <w:tabs>
                <w:tab w:val="right" w:pos="2095"/>
              </w:tabs>
              <w:jc w:val="right"/>
              <w:outlineLvl w:val="0"/>
              <w:rPr>
                <w:rFonts w:ascii="Arial" w:hAnsi="Arial" w:cs="Arial"/>
                <w:lang w:val="en-GB"/>
              </w:rPr>
            </w:pPr>
            <w:r>
              <w:rPr>
                <w:rFonts w:ascii="Arial" w:hAnsi="Arial" w:cs="Arial"/>
                <w:lang w:val="en-GB"/>
              </w:rPr>
              <w:tab/>
            </w:r>
            <w:r w:rsidRPr="007D2AA2">
              <w:rPr>
                <w:rFonts w:ascii="Arial" w:hAnsi="Arial" w:cs="Arial"/>
                <w:lang w:val="en-GB"/>
              </w:rPr>
              <w:t>53</w:t>
            </w:r>
          </w:p>
        </w:tc>
      </w:tr>
      <w:tr w:rsidR="00CF71AC" w:rsidRPr="007D2AA2" w:rsidTr="00346242">
        <w:trPr>
          <w:jc w:val="center"/>
        </w:trPr>
        <w:tc>
          <w:tcPr>
            <w:tcW w:w="3145"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Preferred Equity Shareholders</w:t>
            </w:r>
          </w:p>
        </w:tc>
        <w:tc>
          <w:tcPr>
            <w:tcW w:w="1800" w:type="dxa"/>
          </w:tcPr>
          <w:p w:rsidR="00CF71AC" w:rsidRPr="007D2AA2" w:rsidRDefault="00CF71AC" w:rsidP="00346242">
            <w:pPr>
              <w:tabs>
                <w:tab w:val="right" w:pos="1278"/>
              </w:tabs>
              <w:jc w:val="right"/>
              <w:outlineLvl w:val="0"/>
              <w:rPr>
                <w:rFonts w:ascii="Arial" w:hAnsi="Arial" w:cs="Arial"/>
                <w:lang w:val="en-GB"/>
              </w:rPr>
            </w:pPr>
            <w:r>
              <w:rPr>
                <w:rFonts w:ascii="Arial" w:hAnsi="Arial" w:cs="Arial"/>
                <w:lang w:val="en-GB"/>
              </w:rPr>
              <w:tab/>
            </w:r>
            <w:r w:rsidRPr="007D2AA2">
              <w:rPr>
                <w:rFonts w:ascii="Arial" w:hAnsi="Arial" w:cs="Arial"/>
                <w:lang w:val="en-GB"/>
              </w:rPr>
              <w:t>77</w:t>
            </w:r>
          </w:p>
        </w:tc>
        <w:tc>
          <w:tcPr>
            <w:tcW w:w="4045" w:type="dxa"/>
          </w:tcPr>
          <w:p w:rsidR="00CF71AC" w:rsidRPr="007D2AA2" w:rsidRDefault="00CF71AC" w:rsidP="00346242">
            <w:pPr>
              <w:tabs>
                <w:tab w:val="right" w:pos="2095"/>
              </w:tabs>
              <w:jc w:val="right"/>
              <w:outlineLvl w:val="0"/>
              <w:rPr>
                <w:rFonts w:ascii="Arial" w:hAnsi="Arial" w:cs="Arial"/>
                <w:lang w:val="en-GB"/>
              </w:rPr>
            </w:pPr>
            <w:r>
              <w:rPr>
                <w:rFonts w:ascii="Arial" w:hAnsi="Arial" w:cs="Arial"/>
                <w:lang w:val="en-GB"/>
              </w:rPr>
              <w:tab/>
            </w:r>
            <w:r w:rsidRPr="007D2AA2">
              <w:rPr>
                <w:rFonts w:ascii="Arial" w:hAnsi="Arial" w:cs="Arial"/>
                <w:lang w:val="en-GB"/>
              </w:rPr>
              <w:t>75</w:t>
            </w:r>
          </w:p>
        </w:tc>
      </w:tr>
      <w:tr w:rsidR="00CF71AC" w:rsidRPr="007D2AA2" w:rsidTr="00346242">
        <w:trPr>
          <w:jc w:val="center"/>
        </w:trPr>
        <w:tc>
          <w:tcPr>
            <w:tcW w:w="3145"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Common Equity Shareholders</w:t>
            </w:r>
          </w:p>
        </w:tc>
        <w:tc>
          <w:tcPr>
            <w:tcW w:w="1800" w:type="dxa"/>
          </w:tcPr>
          <w:p w:rsidR="00CF71AC" w:rsidRPr="007D2AA2" w:rsidRDefault="00CF71AC" w:rsidP="00346242">
            <w:pPr>
              <w:tabs>
                <w:tab w:val="right" w:pos="1278"/>
              </w:tabs>
              <w:jc w:val="right"/>
              <w:outlineLvl w:val="0"/>
              <w:rPr>
                <w:rFonts w:ascii="Arial" w:hAnsi="Arial" w:cs="Arial"/>
                <w:lang w:val="en-GB"/>
              </w:rPr>
            </w:pPr>
            <w:r>
              <w:rPr>
                <w:rFonts w:ascii="Arial" w:hAnsi="Arial" w:cs="Arial"/>
                <w:lang w:val="en-GB"/>
              </w:rPr>
              <w:tab/>
            </w:r>
            <w:r w:rsidRPr="007D2AA2">
              <w:rPr>
                <w:rFonts w:ascii="Arial" w:hAnsi="Arial" w:cs="Arial"/>
                <w:lang w:val="en-GB"/>
              </w:rPr>
              <w:t>728</w:t>
            </w:r>
          </w:p>
        </w:tc>
        <w:tc>
          <w:tcPr>
            <w:tcW w:w="4045" w:type="dxa"/>
          </w:tcPr>
          <w:p w:rsidR="00CF71AC" w:rsidRPr="007D2AA2" w:rsidRDefault="00CF71AC" w:rsidP="00346242">
            <w:pPr>
              <w:tabs>
                <w:tab w:val="right" w:pos="2095"/>
              </w:tabs>
              <w:jc w:val="right"/>
              <w:outlineLvl w:val="0"/>
              <w:rPr>
                <w:rFonts w:ascii="Arial" w:hAnsi="Arial" w:cs="Arial"/>
                <w:lang w:val="en-GB"/>
              </w:rPr>
            </w:pPr>
            <w:r>
              <w:rPr>
                <w:rFonts w:ascii="Arial" w:hAnsi="Arial" w:cs="Arial"/>
                <w:lang w:val="en-GB"/>
              </w:rPr>
              <w:tab/>
            </w:r>
            <w:r w:rsidRPr="007D2AA2">
              <w:rPr>
                <w:rFonts w:ascii="Arial" w:hAnsi="Arial" w:cs="Arial"/>
                <w:lang w:val="en-GB"/>
              </w:rPr>
              <w:t>585</w:t>
            </w:r>
          </w:p>
        </w:tc>
      </w:tr>
      <w:tr w:rsidR="00CF71AC" w:rsidRPr="007D2AA2" w:rsidTr="00346242">
        <w:trPr>
          <w:jc w:val="center"/>
        </w:trPr>
        <w:tc>
          <w:tcPr>
            <w:tcW w:w="3145" w:type="dxa"/>
          </w:tcPr>
          <w:p w:rsidR="00CF71AC" w:rsidRPr="007D2AA2" w:rsidRDefault="00CF71AC" w:rsidP="00346242">
            <w:pPr>
              <w:outlineLvl w:val="0"/>
              <w:rPr>
                <w:rFonts w:ascii="Arial" w:hAnsi="Arial" w:cs="Arial"/>
                <w:b/>
                <w:lang w:val="en-GB"/>
              </w:rPr>
            </w:pPr>
            <w:r w:rsidRPr="007D2AA2">
              <w:rPr>
                <w:rFonts w:ascii="Arial" w:hAnsi="Arial" w:cs="Arial"/>
                <w:b/>
                <w:lang w:val="en-GB"/>
              </w:rPr>
              <w:t>Net Earnings</w:t>
            </w:r>
          </w:p>
        </w:tc>
        <w:tc>
          <w:tcPr>
            <w:tcW w:w="1800" w:type="dxa"/>
          </w:tcPr>
          <w:p w:rsidR="00CF71AC" w:rsidRPr="007D2AA2" w:rsidRDefault="00CF71AC" w:rsidP="00346242">
            <w:pPr>
              <w:tabs>
                <w:tab w:val="right" w:pos="1278"/>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$840</w:t>
            </w:r>
          </w:p>
        </w:tc>
        <w:tc>
          <w:tcPr>
            <w:tcW w:w="4045" w:type="dxa"/>
          </w:tcPr>
          <w:p w:rsidR="00CF71AC" w:rsidRPr="007D2AA2" w:rsidRDefault="00CF71AC" w:rsidP="00346242">
            <w:pPr>
              <w:tabs>
                <w:tab w:val="right" w:pos="2095"/>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$713</w:t>
            </w:r>
          </w:p>
        </w:tc>
      </w:tr>
    </w:tbl>
    <w:p w:rsidR="00CF71AC" w:rsidRPr="0064450C" w:rsidRDefault="00CF71AC" w:rsidP="0064450C">
      <w:pPr>
        <w:pStyle w:val="BodyTextMain"/>
      </w:pPr>
    </w:p>
    <w:p w:rsidR="00CF71AC" w:rsidRPr="0064450C" w:rsidRDefault="00CF71AC" w:rsidP="0064450C">
      <w:pPr>
        <w:pStyle w:val="BodyTextMain"/>
      </w:pPr>
      <w:r w:rsidRPr="0064450C">
        <w:br w:type="page"/>
      </w:r>
    </w:p>
    <w:p w:rsidR="00CF71AC" w:rsidRPr="007D2AA2" w:rsidRDefault="00CF71AC" w:rsidP="00CF71AC">
      <w:pPr>
        <w:pStyle w:val="casehead10"/>
        <w:jc w:val="center"/>
        <w:rPr>
          <w:lang w:val="en-GB"/>
        </w:rPr>
      </w:pPr>
      <w:r w:rsidRPr="007D2AA2">
        <w:rPr>
          <w:lang w:val="en-GB"/>
        </w:rPr>
        <w:lastRenderedPageBreak/>
        <w:t>Exhibit 4 (continued)</w:t>
      </w:r>
    </w:p>
    <w:p w:rsidR="00CF71AC" w:rsidRPr="007D2AA2" w:rsidRDefault="00CF71AC" w:rsidP="0064450C">
      <w:pPr>
        <w:pStyle w:val="BodyTextMain"/>
        <w:rPr>
          <w:lang w:val="en-GB"/>
        </w:rPr>
      </w:pPr>
    </w:p>
    <w:p w:rsidR="00CF71AC" w:rsidRPr="007D2AA2" w:rsidRDefault="00CF71AC" w:rsidP="00CF71AC">
      <w:pPr>
        <w:jc w:val="center"/>
        <w:outlineLvl w:val="0"/>
        <w:rPr>
          <w:rFonts w:ascii="Arial" w:hAnsi="Arial" w:cs="Arial"/>
          <w:b/>
          <w:lang w:val="en-GB"/>
        </w:rPr>
      </w:pPr>
      <w:r w:rsidRPr="007D2AA2">
        <w:rPr>
          <w:rFonts w:ascii="Arial" w:hAnsi="Arial" w:cs="Arial"/>
          <w:b/>
          <w:lang w:val="en-GB"/>
        </w:rPr>
        <w:t xml:space="preserve">Consolidated Balance Sheet (Year Ending December 31, </w:t>
      </w:r>
      <w:r>
        <w:rPr>
          <w:rFonts w:ascii="Arial" w:hAnsi="Arial" w:cs="Arial"/>
          <w:b/>
          <w:lang w:val="en-GB"/>
        </w:rPr>
        <w:t>CA</w:t>
      </w:r>
      <w:r w:rsidRPr="007D2AA2">
        <w:rPr>
          <w:rFonts w:ascii="Arial" w:hAnsi="Arial" w:cs="Arial"/>
          <w:b/>
          <w:lang w:val="en-GB"/>
        </w:rPr>
        <w:t xml:space="preserve">$ </w:t>
      </w:r>
      <w:r w:rsidR="00B43EEE">
        <w:rPr>
          <w:rFonts w:ascii="Arial" w:hAnsi="Arial" w:cs="Arial"/>
          <w:b/>
          <w:lang w:val="en-GB"/>
        </w:rPr>
        <w:t>M</w:t>
      </w:r>
      <w:r w:rsidRPr="007D2AA2">
        <w:rPr>
          <w:rFonts w:ascii="Arial" w:hAnsi="Arial" w:cs="Arial"/>
          <w:b/>
          <w:lang w:val="en-GB"/>
        </w:rPr>
        <w:t>illions)</w:t>
      </w:r>
    </w:p>
    <w:p w:rsidR="00CF71AC" w:rsidRPr="007D2AA2" w:rsidRDefault="00CF71AC" w:rsidP="0064450C">
      <w:pPr>
        <w:pStyle w:val="BodyTextMain"/>
        <w:rPr>
          <w:lang w:val="en-GB"/>
        </w:rPr>
      </w:pPr>
    </w:p>
    <w:tbl>
      <w:tblPr>
        <w:tblStyle w:val="TableGrid"/>
        <w:tblW w:w="0" w:type="auto"/>
        <w:jc w:val="center"/>
        <w:tblLook w:val="04A0" w:firstRow="1" w:lastRow="0" w:firstColumn="1" w:lastColumn="0" w:noHBand="0" w:noVBand="1"/>
      </w:tblPr>
      <w:tblGrid>
        <w:gridCol w:w="5040"/>
        <w:gridCol w:w="1800"/>
        <w:gridCol w:w="2016"/>
      </w:tblGrid>
      <w:tr w:rsidR="00CF71AC" w:rsidRPr="007D2AA2" w:rsidTr="00346242">
        <w:trPr>
          <w:trHeight w:val="213"/>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ASSETS</w:t>
            </w:r>
          </w:p>
        </w:tc>
        <w:tc>
          <w:tcPr>
            <w:tcW w:w="1800" w:type="dxa"/>
          </w:tcPr>
          <w:p w:rsidR="00CF71AC" w:rsidRPr="007D2AA2" w:rsidRDefault="00CF71AC" w:rsidP="00346242">
            <w:pPr>
              <w:jc w:val="center"/>
              <w:outlineLvl w:val="0"/>
              <w:rPr>
                <w:rFonts w:ascii="Arial" w:hAnsi="Arial" w:cs="Arial"/>
                <w:b/>
                <w:lang w:val="en-GB"/>
              </w:rPr>
            </w:pPr>
            <w:r w:rsidRPr="007D2AA2">
              <w:rPr>
                <w:rFonts w:ascii="Arial" w:hAnsi="Arial" w:cs="Arial"/>
                <w:b/>
                <w:lang w:val="en-GB"/>
              </w:rPr>
              <w:t>2015</w:t>
            </w:r>
          </w:p>
        </w:tc>
        <w:tc>
          <w:tcPr>
            <w:tcW w:w="2016" w:type="dxa"/>
          </w:tcPr>
          <w:p w:rsidR="00CF71AC" w:rsidRPr="007D2AA2" w:rsidRDefault="00CF71AC" w:rsidP="00346242">
            <w:pPr>
              <w:jc w:val="center"/>
              <w:outlineLvl w:val="0"/>
              <w:rPr>
                <w:rFonts w:ascii="Arial" w:hAnsi="Arial" w:cs="Arial"/>
                <w:b/>
                <w:lang w:val="en-GB"/>
              </w:rPr>
            </w:pPr>
            <w:r w:rsidRPr="007D2AA2">
              <w:rPr>
                <w:rFonts w:ascii="Arial" w:hAnsi="Arial" w:cs="Arial"/>
                <w:b/>
                <w:lang w:val="en-GB"/>
              </w:rPr>
              <w:t>2016 (With ITC)</w:t>
            </w:r>
          </w:p>
        </w:tc>
      </w:tr>
      <w:tr w:rsidR="00CF71AC" w:rsidRPr="007D2AA2" w:rsidTr="00346242">
        <w:trPr>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Current assets</w:t>
            </w:r>
          </w:p>
        </w:tc>
        <w:tc>
          <w:tcPr>
            <w:tcW w:w="1800" w:type="dxa"/>
          </w:tcPr>
          <w:p w:rsidR="00CF71AC" w:rsidRPr="007D2AA2" w:rsidRDefault="00CF71AC" w:rsidP="00346242">
            <w:pPr>
              <w:outlineLvl w:val="0"/>
              <w:rPr>
                <w:rFonts w:ascii="Arial" w:hAnsi="Arial" w:cs="Arial"/>
                <w:b/>
                <w:lang w:val="en-GB"/>
              </w:rPr>
            </w:pPr>
          </w:p>
        </w:tc>
        <w:tc>
          <w:tcPr>
            <w:tcW w:w="2016" w:type="dxa"/>
          </w:tcPr>
          <w:p w:rsidR="00CF71AC" w:rsidRPr="007D2AA2" w:rsidRDefault="00CF71AC" w:rsidP="00346242">
            <w:pPr>
              <w:outlineLvl w:val="0"/>
              <w:rPr>
                <w:rFonts w:ascii="Arial" w:hAnsi="Arial" w:cs="Arial"/>
                <w:b/>
                <w:lang w:val="en-GB"/>
              </w:rPr>
            </w:pP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Cash and cash equivalents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242</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269</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Accounts receivable and other current assets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964</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1,127</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Prepaid expenses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68</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85</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Inventories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337</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372</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Regulatory assets</w:t>
            </w:r>
            <w:r w:rsidRPr="007D2AA2">
              <w:rPr>
                <w:rFonts w:ascii="Arial" w:hAnsi="Arial" w:cs="Arial"/>
                <w:vertAlign w:val="superscript"/>
                <w:lang w:val="en-GB"/>
              </w:rPr>
              <w:t>1</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246</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313</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b/>
                <w:lang w:val="en-GB"/>
              </w:rPr>
            </w:pPr>
            <w:r w:rsidRPr="007D2AA2">
              <w:rPr>
                <w:rFonts w:ascii="Arial" w:hAnsi="Arial" w:cs="Arial"/>
                <w:b/>
                <w:lang w:val="en-GB"/>
              </w:rPr>
              <w:t>Total Current Assets</w:t>
            </w:r>
          </w:p>
        </w:tc>
        <w:tc>
          <w:tcPr>
            <w:tcW w:w="1800" w:type="dxa"/>
          </w:tcPr>
          <w:p w:rsidR="00CF71AC" w:rsidRPr="007D2AA2" w:rsidRDefault="00CF71AC" w:rsidP="00346242">
            <w:pPr>
              <w:tabs>
                <w:tab w:val="right" w:pos="1231"/>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1,857</w:t>
            </w:r>
          </w:p>
        </w:tc>
        <w:tc>
          <w:tcPr>
            <w:tcW w:w="2016" w:type="dxa"/>
          </w:tcPr>
          <w:p w:rsidR="00CF71AC" w:rsidRPr="007D2AA2" w:rsidRDefault="00CF71AC" w:rsidP="00346242">
            <w:pPr>
              <w:tabs>
                <w:tab w:val="right" w:pos="1056"/>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2,166</w:t>
            </w:r>
          </w:p>
        </w:tc>
      </w:tr>
      <w:tr w:rsidR="00CF71AC" w:rsidRPr="007D2AA2" w:rsidTr="00346242">
        <w:trPr>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Other assets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352</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406</w:t>
            </w:r>
          </w:p>
        </w:tc>
      </w:tr>
      <w:tr w:rsidR="00CF71AC" w:rsidRPr="007D2AA2" w:rsidTr="00346242">
        <w:trPr>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Regulatory assets</w:t>
            </w:r>
            <w:r>
              <w:rPr>
                <w:rFonts w:ascii="Arial" w:hAnsi="Arial" w:cs="Arial"/>
                <w:vertAlign w:val="superscript"/>
                <w:lang w:val="en-GB"/>
              </w:rPr>
              <w:t>1</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2,286</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2,620</w:t>
            </w:r>
          </w:p>
        </w:tc>
      </w:tr>
      <w:tr w:rsidR="00CF71AC" w:rsidRPr="007D2AA2" w:rsidTr="00346242">
        <w:trPr>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Utility capital assets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19,595</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29,337</w:t>
            </w:r>
          </w:p>
        </w:tc>
      </w:tr>
      <w:tr w:rsidR="00CF71AC" w:rsidRPr="007D2AA2" w:rsidTr="00346242">
        <w:trPr>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Intangible assets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541</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1,011</w:t>
            </w:r>
          </w:p>
        </w:tc>
      </w:tr>
      <w:tr w:rsidR="00CF71AC" w:rsidRPr="007D2AA2" w:rsidTr="00346242">
        <w:trPr>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Goodwill</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4,173</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12,364</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b/>
                <w:lang w:val="en-GB"/>
              </w:rPr>
            </w:pPr>
            <w:r w:rsidRPr="007D2AA2">
              <w:rPr>
                <w:rFonts w:ascii="Arial" w:hAnsi="Arial" w:cs="Arial"/>
                <w:b/>
                <w:lang w:val="en-GB"/>
              </w:rPr>
              <w:t>Total Assets</w:t>
            </w:r>
          </w:p>
        </w:tc>
        <w:tc>
          <w:tcPr>
            <w:tcW w:w="1800" w:type="dxa"/>
          </w:tcPr>
          <w:p w:rsidR="00CF71AC" w:rsidRPr="007D2AA2" w:rsidRDefault="00CF71AC" w:rsidP="00346242">
            <w:pPr>
              <w:tabs>
                <w:tab w:val="right" w:pos="1231"/>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28,804</w:t>
            </w:r>
          </w:p>
        </w:tc>
        <w:tc>
          <w:tcPr>
            <w:tcW w:w="2016" w:type="dxa"/>
          </w:tcPr>
          <w:p w:rsidR="00CF71AC" w:rsidRPr="007D2AA2" w:rsidRDefault="00CF71AC" w:rsidP="00346242">
            <w:pPr>
              <w:tabs>
                <w:tab w:val="right" w:pos="1056"/>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47,904</w:t>
            </w:r>
          </w:p>
        </w:tc>
      </w:tr>
      <w:tr w:rsidR="00CF71AC" w:rsidRPr="007D2AA2" w:rsidTr="00346242">
        <w:trPr>
          <w:trHeight w:val="20"/>
          <w:jc w:val="center"/>
        </w:trPr>
        <w:tc>
          <w:tcPr>
            <w:tcW w:w="5040" w:type="dxa"/>
          </w:tcPr>
          <w:p w:rsidR="00CF71AC" w:rsidRPr="007D2AA2" w:rsidRDefault="00CF71AC" w:rsidP="00346242">
            <w:pPr>
              <w:jc w:val="right"/>
              <w:outlineLvl w:val="0"/>
              <w:rPr>
                <w:rFonts w:ascii="Arial" w:hAnsi="Arial" w:cs="Arial"/>
                <w:b/>
                <w:lang w:val="en-GB"/>
              </w:rPr>
            </w:pPr>
          </w:p>
        </w:tc>
        <w:tc>
          <w:tcPr>
            <w:tcW w:w="1800" w:type="dxa"/>
          </w:tcPr>
          <w:p w:rsidR="00CF71AC" w:rsidRPr="007D2AA2" w:rsidRDefault="00CF71AC" w:rsidP="00346242">
            <w:pPr>
              <w:tabs>
                <w:tab w:val="right" w:pos="1231"/>
              </w:tabs>
              <w:jc w:val="right"/>
              <w:outlineLvl w:val="0"/>
              <w:rPr>
                <w:rFonts w:ascii="Arial" w:hAnsi="Arial" w:cs="Arial"/>
                <w:b/>
                <w:lang w:val="en-GB"/>
              </w:rPr>
            </w:pPr>
          </w:p>
        </w:tc>
        <w:tc>
          <w:tcPr>
            <w:tcW w:w="2016" w:type="dxa"/>
          </w:tcPr>
          <w:p w:rsidR="00CF71AC" w:rsidRPr="007D2AA2" w:rsidRDefault="00CF71AC" w:rsidP="00346242">
            <w:pPr>
              <w:tabs>
                <w:tab w:val="right" w:pos="1056"/>
              </w:tabs>
              <w:jc w:val="right"/>
              <w:outlineLvl w:val="0"/>
              <w:rPr>
                <w:rFonts w:ascii="Arial" w:hAnsi="Arial" w:cs="Arial"/>
                <w:b/>
                <w:lang w:val="en-GB"/>
              </w:rPr>
            </w:pPr>
          </w:p>
        </w:tc>
      </w:tr>
      <w:tr w:rsidR="00CF71AC" w:rsidRPr="007D2AA2" w:rsidTr="00346242">
        <w:trPr>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LIABILITIES AND SHAREHOLDERS’ EQUITY</w:t>
            </w:r>
          </w:p>
        </w:tc>
        <w:tc>
          <w:tcPr>
            <w:tcW w:w="1800" w:type="dxa"/>
          </w:tcPr>
          <w:p w:rsidR="00CF71AC" w:rsidRPr="007D2AA2" w:rsidRDefault="00CF71AC" w:rsidP="00346242">
            <w:pPr>
              <w:tabs>
                <w:tab w:val="right" w:pos="1231"/>
              </w:tabs>
              <w:jc w:val="right"/>
              <w:outlineLvl w:val="0"/>
              <w:rPr>
                <w:rFonts w:ascii="Arial" w:hAnsi="Arial" w:cs="Arial"/>
                <w:b/>
                <w:lang w:val="en-GB"/>
              </w:rPr>
            </w:pPr>
          </w:p>
        </w:tc>
        <w:tc>
          <w:tcPr>
            <w:tcW w:w="2016" w:type="dxa"/>
          </w:tcPr>
          <w:p w:rsidR="00CF71AC" w:rsidRPr="007D2AA2" w:rsidRDefault="00CF71AC" w:rsidP="00346242">
            <w:pPr>
              <w:tabs>
                <w:tab w:val="right" w:pos="1056"/>
              </w:tabs>
              <w:jc w:val="right"/>
              <w:outlineLvl w:val="0"/>
              <w:rPr>
                <w:rFonts w:ascii="Arial" w:hAnsi="Arial" w:cs="Arial"/>
                <w:b/>
                <w:lang w:val="en-GB"/>
              </w:rPr>
            </w:pPr>
          </w:p>
        </w:tc>
      </w:tr>
      <w:tr w:rsidR="00CF71AC" w:rsidRPr="007D2AA2" w:rsidTr="00346242">
        <w:trPr>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Current liabilities</w:t>
            </w:r>
          </w:p>
        </w:tc>
        <w:tc>
          <w:tcPr>
            <w:tcW w:w="1800" w:type="dxa"/>
          </w:tcPr>
          <w:p w:rsidR="00CF71AC" w:rsidRPr="007D2AA2" w:rsidRDefault="00CF71AC" w:rsidP="00346242">
            <w:pPr>
              <w:tabs>
                <w:tab w:val="right" w:pos="1231"/>
              </w:tabs>
              <w:jc w:val="right"/>
              <w:outlineLvl w:val="0"/>
              <w:rPr>
                <w:rFonts w:ascii="Arial" w:hAnsi="Arial" w:cs="Arial"/>
                <w:b/>
                <w:lang w:val="en-GB"/>
              </w:rPr>
            </w:pPr>
          </w:p>
        </w:tc>
        <w:tc>
          <w:tcPr>
            <w:tcW w:w="2016" w:type="dxa"/>
          </w:tcPr>
          <w:p w:rsidR="00CF71AC" w:rsidRPr="007D2AA2" w:rsidRDefault="00CF71AC" w:rsidP="00346242">
            <w:pPr>
              <w:tabs>
                <w:tab w:val="right" w:pos="1056"/>
              </w:tabs>
              <w:jc w:val="right"/>
              <w:outlineLvl w:val="0"/>
              <w:rPr>
                <w:rFonts w:ascii="Arial" w:hAnsi="Arial" w:cs="Arial"/>
                <w:b/>
                <w:lang w:val="en-GB"/>
              </w:rPr>
            </w:pP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Short-term borrowings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511</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1,155</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Account</w:t>
            </w:r>
            <w:r>
              <w:rPr>
                <w:rFonts w:ascii="Arial" w:hAnsi="Arial" w:cs="Arial"/>
                <w:lang w:val="en-GB"/>
              </w:rPr>
              <w:t>s</w:t>
            </w:r>
            <w:r w:rsidRPr="007D2AA2">
              <w:rPr>
                <w:rFonts w:ascii="Arial" w:hAnsi="Arial" w:cs="Arial"/>
                <w:lang w:val="en-GB"/>
              </w:rPr>
              <w:t xml:space="preserve"> payable and other current liabilities</w:t>
            </w:r>
          </w:p>
        </w:tc>
        <w:tc>
          <w:tcPr>
            <w:tcW w:w="1800" w:type="dxa"/>
          </w:tcPr>
          <w:p w:rsidR="00CF71AC" w:rsidRPr="007D2AA2" w:rsidRDefault="00CF71AC" w:rsidP="00745EF4">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1,41</w:t>
            </w:r>
            <w:r w:rsidR="00745EF4">
              <w:rPr>
                <w:rFonts w:ascii="Arial" w:hAnsi="Arial" w:cs="Arial"/>
                <w:lang w:val="en-GB"/>
              </w:rPr>
              <w:t>9</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1,970</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Regulatory liabilities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298</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492</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 xml:space="preserve">Current </w:t>
            </w:r>
            <w:proofErr w:type="spellStart"/>
            <w:r w:rsidRPr="007D2AA2">
              <w:rPr>
                <w:rFonts w:ascii="Arial" w:hAnsi="Arial" w:cs="Arial"/>
                <w:lang w:val="en-GB"/>
              </w:rPr>
              <w:t>installments</w:t>
            </w:r>
            <w:proofErr w:type="spellEnd"/>
            <w:r w:rsidRPr="007D2AA2">
              <w:rPr>
                <w:rFonts w:ascii="Arial" w:hAnsi="Arial" w:cs="Arial"/>
                <w:lang w:val="en-GB"/>
              </w:rPr>
              <w:t xml:space="preserve"> of long-term debt</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384</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251</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 xml:space="preserve">Current </w:t>
            </w:r>
            <w:proofErr w:type="spellStart"/>
            <w:r w:rsidRPr="007D2AA2">
              <w:rPr>
                <w:rFonts w:ascii="Arial" w:hAnsi="Arial" w:cs="Arial"/>
                <w:lang w:val="en-GB"/>
              </w:rPr>
              <w:t>installments</w:t>
            </w:r>
            <w:proofErr w:type="spellEnd"/>
            <w:r w:rsidRPr="007D2AA2">
              <w:rPr>
                <w:rFonts w:ascii="Arial" w:hAnsi="Arial" w:cs="Arial"/>
                <w:lang w:val="en-GB"/>
              </w:rPr>
              <w:t xml:space="preserve"> of capital lease and finance obligations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26</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76</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b/>
                <w:lang w:val="en-GB"/>
              </w:rPr>
            </w:pPr>
            <w:r w:rsidRPr="007D2AA2">
              <w:rPr>
                <w:rFonts w:ascii="Arial" w:hAnsi="Arial" w:cs="Arial"/>
                <w:b/>
                <w:lang w:val="en-GB"/>
              </w:rPr>
              <w:t>Total current liabilities</w:t>
            </w:r>
          </w:p>
        </w:tc>
        <w:tc>
          <w:tcPr>
            <w:tcW w:w="1800" w:type="dxa"/>
          </w:tcPr>
          <w:p w:rsidR="00CF71AC" w:rsidRPr="007D2AA2" w:rsidRDefault="00CF71AC" w:rsidP="00346242">
            <w:pPr>
              <w:tabs>
                <w:tab w:val="right" w:pos="1231"/>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2,638</w:t>
            </w:r>
          </w:p>
        </w:tc>
        <w:tc>
          <w:tcPr>
            <w:tcW w:w="2016" w:type="dxa"/>
          </w:tcPr>
          <w:p w:rsidR="00CF71AC" w:rsidRPr="007D2AA2" w:rsidRDefault="00CF71AC" w:rsidP="00346242">
            <w:pPr>
              <w:tabs>
                <w:tab w:val="right" w:pos="1056"/>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3,944</w:t>
            </w:r>
            <w:r>
              <w:rPr>
                <w:rFonts w:ascii="Arial" w:hAnsi="Arial" w:cs="Arial"/>
                <w:b/>
                <w:lang w:val="en-GB"/>
              </w:rPr>
              <w:fldChar w:fldCharType="begin"/>
            </w:r>
            <w:r>
              <w:rPr>
                <w:rFonts w:ascii="Arial" w:hAnsi="Arial" w:cs="Arial"/>
                <w:b/>
                <w:lang w:val="en-GB"/>
              </w:rPr>
              <w:instrText xml:space="preserve"> =SUM(ABOVE) </w:instrText>
            </w:r>
            <w:r>
              <w:rPr>
                <w:rFonts w:ascii="Arial" w:hAnsi="Arial" w:cs="Arial"/>
                <w:b/>
                <w:lang w:val="en-GB"/>
              </w:rPr>
              <w:fldChar w:fldCharType="end"/>
            </w:r>
          </w:p>
        </w:tc>
      </w:tr>
      <w:tr w:rsidR="00CF71AC" w:rsidRPr="007D2AA2" w:rsidTr="00346242">
        <w:trPr>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Other liabilities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1,152</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1,279</w:t>
            </w:r>
          </w:p>
        </w:tc>
      </w:tr>
      <w:tr w:rsidR="00CF71AC" w:rsidRPr="007D2AA2" w:rsidTr="00346242">
        <w:trPr>
          <w:trHeight w:val="144"/>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Regulatory liabilities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1,340</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1,691</w:t>
            </w:r>
          </w:p>
        </w:tc>
      </w:tr>
      <w:tr w:rsidR="00CF71AC" w:rsidRPr="007D2AA2" w:rsidTr="00346242">
        <w:trPr>
          <w:trHeight w:val="144"/>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Deferred income taxes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2,050</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3,263</w:t>
            </w:r>
          </w:p>
        </w:tc>
      </w:tr>
      <w:tr w:rsidR="00CF71AC" w:rsidRPr="007D2AA2" w:rsidTr="00346242">
        <w:trPr>
          <w:trHeight w:val="144"/>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Long-term debt</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10,784</w:t>
            </w:r>
          </w:p>
        </w:tc>
        <w:tc>
          <w:tcPr>
            <w:tcW w:w="2016" w:type="dxa"/>
          </w:tcPr>
          <w:p w:rsidR="00CF71AC" w:rsidRPr="007D2AA2" w:rsidRDefault="00CF71AC" w:rsidP="00346242">
            <w:pPr>
              <w:tabs>
                <w:tab w:val="right" w:pos="1056"/>
              </w:tabs>
              <w:jc w:val="right"/>
              <w:outlineLvl w:val="0"/>
              <w:rPr>
                <w:rFonts w:ascii="Arial" w:hAnsi="Arial" w:cs="Arial"/>
                <w:vertAlign w:val="superscript"/>
                <w:lang w:val="en-GB"/>
              </w:rPr>
            </w:pPr>
            <w:r>
              <w:rPr>
                <w:rFonts w:ascii="Arial" w:hAnsi="Arial" w:cs="Arial"/>
                <w:lang w:val="en-GB"/>
              </w:rPr>
              <w:tab/>
            </w:r>
            <w:r w:rsidRPr="007D2AA2">
              <w:rPr>
                <w:rFonts w:ascii="Arial" w:hAnsi="Arial" w:cs="Arial"/>
                <w:lang w:val="en-GB"/>
              </w:rPr>
              <w:t>20,817</w:t>
            </w:r>
            <w:r>
              <w:rPr>
                <w:rStyle w:val="CommentReference"/>
                <w:rFonts w:ascii="Arial" w:hAnsi="Arial" w:cs="Arial"/>
                <w:vertAlign w:val="superscript"/>
                <w:lang w:val="en-GB"/>
              </w:rPr>
              <w:t>2</w:t>
            </w:r>
          </w:p>
        </w:tc>
      </w:tr>
      <w:tr w:rsidR="00CF71AC" w:rsidRPr="007D2AA2" w:rsidTr="00346242">
        <w:trPr>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Capital lease and finance obligations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487</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460</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b/>
                <w:lang w:val="en-GB"/>
              </w:rPr>
            </w:pPr>
            <w:r w:rsidRPr="007D2AA2">
              <w:rPr>
                <w:rFonts w:ascii="Arial" w:hAnsi="Arial" w:cs="Arial"/>
                <w:b/>
                <w:lang w:val="en-GB"/>
              </w:rPr>
              <w:t>Total liabilities</w:t>
            </w:r>
          </w:p>
        </w:tc>
        <w:tc>
          <w:tcPr>
            <w:tcW w:w="1800" w:type="dxa"/>
          </w:tcPr>
          <w:p w:rsidR="00CF71AC" w:rsidRPr="007D2AA2" w:rsidRDefault="00CF71AC" w:rsidP="00346242">
            <w:pPr>
              <w:tabs>
                <w:tab w:val="right" w:pos="1231"/>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18,451</w:t>
            </w:r>
          </w:p>
        </w:tc>
        <w:tc>
          <w:tcPr>
            <w:tcW w:w="2016" w:type="dxa"/>
          </w:tcPr>
          <w:p w:rsidR="00CF71AC" w:rsidRPr="007D2AA2" w:rsidRDefault="00CF71AC" w:rsidP="00346242">
            <w:pPr>
              <w:tabs>
                <w:tab w:val="right" w:pos="1056"/>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31,454</w:t>
            </w:r>
          </w:p>
        </w:tc>
      </w:tr>
      <w:tr w:rsidR="00CF71AC" w:rsidRPr="007D2AA2" w:rsidTr="00346242">
        <w:trPr>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Shareholders’ equity</w:t>
            </w:r>
          </w:p>
        </w:tc>
        <w:tc>
          <w:tcPr>
            <w:tcW w:w="1800" w:type="dxa"/>
          </w:tcPr>
          <w:p w:rsidR="00CF71AC" w:rsidRPr="007D2AA2" w:rsidRDefault="00CF71AC" w:rsidP="00346242">
            <w:pPr>
              <w:tabs>
                <w:tab w:val="right" w:pos="1231"/>
              </w:tabs>
              <w:jc w:val="right"/>
              <w:outlineLvl w:val="0"/>
              <w:rPr>
                <w:rFonts w:ascii="Arial" w:hAnsi="Arial" w:cs="Arial"/>
                <w:b/>
                <w:lang w:val="en-GB"/>
              </w:rPr>
            </w:pPr>
          </w:p>
        </w:tc>
        <w:tc>
          <w:tcPr>
            <w:tcW w:w="2016" w:type="dxa"/>
          </w:tcPr>
          <w:p w:rsidR="00CF71AC" w:rsidRPr="007D2AA2" w:rsidRDefault="00CF71AC" w:rsidP="00346242">
            <w:pPr>
              <w:tabs>
                <w:tab w:val="right" w:pos="1056"/>
              </w:tabs>
              <w:jc w:val="right"/>
              <w:outlineLvl w:val="0"/>
              <w:rPr>
                <w:rFonts w:ascii="Arial" w:hAnsi="Arial" w:cs="Arial"/>
                <w:b/>
                <w:lang w:val="en-GB"/>
              </w:rPr>
            </w:pPr>
          </w:p>
        </w:tc>
      </w:tr>
      <w:tr w:rsidR="00CF71AC" w:rsidRPr="007D2AA2" w:rsidTr="00346242">
        <w:trPr>
          <w:jc w:val="center"/>
        </w:trPr>
        <w:tc>
          <w:tcPr>
            <w:tcW w:w="5040" w:type="dxa"/>
          </w:tcPr>
          <w:p w:rsidR="00CF71AC" w:rsidRPr="007D2AA2" w:rsidRDefault="00CF71AC" w:rsidP="00346242">
            <w:pPr>
              <w:outlineLvl w:val="0"/>
              <w:rPr>
                <w:rFonts w:ascii="Arial" w:hAnsi="Arial" w:cs="Arial"/>
                <w:lang w:val="en-GB"/>
              </w:rPr>
            </w:pPr>
            <w:r>
              <w:rPr>
                <w:rFonts w:ascii="Arial" w:hAnsi="Arial" w:cs="Arial"/>
                <w:lang w:val="en-GB"/>
              </w:rPr>
              <w:t xml:space="preserve">  </w:t>
            </w:r>
            <w:r w:rsidRPr="007D2AA2">
              <w:rPr>
                <w:rFonts w:ascii="Arial" w:hAnsi="Arial" w:cs="Arial"/>
                <w:lang w:val="en-GB"/>
              </w:rPr>
              <w:t>Common shares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5,867</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10,762</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Preferred shares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1,820</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1,623</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Additional paid-in capital</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14</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12</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Accumulated other comprehensive income</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791</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745</w:t>
            </w:r>
          </w:p>
        </w:tc>
      </w:tr>
      <w:tr w:rsidR="00CF71AC" w:rsidRPr="007D2AA2" w:rsidTr="00346242">
        <w:trPr>
          <w:jc w:val="center"/>
        </w:trPr>
        <w:tc>
          <w:tcPr>
            <w:tcW w:w="5040" w:type="dxa"/>
          </w:tcPr>
          <w:p w:rsidR="00CF71AC" w:rsidRPr="007D2AA2" w:rsidRDefault="00CF71AC" w:rsidP="00346242">
            <w:pPr>
              <w:ind w:left="144"/>
              <w:outlineLvl w:val="0"/>
              <w:rPr>
                <w:rFonts w:ascii="Arial" w:hAnsi="Arial" w:cs="Arial"/>
                <w:lang w:val="en-GB"/>
              </w:rPr>
            </w:pPr>
            <w:r w:rsidRPr="007D2AA2">
              <w:rPr>
                <w:rFonts w:ascii="Arial" w:hAnsi="Arial" w:cs="Arial"/>
                <w:lang w:val="en-GB"/>
              </w:rPr>
              <w:t>Retained earnings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1,388</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1,455</w:t>
            </w:r>
          </w:p>
        </w:tc>
      </w:tr>
      <w:tr w:rsidR="00CF71AC" w:rsidRPr="007D2AA2" w:rsidTr="00346242">
        <w:trPr>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Total Fortis Inc. shareholders’ equity</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9,880</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14,597</w:t>
            </w:r>
          </w:p>
        </w:tc>
      </w:tr>
      <w:tr w:rsidR="00CF71AC" w:rsidRPr="007D2AA2" w:rsidTr="00346242">
        <w:trPr>
          <w:trHeight w:val="177"/>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Non-controlling interests</w:t>
            </w:r>
          </w:p>
        </w:tc>
        <w:tc>
          <w:tcPr>
            <w:tcW w:w="1800" w:type="dxa"/>
          </w:tcPr>
          <w:p w:rsidR="00CF71AC" w:rsidRPr="007D2AA2" w:rsidRDefault="00CF71AC" w:rsidP="00346242">
            <w:pPr>
              <w:tabs>
                <w:tab w:val="right" w:pos="1231"/>
              </w:tabs>
              <w:jc w:val="right"/>
              <w:outlineLvl w:val="0"/>
              <w:rPr>
                <w:rFonts w:ascii="Arial" w:hAnsi="Arial" w:cs="Arial"/>
                <w:lang w:val="en-GB"/>
              </w:rPr>
            </w:pPr>
            <w:r>
              <w:rPr>
                <w:rFonts w:ascii="Arial" w:hAnsi="Arial" w:cs="Arial"/>
                <w:lang w:val="en-GB"/>
              </w:rPr>
              <w:tab/>
            </w:r>
            <w:r w:rsidRPr="007D2AA2">
              <w:rPr>
                <w:rFonts w:ascii="Arial" w:hAnsi="Arial" w:cs="Arial"/>
                <w:lang w:val="en-GB"/>
              </w:rPr>
              <w:t>473</w:t>
            </w:r>
          </w:p>
        </w:tc>
        <w:tc>
          <w:tcPr>
            <w:tcW w:w="2016" w:type="dxa"/>
          </w:tcPr>
          <w:p w:rsidR="00CF71AC" w:rsidRPr="007D2AA2" w:rsidRDefault="00CF71AC" w:rsidP="00346242">
            <w:pPr>
              <w:tabs>
                <w:tab w:val="right" w:pos="1056"/>
              </w:tabs>
              <w:jc w:val="right"/>
              <w:outlineLvl w:val="0"/>
              <w:rPr>
                <w:rFonts w:ascii="Arial" w:hAnsi="Arial" w:cs="Arial"/>
                <w:lang w:val="en-GB"/>
              </w:rPr>
            </w:pPr>
            <w:r>
              <w:rPr>
                <w:rFonts w:ascii="Arial" w:hAnsi="Arial" w:cs="Arial"/>
                <w:lang w:val="en-GB"/>
              </w:rPr>
              <w:tab/>
            </w:r>
            <w:r w:rsidRPr="007D2AA2">
              <w:rPr>
                <w:rFonts w:ascii="Arial" w:hAnsi="Arial" w:cs="Arial"/>
                <w:lang w:val="en-GB"/>
              </w:rPr>
              <w:t>1,853</w:t>
            </w:r>
          </w:p>
        </w:tc>
      </w:tr>
      <w:tr w:rsidR="00CF71AC" w:rsidRPr="007D2AA2" w:rsidTr="00346242">
        <w:trPr>
          <w:trHeight w:val="144"/>
          <w:jc w:val="center"/>
        </w:trPr>
        <w:tc>
          <w:tcPr>
            <w:tcW w:w="5040" w:type="dxa"/>
          </w:tcPr>
          <w:p w:rsidR="00CF71AC" w:rsidRPr="007D2AA2" w:rsidRDefault="00CF71AC" w:rsidP="00346242">
            <w:pPr>
              <w:outlineLvl w:val="0"/>
              <w:rPr>
                <w:rFonts w:ascii="Arial" w:hAnsi="Arial" w:cs="Arial"/>
                <w:b/>
                <w:lang w:val="en-GB"/>
              </w:rPr>
            </w:pPr>
            <w:r w:rsidRPr="007D2AA2">
              <w:rPr>
                <w:rFonts w:ascii="Arial" w:hAnsi="Arial" w:cs="Arial"/>
                <w:b/>
                <w:lang w:val="en-GB"/>
              </w:rPr>
              <w:t>Total liabilities and shareholders’ equity</w:t>
            </w:r>
          </w:p>
        </w:tc>
        <w:tc>
          <w:tcPr>
            <w:tcW w:w="1800" w:type="dxa"/>
          </w:tcPr>
          <w:p w:rsidR="00CF71AC" w:rsidRPr="007D2AA2" w:rsidRDefault="00CF71AC" w:rsidP="00346242">
            <w:pPr>
              <w:tabs>
                <w:tab w:val="right" w:pos="1231"/>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28,804</w:t>
            </w:r>
          </w:p>
        </w:tc>
        <w:tc>
          <w:tcPr>
            <w:tcW w:w="2016" w:type="dxa"/>
          </w:tcPr>
          <w:p w:rsidR="00CF71AC" w:rsidRPr="007D2AA2" w:rsidRDefault="00CF71AC" w:rsidP="00346242">
            <w:pPr>
              <w:tabs>
                <w:tab w:val="right" w:pos="1056"/>
              </w:tabs>
              <w:jc w:val="right"/>
              <w:outlineLvl w:val="0"/>
              <w:rPr>
                <w:rFonts w:ascii="Arial" w:hAnsi="Arial" w:cs="Arial"/>
                <w:b/>
                <w:lang w:val="en-GB"/>
              </w:rPr>
            </w:pPr>
            <w:r>
              <w:rPr>
                <w:rFonts w:ascii="Arial" w:hAnsi="Arial" w:cs="Arial"/>
                <w:b/>
                <w:lang w:val="en-GB"/>
              </w:rPr>
              <w:tab/>
            </w:r>
            <w:r w:rsidRPr="007D2AA2">
              <w:rPr>
                <w:rFonts w:ascii="Arial" w:hAnsi="Arial" w:cs="Arial"/>
                <w:b/>
                <w:lang w:val="en-GB"/>
              </w:rPr>
              <w:t>47,904</w:t>
            </w:r>
          </w:p>
        </w:tc>
      </w:tr>
    </w:tbl>
    <w:p w:rsidR="00CF71AC" w:rsidRPr="00DB7BBD" w:rsidRDefault="00CF71AC" w:rsidP="00DB7BBD">
      <w:pPr>
        <w:pStyle w:val="FootnoteText"/>
      </w:pPr>
    </w:p>
    <w:p w:rsidR="00CF71AC" w:rsidRPr="0064450C" w:rsidRDefault="00CF71AC" w:rsidP="00DB7BBD">
      <w:pPr>
        <w:pStyle w:val="FootnoteText"/>
        <w:rPr>
          <w:lang w:val="en-GB"/>
        </w:rPr>
      </w:pPr>
      <w:r w:rsidRPr="0064450C">
        <w:rPr>
          <w:lang w:val="en-GB"/>
        </w:rPr>
        <w:t>Note:</w:t>
      </w:r>
      <w:r w:rsidRPr="007B7648">
        <w:rPr>
          <w:lang w:val="en-GB"/>
        </w:rPr>
        <w:t xml:space="preserve"> </w:t>
      </w:r>
      <w:r w:rsidR="007B7648">
        <w:rPr>
          <w:lang w:val="en-GB"/>
        </w:rPr>
        <w:t>(</w:t>
      </w:r>
      <w:r w:rsidRPr="007B7648">
        <w:rPr>
          <w:lang w:val="en-GB"/>
        </w:rPr>
        <w:t>1)</w:t>
      </w:r>
      <w:r w:rsidRPr="0064450C">
        <w:rPr>
          <w:b/>
          <w:vertAlign w:val="superscript"/>
          <w:lang w:val="en-GB"/>
        </w:rPr>
        <w:t xml:space="preserve"> </w:t>
      </w:r>
      <w:r w:rsidRPr="0064450C">
        <w:rPr>
          <w:lang w:val="en-GB"/>
        </w:rPr>
        <w:t>Regulatory assets and liabilities arise as a result of the rate-setting process at the regulated utilities and have been recognized based on previous, existing or expected regulatory orders or decisions.</w:t>
      </w:r>
      <w:r w:rsidR="007B7648">
        <w:rPr>
          <w:lang w:val="en-GB"/>
        </w:rPr>
        <w:t xml:space="preserve"> (</w:t>
      </w:r>
      <w:r w:rsidRPr="007B7648">
        <w:rPr>
          <w:lang w:val="en-GB"/>
        </w:rPr>
        <w:t xml:space="preserve">2) </w:t>
      </w:r>
      <w:r w:rsidRPr="0064450C">
        <w:rPr>
          <w:lang w:val="en-GB"/>
        </w:rPr>
        <w:t>The increase was mainly due to the issuance of long-term debt at the corporation to finance a portion of the acquisition of ITC, the acquisition of Aitken Creek, and the redemption of First Preference Shares, Series E. Issuances of long-term debt at the regulated utilities, largely in support of energy infrastructure investment, were partially offset by regularly scheduled debt repayments and the impact of foreign exchange on the translation of U.S. dollar-denominated debt.</w:t>
      </w:r>
    </w:p>
    <w:p w:rsidR="00CF71AC" w:rsidRPr="00DB7BBD" w:rsidRDefault="00CF71AC" w:rsidP="00DB7BBD">
      <w:pPr>
        <w:pStyle w:val="FootnoteText"/>
      </w:pPr>
      <w:r w:rsidRPr="00DB7BBD">
        <w:t>Source: Company documents.</w:t>
      </w:r>
    </w:p>
    <w:p w:rsidR="00CF71AC" w:rsidRPr="0064450C" w:rsidRDefault="00CF71AC" w:rsidP="0064450C">
      <w:pPr>
        <w:pStyle w:val="BodyTextMain"/>
        <w:rPr>
          <w:lang w:val="en-GB"/>
        </w:rPr>
      </w:pPr>
    </w:p>
    <w:p w:rsidR="00CF71AC" w:rsidRPr="007D2AA2" w:rsidRDefault="00CF71AC" w:rsidP="00CF71AC">
      <w:pPr>
        <w:rPr>
          <w:spacing w:val="-1"/>
          <w:sz w:val="22"/>
          <w:szCs w:val="22"/>
          <w:lang w:val="en-GB"/>
        </w:rPr>
      </w:pPr>
      <w:r w:rsidRPr="007D2AA2">
        <w:rPr>
          <w:lang w:val="en-GB"/>
        </w:rPr>
        <w:br w:type="page"/>
      </w:r>
    </w:p>
    <w:p w:rsidR="00CF71AC" w:rsidRPr="007D2AA2" w:rsidRDefault="00CF71AC" w:rsidP="00CF71AC">
      <w:pPr>
        <w:pStyle w:val="casehead10"/>
        <w:jc w:val="center"/>
        <w:rPr>
          <w:lang w:val="en-GB"/>
        </w:rPr>
      </w:pPr>
      <w:r w:rsidRPr="007D2AA2">
        <w:rPr>
          <w:lang w:val="en-GB"/>
        </w:rPr>
        <w:lastRenderedPageBreak/>
        <w:t>Exhibit 5: Fortis Inc.’s Utility Capital Assets (Expected with ITC acquisition)</w:t>
      </w:r>
    </w:p>
    <w:p w:rsidR="00CF71AC" w:rsidRPr="007D2AA2" w:rsidRDefault="00CF71AC" w:rsidP="0064450C">
      <w:pPr>
        <w:pStyle w:val="BodyTextMain"/>
        <w:rPr>
          <w:lang w:val="en-GB"/>
        </w:rPr>
      </w:pPr>
    </w:p>
    <w:tbl>
      <w:tblPr>
        <w:tblStyle w:val="TableGrid"/>
        <w:tblW w:w="0" w:type="auto"/>
        <w:jc w:val="center"/>
        <w:tblInd w:w="1956" w:type="dxa"/>
        <w:tblLook w:val="04A0" w:firstRow="1" w:lastRow="0" w:firstColumn="1" w:lastColumn="0" w:noHBand="0" w:noVBand="1"/>
      </w:tblPr>
      <w:tblGrid>
        <w:gridCol w:w="2832"/>
        <w:gridCol w:w="2259"/>
      </w:tblGrid>
      <w:tr w:rsidR="00CF71AC" w:rsidRPr="007D2AA2" w:rsidTr="007B7648">
        <w:trPr>
          <w:trHeight w:val="144"/>
          <w:jc w:val="center"/>
        </w:trPr>
        <w:tc>
          <w:tcPr>
            <w:tcW w:w="2832" w:type="dxa"/>
          </w:tcPr>
          <w:p w:rsidR="00CF71AC" w:rsidRPr="001931E9" w:rsidRDefault="00CF71AC" w:rsidP="007B7648">
            <w:pPr>
              <w:pStyle w:val="BodyText"/>
              <w:spacing w:after="0"/>
              <w:jc w:val="center"/>
              <w:rPr>
                <w:b/>
                <w:lang w:val="en-GB"/>
              </w:rPr>
            </w:pPr>
            <w:r w:rsidRPr="001931E9">
              <w:rPr>
                <w:rFonts w:ascii="Arial" w:hAnsi="Arial" w:cs="Arial"/>
                <w:b/>
                <w:lang w:val="en-GB"/>
              </w:rPr>
              <w:t>Capital Asset</w:t>
            </w:r>
          </w:p>
        </w:tc>
        <w:tc>
          <w:tcPr>
            <w:tcW w:w="2259" w:type="dxa"/>
          </w:tcPr>
          <w:p w:rsidR="00CF71AC" w:rsidRPr="007D2AA2" w:rsidRDefault="00CF71AC" w:rsidP="007B7648">
            <w:pPr>
              <w:pStyle w:val="BodyText"/>
              <w:spacing w:after="0"/>
              <w:jc w:val="center"/>
              <w:rPr>
                <w:lang w:val="en-GB"/>
              </w:rPr>
            </w:pPr>
            <w:r w:rsidRPr="007D2AA2">
              <w:rPr>
                <w:rFonts w:ascii="Arial" w:hAnsi="Arial" w:cs="Arial"/>
                <w:b/>
                <w:lang w:val="en-GB"/>
              </w:rPr>
              <w:t>Cost (</w:t>
            </w:r>
            <w:r>
              <w:rPr>
                <w:rFonts w:ascii="Arial" w:hAnsi="Arial" w:cs="Arial"/>
                <w:b/>
                <w:lang w:val="en-GB"/>
              </w:rPr>
              <w:t>in CA</w:t>
            </w:r>
            <w:r w:rsidRPr="007D2AA2">
              <w:rPr>
                <w:rFonts w:ascii="Arial" w:hAnsi="Arial" w:cs="Arial"/>
                <w:b/>
                <w:lang w:val="en-GB"/>
              </w:rPr>
              <w:t>$ billions)</w:t>
            </w:r>
          </w:p>
        </w:tc>
      </w:tr>
      <w:tr w:rsidR="00CF71AC" w:rsidRPr="007D2AA2" w:rsidTr="007B7648">
        <w:trPr>
          <w:trHeight w:val="144"/>
          <w:jc w:val="center"/>
        </w:trPr>
        <w:tc>
          <w:tcPr>
            <w:tcW w:w="2832" w:type="dxa"/>
          </w:tcPr>
          <w:p w:rsidR="00CF71AC" w:rsidRPr="007D2AA2" w:rsidRDefault="00CF71AC" w:rsidP="007B7648">
            <w:pPr>
              <w:pStyle w:val="BodyText"/>
              <w:spacing w:after="0"/>
              <w:rPr>
                <w:lang w:val="en-GB"/>
              </w:rPr>
            </w:pPr>
            <w:r w:rsidRPr="007D2AA2">
              <w:rPr>
                <w:rFonts w:ascii="Arial" w:hAnsi="Arial" w:cs="Arial"/>
                <w:lang w:val="en-GB"/>
              </w:rPr>
              <w:t>Electrical Distribution</w:t>
            </w:r>
          </w:p>
        </w:tc>
        <w:tc>
          <w:tcPr>
            <w:tcW w:w="2259" w:type="dxa"/>
          </w:tcPr>
          <w:p w:rsidR="00CF71AC" w:rsidRPr="007D2AA2" w:rsidRDefault="00CF71AC" w:rsidP="007B7648">
            <w:pPr>
              <w:pStyle w:val="BodyText"/>
              <w:spacing w:after="0"/>
              <w:jc w:val="right"/>
              <w:rPr>
                <w:lang w:val="en-GB"/>
              </w:rPr>
            </w:pPr>
            <w:r w:rsidRPr="007D2AA2">
              <w:rPr>
                <w:rFonts w:ascii="Arial" w:hAnsi="Arial" w:cs="Arial"/>
                <w:lang w:val="en-GB"/>
              </w:rPr>
              <w:t>9,245</w:t>
            </w:r>
          </w:p>
        </w:tc>
      </w:tr>
      <w:tr w:rsidR="00CF71AC" w:rsidRPr="007D2AA2" w:rsidTr="007B7648">
        <w:trPr>
          <w:trHeight w:val="144"/>
          <w:jc w:val="center"/>
        </w:trPr>
        <w:tc>
          <w:tcPr>
            <w:tcW w:w="2832" w:type="dxa"/>
          </w:tcPr>
          <w:p w:rsidR="00CF71AC" w:rsidRPr="007D2AA2" w:rsidRDefault="00CF71AC" w:rsidP="007B7648">
            <w:pPr>
              <w:pStyle w:val="BodyText"/>
              <w:spacing w:after="0"/>
              <w:rPr>
                <w:lang w:val="en-GB"/>
              </w:rPr>
            </w:pPr>
            <w:r w:rsidRPr="007D2AA2">
              <w:rPr>
                <w:rFonts w:ascii="Arial" w:hAnsi="Arial" w:cs="Arial"/>
                <w:lang w:val="en-GB"/>
              </w:rPr>
              <w:t>Gas Distribution</w:t>
            </w:r>
          </w:p>
        </w:tc>
        <w:tc>
          <w:tcPr>
            <w:tcW w:w="2259" w:type="dxa"/>
          </w:tcPr>
          <w:p w:rsidR="00CF71AC" w:rsidRPr="007D2AA2" w:rsidRDefault="00CF71AC" w:rsidP="007B7648">
            <w:pPr>
              <w:pStyle w:val="BodyText"/>
              <w:spacing w:after="0"/>
              <w:jc w:val="right"/>
              <w:rPr>
                <w:lang w:val="en-GB"/>
              </w:rPr>
            </w:pPr>
            <w:r w:rsidRPr="007D2AA2">
              <w:rPr>
                <w:rFonts w:ascii="Arial" w:hAnsi="Arial" w:cs="Arial"/>
                <w:lang w:val="en-GB"/>
              </w:rPr>
              <w:t>3,829</w:t>
            </w:r>
          </w:p>
        </w:tc>
      </w:tr>
      <w:tr w:rsidR="00CF71AC" w:rsidRPr="007D2AA2" w:rsidTr="007B7648">
        <w:trPr>
          <w:trHeight w:val="144"/>
          <w:jc w:val="center"/>
        </w:trPr>
        <w:tc>
          <w:tcPr>
            <w:tcW w:w="2832" w:type="dxa"/>
          </w:tcPr>
          <w:p w:rsidR="00CF71AC" w:rsidRPr="007D2AA2" w:rsidRDefault="00CF71AC" w:rsidP="007B7648">
            <w:pPr>
              <w:rPr>
                <w:lang w:val="en-GB"/>
              </w:rPr>
            </w:pPr>
            <w:r w:rsidRPr="007D2AA2">
              <w:rPr>
                <w:rFonts w:ascii="Arial" w:hAnsi="Arial" w:cs="Arial"/>
                <w:lang w:val="en-GB"/>
              </w:rPr>
              <w:t>Electric Transmission</w:t>
            </w:r>
          </w:p>
        </w:tc>
        <w:tc>
          <w:tcPr>
            <w:tcW w:w="2259" w:type="dxa"/>
          </w:tcPr>
          <w:p w:rsidR="00CF71AC" w:rsidRPr="007D2AA2" w:rsidRDefault="00CF71AC" w:rsidP="007B7648">
            <w:pPr>
              <w:pStyle w:val="BodyText"/>
              <w:spacing w:after="0"/>
              <w:jc w:val="right"/>
              <w:rPr>
                <w:lang w:val="en-GB"/>
              </w:rPr>
            </w:pPr>
            <w:r w:rsidRPr="007D2AA2">
              <w:rPr>
                <w:rFonts w:ascii="Arial" w:hAnsi="Arial" w:cs="Arial"/>
                <w:lang w:val="en-GB"/>
              </w:rPr>
              <w:t>3,093</w:t>
            </w:r>
          </w:p>
        </w:tc>
      </w:tr>
      <w:tr w:rsidR="00CF71AC" w:rsidRPr="007D2AA2" w:rsidTr="007B7648">
        <w:trPr>
          <w:trHeight w:val="144"/>
          <w:jc w:val="center"/>
        </w:trPr>
        <w:tc>
          <w:tcPr>
            <w:tcW w:w="2832" w:type="dxa"/>
          </w:tcPr>
          <w:p w:rsidR="00CF71AC" w:rsidRPr="007D2AA2" w:rsidRDefault="00CF71AC" w:rsidP="007B7648">
            <w:pPr>
              <w:pStyle w:val="BodyText"/>
              <w:spacing w:after="0"/>
              <w:rPr>
                <w:lang w:val="en-GB"/>
              </w:rPr>
            </w:pPr>
            <w:r w:rsidRPr="007D2AA2">
              <w:rPr>
                <w:rFonts w:ascii="Arial" w:hAnsi="Arial" w:cs="Arial"/>
                <w:lang w:val="en-GB"/>
              </w:rPr>
              <w:t>Gas Transmission</w:t>
            </w:r>
          </w:p>
        </w:tc>
        <w:tc>
          <w:tcPr>
            <w:tcW w:w="2259" w:type="dxa"/>
          </w:tcPr>
          <w:p w:rsidR="00CF71AC" w:rsidRPr="007D2AA2" w:rsidRDefault="00CF71AC" w:rsidP="007B7648">
            <w:pPr>
              <w:pStyle w:val="BodyText"/>
              <w:spacing w:after="0"/>
              <w:jc w:val="right"/>
              <w:rPr>
                <w:lang w:val="en-GB"/>
              </w:rPr>
            </w:pPr>
            <w:r w:rsidRPr="007D2AA2">
              <w:rPr>
                <w:rFonts w:ascii="Arial" w:hAnsi="Arial" w:cs="Arial"/>
                <w:lang w:val="en-GB"/>
              </w:rPr>
              <w:t>1,735</w:t>
            </w:r>
          </w:p>
        </w:tc>
      </w:tr>
      <w:tr w:rsidR="00CF71AC" w:rsidRPr="007D2AA2" w:rsidTr="007B7648">
        <w:trPr>
          <w:trHeight w:val="144"/>
          <w:jc w:val="center"/>
        </w:trPr>
        <w:tc>
          <w:tcPr>
            <w:tcW w:w="2832" w:type="dxa"/>
          </w:tcPr>
          <w:p w:rsidR="00CF71AC" w:rsidRPr="007D2AA2" w:rsidRDefault="00CF71AC" w:rsidP="007B7648">
            <w:pPr>
              <w:pStyle w:val="BodyText"/>
              <w:spacing w:after="0"/>
              <w:rPr>
                <w:lang w:val="en-GB"/>
              </w:rPr>
            </w:pPr>
            <w:r w:rsidRPr="007D2AA2">
              <w:rPr>
                <w:rFonts w:ascii="Arial" w:hAnsi="Arial" w:cs="Arial"/>
                <w:lang w:val="en-GB"/>
              </w:rPr>
              <w:t>Generation</w:t>
            </w:r>
          </w:p>
        </w:tc>
        <w:tc>
          <w:tcPr>
            <w:tcW w:w="2259" w:type="dxa"/>
          </w:tcPr>
          <w:p w:rsidR="00CF71AC" w:rsidRPr="007D2AA2" w:rsidRDefault="00CF71AC" w:rsidP="007B7648">
            <w:pPr>
              <w:pStyle w:val="BodyText"/>
              <w:spacing w:after="0"/>
              <w:jc w:val="right"/>
              <w:rPr>
                <w:lang w:val="en-GB"/>
              </w:rPr>
            </w:pPr>
            <w:r w:rsidRPr="007D2AA2">
              <w:rPr>
                <w:rFonts w:ascii="Arial" w:hAnsi="Arial" w:cs="Arial"/>
                <w:lang w:val="en-GB"/>
              </w:rPr>
              <w:t>6,465</w:t>
            </w:r>
          </w:p>
        </w:tc>
      </w:tr>
      <w:tr w:rsidR="00CF71AC" w:rsidRPr="007D2AA2" w:rsidTr="007B7648">
        <w:trPr>
          <w:trHeight w:val="144"/>
          <w:jc w:val="center"/>
        </w:trPr>
        <w:tc>
          <w:tcPr>
            <w:tcW w:w="2832" w:type="dxa"/>
          </w:tcPr>
          <w:p w:rsidR="00CF71AC" w:rsidRPr="007D2AA2" w:rsidRDefault="00CF71AC" w:rsidP="007B7648">
            <w:pPr>
              <w:pStyle w:val="BodyText"/>
              <w:spacing w:after="0"/>
              <w:rPr>
                <w:lang w:val="en-GB"/>
              </w:rPr>
            </w:pPr>
            <w:r w:rsidRPr="007D2AA2">
              <w:rPr>
                <w:rFonts w:ascii="Arial" w:hAnsi="Arial" w:cs="Arial"/>
                <w:lang w:val="en-GB"/>
              </w:rPr>
              <w:t>Assets Under Construction</w:t>
            </w:r>
          </w:p>
        </w:tc>
        <w:tc>
          <w:tcPr>
            <w:tcW w:w="2259" w:type="dxa"/>
          </w:tcPr>
          <w:p w:rsidR="00CF71AC" w:rsidRPr="007D2AA2" w:rsidRDefault="00CF71AC" w:rsidP="007B7648">
            <w:pPr>
              <w:pStyle w:val="BodyText"/>
              <w:spacing w:after="0"/>
              <w:jc w:val="right"/>
              <w:rPr>
                <w:lang w:val="en-GB"/>
              </w:rPr>
            </w:pPr>
            <w:r w:rsidRPr="007D2AA2">
              <w:rPr>
                <w:rFonts w:ascii="Arial" w:hAnsi="Arial" w:cs="Arial"/>
                <w:lang w:val="en-GB"/>
              </w:rPr>
              <w:t>889</w:t>
            </w:r>
          </w:p>
        </w:tc>
      </w:tr>
      <w:tr w:rsidR="00CF71AC" w:rsidRPr="007D2AA2" w:rsidTr="007B7648">
        <w:trPr>
          <w:trHeight w:val="144"/>
          <w:jc w:val="center"/>
        </w:trPr>
        <w:tc>
          <w:tcPr>
            <w:tcW w:w="2832" w:type="dxa"/>
          </w:tcPr>
          <w:p w:rsidR="00CF71AC" w:rsidRPr="007D2AA2" w:rsidRDefault="00CF71AC" w:rsidP="007B7648">
            <w:pPr>
              <w:pStyle w:val="BodyText"/>
              <w:spacing w:after="0"/>
              <w:rPr>
                <w:lang w:val="en-GB"/>
              </w:rPr>
            </w:pPr>
            <w:r w:rsidRPr="007D2AA2">
              <w:rPr>
                <w:rFonts w:ascii="Arial" w:hAnsi="Arial" w:cs="Arial"/>
                <w:lang w:val="en-GB"/>
              </w:rPr>
              <w:t>Land</w:t>
            </w:r>
          </w:p>
        </w:tc>
        <w:tc>
          <w:tcPr>
            <w:tcW w:w="2259" w:type="dxa"/>
          </w:tcPr>
          <w:p w:rsidR="00CF71AC" w:rsidRPr="007D2AA2" w:rsidRDefault="00CF71AC" w:rsidP="007B7648">
            <w:pPr>
              <w:pStyle w:val="BodyText"/>
              <w:spacing w:after="0"/>
              <w:jc w:val="right"/>
              <w:rPr>
                <w:lang w:val="en-GB"/>
              </w:rPr>
            </w:pPr>
            <w:r w:rsidRPr="007D2AA2">
              <w:rPr>
                <w:rFonts w:ascii="Arial" w:hAnsi="Arial" w:cs="Arial"/>
                <w:lang w:val="en-GB"/>
              </w:rPr>
              <w:t>186</w:t>
            </w:r>
          </w:p>
        </w:tc>
      </w:tr>
      <w:tr w:rsidR="00CF71AC" w:rsidRPr="007D2AA2" w:rsidTr="007B7648">
        <w:trPr>
          <w:trHeight w:val="144"/>
          <w:jc w:val="center"/>
        </w:trPr>
        <w:tc>
          <w:tcPr>
            <w:tcW w:w="2832" w:type="dxa"/>
          </w:tcPr>
          <w:p w:rsidR="00CF71AC" w:rsidRPr="007D2AA2" w:rsidRDefault="00CF71AC" w:rsidP="007B7648">
            <w:pPr>
              <w:pStyle w:val="BodyText"/>
              <w:spacing w:after="0"/>
              <w:rPr>
                <w:lang w:val="en-GB"/>
              </w:rPr>
            </w:pPr>
            <w:r w:rsidRPr="007D2AA2">
              <w:rPr>
                <w:rFonts w:ascii="Arial" w:hAnsi="Arial" w:cs="Arial"/>
                <w:lang w:val="en-GB"/>
              </w:rPr>
              <w:t>Other</w:t>
            </w:r>
          </w:p>
        </w:tc>
        <w:tc>
          <w:tcPr>
            <w:tcW w:w="2259" w:type="dxa"/>
          </w:tcPr>
          <w:p w:rsidR="00CF71AC" w:rsidRPr="007D2AA2" w:rsidRDefault="00CF71AC" w:rsidP="007B7648">
            <w:pPr>
              <w:pStyle w:val="BodyText"/>
              <w:spacing w:after="0"/>
              <w:jc w:val="right"/>
              <w:rPr>
                <w:lang w:val="en-GB"/>
              </w:rPr>
            </w:pPr>
            <w:r w:rsidRPr="007D2AA2">
              <w:rPr>
                <w:rFonts w:ascii="Arial" w:hAnsi="Arial" w:cs="Arial"/>
                <w:lang w:val="en-GB"/>
              </w:rPr>
              <w:t>2,429</w:t>
            </w:r>
          </w:p>
        </w:tc>
      </w:tr>
    </w:tbl>
    <w:p w:rsidR="00CF71AC" w:rsidRPr="0064450C" w:rsidRDefault="00CF71AC" w:rsidP="00DB7BBD">
      <w:pPr>
        <w:pStyle w:val="FootnoteText"/>
        <w:rPr>
          <w:lang w:val="en-GB"/>
        </w:rPr>
      </w:pPr>
    </w:p>
    <w:p w:rsidR="00CF71AC" w:rsidRPr="0064450C" w:rsidRDefault="00CF71AC" w:rsidP="00DB7BBD">
      <w:pPr>
        <w:pStyle w:val="FootnoteText"/>
        <w:rPr>
          <w:lang w:val="en-GB"/>
        </w:rPr>
      </w:pPr>
      <w:r w:rsidRPr="0064450C">
        <w:rPr>
          <w:lang w:val="en-GB"/>
        </w:rPr>
        <w:t>Source: Company documents.</w:t>
      </w:r>
    </w:p>
    <w:p w:rsidR="00CF71AC" w:rsidRPr="007D2AA2" w:rsidRDefault="00CF71AC" w:rsidP="0064450C">
      <w:pPr>
        <w:pStyle w:val="BodyTextMain"/>
        <w:rPr>
          <w:lang w:val="en-GB"/>
        </w:rPr>
      </w:pPr>
    </w:p>
    <w:p w:rsidR="00CF71AC" w:rsidRPr="007D2AA2" w:rsidRDefault="00CF71AC" w:rsidP="0064450C">
      <w:pPr>
        <w:pStyle w:val="BodyTextMain"/>
        <w:rPr>
          <w:lang w:val="en-GB"/>
        </w:rPr>
      </w:pPr>
    </w:p>
    <w:p w:rsidR="00CF71AC" w:rsidRPr="007D2AA2" w:rsidRDefault="00CF71AC" w:rsidP="00CF71AC">
      <w:pPr>
        <w:pStyle w:val="casehead10"/>
        <w:jc w:val="center"/>
        <w:rPr>
          <w:lang w:val="en-GB"/>
        </w:rPr>
      </w:pPr>
      <w:r w:rsidRPr="007D2AA2">
        <w:rPr>
          <w:rFonts w:cs="Arial"/>
          <w:lang w:val="en-GB"/>
        </w:rPr>
        <w:t xml:space="preserve">Exhibit 6: </w:t>
      </w:r>
      <w:r w:rsidRPr="007D2AA2">
        <w:rPr>
          <w:lang w:val="en-GB"/>
        </w:rPr>
        <w:t>Electricity Distribution</w:t>
      </w:r>
    </w:p>
    <w:p w:rsidR="00CF71AC" w:rsidRPr="007D2AA2" w:rsidRDefault="00CF71AC" w:rsidP="0064450C">
      <w:pPr>
        <w:pStyle w:val="BodyTextMain"/>
        <w:rPr>
          <w:lang w:val="en-GB"/>
        </w:rPr>
      </w:pPr>
    </w:p>
    <w:p w:rsidR="00CF71AC" w:rsidRPr="007D2AA2" w:rsidRDefault="00CF71AC" w:rsidP="00CF71AC">
      <w:pPr>
        <w:pStyle w:val="BodyText"/>
        <w:jc w:val="center"/>
        <w:rPr>
          <w:lang w:val="en-GB"/>
        </w:rPr>
      </w:pPr>
      <w:r w:rsidRPr="008935EC">
        <w:rPr>
          <w:noProof/>
          <w:lang w:val="en-GB" w:eastAsia="en-GB"/>
        </w:rPr>
        <mc:AlternateContent>
          <mc:Choice Requires="wps">
            <w:drawing>
              <wp:anchor distT="0" distB="0" distL="114300" distR="114300" simplePos="0" relativeHeight="251659264" behindDoc="0" locked="0" layoutInCell="1" allowOverlap="1" wp14:anchorId="493C6DC2" wp14:editId="2E4B9846">
                <wp:simplePos x="0" y="0"/>
                <wp:positionH relativeFrom="column">
                  <wp:posOffset>96520</wp:posOffset>
                </wp:positionH>
                <wp:positionV relativeFrom="paragraph">
                  <wp:posOffset>2655570</wp:posOffset>
                </wp:positionV>
                <wp:extent cx="3860800" cy="167640"/>
                <wp:effectExtent l="0" t="0" r="635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0" cy="167640"/>
                        </a:xfrm>
                        <a:prstGeom prst="rect">
                          <a:avLst/>
                        </a:prstGeom>
                        <a:solidFill>
                          <a:srgbClr val="FFFFFF"/>
                        </a:solidFill>
                        <a:ln w="9525">
                          <a:noFill/>
                          <a:miter lim="800000"/>
                          <a:headEnd/>
                          <a:tailEnd/>
                        </a:ln>
                      </wps:spPr>
                      <wps:txbx>
                        <w:txbxContent>
                          <w:p w:rsidR="00CF71AC" w:rsidRDefault="00CF71AC" w:rsidP="00CF71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pt;margin-top:209.1pt;width:304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" stroked="f">
                <v:textbox>
                  <w:txbxContent>
                    <w:p w:rsidR="00CF71AC" w:rsidRDefault="00CF71AC" w:rsidP="00CF71AC"/>
                  </w:txbxContent>
                </v:textbox>
              </v:shape>
            </w:pict>
          </mc:Fallback>
        </mc:AlternateContent>
      </w:r>
      <w:r w:rsidRPr="007D2AA2">
        <w:rPr>
          <w:noProof/>
          <w:lang w:val="en-GB" w:eastAsia="en-GB"/>
        </w:rPr>
        <w:drawing>
          <wp:inline distT="0" distB="0" distL="0" distR="0" wp14:anchorId="251D8561" wp14:editId="7892ACCE">
            <wp:extent cx="5852160" cy="2926080"/>
            <wp:effectExtent l="0" t="0" r="0" b="7620"/>
            <wp:docPr id="2" name="Picture 3" descr="transmi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mission.jp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855441" cy="2927720"/>
                    </a:xfrm>
                    <a:prstGeom prst="rect">
                      <a:avLst/>
                    </a:prstGeom>
                    <a:noFill/>
                    <a:ln>
                      <a:noFill/>
                    </a:ln>
                  </pic:spPr>
                </pic:pic>
              </a:graphicData>
            </a:graphic>
          </wp:inline>
        </w:drawing>
      </w:r>
    </w:p>
    <w:p w:rsidR="00CF71AC" w:rsidRPr="0064450C" w:rsidRDefault="00CF71AC" w:rsidP="00DB7BBD">
      <w:pPr>
        <w:pStyle w:val="FootnoteText"/>
      </w:pPr>
      <w:r w:rsidRPr="0064450C">
        <w:t xml:space="preserve">Source: “Electricity Explained: How Electricity is Delivered to Consumers,” EIA: U.S. Energy Information Administration, accessed June 18, 2017, https://www.eia.gov/Energyexplained/index.cfm?page=electricity_delivery. </w:t>
      </w:r>
    </w:p>
    <w:p w:rsidR="00CF71AC" w:rsidRPr="007D2AA2" w:rsidRDefault="00CF71AC" w:rsidP="0064450C">
      <w:pPr>
        <w:pStyle w:val="BodyTextMain"/>
        <w:rPr>
          <w:lang w:val="en-GB"/>
        </w:rPr>
      </w:pPr>
    </w:p>
    <w:p w:rsidR="00CF71AC" w:rsidRPr="007D2AA2" w:rsidRDefault="00CF71AC" w:rsidP="0064450C">
      <w:pPr>
        <w:pStyle w:val="BodyTextMain"/>
        <w:rPr>
          <w:rFonts w:ascii="Arial" w:hAnsi="Arial"/>
          <w:b/>
          <w:lang w:val="en-GB"/>
        </w:rPr>
      </w:pPr>
      <w:r w:rsidRPr="007D2AA2">
        <w:rPr>
          <w:lang w:val="en-GB"/>
        </w:rPr>
        <w:br w:type="page"/>
      </w:r>
    </w:p>
    <w:p w:rsidR="00CF71AC" w:rsidRPr="007D2AA2" w:rsidRDefault="00CF71AC" w:rsidP="00CF71AC">
      <w:pPr>
        <w:pStyle w:val="casehead10"/>
        <w:jc w:val="center"/>
        <w:rPr>
          <w:lang w:val="en-GB"/>
        </w:rPr>
      </w:pPr>
      <w:r w:rsidRPr="007D2AA2">
        <w:rPr>
          <w:lang w:val="en-GB"/>
        </w:rPr>
        <w:lastRenderedPageBreak/>
        <w:t>Exhibit 7: Select Electricity Companies in Canada and the United States: Assets and Industry Function 2011 v</w:t>
      </w:r>
      <w:r>
        <w:rPr>
          <w:lang w:val="en-GB"/>
        </w:rPr>
        <w:t>er</w:t>
      </w:r>
      <w:r w:rsidRPr="007D2AA2">
        <w:rPr>
          <w:lang w:val="en-GB"/>
        </w:rPr>
        <w:t>s</w:t>
      </w:r>
      <w:r>
        <w:rPr>
          <w:lang w:val="en-GB"/>
        </w:rPr>
        <w:t>us</w:t>
      </w:r>
      <w:r w:rsidRPr="007D2AA2">
        <w:rPr>
          <w:lang w:val="en-GB"/>
        </w:rPr>
        <w:t xml:space="preserve"> 2015 (in $ billions)</w:t>
      </w:r>
    </w:p>
    <w:p w:rsidR="00CF71AC" w:rsidRPr="007D2AA2" w:rsidRDefault="00CF71AC" w:rsidP="0064450C">
      <w:pPr>
        <w:pStyle w:val="BodyTextMain"/>
        <w:rPr>
          <w:lang w:val="en-GB"/>
        </w:rPr>
      </w:pPr>
    </w:p>
    <w:tbl>
      <w:tblPr>
        <w:tblW w:w="0" w:type="auto"/>
        <w:jc w:val="center"/>
        <w:tblLayout w:type="fixed"/>
        <w:tblLook w:val="04A0" w:firstRow="1" w:lastRow="0" w:firstColumn="1" w:lastColumn="0" w:noHBand="0" w:noVBand="1"/>
      </w:tblPr>
      <w:tblGrid>
        <w:gridCol w:w="1575"/>
        <w:gridCol w:w="1424"/>
        <w:gridCol w:w="1350"/>
        <w:gridCol w:w="1530"/>
        <w:gridCol w:w="1800"/>
        <w:gridCol w:w="1739"/>
      </w:tblGrid>
      <w:tr w:rsidR="007B7648" w:rsidRPr="007D2AA2" w:rsidTr="00B43EEE">
        <w:trPr>
          <w:trHeight w:val="320"/>
          <w:jc w:val="center"/>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71AC" w:rsidRPr="007D2AA2" w:rsidRDefault="00CF71AC" w:rsidP="00346242">
            <w:pPr>
              <w:jc w:val="center"/>
              <w:rPr>
                <w:rFonts w:ascii="Arial" w:hAnsi="Arial" w:cs="Arial"/>
                <w:b/>
                <w:bCs/>
                <w:color w:val="000000"/>
                <w:lang w:val="en-GB"/>
              </w:rPr>
            </w:pPr>
            <w:r w:rsidRPr="007D2AA2">
              <w:rPr>
                <w:rFonts w:ascii="Arial" w:hAnsi="Arial" w:cs="Arial"/>
                <w:b/>
                <w:bCs/>
                <w:color w:val="000000"/>
                <w:lang w:val="en-GB"/>
              </w:rPr>
              <w:t>Company</w:t>
            </w:r>
          </w:p>
        </w:tc>
        <w:tc>
          <w:tcPr>
            <w:tcW w:w="1424" w:type="dxa"/>
            <w:tcBorders>
              <w:top w:val="single" w:sz="4" w:space="0" w:color="auto"/>
              <w:left w:val="nil"/>
              <w:bottom w:val="single" w:sz="4" w:space="0" w:color="auto"/>
              <w:right w:val="single" w:sz="4" w:space="0" w:color="auto"/>
            </w:tcBorders>
            <w:shd w:val="clear" w:color="auto" w:fill="auto"/>
            <w:noWrap/>
            <w:vAlign w:val="center"/>
            <w:hideMark/>
          </w:tcPr>
          <w:p w:rsidR="00CF71AC" w:rsidRPr="007D2AA2" w:rsidRDefault="00CF71AC" w:rsidP="00346242">
            <w:pPr>
              <w:jc w:val="center"/>
              <w:rPr>
                <w:rFonts w:ascii="Arial" w:hAnsi="Arial" w:cs="Arial"/>
                <w:b/>
                <w:bCs/>
                <w:color w:val="000000"/>
                <w:lang w:val="en-GB"/>
              </w:rPr>
            </w:pPr>
            <w:r w:rsidRPr="007D2AA2">
              <w:rPr>
                <w:rFonts w:ascii="Arial" w:hAnsi="Arial" w:cs="Arial"/>
                <w:b/>
                <w:bCs/>
                <w:color w:val="000000"/>
                <w:lang w:val="en-GB"/>
              </w:rPr>
              <w:t>Country</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CF71AC" w:rsidRPr="007D2AA2" w:rsidRDefault="00CF71AC" w:rsidP="00346242">
            <w:pPr>
              <w:jc w:val="center"/>
              <w:rPr>
                <w:rFonts w:ascii="Arial" w:hAnsi="Arial" w:cs="Arial"/>
                <w:b/>
                <w:bCs/>
                <w:color w:val="000000"/>
                <w:lang w:val="en-GB"/>
              </w:rPr>
            </w:pPr>
            <w:r w:rsidRPr="007D2AA2">
              <w:rPr>
                <w:rFonts w:ascii="Arial" w:hAnsi="Arial" w:cs="Arial"/>
                <w:b/>
                <w:bCs/>
                <w:color w:val="000000"/>
                <w:lang w:val="en-GB"/>
              </w:rPr>
              <w:t>Assets 2011</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rsidR="00CF71AC" w:rsidRPr="007D2AA2" w:rsidRDefault="00CF71AC" w:rsidP="00346242">
            <w:pPr>
              <w:jc w:val="center"/>
              <w:rPr>
                <w:rFonts w:ascii="Arial" w:hAnsi="Arial" w:cs="Arial"/>
                <w:b/>
                <w:bCs/>
                <w:color w:val="000000"/>
                <w:lang w:val="en-GB"/>
              </w:rPr>
            </w:pPr>
            <w:r w:rsidRPr="007D2AA2">
              <w:rPr>
                <w:rFonts w:ascii="Arial" w:hAnsi="Arial" w:cs="Arial"/>
                <w:b/>
                <w:bCs/>
                <w:color w:val="000000"/>
                <w:lang w:val="en-GB"/>
              </w:rPr>
              <w:t>Assets Base 2015</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CF71AC" w:rsidRPr="007D2AA2" w:rsidRDefault="00CF71AC" w:rsidP="00346242">
            <w:pPr>
              <w:jc w:val="center"/>
              <w:rPr>
                <w:rFonts w:ascii="Arial" w:hAnsi="Arial" w:cs="Arial"/>
                <w:b/>
                <w:bCs/>
                <w:color w:val="000000"/>
                <w:lang w:val="en-GB"/>
              </w:rPr>
            </w:pPr>
            <w:r w:rsidRPr="007D2AA2">
              <w:rPr>
                <w:rFonts w:ascii="Arial" w:hAnsi="Arial" w:cs="Arial"/>
                <w:b/>
                <w:bCs/>
                <w:color w:val="000000"/>
                <w:lang w:val="en-GB"/>
              </w:rPr>
              <w:t>Industries 2011</w:t>
            </w:r>
          </w:p>
        </w:tc>
        <w:tc>
          <w:tcPr>
            <w:tcW w:w="1739" w:type="dxa"/>
            <w:tcBorders>
              <w:top w:val="single" w:sz="4" w:space="0" w:color="auto"/>
              <w:left w:val="nil"/>
              <w:bottom w:val="single" w:sz="4" w:space="0" w:color="auto"/>
              <w:right w:val="single" w:sz="4" w:space="0" w:color="auto"/>
            </w:tcBorders>
            <w:shd w:val="clear" w:color="auto" w:fill="auto"/>
            <w:noWrap/>
            <w:vAlign w:val="center"/>
            <w:hideMark/>
          </w:tcPr>
          <w:p w:rsidR="00CF71AC" w:rsidRPr="007D2AA2" w:rsidRDefault="00CF71AC" w:rsidP="00346242">
            <w:pPr>
              <w:jc w:val="center"/>
              <w:rPr>
                <w:rFonts w:ascii="Arial" w:hAnsi="Arial" w:cs="Arial"/>
                <w:b/>
                <w:bCs/>
                <w:color w:val="000000"/>
                <w:lang w:val="en-GB"/>
              </w:rPr>
            </w:pPr>
            <w:r w:rsidRPr="007D2AA2">
              <w:rPr>
                <w:rFonts w:ascii="Arial" w:hAnsi="Arial" w:cs="Arial"/>
                <w:b/>
                <w:bCs/>
                <w:color w:val="000000"/>
                <w:lang w:val="en-GB"/>
              </w:rPr>
              <w:t>Industries 2015</w:t>
            </w:r>
          </w:p>
        </w:tc>
      </w:tr>
      <w:tr w:rsidR="007B7648" w:rsidRPr="007D2AA2" w:rsidTr="00B43EEE">
        <w:trPr>
          <w:trHeight w:val="320"/>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Hydro Quebec</w:t>
            </w:r>
          </w:p>
        </w:tc>
        <w:tc>
          <w:tcPr>
            <w:tcW w:w="1424"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Canada</w:t>
            </w:r>
          </w:p>
        </w:tc>
        <w:tc>
          <w:tcPr>
            <w:tcW w:w="1350" w:type="dxa"/>
            <w:tcBorders>
              <w:top w:val="nil"/>
              <w:left w:val="nil"/>
              <w:bottom w:val="single" w:sz="4" w:space="0" w:color="auto"/>
              <w:right w:val="single" w:sz="4" w:space="0" w:color="auto"/>
            </w:tcBorders>
            <w:shd w:val="clear" w:color="auto" w:fill="auto"/>
            <w:noWrap/>
            <w:vAlign w:val="center"/>
            <w:hideMark/>
          </w:tcPr>
          <w:p w:rsidR="00CF71AC" w:rsidRPr="007D2AA2" w:rsidRDefault="00B43EEE" w:rsidP="007B7648">
            <w:pPr>
              <w:tabs>
                <w:tab w:val="decimal" w:pos="676"/>
              </w:tabs>
              <w:jc w:val="right"/>
              <w:rPr>
                <w:rFonts w:ascii="Arial" w:hAnsi="Arial" w:cs="Arial"/>
                <w:color w:val="000000"/>
                <w:lang w:val="en-GB"/>
              </w:rPr>
            </w:pPr>
            <w:r>
              <w:rPr>
                <w:rFonts w:ascii="Arial" w:hAnsi="Arial" w:cs="Arial"/>
                <w:color w:val="000000"/>
                <w:lang w:val="en-GB"/>
              </w:rPr>
              <w:t>CA$</w:t>
            </w:r>
            <w:r w:rsidR="00CF71AC" w:rsidRPr="007D2AA2">
              <w:rPr>
                <w:rFonts w:ascii="Arial" w:hAnsi="Arial" w:cs="Arial"/>
                <w:color w:val="000000"/>
                <w:lang w:val="en-GB"/>
              </w:rPr>
              <w:t>69.64</w:t>
            </w:r>
          </w:p>
        </w:tc>
        <w:tc>
          <w:tcPr>
            <w:tcW w:w="1530" w:type="dxa"/>
            <w:tcBorders>
              <w:top w:val="nil"/>
              <w:left w:val="nil"/>
              <w:bottom w:val="single" w:sz="4" w:space="0" w:color="auto"/>
              <w:right w:val="single" w:sz="4" w:space="0" w:color="auto"/>
            </w:tcBorders>
            <w:shd w:val="clear" w:color="auto" w:fill="auto"/>
            <w:noWrap/>
            <w:vAlign w:val="center"/>
            <w:hideMark/>
          </w:tcPr>
          <w:p w:rsidR="00CF71AC" w:rsidRPr="007D2AA2" w:rsidRDefault="00B43EEE" w:rsidP="007B7648">
            <w:pPr>
              <w:tabs>
                <w:tab w:val="decimal" w:pos="742"/>
              </w:tabs>
              <w:jc w:val="right"/>
              <w:rPr>
                <w:rFonts w:ascii="Arial" w:hAnsi="Arial" w:cs="Arial"/>
                <w:color w:val="000000"/>
                <w:lang w:val="en-GB"/>
              </w:rPr>
            </w:pPr>
            <w:r>
              <w:rPr>
                <w:rFonts w:ascii="Arial" w:hAnsi="Arial" w:cs="Arial"/>
                <w:color w:val="000000"/>
                <w:lang w:val="en-GB"/>
              </w:rPr>
              <w:t>CA$</w:t>
            </w:r>
            <w:r w:rsidR="00CF71AC" w:rsidRPr="007D2AA2">
              <w:rPr>
                <w:rFonts w:ascii="Arial" w:hAnsi="Arial" w:cs="Arial"/>
                <w:color w:val="000000"/>
                <w:lang w:val="en-GB"/>
              </w:rPr>
              <w:t>75.20</w:t>
            </w:r>
          </w:p>
        </w:tc>
        <w:tc>
          <w:tcPr>
            <w:tcW w:w="1800"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 Transmission, Distribution, Construction</w:t>
            </w:r>
          </w:p>
        </w:tc>
        <w:tc>
          <w:tcPr>
            <w:tcW w:w="1739"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 Transmission, Distribution, Construction</w:t>
            </w:r>
          </w:p>
        </w:tc>
      </w:tr>
      <w:tr w:rsidR="007B7648" w:rsidRPr="007D2AA2" w:rsidTr="00B43EEE">
        <w:trPr>
          <w:trHeight w:val="493"/>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Pacific Gas &amp; Electric</w:t>
            </w:r>
          </w:p>
        </w:tc>
        <w:tc>
          <w:tcPr>
            <w:tcW w:w="1424"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United States</w:t>
            </w:r>
          </w:p>
        </w:tc>
        <w:tc>
          <w:tcPr>
            <w:tcW w:w="1350"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7B7648">
            <w:pPr>
              <w:tabs>
                <w:tab w:val="decimal" w:pos="676"/>
              </w:tabs>
              <w:jc w:val="right"/>
              <w:rPr>
                <w:rFonts w:ascii="Arial" w:hAnsi="Arial" w:cs="Arial"/>
                <w:color w:val="000000"/>
                <w:lang w:val="en-GB"/>
              </w:rPr>
            </w:pPr>
            <w:r w:rsidRPr="007D2AA2">
              <w:rPr>
                <w:rFonts w:ascii="Arial" w:hAnsi="Arial" w:cs="Arial"/>
                <w:color w:val="000000"/>
                <w:lang w:val="en-GB"/>
              </w:rPr>
              <w:t>US</w:t>
            </w:r>
            <w:r>
              <w:rPr>
                <w:rFonts w:ascii="Arial" w:hAnsi="Arial" w:cs="Arial"/>
                <w:color w:val="000000"/>
                <w:lang w:val="en-GB"/>
              </w:rPr>
              <w:t>$</w:t>
            </w:r>
            <w:r w:rsidRPr="007D2AA2">
              <w:rPr>
                <w:rFonts w:ascii="Arial" w:hAnsi="Arial" w:cs="Arial"/>
                <w:color w:val="000000"/>
                <w:lang w:val="en-GB"/>
              </w:rPr>
              <w:t>49.75</w:t>
            </w:r>
          </w:p>
        </w:tc>
        <w:tc>
          <w:tcPr>
            <w:tcW w:w="1530"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7B7648">
            <w:pPr>
              <w:tabs>
                <w:tab w:val="decimal" w:pos="742"/>
              </w:tabs>
              <w:jc w:val="right"/>
              <w:rPr>
                <w:rFonts w:ascii="Arial" w:hAnsi="Arial" w:cs="Arial"/>
                <w:color w:val="000000"/>
                <w:lang w:val="en-GB"/>
              </w:rPr>
            </w:pPr>
            <w:r w:rsidRPr="007D2AA2">
              <w:rPr>
                <w:rFonts w:ascii="Arial" w:hAnsi="Arial" w:cs="Arial"/>
                <w:color w:val="000000"/>
                <w:lang w:val="en-GB"/>
              </w:rPr>
              <w:t>US</w:t>
            </w:r>
            <w:r>
              <w:rPr>
                <w:rFonts w:ascii="Arial" w:hAnsi="Arial" w:cs="Arial"/>
                <w:color w:val="000000"/>
                <w:lang w:val="en-GB"/>
              </w:rPr>
              <w:t>$</w:t>
            </w:r>
            <w:r w:rsidRPr="007D2AA2">
              <w:rPr>
                <w:rFonts w:ascii="Arial" w:hAnsi="Arial" w:cs="Arial"/>
                <w:color w:val="000000"/>
                <w:lang w:val="en-GB"/>
              </w:rPr>
              <w:t>63.34</w:t>
            </w:r>
          </w:p>
        </w:tc>
        <w:tc>
          <w:tcPr>
            <w:tcW w:w="1800"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 Transmission, Distribution</w:t>
            </w:r>
          </w:p>
        </w:tc>
        <w:tc>
          <w:tcPr>
            <w:tcW w:w="1739"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 Transmission, Distribution</w:t>
            </w:r>
          </w:p>
        </w:tc>
      </w:tr>
      <w:tr w:rsidR="007B7648" w:rsidRPr="007D2AA2" w:rsidTr="00B43EEE">
        <w:trPr>
          <w:trHeight w:val="493"/>
          <w:jc w:val="center"/>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F71AC" w:rsidRPr="007D2AA2" w:rsidRDefault="00CF71AC" w:rsidP="00346242">
            <w:pPr>
              <w:rPr>
                <w:rFonts w:ascii="Arial" w:hAnsi="Arial" w:cs="Arial"/>
                <w:color w:val="000000"/>
                <w:lang w:val="en-GB"/>
              </w:rPr>
            </w:pPr>
            <w:r w:rsidRPr="007D2AA2">
              <w:rPr>
                <w:rFonts w:ascii="Arial" w:hAnsi="Arial" w:cs="Arial"/>
                <w:color w:val="000000"/>
                <w:lang w:val="en-GB"/>
              </w:rPr>
              <w:t>Edison International</w:t>
            </w:r>
          </w:p>
        </w:tc>
        <w:tc>
          <w:tcPr>
            <w:tcW w:w="1424" w:type="dxa"/>
            <w:tcBorders>
              <w:top w:val="nil"/>
              <w:left w:val="nil"/>
              <w:bottom w:val="single" w:sz="4" w:space="0" w:color="auto"/>
              <w:right w:val="single" w:sz="4" w:space="0" w:color="auto"/>
            </w:tcBorders>
            <w:shd w:val="clear" w:color="auto" w:fill="auto"/>
            <w:noWrap/>
            <w:vAlign w:val="center"/>
          </w:tcPr>
          <w:p w:rsidR="00CF71AC" w:rsidRPr="007D2AA2" w:rsidRDefault="00CF71AC" w:rsidP="00346242">
            <w:pPr>
              <w:rPr>
                <w:rFonts w:ascii="Arial" w:hAnsi="Arial" w:cs="Arial"/>
                <w:color w:val="000000"/>
                <w:lang w:val="en-GB"/>
              </w:rPr>
            </w:pPr>
            <w:r w:rsidRPr="007D2AA2">
              <w:rPr>
                <w:rFonts w:ascii="Arial" w:hAnsi="Arial" w:cs="Arial"/>
                <w:color w:val="000000"/>
                <w:lang w:val="en-GB"/>
              </w:rPr>
              <w:t>United States</w:t>
            </w:r>
          </w:p>
        </w:tc>
        <w:tc>
          <w:tcPr>
            <w:tcW w:w="1350" w:type="dxa"/>
            <w:tcBorders>
              <w:top w:val="nil"/>
              <w:left w:val="nil"/>
              <w:bottom w:val="single" w:sz="4" w:space="0" w:color="auto"/>
              <w:right w:val="single" w:sz="4" w:space="0" w:color="auto"/>
            </w:tcBorders>
            <w:shd w:val="clear" w:color="auto" w:fill="auto"/>
            <w:noWrap/>
            <w:vAlign w:val="center"/>
          </w:tcPr>
          <w:p w:rsidR="00CF71AC" w:rsidRPr="007D2AA2" w:rsidRDefault="00CF71AC" w:rsidP="007B7648">
            <w:pPr>
              <w:tabs>
                <w:tab w:val="decimal" w:pos="676"/>
              </w:tabs>
              <w:jc w:val="right"/>
              <w:rPr>
                <w:rFonts w:ascii="Arial" w:hAnsi="Arial" w:cs="Arial"/>
                <w:color w:val="000000"/>
                <w:lang w:val="en-GB"/>
              </w:rPr>
            </w:pPr>
            <w:r w:rsidRPr="007D2AA2">
              <w:rPr>
                <w:rFonts w:ascii="Arial" w:hAnsi="Arial" w:cs="Arial"/>
                <w:color w:val="000000"/>
                <w:lang w:val="en-GB"/>
              </w:rPr>
              <w:t>US</w:t>
            </w:r>
            <w:r>
              <w:rPr>
                <w:rFonts w:ascii="Arial" w:hAnsi="Arial" w:cs="Arial"/>
                <w:color w:val="000000"/>
                <w:lang w:val="en-GB"/>
              </w:rPr>
              <w:t>$</w:t>
            </w:r>
            <w:r w:rsidRPr="007D2AA2">
              <w:rPr>
                <w:rFonts w:ascii="Arial" w:hAnsi="Arial" w:cs="Arial"/>
                <w:color w:val="000000"/>
                <w:lang w:val="en-GB"/>
              </w:rPr>
              <w:t>48.04</w:t>
            </w:r>
          </w:p>
        </w:tc>
        <w:tc>
          <w:tcPr>
            <w:tcW w:w="1530" w:type="dxa"/>
            <w:tcBorders>
              <w:top w:val="nil"/>
              <w:left w:val="nil"/>
              <w:bottom w:val="single" w:sz="4" w:space="0" w:color="auto"/>
              <w:right w:val="single" w:sz="4" w:space="0" w:color="auto"/>
            </w:tcBorders>
            <w:shd w:val="clear" w:color="auto" w:fill="auto"/>
            <w:noWrap/>
            <w:vAlign w:val="center"/>
          </w:tcPr>
          <w:p w:rsidR="00CF71AC" w:rsidRPr="007D2AA2" w:rsidRDefault="00CF71AC" w:rsidP="007B7648">
            <w:pPr>
              <w:tabs>
                <w:tab w:val="decimal" w:pos="742"/>
              </w:tabs>
              <w:jc w:val="right"/>
              <w:rPr>
                <w:rFonts w:ascii="Arial" w:hAnsi="Arial" w:cs="Arial"/>
                <w:color w:val="000000"/>
                <w:lang w:val="en-GB"/>
              </w:rPr>
            </w:pPr>
            <w:r w:rsidRPr="007D2AA2">
              <w:rPr>
                <w:rFonts w:ascii="Arial" w:hAnsi="Arial" w:cs="Arial"/>
                <w:color w:val="000000"/>
                <w:lang w:val="en-GB"/>
              </w:rPr>
              <w:t>US</w:t>
            </w:r>
            <w:r>
              <w:rPr>
                <w:rFonts w:ascii="Arial" w:hAnsi="Arial" w:cs="Arial"/>
                <w:color w:val="000000"/>
                <w:lang w:val="en-GB"/>
              </w:rPr>
              <w:t>$</w:t>
            </w:r>
            <w:r w:rsidRPr="007D2AA2">
              <w:rPr>
                <w:rFonts w:ascii="Arial" w:hAnsi="Arial" w:cs="Arial"/>
                <w:color w:val="000000"/>
                <w:lang w:val="en-GB"/>
              </w:rPr>
              <w:t>49.87</w:t>
            </w:r>
          </w:p>
        </w:tc>
        <w:tc>
          <w:tcPr>
            <w:tcW w:w="1800" w:type="dxa"/>
            <w:tcBorders>
              <w:top w:val="nil"/>
              <w:left w:val="nil"/>
              <w:bottom w:val="single" w:sz="4" w:space="0" w:color="auto"/>
              <w:right w:val="single" w:sz="4" w:space="0" w:color="auto"/>
            </w:tcBorders>
            <w:shd w:val="clear" w:color="auto" w:fill="auto"/>
            <w:noWrap/>
            <w:vAlign w:val="center"/>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 Transmission, Distribution</w:t>
            </w:r>
          </w:p>
        </w:tc>
        <w:tc>
          <w:tcPr>
            <w:tcW w:w="1739" w:type="dxa"/>
            <w:tcBorders>
              <w:top w:val="nil"/>
              <w:left w:val="nil"/>
              <w:bottom w:val="single" w:sz="4" w:space="0" w:color="auto"/>
              <w:right w:val="single" w:sz="4" w:space="0" w:color="auto"/>
            </w:tcBorders>
            <w:shd w:val="clear" w:color="auto" w:fill="auto"/>
            <w:noWrap/>
            <w:vAlign w:val="center"/>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 Transmission, Distribution</w:t>
            </w:r>
          </w:p>
        </w:tc>
      </w:tr>
      <w:tr w:rsidR="007B7648" w:rsidRPr="007D2AA2" w:rsidTr="00B43EEE">
        <w:trPr>
          <w:trHeight w:val="320"/>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Consolidated Edison</w:t>
            </w:r>
          </w:p>
        </w:tc>
        <w:tc>
          <w:tcPr>
            <w:tcW w:w="1424"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United States</w:t>
            </w:r>
          </w:p>
        </w:tc>
        <w:tc>
          <w:tcPr>
            <w:tcW w:w="1350"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7B7648">
            <w:pPr>
              <w:tabs>
                <w:tab w:val="decimal" w:pos="676"/>
              </w:tabs>
              <w:jc w:val="right"/>
              <w:rPr>
                <w:rFonts w:ascii="Arial" w:hAnsi="Arial" w:cs="Arial"/>
                <w:color w:val="000000"/>
                <w:lang w:val="en-GB"/>
              </w:rPr>
            </w:pPr>
            <w:r w:rsidRPr="007D2AA2">
              <w:rPr>
                <w:rFonts w:ascii="Arial" w:hAnsi="Arial" w:cs="Arial"/>
                <w:color w:val="000000"/>
                <w:lang w:val="en-GB"/>
              </w:rPr>
              <w:t>US</w:t>
            </w:r>
            <w:r>
              <w:rPr>
                <w:rFonts w:ascii="Arial" w:hAnsi="Arial" w:cs="Arial"/>
                <w:color w:val="000000"/>
                <w:lang w:val="en-GB"/>
              </w:rPr>
              <w:t>$</w:t>
            </w:r>
            <w:r w:rsidRPr="007D2AA2">
              <w:rPr>
                <w:rFonts w:ascii="Arial" w:hAnsi="Arial" w:cs="Arial"/>
                <w:color w:val="000000"/>
                <w:lang w:val="en-GB"/>
              </w:rPr>
              <w:t>39.21</w:t>
            </w:r>
          </w:p>
        </w:tc>
        <w:tc>
          <w:tcPr>
            <w:tcW w:w="1530"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7B7648">
            <w:pPr>
              <w:tabs>
                <w:tab w:val="decimal" w:pos="742"/>
              </w:tabs>
              <w:jc w:val="right"/>
              <w:rPr>
                <w:rFonts w:ascii="Arial" w:hAnsi="Arial" w:cs="Arial"/>
                <w:color w:val="000000"/>
                <w:lang w:val="en-GB"/>
              </w:rPr>
            </w:pPr>
            <w:r w:rsidRPr="007D2AA2">
              <w:rPr>
                <w:rFonts w:ascii="Arial" w:hAnsi="Arial" w:cs="Arial"/>
                <w:color w:val="000000"/>
                <w:lang w:val="en-GB"/>
              </w:rPr>
              <w:t>US</w:t>
            </w:r>
            <w:r>
              <w:rPr>
                <w:rFonts w:ascii="Arial" w:hAnsi="Arial" w:cs="Arial"/>
                <w:color w:val="000000"/>
                <w:lang w:val="en-GB"/>
              </w:rPr>
              <w:t>$</w:t>
            </w:r>
            <w:r w:rsidRPr="007D2AA2">
              <w:rPr>
                <w:rFonts w:ascii="Arial" w:hAnsi="Arial" w:cs="Arial"/>
                <w:color w:val="000000"/>
                <w:lang w:val="en-GB"/>
              </w:rPr>
              <w:t>45.64</w:t>
            </w:r>
          </w:p>
        </w:tc>
        <w:tc>
          <w:tcPr>
            <w:tcW w:w="1800"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 Transmission, Distribution</w:t>
            </w:r>
          </w:p>
        </w:tc>
        <w:tc>
          <w:tcPr>
            <w:tcW w:w="1739"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 Transmission, Distribution</w:t>
            </w:r>
          </w:p>
        </w:tc>
      </w:tr>
      <w:tr w:rsidR="007B7648" w:rsidRPr="007D2AA2" w:rsidTr="00B43EEE">
        <w:trPr>
          <w:trHeight w:val="320"/>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Ontario Power Generation</w:t>
            </w:r>
          </w:p>
        </w:tc>
        <w:tc>
          <w:tcPr>
            <w:tcW w:w="1424"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Canada</w:t>
            </w:r>
          </w:p>
        </w:tc>
        <w:tc>
          <w:tcPr>
            <w:tcW w:w="1350" w:type="dxa"/>
            <w:tcBorders>
              <w:top w:val="nil"/>
              <w:left w:val="nil"/>
              <w:bottom w:val="single" w:sz="4" w:space="0" w:color="auto"/>
              <w:right w:val="single" w:sz="4" w:space="0" w:color="auto"/>
            </w:tcBorders>
            <w:shd w:val="clear" w:color="auto" w:fill="auto"/>
            <w:noWrap/>
            <w:vAlign w:val="center"/>
            <w:hideMark/>
          </w:tcPr>
          <w:p w:rsidR="00CF71AC" w:rsidRPr="007D2AA2" w:rsidRDefault="00B43EEE" w:rsidP="007B7648">
            <w:pPr>
              <w:tabs>
                <w:tab w:val="decimal" w:pos="676"/>
              </w:tabs>
              <w:jc w:val="right"/>
              <w:rPr>
                <w:rFonts w:ascii="Arial" w:hAnsi="Arial" w:cs="Arial"/>
                <w:color w:val="000000"/>
                <w:lang w:val="en-GB"/>
              </w:rPr>
            </w:pPr>
            <w:r>
              <w:rPr>
                <w:rFonts w:ascii="Arial" w:hAnsi="Arial" w:cs="Arial"/>
                <w:color w:val="000000"/>
                <w:lang w:val="en-GB"/>
              </w:rPr>
              <w:t>CA$</w:t>
            </w:r>
            <w:r w:rsidR="00CF71AC" w:rsidRPr="007D2AA2">
              <w:rPr>
                <w:rFonts w:ascii="Arial" w:hAnsi="Arial" w:cs="Arial"/>
                <w:color w:val="000000"/>
                <w:lang w:val="en-GB"/>
              </w:rPr>
              <w:t>32.14</w:t>
            </w:r>
          </w:p>
        </w:tc>
        <w:tc>
          <w:tcPr>
            <w:tcW w:w="1530" w:type="dxa"/>
            <w:tcBorders>
              <w:top w:val="nil"/>
              <w:left w:val="nil"/>
              <w:bottom w:val="single" w:sz="4" w:space="0" w:color="auto"/>
              <w:right w:val="single" w:sz="4" w:space="0" w:color="auto"/>
            </w:tcBorders>
            <w:shd w:val="clear" w:color="auto" w:fill="auto"/>
            <w:noWrap/>
            <w:vAlign w:val="center"/>
            <w:hideMark/>
          </w:tcPr>
          <w:p w:rsidR="00CF71AC" w:rsidRPr="007D2AA2" w:rsidRDefault="00B43EEE" w:rsidP="007B7648">
            <w:pPr>
              <w:tabs>
                <w:tab w:val="decimal" w:pos="742"/>
              </w:tabs>
              <w:jc w:val="right"/>
              <w:rPr>
                <w:rFonts w:ascii="Arial" w:hAnsi="Arial" w:cs="Arial"/>
                <w:color w:val="000000"/>
                <w:lang w:val="en-GB"/>
              </w:rPr>
            </w:pPr>
            <w:r>
              <w:rPr>
                <w:rFonts w:ascii="Arial" w:hAnsi="Arial" w:cs="Arial"/>
                <w:color w:val="000000"/>
                <w:lang w:val="en-GB"/>
              </w:rPr>
              <w:t>CA$</w:t>
            </w:r>
            <w:r w:rsidR="00CF71AC" w:rsidRPr="007D2AA2">
              <w:rPr>
                <w:rFonts w:ascii="Arial" w:hAnsi="Arial" w:cs="Arial"/>
                <w:color w:val="000000"/>
                <w:lang w:val="en-GB"/>
              </w:rPr>
              <w:t>44.30</w:t>
            </w:r>
          </w:p>
        </w:tc>
        <w:tc>
          <w:tcPr>
            <w:tcW w:w="1800"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w:t>
            </w:r>
          </w:p>
        </w:tc>
        <w:tc>
          <w:tcPr>
            <w:tcW w:w="1739"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w:t>
            </w:r>
          </w:p>
        </w:tc>
      </w:tr>
      <w:tr w:rsidR="007B7648" w:rsidRPr="007D2AA2" w:rsidTr="00B43EEE">
        <w:trPr>
          <w:trHeight w:val="320"/>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Georgia Power</w:t>
            </w:r>
          </w:p>
        </w:tc>
        <w:tc>
          <w:tcPr>
            <w:tcW w:w="1424"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United States</w:t>
            </w:r>
          </w:p>
        </w:tc>
        <w:tc>
          <w:tcPr>
            <w:tcW w:w="1350"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7B7648">
            <w:pPr>
              <w:tabs>
                <w:tab w:val="decimal" w:pos="676"/>
              </w:tabs>
              <w:jc w:val="right"/>
              <w:rPr>
                <w:rFonts w:ascii="Arial" w:hAnsi="Arial" w:cs="Arial"/>
                <w:color w:val="000000"/>
                <w:lang w:val="en-GB"/>
              </w:rPr>
            </w:pPr>
            <w:r w:rsidRPr="007D2AA2">
              <w:rPr>
                <w:rFonts w:ascii="Arial" w:hAnsi="Arial" w:cs="Arial"/>
                <w:color w:val="000000"/>
                <w:lang w:val="en-GB"/>
              </w:rPr>
              <w:t>US</w:t>
            </w:r>
            <w:r>
              <w:rPr>
                <w:rFonts w:ascii="Arial" w:hAnsi="Arial" w:cs="Arial"/>
                <w:color w:val="000000"/>
                <w:lang w:val="en-GB"/>
              </w:rPr>
              <w:t>$</w:t>
            </w:r>
            <w:r w:rsidRPr="007D2AA2">
              <w:rPr>
                <w:rFonts w:ascii="Arial" w:hAnsi="Arial" w:cs="Arial"/>
                <w:color w:val="000000"/>
                <w:lang w:val="en-GB"/>
              </w:rPr>
              <w:t>27.15</w:t>
            </w:r>
          </w:p>
        </w:tc>
        <w:tc>
          <w:tcPr>
            <w:tcW w:w="1530"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7B7648">
            <w:pPr>
              <w:tabs>
                <w:tab w:val="decimal" w:pos="742"/>
              </w:tabs>
              <w:jc w:val="right"/>
              <w:rPr>
                <w:rFonts w:ascii="Arial" w:hAnsi="Arial" w:cs="Arial"/>
                <w:color w:val="000000"/>
                <w:lang w:val="en-GB"/>
              </w:rPr>
            </w:pPr>
            <w:r w:rsidRPr="007D2AA2">
              <w:rPr>
                <w:rFonts w:ascii="Arial" w:hAnsi="Arial" w:cs="Arial"/>
                <w:color w:val="000000"/>
                <w:lang w:val="en-GB"/>
              </w:rPr>
              <w:t>US</w:t>
            </w:r>
            <w:r>
              <w:rPr>
                <w:rFonts w:ascii="Arial" w:hAnsi="Arial" w:cs="Arial"/>
                <w:color w:val="000000"/>
                <w:lang w:val="en-GB"/>
              </w:rPr>
              <w:t>$</w:t>
            </w:r>
            <w:r w:rsidRPr="007D2AA2">
              <w:rPr>
                <w:rFonts w:ascii="Arial" w:hAnsi="Arial" w:cs="Arial"/>
                <w:color w:val="000000"/>
                <w:lang w:val="en-GB"/>
              </w:rPr>
              <w:t>32.87</w:t>
            </w:r>
          </w:p>
        </w:tc>
        <w:tc>
          <w:tcPr>
            <w:tcW w:w="1800"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 Transmission, Distribution</w:t>
            </w:r>
          </w:p>
        </w:tc>
        <w:tc>
          <w:tcPr>
            <w:tcW w:w="1739"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 Transmission, Distribution</w:t>
            </w:r>
          </w:p>
        </w:tc>
      </w:tr>
      <w:tr w:rsidR="007B7648" w:rsidRPr="007D2AA2" w:rsidTr="00B43EEE">
        <w:trPr>
          <w:trHeight w:val="320"/>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BC Hydro</w:t>
            </w:r>
          </w:p>
        </w:tc>
        <w:tc>
          <w:tcPr>
            <w:tcW w:w="1424"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Canada</w:t>
            </w:r>
          </w:p>
        </w:tc>
        <w:tc>
          <w:tcPr>
            <w:tcW w:w="1350" w:type="dxa"/>
            <w:tcBorders>
              <w:top w:val="nil"/>
              <w:left w:val="nil"/>
              <w:bottom w:val="single" w:sz="4" w:space="0" w:color="auto"/>
              <w:right w:val="single" w:sz="4" w:space="0" w:color="auto"/>
            </w:tcBorders>
            <w:shd w:val="clear" w:color="auto" w:fill="auto"/>
            <w:noWrap/>
            <w:vAlign w:val="center"/>
            <w:hideMark/>
          </w:tcPr>
          <w:p w:rsidR="00CF71AC" w:rsidRPr="007D2AA2" w:rsidRDefault="00B43EEE" w:rsidP="007B7648">
            <w:pPr>
              <w:tabs>
                <w:tab w:val="decimal" w:pos="676"/>
              </w:tabs>
              <w:jc w:val="right"/>
              <w:rPr>
                <w:rFonts w:ascii="Arial" w:hAnsi="Arial" w:cs="Arial"/>
                <w:color w:val="000000"/>
                <w:lang w:val="en-GB"/>
              </w:rPr>
            </w:pPr>
            <w:r>
              <w:rPr>
                <w:rFonts w:ascii="Arial" w:hAnsi="Arial" w:cs="Arial"/>
                <w:color w:val="000000"/>
                <w:lang w:val="en-GB"/>
              </w:rPr>
              <w:t>CA$</w:t>
            </w:r>
            <w:r w:rsidR="00CF71AC" w:rsidRPr="007D2AA2">
              <w:rPr>
                <w:rFonts w:ascii="Arial" w:hAnsi="Arial" w:cs="Arial"/>
                <w:color w:val="000000"/>
                <w:lang w:val="en-GB"/>
              </w:rPr>
              <w:t>19.48</w:t>
            </w:r>
          </w:p>
        </w:tc>
        <w:tc>
          <w:tcPr>
            <w:tcW w:w="1530" w:type="dxa"/>
            <w:tcBorders>
              <w:top w:val="nil"/>
              <w:left w:val="nil"/>
              <w:bottom w:val="single" w:sz="4" w:space="0" w:color="auto"/>
              <w:right w:val="single" w:sz="4" w:space="0" w:color="auto"/>
            </w:tcBorders>
            <w:shd w:val="clear" w:color="auto" w:fill="auto"/>
            <w:noWrap/>
            <w:vAlign w:val="center"/>
            <w:hideMark/>
          </w:tcPr>
          <w:p w:rsidR="00CF71AC" w:rsidRPr="007D2AA2" w:rsidRDefault="00B43EEE" w:rsidP="007B7648">
            <w:pPr>
              <w:tabs>
                <w:tab w:val="decimal" w:pos="742"/>
              </w:tabs>
              <w:jc w:val="right"/>
              <w:rPr>
                <w:rFonts w:ascii="Arial" w:hAnsi="Arial" w:cs="Arial"/>
                <w:color w:val="000000"/>
                <w:lang w:val="en-GB"/>
              </w:rPr>
            </w:pPr>
            <w:r>
              <w:rPr>
                <w:rFonts w:ascii="Arial" w:hAnsi="Arial" w:cs="Arial"/>
                <w:color w:val="000000"/>
                <w:lang w:val="en-GB"/>
              </w:rPr>
              <w:t>CA$</w:t>
            </w:r>
            <w:r w:rsidR="00CF71AC" w:rsidRPr="007D2AA2">
              <w:rPr>
                <w:rFonts w:ascii="Arial" w:hAnsi="Arial" w:cs="Arial"/>
                <w:color w:val="000000"/>
                <w:lang w:val="en-GB"/>
              </w:rPr>
              <w:t>27.75</w:t>
            </w:r>
          </w:p>
        </w:tc>
        <w:tc>
          <w:tcPr>
            <w:tcW w:w="1800"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 Transmission, Distribution</w:t>
            </w:r>
          </w:p>
        </w:tc>
        <w:tc>
          <w:tcPr>
            <w:tcW w:w="1739"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 Transmission, Distribution</w:t>
            </w:r>
          </w:p>
        </w:tc>
      </w:tr>
      <w:tr w:rsidR="007B7648" w:rsidRPr="007D2AA2" w:rsidTr="00B43EEE">
        <w:trPr>
          <w:trHeight w:val="320"/>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Hydro One</w:t>
            </w:r>
          </w:p>
        </w:tc>
        <w:tc>
          <w:tcPr>
            <w:tcW w:w="1424"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Canada</w:t>
            </w:r>
          </w:p>
        </w:tc>
        <w:tc>
          <w:tcPr>
            <w:tcW w:w="1350" w:type="dxa"/>
            <w:tcBorders>
              <w:top w:val="nil"/>
              <w:left w:val="nil"/>
              <w:bottom w:val="single" w:sz="4" w:space="0" w:color="auto"/>
              <w:right w:val="single" w:sz="4" w:space="0" w:color="auto"/>
            </w:tcBorders>
            <w:shd w:val="clear" w:color="auto" w:fill="auto"/>
            <w:noWrap/>
            <w:vAlign w:val="center"/>
            <w:hideMark/>
          </w:tcPr>
          <w:p w:rsidR="00CF71AC" w:rsidRPr="007D2AA2" w:rsidRDefault="00B43EEE" w:rsidP="007B7648">
            <w:pPr>
              <w:tabs>
                <w:tab w:val="decimal" w:pos="676"/>
              </w:tabs>
              <w:jc w:val="right"/>
              <w:rPr>
                <w:rFonts w:ascii="Arial" w:hAnsi="Arial" w:cs="Arial"/>
                <w:color w:val="000000"/>
                <w:lang w:val="en-GB"/>
              </w:rPr>
            </w:pPr>
            <w:r>
              <w:rPr>
                <w:rFonts w:ascii="Arial" w:hAnsi="Arial" w:cs="Arial"/>
                <w:color w:val="000000"/>
                <w:lang w:val="en-GB"/>
              </w:rPr>
              <w:t>CA$</w:t>
            </w:r>
            <w:r w:rsidR="00CF71AC" w:rsidRPr="007D2AA2">
              <w:rPr>
                <w:rFonts w:ascii="Arial" w:hAnsi="Arial" w:cs="Arial"/>
                <w:color w:val="000000"/>
                <w:lang w:val="en-GB"/>
              </w:rPr>
              <w:t>18.37</w:t>
            </w:r>
          </w:p>
        </w:tc>
        <w:tc>
          <w:tcPr>
            <w:tcW w:w="1530" w:type="dxa"/>
            <w:tcBorders>
              <w:top w:val="nil"/>
              <w:left w:val="nil"/>
              <w:bottom w:val="single" w:sz="4" w:space="0" w:color="auto"/>
              <w:right w:val="single" w:sz="4" w:space="0" w:color="auto"/>
            </w:tcBorders>
            <w:shd w:val="clear" w:color="auto" w:fill="auto"/>
            <w:noWrap/>
            <w:vAlign w:val="center"/>
            <w:hideMark/>
          </w:tcPr>
          <w:p w:rsidR="00CF71AC" w:rsidRPr="007D2AA2" w:rsidRDefault="00B43EEE" w:rsidP="007B7648">
            <w:pPr>
              <w:tabs>
                <w:tab w:val="decimal" w:pos="742"/>
              </w:tabs>
              <w:jc w:val="right"/>
              <w:rPr>
                <w:rFonts w:ascii="Arial" w:hAnsi="Arial" w:cs="Arial"/>
                <w:color w:val="000000"/>
                <w:lang w:val="en-GB"/>
              </w:rPr>
            </w:pPr>
            <w:r>
              <w:rPr>
                <w:rFonts w:ascii="Arial" w:hAnsi="Arial" w:cs="Arial"/>
                <w:color w:val="000000"/>
                <w:lang w:val="en-GB"/>
              </w:rPr>
              <w:t>CA$</w:t>
            </w:r>
            <w:r w:rsidR="00CF71AC" w:rsidRPr="007D2AA2">
              <w:rPr>
                <w:rFonts w:ascii="Arial" w:hAnsi="Arial" w:cs="Arial"/>
                <w:color w:val="000000"/>
                <w:lang w:val="en-GB"/>
              </w:rPr>
              <w:t>24.33</w:t>
            </w:r>
          </w:p>
        </w:tc>
        <w:tc>
          <w:tcPr>
            <w:tcW w:w="1800"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Transmission, Distribution</w:t>
            </w:r>
          </w:p>
        </w:tc>
        <w:tc>
          <w:tcPr>
            <w:tcW w:w="1739"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Transmission, Distribution, Telecom</w:t>
            </w:r>
          </w:p>
        </w:tc>
      </w:tr>
      <w:tr w:rsidR="007B7648" w:rsidRPr="007D2AA2" w:rsidTr="00B43EEE">
        <w:trPr>
          <w:trHeight w:val="320"/>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proofErr w:type="spellStart"/>
            <w:r w:rsidRPr="007D2AA2">
              <w:rPr>
                <w:rFonts w:ascii="Arial" w:hAnsi="Arial" w:cs="Arial"/>
                <w:color w:val="000000"/>
                <w:lang w:val="en-GB"/>
              </w:rPr>
              <w:t>Enmax</w:t>
            </w:r>
            <w:proofErr w:type="spellEnd"/>
          </w:p>
        </w:tc>
        <w:tc>
          <w:tcPr>
            <w:tcW w:w="1424"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Canada</w:t>
            </w:r>
          </w:p>
        </w:tc>
        <w:tc>
          <w:tcPr>
            <w:tcW w:w="1350" w:type="dxa"/>
            <w:tcBorders>
              <w:top w:val="nil"/>
              <w:left w:val="nil"/>
              <w:bottom w:val="single" w:sz="4" w:space="0" w:color="auto"/>
              <w:right w:val="single" w:sz="4" w:space="0" w:color="auto"/>
            </w:tcBorders>
            <w:shd w:val="clear" w:color="auto" w:fill="auto"/>
            <w:noWrap/>
            <w:vAlign w:val="center"/>
            <w:hideMark/>
          </w:tcPr>
          <w:p w:rsidR="00CF71AC" w:rsidRPr="007D2AA2" w:rsidRDefault="00B43EEE" w:rsidP="007B7648">
            <w:pPr>
              <w:tabs>
                <w:tab w:val="decimal" w:pos="676"/>
              </w:tabs>
              <w:jc w:val="right"/>
              <w:rPr>
                <w:rFonts w:ascii="Arial" w:hAnsi="Arial" w:cs="Arial"/>
                <w:color w:val="000000"/>
                <w:lang w:val="en-GB"/>
              </w:rPr>
            </w:pPr>
            <w:r>
              <w:rPr>
                <w:rFonts w:ascii="Arial" w:hAnsi="Arial" w:cs="Arial"/>
                <w:color w:val="000000"/>
                <w:lang w:val="en-GB"/>
              </w:rPr>
              <w:t>CA$</w:t>
            </w:r>
            <w:r w:rsidR="00CF71AC" w:rsidRPr="007D2AA2">
              <w:rPr>
                <w:rFonts w:ascii="Arial" w:hAnsi="Arial" w:cs="Arial"/>
                <w:color w:val="000000"/>
                <w:lang w:val="en-GB"/>
              </w:rPr>
              <w:t>4.33</w:t>
            </w:r>
          </w:p>
        </w:tc>
        <w:tc>
          <w:tcPr>
            <w:tcW w:w="1530" w:type="dxa"/>
            <w:tcBorders>
              <w:top w:val="nil"/>
              <w:left w:val="nil"/>
              <w:bottom w:val="single" w:sz="4" w:space="0" w:color="auto"/>
              <w:right w:val="single" w:sz="4" w:space="0" w:color="auto"/>
            </w:tcBorders>
            <w:shd w:val="clear" w:color="auto" w:fill="auto"/>
            <w:noWrap/>
            <w:vAlign w:val="center"/>
            <w:hideMark/>
          </w:tcPr>
          <w:p w:rsidR="00CF71AC" w:rsidRPr="007D2AA2" w:rsidRDefault="00B43EEE" w:rsidP="007B7648">
            <w:pPr>
              <w:tabs>
                <w:tab w:val="decimal" w:pos="742"/>
              </w:tabs>
              <w:jc w:val="right"/>
              <w:rPr>
                <w:rFonts w:ascii="Arial" w:hAnsi="Arial" w:cs="Arial"/>
                <w:color w:val="000000"/>
                <w:lang w:val="en-GB"/>
              </w:rPr>
            </w:pPr>
            <w:r>
              <w:rPr>
                <w:rFonts w:ascii="Arial" w:hAnsi="Arial" w:cs="Arial"/>
                <w:color w:val="000000"/>
                <w:lang w:val="en-GB"/>
              </w:rPr>
              <w:t>CA$</w:t>
            </w:r>
            <w:r w:rsidR="00CF71AC" w:rsidRPr="007D2AA2">
              <w:rPr>
                <w:rFonts w:ascii="Arial" w:hAnsi="Arial" w:cs="Arial"/>
                <w:color w:val="000000"/>
                <w:lang w:val="en-GB"/>
              </w:rPr>
              <w:t>5.16</w:t>
            </w:r>
          </w:p>
        </w:tc>
        <w:tc>
          <w:tcPr>
            <w:tcW w:w="1800"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 Transmission, Distribution</w:t>
            </w:r>
          </w:p>
        </w:tc>
        <w:tc>
          <w:tcPr>
            <w:tcW w:w="1739" w:type="dxa"/>
            <w:tcBorders>
              <w:top w:val="nil"/>
              <w:left w:val="nil"/>
              <w:bottom w:val="single" w:sz="4" w:space="0" w:color="auto"/>
              <w:right w:val="single" w:sz="4" w:space="0" w:color="auto"/>
            </w:tcBorders>
            <w:shd w:val="clear" w:color="auto" w:fill="auto"/>
            <w:noWrap/>
            <w:vAlign w:val="center"/>
            <w:hideMark/>
          </w:tcPr>
          <w:p w:rsidR="00CF71AC" w:rsidRPr="007D2AA2" w:rsidRDefault="00CF71AC" w:rsidP="00346242">
            <w:pPr>
              <w:rPr>
                <w:rFonts w:ascii="Arial" w:hAnsi="Arial" w:cs="Arial"/>
                <w:color w:val="000000"/>
                <w:lang w:val="en-GB"/>
              </w:rPr>
            </w:pPr>
            <w:r w:rsidRPr="007D2AA2">
              <w:rPr>
                <w:rFonts w:ascii="Arial" w:hAnsi="Arial" w:cs="Arial"/>
                <w:color w:val="000000"/>
                <w:lang w:val="en-GB"/>
              </w:rPr>
              <w:t>Generation, Transmission, Distribution</w:t>
            </w:r>
          </w:p>
        </w:tc>
      </w:tr>
    </w:tbl>
    <w:p w:rsidR="00CF71AC" w:rsidRPr="0064450C" w:rsidRDefault="00CF71AC" w:rsidP="00CF71AC">
      <w:pPr>
        <w:pStyle w:val="FootnoteText"/>
        <w:rPr>
          <w:lang w:val="en-GB"/>
        </w:rPr>
      </w:pPr>
    </w:p>
    <w:p w:rsidR="00CF71AC" w:rsidRPr="0064450C" w:rsidRDefault="00CF71AC" w:rsidP="00A80C4D">
      <w:pPr>
        <w:pStyle w:val="FootnoteText"/>
      </w:pPr>
      <w:r w:rsidRPr="0064450C">
        <w:rPr>
          <w:lang w:val="en-GB"/>
        </w:rPr>
        <w:t xml:space="preserve">Source: All sources accessed August 12, 2017, Hydro Quebec, </w:t>
      </w:r>
      <w:r w:rsidRPr="0064450C">
        <w:t xml:space="preserve">www.hydroquebec.com/publications/en/corporate-documents/annual-report.html; </w:t>
      </w:r>
      <w:r w:rsidRPr="0064450C">
        <w:rPr>
          <w:lang w:val="en-GB"/>
        </w:rPr>
        <w:t xml:space="preserve">PG&amp;E Corporation, </w:t>
      </w:r>
      <w:r w:rsidRPr="0064450C">
        <w:t xml:space="preserve">http://investor.pgecorp.com/financials/annual-reports-and-proxy-statements/default.aspx; </w:t>
      </w:r>
      <w:proofErr w:type="spellStart"/>
      <w:r w:rsidRPr="0064450C">
        <w:rPr>
          <w:lang w:val="en-GB"/>
        </w:rPr>
        <w:t>ConEdison</w:t>
      </w:r>
      <w:proofErr w:type="spellEnd"/>
      <w:r w:rsidRPr="0064450C">
        <w:rPr>
          <w:lang w:val="en-GB"/>
        </w:rPr>
        <w:t xml:space="preserve">, Inc., </w:t>
      </w:r>
      <w:r w:rsidRPr="0064450C">
        <w:t xml:space="preserve">http://phx.corporate-ir.net/phoenix.zhtml?c=61493&amp;p=irol-reportsannual; </w:t>
      </w:r>
      <w:r w:rsidRPr="0064450C">
        <w:rPr>
          <w:lang w:val="en-GB"/>
        </w:rPr>
        <w:t xml:space="preserve">Edison International, </w:t>
      </w:r>
      <w:r w:rsidRPr="0064450C">
        <w:t xml:space="preserve">www.edison.com/home/investors/sec-filings-financials/annual-reports.html; </w:t>
      </w:r>
      <w:r w:rsidRPr="0064450C">
        <w:rPr>
          <w:lang w:val="en-GB"/>
        </w:rPr>
        <w:t xml:space="preserve">Ontario Power Generation, </w:t>
      </w:r>
      <w:r w:rsidRPr="0064450C">
        <w:t xml:space="preserve">www.opg.com/about/finance/pages/financial-reports.aspx; </w:t>
      </w:r>
      <w:r w:rsidRPr="0064450C">
        <w:rPr>
          <w:lang w:val="en-GB"/>
        </w:rPr>
        <w:t xml:space="preserve">Georgia Power, </w:t>
      </w:r>
      <w:r w:rsidRPr="0064450C">
        <w:t xml:space="preserve">https://www.georgiapower.com/about-us/facts-and-financials/financial-annual-reports.cshtml; </w:t>
      </w:r>
      <w:r w:rsidRPr="0064450C">
        <w:rPr>
          <w:lang w:val="en-GB"/>
        </w:rPr>
        <w:t xml:space="preserve">BC Hydro, </w:t>
      </w:r>
      <w:r w:rsidRPr="0064450C">
        <w:t>https://www.bchydro.com/about/accountability_reports/financial_</w:t>
      </w:r>
    </w:p>
    <w:p w:rsidR="00CF71AC" w:rsidRPr="0064450C" w:rsidRDefault="00CF71AC" w:rsidP="00A80C4D">
      <w:pPr>
        <w:pStyle w:val="FootnoteText"/>
        <w:rPr>
          <w:lang w:val="en-GB"/>
        </w:rPr>
      </w:pPr>
      <w:proofErr w:type="gramStart"/>
      <w:r w:rsidRPr="0064450C">
        <w:t>reports/annual_reports.html</w:t>
      </w:r>
      <w:proofErr w:type="gramEnd"/>
      <w:r w:rsidRPr="0064450C">
        <w:t xml:space="preserve">; </w:t>
      </w:r>
      <w:r w:rsidRPr="0064450C">
        <w:rPr>
          <w:lang w:val="en-GB"/>
        </w:rPr>
        <w:t xml:space="preserve">Hydro One, </w:t>
      </w:r>
      <w:r w:rsidRPr="0064450C">
        <w:t>www.hydroone.com/InvestorRelations/FinancialReporting/Pages/Default.aspx;</w:t>
      </w:r>
      <w:r w:rsidRPr="0064450C">
        <w:rPr>
          <w:rStyle w:val="Hyperlink"/>
          <w:rFonts w:cs="Arial"/>
          <w:sz w:val="16"/>
          <w:szCs w:val="16"/>
          <w:lang w:val="en-GB"/>
        </w:rPr>
        <w:t xml:space="preserve"> </w:t>
      </w:r>
      <w:proofErr w:type="spellStart"/>
      <w:r w:rsidRPr="0064450C">
        <w:rPr>
          <w:lang w:val="en-GB"/>
        </w:rPr>
        <w:t>Enmax</w:t>
      </w:r>
      <w:proofErr w:type="spellEnd"/>
      <w:r w:rsidRPr="0064450C">
        <w:rPr>
          <w:lang w:val="en-GB"/>
        </w:rPr>
        <w:t xml:space="preserve">, </w:t>
      </w:r>
      <w:r w:rsidRPr="0064450C">
        <w:t>https://www.enmax.com/about-us/reports-and-publications.</w:t>
      </w:r>
    </w:p>
    <w:p w:rsidR="00CF71AC" w:rsidRPr="007D2AA2" w:rsidRDefault="00CF71AC" w:rsidP="0064450C">
      <w:pPr>
        <w:pStyle w:val="BodyTextMain"/>
        <w:rPr>
          <w:lang w:val="en-GB"/>
        </w:rPr>
      </w:pPr>
    </w:p>
    <w:p w:rsidR="00CF71AC" w:rsidRPr="007D2AA2" w:rsidRDefault="00CF71AC" w:rsidP="0064450C">
      <w:pPr>
        <w:pStyle w:val="BodyTextMain"/>
        <w:rPr>
          <w:spacing w:val="-1"/>
          <w:lang w:val="en-GB"/>
        </w:rPr>
      </w:pPr>
      <w:r w:rsidRPr="007D2AA2">
        <w:rPr>
          <w:lang w:val="en-GB"/>
        </w:rPr>
        <w:br w:type="page"/>
      </w:r>
    </w:p>
    <w:p w:rsidR="00CF71AC" w:rsidRPr="007D2AA2" w:rsidRDefault="00CF71AC" w:rsidP="00CF71AC">
      <w:pPr>
        <w:pStyle w:val="casehead10"/>
        <w:jc w:val="center"/>
        <w:rPr>
          <w:lang w:val="en-GB"/>
        </w:rPr>
      </w:pPr>
      <w:r w:rsidRPr="007D2AA2">
        <w:rPr>
          <w:lang w:val="en-GB"/>
        </w:rPr>
        <w:lastRenderedPageBreak/>
        <w:t>Exhibit 8: Fortis Board of Directors Coverage</w:t>
      </w:r>
    </w:p>
    <w:p w:rsidR="00CF71AC" w:rsidRPr="008935EC" w:rsidRDefault="00CF71AC" w:rsidP="0064450C">
      <w:pPr>
        <w:pStyle w:val="BodyTextMain"/>
        <w:rPr>
          <w:lang w:val="en-GB"/>
        </w:rPr>
      </w:pPr>
    </w:p>
    <w:p w:rsidR="00CF71AC" w:rsidRDefault="00CF71AC" w:rsidP="0064450C">
      <w:pPr>
        <w:pStyle w:val="BodyText"/>
        <w:spacing w:after="0"/>
        <w:rPr>
          <w:rFonts w:ascii="Arial" w:hAnsi="Arial" w:cs="Arial"/>
          <w:sz w:val="18"/>
          <w:szCs w:val="19"/>
          <w:lang w:val="en-GB"/>
        </w:rPr>
      </w:pPr>
      <w:r w:rsidRPr="008935EC">
        <w:rPr>
          <w:rFonts w:ascii="Arial" w:hAnsi="Arial" w:cs="Arial"/>
          <w:sz w:val="18"/>
          <w:szCs w:val="19"/>
          <w:lang w:val="en-GB"/>
        </w:rPr>
        <w:t>The following lists summarize the Fortis leadership sitting on subsidiary boards (as expected if ITC deal is approved and finalized).</w:t>
      </w:r>
    </w:p>
    <w:p w:rsidR="0064450C" w:rsidRPr="008935EC" w:rsidRDefault="0064450C" w:rsidP="0064450C">
      <w:pPr>
        <w:pStyle w:val="BodyText"/>
        <w:spacing w:after="0"/>
        <w:rPr>
          <w:rFonts w:ascii="Arial" w:hAnsi="Arial" w:cs="Arial"/>
          <w:sz w:val="18"/>
          <w:szCs w:val="19"/>
          <w:lang w:val="en-GB"/>
        </w:rPr>
      </w:pPr>
    </w:p>
    <w:p w:rsidR="00CF71AC" w:rsidRPr="008935EC" w:rsidRDefault="00CF71AC" w:rsidP="00CF71AC">
      <w:pPr>
        <w:outlineLvl w:val="0"/>
        <w:rPr>
          <w:rFonts w:ascii="Arial" w:hAnsi="Arial" w:cs="Arial"/>
          <w:b/>
          <w:sz w:val="18"/>
          <w:szCs w:val="19"/>
          <w:lang w:val="en-GB"/>
        </w:rPr>
      </w:pPr>
      <w:r w:rsidRPr="008935EC">
        <w:rPr>
          <w:rFonts w:ascii="Arial" w:hAnsi="Arial" w:cs="Arial"/>
          <w:b/>
          <w:sz w:val="18"/>
          <w:szCs w:val="19"/>
          <w:lang w:val="en-GB"/>
        </w:rPr>
        <w:t>Fortis Inc.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Barry V. Perry (CEO, Fortis Inc.)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Tracey Ball (</w:t>
      </w:r>
      <w:proofErr w:type="spellStart"/>
      <w:r w:rsidRPr="008935EC">
        <w:rPr>
          <w:rFonts w:ascii="Arial" w:hAnsi="Arial" w:cs="Arial"/>
          <w:sz w:val="18"/>
          <w:szCs w:val="19"/>
          <w:lang w:val="en-GB"/>
        </w:rPr>
        <w:t>FortisAlberta</w:t>
      </w:r>
      <w:proofErr w:type="spellEnd"/>
      <w:r w:rsidRPr="008935EC">
        <w:rPr>
          <w:rFonts w:ascii="Arial" w:hAnsi="Arial" w:cs="Arial"/>
          <w:sz w:val="18"/>
          <w:szCs w:val="19"/>
          <w:lang w:val="en-GB"/>
        </w:rPr>
        <w:t xml:space="preserve"> Board)</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 xml:space="preserve">Ida J. </w:t>
      </w:r>
      <w:proofErr w:type="spellStart"/>
      <w:r w:rsidRPr="008935EC">
        <w:rPr>
          <w:rFonts w:ascii="Arial" w:hAnsi="Arial" w:cs="Arial"/>
          <w:sz w:val="18"/>
          <w:szCs w:val="19"/>
          <w:lang w:val="en-GB"/>
        </w:rPr>
        <w:t>Goodreau</w:t>
      </w:r>
      <w:proofErr w:type="spellEnd"/>
      <w:r w:rsidRPr="008935EC">
        <w:rPr>
          <w:rFonts w:ascii="Arial" w:hAnsi="Arial" w:cs="Arial"/>
          <w:sz w:val="18"/>
          <w:szCs w:val="19"/>
          <w:lang w:val="en-GB"/>
        </w:rPr>
        <w:t xml:space="preserve"> (</w:t>
      </w:r>
      <w:proofErr w:type="spellStart"/>
      <w:r w:rsidRPr="008935EC">
        <w:rPr>
          <w:rFonts w:ascii="Arial" w:hAnsi="Arial" w:cs="Arial"/>
          <w:sz w:val="18"/>
          <w:szCs w:val="19"/>
          <w:lang w:val="en-GB"/>
        </w:rPr>
        <w:t>FortisBC</w:t>
      </w:r>
      <w:proofErr w:type="spellEnd"/>
      <w:r w:rsidRPr="008935EC">
        <w:rPr>
          <w:rFonts w:ascii="Arial" w:hAnsi="Arial" w:cs="Arial"/>
          <w:sz w:val="18"/>
          <w:szCs w:val="19"/>
          <w:lang w:val="en-GB"/>
        </w:rPr>
        <w:t xml:space="preserve"> Board)</w:t>
      </w:r>
    </w:p>
    <w:p w:rsidR="00CF71AC" w:rsidRPr="008935EC" w:rsidRDefault="00CF71AC" w:rsidP="00CF71AC">
      <w:pPr>
        <w:outlineLvl w:val="0"/>
        <w:rPr>
          <w:rFonts w:ascii="Arial" w:hAnsi="Arial" w:cs="Arial"/>
          <w:sz w:val="18"/>
          <w:szCs w:val="19"/>
          <w:lang w:val="en-GB"/>
        </w:rPr>
      </w:pPr>
    </w:p>
    <w:p w:rsidR="00CF71AC" w:rsidRPr="008935EC" w:rsidRDefault="00CF71AC" w:rsidP="00CF71AC">
      <w:pPr>
        <w:outlineLvl w:val="0"/>
        <w:rPr>
          <w:rFonts w:ascii="Arial" w:hAnsi="Arial" w:cs="Arial"/>
          <w:b/>
          <w:sz w:val="18"/>
          <w:szCs w:val="19"/>
          <w:lang w:val="en-GB"/>
        </w:rPr>
      </w:pPr>
      <w:r w:rsidRPr="008935EC">
        <w:rPr>
          <w:rFonts w:ascii="Arial" w:hAnsi="Arial" w:cs="Arial"/>
          <w:b/>
          <w:sz w:val="18"/>
          <w:szCs w:val="19"/>
          <w:lang w:val="en-GB"/>
        </w:rPr>
        <w:t xml:space="preserve">ITC Board </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Linda Blair (President and CEO, ITC Holdings Corp.)</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 xml:space="preserve">James </w:t>
      </w:r>
      <w:proofErr w:type="spellStart"/>
      <w:r w:rsidRPr="008935EC">
        <w:rPr>
          <w:rFonts w:ascii="Arial" w:hAnsi="Arial" w:cs="Arial"/>
          <w:sz w:val="18"/>
          <w:szCs w:val="19"/>
          <w:lang w:val="en-GB"/>
        </w:rPr>
        <w:t>Laurito</w:t>
      </w:r>
      <w:proofErr w:type="spellEnd"/>
      <w:r w:rsidRPr="008935EC">
        <w:rPr>
          <w:rFonts w:ascii="Arial" w:hAnsi="Arial" w:cs="Arial"/>
          <w:sz w:val="18"/>
          <w:szCs w:val="19"/>
          <w:lang w:val="en-GB"/>
        </w:rPr>
        <w:t xml:space="preserve"> (EVP, Business Development, Fortis Inc.)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Barry V. Perry (CEO, Fortis Inc.)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Joseph Welch (Chairman ITC Board, former President/CEO, ITC Holdings Corp.)</w:t>
      </w:r>
    </w:p>
    <w:p w:rsidR="00CF71AC" w:rsidRPr="008935EC" w:rsidRDefault="00CF71AC" w:rsidP="00CF71AC">
      <w:pPr>
        <w:tabs>
          <w:tab w:val="center" w:pos="4567"/>
        </w:tabs>
        <w:outlineLvl w:val="0"/>
        <w:rPr>
          <w:rFonts w:ascii="Arial" w:hAnsi="Arial" w:cs="Arial"/>
          <w:sz w:val="18"/>
          <w:szCs w:val="19"/>
          <w:lang w:val="en-GB"/>
        </w:rPr>
      </w:pPr>
    </w:p>
    <w:p w:rsidR="00CF71AC" w:rsidRPr="008935EC" w:rsidRDefault="00CF71AC" w:rsidP="00CF71AC">
      <w:pPr>
        <w:tabs>
          <w:tab w:val="center" w:pos="4567"/>
        </w:tabs>
        <w:outlineLvl w:val="0"/>
        <w:rPr>
          <w:rFonts w:ascii="Arial" w:hAnsi="Arial" w:cs="Arial"/>
          <w:b/>
          <w:sz w:val="18"/>
          <w:szCs w:val="19"/>
          <w:lang w:val="en-GB"/>
        </w:rPr>
      </w:pPr>
      <w:proofErr w:type="spellStart"/>
      <w:r w:rsidRPr="008935EC">
        <w:rPr>
          <w:rFonts w:ascii="Arial" w:hAnsi="Arial" w:cs="Arial"/>
          <w:b/>
          <w:sz w:val="18"/>
          <w:szCs w:val="19"/>
          <w:lang w:val="en-GB"/>
        </w:rPr>
        <w:t>FortisBC</w:t>
      </w:r>
      <w:proofErr w:type="spellEnd"/>
      <w:r w:rsidRPr="008935EC">
        <w:rPr>
          <w:rFonts w:ascii="Arial" w:hAnsi="Arial" w:cs="Arial"/>
          <w:b/>
          <w:sz w:val="18"/>
          <w:szCs w:val="19"/>
          <w:lang w:val="en-GB"/>
        </w:rPr>
        <w:t xml:space="preserve"> Board</w:t>
      </w:r>
    </w:p>
    <w:p w:rsidR="00CF71AC" w:rsidRPr="008935EC" w:rsidRDefault="00CF71AC" w:rsidP="00CF71AC">
      <w:pPr>
        <w:outlineLvl w:val="0"/>
        <w:rPr>
          <w:rFonts w:ascii="Arial" w:hAnsi="Arial" w:cs="Arial"/>
          <w:sz w:val="18"/>
          <w:szCs w:val="19"/>
          <w:lang w:val="en-GB"/>
        </w:rPr>
      </w:pPr>
      <w:proofErr w:type="spellStart"/>
      <w:r w:rsidRPr="008935EC">
        <w:rPr>
          <w:rFonts w:ascii="Arial" w:hAnsi="Arial" w:cs="Arial"/>
          <w:sz w:val="18"/>
          <w:szCs w:val="19"/>
          <w:lang w:val="en-GB"/>
        </w:rPr>
        <w:t>Phonse</w:t>
      </w:r>
      <w:proofErr w:type="spellEnd"/>
      <w:r w:rsidRPr="008935EC">
        <w:rPr>
          <w:rFonts w:ascii="Arial" w:hAnsi="Arial" w:cs="Arial"/>
          <w:sz w:val="18"/>
          <w:szCs w:val="19"/>
          <w:lang w:val="en-GB"/>
        </w:rPr>
        <w:t xml:space="preserve"> Delaney (President and CEO, </w:t>
      </w:r>
      <w:proofErr w:type="spellStart"/>
      <w:r w:rsidRPr="008935EC">
        <w:rPr>
          <w:rFonts w:ascii="Arial" w:hAnsi="Arial" w:cs="Arial"/>
          <w:sz w:val="18"/>
          <w:szCs w:val="19"/>
          <w:lang w:val="en-GB"/>
        </w:rPr>
        <w:t>FortisAlberta</w:t>
      </w:r>
      <w:proofErr w:type="spellEnd"/>
      <w:r w:rsidRPr="008935EC">
        <w:rPr>
          <w:rFonts w:ascii="Arial" w:hAnsi="Arial" w:cs="Arial"/>
          <w:sz w:val="18"/>
          <w:szCs w:val="19"/>
          <w:lang w:val="en-GB"/>
        </w:rPr>
        <w:t>)</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fr-FR"/>
        </w:rPr>
        <w:t xml:space="preserve">Ida J. </w:t>
      </w:r>
      <w:proofErr w:type="spellStart"/>
      <w:r w:rsidRPr="008935EC">
        <w:rPr>
          <w:rFonts w:ascii="Arial" w:hAnsi="Arial" w:cs="Arial"/>
          <w:sz w:val="18"/>
          <w:szCs w:val="19"/>
          <w:lang w:val="fr-FR"/>
        </w:rPr>
        <w:t>Goodreau</w:t>
      </w:r>
      <w:proofErr w:type="spellEnd"/>
      <w:r w:rsidRPr="008935EC">
        <w:rPr>
          <w:rFonts w:ascii="Arial" w:hAnsi="Arial" w:cs="Arial"/>
          <w:sz w:val="18"/>
          <w:szCs w:val="19"/>
          <w:lang w:val="fr-FR"/>
        </w:rPr>
        <w:t xml:space="preserve"> (Fortis Inc. </w:t>
      </w:r>
      <w:r w:rsidRPr="008935EC">
        <w:rPr>
          <w:rFonts w:ascii="Arial" w:hAnsi="Arial" w:cs="Arial"/>
          <w:sz w:val="18"/>
          <w:szCs w:val="19"/>
          <w:lang w:val="en-GB"/>
        </w:rPr>
        <w:t>Board)</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David G. Hutchens (CEO of Tucson Electric Power, subsidiary of UNS Energy)</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 xml:space="preserve">Michael </w:t>
      </w:r>
      <w:proofErr w:type="spellStart"/>
      <w:r w:rsidRPr="008935EC">
        <w:rPr>
          <w:rFonts w:ascii="Arial" w:hAnsi="Arial" w:cs="Arial"/>
          <w:sz w:val="18"/>
          <w:szCs w:val="19"/>
          <w:lang w:val="en-GB"/>
        </w:rPr>
        <w:t>Mulcahy</w:t>
      </w:r>
      <w:proofErr w:type="spellEnd"/>
      <w:r w:rsidRPr="008935EC">
        <w:rPr>
          <w:rFonts w:ascii="Arial" w:hAnsi="Arial" w:cs="Arial"/>
          <w:sz w:val="18"/>
          <w:szCs w:val="19"/>
          <w:lang w:val="en-GB"/>
        </w:rPr>
        <w:t xml:space="preserve"> (CEO, </w:t>
      </w:r>
      <w:proofErr w:type="spellStart"/>
      <w:r w:rsidRPr="008935EC">
        <w:rPr>
          <w:rFonts w:ascii="Arial" w:hAnsi="Arial" w:cs="Arial"/>
          <w:sz w:val="18"/>
          <w:szCs w:val="19"/>
          <w:lang w:val="en-GB"/>
        </w:rPr>
        <w:t>FortisBC</w:t>
      </w:r>
      <w:proofErr w:type="spellEnd"/>
      <w:r w:rsidRPr="008935EC">
        <w:rPr>
          <w:rFonts w:ascii="Arial" w:hAnsi="Arial" w:cs="Arial"/>
          <w:sz w:val="18"/>
          <w:szCs w:val="19"/>
          <w:lang w:val="en-GB"/>
        </w:rPr>
        <w:t xml:space="preserve"> and </w:t>
      </w:r>
      <w:proofErr w:type="spellStart"/>
      <w:r w:rsidRPr="008935EC">
        <w:rPr>
          <w:rFonts w:ascii="Arial" w:hAnsi="Arial" w:cs="Arial"/>
          <w:sz w:val="18"/>
          <w:szCs w:val="19"/>
          <w:lang w:val="en-GB"/>
        </w:rPr>
        <w:t>FortisBC</w:t>
      </w:r>
      <w:proofErr w:type="spellEnd"/>
      <w:r w:rsidRPr="008935EC">
        <w:rPr>
          <w:rFonts w:ascii="Arial" w:hAnsi="Arial" w:cs="Arial"/>
          <w:sz w:val="18"/>
          <w:szCs w:val="19"/>
          <w:lang w:val="en-GB"/>
        </w:rPr>
        <w:t xml:space="preserve"> Energy)</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Barry V. Perry (CEO, Fortis Inc.)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Karl W. Smith (EVP, CFO Fortis Inc.)</w:t>
      </w:r>
    </w:p>
    <w:p w:rsidR="00CF71AC" w:rsidRPr="008935EC" w:rsidRDefault="00CF71AC" w:rsidP="00CF71AC">
      <w:pPr>
        <w:outlineLvl w:val="0"/>
        <w:rPr>
          <w:rFonts w:ascii="Arial" w:hAnsi="Arial" w:cs="Arial"/>
          <w:sz w:val="18"/>
          <w:szCs w:val="19"/>
          <w:lang w:val="en-GB"/>
        </w:rPr>
      </w:pPr>
    </w:p>
    <w:p w:rsidR="00CF71AC" w:rsidRPr="008935EC" w:rsidRDefault="00CF71AC" w:rsidP="00CF71AC">
      <w:pPr>
        <w:outlineLvl w:val="0"/>
        <w:rPr>
          <w:rFonts w:ascii="Arial" w:hAnsi="Arial" w:cs="Arial"/>
          <w:b/>
          <w:sz w:val="18"/>
          <w:szCs w:val="19"/>
          <w:lang w:val="en-GB"/>
        </w:rPr>
      </w:pPr>
      <w:proofErr w:type="spellStart"/>
      <w:r w:rsidRPr="008935EC">
        <w:rPr>
          <w:rFonts w:ascii="Arial" w:hAnsi="Arial" w:cs="Arial"/>
          <w:b/>
          <w:sz w:val="18"/>
          <w:szCs w:val="19"/>
          <w:lang w:val="en-GB"/>
        </w:rPr>
        <w:t>FortisAlberta</w:t>
      </w:r>
      <w:proofErr w:type="spellEnd"/>
    </w:p>
    <w:p w:rsidR="00CF71AC" w:rsidRPr="008935EC" w:rsidRDefault="00CF71AC" w:rsidP="00CF71AC">
      <w:pPr>
        <w:outlineLvl w:val="0"/>
        <w:rPr>
          <w:rFonts w:ascii="Arial" w:hAnsi="Arial" w:cs="Arial"/>
          <w:sz w:val="18"/>
          <w:szCs w:val="19"/>
          <w:lang w:val="en-GB"/>
        </w:rPr>
      </w:pPr>
      <w:proofErr w:type="spellStart"/>
      <w:r w:rsidRPr="008935EC">
        <w:rPr>
          <w:rFonts w:ascii="Arial" w:hAnsi="Arial" w:cs="Arial"/>
          <w:sz w:val="18"/>
          <w:szCs w:val="19"/>
          <w:lang w:val="en-GB"/>
        </w:rPr>
        <w:t>Phonse</w:t>
      </w:r>
      <w:proofErr w:type="spellEnd"/>
      <w:r w:rsidRPr="008935EC">
        <w:rPr>
          <w:rFonts w:ascii="Arial" w:hAnsi="Arial" w:cs="Arial"/>
          <w:sz w:val="18"/>
          <w:szCs w:val="19"/>
          <w:lang w:val="en-GB"/>
        </w:rPr>
        <w:t xml:space="preserve"> Delaney (President and CEO, </w:t>
      </w:r>
      <w:proofErr w:type="spellStart"/>
      <w:r w:rsidRPr="008935EC">
        <w:rPr>
          <w:rFonts w:ascii="Arial" w:hAnsi="Arial" w:cs="Arial"/>
          <w:sz w:val="18"/>
          <w:szCs w:val="19"/>
          <w:lang w:val="en-GB"/>
        </w:rPr>
        <w:t>FortisAlberta</w:t>
      </w:r>
      <w:proofErr w:type="spellEnd"/>
      <w:r w:rsidRPr="008935EC">
        <w:rPr>
          <w:rFonts w:ascii="Arial" w:hAnsi="Arial" w:cs="Arial"/>
          <w:sz w:val="18"/>
          <w:szCs w:val="19"/>
          <w:lang w:val="en-GB"/>
        </w:rPr>
        <w:t>)</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David G. Hutchens (CEO of Tucson Electric Power, subsidiary of UNS Energy)</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Nora Duke (Chief Human Resources Officer and EVP Corporate Services, Fortis Inc.)</w:t>
      </w:r>
    </w:p>
    <w:p w:rsidR="00CF71AC" w:rsidRPr="008935EC" w:rsidRDefault="00CF71AC" w:rsidP="00CF71AC">
      <w:pPr>
        <w:outlineLvl w:val="0"/>
        <w:rPr>
          <w:rFonts w:ascii="Arial" w:hAnsi="Arial" w:cs="Arial"/>
          <w:sz w:val="18"/>
          <w:szCs w:val="19"/>
          <w:lang w:val="en-GB"/>
        </w:rPr>
      </w:pPr>
    </w:p>
    <w:p w:rsidR="00CF71AC" w:rsidRPr="008935EC" w:rsidRDefault="00CF71AC" w:rsidP="00CF71AC">
      <w:pPr>
        <w:outlineLvl w:val="0"/>
        <w:rPr>
          <w:rFonts w:ascii="Arial" w:hAnsi="Arial" w:cs="Arial"/>
          <w:b/>
          <w:sz w:val="18"/>
          <w:szCs w:val="19"/>
          <w:lang w:val="en-GB"/>
        </w:rPr>
      </w:pPr>
      <w:r w:rsidRPr="008935EC">
        <w:rPr>
          <w:rFonts w:ascii="Arial" w:hAnsi="Arial" w:cs="Arial"/>
          <w:b/>
          <w:sz w:val="18"/>
          <w:szCs w:val="19"/>
          <w:lang w:val="en-GB"/>
        </w:rPr>
        <w:t>UNS Energy</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Barry V. Perry (CEO, Fortis Inc.)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David G. Hutchens (CEO of Tucson Electric Power, subsidiary of UNS Energy)</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Karl W. Smith (EVP, CFO, Fortis Inc.)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 xml:space="preserve">Michael </w:t>
      </w:r>
      <w:proofErr w:type="spellStart"/>
      <w:r w:rsidRPr="008935EC">
        <w:rPr>
          <w:rFonts w:ascii="Arial" w:hAnsi="Arial" w:cs="Arial"/>
          <w:sz w:val="18"/>
          <w:szCs w:val="19"/>
          <w:lang w:val="en-GB"/>
        </w:rPr>
        <w:t>Mulcahy</w:t>
      </w:r>
      <w:proofErr w:type="spellEnd"/>
      <w:r w:rsidRPr="008935EC">
        <w:rPr>
          <w:rFonts w:ascii="Arial" w:hAnsi="Arial" w:cs="Arial"/>
          <w:sz w:val="18"/>
          <w:szCs w:val="19"/>
          <w:lang w:val="en-GB"/>
        </w:rPr>
        <w:t xml:space="preserve"> (CEO, </w:t>
      </w:r>
      <w:proofErr w:type="spellStart"/>
      <w:r w:rsidRPr="008935EC">
        <w:rPr>
          <w:rFonts w:ascii="Arial" w:hAnsi="Arial" w:cs="Arial"/>
          <w:sz w:val="18"/>
          <w:szCs w:val="19"/>
          <w:lang w:val="en-GB"/>
        </w:rPr>
        <w:t>FortisBC</w:t>
      </w:r>
      <w:proofErr w:type="spellEnd"/>
      <w:r w:rsidRPr="008935EC">
        <w:rPr>
          <w:rFonts w:ascii="Arial" w:hAnsi="Arial" w:cs="Arial"/>
          <w:sz w:val="18"/>
          <w:szCs w:val="19"/>
          <w:lang w:val="en-GB"/>
        </w:rPr>
        <w:t xml:space="preserve"> and </w:t>
      </w:r>
      <w:proofErr w:type="spellStart"/>
      <w:r w:rsidRPr="008935EC">
        <w:rPr>
          <w:rFonts w:ascii="Arial" w:hAnsi="Arial" w:cs="Arial"/>
          <w:sz w:val="18"/>
          <w:szCs w:val="19"/>
          <w:lang w:val="en-GB"/>
        </w:rPr>
        <w:t>FortisBC</w:t>
      </w:r>
      <w:proofErr w:type="spellEnd"/>
      <w:r w:rsidRPr="008935EC">
        <w:rPr>
          <w:rFonts w:ascii="Arial" w:hAnsi="Arial" w:cs="Arial"/>
          <w:sz w:val="18"/>
          <w:szCs w:val="19"/>
          <w:lang w:val="en-GB"/>
        </w:rPr>
        <w:t xml:space="preserve"> Energy)</w:t>
      </w:r>
    </w:p>
    <w:p w:rsidR="00CF71AC" w:rsidRPr="008935EC" w:rsidRDefault="00CF71AC" w:rsidP="00CF71AC">
      <w:pPr>
        <w:outlineLvl w:val="0"/>
        <w:rPr>
          <w:rFonts w:ascii="Arial" w:hAnsi="Arial" w:cs="Arial"/>
          <w:sz w:val="18"/>
          <w:szCs w:val="19"/>
          <w:lang w:val="en-GB"/>
        </w:rPr>
      </w:pPr>
    </w:p>
    <w:p w:rsidR="00CF71AC" w:rsidRPr="008935EC" w:rsidRDefault="00CF71AC" w:rsidP="00CF71AC">
      <w:pPr>
        <w:outlineLvl w:val="0"/>
        <w:rPr>
          <w:rFonts w:ascii="Arial" w:hAnsi="Arial" w:cs="Arial"/>
          <w:b/>
          <w:sz w:val="18"/>
          <w:szCs w:val="19"/>
          <w:lang w:val="en-GB"/>
        </w:rPr>
      </w:pPr>
      <w:r w:rsidRPr="008935EC">
        <w:rPr>
          <w:rFonts w:ascii="Arial" w:hAnsi="Arial" w:cs="Arial"/>
          <w:b/>
          <w:sz w:val="18"/>
          <w:szCs w:val="19"/>
          <w:lang w:val="en-GB"/>
        </w:rPr>
        <w:t>Central Hudson</w:t>
      </w:r>
    </w:p>
    <w:p w:rsidR="00CF71AC" w:rsidRPr="008935EC" w:rsidRDefault="00CF71AC" w:rsidP="00CF71AC">
      <w:pPr>
        <w:outlineLvl w:val="0"/>
        <w:rPr>
          <w:rFonts w:ascii="Arial" w:hAnsi="Arial" w:cs="Arial"/>
          <w:sz w:val="18"/>
          <w:szCs w:val="19"/>
          <w:lang w:val="en-GB"/>
        </w:rPr>
      </w:pPr>
      <w:proofErr w:type="gramStart"/>
      <w:r w:rsidRPr="008935EC">
        <w:rPr>
          <w:rFonts w:ascii="Arial" w:hAnsi="Arial" w:cs="Arial"/>
          <w:sz w:val="18"/>
          <w:szCs w:val="19"/>
          <w:lang w:val="en-GB"/>
        </w:rPr>
        <w:t>Margarita Dilley (Board, Fortis Inc.)</w:t>
      </w:r>
      <w:proofErr w:type="gramEnd"/>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 xml:space="preserve">James </w:t>
      </w:r>
      <w:proofErr w:type="spellStart"/>
      <w:r w:rsidRPr="008935EC">
        <w:rPr>
          <w:rFonts w:ascii="Arial" w:hAnsi="Arial" w:cs="Arial"/>
          <w:sz w:val="18"/>
          <w:szCs w:val="19"/>
          <w:lang w:val="en-GB"/>
        </w:rPr>
        <w:t>Laurito</w:t>
      </w:r>
      <w:proofErr w:type="spellEnd"/>
      <w:r w:rsidRPr="008935EC">
        <w:rPr>
          <w:rFonts w:ascii="Arial" w:hAnsi="Arial" w:cs="Arial"/>
          <w:sz w:val="18"/>
          <w:szCs w:val="19"/>
          <w:lang w:val="en-GB"/>
        </w:rPr>
        <w:t xml:space="preserve"> (EVP, Business Development, Fortis Inc.)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Barry V. Perry (CEO, Fortis Inc.)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Nora Duke (Chief Human Resources Officer and EVP Corporate Services, Fortis Inc.)</w:t>
      </w:r>
    </w:p>
    <w:p w:rsidR="00CF71AC" w:rsidRPr="008935EC" w:rsidRDefault="00CF71AC" w:rsidP="00CF71AC">
      <w:pPr>
        <w:outlineLvl w:val="0"/>
        <w:rPr>
          <w:rFonts w:ascii="Arial" w:hAnsi="Arial" w:cs="Arial"/>
          <w:sz w:val="18"/>
          <w:szCs w:val="19"/>
          <w:lang w:val="en-GB"/>
        </w:rPr>
      </w:pPr>
    </w:p>
    <w:p w:rsidR="00CF71AC" w:rsidRPr="008935EC" w:rsidRDefault="00CF71AC" w:rsidP="00CF71AC">
      <w:pPr>
        <w:outlineLvl w:val="0"/>
        <w:rPr>
          <w:rFonts w:ascii="Arial" w:hAnsi="Arial" w:cs="Arial"/>
          <w:b/>
          <w:sz w:val="18"/>
          <w:szCs w:val="19"/>
          <w:lang w:val="en-GB"/>
        </w:rPr>
      </w:pPr>
      <w:r w:rsidRPr="008935EC">
        <w:rPr>
          <w:rFonts w:ascii="Arial" w:hAnsi="Arial" w:cs="Arial"/>
          <w:b/>
          <w:sz w:val="18"/>
          <w:szCs w:val="19"/>
          <w:lang w:val="en-GB"/>
        </w:rPr>
        <w:t>Maritime Electric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Earl A. Ludlow (EVP, Operations and Advisor to the President, Fortis Inc.)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 xml:space="preserve">John D. </w:t>
      </w:r>
      <w:proofErr w:type="spellStart"/>
      <w:r w:rsidRPr="008935EC">
        <w:rPr>
          <w:rFonts w:ascii="Arial" w:hAnsi="Arial" w:cs="Arial"/>
          <w:sz w:val="18"/>
          <w:szCs w:val="19"/>
          <w:lang w:val="en-GB"/>
        </w:rPr>
        <w:t>Gaudet</w:t>
      </w:r>
      <w:proofErr w:type="spellEnd"/>
      <w:r w:rsidRPr="008935EC">
        <w:rPr>
          <w:rFonts w:ascii="Arial" w:hAnsi="Arial" w:cs="Arial"/>
          <w:sz w:val="18"/>
          <w:szCs w:val="19"/>
          <w:lang w:val="en-GB"/>
        </w:rPr>
        <w:t xml:space="preserve"> (President and CEO, Maritime Electric)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Gary J. Smith (EVP, Eastern Canadian and Caribbean Operations, Fortis Inc.)</w:t>
      </w:r>
    </w:p>
    <w:p w:rsidR="00CF71AC" w:rsidRPr="008935EC" w:rsidRDefault="00CF71AC" w:rsidP="00CF71AC">
      <w:pPr>
        <w:outlineLvl w:val="0"/>
        <w:rPr>
          <w:rFonts w:ascii="Arial" w:hAnsi="Arial" w:cs="Arial"/>
          <w:sz w:val="18"/>
          <w:szCs w:val="19"/>
          <w:lang w:val="en-GB"/>
        </w:rPr>
      </w:pPr>
    </w:p>
    <w:p w:rsidR="00CF71AC" w:rsidRPr="008935EC" w:rsidRDefault="00CF71AC" w:rsidP="00CF71AC">
      <w:pPr>
        <w:outlineLvl w:val="0"/>
        <w:rPr>
          <w:rFonts w:ascii="Arial" w:hAnsi="Arial" w:cs="Arial"/>
          <w:b/>
          <w:sz w:val="18"/>
          <w:szCs w:val="19"/>
          <w:lang w:val="en-GB"/>
        </w:rPr>
      </w:pPr>
      <w:r w:rsidRPr="008935EC">
        <w:rPr>
          <w:rFonts w:ascii="Arial" w:hAnsi="Arial" w:cs="Arial"/>
          <w:b/>
          <w:sz w:val="18"/>
          <w:szCs w:val="19"/>
          <w:lang w:val="en-GB"/>
        </w:rPr>
        <w:t>Caribbean Utilities Company</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Gary J. Smith (EVP, Eastern Canadian &amp; Caribbean Operations, Fortis Inc.)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Earl A. Ludlow (EVP, Operations and Advisor to the President, Fortis Inc.)</w:t>
      </w:r>
    </w:p>
    <w:p w:rsidR="00CF71AC" w:rsidRPr="008935EC" w:rsidRDefault="00CF71AC" w:rsidP="00CF71AC">
      <w:pPr>
        <w:rPr>
          <w:rFonts w:ascii="Arial" w:hAnsi="Arial" w:cs="Arial"/>
          <w:sz w:val="18"/>
          <w:szCs w:val="19"/>
          <w:lang w:val="en-GB"/>
        </w:rPr>
      </w:pPr>
      <w:r w:rsidRPr="008935EC">
        <w:rPr>
          <w:rFonts w:ascii="Arial" w:hAnsi="Arial" w:cs="Arial"/>
          <w:sz w:val="18"/>
          <w:szCs w:val="19"/>
          <w:lang w:val="en-GB"/>
        </w:rPr>
        <w:t xml:space="preserve">Eddington M. Powell (President and CEO, </w:t>
      </w:r>
      <w:proofErr w:type="spellStart"/>
      <w:r w:rsidRPr="008935EC">
        <w:rPr>
          <w:rFonts w:ascii="Arial" w:hAnsi="Arial" w:cs="Arial"/>
          <w:sz w:val="18"/>
          <w:szCs w:val="19"/>
          <w:lang w:val="en-GB"/>
        </w:rPr>
        <w:t>FortisTCI</w:t>
      </w:r>
      <w:proofErr w:type="spellEnd"/>
      <w:r w:rsidRPr="008935EC">
        <w:rPr>
          <w:rFonts w:ascii="Arial" w:hAnsi="Arial" w:cs="Arial"/>
          <w:sz w:val="18"/>
          <w:szCs w:val="19"/>
          <w:lang w:val="en-GB"/>
        </w:rPr>
        <w:t>)</w:t>
      </w:r>
    </w:p>
    <w:p w:rsidR="00CF71AC" w:rsidRPr="008935EC" w:rsidRDefault="00CF71AC" w:rsidP="00CF71AC">
      <w:pPr>
        <w:rPr>
          <w:rFonts w:ascii="Arial" w:hAnsi="Arial" w:cs="Arial"/>
          <w:sz w:val="18"/>
          <w:szCs w:val="19"/>
          <w:lang w:val="en-GB"/>
        </w:rPr>
      </w:pPr>
      <w:r w:rsidRPr="008935EC">
        <w:rPr>
          <w:rFonts w:ascii="Arial" w:hAnsi="Arial" w:cs="Arial"/>
          <w:sz w:val="18"/>
          <w:szCs w:val="19"/>
          <w:lang w:val="en-GB"/>
        </w:rPr>
        <w:t>J.F. Richard Hew (President and CEO, Caribbean Utilities Company)</w:t>
      </w:r>
    </w:p>
    <w:p w:rsidR="00CF71AC" w:rsidRPr="008935EC" w:rsidRDefault="00CF71AC" w:rsidP="00CF71AC">
      <w:pPr>
        <w:rPr>
          <w:rFonts w:ascii="Arial" w:hAnsi="Arial" w:cs="Arial"/>
          <w:sz w:val="18"/>
          <w:szCs w:val="19"/>
          <w:lang w:val="en-GB"/>
        </w:rPr>
      </w:pPr>
    </w:p>
    <w:p w:rsidR="00CF71AC" w:rsidRPr="008935EC" w:rsidRDefault="00CF71AC" w:rsidP="00CF71AC">
      <w:pPr>
        <w:outlineLvl w:val="0"/>
        <w:rPr>
          <w:rFonts w:ascii="Arial" w:hAnsi="Arial" w:cs="Arial"/>
          <w:b/>
          <w:sz w:val="18"/>
          <w:szCs w:val="19"/>
          <w:lang w:val="en-GB"/>
        </w:rPr>
      </w:pPr>
      <w:r w:rsidRPr="008935EC">
        <w:rPr>
          <w:rFonts w:ascii="Arial" w:hAnsi="Arial" w:cs="Arial"/>
          <w:b/>
          <w:sz w:val="18"/>
          <w:szCs w:val="19"/>
          <w:lang w:val="en-GB"/>
        </w:rPr>
        <w:t>Newfoundland Power</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Jo</w:t>
      </w:r>
      <w:r>
        <w:rPr>
          <w:rFonts w:ascii="Arial" w:hAnsi="Arial" w:cs="Arial"/>
          <w:sz w:val="18"/>
          <w:szCs w:val="19"/>
          <w:lang w:val="en-GB"/>
        </w:rPr>
        <w:t>h</w:t>
      </w:r>
      <w:r w:rsidRPr="008935EC">
        <w:rPr>
          <w:rFonts w:ascii="Arial" w:hAnsi="Arial" w:cs="Arial"/>
          <w:sz w:val="18"/>
          <w:szCs w:val="19"/>
          <w:lang w:val="en-GB"/>
        </w:rPr>
        <w:t xml:space="preserve">n </w:t>
      </w:r>
      <w:proofErr w:type="spellStart"/>
      <w:r w:rsidRPr="008935EC">
        <w:rPr>
          <w:rFonts w:ascii="Arial" w:hAnsi="Arial" w:cs="Arial"/>
          <w:sz w:val="18"/>
          <w:szCs w:val="19"/>
          <w:lang w:val="en-GB"/>
        </w:rPr>
        <w:t>Gaudet</w:t>
      </w:r>
      <w:proofErr w:type="spellEnd"/>
      <w:r w:rsidRPr="008935EC">
        <w:rPr>
          <w:rFonts w:ascii="Arial" w:hAnsi="Arial" w:cs="Arial"/>
          <w:sz w:val="18"/>
          <w:szCs w:val="19"/>
          <w:lang w:val="en-GB"/>
        </w:rPr>
        <w:t xml:space="preserve"> (President and CEO, Maritime Electric)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Mike Mosher (President and CEO, Central Hudson Gas &amp; Electric)</w:t>
      </w:r>
    </w:p>
    <w:p w:rsidR="00CF71AC" w:rsidRPr="008935EC" w:rsidRDefault="00CF71AC" w:rsidP="00CF71AC">
      <w:pPr>
        <w:outlineLvl w:val="0"/>
        <w:rPr>
          <w:rFonts w:ascii="Arial" w:hAnsi="Arial" w:cs="Arial"/>
          <w:sz w:val="18"/>
          <w:szCs w:val="19"/>
          <w:lang w:val="en-GB"/>
        </w:rPr>
      </w:pPr>
      <w:r w:rsidRPr="008935EC">
        <w:rPr>
          <w:rFonts w:ascii="Arial" w:hAnsi="Arial" w:cs="Arial"/>
          <w:sz w:val="18"/>
          <w:szCs w:val="19"/>
          <w:lang w:val="en-GB"/>
        </w:rPr>
        <w:t>Gary Smith (EVP, Eastern Canadian &amp; Caribbean Operations, Fortis Inc.)</w:t>
      </w:r>
    </w:p>
    <w:p w:rsidR="00CF71AC" w:rsidRPr="007D2AA2" w:rsidRDefault="00CF71AC" w:rsidP="00CF71AC">
      <w:pPr>
        <w:outlineLvl w:val="0"/>
        <w:rPr>
          <w:rFonts w:ascii="Arial" w:hAnsi="Arial" w:cs="Arial"/>
          <w:sz w:val="17"/>
          <w:szCs w:val="17"/>
          <w:lang w:val="en-GB"/>
        </w:rPr>
      </w:pPr>
    </w:p>
    <w:p w:rsidR="00CF71AC" w:rsidRPr="007D2AA2" w:rsidRDefault="00CF71AC" w:rsidP="00A80C4D">
      <w:pPr>
        <w:pStyle w:val="FootnoteText"/>
        <w:rPr>
          <w:lang w:val="en-GB"/>
        </w:rPr>
      </w:pPr>
      <w:r>
        <w:rPr>
          <w:lang w:val="en-GB"/>
        </w:rPr>
        <w:t xml:space="preserve">Note: </w:t>
      </w:r>
      <w:r w:rsidRPr="007D2AA2">
        <w:rPr>
          <w:lang w:val="en-GB"/>
        </w:rPr>
        <w:t>These board memberships do not include all board members</w:t>
      </w:r>
      <w:r>
        <w:rPr>
          <w:lang w:val="en-GB"/>
        </w:rPr>
        <w:t>,</w:t>
      </w:r>
      <w:r w:rsidRPr="007D2AA2">
        <w:rPr>
          <w:lang w:val="en-GB"/>
        </w:rPr>
        <w:t xml:space="preserve"> only th</w:t>
      </w:r>
      <w:r>
        <w:rPr>
          <w:lang w:val="en-GB"/>
        </w:rPr>
        <w:t>o</w:t>
      </w:r>
      <w:r w:rsidRPr="007D2AA2">
        <w:rPr>
          <w:lang w:val="en-GB"/>
        </w:rPr>
        <w:t xml:space="preserve">se </w:t>
      </w:r>
      <w:r>
        <w:rPr>
          <w:lang w:val="en-GB"/>
        </w:rPr>
        <w:t xml:space="preserve">board members </w:t>
      </w:r>
      <w:r w:rsidRPr="007D2AA2">
        <w:rPr>
          <w:lang w:val="en-GB"/>
        </w:rPr>
        <w:t>from Fortis and from other subsidiaries</w:t>
      </w:r>
      <w:r>
        <w:rPr>
          <w:lang w:val="en-GB"/>
        </w:rPr>
        <w:t>; CEO= chief executive officer; EVP = executive vice-president.</w:t>
      </w:r>
    </w:p>
    <w:p w:rsidR="00465348" w:rsidRPr="009C2666" w:rsidRDefault="00CF71AC" w:rsidP="00A80C4D">
      <w:pPr>
        <w:pStyle w:val="FootnoteText"/>
      </w:pPr>
      <w:r w:rsidRPr="007D2AA2">
        <w:rPr>
          <w:lang w:val="en-GB"/>
        </w:rPr>
        <w:t xml:space="preserve">Source: </w:t>
      </w:r>
      <w:r>
        <w:rPr>
          <w:lang w:val="en-GB"/>
        </w:rPr>
        <w:t>Company documents</w:t>
      </w:r>
      <w:r w:rsidRPr="007D2AA2">
        <w:rPr>
          <w:lang w:val="en-GB"/>
        </w:rPr>
        <w:t>.</w:t>
      </w:r>
    </w:p>
    <w:sectPr w:rsidR="00465348" w:rsidRPr="009C2666" w:rsidSect="00751E0B">
      <w:headerReference w:type="default" r:id="rId16"/>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885" w:rsidRDefault="00930885" w:rsidP="00D75295">
      <w:r>
        <w:separator/>
      </w:r>
    </w:p>
  </w:endnote>
  <w:endnote w:type="continuationSeparator" w:id="0">
    <w:p w:rsidR="00930885" w:rsidRDefault="009308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885" w:rsidRDefault="00930885" w:rsidP="00D75295">
      <w:r>
        <w:separator/>
      </w:r>
    </w:p>
  </w:footnote>
  <w:footnote w:type="continuationSeparator" w:id="0">
    <w:p w:rsidR="00930885" w:rsidRDefault="00930885" w:rsidP="00D75295">
      <w:r>
        <w:continuationSeparator/>
      </w:r>
    </w:p>
  </w:footnote>
  <w:footnote w:id="1">
    <w:p w:rsidR="00CF71AC" w:rsidRDefault="00CF71AC" w:rsidP="00CF71AC">
      <w:pPr>
        <w:pStyle w:val="FootnoteText"/>
      </w:pPr>
      <w:r>
        <w:rPr>
          <w:rStyle w:val="FootnoteReference"/>
        </w:rPr>
        <w:footnoteRef/>
      </w:r>
      <w:r>
        <w:t xml:space="preserve"> All currency amounts are in US$ unless otherwise noted.</w:t>
      </w:r>
    </w:p>
  </w:footnote>
  <w:footnote w:id="2">
    <w:p w:rsidR="00CF71AC" w:rsidRPr="00375C85" w:rsidRDefault="00CF71AC" w:rsidP="00CF71AC">
      <w:pPr>
        <w:pStyle w:val="FootnoteText"/>
      </w:pPr>
      <w:r w:rsidRPr="00375C85">
        <w:rPr>
          <w:rStyle w:val="FootnoteReference"/>
        </w:rPr>
        <w:footnoteRef/>
      </w:r>
      <w:r w:rsidRPr="00375C85">
        <w:t xml:space="preserve"> </w:t>
      </w:r>
      <w:r>
        <w:t xml:space="preserve">“Fortis Inc. to Acquire ITC Holdings Corp. for US$11.3 Billion,” </w:t>
      </w:r>
      <w:proofErr w:type="spellStart"/>
      <w:r>
        <w:t>Cision</w:t>
      </w:r>
      <w:proofErr w:type="spellEnd"/>
      <w:r>
        <w:t xml:space="preserve"> PR Newswire: News, February 9, 2016, accessed May 6, 2017, </w:t>
      </w:r>
      <w:r w:rsidRPr="00DB7BBD">
        <w:t>www.prnewswire.com/news-releases/fortis-inc-to-acquire-itc-holdings-corp-for-us113-</w:t>
      </w:r>
      <w:r>
        <w:t>billion-300217218.html.</w:t>
      </w:r>
    </w:p>
  </w:footnote>
  <w:footnote w:id="3">
    <w:p w:rsidR="00CF71AC" w:rsidRPr="00375C85" w:rsidRDefault="00CF71AC" w:rsidP="00CF71AC">
      <w:pPr>
        <w:pStyle w:val="FootnoteText"/>
      </w:pPr>
      <w:r w:rsidRPr="00375C85">
        <w:rPr>
          <w:rStyle w:val="FootnoteReference"/>
        </w:rPr>
        <w:footnoteRef/>
      </w:r>
      <w:r w:rsidRPr="00375C85">
        <w:t xml:space="preserve"> </w:t>
      </w:r>
      <w:r>
        <w:t xml:space="preserve">Joan Sullivan, “In Memoriam: Engineer Angus </w:t>
      </w:r>
      <w:proofErr w:type="spellStart"/>
      <w:r>
        <w:t>Bruneau</w:t>
      </w:r>
      <w:proofErr w:type="spellEnd"/>
      <w:r>
        <w:t xml:space="preserve"> Led Multibillion-Dollar Utility,</w:t>
      </w:r>
      <w:r>
        <w:rPr>
          <w:lang w:val="en-GB"/>
        </w:rPr>
        <w:t>”</w:t>
      </w:r>
      <w:r>
        <w:t xml:space="preserve"> </w:t>
      </w:r>
      <w:r w:rsidRPr="000F3991">
        <w:rPr>
          <w:i/>
        </w:rPr>
        <w:t>Globe and Mail</w:t>
      </w:r>
      <w:r>
        <w:t xml:space="preserve">, March 26, 2017, accessed June 18, 2017, </w:t>
      </w:r>
      <w:r w:rsidRPr="001931E9">
        <w:t>https://www.theglobeandmail.com/report-on-business/engineer-angus-bruneau-led-multibillion-dollar-utility/article34431116/</w:t>
      </w:r>
      <w:r>
        <w:t>.</w:t>
      </w:r>
    </w:p>
  </w:footnote>
  <w:footnote w:id="4">
    <w:p w:rsidR="00CF71AC" w:rsidRPr="00375C85" w:rsidRDefault="00CF71AC" w:rsidP="00CF71AC">
      <w:pPr>
        <w:pStyle w:val="FootnoteText"/>
      </w:pPr>
      <w:r w:rsidRPr="00375C85">
        <w:rPr>
          <w:rStyle w:val="FootnoteReference"/>
        </w:rPr>
        <w:footnoteRef/>
      </w:r>
      <w:r w:rsidRPr="00375C85">
        <w:t xml:space="preserve"> </w:t>
      </w:r>
      <w:proofErr w:type="spellStart"/>
      <w:r>
        <w:t>Azam</w:t>
      </w:r>
      <w:proofErr w:type="spellEnd"/>
      <w:r>
        <w:t xml:space="preserve"> Ahmed, “</w:t>
      </w:r>
      <w:proofErr w:type="spellStart"/>
      <w:r>
        <w:t>Gaz</w:t>
      </w:r>
      <w:proofErr w:type="spellEnd"/>
      <w:r>
        <w:t xml:space="preserve"> Metro Bests Fortis to Buy Vermont Utility,” </w:t>
      </w:r>
      <w:r w:rsidRPr="000F3991">
        <w:rPr>
          <w:i/>
        </w:rPr>
        <w:t>New York Times</w:t>
      </w:r>
      <w:r>
        <w:t xml:space="preserve">, July 12, 2011, accessed July 31, 2017, </w:t>
      </w:r>
      <w:r w:rsidRPr="00DB7BBD">
        <w:t>https://dealbook.nytimes.com/2011/07/12/gaz-metro-bests-fortis-to-buy-vermont-utility/</w:t>
      </w:r>
      <w:r>
        <w:t>.</w:t>
      </w:r>
      <w:r w:rsidRPr="00375C85">
        <w:t xml:space="preserve"> </w:t>
      </w:r>
    </w:p>
  </w:footnote>
  <w:footnote w:id="5">
    <w:p w:rsidR="00CF71AC" w:rsidRPr="00A41B52" w:rsidRDefault="00CF71AC" w:rsidP="00CF71AC">
      <w:pPr>
        <w:pStyle w:val="FootnoteText"/>
      </w:pPr>
      <w:r w:rsidRPr="00375C85">
        <w:rPr>
          <w:rStyle w:val="FootnoteReference"/>
        </w:rPr>
        <w:footnoteRef/>
      </w:r>
      <w:r w:rsidRPr="00375C85">
        <w:t xml:space="preserve"> CIBC Institutional Equity Research, February 9</w:t>
      </w:r>
      <w:r>
        <w:t>, 2016.</w:t>
      </w:r>
    </w:p>
  </w:footnote>
  <w:footnote w:id="6">
    <w:p w:rsidR="00CF71AC" w:rsidRPr="00375C85" w:rsidRDefault="00CF71AC" w:rsidP="00CF71AC">
      <w:pPr>
        <w:pStyle w:val="FootnoteText"/>
      </w:pPr>
      <w:r w:rsidRPr="00375C85">
        <w:rPr>
          <w:rStyle w:val="FootnoteReference"/>
        </w:rPr>
        <w:footnoteRef/>
      </w:r>
      <w:r w:rsidRPr="00375C85">
        <w:t xml:space="preserve"> </w:t>
      </w:r>
      <w:r>
        <w:t xml:space="preserve">ITC Holdings Corp., </w:t>
      </w:r>
      <w:r w:rsidRPr="001931E9">
        <w:rPr>
          <w:i/>
        </w:rPr>
        <w:t>2015 Annual Report</w:t>
      </w:r>
      <w:r>
        <w:t xml:space="preserve">, accessed August 20, 2017, </w:t>
      </w:r>
      <w:r w:rsidRPr="001931E9">
        <w:t>www.annualreports.com/HostedData/AnnualReportArchive/i/NYSE_ITC_2015.pdf</w:t>
      </w:r>
      <w:r>
        <w:t>.</w:t>
      </w:r>
    </w:p>
  </w:footnote>
  <w:footnote w:id="7">
    <w:p w:rsidR="00CF71AC" w:rsidRPr="00F56A8F" w:rsidRDefault="00CF71AC" w:rsidP="00CF71AC">
      <w:pPr>
        <w:pStyle w:val="FootnoteText"/>
        <w:rPr>
          <w:lang w:val="en-CA"/>
        </w:rPr>
      </w:pPr>
      <w:r w:rsidRPr="00F56A8F">
        <w:rPr>
          <w:rStyle w:val="FootnoteReference"/>
          <w:sz w:val="20"/>
        </w:rPr>
        <w:footnoteRef/>
      </w:r>
      <w:r w:rsidRPr="00F56A8F">
        <w:t xml:space="preserve"> </w:t>
      </w:r>
      <w:proofErr w:type="gramStart"/>
      <w:r w:rsidRPr="00F56A8F">
        <w:rPr>
          <w:lang w:val="en-CA"/>
        </w:rPr>
        <w:t>CIBC Institutional Equity Research,</w:t>
      </w:r>
      <w:r>
        <w:rPr>
          <w:lang w:val="en-CA"/>
        </w:rPr>
        <w:t xml:space="preserve"> op. cit.</w:t>
      </w:r>
      <w:proofErr w:type="gramEnd"/>
      <w:r>
        <w:rPr>
          <w:lang w:val="en-CA"/>
        </w:rPr>
        <w:t xml:space="preserve">  </w:t>
      </w:r>
    </w:p>
  </w:footnote>
  <w:footnote w:id="8">
    <w:p w:rsidR="00CF71AC" w:rsidRPr="00375C85" w:rsidRDefault="00CF71AC" w:rsidP="00CF71AC">
      <w:pPr>
        <w:pStyle w:val="FootnoteText"/>
      </w:pPr>
      <w:r w:rsidRPr="00F56A8F">
        <w:rPr>
          <w:rStyle w:val="FootnoteReference"/>
        </w:rPr>
        <w:footnoteRef/>
      </w:r>
      <w:r w:rsidRPr="00F56A8F">
        <w:t xml:space="preserve"> </w:t>
      </w:r>
      <w:r>
        <w:t xml:space="preserve">IEA: </w:t>
      </w:r>
      <w:r w:rsidRPr="00375C85">
        <w:t>International Energy Agency</w:t>
      </w:r>
      <w:r>
        <w:t>,</w:t>
      </w:r>
      <w:r w:rsidRPr="00375C85">
        <w:t xml:space="preserve"> </w:t>
      </w:r>
      <w:r w:rsidRPr="001931E9">
        <w:rPr>
          <w:i/>
        </w:rPr>
        <w:t>Energy Policies of IEA Countries</w:t>
      </w:r>
      <w:r w:rsidRPr="001931E9">
        <w:rPr>
          <w:rFonts w:cs="Arial"/>
          <w:i/>
        </w:rPr>
        <w:t>—</w:t>
      </w:r>
      <w:r w:rsidRPr="001931E9">
        <w:rPr>
          <w:i/>
        </w:rPr>
        <w:t>Canada 2009 Review</w:t>
      </w:r>
      <w:r>
        <w:t>, 2009, accessed July 9, 2017,</w:t>
      </w:r>
      <w:r w:rsidRPr="001A0D97">
        <w:t xml:space="preserve"> https://www.iea.org/publications/freepublications/publication/canada2009.pdf</w:t>
      </w:r>
    </w:p>
  </w:footnote>
  <w:footnote w:id="9">
    <w:p w:rsidR="00CF71AC" w:rsidRPr="00375C85" w:rsidRDefault="00CF71AC" w:rsidP="00CF71AC">
      <w:pPr>
        <w:pStyle w:val="FootnoteText"/>
      </w:pPr>
      <w:r w:rsidRPr="001931E9">
        <w:rPr>
          <w:rStyle w:val="FootnoteReference"/>
        </w:rPr>
        <w:footnoteRef/>
      </w:r>
      <w:r w:rsidRPr="00F56A8F">
        <w:t xml:space="preserve"> </w:t>
      </w:r>
      <w:r>
        <w:t xml:space="preserve">Natural Resources Canada, “Frequently Asked Questions about Natural Gas Prices,” accessed July 9, 2017, </w:t>
      </w:r>
      <w:hyperlink r:id="rId1" w:anchor="faq9" w:history="1">
        <w:r w:rsidRPr="00375C85">
          <w:t>https://www.nrcan.gc.ca/energy/natural-gas/5685#faq9</w:t>
        </w:r>
      </w:hyperlink>
      <w:r>
        <w:t>.</w:t>
      </w:r>
    </w:p>
  </w:footnote>
  <w:footnote w:id="10">
    <w:p w:rsidR="00CF71AC" w:rsidRPr="00375C85" w:rsidRDefault="00CF71AC" w:rsidP="00CF71AC">
      <w:pPr>
        <w:pStyle w:val="FootnoteText"/>
      </w:pPr>
      <w:r w:rsidRPr="00375C85">
        <w:rPr>
          <w:rStyle w:val="FootnoteReference"/>
        </w:rPr>
        <w:footnoteRef/>
      </w:r>
      <w:r w:rsidRPr="00375C85">
        <w:t xml:space="preserve"> </w:t>
      </w:r>
      <w:r>
        <w:t xml:space="preserve">Direct Energy, “Energy Deregulation in the United States and Canada,” accessed May 6, 2017, </w:t>
      </w:r>
      <w:r w:rsidRPr="00DB7BBD">
        <w:t>https://business.directenergy.com/what-is-deregulation</w:t>
      </w:r>
      <w:r w:rsidRPr="00375C85">
        <w:t>.</w:t>
      </w:r>
    </w:p>
  </w:footnote>
  <w:footnote w:id="11">
    <w:p w:rsidR="00CF71AC" w:rsidRPr="00375C85" w:rsidRDefault="00CF71AC" w:rsidP="00CF71AC">
      <w:pPr>
        <w:pStyle w:val="FootnoteText"/>
      </w:pPr>
      <w:r w:rsidRPr="00375C85">
        <w:rPr>
          <w:rStyle w:val="FootnoteReference"/>
        </w:rPr>
        <w:footnoteRef/>
      </w:r>
      <w:r w:rsidRPr="00375C85">
        <w:t xml:space="preserve"> </w:t>
      </w:r>
      <w:r>
        <w:t xml:space="preserve">Electronic Choice, “Map of Deregulated Energy States and Markets,” accessed July 9, 2017, </w:t>
      </w:r>
      <w:r w:rsidRPr="001931E9">
        <w:t>https://www.electricchoice.com/map-deregulated-energy-markets/</w:t>
      </w:r>
      <w:r w:rsidRPr="00375C85">
        <w:t>.</w:t>
      </w:r>
    </w:p>
  </w:footnote>
  <w:footnote w:id="12">
    <w:p w:rsidR="00CF71AC" w:rsidRPr="00375C85" w:rsidRDefault="00CF71AC" w:rsidP="00CF71AC">
      <w:pPr>
        <w:pStyle w:val="FootnoteText"/>
      </w:pPr>
      <w:r w:rsidRPr="00375C85">
        <w:rPr>
          <w:rStyle w:val="FootnoteReference"/>
        </w:rPr>
        <w:footnoteRef/>
      </w:r>
      <w:r w:rsidRPr="00375C85">
        <w:t xml:space="preserve"> </w:t>
      </w:r>
      <w:r>
        <w:t xml:space="preserve">Christopher G. </w:t>
      </w:r>
      <w:proofErr w:type="spellStart"/>
      <w:r>
        <w:t>Lipscombe</w:t>
      </w:r>
      <w:proofErr w:type="spellEnd"/>
      <w:r>
        <w:t>, “</w:t>
      </w:r>
      <w:r w:rsidRPr="00375C85">
        <w:t>Open Access to Natural Gas Transportation, Session 2</w:t>
      </w:r>
      <w:r>
        <w:t xml:space="preserve">,” presented at The Natural Gas Regulatory Workshop, </w:t>
      </w:r>
      <w:proofErr w:type="spellStart"/>
      <w:r>
        <w:t>Contonou</w:t>
      </w:r>
      <w:proofErr w:type="spellEnd"/>
      <w:r>
        <w:t xml:space="preserve">, Benin, February 14–16, 2012, accessed May 6, 2017, </w:t>
      </w:r>
      <w:r w:rsidRPr="00DB7BBD">
        <w:t>http://pubs.naruc.org/pub/53724D07-2354-D714-51C9-BEF915B02FD7</w:t>
      </w:r>
      <w:r w:rsidRPr="00375C85">
        <w:t>.</w:t>
      </w:r>
    </w:p>
  </w:footnote>
  <w:footnote w:id="13">
    <w:p w:rsidR="00CF71AC" w:rsidRPr="00375C85" w:rsidRDefault="00CF71AC" w:rsidP="00CF71AC">
      <w:pPr>
        <w:pStyle w:val="FootnoteText"/>
      </w:pPr>
      <w:r w:rsidRPr="00375C85">
        <w:rPr>
          <w:rStyle w:val="FootnoteReference"/>
        </w:rPr>
        <w:footnoteRef/>
      </w:r>
      <w:r w:rsidRPr="00375C85">
        <w:t xml:space="preserve"> </w:t>
      </w:r>
      <w:r>
        <w:t xml:space="preserve">Scott Nyquist, </w:t>
      </w:r>
      <w:r w:rsidRPr="001931E9">
        <w:rPr>
          <w:i/>
        </w:rPr>
        <w:t xml:space="preserve">Energy 2050: Insights </w:t>
      </w:r>
      <w:r>
        <w:rPr>
          <w:i/>
        </w:rPr>
        <w:t>f</w:t>
      </w:r>
      <w:r w:rsidRPr="001931E9">
        <w:rPr>
          <w:i/>
        </w:rPr>
        <w:t>rom the Ground Up</w:t>
      </w:r>
      <w:r>
        <w:t xml:space="preserve">, McKinsey &amp; Company, November 2016, accessed August 16, 2017, </w:t>
      </w:r>
      <w:r w:rsidRPr="001931E9">
        <w:t>www.mckinsey.com/industries/oil-and-gas/our-insights/energy-2050-insights-from-the-ground-up</w:t>
      </w:r>
      <w:r w:rsidRPr="00375C85">
        <w:t>.</w:t>
      </w:r>
    </w:p>
  </w:footnote>
  <w:footnote w:id="14">
    <w:p w:rsidR="00CF71AC" w:rsidRPr="00375C85" w:rsidRDefault="00CF71AC" w:rsidP="00CF71AC">
      <w:pPr>
        <w:pStyle w:val="FootnoteText"/>
      </w:pPr>
      <w:r w:rsidRPr="00375C85">
        <w:rPr>
          <w:rStyle w:val="FootnoteReference"/>
        </w:rPr>
        <w:footnoteRef/>
      </w:r>
      <w:r w:rsidRPr="00375C85">
        <w:t xml:space="preserve"> </w:t>
      </w:r>
      <w:r>
        <w:t xml:space="preserve">Nikhil Patel, Thomas Seitz, and </w:t>
      </w:r>
      <w:proofErr w:type="spellStart"/>
      <w:r>
        <w:t>Kassia</w:t>
      </w:r>
      <w:proofErr w:type="spellEnd"/>
      <w:r>
        <w:t xml:space="preserve"> </w:t>
      </w:r>
      <w:proofErr w:type="spellStart"/>
      <w:r>
        <w:t>Yanosek</w:t>
      </w:r>
      <w:proofErr w:type="spellEnd"/>
      <w:r>
        <w:t xml:space="preserve">, “Three Game Changes for Energy,” </w:t>
      </w:r>
      <w:r>
        <w:rPr>
          <w:i/>
        </w:rPr>
        <w:t xml:space="preserve">McKinsey </w:t>
      </w:r>
      <w:r w:rsidRPr="00DD35C9">
        <w:rPr>
          <w:i/>
        </w:rPr>
        <w:t>Quarterly</w:t>
      </w:r>
      <w:r>
        <w:t xml:space="preserve">, </w:t>
      </w:r>
      <w:r w:rsidRPr="00DD35C9">
        <w:t>April</w:t>
      </w:r>
      <w:r>
        <w:t xml:space="preserve"> 2017, accessed August 16, 2017, </w:t>
      </w:r>
      <w:r w:rsidRPr="001931E9">
        <w:t>www.mckinsey.com/industries/oil-and-gas/our-insights/three-game-changers-for-energy</w:t>
      </w:r>
      <w:r w:rsidRPr="00375C85">
        <w:t>.</w:t>
      </w:r>
    </w:p>
  </w:footnote>
  <w:footnote w:id="15">
    <w:p w:rsidR="00CF71AC" w:rsidRPr="00375C85" w:rsidRDefault="00CF71AC" w:rsidP="00CF71AC">
      <w:pPr>
        <w:pStyle w:val="FootnoteText"/>
      </w:pPr>
      <w:r w:rsidRPr="00375C85">
        <w:rPr>
          <w:rStyle w:val="FootnoteReference"/>
        </w:rPr>
        <w:footnoteRef/>
      </w:r>
      <w:r w:rsidRPr="00375C85">
        <w:t xml:space="preserve"> </w:t>
      </w:r>
      <w:proofErr w:type="gramStart"/>
      <w:r w:rsidRPr="00375C85">
        <w:t xml:space="preserve">CIBC Institutional Equity Research, </w:t>
      </w:r>
      <w:r>
        <w:t>op. cit.</w:t>
      </w:r>
      <w:proofErr w:type="gramEnd"/>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45EF4">
      <w:rPr>
        <w:rFonts w:ascii="Arial" w:hAnsi="Arial"/>
        <w:b/>
        <w:noProof/>
      </w:rPr>
      <w:t>2</w:t>
    </w:r>
    <w:r>
      <w:rPr>
        <w:rFonts w:ascii="Arial" w:hAnsi="Arial"/>
        <w:b/>
      </w:rPr>
      <w:fldChar w:fldCharType="end"/>
    </w:r>
    <w:r>
      <w:rPr>
        <w:rFonts w:ascii="Arial" w:hAnsi="Arial"/>
        <w:b/>
      </w:rPr>
      <w:tab/>
    </w:r>
    <w:r w:rsidR="00050835">
      <w:rPr>
        <w:rFonts w:ascii="Arial" w:hAnsi="Arial"/>
        <w:b/>
      </w:rPr>
      <w:t>9B18M020</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3287816"/>
    <w:lvl w:ilvl="0">
      <w:start w:val="1"/>
      <w:numFmt w:val="decimal"/>
      <w:lvlText w:val="%1."/>
      <w:lvlJc w:val="left"/>
      <w:pPr>
        <w:tabs>
          <w:tab w:val="num" w:pos="1800"/>
        </w:tabs>
        <w:ind w:left="1800" w:hanging="360"/>
      </w:pPr>
    </w:lvl>
  </w:abstractNum>
  <w:abstractNum w:abstractNumId="1">
    <w:nsid w:val="FFFFFF7D"/>
    <w:multiLevelType w:val="singleLevel"/>
    <w:tmpl w:val="6DEE9BD2"/>
    <w:lvl w:ilvl="0">
      <w:start w:val="1"/>
      <w:numFmt w:val="decimal"/>
      <w:lvlText w:val="%1."/>
      <w:lvlJc w:val="left"/>
      <w:pPr>
        <w:tabs>
          <w:tab w:val="num" w:pos="1440"/>
        </w:tabs>
        <w:ind w:left="1440" w:hanging="360"/>
      </w:pPr>
    </w:lvl>
  </w:abstractNum>
  <w:abstractNum w:abstractNumId="2">
    <w:nsid w:val="FFFFFF7E"/>
    <w:multiLevelType w:val="singleLevel"/>
    <w:tmpl w:val="53B225E0"/>
    <w:lvl w:ilvl="0">
      <w:start w:val="1"/>
      <w:numFmt w:val="decimal"/>
      <w:lvlText w:val="%1."/>
      <w:lvlJc w:val="left"/>
      <w:pPr>
        <w:tabs>
          <w:tab w:val="num" w:pos="1080"/>
        </w:tabs>
        <w:ind w:left="1080" w:hanging="360"/>
      </w:pPr>
    </w:lvl>
  </w:abstractNum>
  <w:abstractNum w:abstractNumId="3">
    <w:nsid w:val="FFFFFF7F"/>
    <w:multiLevelType w:val="singleLevel"/>
    <w:tmpl w:val="18F844B0"/>
    <w:lvl w:ilvl="0">
      <w:start w:val="1"/>
      <w:numFmt w:val="decimal"/>
      <w:lvlText w:val="%1."/>
      <w:lvlJc w:val="left"/>
      <w:pPr>
        <w:tabs>
          <w:tab w:val="num" w:pos="720"/>
        </w:tabs>
        <w:ind w:left="720" w:hanging="360"/>
      </w:pPr>
    </w:lvl>
  </w:abstractNum>
  <w:abstractNum w:abstractNumId="4">
    <w:nsid w:val="FFFFFF80"/>
    <w:multiLevelType w:val="singleLevel"/>
    <w:tmpl w:val="62CCA81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25E6B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5D45C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860E28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7A59F8"/>
    <w:lvl w:ilvl="0">
      <w:start w:val="1"/>
      <w:numFmt w:val="decimal"/>
      <w:lvlText w:val="%1."/>
      <w:lvlJc w:val="left"/>
      <w:pPr>
        <w:tabs>
          <w:tab w:val="num" w:pos="360"/>
        </w:tabs>
        <w:ind w:left="360" w:hanging="360"/>
      </w:pPr>
    </w:lvl>
  </w:abstractNum>
  <w:abstractNum w:abstractNumId="9">
    <w:nsid w:val="FFFFFF89"/>
    <w:multiLevelType w:val="singleLevel"/>
    <w:tmpl w:val="889684E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974A12"/>
    <w:multiLevelType w:val="hybridMultilevel"/>
    <w:tmpl w:val="B99C33AC"/>
    <w:lvl w:ilvl="0" w:tplc="A2E00554">
      <w:start w:val="1"/>
      <w:numFmt w:val="bullet"/>
      <w:lvlText w:val=""/>
      <w:lvlJc w:val="left"/>
      <w:pPr>
        <w:ind w:left="1080" w:hanging="360"/>
      </w:pPr>
      <w:rPr>
        <w:rFonts w:ascii="Symbol" w:eastAsiaTheme="minorHAnsi" w:hAnsi="Symbol" w:cs="Times New Roman"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741573"/>
    <w:multiLevelType w:val="multilevel"/>
    <w:tmpl w:val="3C4E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355721"/>
    <w:multiLevelType w:val="hybridMultilevel"/>
    <w:tmpl w:val="8A380F6A"/>
    <w:lvl w:ilvl="0" w:tplc="35EC053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E05897"/>
    <w:multiLevelType w:val="hybridMultilevel"/>
    <w:tmpl w:val="CA9C7A6E"/>
    <w:lvl w:ilvl="0" w:tplc="6FEC47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031B38"/>
    <w:multiLevelType w:val="hybridMultilevel"/>
    <w:tmpl w:val="AFCCB0B6"/>
    <w:lvl w:ilvl="0" w:tplc="381034DE">
      <w:start w:val="1"/>
      <w:numFmt w:val="bullet"/>
      <w:lvlText w:val=""/>
      <w:lvlJc w:val="left"/>
      <w:pPr>
        <w:ind w:left="720" w:hanging="360"/>
      </w:pPr>
      <w:rPr>
        <w:rFonts w:ascii="Symbol" w:eastAsiaTheme="minorHAnsi" w:hAnsi="Symbol"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2D7B89"/>
    <w:multiLevelType w:val="singleLevel"/>
    <w:tmpl w:val="0409000F"/>
    <w:lvl w:ilvl="0">
      <w:start w:val="1"/>
      <w:numFmt w:val="decimal"/>
      <w:lvlText w:val="%1."/>
      <w:lvlJc w:val="left"/>
      <w:pPr>
        <w:tabs>
          <w:tab w:val="num" w:pos="360"/>
        </w:tabs>
        <w:ind w:left="360" w:hanging="360"/>
      </w:pPr>
    </w:lvl>
  </w:abstractNum>
  <w:abstractNum w:abstractNumId="29">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1">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FE10D0E"/>
    <w:multiLevelType w:val="hybridMultilevel"/>
    <w:tmpl w:val="C3B0BE60"/>
    <w:lvl w:ilvl="0" w:tplc="A2E00554">
      <w:start w:val="1"/>
      <w:numFmt w:val="bullet"/>
      <w:lvlText w:val=""/>
      <w:lvlJc w:val="left"/>
      <w:pPr>
        <w:ind w:left="720" w:hanging="360"/>
      </w:pPr>
      <w:rPr>
        <w:rFonts w:ascii="Symbol" w:eastAsiaTheme="minorHAnsi" w:hAnsi="Symbol"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8"/>
  </w:num>
  <w:num w:numId="3">
    <w:abstractNumId w:val="36"/>
  </w:num>
  <w:num w:numId="4">
    <w:abstractNumId w:val="18"/>
  </w:num>
  <w:num w:numId="5">
    <w:abstractNumId w:val="30"/>
  </w:num>
  <w:num w:numId="6">
    <w:abstractNumId w:val="34"/>
  </w:num>
  <w:num w:numId="7">
    <w:abstractNumId w:val="27"/>
  </w:num>
  <w:num w:numId="8">
    <w:abstractNumId w:val="35"/>
  </w:num>
  <w:num w:numId="9">
    <w:abstractNumId w:val="12"/>
  </w:num>
  <w:num w:numId="10">
    <w:abstractNumId w:val="22"/>
  </w:num>
  <w:num w:numId="11">
    <w:abstractNumId w:val="14"/>
  </w:num>
  <w:num w:numId="12">
    <w:abstractNumId w:val="41"/>
  </w:num>
  <w:num w:numId="13">
    <w:abstractNumId w:val="19"/>
  </w:num>
  <w:num w:numId="14">
    <w:abstractNumId w:val="33"/>
  </w:num>
  <w:num w:numId="15">
    <w:abstractNumId w:val="42"/>
  </w:num>
  <w:num w:numId="16">
    <w:abstractNumId w:val="21"/>
  </w:num>
  <w:num w:numId="17">
    <w:abstractNumId w:val="29"/>
  </w:num>
  <w:num w:numId="18">
    <w:abstractNumId w:val="20"/>
  </w:num>
  <w:num w:numId="19">
    <w:abstractNumId w:val="25"/>
  </w:num>
  <w:num w:numId="20">
    <w:abstractNumId w:val="40"/>
  </w:num>
  <w:num w:numId="21">
    <w:abstractNumId w:val="31"/>
  </w:num>
  <w:num w:numId="22">
    <w:abstractNumId w:val="32"/>
  </w:num>
  <w:num w:numId="23">
    <w:abstractNumId w:val="10"/>
  </w:num>
  <w:num w:numId="24">
    <w:abstractNumId w:val="17"/>
  </w:num>
  <w:num w:numId="25">
    <w:abstractNumId w:val="43"/>
  </w:num>
  <w:num w:numId="26">
    <w:abstractNumId w:val="44"/>
  </w:num>
  <w:num w:numId="27">
    <w:abstractNumId w:val="24"/>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7"/>
  </w:num>
  <w:num w:numId="39">
    <w:abstractNumId w:val="28"/>
  </w:num>
  <w:num w:numId="40">
    <w:abstractNumId w:val="13"/>
  </w:num>
  <w:num w:numId="41">
    <w:abstractNumId w:val="16"/>
  </w:num>
  <w:num w:numId="42">
    <w:abstractNumId w:val="15"/>
  </w:num>
  <w:num w:numId="43">
    <w:abstractNumId w:val="23"/>
  </w:num>
  <w:num w:numId="44">
    <w:abstractNumId w:val="39"/>
  </w:num>
  <w:num w:numId="4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0835"/>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031D2"/>
    <w:rsid w:val="004105B2"/>
    <w:rsid w:val="00412900"/>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4450C"/>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45EF4"/>
    <w:rsid w:val="007507C6"/>
    <w:rsid w:val="00751E0B"/>
    <w:rsid w:val="00752BCD"/>
    <w:rsid w:val="00766DA1"/>
    <w:rsid w:val="00780D94"/>
    <w:rsid w:val="007866A6"/>
    <w:rsid w:val="007A130D"/>
    <w:rsid w:val="007B7648"/>
    <w:rsid w:val="007D1A2D"/>
    <w:rsid w:val="007D4102"/>
    <w:rsid w:val="007F43B7"/>
    <w:rsid w:val="00821FFC"/>
    <w:rsid w:val="008271CA"/>
    <w:rsid w:val="008467D5"/>
    <w:rsid w:val="008A4DC4"/>
    <w:rsid w:val="008B438C"/>
    <w:rsid w:val="008D06CA"/>
    <w:rsid w:val="008D3A46"/>
    <w:rsid w:val="009067A4"/>
    <w:rsid w:val="00930885"/>
    <w:rsid w:val="00933D68"/>
    <w:rsid w:val="009340DB"/>
    <w:rsid w:val="0094618C"/>
    <w:rsid w:val="0095684B"/>
    <w:rsid w:val="00961060"/>
    <w:rsid w:val="00972498"/>
    <w:rsid w:val="0097481F"/>
    <w:rsid w:val="00974CC6"/>
    <w:rsid w:val="00976AD4"/>
    <w:rsid w:val="00995547"/>
    <w:rsid w:val="009A312F"/>
    <w:rsid w:val="009A5348"/>
    <w:rsid w:val="009B0AB7"/>
    <w:rsid w:val="009C76D5"/>
    <w:rsid w:val="009F7AA4"/>
    <w:rsid w:val="00A10AD7"/>
    <w:rsid w:val="00A41B52"/>
    <w:rsid w:val="00A559DB"/>
    <w:rsid w:val="00A569EA"/>
    <w:rsid w:val="00A80C4D"/>
    <w:rsid w:val="00AF35FC"/>
    <w:rsid w:val="00AF5556"/>
    <w:rsid w:val="00B03639"/>
    <w:rsid w:val="00B0652A"/>
    <w:rsid w:val="00B40937"/>
    <w:rsid w:val="00B423EF"/>
    <w:rsid w:val="00B43EEE"/>
    <w:rsid w:val="00B453DE"/>
    <w:rsid w:val="00B72597"/>
    <w:rsid w:val="00B901F9"/>
    <w:rsid w:val="00BD6EFB"/>
    <w:rsid w:val="00C1584D"/>
    <w:rsid w:val="00C15BE2"/>
    <w:rsid w:val="00C3447F"/>
    <w:rsid w:val="00C605FA"/>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F71AC"/>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B7BBD"/>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DB7BBD"/>
    <w:pPr>
      <w:jc w:val="both"/>
    </w:pPr>
    <w:rPr>
      <w:rFonts w:ascii="Arial" w:hAnsi="Arial"/>
      <w:sz w:val="17"/>
    </w:rPr>
  </w:style>
  <w:style w:type="character" w:customStyle="1" w:styleId="FootnoteTextChar">
    <w:name w:val="Footnote Text Char"/>
    <w:basedOn w:val="DefaultParagraphFont"/>
    <w:link w:val="FootnoteText"/>
    <w:uiPriority w:val="99"/>
    <w:rsid w:val="00DB7BBD"/>
    <w:rPr>
      <w:rFonts w:ascii="Arial" w:eastAsia="Times New Roman" w:hAnsi="Arial" w:cs="Times New Roman"/>
      <w:sz w:val="17"/>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rPr>
      <w:rFonts w:cs="Arial"/>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CF71AC"/>
    <w:pPr>
      <w:jc w:val="both"/>
    </w:pPr>
    <w:rPr>
      <w:sz w:val="24"/>
      <w:u w:val="single"/>
    </w:rPr>
  </w:style>
  <w:style w:type="character" w:styleId="HTMLCite">
    <w:name w:val="HTML Cite"/>
    <w:uiPriority w:val="99"/>
    <w:unhideWhenUsed/>
    <w:rsid w:val="00CF71AC"/>
    <w:rPr>
      <w:i/>
      <w:iCs/>
    </w:rPr>
  </w:style>
  <w:style w:type="paragraph" w:styleId="DocumentMap">
    <w:name w:val="Document Map"/>
    <w:basedOn w:val="Normal"/>
    <w:link w:val="DocumentMapChar"/>
    <w:uiPriority w:val="99"/>
    <w:unhideWhenUsed/>
    <w:rsid w:val="00CF71AC"/>
    <w:rPr>
      <w:rFonts w:eastAsia="Calibri"/>
      <w:sz w:val="24"/>
      <w:szCs w:val="24"/>
    </w:rPr>
  </w:style>
  <w:style w:type="character" w:customStyle="1" w:styleId="DocumentMapChar">
    <w:name w:val="Document Map Char"/>
    <w:basedOn w:val="DefaultParagraphFont"/>
    <w:link w:val="DocumentMap"/>
    <w:uiPriority w:val="99"/>
    <w:rsid w:val="00CF71AC"/>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DB7BBD"/>
    <w:pPr>
      <w:jc w:val="both"/>
    </w:pPr>
    <w:rPr>
      <w:rFonts w:ascii="Arial" w:hAnsi="Arial"/>
      <w:sz w:val="17"/>
    </w:rPr>
  </w:style>
  <w:style w:type="character" w:customStyle="1" w:styleId="FootnoteTextChar">
    <w:name w:val="Footnote Text Char"/>
    <w:basedOn w:val="DefaultParagraphFont"/>
    <w:link w:val="FootnoteText"/>
    <w:uiPriority w:val="99"/>
    <w:rsid w:val="00DB7BBD"/>
    <w:rPr>
      <w:rFonts w:ascii="Arial" w:eastAsia="Times New Roman" w:hAnsi="Arial" w:cs="Times New Roman"/>
      <w:sz w:val="17"/>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rPr>
      <w:rFonts w:cs="Arial"/>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CF71AC"/>
    <w:pPr>
      <w:jc w:val="both"/>
    </w:pPr>
    <w:rPr>
      <w:sz w:val="24"/>
      <w:u w:val="single"/>
    </w:rPr>
  </w:style>
  <w:style w:type="character" w:styleId="HTMLCite">
    <w:name w:val="HTML Cite"/>
    <w:uiPriority w:val="99"/>
    <w:unhideWhenUsed/>
    <w:rsid w:val="00CF71AC"/>
    <w:rPr>
      <w:i/>
      <w:iCs/>
    </w:rPr>
  </w:style>
  <w:style w:type="paragraph" w:styleId="DocumentMap">
    <w:name w:val="Document Map"/>
    <w:basedOn w:val="Normal"/>
    <w:link w:val="DocumentMapChar"/>
    <w:uiPriority w:val="99"/>
    <w:unhideWhenUsed/>
    <w:rsid w:val="00CF71AC"/>
    <w:rPr>
      <w:rFonts w:eastAsia="Calibri"/>
      <w:sz w:val="24"/>
      <w:szCs w:val="24"/>
    </w:rPr>
  </w:style>
  <w:style w:type="character" w:customStyle="1" w:styleId="DocumentMapChar">
    <w:name w:val="Document Map Char"/>
    <w:basedOn w:val="DefaultParagraphFont"/>
    <w:link w:val="DocumentMap"/>
    <w:uiPriority w:val="99"/>
    <w:rsid w:val="00CF71AC"/>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microsoft.com/office/2007/relationships/hdphoto" Target="media/hdphoto2.wdp"/><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www.nrcan.gc.ca/energy/natural-gas/5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7038D-9C3C-4ACE-AC72-66F55A37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5381</Words>
  <Characters>30678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2018-01-30T15:03:00Z</cp:lastPrinted>
  <dcterms:created xsi:type="dcterms:W3CDTF">2018-01-24T20:03:00Z</dcterms:created>
  <dcterms:modified xsi:type="dcterms:W3CDTF">2018-02-01T16:22:00Z</dcterms:modified>
</cp:coreProperties>
</file>