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A9C9B6" w14:textId="1977F03D" w:rsidR="008467D5" w:rsidRPr="00640417" w:rsidRDefault="0089430C" w:rsidP="00013360">
      <w:pPr>
        <w:tabs>
          <w:tab w:val="left" w:pos="-1440"/>
          <w:tab w:val="left" w:pos="-720"/>
          <w:tab w:val="left" w:pos="1"/>
          <w:tab w:val="right" w:pos="9360"/>
        </w:tabs>
        <w:jc w:val="both"/>
        <w:rPr>
          <w:rFonts w:ascii="Arial" w:hAnsi="Arial"/>
          <w:sz w:val="24"/>
          <w:lang w:val="en-GB"/>
        </w:rPr>
      </w:pPr>
      <w:r w:rsidRPr="0089430C">
        <w:rPr>
          <w:rFonts w:ascii="Arial" w:hAnsi="Arial"/>
          <w:b/>
          <w:noProof/>
          <w:sz w:val="24"/>
        </w:rPr>
        <w:drawing>
          <wp:inline distT="0" distB="0" distL="0" distR="0" wp14:anchorId="29482349" wp14:editId="4F7E7A2A">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57F28EA" w14:textId="77777777" w:rsidR="00856D9F" w:rsidRPr="00EB5726" w:rsidRDefault="00856D9F" w:rsidP="008467D5">
      <w:pPr>
        <w:pBdr>
          <w:bottom w:val="single" w:sz="18" w:space="1" w:color="auto"/>
        </w:pBdr>
        <w:tabs>
          <w:tab w:val="left" w:pos="-1440"/>
          <w:tab w:val="left" w:pos="-720"/>
          <w:tab w:val="left" w:pos="1"/>
        </w:tabs>
        <w:jc w:val="both"/>
        <w:rPr>
          <w:rFonts w:ascii="Arial" w:hAnsi="Arial"/>
          <w:b/>
          <w:sz w:val="2"/>
          <w:szCs w:val="2"/>
          <w:lang w:val="en-GB"/>
        </w:rPr>
      </w:pPr>
    </w:p>
    <w:p w14:paraId="1A5159F9" w14:textId="6F74999C" w:rsidR="00D75295" w:rsidRPr="00640417" w:rsidRDefault="00EB5726" w:rsidP="00F105B7">
      <w:pPr>
        <w:pStyle w:val="ProductNumber"/>
        <w:rPr>
          <w:lang w:val="en-GB"/>
        </w:rPr>
      </w:pPr>
      <w:r>
        <w:rPr>
          <w:lang w:val="en-GB"/>
        </w:rPr>
        <w:t>9B18M023</w:t>
      </w:r>
    </w:p>
    <w:p w14:paraId="3DF56B71" w14:textId="77777777" w:rsidR="00D75295" w:rsidRPr="00640417" w:rsidRDefault="00D75295" w:rsidP="00D75295">
      <w:pPr>
        <w:jc w:val="right"/>
        <w:rPr>
          <w:rFonts w:ascii="Arial" w:hAnsi="Arial"/>
          <w:b/>
          <w:sz w:val="28"/>
          <w:szCs w:val="28"/>
          <w:lang w:val="en-GB"/>
        </w:rPr>
      </w:pPr>
    </w:p>
    <w:p w14:paraId="0B279A8E" w14:textId="77777777" w:rsidR="00866F6D" w:rsidRPr="00640417" w:rsidRDefault="00866F6D" w:rsidP="00D75295">
      <w:pPr>
        <w:jc w:val="right"/>
        <w:rPr>
          <w:rFonts w:ascii="Arial" w:hAnsi="Arial"/>
          <w:b/>
          <w:sz w:val="28"/>
          <w:szCs w:val="28"/>
          <w:lang w:val="en-GB"/>
        </w:rPr>
      </w:pPr>
    </w:p>
    <w:p w14:paraId="0960FE86" w14:textId="5EB59F35" w:rsidR="00013360" w:rsidRPr="00640417" w:rsidRDefault="00501482" w:rsidP="004E5586">
      <w:pPr>
        <w:pStyle w:val="CaseTitle"/>
        <w:rPr>
          <w:lang w:val="en-GB"/>
        </w:rPr>
      </w:pPr>
      <w:r w:rsidRPr="00F37142">
        <w:rPr>
          <w:lang w:val="en-GB"/>
        </w:rPr>
        <w:t>BARTOS STAINLESS LIMITED</w:t>
      </w:r>
      <w:r>
        <w:rPr>
          <w:lang w:val="en-GB"/>
        </w:rPr>
        <w:t>: F</w:t>
      </w:r>
      <w:r w:rsidR="00A23EE3">
        <w:rPr>
          <w:lang w:val="en-GB"/>
        </w:rPr>
        <w:t>ACING</w:t>
      </w:r>
      <w:r>
        <w:rPr>
          <w:lang w:val="en-GB"/>
        </w:rPr>
        <w:t xml:space="preserve"> TURBULENCE </w:t>
      </w:r>
    </w:p>
    <w:p w14:paraId="69111259" w14:textId="77777777" w:rsidR="00013360" w:rsidRPr="00640417" w:rsidRDefault="004E5586" w:rsidP="00104567">
      <w:pPr>
        <w:pStyle w:val="StyleCopyrightStatementAfter0ptBottomSinglesolidline1"/>
        <w:rPr>
          <w:lang w:val="en-GB"/>
        </w:rPr>
      </w:pPr>
      <w:r w:rsidRPr="00640417">
        <w:rPr>
          <w:lang w:val="en-GB"/>
        </w:rPr>
        <w:t xml:space="preserve">Sushant Kumar and </w:t>
      </w:r>
      <w:proofErr w:type="spellStart"/>
      <w:r w:rsidRPr="00640417">
        <w:rPr>
          <w:lang w:val="en-GB"/>
        </w:rPr>
        <w:t>Rohit</w:t>
      </w:r>
      <w:proofErr w:type="spellEnd"/>
      <w:r w:rsidRPr="00640417">
        <w:rPr>
          <w:lang w:val="en-GB"/>
        </w:rPr>
        <w:t xml:space="preserve"> </w:t>
      </w:r>
      <w:proofErr w:type="spellStart"/>
      <w:r w:rsidRPr="00640417">
        <w:rPr>
          <w:lang w:val="en-GB"/>
        </w:rPr>
        <w:t>Dwivedi</w:t>
      </w:r>
      <w:proofErr w:type="spellEnd"/>
      <w:r w:rsidRPr="00640417">
        <w:rPr>
          <w:lang w:val="en-GB"/>
        </w:rPr>
        <w:t xml:space="preserve"> </w:t>
      </w:r>
      <w:r w:rsidR="007E5921" w:rsidRPr="00640417">
        <w:rPr>
          <w:lang w:val="en-GB"/>
        </w:rPr>
        <w:t>wrote this case sol</w:t>
      </w:r>
      <w:r w:rsidR="00D75295" w:rsidRPr="00640417">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4EF9DEF6" w14:textId="77777777" w:rsidR="00013360" w:rsidRPr="00640417" w:rsidRDefault="00013360" w:rsidP="00104567">
      <w:pPr>
        <w:pStyle w:val="StyleCopyrightStatementAfter0ptBottomSinglesolidline1"/>
        <w:rPr>
          <w:lang w:val="en-GB"/>
        </w:rPr>
      </w:pPr>
    </w:p>
    <w:p w14:paraId="55AD2F6C" w14:textId="77777777" w:rsidR="0089430C" w:rsidRPr="00E23AB7" w:rsidRDefault="0089430C" w:rsidP="0089430C">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700118EC" w14:textId="77777777" w:rsidR="0089430C" w:rsidRPr="00E23AB7" w:rsidRDefault="0089430C" w:rsidP="0089430C">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1168EC46" w14:textId="7DEB4751" w:rsidR="003B7EF2" w:rsidRPr="00640417" w:rsidRDefault="0089430C" w:rsidP="003B7EF2">
      <w:pPr>
        <w:pStyle w:val="StyleStyleCopyrightStatementAfter0ptBottomSinglesolid"/>
        <w:rPr>
          <w:lang w:val="en-GB"/>
        </w:rPr>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3B7EF2" w:rsidRPr="00640417">
        <w:rPr>
          <w:lang w:val="en-GB"/>
        </w:rPr>
        <w:tab/>
        <w:t xml:space="preserve">Version: </w:t>
      </w:r>
      <w:r w:rsidR="00361C8E" w:rsidRPr="00640417">
        <w:rPr>
          <w:lang w:val="en-GB"/>
        </w:rPr>
        <w:t>201</w:t>
      </w:r>
      <w:r w:rsidR="00B56675">
        <w:rPr>
          <w:lang w:val="en-GB"/>
        </w:rPr>
        <w:t>8</w:t>
      </w:r>
      <w:r w:rsidR="00361C8E" w:rsidRPr="00640417">
        <w:rPr>
          <w:lang w:val="en-GB"/>
        </w:rPr>
        <w:t>-</w:t>
      </w:r>
      <w:r w:rsidR="00B56675">
        <w:rPr>
          <w:lang w:val="en-GB"/>
        </w:rPr>
        <w:t>0</w:t>
      </w:r>
      <w:r w:rsidR="00FB58DA">
        <w:rPr>
          <w:lang w:val="en-GB"/>
        </w:rPr>
        <w:t>2</w:t>
      </w:r>
      <w:r w:rsidR="00361C8E" w:rsidRPr="00640417">
        <w:rPr>
          <w:lang w:val="en-GB"/>
        </w:rPr>
        <w:t>-</w:t>
      </w:r>
      <w:r w:rsidR="00C96680">
        <w:rPr>
          <w:lang w:val="en-GB"/>
        </w:rPr>
        <w:t>06</w:t>
      </w:r>
    </w:p>
    <w:p w14:paraId="013D008A" w14:textId="77777777" w:rsidR="003B7EF2" w:rsidRPr="001D1405" w:rsidRDefault="003B7EF2" w:rsidP="00104567">
      <w:pPr>
        <w:pStyle w:val="StyleCopyrightStatementAfter0ptBottomSinglesolidline1"/>
        <w:rPr>
          <w:rFonts w:ascii="Times New Roman" w:hAnsi="Times New Roman"/>
          <w:sz w:val="18"/>
          <w:szCs w:val="18"/>
          <w:lang w:val="en-GB"/>
        </w:rPr>
      </w:pPr>
    </w:p>
    <w:p w14:paraId="1C4A7012" w14:textId="77777777" w:rsidR="003B7EF2" w:rsidRPr="001D1405" w:rsidRDefault="003B7EF2" w:rsidP="004E5586">
      <w:pPr>
        <w:pStyle w:val="BodyTextMain"/>
        <w:rPr>
          <w:sz w:val="18"/>
          <w:szCs w:val="18"/>
          <w:lang w:val="en-GB"/>
        </w:rPr>
      </w:pPr>
    </w:p>
    <w:p w14:paraId="2D300B1A" w14:textId="30A901B5" w:rsidR="008E69B9" w:rsidRPr="00C96680" w:rsidRDefault="006B23FA" w:rsidP="004E5586">
      <w:pPr>
        <w:pStyle w:val="BodyTextMain"/>
        <w:rPr>
          <w:rFonts w:eastAsia="Calibri"/>
          <w:color w:val="000000"/>
          <w:spacing w:val="-2"/>
          <w:kern w:val="22"/>
          <w:lang w:val="en-GB"/>
        </w:rPr>
      </w:pPr>
      <w:r w:rsidRPr="00C96680">
        <w:rPr>
          <w:rFonts w:eastAsia="Calibri"/>
          <w:color w:val="000000"/>
          <w:spacing w:val="-2"/>
          <w:kern w:val="22"/>
          <w:lang w:val="en-GB"/>
        </w:rPr>
        <w:t xml:space="preserve">On September 16, 2015, Vijay </w:t>
      </w:r>
      <w:proofErr w:type="spellStart"/>
      <w:r w:rsidRPr="00C96680">
        <w:rPr>
          <w:rFonts w:eastAsia="Calibri"/>
          <w:color w:val="000000"/>
          <w:spacing w:val="-2"/>
          <w:kern w:val="22"/>
          <w:lang w:val="en-GB"/>
        </w:rPr>
        <w:t>Bartos</w:t>
      </w:r>
      <w:proofErr w:type="spellEnd"/>
      <w:r w:rsidRPr="00C96680">
        <w:rPr>
          <w:rFonts w:eastAsia="Calibri"/>
          <w:color w:val="000000"/>
          <w:spacing w:val="-2"/>
          <w:kern w:val="22"/>
          <w:lang w:val="en-GB"/>
        </w:rPr>
        <w:t xml:space="preserve">, </w:t>
      </w:r>
      <w:r w:rsidR="002D59D5" w:rsidRPr="00C96680">
        <w:rPr>
          <w:rFonts w:eastAsia="Calibri"/>
          <w:color w:val="000000"/>
          <w:spacing w:val="-2"/>
          <w:kern w:val="22"/>
          <w:lang w:val="en-GB"/>
        </w:rPr>
        <w:t>c</w:t>
      </w:r>
      <w:r w:rsidRPr="00C96680">
        <w:rPr>
          <w:rFonts w:eastAsia="Calibri"/>
          <w:color w:val="000000"/>
          <w:spacing w:val="-2"/>
          <w:kern w:val="22"/>
          <w:lang w:val="en-GB"/>
        </w:rPr>
        <w:t xml:space="preserve">hair and </w:t>
      </w:r>
      <w:r w:rsidR="002D59D5" w:rsidRPr="00C96680">
        <w:rPr>
          <w:rFonts w:eastAsia="Calibri"/>
          <w:color w:val="000000"/>
          <w:spacing w:val="-2"/>
          <w:kern w:val="22"/>
          <w:lang w:val="en-GB"/>
        </w:rPr>
        <w:t>m</w:t>
      </w:r>
      <w:r w:rsidRPr="00C96680">
        <w:rPr>
          <w:rFonts w:eastAsia="Calibri"/>
          <w:color w:val="000000"/>
          <w:spacing w:val="-2"/>
          <w:kern w:val="22"/>
          <w:lang w:val="en-GB"/>
        </w:rPr>
        <w:t xml:space="preserve">anaging </w:t>
      </w:r>
      <w:r w:rsidR="002D59D5" w:rsidRPr="00C96680">
        <w:rPr>
          <w:rFonts w:eastAsia="Calibri"/>
          <w:color w:val="000000"/>
          <w:spacing w:val="-2"/>
          <w:kern w:val="22"/>
          <w:lang w:val="en-GB"/>
        </w:rPr>
        <w:t>d</w:t>
      </w:r>
      <w:r w:rsidRPr="00C96680">
        <w:rPr>
          <w:rFonts w:eastAsia="Calibri"/>
          <w:color w:val="000000"/>
          <w:spacing w:val="-2"/>
          <w:kern w:val="22"/>
          <w:lang w:val="en-GB"/>
        </w:rPr>
        <w:t xml:space="preserve">irector of </w:t>
      </w:r>
      <w:proofErr w:type="spellStart"/>
      <w:r w:rsidRPr="00C96680">
        <w:rPr>
          <w:rFonts w:eastAsia="Calibri"/>
          <w:color w:val="000000"/>
          <w:spacing w:val="-2"/>
          <w:kern w:val="22"/>
          <w:lang w:val="en-GB"/>
        </w:rPr>
        <w:t>Bartos</w:t>
      </w:r>
      <w:proofErr w:type="spellEnd"/>
      <w:r w:rsidRPr="00C96680">
        <w:rPr>
          <w:rFonts w:eastAsia="Calibri"/>
          <w:color w:val="000000"/>
          <w:spacing w:val="-2"/>
          <w:kern w:val="22"/>
          <w:lang w:val="en-GB"/>
        </w:rPr>
        <w:t xml:space="preserve"> Stainless Limited (</w:t>
      </w:r>
      <w:proofErr w:type="spellStart"/>
      <w:r w:rsidRPr="00C96680">
        <w:rPr>
          <w:rFonts w:eastAsia="Calibri"/>
          <w:color w:val="000000"/>
          <w:spacing w:val="-2"/>
          <w:kern w:val="22"/>
          <w:lang w:val="en-GB"/>
        </w:rPr>
        <w:t>Bartos</w:t>
      </w:r>
      <w:proofErr w:type="spellEnd"/>
      <w:r w:rsidRPr="00C96680">
        <w:rPr>
          <w:rFonts w:eastAsia="Calibri"/>
          <w:color w:val="000000"/>
          <w:spacing w:val="-2"/>
          <w:kern w:val="22"/>
          <w:lang w:val="en-GB"/>
        </w:rPr>
        <w:t xml:space="preserve">) in Mumbai, </w:t>
      </w:r>
      <w:r w:rsidR="002D59D5" w:rsidRPr="00C96680">
        <w:rPr>
          <w:rFonts w:eastAsia="Calibri"/>
          <w:color w:val="000000"/>
          <w:spacing w:val="-2"/>
          <w:kern w:val="22"/>
          <w:lang w:val="en-GB"/>
        </w:rPr>
        <w:t xml:space="preserve">India, </w:t>
      </w:r>
      <w:r w:rsidR="003F625F" w:rsidRPr="00C96680">
        <w:rPr>
          <w:rFonts w:eastAsia="Calibri"/>
          <w:color w:val="000000"/>
          <w:spacing w:val="-2"/>
          <w:kern w:val="22"/>
          <w:lang w:val="en-GB"/>
        </w:rPr>
        <w:t xml:space="preserve">sat in his office </w:t>
      </w:r>
      <w:r w:rsidRPr="00C96680">
        <w:rPr>
          <w:rFonts w:eastAsia="Calibri"/>
          <w:color w:val="000000"/>
          <w:spacing w:val="-2"/>
          <w:kern w:val="22"/>
          <w:lang w:val="en-GB"/>
        </w:rPr>
        <w:t xml:space="preserve">eagerly </w:t>
      </w:r>
      <w:r w:rsidR="004D0443" w:rsidRPr="00C96680">
        <w:rPr>
          <w:rFonts w:eastAsia="Calibri"/>
          <w:color w:val="000000"/>
          <w:spacing w:val="-2"/>
          <w:kern w:val="22"/>
          <w:lang w:val="en-GB"/>
        </w:rPr>
        <w:t>a</w:t>
      </w:r>
      <w:r w:rsidRPr="00C96680">
        <w:rPr>
          <w:rFonts w:eastAsia="Calibri"/>
          <w:color w:val="000000"/>
          <w:spacing w:val="-2"/>
          <w:kern w:val="22"/>
          <w:lang w:val="en-GB"/>
        </w:rPr>
        <w:t>waiting</w:t>
      </w:r>
      <w:r w:rsidR="003F625F" w:rsidRPr="00C96680">
        <w:rPr>
          <w:rFonts w:eastAsia="Calibri"/>
          <w:color w:val="000000"/>
          <w:spacing w:val="-2"/>
          <w:kern w:val="22"/>
          <w:lang w:val="en-GB"/>
        </w:rPr>
        <w:t xml:space="preserve"> his next </w:t>
      </w:r>
      <w:r w:rsidR="004D0443" w:rsidRPr="00C96680">
        <w:rPr>
          <w:rFonts w:eastAsia="Calibri"/>
          <w:color w:val="000000"/>
          <w:spacing w:val="-2"/>
          <w:kern w:val="22"/>
          <w:lang w:val="en-GB"/>
        </w:rPr>
        <w:t>appointment</w:t>
      </w:r>
      <w:r w:rsidR="00D8536A" w:rsidRPr="00C96680">
        <w:rPr>
          <w:rFonts w:eastAsia="Calibri"/>
          <w:color w:val="000000"/>
          <w:spacing w:val="-2"/>
          <w:kern w:val="22"/>
          <w:lang w:val="en-GB"/>
        </w:rPr>
        <w:t>.</w:t>
      </w:r>
      <w:r w:rsidRPr="00C96680">
        <w:rPr>
          <w:rFonts w:eastAsia="Calibri"/>
          <w:color w:val="000000"/>
          <w:spacing w:val="-2"/>
          <w:kern w:val="22"/>
          <w:lang w:val="en-GB"/>
        </w:rPr>
        <w:t xml:space="preserve"> </w:t>
      </w:r>
      <w:r w:rsidR="004E5586" w:rsidRPr="00C96680">
        <w:rPr>
          <w:rFonts w:eastAsia="Calibri"/>
          <w:color w:val="000000"/>
          <w:spacing w:val="-2"/>
          <w:kern w:val="22"/>
          <w:lang w:val="en-GB"/>
        </w:rPr>
        <w:t>His childhood friend</w:t>
      </w:r>
      <w:r w:rsidR="008E69B9" w:rsidRPr="00C96680">
        <w:rPr>
          <w:rFonts w:eastAsia="Calibri"/>
          <w:color w:val="000000"/>
          <w:spacing w:val="-2"/>
          <w:kern w:val="22"/>
          <w:lang w:val="en-GB"/>
        </w:rPr>
        <w:t>,</w:t>
      </w:r>
      <w:r w:rsidR="00166E8C" w:rsidRPr="00C96680">
        <w:rPr>
          <w:rFonts w:eastAsia="Calibri"/>
          <w:color w:val="000000"/>
          <w:spacing w:val="-2"/>
          <w:kern w:val="22"/>
          <w:lang w:val="en-GB"/>
        </w:rPr>
        <w:t xml:space="preserve"> </w:t>
      </w:r>
      <w:proofErr w:type="spellStart"/>
      <w:r w:rsidR="004E5586" w:rsidRPr="00C96680">
        <w:rPr>
          <w:rFonts w:eastAsia="Calibri"/>
          <w:color w:val="000000"/>
          <w:spacing w:val="-2"/>
          <w:kern w:val="22"/>
          <w:lang w:val="en-GB"/>
        </w:rPr>
        <w:t>Mohit</w:t>
      </w:r>
      <w:proofErr w:type="spellEnd"/>
      <w:r w:rsidR="004E5586" w:rsidRPr="00C96680">
        <w:rPr>
          <w:rFonts w:eastAsia="Calibri"/>
          <w:color w:val="000000"/>
          <w:spacing w:val="-2"/>
          <w:kern w:val="22"/>
          <w:lang w:val="en-GB"/>
        </w:rPr>
        <w:t xml:space="preserve"> Reddy, head of the consulting division of a U</w:t>
      </w:r>
      <w:r w:rsidR="002D59D5" w:rsidRPr="00C96680">
        <w:rPr>
          <w:rFonts w:eastAsia="Calibri"/>
          <w:color w:val="000000"/>
          <w:spacing w:val="-2"/>
          <w:kern w:val="22"/>
          <w:lang w:val="en-GB"/>
        </w:rPr>
        <w:t>.</w:t>
      </w:r>
      <w:r w:rsidR="004E5586" w:rsidRPr="00C96680">
        <w:rPr>
          <w:rFonts w:eastAsia="Calibri"/>
          <w:color w:val="000000"/>
          <w:spacing w:val="-2"/>
          <w:kern w:val="22"/>
          <w:lang w:val="en-GB"/>
        </w:rPr>
        <w:t>S</w:t>
      </w:r>
      <w:r w:rsidR="002D59D5" w:rsidRPr="00C96680">
        <w:rPr>
          <w:rFonts w:eastAsia="Calibri"/>
          <w:color w:val="000000"/>
          <w:spacing w:val="-2"/>
          <w:kern w:val="22"/>
          <w:lang w:val="en-GB"/>
        </w:rPr>
        <w:t>.</w:t>
      </w:r>
      <w:r w:rsidR="004E5586" w:rsidRPr="00C96680">
        <w:rPr>
          <w:rFonts w:eastAsia="Calibri"/>
          <w:color w:val="000000"/>
          <w:spacing w:val="-2"/>
          <w:kern w:val="22"/>
          <w:lang w:val="en-GB"/>
        </w:rPr>
        <w:t>-based firm, soon arrived</w:t>
      </w:r>
      <w:r w:rsidR="003F625F" w:rsidRPr="00C96680">
        <w:rPr>
          <w:rFonts w:eastAsia="Calibri"/>
          <w:color w:val="000000"/>
          <w:spacing w:val="-2"/>
          <w:kern w:val="22"/>
          <w:lang w:val="en-GB"/>
        </w:rPr>
        <w:t xml:space="preserve"> for their first </w:t>
      </w:r>
      <w:r w:rsidR="004E5586" w:rsidRPr="00C96680">
        <w:rPr>
          <w:rFonts w:eastAsia="Calibri"/>
          <w:color w:val="000000"/>
          <w:spacing w:val="-2"/>
          <w:kern w:val="22"/>
          <w:lang w:val="en-GB"/>
        </w:rPr>
        <w:t xml:space="preserve">meeting </w:t>
      </w:r>
      <w:r w:rsidR="003F625F" w:rsidRPr="00C96680">
        <w:rPr>
          <w:rFonts w:eastAsia="Calibri"/>
          <w:color w:val="000000"/>
          <w:spacing w:val="-2"/>
          <w:kern w:val="22"/>
          <w:lang w:val="en-GB"/>
        </w:rPr>
        <w:t xml:space="preserve">in </w:t>
      </w:r>
      <w:r w:rsidR="004E5586" w:rsidRPr="00C96680">
        <w:rPr>
          <w:rFonts w:eastAsia="Calibri"/>
          <w:color w:val="000000"/>
          <w:spacing w:val="-2"/>
          <w:kern w:val="22"/>
          <w:lang w:val="en-GB"/>
        </w:rPr>
        <w:t xml:space="preserve">five years. </w:t>
      </w:r>
      <w:r w:rsidR="002C2ADC" w:rsidRPr="00C96680">
        <w:rPr>
          <w:rFonts w:eastAsia="Calibri"/>
          <w:color w:val="000000"/>
          <w:spacing w:val="-2"/>
          <w:kern w:val="22"/>
          <w:lang w:val="en-GB"/>
        </w:rPr>
        <w:t>T</w:t>
      </w:r>
      <w:r w:rsidR="004E5586" w:rsidRPr="00C96680">
        <w:rPr>
          <w:rFonts w:eastAsia="Calibri"/>
          <w:color w:val="000000"/>
          <w:spacing w:val="-2"/>
          <w:kern w:val="22"/>
          <w:lang w:val="en-GB"/>
        </w:rPr>
        <w:t>hey discussed the changing scenario of business dynamics, government initiatives, and investor confidence.</w:t>
      </w:r>
      <w:r w:rsidR="00166E8C" w:rsidRPr="00C96680">
        <w:rPr>
          <w:rFonts w:eastAsia="Calibri"/>
          <w:color w:val="000000"/>
          <w:spacing w:val="-2"/>
          <w:kern w:val="22"/>
          <w:lang w:val="en-GB"/>
        </w:rPr>
        <w:t xml:space="preserve"> </w:t>
      </w:r>
      <w:r w:rsidR="004E5586" w:rsidRPr="00C96680">
        <w:rPr>
          <w:rFonts w:eastAsia="Calibri"/>
          <w:color w:val="000000"/>
          <w:spacing w:val="-2"/>
          <w:kern w:val="22"/>
          <w:lang w:val="en-GB"/>
        </w:rPr>
        <w:t xml:space="preserve">Vijay raised his growing concern about </w:t>
      </w:r>
      <w:proofErr w:type="spellStart"/>
      <w:r w:rsidR="00211C4D" w:rsidRPr="00C96680">
        <w:rPr>
          <w:rFonts w:eastAsia="Calibri"/>
          <w:color w:val="000000"/>
          <w:spacing w:val="-2"/>
          <w:kern w:val="22"/>
          <w:lang w:val="en-GB"/>
        </w:rPr>
        <w:t>Bartos’s</w:t>
      </w:r>
      <w:proofErr w:type="spellEnd"/>
      <w:r w:rsidR="004E5586" w:rsidRPr="00C96680">
        <w:rPr>
          <w:rFonts w:eastAsia="Calibri"/>
          <w:color w:val="000000"/>
          <w:spacing w:val="-2"/>
          <w:kern w:val="22"/>
          <w:lang w:val="en-GB"/>
        </w:rPr>
        <w:t xml:space="preserve"> profitability</w:t>
      </w:r>
      <w:r w:rsidR="00211C4D" w:rsidRPr="00C96680">
        <w:rPr>
          <w:rFonts w:eastAsia="Calibri"/>
          <w:color w:val="000000"/>
          <w:spacing w:val="-2"/>
          <w:kern w:val="22"/>
          <w:lang w:val="en-GB"/>
        </w:rPr>
        <w:t xml:space="preserve"> </w:t>
      </w:r>
      <w:r w:rsidR="004E5586" w:rsidRPr="00C96680">
        <w:rPr>
          <w:rFonts w:eastAsia="Calibri"/>
          <w:color w:val="000000"/>
          <w:spacing w:val="-2"/>
          <w:kern w:val="22"/>
          <w:lang w:val="en-GB"/>
        </w:rPr>
        <w:t xml:space="preserve">and employee retention. </w:t>
      </w:r>
      <w:r w:rsidR="009E61D0" w:rsidRPr="00C96680">
        <w:rPr>
          <w:rFonts w:eastAsia="Calibri"/>
          <w:color w:val="000000"/>
          <w:spacing w:val="-2"/>
          <w:kern w:val="22"/>
          <w:lang w:val="en-GB"/>
        </w:rPr>
        <w:t>E</w:t>
      </w:r>
      <w:r w:rsidR="004E5586" w:rsidRPr="00C96680">
        <w:rPr>
          <w:rFonts w:eastAsia="Calibri"/>
          <w:color w:val="000000"/>
          <w:spacing w:val="-2"/>
          <w:kern w:val="22"/>
          <w:lang w:val="en-GB"/>
        </w:rPr>
        <w:t xml:space="preserve">mployee satisfaction had </w:t>
      </w:r>
      <w:r w:rsidR="007140CC" w:rsidRPr="00C96680">
        <w:rPr>
          <w:rFonts w:eastAsia="Calibri"/>
          <w:color w:val="000000"/>
          <w:spacing w:val="-2"/>
          <w:kern w:val="22"/>
          <w:lang w:val="en-GB"/>
        </w:rPr>
        <w:t>decreased</w:t>
      </w:r>
      <w:r w:rsidR="004E5586" w:rsidRPr="00C96680">
        <w:rPr>
          <w:rFonts w:eastAsia="Calibri"/>
          <w:color w:val="000000"/>
          <w:spacing w:val="-2"/>
          <w:kern w:val="22"/>
          <w:lang w:val="en-GB"/>
        </w:rPr>
        <w:t xml:space="preserve"> sharply, and human resource (HR) practices were no longer yielding results. </w:t>
      </w:r>
      <w:proofErr w:type="spellStart"/>
      <w:r w:rsidR="00211C4D" w:rsidRPr="00C96680">
        <w:rPr>
          <w:rFonts w:eastAsia="Calibri"/>
          <w:color w:val="000000"/>
          <w:spacing w:val="-2"/>
          <w:kern w:val="22"/>
          <w:lang w:val="en-GB"/>
        </w:rPr>
        <w:t>Bartos</w:t>
      </w:r>
      <w:proofErr w:type="spellEnd"/>
      <w:r w:rsidR="00211C4D" w:rsidRPr="00C96680">
        <w:rPr>
          <w:rFonts w:eastAsia="Calibri"/>
          <w:color w:val="000000"/>
          <w:spacing w:val="-2"/>
          <w:kern w:val="22"/>
          <w:lang w:val="en-GB"/>
        </w:rPr>
        <w:t xml:space="preserve"> </w:t>
      </w:r>
      <w:r w:rsidR="00E94288" w:rsidRPr="00C96680">
        <w:rPr>
          <w:rFonts w:eastAsia="Calibri"/>
          <w:color w:val="000000"/>
          <w:spacing w:val="-2"/>
          <w:kern w:val="22"/>
          <w:lang w:val="en-GB"/>
        </w:rPr>
        <w:t xml:space="preserve">had shown losses over the previous </w:t>
      </w:r>
      <w:r w:rsidR="004E5586" w:rsidRPr="00C96680">
        <w:rPr>
          <w:rFonts w:eastAsia="Calibri"/>
          <w:color w:val="000000"/>
          <w:spacing w:val="-2"/>
          <w:kern w:val="22"/>
          <w:lang w:val="en-GB"/>
        </w:rPr>
        <w:t xml:space="preserve">two years, and its shares </w:t>
      </w:r>
      <w:r w:rsidR="009E61D0" w:rsidRPr="00C96680">
        <w:rPr>
          <w:rFonts w:eastAsia="Calibri"/>
          <w:color w:val="000000"/>
          <w:spacing w:val="-2"/>
          <w:kern w:val="22"/>
          <w:lang w:val="en-GB"/>
        </w:rPr>
        <w:t>were</w:t>
      </w:r>
      <w:r w:rsidR="004E5586" w:rsidRPr="00C96680">
        <w:rPr>
          <w:rFonts w:eastAsia="Calibri"/>
          <w:color w:val="000000"/>
          <w:spacing w:val="-2"/>
          <w:kern w:val="22"/>
          <w:lang w:val="en-GB"/>
        </w:rPr>
        <w:t xml:space="preserve"> tradi</w:t>
      </w:r>
      <w:r w:rsidR="00A23EE3" w:rsidRPr="00C96680">
        <w:rPr>
          <w:rFonts w:eastAsia="Calibri"/>
          <w:color w:val="000000"/>
          <w:spacing w:val="-2"/>
          <w:kern w:val="22"/>
          <w:lang w:val="en-GB"/>
        </w:rPr>
        <w:t xml:space="preserve">ng at an all-time low of around </w:t>
      </w:r>
      <w:r w:rsidR="00A23EE3" w:rsidRPr="00C96680">
        <w:rPr>
          <w:rFonts w:ascii="Tahoma" w:hAnsi="Tahoma" w:cs="Tahoma"/>
          <w:spacing w:val="-2"/>
          <w:kern w:val="22"/>
          <w:lang w:val="en-GB"/>
        </w:rPr>
        <w:t>₹</w:t>
      </w:r>
      <w:r w:rsidR="004E5586" w:rsidRPr="00C96680">
        <w:rPr>
          <w:rFonts w:eastAsia="Calibri"/>
          <w:color w:val="000000"/>
          <w:spacing w:val="-2"/>
          <w:kern w:val="22"/>
          <w:lang w:val="en-GB"/>
        </w:rPr>
        <w:t>30.</w:t>
      </w:r>
      <w:r w:rsidR="00A96363" w:rsidRPr="00C96680">
        <w:rPr>
          <w:rStyle w:val="FootnoteReference"/>
          <w:rFonts w:eastAsia="Calibri"/>
          <w:color w:val="000000"/>
          <w:spacing w:val="-2"/>
          <w:kern w:val="22"/>
          <w:lang w:val="en-GB"/>
        </w:rPr>
        <w:footnoteReference w:id="1"/>
      </w:r>
      <w:r w:rsidR="004E5586" w:rsidRPr="00C96680">
        <w:rPr>
          <w:rFonts w:eastAsia="Calibri"/>
          <w:color w:val="000000"/>
          <w:spacing w:val="-2"/>
          <w:kern w:val="22"/>
          <w:lang w:val="en-GB"/>
        </w:rPr>
        <w:t xml:space="preserve"> The com</w:t>
      </w:r>
      <w:r w:rsidR="00E94288" w:rsidRPr="00C96680">
        <w:rPr>
          <w:rFonts w:eastAsia="Calibri"/>
          <w:color w:val="000000"/>
          <w:spacing w:val="-2"/>
          <w:kern w:val="22"/>
          <w:lang w:val="en-GB"/>
        </w:rPr>
        <w:t>pany had also lost a few big ord</w:t>
      </w:r>
      <w:r w:rsidR="004E5586" w:rsidRPr="00C96680">
        <w:rPr>
          <w:rFonts w:eastAsia="Calibri"/>
          <w:color w:val="000000"/>
          <w:spacing w:val="-2"/>
          <w:kern w:val="22"/>
          <w:lang w:val="en-GB"/>
        </w:rPr>
        <w:t xml:space="preserve">ers from government companies (the orders </w:t>
      </w:r>
      <w:r w:rsidR="009E61D0" w:rsidRPr="00C96680">
        <w:rPr>
          <w:rFonts w:eastAsia="Calibri"/>
          <w:color w:val="000000"/>
          <w:spacing w:val="-2"/>
          <w:kern w:val="22"/>
          <w:lang w:val="en-GB"/>
        </w:rPr>
        <w:t xml:space="preserve">went to </w:t>
      </w:r>
      <w:r w:rsidR="004E5586" w:rsidRPr="00C96680">
        <w:rPr>
          <w:rFonts w:eastAsia="Calibri"/>
          <w:color w:val="000000"/>
          <w:spacing w:val="-2"/>
          <w:kern w:val="22"/>
          <w:lang w:val="en-GB"/>
        </w:rPr>
        <w:t>a Chinese steel manufacturer)</w:t>
      </w:r>
      <w:r w:rsidR="009E61D0" w:rsidRPr="00C96680">
        <w:rPr>
          <w:rFonts w:eastAsia="Calibri"/>
          <w:color w:val="000000"/>
          <w:spacing w:val="-2"/>
          <w:kern w:val="22"/>
          <w:lang w:val="en-GB"/>
        </w:rPr>
        <w:t>,</w:t>
      </w:r>
      <w:r w:rsidR="004E5586" w:rsidRPr="00C96680">
        <w:rPr>
          <w:rFonts w:eastAsia="Calibri"/>
          <w:color w:val="000000"/>
          <w:spacing w:val="-2"/>
          <w:kern w:val="22"/>
          <w:lang w:val="en-GB"/>
        </w:rPr>
        <w:t xml:space="preserve"> as the government</w:t>
      </w:r>
      <w:r w:rsidR="00211C4D" w:rsidRPr="00C96680">
        <w:rPr>
          <w:rFonts w:eastAsia="Calibri"/>
          <w:color w:val="000000"/>
          <w:spacing w:val="-2"/>
          <w:kern w:val="22"/>
          <w:lang w:val="en-GB"/>
        </w:rPr>
        <w:t xml:space="preserve"> would</w:t>
      </w:r>
      <w:r w:rsidR="004E5586" w:rsidRPr="00C96680">
        <w:rPr>
          <w:rFonts w:eastAsia="Calibri"/>
          <w:color w:val="000000"/>
          <w:spacing w:val="-2"/>
          <w:kern w:val="22"/>
          <w:lang w:val="en-GB"/>
        </w:rPr>
        <w:t xml:space="preserve"> not allow a loss-making company to participate in its tendering process. In the past, such government orders had been a significant source of </w:t>
      </w:r>
      <w:proofErr w:type="spellStart"/>
      <w:r w:rsidR="00A96363" w:rsidRPr="00C96680">
        <w:rPr>
          <w:rFonts w:eastAsia="Calibri"/>
          <w:color w:val="000000"/>
          <w:spacing w:val="-2"/>
          <w:kern w:val="22"/>
          <w:lang w:val="en-GB"/>
        </w:rPr>
        <w:t>Bartos</w:t>
      </w:r>
      <w:r w:rsidR="007140CC" w:rsidRPr="00C96680">
        <w:rPr>
          <w:rFonts w:eastAsia="Calibri"/>
          <w:color w:val="000000"/>
          <w:spacing w:val="-2"/>
          <w:kern w:val="22"/>
          <w:lang w:val="en-GB"/>
        </w:rPr>
        <w:t>’s</w:t>
      </w:r>
      <w:proofErr w:type="spellEnd"/>
      <w:r w:rsidR="00D71DE7" w:rsidRPr="00C96680">
        <w:rPr>
          <w:rFonts w:eastAsia="Calibri"/>
          <w:color w:val="000000"/>
          <w:spacing w:val="-2"/>
          <w:kern w:val="22"/>
          <w:lang w:val="en-GB"/>
        </w:rPr>
        <w:t xml:space="preserve"> </w:t>
      </w:r>
      <w:r w:rsidR="004E5586" w:rsidRPr="00C96680">
        <w:rPr>
          <w:rFonts w:eastAsia="Calibri"/>
          <w:color w:val="000000"/>
          <w:spacing w:val="-2"/>
          <w:kern w:val="22"/>
          <w:lang w:val="en-GB"/>
        </w:rPr>
        <w:t>revenue.</w:t>
      </w:r>
      <w:r w:rsidR="00166E8C" w:rsidRPr="00C96680">
        <w:rPr>
          <w:rFonts w:eastAsia="Calibri"/>
          <w:color w:val="000000"/>
          <w:spacing w:val="-2"/>
          <w:kern w:val="22"/>
          <w:lang w:val="en-GB"/>
        </w:rPr>
        <w:t xml:space="preserve"> </w:t>
      </w:r>
    </w:p>
    <w:p w14:paraId="0F5FA1BF" w14:textId="77777777" w:rsidR="008E69B9" w:rsidRDefault="008E69B9" w:rsidP="004E5586">
      <w:pPr>
        <w:pStyle w:val="BodyTextMain"/>
        <w:rPr>
          <w:rFonts w:eastAsia="Calibri"/>
          <w:color w:val="000000"/>
          <w:lang w:val="en-GB"/>
        </w:rPr>
      </w:pPr>
    </w:p>
    <w:p w14:paraId="6EBA3662" w14:textId="0F63DED3" w:rsidR="004E5586" w:rsidRPr="00640417" w:rsidRDefault="00EB456D" w:rsidP="004E5586">
      <w:pPr>
        <w:pStyle w:val="BodyTextMain"/>
        <w:rPr>
          <w:rFonts w:eastAsia="Calibri"/>
          <w:color w:val="000000"/>
          <w:lang w:val="en-GB"/>
        </w:rPr>
      </w:pPr>
      <w:r>
        <w:rPr>
          <w:rFonts w:eastAsia="Calibri"/>
          <w:color w:val="000000"/>
          <w:lang w:val="en-GB"/>
        </w:rPr>
        <w:t>Reddy</w:t>
      </w:r>
      <w:r w:rsidR="004E5586" w:rsidRPr="00640417">
        <w:rPr>
          <w:rFonts w:eastAsia="Calibri"/>
          <w:color w:val="000000"/>
          <w:lang w:val="en-GB"/>
        </w:rPr>
        <w:t xml:space="preserve"> was aware of similar scenario</w:t>
      </w:r>
      <w:r w:rsidR="003F625F">
        <w:rPr>
          <w:rFonts w:eastAsia="Calibri"/>
          <w:color w:val="000000"/>
          <w:lang w:val="en-GB"/>
        </w:rPr>
        <w:t>s</w:t>
      </w:r>
      <w:r w:rsidR="004E5586" w:rsidRPr="00640417">
        <w:rPr>
          <w:rFonts w:eastAsia="Calibri"/>
          <w:color w:val="000000"/>
          <w:lang w:val="en-GB"/>
        </w:rPr>
        <w:t xml:space="preserve"> a</w:t>
      </w:r>
      <w:r w:rsidR="003F625F">
        <w:rPr>
          <w:rFonts w:eastAsia="Calibri"/>
          <w:color w:val="000000"/>
          <w:lang w:val="en-GB"/>
        </w:rPr>
        <w:t>round</w:t>
      </w:r>
      <w:r w:rsidR="004E5586" w:rsidRPr="00640417">
        <w:rPr>
          <w:rFonts w:eastAsia="Calibri"/>
          <w:color w:val="000000"/>
          <w:lang w:val="en-GB"/>
        </w:rPr>
        <w:t xml:space="preserve"> the world, especially in the steel industry</w:t>
      </w:r>
      <w:r w:rsidR="009E61D0">
        <w:rPr>
          <w:rFonts w:eastAsia="Calibri"/>
          <w:color w:val="000000"/>
          <w:lang w:val="en-GB"/>
        </w:rPr>
        <w:t>,</w:t>
      </w:r>
      <w:r w:rsidR="004E5586" w:rsidRPr="00640417">
        <w:rPr>
          <w:rFonts w:eastAsia="Calibri"/>
          <w:color w:val="000000"/>
          <w:lang w:val="en-GB"/>
        </w:rPr>
        <w:t xml:space="preserve"> which was going</w:t>
      </w:r>
      <w:r w:rsidR="00E94288" w:rsidRPr="00640417">
        <w:rPr>
          <w:rFonts w:eastAsia="Calibri"/>
          <w:color w:val="000000"/>
          <w:lang w:val="en-GB"/>
        </w:rPr>
        <w:t xml:space="preserve"> through a rough phase. Not long before,</w:t>
      </w:r>
      <w:r w:rsidR="004E5586" w:rsidRPr="00640417">
        <w:rPr>
          <w:rFonts w:eastAsia="Calibri"/>
          <w:color w:val="000000"/>
          <w:lang w:val="en-GB"/>
        </w:rPr>
        <w:t xml:space="preserve"> Tata Steel</w:t>
      </w:r>
      <w:r w:rsidR="003F625F">
        <w:rPr>
          <w:rFonts w:eastAsia="Calibri"/>
          <w:color w:val="000000"/>
          <w:lang w:val="en-GB"/>
        </w:rPr>
        <w:t xml:space="preserve"> Limited</w:t>
      </w:r>
      <w:r w:rsidR="004E5586" w:rsidRPr="00640417">
        <w:rPr>
          <w:rFonts w:eastAsia="Calibri"/>
          <w:color w:val="000000"/>
          <w:lang w:val="en-GB"/>
        </w:rPr>
        <w:t>, one of the largest manu</w:t>
      </w:r>
      <w:r w:rsidR="00E94288" w:rsidRPr="00640417">
        <w:rPr>
          <w:rFonts w:eastAsia="Calibri"/>
          <w:color w:val="000000"/>
          <w:lang w:val="en-GB"/>
        </w:rPr>
        <w:t>facturers of steel in India, had been</w:t>
      </w:r>
      <w:r w:rsidR="004E5586" w:rsidRPr="00640417">
        <w:rPr>
          <w:rFonts w:eastAsia="Calibri"/>
          <w:color w:val="000000"/>
          <w:lang w:val="en-GB"/>
        </w:rPr>
        <w:t xml:space="preserve"> contemplating selling off its U</w:t>
      </w:r>
      <w:r w:rsidR="009E61D0">
        <w:rPr>
          <w:rFonts w:eastAsia="Calibri"/>
          <w:color w:val="000000"/>
          <w:lang w:val="en-GB"/>
        </w:rPr>
        <w:t>.</w:t>
      </w:r>
      <w:r w:rsidR="004E5586" w:rsidRPr="00640417">
        <w:rPr>
          <w:rFonts w:eastAsia="Calibri"/>
          <w:color w:val="000000"/>
          <w:lang w:val="en-GB"/>
        </w:rPr>
        <w:t>K</w:t>
      </w:r>
      <w:r w:rsidR="009E61D0">
        <w:rPr>
          <w:rFonts w:eastAsia="Calibri"/>
          <w:color w:val="000000"/>
          <w:lang w:val="en-GB"/>
        </w:rPr>
        <w:t>.</w:t>
      </w:r>
      <w:r w:rsidR="004E5586" w:rsidRPr="00640417">
        <w:rPr>
          <w:rFonts w:eastAsia="Calibri"/>
          <w:color w:val="000000"/>
          <w:lang w:val="en-GB"/>
        </w:rPr>
        <w:t>-based unit Corus, which it had acquired in 2007. The severity was of such magnitude that the British Prime Minister had to step in. The global meltdown of metal prices and uncertainty in demand had sent the steel industry in</w:t>
      </w:r>
      <w:r w:rsidR="00E94288" w:rsidRPr="00640417">
        <w:rPr>
          <w:rFonts w:eastAsia="Calibri"/>
          <w:color w:val="000000"/>
          <w:lang w:val="en-GB"/>
        </w:rPr>
        <w:t>to</w:t>
      </w:r>
      <w:r w:rsidR="004E5586" w:rsidRPr="00640417">
        <w:rPr>
          <w:rFonts w:eastAsia="Calibri"/>
          <w:color w:val="000000"/>
          <w:lang w:val="en-GB"/>
        </w:rPr>
        <w:t xml:space="preserve"> turmoil.</w:t>
      </w:r>
    </w:p>
    <w:p w14:paraId="78C53CC1" w14:textId="77777777" w:rsidR="004E5586" w:rsidRPr="00640417" w:rsidRDefault="004E5586" w:rsidP="004E5586">
      <w:pPr>
        <w:pStyle w:val="BodyTextMain"/>
        <w:rPr>
          <w:rFonts w:eastAsia="Calibri"/>
          <w:color w:val="000000"/>
          <w:lang w:val="en-GB"/>
        </w:rPr>
      </w:pPr>
    </w:p>
    <w:p w14:paraId="3A1FE7BD" w14:textId="4F46E4E3" w:rsidR="00E94288" w:rsidRPr="00640417" w:rsidRDefault="00935F82" w:rsidP="004E5586">
      <w:pPr>
        <w:pStyle w:val="BodyTextMain"/>
        <w:rPr>
          <w:rFonts w:eastAsia="Calibri"/>
          <w:color w:val="000000"/>
          <w:lang w:val="en-GB"/>
        </w:rPr>
      </w:pPr>
      <w:r w:rsidRPr="00640417">
        <w:rPr>
          <w:rFonts w:eastAsia="Calibri"/>
          <w:color w:val="000000"/>
          <w:lang w:val="en-GB"/>
        </w:rPr>
        <w:t>In the three years</w:t>
      </w:r>
      <w:r w:rsidR="00D8536A">
        <w:rPr>
          <w:rFonts w:eastAsia="Calibri"/>
          <w:color w:val="000000"/>
          <w:lang w:val="en-GB"/>
        </w:rPr>
        <w:t xml:space="preserve"> f</w:t>
      </w:r>
      <w:r w:rsidRPr="00640417">
        <w:rPr>
          <w:rFonts w:eastAsia="Calibri"/>
          <w:color w:val="000000"/>
          <w:lang w:val="en-GB"/>
        </w:rPr>
        <w:t xml:space="preserve">rom 2011 to 2014, </w:t>
      </w:r>
      <w:proofErr w:type="spellStart"/>
      <w:r w:rsidR="009E61D0">
        <w:rPr>
          <w:rFonts w:eastAsia="Calibri"/>
          <w:color w:val="000000"/>
          <w:lang w:val="en-GB"/>
        </w:rPr>
        <w:t>Bartos</w:t>
      </w:r>
      <w:proofErr w:type="spellEnd"/>
      <w:r w:rsidR="009E61D0">
        <w:rPr>
          <w:rFonts w:eastAsia="Calibri"/>
          <w:color w:val="000000"/>
          <w:lang w:val="en-GB"/>
        </w:rPr>
        <w:t xml:space="preserve"> </w:t>
      </w:r>
      <w:r w:rsidRPr="00640417">
        <w:rPr>
          <w:rFonts w:eastAsia="Calibri"/>
          <w:color w:val="000000"/>
          <w:lang w:val="en-GB"/>
        </w:rPr>
        <w:t xml:space="preserve">changed </w:t>
      </w:r>
      <w:r w:rsidR="007140CC">
        <w:rPr>
          <w:rFonts w:eastAsia="Calibri"/>
          <w:color w:val="000000"/>
          <w:lang w:val="en-GB"/>
        </w:rPr>
        <w:t xml:space="preserve">its </w:t>
      </w:r>
      <w:r w:rsidRPr="00640417">
        <w:rPr>
          <w:rFonts w:eastAsia="Calibri"/>
          <w:color w:val="000000"/>
          <w:lang w:val="en-GB"/>
        </w:rPr>
        <w:t>chief executive officer (CEO)</w:t>
      </w:r>
      <w:r w:rsidR="003F625F">
        <w:rPr>
          <w:rFonts w:eastAsia="Calibri"/>
          <w:color w:val="000000"/>
          <w:lang w:val="en-GB"/>
        </w:rPr>
        <w:t xml:space="preserve"> three times</w:t>
      </w:r>
      <w:r w:rsidRPr="00640417">
        <w:rPr>
          <w:rFonts w:eastAsia="Calibri"/>
          <w:color w:val="000000"/>
          <w:lang w:val="en-GB"/>
        </w:rPr>
        <w:t>, which propagated negative notions among investors, employees, and customers. Vijay exp</w:t>
      </w:r>
      <w:r w:rsidR="00D8536A">
        <w:rPr>
          <w:rFonts w:eastAsia="Calibri"/>
          <w:color w:val="000000"/>
          <w:lang w:val="en-GB"/>
        </w:rPr>
        <w:t>ressed</w:t>
      </w:r>
      <w:r w:rsidRPr="00640417">
        <w:rPr>
          <w:rFonts w:eastAsia="Calibri"/>
          <w:color w:val="000000"/>
          <w:lang w:val="en-GB"/>
        </w:rPr>
        <w:t xml:space="preserve"> his concern</w:t>
      </w:r>
      <w:r w:rsidR="00C96680">
        <w:rPr>
          <w:rFonts w:eastAsia="Calibri"/>
          <w:color w:val="000000"/>
          <w:lang w:val="en-GB"/>
        </w:rPr>
        <w:t>s about these challenges the company was facing</w:t>
      </w:r>
      <w:r w:rsidRPr="00640417">
        <w:rPr>
          <w:rFonts w:eastAsia="Calibri"/>
          <w:color w:val="000000"/>
          <w:lang w:val="en-GB"/>
        </w:rPr>
        <w:t xml:space="preserve"> </w:t>
      </w:r>
      <w:r w:rsidR="00D8536A">
        <w:rPr>
          <w:rFonts w:eastAsia="Calibri"/>
          <w:color w:val="000000"/>
          <w:lang w:val="en-GB"/>
        </w:rPr>
        <w:t xml:space="preserve">and sought </w:t>
      </w:r>
      <w:r w:rsidRPr="00640417">
        <w:rPr>
          <w:rFonts w:eastAsia="Calibri"/>
          <w:color w:val="000000"/>
          <w:lang w:val="en-GB"/>
        </w:rPr>
        <w:t>advice from his friend.</w:t>
      </w:r>
      <w:r w:rsidR="00C96680">
        <w:rPr>
          <w:rFonts w:eastAsia="Calibri"/>
          <w:color w:val="000000"/>
          <w:lang w:val="en-GB"/>
        </w:rPr>
        <w:t xml:space="preserve"> How was he going to manage the risks of his business while maintaining profits?</w:t>
      </w:r>
    </w:p>
    <w:p w14:paraId="286F7F50" w14:textId="77777777" w:rsidR="004E5586" w:rsidRPr="00640417" w:rsidRDefault="004E5586" w:rsidP="004E5586">
      <w:pPr>
        <w:pStyle w:val="BodyTextMain"/>
        <w:rPr>
          <w:rFonts w:eastAsia="Calibri"/>
          <w:color w:val="000000"/>
          <w:lang w:val="en-GB"/>
        </w:rPr>
      </w:pPr>
    </w:p>
    <w:p w14:paraId="5873E36C" w14:textId="77777777" w:rsidR="004E5586" w:rsidRPr="00640417" w:rsidRDefault="004E5586" w:rsidP="004E5586">
      <w:pPr>
        <w:pStyle w:val="BodyTextMain"/>
        <w:rPr>
          <w:rFonts w:eastAsia="Calibri"/>
          <w:color w:val="000000"/>
          <w:lang w:val="en-GB"/>
        </w:rPr>
      </w:pPr>
    </w:p>
    <w:p w14:paraId="70E88B63" w14:textId="17E493F0" w:rsidR="004E5586" w:rsidRPr="00640417" w:rsidRDefault="008E69B9" w:rsidP="004E5586">
      <w:pPr>
        <w:pStyle w:val="Casehead1"/>
        <w:rPr>
          <w:lang w:val="en-GB"/>
        </w:rPr>
      </w:pPr>
      <w:r>
        <w:rPr>
          <w:lang w:val="en-GB"/>
        </w:rPr>
        <w:t>company background</w:t>
      </w:r>
    </w:p>
    <w:p w14:paraId="2438370C" w14:textId="77777777" w:rsidR="004E5586" w:rsidRPr="00640417" w:rsidRDefault="004E5586" w:rsidP="004E5586">
      <w:pPr>
        <w:pStyle w:val="BodyTextMain"/>
        <w:rPr>
          <w:lang w:val="en-GB"/>
        </w:rPr>
      </w:pPr>
    </w:p>
    <w:p w14:paraId="04B1F5D3" w14:textId="070E2656" w:rsidR="004E5586" w:rsidRPr="00640417" w:rsidRDefault="00A96363" w:rsidP="004E5586">
      <w:pPr>
        <w:pStyle w:val="BodyTextMain"/>
        <w:rPr>
          <w:rFonts w:eastAsia="Calibri"/>
          <w:color w:val="000000"/>
          <w:lang w:val="en-GB"/>
        </w:rPr>
      </w:pPr>
      <w:proofErr w:type="spellStart"/>
      <w:r>
        <w:rPr>
          <w:rFonts w:eastAsia="Calibri"/>
          <w:color w:val="000000"/>
          <w:lang w:val="en-GB"/>
        </w:rPr>
        <w:t>Bartos</w:t>
      </w:r>
      <w:proofErr w:type="spellEnd"/>
      <w:r w:rsidR="004E5586" w:rsidRPr="00640417">
        <w:rPr>
          <w:rFonts w:eastAsia="Calibri"/>
          <w:color w:val="000000"/>
          <w:lang w:val="en-GB"/>
        </w:rPr>
        <w:t>, a pioneer in making stainless steel, was situated in an industrial area on the outskirts of Pune, Maharashtra (India). The founde</w:t>
      </w:r>
      <w:r w:rsidR="009E61D0">
        <w:rPr>
          <w:rFonts w:eastAsia="Calibri"/>
          <w:color w:val="000000"/>
          <w:lang w:val="en-GB"/>
        </w:rPr>
        <w:t>r</w:t>
      </w:r>
      <w:r w:rsidR="004E5586" w:rsidRPr="00640417">
        <w:rPr>
          <w:rFonts w:eastAsia="Calibri"/>
          <w:color w:val="000000"/>
          <w:lang w:val="en-GB"/>
        </w:rPr>
        <w:t>,</w:t>
      </w:r>
      <w:r w:rsidR="00166E8C" w:rsidRPr="00640417">
        <w:rPr>
          <w:rFonts w:eastAsia="Calibri"/>
          <w:color w:val="000000"/>
          <w:lang w:val="en-GB"/>
        </w:rPr>
        <w:t xml:space="preserve"> </w:t>
      </w:r>
      <w:r w:rsidR="004E5586" w:rsidRPr="00640417">
        <w:rPr>
          <w:rFonts w:eastAsia="Calibri"/>
          <w:color w:val="000000"/>
          <w:lang w:val="en-GB"/>
        </w:rPr>
        <w:t xml:space="preserve">Ajay </w:t>
      </w:r>
      <w:proofErr w:type="spellStart"/>
      <w:r>
        <w:rPr>
          <w:rFonts w:eastAsia="Calibri"/>
          <w:color w:val="000000"/>
          <w:lang w:val="en-GB"/>
        </w:rPr>
        <w:t>Bartos</w:t>
      </w:r>
      <w:proofErr w:type="spellEnd"/>
      <w:r w:rsidR="004E5586" w:rsidRPr="00640417">
        <w:rPr>
          <w:rFonts w:eastAsia="Calibri"/>
          <w:color w:val="000000"/>
          <w:lang w:val="en-GB"/>
        </w:rPr>
        <w:t>, had little formal education</w:t>
      </w:r>
      <w:r w:rsidR="003F625F">
        <w:rPr>
          <w:rFonts w:eastAsia="Calibri"/>
          <w:color w:val="000000"/>
          <w:lang w:val="en-GB"/>
        </w:rPr>
        <w:t>,</w:t>
      </w:r>
      <w:r w:rsidR="004E5586" w:rsidRPr="00640417">
        <w:rPr>
          <w:rFonts w:eastAsia="Calibri"/>
          <w:color w:val="000000"/>
          <w:lang w:val="en-GB"/>
        </w:rPr>
        <w:t xml:space="preserve"> but his willingness to learn and play with machines </w:t>
      </w:r>
      <w:r w:rsidR="00B84AFC">
        <w:rPr>
          <w:rFonts w:eastAsia="Calibri"/>
          <w:color w:val="000000"/>
          <w:lang w:val="en-GB"/>
        </w:rPr>
        <w:t xml:space="preserve">had </w:t>
      </w:r>
      <w:r w:rsidR="004E5586" w:rsidRPr="00640417">
        <w:rPr>
          <w:rFonts w:eastAsia="Calibri"/>
          <w:color w:val="000000"/>
          <w:lang w:val="en-GB"/>
        </w:rPr>
        <w:t>led him to start his industrial career. In 1952, he started the journey with a bucket-manufacturing unit in Pune, mov</w:t>
      </w:r>
      <w:r w:rsidR="00D8536A">
        <w:rPr>
          <w:rFonts w:eastAsia="Calibri"/>
          <w:color w:val="000000"/>
          <w:lang w:val="en-GB"/>
        </w:rPr>
        <w:t>ed</w:t>
      </w:r>
      <w:r w:rsidR="004E5586" w:rsidRPr="00640417">
        <w:rPr>
          <w:rFonts w:eastAsia="Calibri"/>
          <w:color w:val="000000"/>
          <w:lang w:val="en-GB"/>
        </w:rPr>
        <w:t xml:space="preserve"> to a pipe-manufacturing unit in 1964, and ultimately set up a </w:t>
      </w:r>
      <w:r w:rsidR="004E5586" w:rsidRPr="00640417">
        <w:rPr>
          <w:rFonts w:eastAsia="Calibri"/>
          <w:color w:val="000000"/>
          <w:lang w:val="en-GB"/>
        </w:rPr>
        <w:lastRenderedPageBreak/>
        <w:t>steel-making company in 1969 in Pune. The company dedicated itself to producing a special grade of steel—sta</w:t>
      </w:r>
      <w:r w:rsidR="002340CF" w:rsidRPr="00640417">
        <w:rPr>
          <w:rFonts w:eastAsia="Calibri"/>
          <w:color w:val="000000"/>
          <w:lang w:val="en-GB"/>
        </w:rPr>
        <w:t>inless steel, with minimum 10.5 per cent</w:t>
      </w:r>
      <w:r w:rsidR="004E5586" w:rsidRPr="00640417">
        <w:rPr>
          <w:rFonts w:eastAsia="Calibri"/>
          <w:color w:val="000000"/>
          <w:lang w:val="en-GB"/>
        </w:rPr>
        <w:t xml:space="preserve"> chromium. Apart from chromium, other rare earth metals such as nickel, molybdenum, titanium, and copper were added into th</w:t>
      </w:r>
      <w:r w:rsidR="003F625F">
        <w:rPr>
          <w:rFonts w:eastAsia="Calibri"/>
          <w:color w:val="000000"/>
          <w:lang w:val="en-GB"/>
        </w:rPr>
        <w:t>e</w:t>
      </w:r>
      <w:r w:rsidR="004E5586" w:rsidRPr="00640417">
        <w:rPr>
          <w:rFonts w:eastAsia="Calibri"/>
          <w:color w:val="000000"/>
          <w:lang w:val="en-GB"/>
        </w:rPr>
        <w:t xml:space="preserve"> mix to produce different grades of stainless steel with various mechanical properties. The company produc</w:t>
      </w:r>
      <w:r w:rsidR="004D0443">
        <w:rPr>
          <w:rFonts w:eastAsia="Calibri"/>
          <w:color w:val="000000"/>
          <w:lang w:val="en-GB"/>
        </w:rPr>
        <w:t>ed</w:t>
      </w:r>
      <w:r w:rsidR="004E5586" w:rsidRPr="00640417">
        <w:rPr>
          <w:rFonts w:eastAsia="Calibri"/>
          <w:color w:val="000000"/>
          <w:lang w:val="en-GB"/>
        </w:rPr>
        <w:t xml:space="preserve"> flat products, which include</w:t>
      </w:r>
      <w:r w:rsidR="004D0443">
        <w:rPr>
          <w:rFonts w:eastAsia="Calibri"/>
          <w:color w:val="000000"/>
          <w:lang w:val="en-GB"/>
        </w:rPr>
        <w:t>d</w:t>
      </w:r>
      <w:r w:rsidR="004E5586" w:rsidRPr="00640417">
        <w:rPr>
          <w:rFonts w:eastAsia="Calibri"/>
          <w:color w:val="000000"/>
          <w:lang w:val="en-GB"/>
        </w:rPr>
        <w:t xml:space="preserve"> finished products in </w:t>
      </w:r>
      <w:r w:rsidR="004D0443">
        <w:rPr>
          <w:rFonts w:eastAsia="Calibri"/>
          <w:color w:val="000000"/>
          <w:lang w:val="en-GB"/>
        </w:rPr>
        <w:t xml:space="preserve">the </w:t>
      </w:r>
      <w:r w:rsidR="004E5586" w:rsidRPr="00640417">
        <w:rPr>
          <w:rFonts w:eastAsia="Calibri"/>
          <w:color w:val="000000"/>
          <w:lang w:val="en-GB"/>
        </w:rPr>
        <w:t xml:space="preserve">form of coils, sheets, and plates of hot rolled and cold rolled </w:t>
      </w:r>
      <w:r w:rsidR="00211C4D">
        <w:rPr>
          <w:rFonts w:eastAsia="Calibri"/>
          <w:color w:val="000000"/>
          <w:lang w:val="en-GB"/>
        </w:rPr>
        <w:t xml:space="preserve">steel </w:t>
      </w:r>
      <w:r w:rsidR="004E5586" w:rsidRPr="00640417">
        <w:rPr>
          <w:rFonts w:eastAsia="Calibri"/>
          <w:color w:val="000000"/>
          <w:lang w:val="en-GB"/>
        </w:rPr>
        <w:t xml:space="preserve">in different finishes, sizes, and thicknesses. </w:t>
      </w:r>
      <w:proofErr w:type="spellStart"/>
      <w:r>
        <w:rPr>
          <w:rFonts w:eastAsia="Calibri"/>
          <w:color w:val="000000"/>
          <w:lang w:val="en-GB"/>
        </w:rPr>
        <w:t>Bartos</w:t>
      </w:r>
      <w:proofErr w:type="spellEnd"/>
      <w:r w:rsidR="00D71DE7">
        <w:rPr>
          <w:rFonts w:eastAsia="Calibri"/>
          <w:color w:val="000000"/>
          <w:lang w:val="en-GB"/>
        </w:rPr>
        <w:t xml:space="preserve"> </w:t>
      </w:r>
      <w:r w:rsidR="004E5586" w:rsidRPr="00640417">
        <w:rPr>
          <w:rFonts w:eastAsia="Calibri"/>
          <w:color w:val="000000"/>
          <w:lang w:val="en-GB"/>
        </w:rPr>
        <w:t xml:space="preserve">enjoyed </w:t>
      </w:r>
      <w:r w:rsidR="003F625F">
        <w:rPr>
          <w:rFonts w:eastAsia="Calibri"/>
          <w:color w:val="000000"/>
          <w:lang w:val="en-GB"/>
        </w:rPr>
        <w:t xml:space="preserve">a </w:t>
      </w:r>
      <w:r w:rsidR="004E5586" w:rsidRPr="00640417">
        <w:rPr>
          <w:rFonts w:eastAsia="Calibri"/>
          <w:color w:val="000000"/>
          <w:lang w:val="en-GB"/>
        </w:rPr>
        <w:t xml:space="preserve">monopoly </w:t>
      </w:r>
      <w:r w:rsidR="004D0443">
        <w:rPr>
          <w:rFonts w:eastAsia="Calibri"/>
          <w:color w:val="000000"/>
          <w:lang w:val="en-GB"/>
        </w:rPr>
        <w:t>from</w:t>
      </w:r>
      <w:r w:rsidR="004E5586" w:rsidRPr="00640417">
        <w:rPr>
          <w:rFonts w:eastAsia="Calibri"/>
          <w:color w:val="000000"/>
          <w:lang w:val="en-GB"/>
        </w:rPr>
        <w:t xml:space="preserve"> its inception</w:t>
      </w:r>
      <w:r w:rsidR="003D0C1C">
        <w:rPr>
          <w:rFonts w:eastAsia="Calibri"/>
          <w:color w:val="000000"/>
          <w:lang w:val="en-GB"/>
        </w:rPr>
        <w:t>. T</w:t>
      </w:r>
      <w:r w:rsidR="003F625F">
        <w:rPr>
          <w:rFonts w:eastAsia="Calibri"/>
          <w:color w:val="000000"/>
          <w:lang w:val="en-GB"/>
        </w:rPr>
        <w:t xml:space="preserve">he </w:t>
      </w:r>
      <w:r w:rsidR="004E5586" w:rsidRPr="00640417">
        <w:rPr>
          <w:rFonts w:eastAsia="Calibri"/>
          <w:color w:val="000000"/>
          <w:lang w:val="en-GB"/>
        </w:rPr>
        <w:t>huge investment required in setting up a stainless steel plant, unavailability of skilled labo</w:t>
      </w:r>
      <w:r w:rsidR="004D0443">
        <w:rPr>
          <w:rFonts w:eastAsia="Calibri"/>
          <w:color w:val="000000"/>
          <w:lang w:val="en-GB"/>
        </w:rPr>
        <w:t>u</w:t>
      </w:r>
      <w:r w:rsidR="004E5586" w:rsidRPr="00640417">
        <w:rPr>
          <w:rFonts w:eastAsia="Calibri"/>
          <w:color w:val="000000"/>
          <w:lang w:val="en-GB"/>
        </w:rPr>
        <w:t>r, complex manufacturing processes (</w:t>
      </w:r>
      <w:r w:rsidR="00234C27" w:rsidRPr="00640417">
        <w:rPr>
          <w:rFonts w:eastAsia="Calibri"/>
          <w:color w:val="000000"/>
          <w:lang w:val="en-GB"/>
        </w:rPr>
        <w:t xml:space="preserve">see </w:t>
      </w:r>
      <w:r w:rsidR="004E5586" w:rsidRPr="00640417">
        <w:rPr>
          <w:rFonts w:eastAsia="Calibri"/>
          <w:color w:val="000000"/>
          <w:lang w:val="en-GB"/>
        </w:rPr>
        <w:t xml:space="preserve">Exhibit </w:t>
      </w:r>
      <w:r w:rsidR="003A08A3">
        <w:rPr>
          <w:rFonts w:eastAsia="Calibri"/>
          <w:color w:val="000000"/>
          <w:lang w:val="en-GB"/>
        </w:rPr>
        <w:t>1</w:t>
      </w:r>
      <w:r w:rsidR="004E5586" w:rsidRPr="00640417">
        <w:rPr>
          <w:rFonts w:eastAsia="Calibri"/>
          <w:color w:val="000000"/>
          <w:lang w:val="en-GB"/>
        </w:rPr>
        <w:t>), and volatility in the availability of raw materials (</w:t>
      </w:r>
      <w:r w:rsidR="00234C27" w:rsidRPr="00640417">
        <w:rPr>
          <w:rFonts w:eastAsia="Calibri"/>
          <w:color w:val="000000"/>
          <w:lang w:val="en-GB"/>
        </w:rPr>
        <w:t xml:space="preserve">see </w:t>
      </w:r>
      <w:r w:rsidR="004E5586" w:rsidRPr="00640417">
        <w:rPr>
          <w:rFonts w:eastAsia="Calibri"/>
          <w:color w:val="000000"/>
          <w:lang w:val="en-GB"/>
        </w:rPr>
        <w:t xml:space="preserve">Exhibit </w:t>
      </w:r>
      <w:r w:rsidR="003A08A3">
        <w:rPr>
          <w:rFonts w:eastAsia="Calibri"/>
          <w:color w:val="000000"/>
          <w:lang w:val="en-GB"/>
        </w:rPr>
        <w:t>2</w:t>
      </w:r>
      <w:r w:rsidR="004E5586" w:rsidRPr="00640417">
        <w:rPr>
          <w:rFonts w:eastAsia="Calibri"/>
          <w:color w:val="000000"/>
          <w:lang w:val="en-GB"/>
        </w:rPr>
        <w:t>) created barriers to entry for other steel manufacturers</w:t>
      </w:r>
      <w:r w:rsidR="00211C4D">
        <w:rPr>
          <w:rFonts w:eastAsia="Calibri"/>
          <w:color w:val="000000"/>
          <w:lang w:val="en-GB"/>
        </w:rPr>
        <w:t>,</w:t>
      </w:r>
      <w:r w:rsidR="004E5586" w:rsidRPr="00640417">
        <w:rPr>
          <w:rFonts w:eastAsia="Calibri"/>
          <w:color w:val="000000"/>
          <w:lang w:val="en-GB"/>
        </w:rPr>
        <w:t xml:space="preserve"> and thus provided immunity from competition.</w:t>
      </w:r>
    </w:p>
    <w:p w14:paraId="7FADCE42" w14:textId="77777777" w:rsidR="006E02F4" w:rsidRPr="00C85248" w:rsidRDefault="006E02F4" w:rsidP="004E5586">
      <w:pPr>
        <w:pStyle w:val="BodyTextMain"/>
        <w:rPr>
          <w:rFonts w:eastAsia="Calibri"/>
          <w:color w:val="000000"/>
          <w:sz w:val="18"/>
          <w:szCs w:val="18"/>
          <w:lang w:val="en-GB"/>
        </w:rPr>
      </w:pPr>
    </w:p>
    <w:p w14:paraId="59792514" w14:textId="6D57E3C2" w:rsidR="004D0443" w:rsidRPr="00C85248" w:rsidRDefault="004E5586" w:rsidP="004E5586">
      <w:pPr>
        <w:pStyle w:val="BodyTextMain"/>
        <w:rPr>
          <w:rFonts w:eastAsia="Calibri"/>
          <w:color w:val="000000"/>
          <w:spacing w:val="-4"/>
          <w:kern w:val="22"/>
          <w:lang w:val="en-GB"/>
        </w:rPr>
      </w:pPr>
      <w:r w:rsidRPr="00C85248">
        <w:rPr>
          <w:rFonts w:eastAsia="Calibri"/>
          <w:color w:val="000000"/>
          <w:spacing w:val="-4"/>
          <w:kern w:val="22"/>
          <w:lang w:val="en-GB"/>
        </w:rPr>
        <w:t>After the sudden demise of</w:t>
      </w:r>
      <w:r w:rsidR="00166E8C" w:rsidRPr="00C85248">
        <w:rPr>
          <w:rFonts w:eastAsia="Calibri"/>
          <w:color w:val="000000"/>
          <w:spacing w:val="-4"/>
          <w:kern w:val="22"/>
          <w:lang w:val="en-GB"/>
        </w:rPr>
        <w:t xml:space="preserve"> </w:t>
      </w:r>
      <w:r w:rsidRPr="00C85248">
        <w:rPr>
          <w:rFonts w:eastAsia="Calibri"/>
          <w:color w:val="000000"/>
          <w:spacing w:val="-4"/>
          <w:kern w:val="22"/>
          <w:lang w:val="en-GB"/>
        </w:rPr>
        <w:t xml:space="preserve">Ajay in 2004 in an accident, the </w:t>
      </w:r>
      <w:r w:rsidR="00211C4D" w:rsidRPr="00C85248">
        <w:rPr>
          <w:rFonts w:eastAsia="Calibri"/>
          <w:color w:val="000000"/>
          <w:spacing w:val="-4"/>
          <w:kern w:val="22"/>
          <w:lang w:val="en-GB"/>
        </w:rPr>
        <w:t xml:space="preserve">company </w:t>
      </w:r>
      <w:r w:rsidRPr="00C85248">
        <w:rPr>
          <w:rFonts w:eastAsia="Calibri"/>
          <w:color w:val="000000"/>
          <w:spacing w:val="-4"/>
          <w:kern w:val="22"/>
          <w:lang w:val="en-GB"/>
        </w:rPr>
        <w:t>legacy passed to</w:t>
      </w:r>
      <w:r w:rsidR="00166E8C" w:rsidRPr="00C85248">
        <w:rPr>
          <w:rFonts w:eastAsia="Calibri"/>
          <w:color w:val="000000"/>
          <w:spacing w:val="-4"/>
          <w:kern w:val="22"/>
          <w:lang w:val="en-GB"/>
        </w:rPr>
        <w:t xml:space="preserve"> </w:t>
      </w:r>
      <w:r w:rsidRPr="00C85248">
        <w:rPr>
          <w:rFonts w:eastAsia="Calibri"/>
          <w:color w:val="000000"/>
          <w:spacing w:val="-4"/>
          <w:kern w:val="22"/>
          <w:lang w:val="en-GB"/>
        </w:rPr>
        <w:t>Vijay, his eldest son.</w:t>
      </w:r>
      <w:r w:rsidR="00166E8C" w:rsidRPr="00C85248">
        <w:rPr>
          <w:rFonts w:eastAsia="Calibri"/>
          <w:color w:val="000000"/>
          <w:spacing w:val="-4"/>
          <w:kern w:val="22"/>
          <w:lang w:val="en-GB"/>
        </w:rPr>
        <w:t xml:space="preserve"> </w:t>
      </w:r>
      <w:r w:rsidRPr="00C85248">
        <w:rPr>
          <w:rFonts w:eastAsia="Calibri"/>
          <w:color w:val="000000"/>
          <w:spacing w:val="-4"/>
          <w:kern w:val="22"/>
          <w:lang w:val="en-GB"/>
        </w:rPr>
        <w:t xml:space="preserve">Vijay was well educated, ambitious, and fully geared to take </w:t>
      </w:r>
      <w:r w:rsidR="004D0443" w:rsidRPr="00C85248">
        <w:rPr>
          <w:rFonts w:eastAsia="Calibri"/>
          <w:color w:val="000000"/>
          <w:spacing w:val="-4"/>
          <w:kern w:val="22"/>
          <w:lang w:val="en-GB"/>
        </w:rPr>
        <w:t>his father’s</w:t>
      </w:r>
      <w:r w:rsidRPr="00C85248">
        <w:rPr>
          <w:rFonts w:eastAsia="Calibri"/>
          <w:color w:val="000000"/>
          <w:spacing w:val="-4"/>
          <w:kern w:val="22"/>
          <w:lang w:val="en-GB"/>
        </w:rPr>
        <w:t xml:space="preserve"> vision to a new level. He devoted </w:t>
      </w:r>
      <w:r w:rsidR="00A46CF6" w:rsidRPr="00C85248">
        <w:rPr>
          <w:rFonts w:eastAsia="Calibri"/>
          <w:color w:val="000000"/>
          <w:spacing w:val="-4"/>
          <w:kern w:val="22"/>
          <w:lang w:val="en-GB"/>
        </w:rPr>
        <w:t>himself</w:t>
      </w:r>
      <w:r w:rsidRPr="00C85248">
        <w:rPr>
          <w:rFonts w:eastAsia="Calibri"/>
          <w:color w:val="000000"/>
          <w:spacing w:val="-4"/>
          <w:kern w:val="22"/>
          <w:lang w:val="en-GB"/>
        </w:rPr>
        <w:t xml:space="preserve"> to tak</w:t>
      </w:r>
      <w:r w:rsidR="004D0443" w:rsidRPr="00C85248">
        <w:rPr>
          <w:rFonts w:eastAsia="Calibri"/>
          <w:color w:val="000000"/>
          <w:spacing w:val="-4"/>
          <w:kern w:val="22"/>
          <w:lang w:val="en-GB"/>
        </w:rPr>
        <w:t xml:space="preserve">ing </w:t>
      </w:r>
      <w:r w:rsidRPr="00C85248">
        <w:rPr>
          <w:rFonts w:eastAsia="Calibri"/>
          <w:color w:val="000000"/>
          <w:spacing w:val="-4"/>
          <w:kern w:val="22"/>
          <w:lang w:val="en-GB"/>
        </w:rPr>
        <w:t xml:space="preserve">the company to greater heights. By the time he became </w:t>
      </w:r>
      <w:r w:rsidR="007E01BA" w:rsidRPr="00C85248">
        <w:rPr>
          <w:rFonts w:eastAsia="Calibri"/>
          <w:color w:val="000000"/>
          <w:spacing w:val="-4"/>
          <w:kern w:val="22"/>
          <w:lang w:val="en-GB"/>
        </w:rPr>
        <w:t>m</w:t>
      </w:r>
      <w:r w:rsidRPr="00C85248">
        <w:rPr>
          <w:rFonts w:eastAsia="Calibri"/>
          <w:color w:val="000000"/>
          <w:spacing w:val="-4"/>
          <w:kern w:val="22"/>
          <w:lang w:val="en-GB"/>
        </w:rPr>
        <w:t xml:space="preserve">anaging </w:t>
      </w:r>
      <w:r w:rsidR="007E01BA" w:rsidRPr="00C85248">
        <w:rPr>
          <w:rFonts w:eastAsia="Calibri"/>
          <w:color w:val="000000"/>
          <w:spacing w:val="-4"/>
          <w:kern w:val="22"/>
          <w:lang w:val="en-GB"/>
        </w:rPr>
        <w:t>d</w:t>
      </w:r>
      <w:r w:rsidRPr="00C85248">
        <w:rPr>
          <w:rFonts w:eastAsia="Calibri"/>
          <w:color w:val="000000"/>
          <w:spacing w:val="-4"/>
          <w:kern w:val="22"/>
          <w:lang w:val="en-GB"/>
        </w:rPr>
        <w:t xml:space="preserve">irector, the company had emerged as a strong brand. The annual report for 2006 showed all-time high revenue of </w:t>
      </w:r>
      <w:r w:rsidR="00583CB0" w:rsidRPr="00C85248">
        <w:rPr>
          <w:rFonts w:eastAsia="Calibri"/>
          <w:color w:val="000000"/>
          <w:spacing w:val="-4"/>
          <w:kern w:val="22"/>
          <w:lang w:val="en-GB"/>
        </w:rPr>
        <w:t>US</w:t>
      </w:r>
      <w:r w:rsidR="007E01BA" w:rsidRPr="00C85248">
        <w:rPr>
          <w:rFonts w:eastAsia="Calibri"/>
          <w:color w:val="000000"/>
          <w:spacing w:val="-4"/>
          <w:kern w:val="22"/>
          <w:lang w:val="en-GB"/>
        </w:rPr>
        <w:t>$</w:t>
      </w:r>
      <w:r w:rsidRPr="00C85248">
        <w:rPr>
          <w:rFonts w:eastAsia="Calibri"/>
          <w:color w:val="000000"/>
          <w:spacing w:val="-4"/>
          <w:kern w:val="22"/>
          <w:lang w:val="en-GB"/>
        </w:rPr>
        <w:t>580 million</w:t>
      </w:r>
      <w:r w:rsidR="00C96680" w:rsidRPr="00C85248">
        <w:rPr>
          <w:rStyle w:val="FootnoteReference"/>
          <w:rFonts w:eastAsia="Calibri"/>
          <w:color w:val="000000"/>
          <w:spacing w:val="-4"/>
          <w:kern w:val="22"/>
          <w:lang w:val="en-GB"/>
        </w:rPr>
        <w:footnoteReference w:id="2"/>
      </w:r>
      <w:r w:rsidRPr="00C85248">
        <w:rPr>
          <w:rFonts w:eastAsia="Calibri"/>
          <w:color w:val="000000"/>
          <w:spacing w:val="-4"/>
          <w:kern w:val="22"/>
          <w:lang w:val="en-GB"/>
        </w:rPr>
        <w:t xml:space="preserve"> and net profit after tax of </w:t>
      </w:r>
      <w:r w:rsidR="007E01BA" w:rsidRPr="00C85248">
        <w:rPr>
          <w:rFonts w:eastAsia="Calibri"/>
          <w:color w:val="000000"/>
          <w:spacing w:val="-4"/>
          <w:kern w:val="22"/>
          <w:lang w:val="en-GB"/>
        </w:rPr>
        <w:t>$</w:t>
      </w:r>
      <w:r w:rsidRPr="00C85248">
        <w:rPr>
          <w:rFonts w:eastAsia="Calibri"/>
          <w:color w:val="000000"/>
          <w:spacing w:val="-4"/>
          <w:kern w:val="22"/>
          <w:lang w:val="en-GB"/>
        </w:rPr>
        <w:t>26 million. All stakeholder</w:t>
      </w:r>
      <w:r w:rsidR="004D0443" w:rsidRPr="00C85248">
        <w:rPr>
          <w:rFonts w:eastAsia="Calibri"/>
          <w:color w:val="000000"/>
          <w:spacing w:val="-4"/>
          <w:kern w:val="22"/>
          <w:lang w:val="en-GB"/>
        </w:rPr>
        <w:t>s</w:t>
      </w:r>
      <w:r w:rsidRPr="00C85248">
        <w:rPr>
          <w:rFonts w:eastAsia="Calibri"/>
          <w:color w:val="000000"/>
          <w:spacing w:val="-4"/>
          <w:kern w:val="22"/>
          <w:lang w:val="en-GB"/>
        </w:rPr>
        <w:t xml:space="preserve"> were delighted with the company’s performance. </w:t>
      </w:r>
    </w:p>
    <w:p w14:paraId="1791474D" w14:textId="77777777" w:rsidR="004D0443" w:rsidRPr="00C85248" w:rsidRDefault="004D0443" w:rsidP="004E5586">
      <w:pPr>
        <w:pStyle w:val="BodyTextMain"/>
        <w:rPr>
          <w:rFonts w:eastAsia="Calibri"/>
          <w:color w:val="000000"/>
          <w:sz w:val="18"/>
          <w:szCs w:val="18"/>
          <w:lang w:val="en-GB"/>
        </w:rPr>
      </w:pPr>
    </w:p>
    <w:p w14:paraId="49CEA400" w14:textId="64DD906E" w:rsidR="004E5586" w:rsidRPr="0089430C" w:rsidRDefault="004E5586" w:rsidP="004E5586">
      <w:pPr>
        <w:pStyle w:val="BodyTextMain"/>
        <w:rPr>
          <w:rFonts w:eastAsia="Calibri"/>
          <w:color w:val="000000"/>
          <w:spacing w:val="-4"/>
          <w:kern w:val="22"/>
          <w:lang w:val="en-GB"/>
        </w:rPr>
      </w:pPr>
      <w:r w:rsidRPr="0089430C">
        <w:rPr>
          <w:rFonts w:eastAsia="Calibri"/>
          <w:color w:val="000000"/>
          <w:spacing w:val="-4"/>
          <w:kern w:val="22"/>
          <w:lang w:val="en-GB"/>
        </w:rPr>
        <w:t xml:space="preserve">In 2007, to chase global competition and meet </w:t>
      </w:r>
      <w:proofErr w:type="spellStart"/>
      <w:r w:rsidR="00211C4D" w:rsidRPr="0089430C">
        <w:rPr>
          <w:rFonts w:eastAsia="Calibri"/>
          <w:color w:val="000000"/>
          <w:spacing w:val="-4"/>
          <w:kern w:val="22"/>
          <w:lang w:val="en-GB"/>
        </w:rPr>
        <w:t>Bartos</w:t>
      </w:r>
      <w:r w:rsidRPr="0089430C">
        <w:rPr>
          <w:rFonts w:eastAsia="Calibri"/>
          <w:color w:val="000000"/>
          <w:spacing w:val="-4"/>
          <w:kern w:val="22"/>
          <w:lang w:val="en-GB"/>
        </w:rPr>
        <w:t>’s</w:t>
      </w:r>
      <w:proofErr w:type="spellEnd"/>
      <w:r w:rsidRPr="0089430C">
        <w:rPr>
          <w:rFonts w:eastAsia="Calibri"/>
          <w:color w:val="000000"/>
          <w:spacing w:val="-4"/>
          <w:kern w:val="22"/>
          <w:lang w:val="en-GB"/>
        </w:rPr>
        <w:t xml:space="preserve"> high ambitions,</w:t>
      </w:r>
      <w:r w:rsidR="00166E8C" w:rsidRPr="0089430C">
        <w:rPr>
          <w:rFonts w:eastAsia="Calibri"/>
          <w:color w:val="000000"/>
          <w:spacing w:val="-4"/>
          <w:kern w:val="22"/>
          <w:lang w:val="en-GB"/>
        </w:rPr>
        <w:t xml:space="preserve"> </w:t>
      </w:r>
      <w:r w:rsidRPr="0089430C">
        <w:rPr>
          <w:rFonts w:eastAsia="Calibri"/>
          <w:color w:val="000000"/>
          <w:spacing w:val="-4"/>
          <w:kern w:val="22"/>
          <w:lang w:val="en-GB"/>
        </w:rPr>
        <w:t>Vijay revised the</w:t>
      </w:r>
      <w:r w:rsidR="004D0443" w:rsidRPr="0089430C">
        <w:rPr>
          <w:rFonts w:eastAsia="Calibri"/>
          <w:color w:val="000000"/>
          <w:spacing w:val="-4"/>
          <w:kern w:val="22"/>
          <w:lang w:val="en-GB"/>
        </w:rPr>
        <w:t xml:space="preserve"> company’s</w:t>
      </w:r>
      <w:r w:rsidRPr="0089430C">
        <w:rPr>
          <w:rFonts w:eastAsia="Calibri"/>
          <w:color w:val="000000"/>
          <w:spacing w:val="-4"/>
          <w:kern w:val="22"/>
          <w:lang w:val="en-GB"/>
        </w:rPr>
        <w:t xml:space="preserve"> vision and mission</w:t>
      </w:r>
      <w:r w:rsidR="004D0443" w:rsidRPr="0089430C">
        <w:rPr>
          <w:rFonts w:eastAsia="Calibri"/>
          <w:color w:val="000000"/>
          <w:spacing w:val="-4"/>
          <w:kern w:val="22"/>
          <w:lang w:val="en-GB"/>
        </w:rPr>
        <w:t xml:space="preserve"> </w:t>
      </w:r>
      <w:r w:rsidRPr="0089430C">
        <w:rPr>
          <w:rFonts w:eastAsia="Calibri"/>
          <w:color w:val="000000"/>
          <w:spacing w:val="-4"/>
          <w:kern w:val="22"/>
          <w:lang w:val="en-GB"/>
        </w:rPr>
        <w:t>(</w:t>
      </w:r>
      <w:r w:rsidR="00234C27" w:rsidRPr="0089430C">
        <w:rPr>
          <w:rFonts w:eastAsia="Calibri"/>
          <w:color w:val="000000"/>
          <w:spacing w:val="-4"/>
          <w:kern w:val="22"/>
          <w:lang w:val="en-GB"/>
        </w:rPr>
        <w:t xml:space="preserve">see </w:t>
      </w:r>
      <w:r w:rsidRPr="0089430C">
        <w:rPr>
          <w:rFonts w:eastAsia="Calibri"/>
          <w:color w:val="000000"/>
          <w:spacing w:val="-4"/>
          <w:kern w:val="22"/>
          <w:lang w:val="en-GB"/>
        </w:rPr>
        <w:t xml:space="preserve">Exhibit </w:t>
      </w:r>
      <w:r w:rsidR="003A08A3" w:rsidRPr="0089430C">
        <w:rPr>
          <w:rFonts w:eastAsia="Calibri"/>
          <w:color w:val="000000"/>
          <w:spacing w:val="-4"/>
          <w:kern w:val="22"/>
          <w:lang w:val="en-GB"/>
        </w:rPr>
        <w:t>3</w:t>
      </w:r>
      <w:r w:rsidRPr="0089430C">
        <w:rPr>
          <w:rFonts w:eastAsia="Calibri"/>
          <w:color w:val="000000"/>
          <w:spacing w:val="-4"/>
          <w:kern w:val="22"/>
          <w:lang w:val="en-GB"/>
        </w:rPr>
        <w:t xml:space="preserve">). He implemented the latest </w:t>
      </w:r>
      <w:r w:rsidR="002340CF" w:rsidRPr="0089430C">
        <w:rPr>
          <w:rFonts w:eastAsia="Calibri"/>
          <w:color w:val="000000"/>
          <w:spacing w:val="-4"/>
          <w:kern w:val="22"/>
          <w:lang w:val="en-GB"/>
        </w:rPr>
        <w:t xml:space="preserve">Systems Application and Products </w:t>
      </w:r>
      <w:r w:rsidR="003D0C1C" w:rsidRPr="0089430C">
        <w:rPr>
          <w:rFonts w:eastAsia="Calibri"/>
          <w:color w:val="000000"/>
          <w:spacing w:val="-4"/>
          <w:kern w:val="22"/>
          <w:lang w:val="en-GB"/>
        </w:rPr>
        <w:t>(SAP) e</w:t>
      </w:r>
      <w:r w:rsidR="002340CF" w:rsidRPr="0089430C">
        <w:rPr>
          <w:rFonts w:eastAsia="Calibri"/>
          <w:color w:val="000000"/>
          <w:spacing w:val="-4"/>
          <w:kern w:val="22"/>
          <w:lang w:val="en-GB"/>
        </w:rPr>
        <w:t xml:space="preserve">nterprise </w:t>
      </w:r>
      <w:r w:rsidR="003D0C1C" w:rsidRPr="0089430C">
        <w:rPr>
          <w:rFonts w:eastAsia="Calibri"/>
          <w:color w:val="000000"/>
          <w:spacing w:val="-4"/>
          <w:kern w:val="22"/>
          <w:lang w:val="en-GB"/>
        </w:rPr>
        <w:t>r</w:t>
      </w:r>
      <w:r w:rsidR="002340CF" w:rsidRPr="0089430C">
        <w:rPr>
          <w:rFonts w:eastAsia="Calibri"/>
          <w:color w:val="000000"/>
          <w:spacing w:val="-4"/>
          <w:kern w:val="22"/>
          <w:lang w:val="en-GB"/>
        </w:rPr>
        <w:t xml:space="preserve">esource </w:t>
      </w:r>
      <w:r w:rsidR="003D0C1C" w:rsidRPr="0089430C">
        <w:rPr>
          <w:rFonts w:eastAsia="Calibri"/>
          <w:color w:val="000000"/>
          <w:spacing w:val="-4"/>
          <w:kern w:val="22"/>
          <w:lang w:val="en-GB"/>
        </w:rPr>
        <w:t>p</w:t>
      </w:r>
      <w:r w:rsidR="002340CF" w:rsidRPr="0089430C">
        <w:rPr>
          <w:rFonts w:eastAsia="Calibri"/>
          <w:color w:val="000000"/>
          <w:spacing w:val="-4"/>
          <w:kern w:val="22"/>
          <w:lang w:val="en-GB"/>
        </w:rPr>
        <w:t xml:space="preserve">lanning </w:t>
      </w:r>
      <w:r w:rsidR="003D0C1C" w:rsidRPr="0089430C">
        <w:rPr>
          <w:rFonts w:eastAsia="Calibri"/>
          <w:color w:val="000000"/>
          <w:spacing w:val="-4"/>
          <w:kern w:val="22"/>
          <w:lang w:val="en-GB"/>
        </w:rPr>
        <w:t>(</w:t>
      </w:r>
      <w:r w:rsidRPr="0089430C">
        <w:rPr>
          <w:rFonts w:eastAsia="Calibri"/>
          <w:color w:val="000000"/>
          <w:spacing w:val="-4"/>
          <w:kern w:val="22"/>
          <w:lang w:val="en-GB"/>
        </w:rPr>
        <w:t>ERP</w:t>
      </w:r>
      <w:r w:rsidR="003D0C1C" w:rsidRPr="0089430C">
        <w:rPr>
          <w:rFonts w:eastAsia="Calibri"/>
          <w:color w:val="000000"/>
          <w:spacing w:val="-4"/>
          <w:kern w:val="22"/>
          <w:lang w:val="en-GB"/>
        </w:rPr>
        <w:t>)</w:t>
      </w:r>
      <w:r w:rsidRPr="0089430C">
        <w:rPr>
          <w:rFonts w:eastAsia="Calibri"/>
          <w:color w:val="000000"/>
          <w:spacing w:val="-4"/>
          <w:kern w:val="22"/>
          <w:lang w:val="en-GB"/>
        </w:rPr>
        <w:t xml:space="preserve"> software to stay ahead of competitors through information technology and data management. He also created a research and development (R&amp;D) department and paid particular attention to developing new grades of stainless steel. A new unit, called the Special Product Division, was formed</w:t>
      </w:r>
      <w:r w:rsidR="00211C4D" w:rsidRPr="0089430C">
        <w:rPr>
          <w:rFonts w:eastAsia="Calibri"/>
          <w:color w:val="000000"/>
          <w:spacing w:val="-4"/>
          <w:kern w:val="22"/>
          <w:lang w:val="en-GB"/>
        </w:rPr>
        <w:t xml:space="preserve">. It </w:t>
      </w:r>
      <w:r w:rsidRPr="0089430C">
        <w:rPr>
          <w:rFonts w:eastAsia="Calibri"/>
          <w:color w:val="000000"/>
          <w:spacing w:val="-4"/>
          <w:kern w:val="22"/>
          <w:lang w:val="en-GB"/>
        </w:rPr>
        <w:t xml:space="preserve">was responsible for </w:t>
      </w:r>
      <w:r w:rsidR="00C16982" w:rsidRPr="0089430C">
        <w:rPr>
          <w:rFonts w:eastAsia="Calibri"/>
          <w:color w:val="000000"/>
          <w:spacing w:val="-4"/>
          <w:kern w:val="22"/>
          <w:lang w:val="en-GB"/>
        </w:rPr>
        <w:t xml:space="preserve">the </w:t>
      </w:r>
      <w:r w:rsidRPr="0089430C">
        <w:rPr>
          <w:rFonts w:eastAsia="Calibri"/>
          <w:color w:val="000000"/>
          <w:spacing w:val="-4"/>
          <w:kern w:val="22"/>
          <w:lang w:val="en-GB"/>
        </w:rPr>
        <w:t>manufacturing, sale, and marketing of</w:t>
      </w:r>
      <w:r w:rsidR="00D8536A" w:rsidRPr="0089430C">
        <w:rPr>
          <w:rFonts w:eastAsia="Calibri"/>
          <w:color w:val="000000"/>
          <w:spacing w:val="-4"/>
          <w:kern w:val="22"/>
          <w:lang w:val="en-GB"/>
        </w:rPr>
        <w:t xml:space="preserve"> </w:t>
      </w:r>
      <w:r w:rsidRPr="0089430C">
        <w:rPr>
          <w:rFonts w:eastAsia="Calibri"/>
          <w:color w:val="000000"/>
          <w:spacing w:val="-4"/>
          <w:kern w:val="22"/>
          <w:lang w:val="en-GB"/>
        </w:rPr>
        <w:t xml:space="preserve">specialized grade steel. Within a year, the R&amp;D team was able to develop two new alloys (grades of stainless steel). These alloys were used for manufacturing razor blades and coins, thus enabling the company to target two profitable and cyclical markets. The </w:t>
      </w:r>
      <w:r w:rsidR="00C16982" w:rsidRPr="0089430C">
        <w:rPr>
          <w:rFonts w:eastAsia="Calibri"/>
          <w:color w:val="000000"/>
          <w:spacing w:val="-4"/>
          <w:kern w:val="22"/>
          <w:lang w:val="en-GB"/>
        </w:rPr>
        <w:t xml:space="preserve">2008 </w:t>
      </w:r>
      <w:r w:rsidRPr="0089430C">
        <w:rPr>
          <w:rFonts w:eastAsia="Calibri"/>
          <w:color w:val="000000"/>
          <w:spacing w:val="-4"/>
          <w:kern w:val="22"/>
          <w:lang w:val="en-GB"/>
        </w:rPr>
        <w:t>annual report</w:t>
      </w:r>
      <w:r w:rsidR="00C16982" w:rsidRPr="0089430C">
        <w:rPr>
          <w:rFonts w:eastAsia="Calibri"/>
          <w:color w:val="000000"/>
          <w:spacing w:val="-4"/>
          <w:kern w:val="22"/>
          <w:lang w:val="en-GB"/>
        </w:rPr>
        <w:t xml:space="preserve"> </w:t>
      </w:r>
      <w:r w:rsidRPr="0089430C">
        <w:rPr>
          <w:rFonts w:eastAsia="Calibri"/>
          <w:color w:val="000000"/>
          <w:spacing w:val="-4"/>
          <w:kern w:val="22"/>
          <w:lang w:val="en-GB"/>
        </w:rPr>
        <w:t xml:space="preserve">recorded a new revenue high of </w:t>
      </w:r>
      <w:r w:rsidR="007E01BA" w:rsidRPr="0089430C">
        <w:rPr>
          <w:rFonts w:eastAsia="Calibri"/>
          <w:color w:val="000000"/>
          <w:spacing w:val="-4"/>
          <w:kern w:val="22"/>
          <w:lang w:val="en-GB"/>
        </w:rPr>
        <w:t>$</w:t>
      </w:r>
      <w:r w:rsidRPr="0089430C">
        <w:rPr>
          <w:rFonts w:eastAsia="Calibri"/>
          <w:color w:val="000000"/>
          <w:spacing w:val="-4"/>
          <w:kern w:val="22"/>
          <w:lang w:val="en-GB"/>
        </w:rPr>
        <w:t xml:space="preserve">950 million and net profit of </w:t>
      </w:r>
      <w:r w:rsidR="007E01BA" w:rsidRPr="0089430C">
        <w:rPr>
          <w:rFonts w:eastAsia="Calibri"/>
          <w:color w:val="000000"/>
          <w:spacing w:val="-4"/>
          <w:kern w:val="22"/>
          <w:lang w:val="en-GB"/>
        </w:rPr>
        <w:t>$</w:t>
      </w:r>
      <w:r w:rsidRPr="0089430C">
        <w:rPr>
          <w:rFonts w:eastAsia="Calibri"/>
          <w:color w:val="000000"/>
          <w:spacing w:val="-4"/>
          <w:kern w:val="22"/>
          <w:lang w:val="en-GB"/>
        </w:rPr>
        <w:t>40 million.</w:t>
      </w:r>
    </w:p>
    <w:p w14:paraId="17766EBE" w14:textId="77777777" w:rsidR="004E5586" w:rsidRPr="00C85248" w:rsidRDefault="004E5586" w:rsidP="004E5586">
      <w:pPr>
        <w:pStyle w:val="BodyTextMain"/>
        <w:rPr>
          <w:rFonts w:eastAsia="Calibri"/>
          <w:color w:val="000000"/>
          <w:sz w:val="18"/>
          <w:szCs w:val="18"/>
          <w:lang w:val="en-GB"/>
        </w:rPr>
      </w:pPr>
    </w:p>
    <w:p w14:paraId="6B6B1A4E" w14:textId="22FAC725" w:rsidR="00192FD2" w:rsidRPr="0089430C" w:rsidRDefault="006E02F4" w:rsidP="006E02F4">
      <w:pPr>
        <w:pStyle w:val="BodyTextMain"/>
        <w:rPr>
          <w:rFonts w:eastAsia="Calibri"/>
          <w:color w:val="000000"/>
          <w:spacing w:val="-4"/>
          <w:kern w:val="22"/>
          <w:lang w:val="en-GB"/>
        </w:rPr>
      </w:pPr>
      <w:r w:rsidRPr="0089430C">
        <w:rPr>
          <w:rFonts w:eastAsia="Calibri"/>
          <w:color w:val="000000"/>
          <w:spacing w:val="-4"/>
          <w:kern w:val="22"/>
          <w:lang w:val="en-GB"/>
        </w:rPr>
        <w:t xml:space="preserve">Since its inception, </w:t>
      </w:r>
      <w:proofErr w:type="spellStart"/>
      <w:r w:rsidR="00A96363" w:rsidRPr="0089430C">
        <w:rPr>
          <w:rFonts w:eastAsia="Calibri"/>
          <w:color w:val="000000"/>
          <w:spacing w:val="-4"/>
          <w:kern w:val="22"/>
          <w:lang w:val="en-GB"/>
        </w:rPr>
        <w:t>Bartos</w:t>
      </w:r>
      <w:proofErr w:type="spellEnd"/>
      <w:r w:rsidR="00D71DE7" w:rsidRPr="0089430C">
        <w:rPr>
          <w:rFonts w:eastAsia="Calibri"/>
          <w:color w:val="000000"/>
          <w:spacing w:val="-4"/>
          <w:kern w:val="22"/>
          <w:lang w:val="en-GB"/>
        </w:rPr>
        <w:t xml:space="preserve"> </w:t>
      </w:r>
      <w:r w:rsidRPr="0089430C">
        <w:rPr>
          <w:rFonts w:eastAsia="Calibri"/>
          <w:color w:val="000000"/>
          <w:spacing w:val="-4"/>
          <w:kern w:val="22"/>
          <w:lang w:val="en-GB"/>
        </w:rPr>
        <w:t>h</w:t>
      </w:r>
      <w:r w:rsidR="000C2441" w:rsidRPr="0089430C">
        <w:rPr>
          <w:rFonts w:eastAsia="Calibri"/>
          <w:color w:val="000000"/>
          <w:spacing w:val="-4"/>
          <w:kern w:val="22"/>
          <w:lang w:val="en-GB"/>
        </w:rPr>
        <w:t xml:space="preserve">ad been a market leader with </w:t>
      </w:r>
      <w:r w:rsidR="00C16982" w:rsidRPr="0089430C">
        <w:rPr>
          <w:rFonts w:eastAsia="Calibri"/>
          <w:color w:val="000000"/>
          <w:spacing w:val="-4"/>
          <w:kern w:val="22"/>
          <w:lang w:val="en-GB"/>
        </w:rPr>
        <w:t xml:space="preserve">a </w:t>
      </w:r>
      <w:r w:rsidR="000C2441" w:rsidRPr="0089430C">
        <w:rPr>
          <w:rFonts w:eastAsia="Calibri"/>
          <w:color w:val="000000"/>
          <w:spacing w:val="-4"/>
          <w:kern w:val="22"/>
          <w:lang w:val="en-GB"/>
        </w:rPr>
        <w:t>60 per cent</w:t>
      </w:r>
      <w:r w:rsidRPr="0089430C">
        <w:rPr>
          <w:rFonts w:eastAsia="Calibri"/>
          <w:color w:val="000000"/>
          <w:spacing w:val="-4"/>
          <w:kern w:val="22"/>
          <w:lang w:val="en-GB"/>
        </w:rPr>
        <w:t xml:space="preserve"> market share in the stainless steel sector. A</w:t>
      </w:r>
      <w:r w:rsidR="00192FD2" w:rsidRPr="0089430C">
        <w:rPr>
          <w:rFonts w:eastAsia="Calibri"/>
          <w:color w:val="000000"/>
          <w:spacing w:val="-4"/>
          <w:kern w:val="22"/>
          <w:lang w:val="en-GB"/>
        </w:rPr>
        <w:t>dding to the o</w:t>
      </w:r>
      <w:r w:rsidRPr="0089430C">
        <w:rPr>
          <w:rFonts w:eastAsia="Calibri"/>
          <w:color w:val="000000"/>
          <w:spacing w:val="-4"/>
          <w:kern w:val="22"/>
          <w:lang w:val="en-GB"/>
        </w:rPr>
        <w:t>perating plant at Pun</w:t>
      </w:r>
      <w:r w:rsidR="00C16982" w:rsidRPr="0089430C">
        <w:rPr>
          <w:rFonts w:eastAsia="Calibri"/>
          <w:color w:val="000000"/>
          <w:spacing w:val="-4"/>
          <w:kern w:val="22"/>
          <w:lang w:val="en-GB"/>
        </w:rPr>
        <w:t>e</w:t>
      </w:r>
      <w:r w:rsidRPr="0089430C">
        <w:rPr>
          <w:rFonts w:eastAsia="Calibri"/>
          <w:color w:val="000000"/>
          <w:spacing w:val="-4"/>
          <w:kern w:val="22"/>
          <w:lang w:val="en-GB"/>
        </w:rPr>
        <w:t xml:space="preserve">, the company established a mammoth facility with a high level of automation and modern engineering machines </w:t>
      </w:r>
      <w:r w:rsidR="00F67168">
        <w:rPr>
          <w:rFonts w:eastAsia="Calibri"/>
          <w:color w:val="000000"/>
          <w:spacing w:val="-4"/>
          <w:kern w:val="22"/>
          <w:lang w:val="en-GB"/>
        </w:rPr>
        <w:t>o</w:t>
      </w:r>
      <w:r w:rsidRPr="0089430C">
        <w:rPr>
          <w:rFonts w:eastAsia="Calibri"/>
          <w:color w:val="000000"/>
          <w:spacing w:val="-4"/>
          <w:kern w:val="22"/>
          <w:lang w:val="en-GB"/>
        </w:rPr>
        <w:t xml:space="preserve">n the outskirts of </w:t>
      </w:r>
      <w:proofErr w:type="spellStart"/>
      <w:r w:rsidRPr="0089430C">
        <w:rPr>
          <w:rFonts w:eastAsia="Calibri"/>
          <w:color w:val="000000"/>
          <w:spacing w:val="-4"/>
          <w:kern w:val="22"/>
          <w:lang w:val="en-GB"/>
        </w:rPr>
        <w:t>Bokaro</w:t>
      </w:r>
      <w:proofErr w:type="spellEnd"/>
      <w:r w:rsidRPr="0089430C">
        <w:rPr>
          <w:rFonts w:eastAsia="Calibri"/>
          <w:color w:val="000000"/>
          <w:spacing w:val="-4"/>
          <w:kern w:val="22"/>
          <w:lang w:val="en-GB"/>
        </w:rPr>
        <w:t xml:space="preserve">, Jharkhand, in 2009. The </w:t>
      </w:r>
      <w:r w:rsidR="00C16982" w:rsidRPr="0089430C">
        <w:rPr>
          <w:rFonts w:eastAsia="Calibri"/>
          <w:color w:val="000000"/>
          <w:spacing w:val="-4"/>
          <w:kern w:val="22"/>
          <w:lang w:val="en-GB"/>
        </w:rPr>
        <w:t xml:space="preserve">company’s </w:t>
      </w:r>
      <w:r w:rsidRPr="0089430C">
        <w:rPr>
          <w:rFonts w:eastAsia="Calibri"/>
          <w:color w:val="000000"/>
          <w:spacing w:val="-4"/>
          <w:kern w:val="22"/>
          <w:lang w:val="en-GB"/>
        </w:rPr>
        <w:t xml:space="preserve">balance sheet was skewed because of massive capital expenditure (more than </w:t>
      </w:r>
      <w:r w:rsidR="007E01BA" w:rsidRPr="0089430C">
        <w:rPr>
          <w:rFonts w:eastAsia="Calibri"/>
          <w:color w:val="000000"/>
          <w:spacing w:val="-4"/>
          <w:kern w:val="22"/>
          <w:lang w:val="en-GB"/>
        </w:rPr>
        <w:t>$</w:t>
      </w:r>
      <w:r w:rsidRPr="0089430C">
        <w:rPr>
          <w:rFonts w:eastAsia="Calibri"/>
          <w:color w:val="000000"/>
          <w:spacing w:val="-4"/>
          <w:kern w:val="22"/>
          <w:lang w:val="en-GB"/>
        </w:rPr>
        <w:t>900 million)</w:t>
      </w:r>
      <w:r w:rsidR="00192FD2" w:rsidRPr="0089430C">
        <w:rPr>
          <w:rFonts w:eastAsia="Calibri"/>
          <w:color w:val="000000"/>
          <w:spacing w:val="-4"/>
          <w:kern w:val="22"/>
          <w:lang w:val="en-GB"/>
        </w:rPr>
        <w:t xml:space="preserve"> made </w:t>
      </w:r>
      <w:r w:rsidRPr="0089430C">
        <w:rPr>
          <w:rFonts w:eastAsia="Calibri"/>
          <w:color w:val="000000"/>
          <w:spacing w:val="-4"/>
          <w:kern w:val="22"/>
          <w:lang w:val="en-GB"/>
        </w:rPr>
        <w:t xml:space="preserve">in phases in establishing </w:t>
      </w:r>
      <w:r w:rsidR="00D8536A" w:rsidRPr="0089430C">
        <w:rPr>
          <w:rFonts w:eastAsia="Calibri"/>
          <w:color w:val="000000"/>
          <w:spacing w:val="-4"/>
          <w:kern w:val="22"/>
          <w:lang w:val="en-GB"/>
        </w:rPr>
        <w:t>the</w:t>
      </w:r>
      <w:r w:rsidRPr="0089430C">
        <w:rPr>
          <w:rFonts w:eastAsia="Calibri"/>
          <w:color w:val="000000"/>
          <w:spacing w:val="-4"/>
          <w:kern w:val="22"/>
          <w:lang w:val="en-GB"/>
        </w:rPr>
        <w:t xml:space="preserve"> new plant. The capacity of the new facility was three times that of the old one. </w:t>
      </w:r>
    </w:p>
    <w:p w14:paraId="68136CE3" w14:textId="77777777" w:rsidR="00192FD2" w:rsidRPr="00C85248" w:rsidRDefault="00192FD2" w:rsidP="006E02F4">
      <w:pPr>
        <w:pStyle w:val="BodyTextMain"/>
        <w:rPr>
          <w:rFonts w:eastAsia="Calibri"/>
          <w:color w:val="000000"/>
          <w:sz w:val="18"/>
          <w:szCs w:val="18"/>
          <w:lang w:val="en-GB"/>
        </w:rPr>
      </w:pPr>
    </w:p>
    <w:p w14:paraId="3583213A" w14:textId="4D49677E" w:rsidR="006E02F4" w:rsidRPr="00640417" w:rsidRDefault="006E02F4" w:rsidP="006E02F4">
      <w:pPr>
        <w:pStyle w:val="BodyTextMain"/>
        <w:rPr>
          <w:rFonts w:eastAsia="Calibri"/>
          <w:color w:val="000000"/>
          <w:lang w:val="en-GB"/>
        </w:rPr>
      </w:pPr>
      <w:r w:rsidRPr="00640417">
        <w:rPr>
          <w:rFonts w:eastAsia="Calibri"/>
          <w:color w:val="000000"/>
          <w:lang w:val="en-GB"/>
        </w:rPr>
        <w:t>Altho</w:t>
      </w:r>
      <w:r w:rsidR="000C2441">
        <w:rPr>
          <w:rFonts w:eastAsia="Calibri"/>
          <w:color w:val="000000"/>
          <w:lang w:val="en-GB"/>
        </w:rPr>
        <w:t xml:space="preserve">ugh </w:t>
      </w:r>
      <w:r w:rsidR="00F67168">
        <w:rPr>
          <w:rFonts w:eastAsia="Calibri"/>
          <w:color w:val="000000"/>
          <w:lang w:val="en-GB"/>
        </w:rPr>
        <w:t xml:space="preserve">the </w:t>
      </w:r>
      <w:proofErr w:type="spellStart"/>
      <w:r w:rsidR="002C5E60">
        <w:rPr>
          <w:rFonts w:eastAsia="Calibri"/>
          <w:color w:val="000000"/>
          <w:lang w:val="en-GB"/>
        </w:rPr>
        <w:t>Bokaro</w:t>
      </w:r>
      <w:proofErr w:type="spellEnd"/>
      <w:r w:rsidR="002C5E60">
        <w:rPr>
          <w:rFonts w:eastAsia="Calibri"/>
          <w:color w:val="000000"/>
          <w:lang w:val="en-GB"/>
        </w:rPr>
        <w:t xml:space="preserve"> plant </w:t>
      </w:r>
      <w:r w:rsidR="000C2441">
        <w:rPr>
          <w:rFonts w:eastAsia="Calibri"/>
          <w:color w:val="000000"/>
          <w:lang w:val="en-GB"/>
        </w:rPr>
        <w:t>was operating at only 30 per cent</w:t>
      </w:r>
      <w:r w:rsidRPr="00640417">
        <w:rPr>
          <w:rFonts w:eastAsia="Calibri"/>
          <w:color w:val="000000"/>
          <w:lang w:val="en-GB"/>
        </w:rPr>
        <w:t xml:space="preserve"> capacity</w:t>
      </w:r>
      <w:r w:rsidR="00192FD2">
        <w:rPr>
          <w:rFonts w:eastAsia="Calibri"/>
          <w:color w:val="000000"/>
          <w:lang w:val="en-GB"/>
        </w:rPr>
        <w:t xml:space="preserve"> in 2009</w:t>
      </w:r>
      <w:r w:rsidR="006F51B7">
        <w:rPr>
          <w:rFonts w:eastAsia="Calibri"/>
          <w:color w:val="000000"/>
          <w:lang w:val="en-GB"/>
        </w:rPr>
        <w:t xml:space="preserve"> because of a </w:t>
      </w:r>
      <w:r w:rsidRPr="00640417">
        <w:rPr>
          <w:rFonts w:eastAsia="Calibri"/>
          <w:color w:val="000000"/>
          <w:lang w:val="en-GB"/>
        </w:rPr>
        <w:t>scarcity of raw material and shortage of skilled labo</w:t>
      </w:r>
      <w:r w:rsidR="000C2441">
        <w:rPr>
          <w:rFonts w:eastAsia="Calibri"/>
          <w:color w:val="000000"/>
          <w:lang w:val="en-GB"/>
        </w:rPr>
        <w:t>u</w:t>
      </w:r>
      <w:r w:rsidRPr="00640417">
        <w:rPr>
          <w:rFonts w:eastAsia="Calibri"/>
          <w:color w:val="000000"/>
          <w:lang w:val="en-GB"/>
        </w:rPr>
        <w:t xml:space="preserve">r, the combined output of both the plants was more than what the Indian market could consume. This, coupled with </w:t>
      </w:r>
      <w:r w:rsidR="00C16982">
        <w:rPr>
          <w:rFonts w:eastAsia="Calibri"/>
          <w:color w:val="000000"/>
          <w:lang w:val="en-GB"/>
        </w:rPr>
        <w:t xml:space="preserve">the </w:t>
      </w:r>
      <w:r w:rsidRPr="00640417">
        <w:rPr>
          <w:rFonts w:eastAsia="Calibri"/>
          <w:color w:val="000000"/>
          <w:lang w:val="en-GB"/>
        </w:rPr>
        <w:t xml:space="preserve">changing preferences of buyers for imported Chinese steel, put a lot of pressure on the </w:t>
      </w:r>
      <w:r w:rsidR="00C16982">
        <w:rPr>
          <w:rFonts w:eastAsia="Calibri"/>
          <w:color w:val="000000"/>
          <w:lang w:val="en-GB"/>
        </w:rPr>
        <w:t xml:space="preserve">company’s </w:t>
      </w:r>
      <w:r w:rsidRPr="00640417">
        <w:rPr>
          <w:rFonts w:eastAsia="Calibri"/>
          <w:color w:val="000000"/>
          <w:lang w:val="en-GB"/>
        </w:rPr>
        <w:t xml:space="preserve">sales force because </w:t>
      </w:r>
      <w:r w:rsidR="006F51B7">
        <w:rPr>
          <w:rFonts w:eastAsia="Calibri"/>
          <w:color w:val="000000"/>
          <w:lang w:val="en-GB"/>
        </w:rPr>
        <w:t xml:space="preserve">the Chinese companies were offering a </w:t>
      </w:r>
      <w:r w:rsidRPr="00640417">
        <w:rPr>
          <w:rFonts w:eastAsia="Calibri"/>
          <w:color w:val="000000"/>
          <w:lang w:val="en-GB"/>
        </w:rPr>
        <w:t>comparable quality product at a lower price. Immense pressure from management left the sales professionals frustrated</w:t>
      </w:r>
      <w:r w:rsidR="00C16982">
        <w:rPr>
          <w:rFonts w:eastAsia="Calibri"/>
          <w:color w:val="000000"/>
          <w:lang w:val="en-GB"/>
        </w:rPr>
        <w:t xml:space="preserve">, </w:t>
      </w:r>
      <w:r w:rsidRPr="00640417">
        <w:rPr>
          <w:rFonts w:eastAsia="Calibri"/>
          <w:color w:val="000000"/>
          <w:lang w:val="en-GB"/>
        </w:rPr>
        <w:t xml:space="preserve">and </w:t>
      </w:r>
      <w:r w:rsidR="00C16982">
        <w:rPr>
          <w:rFonts w:eastAsia="Calibri"/>
          <w:color w:val="000000"/>
          <w:lang w:val="en-GB"/>
        </w:rPr>
        <w:t xml:space="preserve">the </w:t>
      </w:r>
      <w:r w:rsidRPr="00640417">
        <w:rPr>
          <w:rFonts w:eastAsia="Calibri"/>
          <w:color w:val="000000"/>
          <w:lang w:val="en-GB"/>
        </w:rPr>
        <w:t xml:space="preserve">retention rate </w:t>
      </w:r>
      <w:r w:rsidR="00F67168">
        <w:rPr>
          <w:rFonts w:eastAsia="Calibri"/>
          <w:color w:val="000000"/>
          <w:lang w:val="en-GB"/>
        </w:rPr>
        <w:t>decreased</w:t>
      </w:r>
      <w:r w:rsidRPr="00640417">
        <w:rPr>
          <w:rFonts w:eastAsia="Calibri"/>
          <w:color w:val="000000"/>
          <w:lang w:val="en-GB"/>
        </w:rPr>
        <w:t xml:space="preserve"> to an all-time low. The attrition rate was high in the operations department too</w:t>
      </w:r>
      <w:r w:rsidR="00C16982">
        <w:rPr>
          <w:rFonts w:eastAsia="Calibri"/>
          <w:color w:val="000000"/>
          <w:lang w:val="en-GB"/>
        </w:rPr>
        <w:t>,</w:t>
      </w:r>
      <w:r w:rsidRPr="00640417">
        <w:rPr>
          <w:rFonts w:eastAsia="Calibri"/>
          <w:color w:val="000000"/>
          <w:lang w:val="en-GB"/>
        </w:rPr>
        <w:t xml:space="preserve"> as professionals did not want to live in the tribal belt of Jharkhand where the new manufacturing facility was established.</w:t>
      </w:r>
    </w:p>
    <w:p w14:paraId="20F31D66" w14:textId="77777777" w:rsidR="000C2441" w:rsidRPr="00C85248" w:rsidRDefault="000C2441" w:rsidP="00060F45">
      <w:pPr>
        <w:pStyle w:val="BodyTextMain"/>
        <w:rPr>
          <w:rFonts w:eastAsia="Calibri"/>
          <w:color w:val="000000"/>
          <w:sz w:val="18"/>
          <w:szCs w:val="18"/>
          <w:lang w:val="en-GB"/>
        </w:rPr>
      </w:pPr>
    </w:p>
    <w:p w14:paraId="6ECF611B" w14:textId="6C2AD5E6" w:rsidR="00060F45" w:rsidRPr="00EB5726" w:rsidRDefault="00060F45" w:rsidP="00060F45">
      <w:pPr>
        <w:pStyle w:val="BodyTextMain"/>
        <w:rPr>
          <w:rFonts w:eastAsia="Calibri"/>
          <w:color w:val="000000"/>
          <w:kern w:val="22"/>
          <w:lang w:val="en-GB"/>
        </w:rPr>
      </w:pPr>
      <w:r w:rsidRPr="00EB5726">
        <w:rPr>
          <w:rFonts w:eastAsia="Calibri"/>
          <w:color w:val="000000"/>
          <w:kern w:val="22"/>
          <w:lang w:val="en-GB"/>
        </w:rPr>
        <w:t>In June 2015, for the first time the company appointed a combined director for sales, marketing</w:t>
      </w:r>
      <w:r w:rsidR="00C16982" w:rsidRPr="00EB5726">
        <w:rPr>
          <w:rFonts w:eastAsia="Calibri"/>
          <w:color w:val="000000"/>
          <w:kern w:val="22"/>
          <w:lang w:val="en-GB"/>
        </w:rPr>
        <w:t>,</w:t>
      </w:r>
      <w:r w:rsidRPr="00EB5726">
        <w:rPr>
          <w:rFonts w:eastAsia="Calibri"/>
          <w:color w:val="000000"/>
          <w:kern w:val="22"/>
          <w:lang w:val="en-GB"/>
        </w:rPr>
        <w:t xml:space="preserve"> and finance to pay particular attention to these departments. To alleviate the</w:t>
      </w:r>
      <w:r w:rsidR="00C16982" w:rsidRPr="00EB5726">
        <w:rPr>
          <w:rFonts w:eastAsia="Calibri"/>
          <w:color w:val="000000"/>
          <w:kern w:val="22"/>
          <w:lang w:val="en-GB"/>
        </w:rPr>
        <w:t xml:space="preserve"> company’s</w:t>
      </w:r>
      <w:r w:rsidRPr="00EB5726">
        <w:rPr>
          <w:rFonts w:eastAsia="Calibri"/>
          <w:color w:val="000000"/>
          <w:kern w:val="22"/>
          <w:lang w:val="en-GB"/>
        </w:rPr>
        <w:t xml:space="preserve"> financial position, the director started pushing all three departments, especially sales, to improve their performance. This pressure </w:t>
      </w:r>
      <w:r w:rsidR="00192FD2" w:rsidRPr="00EB5726">
        <w:rPr>
          <w:rFonts w:eastAsia="Calibri"/>
          <w:color w:val="000000"/>
          <w:kern w:val="22"/>
          <w:lang w:val="en-GB"/>
        </w:rPr>
        <w:t xml:space="preserve">increased </w:t>
      </w:r>
      <w:r w:rsidRPr="00EB5726">
        <w:rPr>
          <w:rFonts w:eastAsia="Calibri"/>
          <w:color w:val="000000"/>
          <w:kern w:val="22"/>
          <w:lang w:val="en-GB"/>
        </w:rPr>
        <w:t xml:space="preserve">the frustration among sales personnel, resulting </w:t>
      </w:r>
      <w:r w:rsidR="00192FD2" w:rsidRPr="00EB5726">
        <w:rPr>
          <w:rFonts w:eastAsia="Calibri"/>
          <w:color w:val="000000"/>
          <w:kern w:val="22"/>
          <w:lang w:val="en-GB"/>
        </w:rPr>
        <w:t xml:space="preserve">in </w:t>
      </w:r>
      <w:r w:rsidR="00C16982" w:rsidRPr="00EB5726">
        <w:rPr>
          <w:rFonts w:eastAsia="Calibri"/>
          <w:color w:val="000000"/>
          <w:kern w:val="22"/>
          <w:lang w:val="en-GB"/>
        </w:rPr>
        <w:t xml:space="preserve">many </w:t>
      </w:r>
      <w:r w:rsidRPr="00EB5726">
        <w:rPr>
          <w:rFonts w:eastAsia="Calibri"/>
          <w:color w:val="000000"/>
          <w:kern w:val="22"/>
          <w:lang w:val="en-GB"/>
        </w:rPr>
        <w:t>resignation</w:t>
      </w:r>
      <w:r w:rsidR="00C16982" w:rsidRPr="00EB5726">
        <w:rPr>
          <w:rFonts w:eastAsia="Calibri"/>
          <w:color w:val="000000"/>
          <w:kern w:val="22"/>
          <w:lang w:val="en-GB"/>
        </w:rPr>
        <w:t>s</w:t>
      </w:r>
      <w:r w:rsidRPr="00EB5726">
        <w:rPr>
          <w:rFonts w:eastAsia="Calibri"/>
          <w:color w:val="000000"/>
          <w:kern w:val="22"/>
          <w:lang w:val="en-GB"/>
        </w:rPr>
        <w:t xml:space="preserve">. </w:t>
      </w:r>
      <w:r w:rsidR="00C16982" w:rsidRPr="00EB5726">
        <w:rPr>
          <w:rFonts w:eastAsia="Calibri"/>
          <w:color w:val="000000"/>
          <w:kern w:val="22"/>
          <w:lang w:val="en-GB"/>
        </w:rPr>
        <w:t xml:space="preserve">However, </w:t>
      </w:r>
      <w:r w:rsidRPr="00EB5726">
        <w:rPr>
          <w:rFonts w:eastAsia="Calibri"/>
          <w:color w:val="000000"/>
          <w:kern w:val="22"/>
          <w:lang w:val="en-GB"/>
        </w:rPr>
        <w:t>there was no improvement in the</w:t>
      </w:r>
      <w:r w:rsidR="00C16982" w:rsidRPr="00EB5726">
        <w:rPr>
          <w:rFonts w:eastAsia="Calibri"/>
          <w:color w:val="000000"/>
          <w:kern w:val="22"/>
          <w:lang w:val="en-GB"/>
        </w:rPr>
        <w:t xml:space="preserve"> company’s</w:t>
      </w:r>
      <w:r w:rsidRPr="00EB5726">
        <w:rPr>
          <w:rFonts w:eastAsia="Calibri"/>
          <w:color w:val="000000"/>
          <w:kern w:val="22"/>
          <w:lang w:val="en-GB"/>
        </w:rPr>
        <w:t xml:space="preserve"> financial position (see Exhibit </w:t>
      </w:r>
      <w:r w:rsidR="003A08A3" w:rsidRPr="00EB5726">
        <w:rPr>
          <w:rFonts w:eastAsia="Calibri"/>
          <w:color w:val="000000"/>
          <w:kern w:val="22"/>
          <w:lang w:val="en-GB"/>
        </w:rPr>
        <w:t>4</w:t>
      </w:r>
      <w:r w:rsidRPr="00EB5726">
        <w:rPr>
          <w:rFonts w:eastAsia="Calibri"/>
          <w:color w:val="000000"/>
          <w:kern w:val="22"/>
          <w:lang w:val="en-GB"/>
        </w:rPr>
        <w:t xml:space="preserve"> and Exhibit </w:t>
      </w:r>
      <w:r w:rsidR="003A08A3" w:rsidRPr="00EB5726">
        <w:rPr>
          <w:rFonts w:eastAsia="Calibri"/>
          <w:color w:val="000000"/>
          <w:kern w:val="22"/>
          <w:lang w:val="en-GB"/>
        </w:rPr>
        <w:t>5</w:t>
      </w:r>
      <w:r w:rsidRPr="00EB5726">
        <w:rPr>
          <w:rFonts w:eastAsia="Calibri"/>
          <w:color w:val="000000"/>
          <w:kern w:val="22"/>
          <w:lang w:val="en-GB"/>
        </w:rPr>
        <w:t xml:space="preserve">). </w:t>
      </w:r>
      <w:r w:rsidRPr="00EB5726">
        <w:rPr>
          <w:kern w:val="22"/>
        </w:rPr>
        <w:t>The pressure to maintain the bottom</w:t>
      </w:r>
      <w:r w:rsidR="00C16982" w:rsidRPr="00EB5726">
        <w:rPr>
          <w:kern w:val="22"/>
        </w:rPr>
        <w:t xml:space="preserve"> </w:t>
      </w:r>
      <w:r w:rsidRPr="00EB5726">
        <w:rPr>
          <w:kern w:val="22"/>
        </w:rPr>
        <w:t>line translated into increased pressures on individual level targets</w:t>
      </w:r>
      <w:r w:rsidR="00C16982" w:rsidRPr="00EB5726">
        <w:rPr>
          <w:kern w:val="22"/>
        </w:rPr>
        <w:t>,</w:t>
      </w:r>
      <w:r w:rsidRPr="00EB5726">
        <w:rPr>
          <w:kern w:val="22"/>
        </w:rPr>
        <w:t xml:space="preserve"> and the </w:t>
      </w:r>
      <w:r w:rsidR="00CA2F1E" w:rsidRPr="00EB5726">
        <w:rPr>
          <w:kern w:val="22"/>
        </w:rPr>
        <w:t>work climate deteriorated</w:t>
      </w:r>
      <w:r w:rsidRPr="00EB5726">
        <w:rPr>
          <w:kern w:val="22"/>
        </w:rPr>
        <w:t xml:space="preserve">. </w:t>
      </w:r>
      <w:r w:rsidR="00F67168" w:rsidRPr="00EB5726">
        <w:rPr>
          <w:kern w:val="22"/>
        </w:rPr>
        <w:t>The</w:t>
      </w:r>
      <w:r w:rsidRPr="00EB5726">
        <w:rPr>
          <w:kern w:val="22"/>
        </w:rPr>
        <w:t xml:space="preserve"> unfortunate and untimely death of a company employee left </w:t>
      </w:r>
      <w:r w:rsidR="00192FD2" w:rsidRPr="00EB5726">
        <w:rPr>
          <w:kern w:val="22"/>
        </w:rPr>
        <w:t>many p</w:t>
      </w:r>
      <w:r w:rsidRPr="00EB5726">
        <w:rPr>
          <w:kern w:val="22"/>
        </w:rPr>
        <w:t>eople gossiping about the impact of such pressures.</w:t>
      </w:r>
      <w:r w:rsidRPr="00EB5726">
        <w:rPr>
          <w:rFonts w:eastAsia="Calibri"/>
          <w:color w:val="000000"/>
          <w:kern w:val="22"/>
          <w:lang w:val="en-GB"/>
        </w:rPr>
        <w:t xml:space="preserve"> </w:t>
      </w:r>
    </w:p>
    <w:p w14:paraId="0C1F94A9" w14:textId="139F2FC0" w:rsidR="004E5586" w:rsidRPr="00A03932" w:rsidRDefault="004E5586" w:rsidP="004E5586">
      <w:pPr>
        <w:pStyle w:val="Casehead2"/>
        <w:rPr>
          <w:caps/>
          <w:lang w:val="en-GB"/>
        </w:rPr>
      </w:pPr>
      <w:r w:rsidRPr="00A03932">
        <w:rPr>
          <w:caps/>
          <w:lang w:val="en-GB"/>
        </w:rPr>
        <w:lastRenderedPageBreak/>
        <w:t>Operations</w:t>
      </w:r>
    </w:p>
    <w:p w14:paraId="3296C2EE" w14:textId="77777777" w:rsidR="004E5586" w:rsidRPr="00640417" w:rsidRDefault="004E5586" w:rsidP="004E5586">
      <w:pPr>
        <w:pStyle w:val="BodyTextMain"/>
        <w:rPr>
          <w:rFonts w:eastAsia="Calibri"/>
          <w:color w:val="000000"/>
          <w:lang w:val="en-GB"/>
        </w:rPr>
      </w:pPr>
    </w:p>
    <w:p w14:paraId="750F1D76" w14:textId="53A74C47" w:rsidR="00E70897" w:rsidRDefault="00E70897" w:rsidP="004E5586">
      <w:pPr>
        <w:pStyle w:val="BodyTextMain"/>
        <w:rPr>
          <w:rFonts w:eastAsia="Calibri"/>
          <w:color w:val="000000"/>
          <w:lang w:val="en-GB"/>
        </w:rPr>
      </w:pPr>
      <w:proofErr w:type="spellStart"/>
      <w:r>
        <w:rPr>
          <w:rFonts w:eastAsia="Calibri"/>
          <w:color w:val="000000"/>
          <w:lang w:val="en-GB"/>
        </w:rPr>
        <w:t>Bartos</w:t>
      </w:r>
      <w:proofErr w:type="spellEnd"/>
      <w:r>
        <w:rPr>
          <w:rFonts w:eastAsia="Calibri"/>
          <w:color w:val="000000"/>
          <w:lang w:val="en-GB"/>
        </w:rPr>
        <w:t xml:space="preserve"> </w:t>
      </w:r>
      <w:r w:rsidR="004E5586" w:rsidRPr="00640417">
        <w:rPr>
          <w:rFonts w:eastAsia="Calibri"/>
          <w:color w:val="000000"/>
          <w:lang w:val="en-GB"/>
        </w:rPr>
        <w:t>offer</w:t>
      </w:r>
      <w:r>
        <w:rPr>
          <w:rFonts w:eastAsia="Calibri"/>
          <w:color w:val="000000"/>
          <w:lang w:val="en-GB"/>
        </w:rPr>
        <w:t>ed</w:t>
      </w:r>
      <w:r w:rsidR="004E5586" w:rsidRPr="00640417">
        <w:rPr>
          <w:rFonts w:eastAsia="Calibri"/>
          <w:color w:val="000000"/>
          <w:lang w:val="en-GB"/>
        </w:rPr>
        <w:t xml:space="preserve"> stainless steel in flat products that include</w:t>
      </w:r>
      <w:r w:rsidR="00747AAA">
        <w:rPr>
          <w:rFonts w:eastAsia="Calibri"/>
          <w:color w:val="000000"/>
          <w:lang w:val="en-GB"/>
        </w:rPr>
        <w:t>d</w:t>
      </w:r>
      <w:r w:rsidR="004E5586" w:rsidRPr="00640417">
        <w:rPr>
          <w:rFonts w:eastAsia="Calibri"/>
          <w:color w:val="000000"/>
          <w:lang w:val="en-GB"/>
        </w:rPr>
        <w:t xml:space="preserve"> sheets, coils, and plates. Initially, it produc</w:t>
      </w:r>
      <w:r>
        <w:rPr>
          <w:rFonts w:eastAsia="Calibri"/>
          <w:color w:val="000000"/>
          <w:lang w:val="en-GB"/>
        </w:rPr>
        <w:t>ed</w:t>
      </w:r>
      <w:r w:rsidR="004E5586" w:rsidRPr="00640417">
        <w:rPr>
          <w:rFonts w:eastAsia="Calibri"/>
          <w:color w:val="000000"/>
          <w:lang w:val="en-GB"/>
        </w:rPr>
        <w:t xml:space="preserve"> steel </w:t>
      </w:r>
      <w:r>
        <w:rPr>
          <w:rFonts w:eastAsia="Calibri"/>
          <w:color w:val="000000"/>
          <w:lang w:val="en-GB"/>
        </w:rPr>
        <w:t>according to the</w:t>
      </w:r>
      <w:r w:rsidR="004E5586" w:rsidRPr="00640417">
        <w:rPr>
          <w:rFonts w:eastAsia="Calibri"/>
          <w:color w:val="000000"/>
          <w:lang w:val="en-GB"/>
        </w:rPr>
        <w:t xml:space="preserve"> American Society for Testing and Materials standard</w:t>
      </w:r>
      <w:r w:rsidR="00F67168">
        <w:rPr>
          <w:rFonts w:eastAsia="Calibri"/>
          <w:color w:val="000000"/>
          <w:lang w:val="en-GB"/>
        </w:rPr>
        <w:t>s</w:t>
      </w:r>
      <w:r w:rsidR="004E5586" w:rsidRPr="00640417">
        <w:rPr>
          <w:rFonts w:eastAsia="Calibri"/>
          <w:color w:val="000000"/>
          <w:lang w:val="en-GB"/>
        </w:rPr>
        <w:t xml:space="preserve">. In 1969, the company had </w:t>
      </w:r>
      <w:r w:rsidR="00F67168" w:rsidRPr="00640417">
        <w:rPr>
          <w:rFonts w:eastAsia="Calibri"/>
          <w:color w:val="000000"/>
          <w:lang w:val="en-GB"/>
        </w:rPr>
        <w:t xml:space="preserve">neither </w:t>
      </w:r>
      <w:r w:rsidR="004E5586" w:rsidRPr="00640417">
        <w:rPr>
          <w:rFonts w:eastAsia="Calibri"/>
          <w:color w:val="000000"/>
          <w:lang w:val="en-GB"/>
        </w:rPr>
        <w:t>access to world-class technology nor</w:t>
      </w:r>
      <w:r w:rsidR="00747AAA">
        <w:rPr>
          <w:rFonts w:eastAsia="Calibri"/>
          <w:color w:val="000000"/>
          <w:lang w:val="en-GB"/>
        </w:rPr>
        <w:t xml:space="preserve"> </w:t>
      </w:r>
      <w:r w:rsidR="004E5586" w:rsidRPr="00640417">
        <w:rPr>
          <w:rFonts w:eastAsia="Calibri"/>
          <w:color w:val="000000"/>
          <w:lang w:val="en-GB"/>
        </w:rPr>
        <w:t>enough capital to spend on high-precision machines.</w:t>
      </w:r>
      <w:r w:rsidR="00166E8C" w:rsidRPr="00640417">
        <w:rPr>
          <w:rFonts w:eastAsia="Calibri"/>
          <w:color w:val="000000"/>
          <w:lang w:val="en-GB"/>
        </w:rPr>
        <w:t xml:space="preserve"> </w:t>
      </w:r>
      <w:r w:rsidR="001431FE">
        <w:rPr>
          <w:rFonts w:eastAsia="Calibri"/>
          <w:color w:val="000000"/>
          <w:lang w:val="en-GB"/>
        </w:rPr>
        <w:t xml:space="preserve">However, </w:t>
      </w:r>
      <w:r w:rsidR="004E5586" w:rsidRPr="00640417">
        <w:rPr>
          <w:rFonts w:eastAsia="Calibri"/>
          <w:color w:val="000000"/>
          <w:lang w:val="en-GB"/>
        </w:rPr>
        <w:t>Ajay was able to make efficient devices by using locally available materials. Many types of equipment were designed and built in-house. For example, the company purchased a big motor from an auction of an old ship</w:t>
      </w:r>
      <w:r w:rsidR="00FD11EF">
        <w:rPr>
          <w:rFonts w:eastAsia="Calibri"/>
          <w:color w:val="000000"/>
          <w:lang w:val="en-GB"/>
        </w:rPr>
        <w:t xml:space="preserve"> castoff</w:t>
      </w:r>
      <w:r w:rsidR="004E5586" w:rsidRPr="00640417">
        <w:rPr>
          <w:rFonts w:eastAsia="Calibri"/>
          <w:color w:val="000000"/>
          <w:lang w:val="en-GB"/>
        </w:rPr>
        <w:t>. The motor was further reworked in-house and used in rolling machines to generate high pressure to roll steel slabs of thickness ranging from 2</w:t>
      </w:r>
      <w:r>
        <w:rPr>
          <w:rFonts w:eastAsia="Calibri"/>
          <w:color w:val="000000"/>
          <w:lang w:val="en-GB"/>
        </w:rPr>
        <w:t>.000</w:t>
      </w:r>
      <w:r w:rsidR="004E5586" w:rsidRPr="00640417">
        <w:rPr>
          <w:rFonts w:eastAsia="Calibri"/>
          <w:color w:val="000000"/>
          <w:lang w:val="en-GB"/>
        </w:rPr>
        <w:t xml:space="preserve"> to </w:t>
      </w:r>
      <w:r w:rsidR="00FC54DB">
        <w:rPr>
          <w:rFonts w:eastAsia="Calibri"/>
          <w:color w:val="000000"/>
          <w:lang w:val="en-GB"/>
        </w:rPr>
        <w:t>0.00</w:t>
      </w:r>
      <w:r w:rsidR="004E5586" w:rsidRPr="00640417">
        <w:rPr>
          <w:rFonts w:eastAsia="Calibri"/>
          <w:color w:val="000000"/>
          <w:lang w:val="en-GB"/>
        </w:rPr>
        <w:t>2 m</w:t>
      </w:r>
      <w:r w:rsidR="00FC54DB">
        <w:rPr>
          <w:rFonts w:eastAsia="Calibri"/>
          <w:color w:val="000000"/>
          <w:lang w:val="en-GB"/>
        </w:rPr>
        <w:t>et</w:t>
      </w:r>
      <w:r>
        <w:rPr>
          <w:rFonts w:eastAsia="Calibri"/>
          <w:color w:val="000000"/>
          <w:lang w:val="en-GB"/>
        </w:rPr>
        <w:t>res</w:t>
      </w:r>
      <w:r w:rsidR="004E5586" w:rsidRPr="00640417">
        <w:rPr>
          <w:rFonts w:eastAsia="Calibri"/>
          <w:color w:val="000000"/>
          <w:lang w:val="en-GB"/>
        </w:rPr>
        <w:t>. Frequent breakdown</w:t>
      </w:r>
      <w:r w:rsidR="00C87ED0">
        <w:rPr>
          <w:rFonts w:eastAsia="Calibri"/>
          <w:color w:val="000000"/>
          <w:lang w:val="en-GB"/>
        </w:rPr>
        <w:t>s</w:t>
      </w:r>
      <w:r w:rsidR="004E5586" w:rsidRPr="00640417">
        <w:rPr>
          <w:rFonts w:eastAsia="Calibri"/>
          <w:color w:val="000000"/>
          <w:lang w:val="en-GB"/>
        </w:rPr>
        <w:t xml:space="preserve"> of machinery and operational losses were obstacles </w:t>
      </w:r>
      <w:r w:rsidR="00C87ED0">
        <w:rPr>
          <w:rFonts w:eastAsia="Calibri"/>
          <w:color w:val="000000"/>
          <w:lang w:val="en-GB"/>
        </w:rPr>
        <w:t>o</w:t>
      </w:r>
      <w:r w:rsidR="004E5586" w:rsidRPr="00640417">
        <w:rPr>
          <w:rFonts w:eastAsia="Calibri"/>
          <w:color w:val="000000"/>
          <w:lang w:val="en-GB"/>
        </w:rPr>
        <w:t xml:space="preserve">n </w:t>
      </w:r>
      <w:r>
        <w:rPr>
          <w:rFonts w:eastAsia="Calibri"/>
          <w:color w:val="000000"/>
          <w:lang w:val="en-GB"/>
        </w:rPr>
        <w:t>the company’s</w:t>
      </w:r>
      <w:r w:rsidR="004E5586" w:rsidRPr="00640417">
        <w:rPr>
          <w:rFonts w:eastAsia="Calibri"/>
          <w:color w:val="000000"/>
          <w:lang w:val="en-GB"/>
        </w:rPr>
        <w:t xml:space="preserve"> glowing path. </w:t>
      </w:r>
    </w:p>
    <w:p w14:paraId="342BA241" w14:textId="77777777" w:rsidR="00E70897" w:rsidRDefault="00E70897" w:rsidP="004E5586">
      <w:pPr>
        <w:pStyle w:val="BodyTextMain"/>
        <w:rPr>
          <w:rFonts w:eastAsia="Calibri"/>
          <w:color w:val="000000"/>
          <w:lang w:val="en-GB"/>
        </w:rPr>
      </w:pPr>
    </w:p>
    <w:p w14:paraId="1950A0AA" w14:textId="563BFBCE" w:rsidR="00E70897" w:rsidRDefault="001431FE" w:rsidP="004E5586">
      <w:pPr>
        <w:pStyle w:val="BodyTextMain"/>
        <w:rPr>
          <w:rFonts w:eastAsia="Calibri"/>
          <w:color w:val="000000"/>
          <w:lang w:val="en-GB"/>
        </w:rPr>
      </w:pPr>
      <w:proofErr w:type="spellStart"/>
      <w:r>
        <w:rPr>
          <w:rFonts w:eastAsia="Calibri"/>
          <w:color w:val="000000"/>
          <w:lang w:val="en-GB"/>
        </w:rPr>
        <w:t>Bartos</w:t>
      </w:r>
      <w:proofErr w:type="spellEnd"/>
      <w:r>
        <w:rPr>
          <w:rFonts w:eastAsia="Calibri"/>
          <w:color w:val="000000"/>
          <w:lang w:val="en-GB"/>
        </w:rPr>
        <w:t xml:space="preserve"> </w:t>
      </w:r>
      <w:r w:rsidR="004E5586" w:rsidRPr="00640417">
        <w:rPr>
          <w:rFonts w:eastAsia="Calibri"/>
          <w:color w:val="000000"/>
          <w:lang w:val="en-GB"/>
        </w:rPr>
        <w:t>work</w:t>
      </w:r>
      <w:r w:rsidR="00FD11EF">
        <w:rPr>
          <w:rFonts w:eastAsia="Calibri"/>
          <w:color w:val="000000"/>
          <w:lang w:val="en-GB"/>
        </w:rPr>
        <w:t>ed</w:t>
      </w:r>
      <w:r w:rsidR="004E5586" w:rsidRPr="00640417">
        <w:rPr>
          <w:rFonts w:eastAsia="Calibri"/>
          <w:color w:val="000000"/>
          <w:lang w:val="en-GB"/>
        </w:rPr>
        <w:t xml:space="preserve"> on the make-to-order concept. On receiving </w:t>
      </w:r>
      <w:r w:rsidR="00C87ED0">
        <w:rPr>
          <w:rFonts w:eastAsia="Calibri"/>
          <w:color w:val="000000"/>
          <w:lang w:val="en-GB"/>
        </w:rPr>
        <w:t>an</w:t>
      </w:r>
      <w:r w:rsidR="004E5586" w:rsidRPr="00640417">
        <w:rPr>
          <w:rFonts w:eastAsia="Calibri"/>
          <w:color w:val="000000"/>
          <w:lang w:val="en-GB"/>
        </w:rPr>
        <w:t xml:space="preserve"> order from a customer, the company would start its process and supply the finished goods within four weeks. The Pune processing units (</w:t>
      </w:r>
      <w:r w:rsidR="00234C27" w:rsidRPr="00640417">
        <w:rPr>
          <w:rFonts w:eastAsia="Calibri"/>
          <w:color w:val="000000"/>
          <w:lang w:val="en-GB"/>
        </w:rPr>
        <w:t xml:space="preserve">see </w:t>
      </w:r>
      <w:r w:rsidR="004E5586" w:rsidRPr="00640417">
        <w:rPr>
          <w:rFonts w:eastAsia="Calibri"/>
          <w:color w:val="000000"/>
          <w:lang w:val="en-GB"/>
        </w:rPr>
        <w:t xml:space="preserve">Exhibit </w:t>
      </w:r>
      <w:r w:rsidR="003A08A3">
        <w:rPr>
          <w:rFonts w:eastAsia="Calibri"/>
          <w:color w:val="000000"/>
          <w:lang w:val="en-GB"/>
        </w:rPr>
        <w:t>1</w:t>
      </w:r>
      <w:r w:rsidR="004E5586" w:rsidRPr="00640417">
        <w:rPr>
          <w:rFonts w:eastAsia="Calibri"/>
          <w:color w:val="000000"/>
          <w:lang w:val="en-GB"/>
        </w:rPr>
        <w:t xml:space="preserve">) could use only iron or steel scrap as input. The process flow of the Pune plant </w:t>
      </w:r>
      <w:r w:rsidR="00C5291A">
        <w:rPr>
          <w:rFonts w:eastAsia="Calibri"/>
          <w:color w:val="000000"/>
          <w:lang w:val="en-GB"/>
        </w:rPr>
        <w:t>(</w:t>
      </w:r>
      <w:r w:rsidR="006635E1">
        <w:rPr>
          <w:rFonts w:eastAsia="Calibri"/>
          <w:color w:val="000000"/>
          <w:lang w:val="en-GB"/>
        </w:rPr>
        <w:t xml:space="preserve">see </w:t>
      </w:r>
      <w:r w:rsidR="00C5291A">
        <w:rPr>
          <w:rFonts w:eastAsia="Calibri"/>
          <w:color w:val="000000"/>
          <w:lang w:val="en-GB"/>
        </w:rPr>
        <w:t>Exhibit</w:t>
      </w:r>
      <w:r w:rsidR="003A08A3">
        <w:rPr>
          <w:rFonts w:eastAsia="Calibri"/>
          <w:color w:val="000000"/>
          <w:lang w:val="en-GB"/>
        </w:rPr>
        <w:t xml:space="preserve"> 1</w:t>
      </w:r>
      <w:r w:rsidR="00C5291A">
        <w:rPr>
          <w:rFonts w:eastAsia="Calibri"/>
          <w:color w:val="000000"/>
          <w:lang w:val="en-GB"/>
        </w:rPr>
        <w:t xml:space="preserve">) </w:t>
      </w:r>
      <w:r w:rsidR="004E5586" w:rsidRPr="00640417">
        <w:rPr>
          <w:rFonts w:eastAsia="Calibri"/>
          <w:color w:val="000000"/>
          <w:lang w:val="en-GB"/>
        </w:rPr>
        <w:t xml:space="preserve">started with melting iron scrap, adding alloying elements, passing heat through the various processes of argon-oxygen decarburization, and finally casting into slabs of </w:t>
      </w:r>
      <w:r w:rsidR="00FD11EF">
        <w:rPr>
          <w:rFonts w:eastAsia="Calibri"/>
          <w:color w:val="000000"/>
          <w:lang w:val="en-GB"/>
        </w:rPr>
        <w:t>two</w:t>
      </w:r>
      <w:r w:rsidR="00E70897">
        <w:rPr>
          <w:rFonts w:eastAsia="Calibri"/>
          <w:color w:val="000000"/>
          <w:lang w:val="en-GB"/>
        </w:rPr>
        <w:t xml:space="preserve"> </w:t>
      </w:r>
      <w:r w:rsidR="004E5586" w:rsidRPr="00640417">
        <w:rPr>
          <w:rFonts w:eastAsia="Calibri"/>
          <w:color w:val="000000"/>
          <w:lang w:val="en-GB"/>
        </w:rPr>
        <w:t>m</w:t>
      </w:r>
      <w:r w:rsidR="004A2ABE">
        <w:rPr>
          <w:rFonts w:eastAsia="Calibri"/>
          <w:color w:val="000000"/>
          <w:lang w:val="en-GB"/>
        </w:rPr>
        <w:t>et</w:t>
      </w:r>
      <w:r w:rsidR="00E70897">
        <w:rPr>
          <w:rFonts w:eastAsia="Calibri"/>
          <w:color w:val="000000"/>
          <w:lang w:val="en-GB"/>
        </w:rPr>
        <w:t>res</w:t>
      </w:r>
      <w:r w:rsidR="004E5586" w:rsidRPr="00640417">
        <w:rPr>
          <w:rFonts w:eastAsia="Calibri"/>
          <w:color w:val="000000"/>
          <w:lang w:val="en-GB"/>
        </w:rPr>
        <w:t>. Slabs were further rolled into thin sheets</w:t>
      </w:r>
      <w:r w:rsidR="00E70897">
        <w:rPr>
          <w:rFonts w:eastAsia="Calibri"/>
          <w:color w:val="000000"/>
          <w:lang w:val="en-GB"/>
        </w:rPr>
        <w:t>,</w:t>
      </w:r>
      <w:r w:rsidR="004E5586" w:rsidRPr="00640417">
        <w:rPr>
          <w:rFonts w:eastAsia="Calibri"/>
          <w:color w:val="000000"/>
          <w:lang w:val="en-GB"/>
        </w:rPr>
        <w:t xml:space="preserve"> as specified in order details</w:t>
      </w:r>
      <w:r w:rsidR="00E70897">
        <w:rPr>
          <w:rFonts w:eastAsia="Calibri"/>
          <w:color w:val="000000"/>
          <w:lang w:val="en-GB"/>
        </w:rPr>
        <w:t>,</w:t>
      </w:r>
      <w:r w:rsidR="004E5586" w:rsidRPr="00640417">
        <w:rPr>
          <w:rFonts w:eastAsia="Calibri"/>
          <w:color w:val="000000"/>
          <w:lang w:val="en-GB"/>
        </w:rPr>
        <w:t xml:space="preserve"> and then supplied after the desired mechanical and chemical properties</w:t>
      </w:r>
      <w:r w:rsidR="00C87ED0">
        <w:rPr>
          <w:rFonts w:eastAsia="Calibri"/>
          <w:color w:val="000000"/>
          <w:lang w:val="en-GB"/>
        </w:rPr>
        <w:t xml:space="preserve"> were achieved</w:t>
      </w:r>
      <w:r w:rsidR="004E5586" w:rsidRPr="00640417">
        <w:rPr>
          <w:rFonts w:eastAsia="Calibri"/>
          <w:color w:val="000000"/>
          <w:lang w:val="en-GB"/>
        </w:rPr>
        <w:t>. The process of melting to slab casting t</w:t>
      </w:r>
      <w:r w:rsidR="00E70897">
        <w:rPr>
          <w:rFonts w:eastAsia="Calibri"/>
          <w:color w:val="000000"/>
          <w:lang w:val="en-GB"/>
        </w:rPr>
        <w:t>ook</w:t>
      </w:r>
      <w:r w:rsidR="004E5586" w:rsidRPr="00640417">
        <w:rPr>
          <w:rFonts w:eastAsia="Calibri"/>
          <w:color w:val="000000"/>
          <w:lang w:val="en-GB"/>
        </w:rPr>
        <w:t xml:space="preserve"> one hour. Up to the slab</w:t>
      </w:r>
      <w:r w:rsidR="00E70897">
        <w:rPr>
          <w:rFonts w:eastAsia="Calibri"/>
          <w:color w:val="000000"/>
          <w:lang w:val="en-GB"/>
        </w:rPr>
        <w:t>-</w:t>
      </w:r>
      <w:r w:rsidR="004E5586" w:rsidRPr="00640417">
        <w:rPr>
          <w:rFonts w:eastAsia="Calibri"/>
          <w:color w:val="000000"/>
          <w:lang w:val="en-GB"/>
        </w:rPr>
        <w:t>casting stage, the process followed was “make to stock</w:t>
      </w:r>
      <w:r w:rsidR="00E70897">
        <w:rPr>
          <w:rFonts w:eastAsia="Calibri"/>
          <w:color w:val="000000"/>
          <w:lang w:val="en-GB"/>
        </w:rPr>
        <w:t>.”</w:t>
      </w:r>
      <w:r w:rsidR="004E5586" w:rsidRPr="00640417">
        <w:rPr>
          <w:rFonts w:eastAsia="Calibri"/>
          <w:color w:val="000000"/>
          <w:lang w:val="en-GB"/>
        </w:rPr>
        <w:t xml:space="preserve"> </w:t>
      </w:r>
      <w:r w:rsidR="00E70897">
        <w:rPr>
          <w:rFonts w:eastAsia="Calibri"/>
          <w:color w:val="000000"/>
          <w:lang w:val="en-GB"/>
        </w:rPr>
        <w:t>B</w:t>
      </w:r>
      <w:r w:rsidR="004E5586" w:rsidRPr="00640417">
        <w:rPr>
          <w:rFonts w:eastAsia="Calibri"/>
          <w:color w:val="000000"/>
          <w:lang w:val="en-GB"/>
        </w:rPr>
        <w:t xml:space="preserve">eyond that, the process was “make to order.” </w:t>
      </w:r>
    </w:p>
    <w:p w14:paraId="6BE427E0" w14:textId="77777777" w:rsidR="00E70897" w:rsidRDefault="00E70897" w:rsidP="004E5586">
      <w:pPr>
        <w:pStyle w:val="BodyTextMain"/>
        <w:rPr>
          <w:rFonts w:eastAsia="Calibri"/>
          <w:color w:val="000000"/>
          <w:lang w:val="en-GB"/>
        </w:rPr>
      </w:pPr>
    </w:p>
    <w:p w14:paraId="5CC0EC64" w14:textId="3F961FFA" w:rsidR="004E5586" w:rsidRPr="00640417" w:rsidRDefault="004E5586" w:rsidP="004E5586">
      <w:pPr>
        <w:pStyle w:val="BodyTextMain"/>
        <w:rPr>
          <w:rFonts w:eastAsia="Calibri"/>
          <w:color w:val="000000"/>
          <w:lang w:val="en-GB"/>
        </w:rPr>
      </w:pPr>
      <w:r w:rsidRPr="00640417">
        <w:rPr>
          <w:rFonts w:eastAsia="Calibri"/>
          <w:color w:val="000000"/>
          <w:lang w:val="en-GB"/>
        </w:rPr>
        <w:t>Since all the raw material used in steelmaking was imported from different countries, there was always a need for an efficient supply chain. Scrap, precious metals, and refractories were not easily available</w:t>
      </w:r>
      <w:r w:rsidR="00E70897">
        <w:rPr>
          <w:rFonts w:eastAsia="Calibri"/>
          <w:color w:val="000000"/>
          <w:lang w:val="en-GB"/>
        </w:rPr>
        <w:t>,</w:t>
      </w:r>
      <w:r w:rsidRPr="00640417">
        <w:rPr>
          <w:rFonts w:eastAsia="Calibri"/>
          <w:color w:val="000000"/>
          <w:lang w:val="en-GB"/>
        </w:rPr>
        <w:t xml:space="preserve"> and lead time for the supply fluctuated from 1</w:t>
      </w:r>
      <w:r w:rsidR="00E70897">
        <w:rPr>
          <w:rFonts w:eastAsia="Calibri"/>
          <w:color w:val="000000"/>
          <w:lang w:val="en-GB"/>
        </w:rPr>
        <w:t>2</w:t>
      </w:r>
      <w:r w:rsidRPr="00640417">
        <w:rPr>
          <w:rFonts w:eastAsia="Calibri"/>
          <w:color w:val="000000"/>
          <w:lang w:val="en-GB"/>
        </w:rPr>
        <w:t xml:space="preserve"> to 20 weeks</w:t>
      </w:r>
      <w:r w:rsidR="00016561">
        <w:rPr>
          <w:rFonts w:eastAsia="Calibri"/>
          <w:color w:val="000000"/>
          <w:lang w:val="en-GB"/>
        </w:rPr>
        <w:t xml:space="preserve"> (</w:t>
      </w:r>
      <w:r w:rsidR="00E70897">
        <w:rPr>
          <w:rFonts w:eastAsia="Calibri"/>
          <w:color w:val="000000"/>
          <w:lang w:val="en-GB"/>
        </w:rPr>
        <w:t>s</w:t>
      </w:r>
      <w:r w:rsidR="00016561">
        <w:rPr>
          <w:rFonts w:eastAsia="Calibri"/>
          <w:color w:val="000000"/>
          <w:lang w:val="en-GB"/>
        </w:rPr>
        <w:t>ee Exhibit</w:t>
      </w:r>
      <w:r w:rsidR="003A08A3">
        <w:rPr>
          <w:rFonts w:eastAsia="Calibri"/>
          <w:color w:val="000000"/>
          <w:lang w:val="en-GB"/>
        </w:rPr>
        <w:t xml:space="preserve"> 2</w:t>
      </w:r>
      <w:r w:rsidR="00016561">
        <w:rPr>
          <w:rFonts w:eastAsia="Calibri"/>
          <w:color w:val="000000"/>
          <w:lang w:val="en-GB"/>
        </w:rPr>
        <w:t>)</w:t>
      </w:r>
      <w:r w:rsidRPr="00640417">
        <w:rPr>
          <w:rFonts w:eastAsia="Calibri"/>
          <w:color w:val="000000"/>
          <w:lang w:val="en-GB"/>
        </w:rPr>
        <w:t>. The company maintain</w:t>
      </w:r>
      <w:r w:rsidR="00017EF0">
        <w:rPr>
          <w:rFonts w:eastAsia="Calibri"/>
          <w:color w:val="000000"/>
          <w:lang w:val="en-GB"/>
        </w:rPr>
        <w:t>ed</w:t>
      </w:r>
      <w:r w:rsidRPr="00640417">
        <w:rPr>
          <w:rFonts w:eastAsia="Calibri"/>
          <w:color w:val="000000"/>
          <w:lang w:val="en-GB"/>
        </w:rPr>
        <w:t xml:space="preserve"> a surplus of raw materials to avoid any opportunity loss due to stock</w:t>
      </w:r>
      <w:r w:rsidR="00204257">
        <w:rPr>
          <w:rFonts w:eastAsia="Calibri"/>
          <w:color w:val="000000"/>
          <w:lang w:val="en-GB"/>
        </w:rPr>
        <w:t>-</w:t>
      </w:r>
      <w:r w:rsidRPr="00640417">
        <w:rPr>
          <w:rFonts w:eastAsia="Calibri"/>
          <w:color w:val="000000"/>
          <w:lang w:val="en-GB"/>
        </w:rPr>
        <w:t>out situations. Since all the metal prices were governed by the London Metal Exchange, the variability of inventory costs was high.</w:t>
      </w:r>
    </w:p>
    <w:p w14:paraId="7039A08D" w14:textId="77777777" w:rsidR="004E5586" w:rsidRPr="00640417" w:rsidRDefault="004E5586" w:rsidP="004E5586">
      <w:pPr>
        <w:pStyle w:val="BodyTextMain"/>
        <w:rPr>
          <w:rFonts w:eastAsia="Calibri"/>
          <w:color w:val="000000"/>
          <w:lang w:val="en-GB"/>
        </w:rPr>
      </w:pPr>
    </w:p>
    <w:p w14:paraId="6DD13476" w14:textId="77777777" w:rsidR="004E5586" w:rsidRPr="00640417" w:rsidRDefault="004E5586" w:rsidP="004E5586">
      <w:pPr>
        <w:pStyle w:val="BodyTextMain"/>
        <w:rPr>
          <w:rFonts w:eastAsia="Calibri"/>
          <w:color w:val="000000"/>
          <w:lang w:val="en-GB"/>
        </w:rPr>
      </w:pPr>
    </w:p>
    <w:p w14:paraId="0DD67ACC" w14:textId="77777777" w:rsidR="004E5586" w:rsidRPr="00A03932" w:rsidRDefault="004E5586" w:rsidP="004E5586">
      <w:pPr>
        <w:pStyle w:val="Casehead2"/>
        <w:rPr>
          <w:caps/>
          <w:lang w:val="en-GB"/>
        </w:rPr>
      </w:pPr>
      <w:r w:rsidRPr="00A03932">
        <w:rPr>
          <w:caps/>
          <w:lang w:val="en-GB"/>
        </w:rPr>
        <w:t>New Horizon</w:t>
      </w:r>
    </w:p>
    <w:p w14:paraId="7831952F" w14:textId="77777777" w:rsidR="004E5586" w:rsidRPr="00640417" w:rsidRDefault="004E5586" w:rsidP="004E5586">
      <w:pPr>
        <w:pStyle w:val="BodyTextMain"/>
        <w:rPr>
          <w:rFonts w:eastAsia="Calibri"/>
          <w:color w:val="000000"/>
          <w:lang w:val="en-GB"/>
        </w:rPr>
      </w:pPr>
    </w:p>
    <w:p w14:paraId="21352B4E" w14:textId="6912AB81" w:rsidR="004E5586" w:rsidRPr="00801648" w:rsidRDefault="004E5586" w:rsidP="004E5586">
      <w:pPr>
        <w:pStyle w:val="BodyTextMain"/>
        <w:rPr>
          <w:rFonts w:eastAsia="Calibri"/>
          <w:color w:val="000000"/>
          <w:spacing w:val="-2"/>
          <w:kern w:val="22"/>
          <w:lang w:val="en-GB"/>
        </w:rPr>
      </w:pPr>
      <w:r w:rsidRPr="00801648">
        <w:rPr>
          <w:rFonts w:eastAsia="Calibri"/>
          <w:color w:val="000000"/>
          <w:spacing w:val="-2"/>
          <w:kern w:val="22"/>
          <w:lang w:val="en-GB"/>
        </w:rPr>
        <w:t xml:space="preserve">To explore new markets, </w:t>
      </w:r>
      <w:proofErr w:type="spellStart"/>
      <w:r w:rsidR="008D2BD1">
        <w:rPr>
          <w:rFonts w:eastAsia="Calibri"/>
          <w:color w:val="000000"/>
          <w:spacing w:val="-2"/>
          <w:kern w:val="22"/>
          <w:lang w:val="en-GB"/>
        </w:rPr>
        <w:t>Bartos</w:t>
      </w:r>
      <w:proofErr w:type="spellEnd"/>
      <w:r w:rsidR="008D2BD1">
        <w:rPr>
          <w:rFonts w:eastAsia="Calibri"/>
          <w:color w:val="000000"/>
          <w:spacing w:val="-2"/>
          <w:kern w:val="22"/>
          <w:lang w:val="en-GB"/>
        </w:rPr>
        <w:t xml:space="preserve"> hired a </w:t>
      </w:r>
      <w:r w:rsidRPr="00801648">
        <w:rPr>
          <w:rFonts w:eastAsia="Calibri"/>
          <w:color w:val="000000"/>
          <w:spacing w:val="-2"/>
          <w:kern w:val="22"/>
          <w:lang w:val="en-GB"/>
        </w:rPr>
        <w:t>marketing expert who worked close</w:t>
      </w:r>
      <w:r w:rsidR="00204257">
        <w:rPr>
          <w:rFonts w:eastAsia="Calibri"/>
          <w:color w:val="000000"/>
          <w:spacing w:val="-2"/>
          <w:kern w:val="22"/>
          <w:lang w:val="en-GB"/>
        </w:rPr>
        <w:t>ly</w:t>
      </w:r>
      <w:r w:rsidRPr="00801648">
        <w:rPr>
          <w:rFonts w:eastAsia="Calibri"/>
          <w:color w:val="000000"/>
          <w:spacing w:val="-2"/>
          <w:kern w:val="22"/>
          <w:lang w:val="en-GB"/>
        </w:rPr>
        <w:t xml:space="preserve"> with the R&amp;D team.</w:t>
      </w:r>
      <w:r w:rsidR="00166E8C" w:rsidRPr="00801648">
        <w:rPr>
          <w:rFonts w:eastAsia="Calibri"/>
          <w:color w:val="000000"/>
          <w:spacing w:val="-2"/>
          <w:kern w:val="22"/>
          <w:lang w:val="en-GB"/>
        </w:rPr>
        <w:t xml:space="preserve"> </w:t>
      </w:r>
      <w:r w:rsidRPr="00801648">
        <w:rPr>
          <w:rFonts w:eastAsia="Calibri"/>
          <w:color w:val="000000"/>
          <w:spacing w:val="-2"/>
          <w:kern w:val="22"/>
          <w:lang w:val="en-GB"/>
        </w:rPr>
        <w:t xml:space="preserve">Vijay started calling a monthly meeting with all the department heads to ensure that all departments were functioning in line with the company vision. He also attended a weekly meeting—called </w:t>
      </w:r>
      <w:r w:rsidR="002340CF" w:rsidRPr="00801648">
        <w:rPr>
          <w:rFonts w:eastAsia="Calibri"/>
          <w:color w:val="000000"/>
          <w:spacing w:val="-2"/>
          <w:kern w:val="22"/>
          <w:lang w:val="en-GB"/>
        </w:rPr>
        <w:t>the sales, marketing, and operations</w:t>
      </w:r>
      <w:r w:rsidRPr="00801648">
        <w:rPr>
          <w:rFonts w:eastAsia="Calibri"/>
          <w:color w:val="000000"/>
          <w:spacing w:val="-2"/>
          <w:kern w:val="22"/>
          <w:lang w:val="en-GB"/>
        </w:rPr>
        <w:t xml:space="preserve"> meeting—with the sales, marketing, and operations head to pay particular attention to the company’s customers. He appointed a renowned scientist as the head of R&amp;D to put more emphasis on innovation. The R&amp;D team was able to patent new stainless steel grades. With support from the R&amp;D team, the marketing team penetrated into new profitable segments.</w:t>
      </w:r>
    </w:p>
    <w:p w14:paraId="0FCB134D" w14:textId="77777777" w:rsidR="004E5586" w:rsidRPr="001D1405" w:rsidRDefault="004E5586" w:rsidP="004E5586">
      <w:pPr>
        <w:pStyle w:val="BodyTextMain"/>
        <w:rPr>
          <w:rFonts w:eastAsia="Calibri"/>
          <w:sz w:val="18"/>
          <w:szCs w:val="18"/>
          <w:lang w:val="en-GB"/>
        </w:rPr>
      </w:pPr>
    </w:p>
    <w:p w14:paraId="7CB01AC7" w14:textId="4D199B63" w:rsidR="004E5586" w:rsidRPr="00640417" w:rsidRDefault="004E5586" w:rsidP="00640417">
      <w:pPr>
        <w:pStyle w:val="BodyTextMain"/>
        <w:rPr>
          <w:rFonts w:eastAsia="Calibri"/>
          <w:lang w:val="en-GB"/>
        </w:rPr>
      </w:pPr>
      <w:r w:rsidRPr="00640417">
        <w:rPr>
          <w:rFonts w:eastAsia="Calibri"/>
          <w:lang w:val="en-GB"/>
        </w:rPr>
        <w:t>In one of the monthly review meetings,</w:t>
      </w:r>
      <w:r w:rsidR="00166E8C" w:rsidRPr="00640417">
        <w:rPr>
          <w:rFonts w:eastAsia="Calibri"/>
          <w:lang w:val="en-GB"/>
        </w:rPr>
        <w:t xml:space="preserve"> </w:t>
      </w:r>
      <w:r w:rsidRPr="00640417">
        <w:rPr>
          <w:rFonts w:eastAsia="Calibri"/>
          <w:lang w:val="en-GB"/>
        </w:rPr>
        <w:t>Vijay observed that in the preceding six months</w:t>
      </w:r>
      <w:r w:rsidR="0023335B">
        <w:rPr>
          <w:rFonts w:eastAsia="Calibri"/>
          <w:lang w:val="en-GB"/>
        </w:rPr>
        <w:t xml:space="preserve"> </w:t>
      </w:r>
      <w:r w:rsidRPr="00640417">
        <w:rPr>
          <w:rFonts w:eastAsia="Calibri"/>
          <w:lang w:val="en-GB"/>
        </w:rPr>
        <w:t xml:space="preserve">customer complaints about late delivery had quadrupled. Such issues </w:t>
      </w:r>
      <w:r w:rsidR="000D3976">
        <w:rPr>
          <w:rFonts w:eastAsia="Calibri"/>
          <w:lang w:val="en-GB"/>
        </w:rPr>
        <w:t>had been</w:t>
      </w:r>
      <w:r w:rsidRPr="00640417">
        <w:rPr>
          <w:rFonts w:eastAsia="Calibri"/>
          <w:lang w:val="en-GB"/>
        </w:rPr>
        <w:t xml:space="preserve"> there in the past too, but the sales force </w:t>
      </w:r>
      <w:r w:rsidR="004516EB">
        <w:rPr>
          <w:rFonts w:eastAsia="Calibri"/>
          <w:lang w:val="en-GB"/>
        </w:rPr>
        <w:t>had been</w:t>
      </w:r>
      <w:r w:rsidRPr="00640417">
        <w:rPr>
          <w:rFonts w:eastAsia="Calibri"/>
          <w:lang w:val="en-GB"/>
        </w:rPr>
        <w:t xml:space="preserve"> able to manage such situations.</w:t>
      </w:r>
      <w:r w:rsidR="00166E8C" w:rsidRPr="00640417">
        <w:rPr>
          <w:rFonts w:eastAsia="Calibri"/>
          <w:lang w:val="en-GB"/>
        </w:rPr>
        <w:t xml:space="preserve"> </w:t>
      </w:r>
      <w:r w:rsidRPr="00640417">
        <w:rPr>
          <w:rFonts w:eastAsia="Calibri"/>
          <w:lang w:val="en-GB"/>
        </w:rPr>
        <w:t xml:space="preserve">Ramesh </w:t>
      </w:r>
      <w:proofErr w:type="spellStart"/>
      <w:r w:rsidRPr="00640417">
        <w:rPr>
          <w:rFonts w:eastAsia="Calibri"/>
          <w:lang w:val="en-GB"/>
        </w:rPr>
        <w:t>Kashyap</w:t>
      </w:r>
      <w:proofErr w:type="spellEnd"/>
      <w:r w:rsidRPr="00640417">
        <w:rPr>
          <w:rFonts w:eastAsia="Calibri"/>
          <w:lang w:val="en-GB"/>
        </w:rPr>
        <w:t xml:space="preserve">, </w:t>
      </w:r>
      <w:r w:rsidR="0023335B">
        <w:rPr>
          <w:rFonts w:eastAsia="Calibri"/>
          <w:lang w:val="en-GB"/>
        </w:rPr>
        <w:t>c</w:t>
      </w:r>
      <w:r w:rsidRPr="00640417">
        <w:rPr>
          <w:rFonts w:eastAsia="Calibri"/>
          <w:lang w:val="en-GB"/>
        </w:rPr>
        <w:t xml:space="preserve">hief </w:t>
      </w:r>
      <w:r w:rsidR="0023335B">
        <w:rPr>
          <w:rFonts w:eastAsia="Calibri"/>
          <w:lang w:val="en-GB"/>
        </w:rPr>
        <w:t>m</w:t>
      </w:r>
      <w:r w:rsidRPr="00640417">
        <w:rPr>
          <w:rFonts w:eastAsia="Calibri"/>
          <w:lang w:val="en-GB"/>
        </w:rPr>
        <w:t xml:space="preserve">arketing </w:t>
      </w:r>
      <w:r w:rsidR="0023335B">
        <w:rPr>
          <w:rFonts w:eastAsia="Calibri"/>
          <w:lang w:val="en-GB"/>
        </w:rPr>
        <w:t>o</w:t>
      </w:r>
      <w:r w:rsidRPr="00640417">
        <w:rPr>
          <w:rFonts w:eastAsia="Calibri"/>
          <w:lang w:val="en-GB"/>
        </w:rPr>
        <w:t xml:space="preserve">fficer, explained that the lead time for delivery of a generic stainless steel coil or sheet was four weeks, but the company was so overbooked that it could not cater to all customers within the agreed delivery time. Frequent breakdowns in the plant coupled with supply chain issues further aggravated the problem of </w:t>
      </w:r>
      <w:r w:rsidR="00B9558E">
        <w:rPr>
          <w:rFonts w:eastAsia="Calibri"/>
          <w:lang w:val="en-GB"/>
        </w:rPr>
        <w:t>not meeting</w:t>
      </w:r>
      <w:r w:rsidRPr="00640417">
        <w:rPr>
          <w:rFonts w:eastAsia="Calibri"/>
          <w:lang w:val="en-GB"/>
        </w:rPr>
        <w:t xml:space="preserve"> delivery dates on a daily basis. According to</w:t>
      </w:r>
      <w:r w:rsidR="00EB44D7">
        <w:rPr>
          <w:rFonts w:eastAsia="Calibri"/>
          <w:lang w:val="en-GB"/>
        </w:rPr>
        <w:t xml:space="preserve"> </w:t>
      </w:r>
      <w:proofErr w:type="spellStart"/>
      <w:r w:rsidR="00EB44D7">
        <w:rPr>
          <w:rFonts w:eastAsia="Calibri"/>
          <w:lang w:val="en-GB"/>
        </w:rPr>
        <w:t>Kashyap</w:t>
      </w:r>
      <w:proofErr w:type="spellEnd"/>
      <w:r w:rsidRPr="00640417">
        <w:rPr>
          <w:rFonts w:eastAsia="Calibri"/>
          <w:lang w:val="en-GB"/>
        </w:rPr>
        <w:t xml:space="preserve">, the Pune plant capacity was 0.6 </w:t>
      </w:r>
      <w:r w:rsidR="000D3976">
        <w:rPr>
          <w:rFonts w:eastAsia="Calibri"/>
          <w:lang w:val="en-GB"/>
        </w:rPr>
        <w:t>m</w:t>
      </w:r>
      <w:r w:rsidR="00854168">
        <w:rPr>
          <w:rFonts w:eastAsia="Calibri"/>
          <w:lang w:val="en-GB"/>
        </w:rPr>
        <w:t>illion</w:t>
      </w:r>
      <w:r w:rsidR="00854168" w:rsidRPr="00640417">
        <w:rPr>
          <w:rFonts w:eastAsia="Calibri"/>
          <w:lang w:val="en-GB"/>
        </w:rPr>
        <w:t xml:space="preserve"> </w:t>
      </w:r>
      <w:r w:rsidR="000D3976">
        <w:rPr>
          <w:rFonts w:eastAsia="Calibri"/>
          <w:lang w:val="en-GB"/>
        </w:rPr>
        <w:t>t</w:t>
      </w:r>
      <w:r w:rsidR="00640417" w:rsidRPr="00640417">
        <w:rPr>
          <w:rFonts w:eastAsia="Calibri"/>
          <w:lang w:val="en-GB"/>
        </w:rPr>
        <w:t>on</w:t>
      </w:r>
      <w:r w:rsidR="00854168">
        <w:rPr>
          <w:rFonts w:eastAsia="Calibri"/>
          <w:lang w:val="en-GB"/>
        </w:rPr>
        <w:t>ne</w:t>
      </w:r>
      <w:r w:rsidR="00640417" w:rsidRPr="00640417">
        <w:rPr>
          <w:rFonts w:eastAsia="Calibri"/>
          <w:lang w:val="en-GB"/>
        </w:rPr>
        <w:t xml:space="preserve">s </w:t>
      </w:r>
      <w:r w:rsidR="000D3976">
        <w:rPr>
          <w:rFonts w:eastAsia="Calibri"/>
          <w:lang w:val="en-GB"/>
        </w:rPr>
        <w:t>p</w:t>
      </w:r>
      <w:r w:rsidR="00640417" w:rsidRPr="00640417">
        <w:rPr>
          <w:rFonts w:eastAsia="Calibri"/>
          <w:lang w:val="en-GB"/>
        </w:rPr>
        <w:t xml:space="preserve">er </w:t>
      </w:r>
      <w:r w:rsidR="000D3976">
        <w:rPr>
          <w:rFonts w:eastAsia="Calibri"/>
          <w:lang w:val="en-GB"/>
        </w:rPr>
        <w:t>a</w:t>
      </w:r>
      <w:r w:rsidR="00640417" w:rsidRPr="00640417">
        <w:rPr>
          <w:rFonts w:eastAsia="Calibri"/>
          <w:lang w:val="en-GB"/>
        </w:rPr>
        <w:t>nnum (</w:t>
      </w:r>
      <w:r w:rsidRPr="00640417">
        <w:rPr>
          <w:rFonts w:eastAsia="Calibri"/>
          <w:lang w:val="en-GB"/>
        </w:rPr>
        <w:t>MTPA</w:t>
      </w:r>
      <w:r w:rsidR="00BF7D2C">
        <w:rPr>
          <w:rFonts w:eastAsia="Calibri"/>
          <w:lang w:val="en-GB"/>
        </w:rPr>
        <w:t>; 1</w:t>
      </w:r>
      <w:r w:rsidR="000D3976">
        <w:rPr>
          <w:rFonts w:eastAsia="Calibri"/>
          <w:lang w:val="en-GB"/>
        </w:rPr>
        <w:t xml:space="preserve"> t</w:t>
      </w:r>
      <w:r w:rsidR="00BF7D2C">
        <w:rPr>
          <w:rFonts w:eastAsia="Calibri"/>
          <w:lang w:val="en-GB"/>
        </w:rPr>
        <w:t>onne = 1</w:t>
      </w:r>
      <w:r w:rsidR="00532D2C">
        <w:rPr>
          <w:rFonts w:eastAsia="Calibri"/>
          <w:lang w:val="en-GB"/>
        </w:rPr>
        <w:t>,</w:t>
      </w:r>
      <w:r w:rsidR="00BF7D2C">
        <w:rPr>
          <w:rFonts w:eastAsia="Calibri"/>
          <w:lang w:val="en-GB"/>
        </w:rPr>
        <w:t xml:space="preserve">000 </w:t>
      </w:r>
      <w:r w:rsidR="000D3976">
        <w:rPr>
          <w:rFonts w:eastAsia="Calibri"/>
          <w:lang w:val="en-GB"/>
        </w:rPr>
        <w:t>k</w:t>
      </w:r>
      <w:r w:rsidR="00BF7D2C">
        <w:rPr>
          <w:rFonts w:eastAsia="Calibri"/>
          <w:lang w:val="en-GB"/>
        </w:rPr>
        <w:t>ilogram</w:t>
      </w:r>
      <w:r w:rsidR="000D3976">
        <w:rPr>
          <w:rFonts w:eastAsia="Calibri"/>
          <w:lang w:val="en-GB"/>
        </w:rPr>
        <w:t>s</w:t>
      </w:r>
      <w:r w:rsidR="00640417" w:rsidRPr="00640417">
        <w:rPr>
          <w:rFonts w:eastAsia="Calibri"/>
          <w:lang w:val="en-GB"/>
        </w:rPr>
        <w:t>)</w:t>
      </w:r>
      <w:r w:rsidRPr="00640417">
        <w:rPr>
          <w:rFonts w:eastAsia="Calibri"/>
          <w:lang w:val="en-GB"/>
        </w:rPr>
        <w:t>, but the current demand was more than 1</w:t>
      </w:r>
      <w:r w:rsidR="00EB44D7">
        <w:rPr>
          <w:rFonts w:eastAsia="Calibri"/>
          <w:lang w:val="en-GB"/>
        </w:rPr>
        <w:t>.0</w:t>
      </w:r>
      <w:r w:rsidRPr="00640417">
        <w:rPr>
          <w:rFonts w:eastAsia="Calibri"/>
          <w:lang w:val="en-GB"/>
        </w:rPr>
        <w:t xml:space="preserve"> MTPA. The market was expected to reach 1.5 MTPA in the next five years. To meet the growing demand, </w:t>
      </w:r>
      <w:proofErr w:type="spellStart"/>
      <w:r w:rsidR="00A96363">
        <w:rPr>
          <w:rFonts w:eastAsia="Calibri"/>
          <w:lang w:val="en-GB"/>
        </w:rPr>
        <w:t>Bartos</w:t>
      </w:r>
      <w:proofErr w:type="spellEnd"/>
      <w:r w:rsidR="00D71DE7">
        <w:rPr>
          <w:rFonts w:eastAsia="Calibri"/>
          <w:lang w:val="en-GB"/>
        </w:rPr>
        <w:t xml:space="preserve"> </w:t>
      </w:r>
      <w:r w:rsidRPr="00640417">
        <w:rPr>
          <w:rFonts w:eastAsia="Calibri"/>
          <w:lang w:val="en-GB"/>
        </w:rPr>
        <w:t xml:space="preserve">needed a robust supply chain with minimum delivery lead time. </w:t>
      </w:r>
      <w:proofErr w:type="spellStart"/>
      <w:r w:rsidR="00B9558E">
        <w:rPr>
          <w:rFonts w:eastAsia="Calibri"/>
          <w:lang w:val="en-GB"/>
        </w:rPr>
        <w:t>Kashyap</w:t>
      </w:r>
      <w:proofErr w:type="spellEnd"/>
      <w:r w:rsidRPr="00640417">
        <w:rPr>
          <w:rFonts w:eastAsia="Calibri"/>
          <w:lang w:val="en-GB"/>
        </w:rPr>
        <w:t xml:space="preserve"> also explained that due to </w:t>
      </w:r>
      <w:r w:rsidRPr="00CC1B96">
        <w:rPr>
          <w:rFonts w:eastAsia="Calibri"/>
          <w:color w:val="000000"/>
          <w:lang w:val="en-GB"/>
        </w:rPr>
        <w:t>delivery</w:t>
      </w:r>
      <w:r w:rsidRPr="00640417">
        <w:rPr>
          <w:rFonts w:eastAsia="Calibri"/>
          <w:lang w:val="en-GB"/>
        </w:rPr>
        <w:t xml:space="preserve"> failures, the sales force was having a hard time facing customers.</w:t>
      </w:r>
    </w:p>
    <w:p w14:paraId="0B005223" w14:textId="77777777" w:rsidR="004E5586" w:rsidRPr="001D1405" w:rsidRDefault="004E5586" w:rsidP="004E5586">
      <w:pPr>
        <w:pStyle w:val="BodyTextMain"/>
        <w:rPr>
          <w:rFonts w:eastAsia="Calibri"/>
          <w:color w:val="000000"/>
          <w:sz w:val="18"/>
          <w:szCs w:val="18"/>
          <w:lang w:val="en-GB"/>
        </w:rPr>
      </w:pPr>
    </w:p>
    <w:p w14:paraId="265BB659" w14:textId="6A6B113C" w:rsidR="004E5586" w:rsidRPr="00640417" w:rsidRDefault="004E5586" w:rsidP="004E5586">
      <w:pPr>
        <w:pStyle w:val="BodyTextMain"/>
        <w:rPr>
          <w:rFonts w:eastAsia="Calibri"/>
          <w:color w:val="000000"/>
          <w:lang w:val="en-GB"/>
        </w:rPr>
      </w:pPr>
      <w:r w:rsidRPr="00640417">
        <w:rPr>
          <w:rFonts w:eastAsia="Calibri"/>
          <w:color w:val="000000"/>
          <w:lang w:val="en-GB"/>
        </w:rPr>
        <w:lastRenderedPageBreak/>
        <w:t>In April 2009,</w:t>
      </w:r>
      <w:r w:rsidR="00166E8C" w:rsidRPr="00640417">
        <w:rPr>
          <w:rFonts w:eastAsia="Calibri"/>
          <w:color w:val="000000"/>
          <w:lang w:val="en-GB"/>
        </w:rPr>
        <w:t xml:space="preserve"> </w:t>
      </w:r>
      <w:r w:rsidRPr="00640417">
        <w:rPr>
          <w:rFonts w:eastAsia="Calibri"/>
          <w:color w:val="000000"/>
          <w:lang w:val="en-GB"/>
        </w:rPr>
        <w:t>Vijay discussed his growing concern over customer dissatisfaction</w:t>
      </w:r>
      <w:r w:rsidRPr="00640417" w:rsidDel="005303BE">
        <w:rPr>
          <w:rFonts w:eastAsia="Calibri"/>
          <w:color w:val="000000"/>
          <w:lang w:val="en-GB"/>
        </w:rPr>
        <w:t xml:space="preserve"> </w:t>
      </w:r>
      <w:r w:rsidRPr="00640417">
        <w:rPr>
          <w:rFonts w:eastAsia="Calibri"/>
          <w:color w:val="000000"/>
          <w:lang w:val="en-GB"/>
        </w:rPr>
        <w:t>with</w:t>
      </w:r>
      <w:r w:rsidR="00166E8C" w:rsidRPr="00640417">
        <w:rPr>
          <w:rFonts w:eastAsia="Calibri"/>
          <w:color w:val="000000"/>
          <w:lang w:val="en-GB"/>
        </w:rPr>
        <w:t xml:space="preserve"> </w:t>
      </w:r>
      <w:proofErr w:type="spellStart"/>
      <w:r w:rsidR="00640417" w:rsidRPr="00640417">
        <w:rPr>
          <w:rFonts w:eastAsia="Calibri"/>
          <w:color w:val="000000"/>
          <w:lang w:val="en-GB"/>
        </w:rPr>
        <w:t>Kashyap</w:t>
      </w:r>
      <w:proofErr w:type="spellEnd"/>
      <w:r w:rsidR="00640417" w:rsidRPr="00640417">
        <w:rPr>
          <w:rFonts w:eastAsia="Calibri"/>
          <w:color w:val="000000"/>
          <w:lang w:val="en-GB"/>
        </w:rPr>
        <w:t xml:space="preserve">, </w:t>
      </w:r>
      <w:r w:rsidRPr="00640417">
        <w:rPr>
          <w:rFonts w:eastAsia="Calibri"/>
          <w:color w:val="000000"/>
          <w:lang w:val="en-GB"/>
        </w:rPr>
        <w:t>and</w:t>
      </w:r>
      <w:r w:rsidR="00166E8C" w:rsidRPr="00640417">
        <w:rPr>
          <w:rFonts w:eastAsia="Calibri"/>
          <w:color w:val="000000"/>
          <w:lang w:val="en-GB"/>
        </w:rPr>
        <w:t xml:space="preserve"> </w:t>
      </w:r>
      <w:r w:rsidRPr="00640417">
        <w:rPr>
          <w:rFonts w:eastAsia="Calibri"/>
          <w:color w:val="000000"/>
          <w:lang w:val="en-GB"/>
        </w:rPr>
        <w:t xml:space="preserve">Ravi Verma, </w:t>
      </w:r>
      <w:r w:rsidR="004B7EB9">
        <w:rPr>
          <w:rFonts w:eastAsia="Calibri"/>
          <w:color w:val="000000"/>
          <w:lang w:val="en-GB"/>
        </w:rPr>
        <w:t>c</w:t>
      </w:r>
      <w:r w:rsidRPr="00640417">
        <w:rPr>
          <w:rFonts w:eastAsia="Calibri"/>
          <w:color w:val="000000"/>
          <w:lang w:val="en-GB"/>
        </w:rPr>
        <w:t xml:space="preserve">hief </w:t>
      </w:r>
      <w:r w:rsidR="004B7EB9">
        <w:rPr>
          <w:rFonts w:eastAsia="Calibri"/>
          <w:color w:val="000000"/>
          <w:lang w:val="en-GB"/>
        </w:rPr>
        <w:t>o</w:t>
      </w:r>
      <w:r w:rsidRPr="00640417">
        <w:rPr>
          <w:rFonts w:eastAsia="Calibri"/>
          <w:color w:val="000000"/>
          <w:lang w:val="en-GB"/>
        </w:rPr>
        <w:t xml:space="preserve">perating </w:t>
      </w:r>
      <w:r w:rsidR="004B7EB9">
        <w:rPr>
          <w:rFonts w:eastAsia="Calibri"/>
          <w:color w:val="000000"/>
          <w:lang w:val="en-GB"/>
        </w:rPr>
        <w:t>o</w:t>
      </w:r>
      <w:r w:rsidRPr="00640417">
        <w:rPr>
          <w:rFonts w:eastAsia="Calibri"/>
          <w:color w:val="000000"/>
          <w:lang w:val="en-GB"/>
        </w:rPr>
        <w:t xml:space="preserve">fficer. Complaints about late delivery increased to an all-time high due to operational issues. </w:t>
      </w:r>
      <w:r w:rsidR="00B9558E">
        <w:rPr>
          <w:rFonts w:eastAsia="Calibri"/>
          <w:color w:val="000000"/>
          <w:lang w:val="en-GB"/>
        </w:rPr>
        <w:t>The s</w:t>
      </w:r>
      <w:r w:rsidRPr="00640417">
        <w:rPr>
          <w:rFonts w:eastAsia="Calibri"/>
          <w:color w:val="000000"/>
          <w:lang w:val="en-GB"/>
        </w:rPr>
        <w:t>ales tea</w:t>
      </w:r>
      <w:r w:rsidR="009D6767">
        <w:rPr>
          <w:rFonts w:eastAsia="Calibri"/>
          <w:color w:val="000000"/>
          <w:lang w:val="en-GB"/>
        </w:rPr>
        <w:t>m</w:t>
      </w:r>
      <w:r w:rsidR="00AC5FAB" w:rsidRPr="00640417">
        <w:rPr>
          <w:rFonts w:eastAsia="Calibri"/>
          <w:color w:val="000000"/>
          <w:lang w:val="en-GB"/>
        </w:rPr>
        <w:t xml:space="preserve"> </w:t>
      </w:r>
      <w:r w:rsidRPr="00640417">
        <w:rPr>
          <w:rFonts w:eastAsia="Calibri"/>
          <w:color w:val="000000"/>
          <w:lang w:val="en-GB"/>
        </w:rPr>
        <w:t>w</w:t>
      </w:r>
      <w:r w:rsidR="00B9558E">
        <w:rPr>
          <w:rFonts w:eastAsia="Calibri"/>
          <w:color w:val="000000"/>
          <w:lang w:val="en-GB"/>
        </w:rPr>
        <w:t>as</w:t>
      </w:r>
      <w:r w:rsidRPr="00640417">
        <w:rPr>
          <w:rFonts w:eastAsia="Calibri"/>
          <w:color w:val="000000"/>
          <w:lang w:val="en-GB"/>
        </w:rPr>
        <w:t xml:space="preserve"> getting new commitment dates more frequently</w:t>
      </w:r>
      <w:r w:rsidR="00EE23AC">
        <w:rPr>
          <w:rFonts w:eastAsia="Calibri"/>
          <w:color w:val="000000"/>
          <w:lang w:val="en-GB"/>
        </w:rPr>
        <w:t>; i</w:t>
      </w:r>
      <w:r w:rsidRPr="00640417">
        <w:rPr>
          <w:rFonts w:eastAsia="Calibri"/>
          <w:color w:val="000000"/>
          <w:lang w:val="en-GB"/>
        </w:rPr>
        <w:t xml:space="preserve">n many cases, these new commitment dates could not be </w:t>
      </w:r>
      <w:r w:rsidR="00640417" w:rsidRPr="00640417">
        <w:rPr>
          <w:rFonts w:eastAsia="Calibri"/>
          <w:color w:val="000000"/>
          <w:lang w:val="en-GB"/>
        </w:rPr>
        <w:t>honoured</w:t>
      </w:r>
      <w:r w:rsidRPr="00640417">
        <w:rPr>
          <w:rFonts w:eastAsia="Calibri"/>
          <w:color w:val="000000"/>
          <w:lang w:val="en-GB"/>
        </w:rPr>
        <w:t xml:space="preserve">. </w:t>
      </w:r>
      <w:r w:rsidR="004516EB">
        <w:rPr>
          <w:rFonts w:eastAsia="Calibri"/>
          <w:color w:val="000000"/>
          <w:lang w:val="en-GB"/>
        </w:rPr>
        <w:t>At the same time, s</w:t>
      </w:r>
      <w:r w:rsidRPr="00640417">
        <w:rPr>
          <w:rFonts w:eastAsia="Calibri"/>
          <w:color w:val="000000"/>
          <w:lang w:val="en-GB"/>
        </w:rPr>
        <w:t xml:space="preserve">mall players were expanding their capacity to capture more market share. New retailers had developed and established connections with foreign countries such as China, </w:t>
      </w:r>
      <w:r w:rsidR="00640417">
        <w:rPr>
          <w:rFonts w:eastAsia="Calibri"/>
          <w:color w:val="000000"/>
          <w:lang w:val="en-GB"/>
        </w:rPr>
        <w:t xml:space="preserve">the </w:t>
      </w:r>
      <w:r w:rsidRPr="00640417">
        <w:rPr>
          <w:rFonts w:eastAsia="Calibri"/>
          <w:color w:val="000000"/>
          <w:lang w:val="en-GB"/>
        </w:rPr>
        <w:t>U</w:t>
      </w:r>
      <w:r w:rsidR="00640417">
        <w:rPr>
          <w:rFonts w:eastAsia="Calibri"/>
          <w:color w:val="000000"/>
          <w:lang w:val="en-GB"/>
        </w:rPr>
        <w:t xml:space="preserve">nited </w:t>
      </w:r>
      <w:r w:rsidRPr="00640417">
        <w:rPr>
          <w:rFonts w:eastAsia="Calibri"/>
          <w:color w:val="000000"/>
          <w:lang w:val="en-GB"/>
        </w:rPr>
        <w:t>K</w:t>
      </w:r>
      <w:r w:rsidR="00640417">
        <w:rPr>
          <w:rFonts w:eastAsia="Calibri"/>
          <w:color w:val="000000"/>
          <w:lang w:val="en-GB"/>
        </w:rPr>
        <w:t>ingdom</w:t>
      </w:r>
      <w:r w:rsidRPr="00640417">
        <w:rPr>
          <w:rFonts w:eastAsia="Calibri"/>
          <w:color w:val="000000"/>
          <w:lang w:val="en-GB"/>
        </w:rPr>
        <w:t>, and Malaysia. Import quantity was increasing month by month. China was the biggest supplier of stainless steel, offering</w:t>
      </w:r>
      <w:r w:rsidR="00EE23AC">
        <w:rPr>
          <w:rFonts w:eastAsia="Calibri"/>
          <w:color w:val="000000"/>
          <w:lang w:val="en-GB"/>
        </w:rPr>
        <w:t xml:space="preserve"> the</w:t>
      </w:r>
      <w:r w:rsidRPr="00640417">
        <w:rPr>
          <w:rFonts w:eastAsia="Calibri"/>
          <w:color w:val="000000"/>
          <w:lang w:val="en-GB"/>
        </w:rPr>
        <w:t xml:space="preserve"> lowest rate with quality material. The cautious notion about Chinese products, in general, offered </w:t>
      </w:r>
      <w:proofErr w:type="spellStart"/>
      <w:r w:rsidR="00B9558E">
        <w:rPr>
          <w:rFonts w:eastAsia="Calibri"/>
          <w:color w:val="000000"/>
          <w:lang w:val="en-GB"/>
        </w:rPr>
        <w:t>Bartos</w:t>
      </w:r>
      <w:proofErr w:type="spellEnd"/>
      <w:r w:rsidR="00B9558E">
        <w:rPr>
          <w:rFonts w:eastAsia="Calibri"/>
          <w:color w:val="000000"/>
          <w:lang w:val="en-GB"/>
        </w:rPr>
        <w:t xml:space="preserve"> </w:t>
      </w:r>
      <w:r w:rsidRPr="00640417">
        <w:rPr>
          <w:rFonts w:eastAsia="Calibri"/>
          <w:color w:val="000000"/>
          <w:lang w:val="en-GB"/>
        </w:rPr>
        <w:t>temporary relief.</w:t>
      </w:r>
    </w:p>
    <w:p w14:paraId="276F3F90" w14:textId="77777777" w:rsidR="004E5586" w:rsidRPr="001D1405" w:rsidRDefault="004E5586" w:rsidP="004E5586">
      <w:pPr>
        <w:pStyle w:val="BodyTextMain"/>
        <w:rPr>
          <w:rFonts w:eastAsia="Calibri"/>
          <w:color w:val="000000"/>
          <w:sz w:val="18"/>
          <w:szCs w:val="18"/>
          <w:lang w:val="en-GB"/>
        </w:rPr>
      </w:pPr>
    </w:p>
    <w:p w14:paraId="67E2DA8D" w14:textId="58743781" w:rsidR="004B7EB9" w:rsidRDefault="00EE23AC" w:rsidP="004E5586">
      <w:pPr>
        <w:pStyle w:val="BodyTextMain"/>
        <w:rPr>
          <w:rFonts w:eastAsia="Calibri"/>
          <w:color w:val="000000"/>
          <w:lang w:val="en-GB"/>
        </w:rPr>
      </w:pPr>
      <w:r>
        <w:rPr>
          <w:rFonts w:eastAsia="Calibri"/>
          <w:color w:val="000000"/>
          <w:lang w:val="en-GB"/>
        </w:rPr>
        <w:t>In the next monthly meeting, l</w:t>
      </w:r>
      <w:r w:rsidR="004E5586" w:rsidRPr="00640417">
        <w:rPr>
          <w:rFonts w:eastAsia="Calibri"/>
          <w:color w:val="000000"/>
          <w:lang w:val="en-GB"/>
        </w:rPr>
        <w:t>ooking at the demand forecast data, the current proble</w:t>
      </w:r>
      <w:r w:rsidR="00640417">
        <w:rPr>
          <w:rFonts w:eastAsia="Calibri"/>
          <w:color w:val="000000"/>
          <w:lang w:val="en-GB"/>
        </w:rPr>
        <w:t>m</w:t>
      </w:r>
      <w:r w:rsidR="004E5586" w:rsidRPr="00640417">
        <w:rPr>
          <w:rFonts w:eastAsia="Calibri"/>
          <w:color w:val="000000"/>
          <w:lang w:val="en-GB"/>
        </w:rPr>
        <w:t xml:space="preserve">, and </w:t>
      </w:r>
      <w:proofErr w:type="spellStart"/>
      <w:r>
        <w:rPr>
          <w:rFonts w:eastAsia="Calibri"/>
          <w:color w:val="000000"/>
          <w:lang w:val="en-GB"/>
        </w:rPr>
        <w:t>Bartos’s</w:t>
      </w:r>
      <w:proofErr w:type="spellEnd"/>
      <w:r w:rsidR="004E5586" w:rsidRPr="00640417">
        <w:rPr>
          <w:rFonts w:eastAsia="Calibri"/>
          <w:color w:val="000000"/>
          <w:lang w:val="en-GB"/>
        </w:rPr>
        <w:t xml:space="preserve"> vision</w:t>
      </w:r>
      <w:r>
        <w:rPr>
          <w:rFonts w:eastAsia="Calibri"/>
          <w:color w:val="000000"/>
          <w:lang w:val="en-GB"/>
        </w:rPr>
        <w:t xml:space="preserve"> of</w:t>
      </w:r>
      <w:r w:rsidR="004E5586" w:rsidRPr="00640417">
        <w:rPr>
          <w:rFonts w:eastAsia="Calibri"/>
          <w:color w:val="000000"/>
          <w:lang w:val="en-GB"/>
        </w:rPr>
        <w:t xml:space="preserve"> becom</w:t>
      </w:r>
      <w:r>
        <w:rPr>
          <w:rFonts w:eastAsia="Calibri"/>
          <w:color w:val="000000"/>
          <w:lang w:val="en-GB"/>
        </w:rPr>
        <w:t xml:space="preserve">ing </w:t>
      </w:r>
      <w:r w:rsidR="004E5586" w:rsidRPr="00640417">
        <w:rPr>
          <w:rFonts w:eastAsia="Calibri"/>
          <w:color w:val="000000"/>
          <w:lang w:val="en-GB"/>
        </w:rPr>
        <w:t>a global player,</w:t>
      </w:r>
      <w:r>
        <w:rPr>
          <w:rFonts w:eastAsia="Calibri"/>
          <w:color w:val="000000"/>
          <w:lang w:val="en-GB"/>
        </w:rPr>
        <w:t xml:space="preserve"> </w:t>
      </w:r>
      <w:r w:rsidR="004E5586" w:rsidRPr="00640417">
        <w:rPr>
          <w:rFonts w:eastAsia="Calibri"/>
          <w:color w:val="000000"/>
          <w:lang w:val="en-GB"/>
        </w:rPr>
        <w:t>Vijay put forward the proposal to expand the capacity of the existing plant. The need for expansion was agreed to by everyone, but the department heads were not in favo</w:t>
      </w:r>
      <w:r w:rsidR="00640417">
        <w:rPr>
          <w:rFonts w:eastAsia="Calibri"/>
          <w:color w:val="000000"/>
          <w:lang w:val="en-GB"/>
        </w:rPr>
        <w:t>u</w:t>
      </w:r>
      <w:r w:rsidR="004E5586" w:rsidRPr="00640417">
        <w:rPr>
          <w:rFonts w:eastAsia="Calibri"/>
          <w:color w:val="000000"/>
          <w:lang w:val="en-GB"/>
        </w:rPr>
        <w:t xml:space="preserve">r of increasing the capacity of the current plant. It was decided that the new facility must be an integrated plant. The new facility should be located </w:t>
      </w:r>
      <w:r w:rsidR="00B9558E">
        <w:rPr>
          <w:rFonts w:eastAsia="Calibri"/>
          <w:color w:val="000000"/>
          <w:lang w:val="en-GB"/>
        </w:rPr>
        <w:t>where</w:t>
      </w:r>
      <w:r w:rsidR="004E5586" w:rsidRPr="00640417">
        <w:rPr>
          <w:rFonts w:eastAsia="Calibri"/>
          <w:color w:val="000000"/>
          <w:lang w:val="en-GB"/>
        </w:rPr>
        <w:t xml:space="preserve"> it would have low labo</w:t>
      </w:r>
      <w:r w:rsidR="00640417">
        <w:rPr>
          <w:rFonts w:eastAsia="Calibri"/>
          <w:color w:val="000000"/>
          <w:lang w:val="en-GB"/>
        </w:rPr>
        <w:t>u</w:t>
      </w:r>
      <w:r w:rsidR="004E5586" w:rsidRPr="00640417">
        <w:rPr>
          <w:rFonts w:eastAsia="Calibri"/>
          <w:color w:val="000000"/>
          <w:lang w:val="en-GB"/>
        </w:rPr>
        <w:t>r and land</w:t>
      </w:r>
      <w:r w:rsidR="004516EB">
        <w:rPr>
          <w:rFonts w:eastAsia="Calibri"/>
          <w:color w:val="000000"/>
          <w:lang w:val="en-GB"/>
        </w:rPr>
        <w:t xml:space="preserve"> costs</w:t>
      </w:r>
      <w:r w:rsidR="004E5586" w:rsidRPr="00640417">
        <w:rPr>
          <w:rFonts w:eastAsia="Calibri"/>
          <w:color w:val="000000"/>
          <w:lang w:val="en-GB"/>
        </w:rPr>
        <w:t xml:space="preserve">. The idea behind an integrated plant was to ensure </w:t>
      </w:r>
      <w:r w:rsidR="00B9558E">
        <w:rPr>
          <w:rFonts w:eastAsia="Calibri"/>
          <w:color w:val="000000"/>
          <w:lang w:val="en-GB"/>
        </w:rPr>
        <w:t xml:space="preserve">the </w:t>
      </w:r>
      <w:r w:rsidR="004E5586" w:rsidRPr="00640417">
        <w:rPr>
          <w:rFonts w:eastAsia="Calibri"/>
          <w:color w:val="000000"/>
          <w:lang w:val="en-GB"/>
        </w:rPr>
        <w:t>smooth flow of material without any supply chain issues</w:t>
      </w:r>
      <w:r>
        <w:rPr>
          <w:rFonts w:eastAsia="Calibri"/>
          <w:color w:val="000000"/>
          <w:lang w:val="en-GB"/>
        </w:rPr>
        <w:t>,</w:t>
      </w:r>
      <w:r w:rsidR="004E5586" w:rsidRPr="00640417">
        <w:rPr>
          <w:rFonts w:eastAsia="Calibri"/>
          <w:color w:val="000000"/>
          <w:lang w:val="en-GB"/>
        </w:rPr>
        <w:t xml:space="preserve"> and to minimize processing cost</w:t>
      </w:r>
      <w:r w:rsidR="00161DC1">
        <w:rPr>
          <w:rFonts w:eastAsia="Calibri"/>
          <w:color w:val="000000"/>
          <w:lang w:val="en-GB"/>
        </w:rPr>
        <w:t>s</w:t>
      </w:r>
      <w:r w:rsidR="004E5586" w:rsidRPr="00640417">
        <w:rPr>
          <w:rFonts w:eastAsia="Calibri"/>
          <w:color w:val="000000"/>
          <w:lang w:val="en-GB"/>
        </w:rPr>
        <w:t xml:space="preserve"> and offer low-cost stainless steel </w:t>
      </w:r>
      <w:r w:rsidR="00161DC1">
        <w:rPr>
          <w:rFonts w:eastAsia="Calibri"/>
          <w:color w:val="000000"/>
          <w:lang w:val="en-GB"/>
        </w:rPr>
        <w:t>of</w:t>
      </w:r>
      <w:r w:rsidR="004E5586" w:rsidRPr="00640417">
        <w:rPr>
          <w:rFonts w:eastAsia="Calibri"/>
          <w:color w:val="000000"/>
          <w:lang w:val="en-GB"/>
        </w:rPr>
        <w:t xml:space="preserve"> the highest quality. A core team was set up to take the work ahead. </w:t>
      </w:r>
    </w:p>
    <w:p w14:paraId="3653727B" w14:textId="77777777" w:rsidR="004B7EB9" w:rsidRDefault="004B7EB9" w:rsidP="004E5586">
      <w:pPr>
        <w:pStyle w:val="BodyTextMain"/>
        <w:rPr>
          <w:rFonts w:eastAsia="Calibri"/>
          <w:color w:val="000000"/>
          <w:lang w:val="en-GB"/>
        </w:rPr>
      </w:pPr>
    </w:p>
    <w:p w14:paraId="71E638DF" w14:textId="0C905466" w:rsidR="004E5586" w:rsidRPr="00640417" w:rsidRDefault="004E5586" w:rsidP="004E5586">
      <w:pPr>
        <w:pStyle w:val="BodyTextMain"/>
        <w:rPr>
          <w:rFonts w:eastAsia="Calibri"/>
          <w:color w:val="000000"/>
          <w:lang w:val="en-GB"/>
        </w:rPr>
      </w:pPr>
      <w:r w:rsidRPr="00640417">
        <w:rPr>
          <w:rFonts w:eastAsia="Calibri"/>
          <w:color w:val="000000"/>
          <w:lang w:val="en-GB"/>
        </w:rPr>
        <w:t xml:space="preserve">After a few months, the team put forward two proposals to set up a new plant either at </w:t>
      </w:r>
      <w:proofErr w:type="spellStart"/>
      <w:r w:rsidRPr="00640417">
        <w:rPr>
          <w:rFonts w:eastAsia="Calibri"/>
          <w:color w:val="000000"/>
          <w:lang w:val="en-GB"/>
        </w:rPr>
        <w:t>Bokaro</w:t>
      </w:r>
      <w:proofErr w:type="spellEnd"/>
      <w:r w:rsidRPr="00640417">
        <w:rPr>
          <w:rFonts w:eastAsia="Calibri"/>
          <w:color w:val="000000"/>
          <w:lang w:val="en-GB"/>
        </w:rPr>
        <w:t xml:space="preserve"> (Jharkhand) or </w:t>
      </w:r>
      <w:r w:rsidR="00411CBF">
        <w:rPr>
          <w:rFonts w:eastAsia="Calibri"/>
          <w:color w:val="000000"/>
          <w:lang w:val="en-GB"/>
        </w:rPr>
        <w:t xml:space="preserve">at </w:t>
      </w:r>
      <w:r w:rsidRPr="00640417">
        <w:rPr>
          <w:rFonts w:eastAsia="Calibri"/>
          <w:color w:val="000000"/>
          <w:lang w:val="en-GB"/>
        </w:rPr>
        <w:t xml:space="preserve">Karnataka. The </w:t>
      </w:r>
      <w:r w:rsidR="00EE23AC">
        <w:rPr>
          <w:rFonts w:eastAsia="Calibri"/>
          <w:color w:val="000000"/>
          <w:lang w:val="en-GB"/>
        </w:rPr>
        <w:t>g</w:t>
      </w:r>
      <w:r w:rsidRPr="00640417">
        <w:rPr>
          <w:rFonts w:eastAsia="Calibri"/>
          <w:color w:val="000000"/>
          <w:lang w:val="en-GB"/>
        </w:rPr>
        <w:t xml:space="preserve">overnment of Jharkhand assured </w:t>
      </w:r>
      <w:proofErr w:type="spellStart"/>
      <w:r w:rsidR="00A96363">
        <w:rPr>
          <w:rFonts w:eastAsia="Calibri"/>
          <w:color w:val="000000"/>
          <w:lang w:val="en-GB"/>
        </w:rPr>
        <w:t>Bartos</w:t>
      </w:r>
      <w:proofErr w:type="spellEnd"/>
      <w:r w:rsidR="00D71DE7">
        <w:rPr>
          <w:rFonts w:eastAsia="Calibri"/>
          <w:color w:val="000000"/>
          <w:lang w:val="en-GB"/>
        </w:rPr>
        <w:t xml:space="preserve"> </w:t>
      </w:r>
      <w:r w:rsidRPr="00640417">
        <w:rPr>
          <w:rFonts w:eastAsia="Calibri"/>
          <w:color w:val="000000"/>
          <w:lang w:val="en-GB"/>
        </w:rPr>
        <w:t>that it would provide all necessary facilities required to set up the new facility, including the lease of iron ore mines, which was vital for an integrated plant</w:t>
      </w:r>
      <w:r w:rsidR="00B9558E">
        <w:rPr>
          <w:rFonts w:eastAsia="Calibri"/>
          <w:color w:val="000000"/>
          <w:lang w:val="en-GB"/>
        </w:rPr>
        <w:t xml:space="preserve">. It would also </w:t>
      </w:r>
      <w:r w:rsidRPr="00640417">
        <w:rPr>
          <w:rFonts w:eastAsia="Calibri"/>
          <w:color w:val="000000"/>
          <w:lang w:val="en-GB"/>
        </w:rPr>
        <w:t>declar</w:t>
      </w:r>
      <w:r w:rsidR="00B9558E">
        <w:rPr>
          <w:rFonts w:eastAsia="Calibri"/>
          <w:color w:val="000000"/>
          <w:lang w:val="en-GB"/>
        </w:rPr>
        <w:t>e</w:t>
      </w:r>
      <w:r w:rsidRPr="00640417">
        <w:rPr>
          <w:rFonts w:eastAsia="Calibri"/>
          <w:color w:val="000000"/>
          <w:lang w:val="en-GB"/>
        </w:rPr>
        <w:t xml:space="preserve"> the location a spe</w:t>
      </w:r>
      <w:r w:rsidR="00640417">
        <w:rPr>
          <w:rFonts w:eastAsia="Calibri"/>
          <w:color w:val="000000"/>
          <w:lang w:val="en-GB"/>
        </w:rPr>
        <w:t>cial economic zone (SEZ) for 10</w:t>
      </w:r>
      <w:r w:rsidRPr="00640417">
        <w:rPr>
          <w:rFonts w:eastAsia="Calibri"/>
          <w:color w:val="000000"/>
          <w:lang w:val="en-GB"/>
        </w:rPr>
        <w:t xml:space="preserve"> years. The </w:t>
      </w:r>
      <w:r w:rsidR="00EE23AC">
        <w:rPr>
          <w:rFonts w:eastAsia="Calibri"/>
          <w:color w:val="000000"/>
          <w:lang w:val="en-GB"/>
        </w:rPr>
        <w:t>b</w:t>
      </w:r>
      <w:r w:rsidRPr="00640417">
        <w:rPr>
          <w:rFonts w:eastAsia="Calibri"/>
          <w:color w:val="000000"/>
          <w:lang w:val="en-GB"/>
        </w:rPr>
        <w:t xml:space="preserve">oard of </w:t>
      </w:r>
      <w:r w:rsidR="00EE23AC">
        <w:rPr>
          <w:rFonts w:eastAsia="Calibri"/>
          <w:color w:val="000000"/>
          <w:lang w:val="en-GB"/>
        </w:rPr>
        <w:t>d</w:t>
      </w:r>
      <w:r w:rsidRPr="00640417">
        <w:rPr>
          <w:rFonts w:eastAsia="Calibri"/>
          <w:color w:val="000000"/>
          <w:lang w:val="en-GB"/>
        </w:rPr>
        <w:t>irectors, along with</w:t>
      </w:r>
      <w:r w:rsidR="00166E8C" w:rsidRPr="00640417">
        <w:rPr>
          <w:rFonts w:eastAsia="Calibri"/>
          <w:color w:val="000000"/>
          <w:lang w:val="en-GB"/>
        </w:rPr>
        <w:t xml:space="preserve"> </w:t>
      </w:r>
      <w:r w:rsidRPr="00640417">
        <w:rPr>
          <w:rFonts w:eastAsia="Calibri"/>
          <w:color w:val="000000"/>
          <w:lang w:val="en-GB"/>
        </w:rPr>
        <w:t>Vijay, agreed</w:t>
      </w:r>
      <w:r w:rsidR="00640417">
        <w:rPr>
          <w:rFonts w:eastAsia="Calibri"/>
          <w:color w:val="000000"/>
          <w:lang w:val="en-GB"/>
        </w:rPr>
        <w:t xml:space="preserve"> to set up the plant in </w:t>
      </w:r>
      <w:r w:rsidRPr="00640417">
        <w:rPr>
          <w:rFonts w:eastAsia="Calibri"/>
          <w:color w:val="000000"/>
          <w:lang w:val="en-GB"/>
        </w:rPr>
        <w:t xml:space="preserve">Jharkhand. Subsequently, a memorandum of understanding was signed with the </w:t>
      </w:r>
      <w:r w:rsidR="00EE23AC">
        <w:rPr>
          <w:rFonts w:eastAsia="Calibri"/>
          <w:color w:val="000000"/>
          <w:lang w:val="en-GB"/>
        </w:rPr>
        <w:t>g</w:t>
      </w:r>
      <w:r w:rsidRPr="00640417">
        <w:rPr>
          <w:rFonts w:eastAsia="Calibri"/>
          <w:color w:val="000000"/>
          <w:lang w:val="en-GB"/>
        </w:rPr>
        <w:t>overnment of Jharkhand for leasing mines and declaring the location a SEZ unit.</w:t>
      </w:r>
    </w:p>
    <w:p w14:paraId="2820C0BE" w14:textId="77777777" w:rsidR="004E5586" w:rsidRPr="001D1405" w:rsidRDefault="004E5586" w:rsidP="004E5586">
      <w:pPr>
        <w:pStyle w:val="BodyTextMain"/>
        <w:rPr>
          <w:rFonts w:eastAsia="Calibri"/>
          <w:color w:val="000000"/>
          <w:sz w:val="18"/>
          <w:szCs w:val="18"/>
          <w:lang w:val="en-GB"/>
        </w:rPr>
      </w:pPr>
    </w:p>
    <w:p w14:paraId="0B8F0B13" w14:textId="77777777" w:rsidR="004E5586" w:rsidRPr="001D1405" w:rsidRDefault="004E5586" w:rsidP="004E5586">
      <w:pPr>
        <w:pStyle w:val="BodyTextMain"/>
        <w:rPr>
          <w:rFonts w:eastAsia="Calibri"/>
          <w:color w:val="000000"/>
          <w:sz w:val="18"/>
          <w:szCs w:val="18"/>
          <w:lang w:val="en-GB"/>
        </w:rPr>
      </w:pPr>
    </w:p>
    <w:p w14:paraId="09A88769" w14:textId="180289F9" w:rsidR="004E5586" w:rsidRPr="00640417" w:rsidRDefault="004E5586" w:rsidP="001D1405">
      <w:pPr>
        <w:pStyle w:val="Casehead1"/>
        <w:rPr>
          <w:lang w:val="en-GB"/>
        </w:rPr>
      </w:pPr>
      <w:r w:rsidRPr="00640417">
        <w:rPr>
          <w:lang w:val="en-GB"/>
        </w:rPr>
        <w:t>Strategy</w:t>
      </w:r>
    </w:p>
    <w:p w14:paraId="215F80C4" w14:textId="77777777" w:rsidR="004E5586" w:rsidRPr="001D1405" w:rsidRDefault="004E5586" w:rsidP="001D1405">
      <w:pPr>
        <w:pStyle w:val="BodyTextMain"/>
        <w:rPr>
          <w:rFonts w:eastAsia="Calibri"/>
          <w:color w:val="000000"/>
          <w:sz w:val="18"/>
          <w:szCs w:val="18"/>
          <w:lang w:val="en-GB"/>
        </w:rPr>
      </w:pPr>
    </w:p>
    <w:p w14:paraId="1FD18922" w14:textId="74D5C11F" w:rsidR="008B60EF" w:rsidRPr="00FB58DA" w:rsidRDefault="004E5586" w:rsidP="001D1405">
      <w:pPr>
        <w:pStyle w:val="BodyTextMain"/>
        <w:rPr>
          <w:rFonts w:eastAsia="Calibri"/>
          <w:color w:val="000000"/>
          <w:kern w:val="22"/>
          <w:lang w:val="en-GB"/>
        </w:rPr>
      </w:pPr>
      <w:r w:rsidRPr="00FB58DA">
        <w:rPr>
          <w:rFonts w:eastAsia="Calibri"/>
          <w:color w:val="000000"/>
          <w:kern w:val="22"/>
          <w:lang w:val="en-GB"/>
        </w:rPr>
        <w:t>A three-year plan was made ready for phase-wise development</w:t>
      </w:r>
      <w:r w:rsidR="00EB12C9" w:rsidRPr="00FB58DA">
        <w:rPr>
          <w:rFonts w:eastAsia="Calibri"/>
          <w:color w:val="000000"/>
          <w:kern w:val="22"/>
          <w:lang w:val="en-GB"/>
        </w:rPr>
        <w:t>. I</w:t>
      </w:r>
      <w:r w:rsidRPr="00FB58DA">
        <w:rPr>
          <w:rFonts w:eastAsia="Calibri"/>
          <w:color w:val="000000"/>
          <w:kern w:val="22"/>
          <w:lang w:val="en-GB"/>
        </w:rPr>
        <w:t>t was expected to be completed by 2012. The new plant would have cutting-edge technology</w:t>
      </w:r>
      <w:r w:rsidR="00B9558E" w:rsidRPr="00FB58DA">
        <w:rPr>
          <w:rFonts w:eastAsia="Calibri"/>
          <w:color w:val="000000"/>
          <w:kern w:val="22"/>
          <w:lang w:val="en-GB"/>
        </w:rPr>
        <w:t>—</w:t>
      </w:r>
      <w:r w:rsidRPr="00FB58DA">
        <w:rPr>
          <w:rFonts w:eastAsia="Calibri"/>
          <w:color w:val="000000"/>
          <w:kern w:val="22"/>
          <w:lang w:val="en-GB"/>
        </w:rPr>
        <w:t>a blast furnace (us</w:t>
      </w:r>
      <w:r w:rsidR="008B60EF" w:rsidRPr="00FB58DA">
        <w:rPr>
          <w:rFonts w:eastAsia="Calibri"/>
          <w:color w:val="000000"/>
          <w:kern w:val="22"/>
          <w:lang w:val="en-GB"/>
        </w:rPr>
        <w:t>ing</w:t>
      </w:r>
      <w:r w:rsidRPr="00FB58DA">
        <w:rPr>
          <w:rFonts w:eastAsia="Calibri"/>
          <w:color w:val="000000"/>
          <w:kern w:val="22"/>
          <w:lang w:val="en-GB"/>
        </w:rPr>
        <w:t xml:space="preserve"> iron ore as raw material to make steel) with capacity of 1.8 MTPA, three times the existing plant capacity. For investment, money was borrowed from different banks as a secured loan. </w:t>
      </w:r>
      <w:r w:rsidR="008B60EF" w:rsidRPr="00FB58DA">
        <w:rPr>
          <w:rFonts w:eastAsia="Calibri"/>
          <w:color w:val="000000"/>
          <w:kern w:val="22"/>
          <w:lang w:val="en-GB"/>
        </w:rPr>
        <w:t xml:space="preserve">This </w:t>
      </w:r>
      <w:r w:rsidRPr="00FB58DA">
        <w:rPr>
          <w:rFonts w:eastAsia="Calibri"/>
          <w:color w:val="000000"/>
          <w:kern w:val="22"/>
          <w:lang w:val="en-GB"/>
        </w:rPr>
        <w:t>loan</w:t>
      </w:r>
      <w:r w:rsidR="008B60EF" w:rsidRPr="00FB58DA">
        <w:rPr>
          <w:rFonts w:eastAsia="Calibri"/>
          <w:color w:val="000000"/>
          <w:kern w:val="22"/>
          <w:lang w:val="en-GB"/>
        </w:rPr>
        <w:t xml:space="preserve"> money</w:t>
      </w:r>
      <w:r w:rsidRPr="00FB58DA">
        <w:rPr>
          <w:rFonts w:eastAsia="Calibri"/>
          <w:color w:val="000000"/>
          <w:kern w:val="22"/>
          <w:lang w:val="en-GB"/>
        </w:rPr>
        <w:t xml:space="preserve"> propelled </w:t>
      </w:r>
      <w:r w:rsidR="008B60EF" w:rsidRPr="00FB58DA">
        <w:rPr>
          <w:rFonts w:eastAsia="Calibri"/>
          <w:color w:val="000000"/>
          <w:kern w:val="22"/>
          <w:lang w:val="en-GB"/>
        </w:rPr>
        <w:t xml:space="preserve">the </w:t>
      </w:r>
      <w:r w:rsidRPr="00FB58DA">
        <w:rPr>
          <w:rFonts w:eastAsia="Calibri"/>
          <w:color w:val="000000"/>
          <w:kern w:val="22"/>
          <w:lang w:val="en-GB"/>
        </w:rPr>
        <w:t xml:space="preserve">plant establishment process on many </w:t>
      </w:r>
      <w:r w:rsidR="008B60EF" w:rsidRPr="00FB58DA">
        <w:rPr>
          <w:rFonts w:eastAsia="Calibri"/>
          <w:color w:val="000000"/>
          <w:kern w:val="22"/>
          <w:lang w:val="en-GB"/>
        </w:rPr>
        <w:t xml:space="preserve">parallel </w:t>
      </w:r>
      <w:r w:rsidRPr="00FB58DA">
        <w:rPr>
          <w:rFonts w:eastAsia="Calibri"/>
          <w:color w:val="000000"/>
          <w:kern w:val="22"/>
          <w:lang w:val="en-GB"/>
        </w:rPr>
        <w:t xml:space="preserve">fronts. </w:t>
      </w:r>
    </w:p>
    <w:p w14:paraId="7CAAC170" w14:textId="77777777" w:rsidR="008B60EF" w:rsidRDefault="008B60EF" w:rsidP="001D1405">
      <w:pPr>
        <w:pStyle w:val="BodyTextMain"/>
        <w:rPr>
          <w:rFonts w:eastAsia="Calibri"/>
          <w:color w:val="000000"/>
          <w:spacing w:val="-2"/>
          <w:kern w:val="22"/>
          <w:lang w:val="en-GB"/>
        </w:rPr>
      </w:pPr>
    </w:p>
    <w:p w14:paraId="0FEB01EC" w14:textId="09B6A199" w:rsidR="008B60EF" w:rsidRPr="00FB58DA" w:rsidRDefault="004E5586" w:rsidP="001D1405">
      <w:pPr>
        <w:pStyle w:val="BodyTextMain"/>
        <w:rPr>
          <w:rFonts w:eastAsia="Calibri"/>
          <w:color w:val="000000"/>
          <w:kern w:val="22"/>
          <w:lang w:val="en-GB"/>
        </w:rPr>
      </w:pPr>
      <w:r w:rsidRPr="00FB58DA">
        <w:rPr>
          <w:rFonts w:eastAsia="Calibri"/>
          <w:color w:val="000000"/>
          <w:kern w:val="22"/>
          <w:lang w:val="en-GB"/>
        </w:rPr>
        <w:t xml:space="preserve">In August 2010, the new government of Jharkhand identified </w:t>
      </w:r>
      <w:r w:rsidR="008B60EF" w:rsidRPr="00FB58DA">
        <w:rPr>
          <w:rFonts w:eastAsia="Calibri"/>
          <w:color w:val="000000"/>
          <w:kern w:val="22"/>
          <w:lang w:val="en-GB"/>
        </w:rPr>
        <w:t xml:space="preserve">a </w:t>
      </w:r>
      <w:r w:rsidRPr="00FB58DA">
        <w:rPr>
          <w:rFonts w:eastAsia="Calibri"/>
          <w:color w:val="000000"/>
          <w:kern w:val="22"/>
          <w:lang w:val="en-GB"/>
        </w:rPr>
        <w:t>mining sca</w:t>
      </w:r>
      <w:r w:rsidR="00F1008D" w:rsidRPr="00FB58DA">
        <w:rPr>
          <w:rFonts w:eastAsia="Calibri"/>
          <w:color w:val="000000"/>
          <w:kern w:val="22"/>
          <w:lang w:val="en-GB"/>
        </w:rPr>
        <w:t>m</w:t>
      </w:r>
      <w:r w:rsidR="00AC5FAB" w:rsidRPr="00FB58DA">
        <w:rPr>
          <w:rFonts w:eastAsia="Calibri"/>
          <w:color w:val="000000"/>
          <w:kern w:val="22"/>
          <w:lang w:val="en-GB"/>
        </w:rPr>
        <w:t xml:space="preserve"> </w:t>
      </w:r>
      <w:r w:rsidRPr="00FB58DA">
        <w:rPr>
          <w:rFonts w:eastAsia="Calibri"/>
          <w:color w:val="000000"/>
          <w:kern w:val="22"/>
          <w:lang w:val="en-GB"/>
        </w:rPr>
        <w:t>and put a long-term hold on all mine-leasing</w:t>
      </w:r>
      <w:r w:rsidR="00AC5FAB" w:rsidRPr="00FB58DA">
        <w:rPr>
          <w:rFonts w:eastAsia="Calibri"/>
          <w:color w:val="000000"/>
          <w:kern w:val="22"/>
          <w:lang w:val="en-GB"/>
        </w:rPr>
        <w:t xml:space="preserve"> </w:t>
      </w:r>
      <w:r w:rsidRPr="00FB58DA">
        <w:rPr>
          <w:rFonts w:eastAsia="Calibri"/>
          <w:color w:val="000000"/>
          <w:kern w:val="22"/>
          <w:lang w:val="en-GB"/>
        </w:rPr>
        <w:t xml:space="preserve">in the state. </w:t>
      </w:r>
      <w:proofErr w:type="spellStart"/>
      <w:r w:rsidR="008B60EF" w:rsidRPr="00FB58DA">
        <w:rPr>
          <w:rFonts w:eastAsia="Calibri"/>
          <w:color w:val="000000"/>
          <w:kern w:val="22"/>
          <w:lang w:val="en-GB"/>
        </w:rPr>
        <w:t>Bartos</w:t>
      </w:r>
      <w:proofErr w:type="spellEnd"/>
      <w:r w:rsidR="008B60EF" w:rsidRPr="00FB58DA">
        <w:rPr>
          <w:rFonts w:eastAsia="Calibri"/>
          <w:color w:val="000000"/>
          <w:kern w:val="22"/>
          <w:lang w:val="en-GB"/>
        </w:rPr>
        <w:t xml:space="preserve"> </w:t>
      </w:r>
      <w:r w:rsidRPr="00FB58DA">
        <w:rPr>
          <w:rFonts w:eastAsia="Calibri"/>
          <w:color w:val="000000"/>
          <w:kern w:val="22"/>
          <w:lang w:val="en-GB"/>
        </w:rPr>
        <w:t xml:space="preserve">had by then already invested on many fronts, </w:t>
      </w:r>
      <w:r w:rsidR="008B60EF" w:rsidRPr="00FB58DA">
        <w:rPr>
          <w:rFonts w:eastAsia="Calibri"/>
          <w:color w:val="000000"/>
          <w:kern w:val="22"/>
          <w:lang w:val="en-GB"/>
        </w:rPr>
        <w:t xml:space="preserve">using </w:t>
      </w:r>
      <w:r w:rsidRPr="00FB58DA">
        <w:rPr>
          <w:rFonts w:eastAsia="Calibri"/>
          <w:color w:val="000000"/>
          <w:kern w:val="22"/>
          <w:lang w:val="en-GB"/>
        </w:rPr>
        <w:t xml:space="preserve">iron ore as its raw material. The balance sheet </w:t>
      </w:r>
      <w:r w:rsidR="008B60EF" w:rsidRPr="00FB58DA">
        <w:rPr>
          <w:rFonts w:eastAsia="Calibri"/>
          <w:color w:val="000000"/>
          <w:kern w:val="22"/>
          <w:lang w:val="en-GB"/>
        </w:rPr>
        <w:t xml:space="preserve">for </w:t>
      </w:r>
      <w:r w:rsidRPr="00FB58DA">
        <w:rPr>
          <w:rFonts w:eastAsia="Calibri"/>
          <w:color w:val="000000"/>
          <w:kern w:val="22"/>
          <w:lang w:val="en-GB"/>
        </w:rPr>
        <w:t xml:space="preserve">2010 showed an investment of </w:t>
      </w:r>
      <w:r w:rsidR="007E01BA" w:rsidRPr="00FB58DA">
        <w:rPr>
          <w:rFonts w:eastAsia="Calibri"/>
          <w:color w:val="000000"/>
          <w:kern w:val="22"/>
          <w:lang w:val="en-GB"/>
        </w:rPr>
        <w:t>$</w:t>
      </w:r>
      <w:r w:rsidRPr="00FB58DA">
        <w:rPr>
          <w:rFonts w:eastAsia="Calibri"/>
          <w:color w:val="000000"/>
          <w:kern w:val="22"/>
          <w:lang w:val="en-GB"/>
        </w:rPr>
        <w:t>1.21 billion. The state government’s decision to impose a long-term hold on the raw material had a multiplier effect on different fronts such as the partly</w:t>
      </w:r>
      <w:r w:rsidR="00161DC1">
        <w:rPr>
          <w:rFonts w:eastAsia="Calibri"/>
          <w:color w:val="000000"/>
          <w:kern w:val="22"/>
          <w:lang w:val="en-GB"/>
        </w:rPr>
        <w:t>-</w:t>
      </w:r>
      <w:r w:rsidRPr="00FB58DA">
        <w:rPr>
          <w:rFonts w:eastAsia="Calibri"/>
          <w:color w:val="000000"/>
          <w:kern w:val="22"/>
          <w:lang w:val="en-GB"/>
        </w:rPr>
        <w:t xml:space="preserve">established processing units, the mission to offer low-cost products, competitive advantage, longer processing time, and loss of economies of scale. </w:t>
      </w:r>
    </w:p>
    <w:p w14:paraId="5B6BE9A2" w14:textId="77777777" w:rsidR="008B60EF" w:rsidRDefault="008B60EF" w:rsidP="001D1405">
      <w:pPr>
        <w:pStyle w:val="BodyTextMain"/>
        <w:rPr>
          <w:rFonts w:eastAsia="Calibri"/>
          <w:color w:val="000000"/>
          <w:spacing w:val="-2"/>
          <w:kern w:val="22"/>
          <w:lang w:val="en-GB"/>
        </w:rPr>
      </w:pPr>
    </w:p>
    <w:p w14:paraId="67DBACD4" w14:textId="3E62252D" w:rsidR="004E5586" w:rsidRPr="00FB58DA" w:rsidRDefault="004E5586" w:rsidP="001D1405">
      <w:pPr>
        <w:pStyle w:val="BodyTextMain"/>
        <w:rPr>
          <w:rFonts w:eastAsia="Calibri"/>
          <w:color w:val="000000"/>
          <w:kern w:val="22"/>
          <w:lang w:val="en-GB"/>
        </w:rPr>
      </w:pPr>
      <w:r w:rsidRPr="00FB58DA">
        <w:rPr>
          <w:rFonts w:eastAsia="Calibri"/>
          <w:color w:val="000000"/>
          <w:kern w:val="22"/>
          <w:lang w:val="en-GB"/>
        </w:rPr>
        <w:t xml:space="preserve">The new government also reduced the SEZ unit benefits for five years. Delay in legal and operational aspects skewed the balance sheet further. </w:t>
      </w:r>
      <w:r w:rsidR="008B60EF" w:rsidRPr="00FB58DA">
        <w:rPr>
          <w:rFonts w:eastAsia="Calibri"/>
          <w:color w:val="000000"/>
          <w:kern w:val="22"/>
          <w:lang w:val="en-GB"/>
        </w:rPr>
        <w:t>The s</w:t>
      </w:r>
      <w:r w:rsidRPr="00FB58DA">
        <w:rPr>
          <w:rFonts w:eastAsia="Calibri"/>
          <w:color w:val="000000"/>
          <w:kern w:val="22"/>
          <w:lang w:val="en-GB"/>
        </w:rPr>
        <w:t xml:space="preserve">ecured loan amount increased to </w:t>
      </w:r>
      <w:r w:rsidR="007E01BA" w:rsidRPr="00FB58DA">
        <w:rPr>
          <w:rFonts w:eastAsia="Calibri"/>
          <w:color w:val="000000"/>
          <w:kern w:val="22"/>
          <w:lang w:val="en-GB"/>
        </w:rPr>
        <w:t>$</w:t>
      </w:r>
      <w:r w:rsidRPr="00FB58DA">
        <w:rPr>
          <w:rFonts w:eastAsia="Calibri"/>
          <w:color w:val="000000"/>
          <w:kern w:val="22"/>
          <w:lang w:val="en-GB"/>
        </w:rPr>
        <w:t xml:space="preserve">1.54 billion in 2012. In </w:t>
      </w:r>
      <w:r w:rsidR="008B60EF" w:rsidRPr="00FB58DA">
        <w:rPr>
          <w:rFonts w:eastAsia="Calibri"/>
          <w:color w:val="000000"/>
          <w:kern w:val="22"/>
          <w:lang w:val="en-GB"/>
        </w:rPr>
        <w:t xml:space="preserve">a </w:t>
      </w:r>
      <w:r w:rsidRPr="00FB58DA">
        <w:rPr>
          <w:rFonts w:eastAsia="Calibri"/>
          <w:color w:val="000000"/>
          <w:kern w:val="22"/>
          <w:lang w:val="en-GB"/>
        </w:rPr>
        <w:t xml:space="preserve">board meeting, it was decided that the </w:t>
      </w:r>
      <w:proofErr w:type="spellStart"/>
      <w:r w:rsidRPr="00FB58DA">
        <w:rPr>
          <w:rFonts w:eastAsia="Calibri"/>
          <w:color w:val="000000"/>
          <w:kern w:val="22"/>
          <w:lang w:val="en-GB"/>
        </w:rPr>
        <w:t>Bokaro</w:t>
      </w:r>
      <w:proofErr w:type="spellEnd"/>
      <w:r w:rsidRPr="00FB58DA">
        <w:rPr>
          <w:rFonts w:eastAsia="Calibri"/>
          <w:color w:val="000000"/>
          <w:kern w:val="22"/>
          <w:lang w:val="en-GB"/>
        </w:rPr>
        <w:t xml:space="preserve"> manufacturing facility w</w:t>
      </w:r>
      <w:r w:rsidR="008B60EF" w:rsidRPr="00FB58DA">
        <w:rPr>
          <w:rFonts w:eastAsia="Calibri"/>
          <w:color w:val="000000"/>
          <w:kern w:val="22"/>
          <w:lang w:val="en-GB"/>
        </w:rPr>
        <w:t xml:space="preserve">ould </w:t>
      </w:r>
      <w:r w:rsidRPr="00FB58DA">
        <w:rPr>
          <w:rFonts w:eastAsia="Calibri"/>
          <w:color w:val="000000"/>
          <w:kern w:val="22"/>
          <w:lang w:val="en-GB"/>
        </w:rPr>
        <w:t xml:space="preserve">replicate the processes of the Pune plant. </w:t>
      </w:r>
      <w:r w:rsidR="008B60EF" w:rsidRPr="00FB58DA">
        <w:rPr>
          <w:rFonts w:eastAsia="Calibri"/>
          <w:color w:val="000000"/>
          <w:kern w:val="22"/>
          <w:lang w:val="en-GB"/>
        </w:rPr>
        <w:t>The e</w:t>
      </w:r>
      <w:r w:rsidRPr="00FB58DA">
        <w:rPr>
          <w:rFonts w:eastAsia="Calibri"/>
          <w:color w:val="000000"/>
          <w:kern w:val="22"/>
          <w:lang w:val="en-GB"/>
        </w:rPr>
        <w:t xml:space="preserve">stablishment of the blast furnace was put on hold. Whole processing units were redesigned to take iron or steel scrap as raw materials. During the same period, </w:t>
      </w:r>
      <w:r w:rsidR="00B9558E" w:rsidRPr="00FB58DA">
        <w:rPr>
          <w:rFonts w:eastAsia="Calibri"/>
          <w:color w:val="000000"/>
          <w:kern w:val="22"/>
          <w:lang w:val="en-GB"/>
        </w:rPr>
        <w:t xml:space="preserve">customers’ </w:t>
      </w:r>
      <w:r w:rsidRPr="00FB58DA">
        <w:rPr>
          <w:rFonts w:eastAsia="Calibri"/>
          <w:color w:val="000000"/>
          <w:kern w:val="22"/>
          <w:lang w:val="en-GB"/>
        </w:rPr>
        <w:t>late delivery</w:t>
      </w:r>
      <w:r w:rsidR="00F64567" w:rsidRPr="00FB58DA">
        <w:rPr>
          <w:rFonts w:eastAsia="Calibri"/>
          <w:color w:val="000000"/>
          <w:kern w:val="22"/>
          <w:lang w:val="en-GB"/>
        </w:rPr>
        <w:t xml:space="preserve"> grievances</w:t>
      </w:r>
      <w:r w:rsidRPr="00FB58DA">
        <w:rPr>
          <w:rFonts w:eastAsia="Calibri"/>
          <w:color w:val="000000"/>
          <w:kern w:val="22"/>
          <w:lang w:val="en-GB"/>
        </w:rPr>
        <w:t xml:space="preserve"> increased, and the breakdown </w:t>
      </w:r>
      <w:r w:rsidR="00161DC1">
        <w:rPr>
          <w:rFonts w:eastAsia="Calibri"/>
          <w:color w:val="000000"/>
          <w:kern w:val="22"/>
          <w:lang w:val="en-GB"/>
        </w:rPr>
        <w:t>of</w:t>
      </w:r>
      <w:r w:rsidRPr="00FB58DA">
        <w:rPr>
          <w:rFonts w:eastAsia="Calibri"/>
          <w:color w:val="000000"/>
          <w:kern w:val="22"/>
          <w:lang w:val="en-GB"/>
        </w:rPr>
        <w:t xml:space="preserve"> old machinery reached an all-time high. Due to the delay in setting up the auxiliary and supporting units, the plant commissioning was extended for one more year. This extension further aggravated the cost. By the end of 2013, the plant </w:t>
      </w:r>
      <w:r w:rsidR="00B9558E" w:rsidRPr="00FB58DA">
        <w:rPr>
          <w:rFonts w:eastAsia="Calibri"/>
          <w:color w:val="000000"/>
          <w:kern w:val="22"/>
          <w:lang w:val="en-GB"/>
        </w:rPr>
        <w:t>finally</w:t>
      </w:r>
      <w:r w:rsidRPr="00FB58DA">
        <w:rPr>
          <w:rFonts w:eastAsia="Calibri"/>
          <w:color w:val="000000"/>
          <w:kern w:val="22"/>
          <w:lang w:val="en-GB"/>
        </w:rPr>
        <w:t xml:space="preserve"> started its operations.</w:t>
      </w:r>
    </w:p>
    <w:p w14:paraId="28558956" w14:textId="5B403754" w:rsidR="004E5586" w:rsidRPr="00EB5726" w:rsidRDefault="004E5586" w:rsidP="004E5586">
      <w:pPr>
        <w:pStyle w:val="BodyTextMain"/>
        <w:rPr>
          <w:rFonts w:eastAsia="Calibri"/>
          <w:color w:val="000000"/>
          <w:kern w:val="22"/>
          <w:lang w:val="en-GB"/>
        </w:rPr>
      </w:pPr>
      <w:r w:rsidRPr="00EB5726">
        <w:rPr>
          <w:rFonts w:eastAsia="Calibri"/>
          <w:color w:val="000000"/>
          <w:kern w:val="22"/>
          <w:lang w:val="en-GB"/>
        </w:rPr>
        <w:lastRenderedPageBreak/>
        <w:t>The board of directors was getting excessively anxious over the growing debt. In December 2013,</w:t>
      </w:r>
      <w:r w:rsidR="00166E8C" w:rsidRPr="00EB5726">
        <w:rPr>
          <w:rFonts w:eastAsia="Calibri"/>
          <w:color w:val="000000"/>
          <w:kern w:val="22"/>
          <w:lang w:val="en-GB"/>
        </w:rPr>
        <w:t xml:space="preserve"> </w:t>
      </w:r>
      <w:r w:rsidRPr="00EB5726">
        <w:rPr>
          <w:rFonts w:eastAsia="Calibri"/>
          <w:color w:val="000000"/>
          <w:kern w:val="22"/>
          <w:lang w:val="en-GB"/>
        </w:rPr>
        <w:t xml:space="preserve">Dinesh Ghosh was appointed as </w:t>
      </w:r>
      <w:proofErr w:type="spellStart"/>
      <w:r w:rsidR="002E689D" w:rsidRPr="00EB5726">
        <w:rPr>
          <w:rFonts w:eastAsia="Calibri"/>
          <w:color w:val="000000"/>
          <w:kern w:val="22"/>
          <w:lang w:val="en-GB"/>
        </w:rPr>
        <w:t>Bartos’s</w:t>
      </w:r>
      <w:proofErr w:type="spellEnd"/>
      <w:r w:rsidR="002E689D" w:rsidRPr="00EB5726">
        <w:rPr>
          <w:rFonts w:eastAsia="Calibri"/>
          <w:color w:val="000000"/>
          <w:kern w:val="22"/>
          <w:lang w:val="en-GB"/>
        </w:rPr>
        <w:t xml:space="preserve"> </w:t>
      </w:r>
      <w:r w:rsidRPr="00EB5726">
        <w:rPr>
          <w:rFonts w:eastAsia="Calibri"/>
          <w:color w:val="000000"/>
          <w:kern w:val="22"/>
          <w:lang w:val="en-GB"/>
        </w:rPr>
        <w:t xml:space="preserve">new CEO to manage the new plant and find a way to </w:t>
      </w:r>
      <w:r w:rsidR="00B9558E" w:rsidRPr="00EB5726">
        <w:rPr>
          <w:rFonts w:eastAsia="Calibri"/>
          <w:color w:val="000000"/>
          <w:kern w:val="22"/>
          <w:lang w:val="en-GB"/>
        </w:rPr>
        <w:t xml:space="preserve">relieve </w:t>
      </w:r>
      <w:proofErr w:type="spellStart"/>
      <w:r w:rsidR="00B9558E" w:rsidRPr="00EB5726">
        <w:rPr>
          <w:rFonts w:eastAsia="Calibri"/>
          <w:color w:val="000000"/>
          <w:kern w:val="22"/>
          <w:lang w:val="en-GB"/>
        </w:rPr>
        <w:t>Bartos’s</w:t>
      </w:r>
      <w:proofErr w:type="spellEnd"/>
      <w:r w:rsidRPr="00EB5726">
        <w:rPr>
          <w:rFonts w:eastAsia="Calibri"/>
          <w:color w:val="000000"/>
          <w:kern w:val="22"/>
          <w:lang w:val="en-GB"/>
        </w:rPr>
        <w:t xml:space="preserve"> debt burden. After </w:t>
      </w:r>
      <w:r w:rsidR="002E689D" w:rsidRPr="00EB5726">
        <w:rPr>
          <w:rFonts w:eastAsia="Calibri"/>
          <w:color w:val="000000"/>
          <w:kern w:val="22"/>
          <w:lang w:val="en-GB"/>
        </w:rPr>
        <w:t xml:space="preserve">a </w:t>
      </w:r>
      <w:r w:rsidRPr="00EB5726">
        <w:rPr>
          <w:rFonts w:eastAsia="Calibri"/>
          <w:color w:val="000000"/>
          <w:kern w:val="22"/>
          <w:lang w:val="en-GB"/>
        </w:rPr>
        <w:t>few months, the board lost faith in</w:t>
      </w:r>
      <w:r w:rsidR="00166E8C" w:rsidRPr="00EB5726">
        <w:rPr>
          <w:rFonts w:eastAsia="Calibri"/>
          <w:color w:val="000000"/>
          <w:kern w:val="22"/>
          <w:lang w:val="en-GB"/>
        </w:rPr>
        <w:t xml:space="preserve"> </w:t>
      </w:r>
      <w:r w:rsidRPr="00EB5726">
        <w:rPr>
          <w:rFonts w:eastAsia="Calibri"/>
          <w:color w:val="000000"/>
          <w:kern w:val="22"/>
          <w:lang w:val="en-GB"/>
        </w:rPr>
        <w:t>Ghosh. In June 2014,</w:t>
      </w:r>
      <w:r w:rsidR="00166E8C" w:rsidRPr="00EB5726">
        <w:rPr>
          <w:rFonts w:eastAsia="Calibri"/>
          <w:color w:val="000000"/>
          <w:kern w:val="22"/>
          <w:lang w:val="en-GB"/>
        </w:rPr>
        <w:t xml:space="preserve"> </w:t>
      </w:r>
      <w:proofErr w:type="spellStart"/>
      <w:r w:rsidR="00640417" w:rsidRPr="00EB5726">
        <w:rPr>
          <w:rFonts w:eastAsia="Calibri"/>
          <w:color w:val="000000"/>
          <w:kern w:val="22"/>
          <w:lang w:val="en-GB"/>
        </w:rPr>
        <w:t>Vivek</w:t>
      </w:r>
      <w:proofErr w:type="spellEnd"/>
      <w:r w:rsidRPr="00EB5726">
        <w:rPr>
          <w:rFonts w:eastAsia="Calibri"/>
          <w:color w:val="000000"/>
          <w:kern w:val="22"/>
          <w:lang w:val="en-GB"/>
        </w:rPr>
        <w:t xml:space="preserve"> Sinha, an expert in the steel industry, was appointed as the new CEO.</w:t>
      </w:r>
      <w:r w:rsidR="00166E8C" w:rsidRPr="00EB5726">
        <w:rPr>
          <w:rFonts w:eastAsia="Calibri"/>
          <w:color w:val="000000"/>
          <w:kern w:val="22"/>
          <w:lang w:val="en-GB"/>
        </w:rPr>
        <w:t xml:space="preserve"> </w:t>
      </w:r>
      <w:r w:rsidR="00640417" w:rsidRPr="00EB5726">
        <w:rPr>
          <w:rFonts w:eastAsia="Calibri"/>
          <w:color w:val="000000"/>
          <w:kern w:val="22"/>
          <w:lang w:val="en-GB"/>
        </w:rPr>
        <w:t>Sinha</w:t>
      </w:r>
      <w:r w:rsidRPr="00EB5726">
        <w:rPr>
          <w:rFonts w:eastAsia="Calibri"/>
          <w:color w:val="000000"/>
          <w:kern w:val="22"/>
          <w:lang w:val="en-GB"/>
        </w:rPr>
        <w:t xml:space="preserve"> started delving deep into all fronts, especially operations and sales. He</w:t>
      </w:r>
      <w:r w:rsidR="00B9558E" w:rsidRPr="00EB5726">
        <w:rPr>
          <w:rFonts w:eastAsia="Calibri"/>
          <w:color w:val="000000"/>
          <w:kern w:val="22"/>
          <w:lang w:val="en-GB"/>
        </w:rPr>
        <w:t xml:space="preserve"> </w:t>
      </w:r>
      <w:r w:rsidRPr="00EB5726">
        <w:rPr>
          <w:rFonts w:eastAsia="Calibri"/>
          <w:color w:val="000000"/>
          <w:kern w:val="22"/>
          <w:lang w:val="en-GB"/>
        </w:rPr>
        <w:t xml:space="preserve">initiated many customer-centric campaigns to boost </w:t>
      </w:r>
      <w:r w:rsidR="002E689D" w:rsidRPr="00EB5726">
        <w:rPr>
          <w:rFonts w:eastAsia="Calibri"/>
          <w:color w:val="000000"/>
          <w:kern w:val="22"/>
          <w:lang w:val="en-GB"/>
        </w:rPr>
        <w:t xml:space="preserve">customer and investor </w:t>
      </w:r>
      <w:r w:rsidRPr="00EB5726">
        <w:rPr>
          <w:rFonts w:eastAsia="Calibri"/>
          <w:color w:val="000000"/>
          <w:kern w:val="22"/>
          <w:lang w:val="en-GB"/>
        </w:rPr>
        <w:t>confidence.</w:t>
      </w:r>
      <w:r w:rsidR="00166E8C" w:rsidRPr="00EB5726">
        <w:rPr>
          <w:rFonts w:eastAsia="Calibri"/>
          <w:color w:val="000000"/>
          <w:kern w:val="22"/>
          <w:lang w:val="en-GB"/>
        </w:rPr>
        <w:t xml:space="preserve"> </w:t>
      </w:r>
      <w:r w:rsidR="00640417" w:rsidRPr="00EB5726">
        <w:rPr>
          <w:rFonts w:eastAsia="Calibri"/>
          <w:color w:val="000000"/>
          <w:kern w:val="22"/>
          <w:lang w:val="en-GB"/>
        </w:rPr>
        <w:t>Sinha</w:t>
      </w:r>
      <w:r w:rsidRPr="00EB5726">
        <w:rPr>
          <w:rFonts w:eastAsia="Calibri"/>
          <w:color w:val="000000"/>
          <w:kern w:val="22"/>
          <w:lang w:val="en-GB"/>
        </w:rPr>
        <w:t xml:space="preserve"> </w:t>
      </w:r>
      <w:r w:rsidR="002E689D" w:rsidRPr="00EB5726">
        <w:rPr>
          <w:rFonts w:eastAsia="Calibri"/>
          <w:color w:val="000000"/>
          <w:kern w:val="22"/>
          <w:lang w:val="en-GB"/>
        </w:rPr>
        <w:t>began</w:t>
      </w:r>
      <w:r w:rsidRPr="00EB5726">
        <w:rPr>
          <w:rFonts w:eastAsia="Calibri"/>
          <w:color w:val="000000"/>
          <w:kern w:val="22"/>
          <w:lang w:val="en-GB"/>
        </w:rPr>
        <w:t xml:space="preserve"> participating in several steel and metals seminars across the world. He invited all </w:t>
      </w:r>
      <w:r w:rsidR="00161DC1" w:rsidRPr="00EB5726">
        <w:rPr>
          <w:rFonts w:eastAsia="Calibri"/>
          <w:color w:val="000000"/>
          <w:kern w:val="22"/>
          <w:lang w:val="en-GB"/>
        </w:rPr>
        <w:t xml:space="preserve">of </w:t>
      </w:r>
      <w:r w:rsidRPr="00EB5726">
        <w:rPr>
          <w:rFonts w:eastAsia="Calibri"/>
          <w:color w:val="000000"/>
          <w:kern w:val="22"/>
          <w:lang w:val="en-GB"/>
        </w:rPr>
        <w:t xml:space="preserve">the </w:t>
      </w:r>
      <w:r w:rsidR="00161DC1" w:rsidRPr="00EB5726">
        <w:rPr>
          <w:rFonts w:eastAsia="Calibri"/>
          <w:color w:val="000000"/>
          <w:kern w:val="22"/>
          <w:lang w:val="en-GB"/>
        </w:rPr>
        <w:t xml:space="preserve">company’s </w:t>
      </w:r>
      <w:r w:rsidRPr="00EB5726">
        <w:rPr>
          <w:rFonts w:eastAsia="Calibri"/>
          <w:color w:val="000000"/>
          <w:kern w:val="22"/>
          <w:lang w:val="en-GB"/>
        </w:rPr>
        <w:t xml:space="preserve">customers to visit the </w:t>
      </w:r>
      <w:proofErr w:type="spellStart"/>
      <w:r w:rsidRPr="00EB5726">
        <w:rPr>
          <w:rFonts w:eastAsia="Calibri"/>
          <w:color w:val="000000"/>
          <w:kern w:val="22"/>
          <w:lang w:val="en-GB"/>
        </w:rPr>
        <w:t>Bokaro</w:t>
      </w:r>
      <w:proofErr w:type="spellEnd"/>
      <w:r w:rsidRPr="00EB5726">
        <w:rPr>
          <w:rFonts w:eastAsia="Calibri"/>
          <w:color w:val="000000"/>
          <w:kern w:val="22"/>
          <w:lang w:val="en-GB"/>
        </w:rPr>
        <w:t xml:space="preserve"> plant and offered them an opportunity to understand the process. A large turnout of clients ensured the </w:t>
      </w:r>
      <w:r w:rsidR="002E689D" w:rsidRPr="00EB5726">
        <w:rPr>
          <w:rFonts w:eastAsia="Calibri"/>
          <w:color w:val="000000"/>
          <w:kern w:val="22"/>
          <w:lang w:val="en-GB"/>
        </w:rPr>
        <w:t xml:space="preserve">campaign’s </w:t>
      </w:r>
      <w:r w:rsidRPr="00EB5726">
        <w:rPr>
          <w:rFonts w:eastAsia="Calibri"/>
          <w:color w:val="000000"/>
          <w:kern w:val="22"/>
          <w:lang w:val="en-GB"/>
        </w:rPr>
        <w:t>success.</w:t>
      </w:r>
      <w:r w:rsidR="002E689D" w:rsidRPr="00EB5726">
        <w:rPr>
          <w:rFonts w:eastAsia="Calibri"/>
          <w:color w:val="000000"/>
          <w:kern w:val="22"/>
          <w:lang w:val="en-GB"/>
        </w:rPr>
        <w:t xml:space="preserve"> As t</w:t>
      </w:r>
      <w:r w:rsidRPr="00EB5726">
        <w:rPr>
          <w:rFonts w:eastAsia="Calibri"/>
          <w:color w:val="000000"/>
          <w:kern w:val="22"/>
          <w:lang w:val="en-GB"/>
        </w:rPr>
        <w:t>hese promotional events started taking shape</w:t>
      </w:r>
      <w:r w:rsidR="002E689D" w:rsidRPr="00EB5726">
        <w:rPr>
          <w:rFonts w:eastAsia="Calibri"/>
          <w:color w:val="000000"/>
          <w:kern w:val="22"/>
          <w:lang w:val="en-GB"/>
        </w:rPr>
        <w:t>, s</w:t>
      </w:r>
      <w:r w:rsidRPr="00EB5726">
        <w:rPr>
          <w:rFonts w:eastAsia="Calibri"/>
          <w:color w:val="000000"/>
          <w:kern w:val="22"/>
          <w:lang w:val="en-GB"/>
        </w:rPr>
        <w:t xml:space="preserve">ales improved and orders started flowing in. </w:t>
      </w:r>
      <w:r w:rsidR="00B9558E" w:rsidRPr="00EB5726">
        <w:rPr>
          <w:rFonts w:eastAsia="Calibri"/>
          <w:color w:val="000000"/>
          <w:kern w:val="22"/>
          <w:lang w:val="en-GB"/>
        </w:rPr>
        <w:t>Sinha</w:t>
      </w:r>
      <w:r w:rsidRPr="00EB5726">
        <w:rPr>
          <w:rFonts w:eastAsia="Calibri"/>
          <w:color w:val="000000"/>
          <w:kern w:val="22"/>
          <w:lang w:val="en-GB"/>
        </w:rPr>
        <w:t xml:space="preserve"> and </w:t>
      </w:r>
      <w:r w:rsidR="00B9558E" w:rsidRPr="00EB5726">
        <w:rPr>
          <w:rFonts w:eastAsia="Calibri"/>
          <w:color w:val="000000"/>
          <w:kern w:val="22"/>
          <w:lang w:val="en-GB"/>
        </w:rPr>
        <w:t>Vijay</w:t>
      </w:r>
      <w:r w:rsidR="002E689D" w:rsidRPr="00EB5726">
        <w:rPr>
          <w:rFonts w:eastAsia="Calibri"/>
          <w:color w:val="000000"/>
          <w:kern w:val="22"/>
          <w:lang w:val="en-GB"/>
        </w:rPr>
        <w:t xml:space="preserve"> </w:t>
      </w:r>
      <w:r w:rsidRPr="00EB5726">
        <w:rPr>
          <w:rFonts w:eastAsia="Calibri"/>
          <w:color w:val="000000"/>
          <w:kern w:val="22"/>
          <w:lang w:val="en-GB"/>
        </w:rPr>
        <w:t>were working together to capitalize available resources to reduce the company’s debt, improve its brand image, and increase the confidence of all stakeholders.</w:t>
      </w:r>
    </w:p>
    <w:p w14:paraId="74825FE9" w14:textId="77777777" w:rsidR="004E5586" w:rsidRPr="00640417" w:rsidRDefault="004E5586" w:rsidP="004E5586">
      <w:pPr>
        <w:pStyle w:val="BodyTextMain"/>
        <w:rPr>
          <w:rFonts w:eastAsia="Calibri"/>
          <w:color w:val="000000"/>
          <w:lang w:val="en-GB"/>
        </w:rPr>
      </w:pPr>
    </w:p>
    <w:p w14:paraId="48A66C46" w14:textId="77777777" w:rsidR="004E5586" w:rsidRPr="00640417" w:rsidRDefault="004E5586" w:rsidP="004E5586">
      <w:pPr>
        <w:pStyle w:val="BodyTextMain"/>
        <w:rPr>
          <w:rFonts w:eastAsia="Calibri"/>
          <w:color w:val="000000"/>
          <w:lang w:val="en-GB"/>
        </w:rPr>
      </w:pPr>
    </w:p>
    <w:p w14:paraId="3394925F" w14:textId="2E13C590" w:rsidR="004E5586" w:rsidRPr="00640417" w:rsidRDefault="004E5586" w:rsidP="004E5586">
      <w:pPr>
        <w:pStyle w:val="Casehead1"/>
        <w:rPr>
          <w:lang w:val="en-GB"/>
        </w:rPr>
      </w:pPr>
      <w:r w:rsidRPr="00640417">
        <w:rPr>
          <w:lang w:val="en-GB"/>
        </w:rPr>
        <w:t>Human Resource</w:t>
      </w:r>
      <w:r w:rsidR="002E689D">
        <w:rPr>
          <w:lang w:val="en-GB"/>
        </w:rPr>
        <w:t>s</w:t>
      </w:r>
    </w:p>
    <w:p w14:paraId="65C0114A" w14:textId="77777777" w:rsidR="004E5586" w:rsidRPr="00640417" w:rsidRDefault="004E5586" w:rsidP="004E5586">
      <w:pPr>
        <w:pStyle w:val="BodyTextMain"/>
        <w:rPr>
          <w:rFonts w:eastAsia="Calibri"/>
          <w:color w:val="000000"/>
          <w:lang w:val="en-GB"/>
        </w:rPr>
      </w:pPr>
    </w:p>
    <w:p w14:paraId="1464285D" w14:textId="26073189" w:rsidR="004E5586" w:rsidRPr="00EB5726" w:rsidRDefault="004E5586" w:rsidP="004E5586">
      <w:pPr>
        <w:pStyle w:val="BodyTextMain"/>
        <w:rPr>
          <w:rFonts w:eastAsia="Calibri"/>
          <w:color w:val="000000"/>
          <w:spacing w:val="-2"/>
          <w:lang w:val="en-GB"/>
        </w:rPr>
      </w:pPr>
      <w:r w:rsidRPr="00EB5726">
        <w:rPr>
          <w:rFonts w:eastAsia="Calibri"/>
          <w:color w:val="000000"/>
          <w:spacing w:val="-2"/>
          <w:lang w:val="en-GB"/>
        </w:rPr>
        <w:t xml:space="preserve">To manage the day-to-day operations of the </w:t>
      </w:r>
      <w:proofErr w:type="spellStart"/>
      <w:r w:rsidRPr="00EB5726">
        <w:rPr>
          <w:rFonts w:eastAsia="Calibri"/>
          <w:color w:val="000000"/>
          <w:spacing w:val="-2"/>
          <w:lang w:val="en-GB"/>
        </w:rPr>
        <w:t>Bokaro</w:t>
      </w:r>
      <w:proofErr w:type="spellEnd"/>
      <w:r w:rsidRPr="00EB5726">
        <w:rPr>
          <w:rFonts w:eastAsia="Calibri"/>
          <w:color w:val="000000"/>
          <w:spacing w:val="-2"/>
          <w:lang w:val="en-GB"/>
        </w:rPr>
        <w:t xml:space="preserve"> plant, </w:t>
      </w:r>
      <w:proofErr w:type="spellStart"/>
      <w:r w:rsidR="00B9558E" w:rsidRPr="00EB5726">
        <w:rPr>
          <w:rFonts w:eastAsia="Calibri"/>
          <w:color w:val="000000"/>
          <w:spacing w:val="-2"/>
          <w:lang w:val="en-GB"/>
        </w:rPr>
        <w:t>Bartos</w:t>
      </w:r>
      <w:proofErr w:type="spellEnd"/>
      <w:r w:rsidR="00B9558E" w:rsidRPr="00EB5726">
        <w:rPr>
          <w:rFonts w:eastAsia="Calibri"/>
          <w:color w:val="000000"/>
          <w:spacing w:val="-2"/>
          <w:lang w:val="en-GB"/>
        </w:rPr>
        <w:t xml:space="preserve"> hired a</w:t>
      </w:r>
      <w:r w:rsidRPr="00EB5726">
        <w:rPr>
          <w:rFonts w:eastAsia="Calibri"/>
          <w:color w:val="000000"/>
          <w:spacing w:val="-2"/>
          <w:lang w:val="en-GB"/>
        </w:rPr>
        <w:t xml:space="preserve"> new operations head. The new </w:t>
      </w:r>
      <w:r w:rsidR="002F2DBB" w:rsidRPr="00EB5726">
        <w:rPr>
          <w:rFonts w:eastAsia="Calibri"/>
          <w:color w:val="000000"/>
          <w:spacing w:val="-2"/>
          <w:lang w:val="en-GB"/>
        </w:rPr>
        <w:t xml:space="preserve">location </w:t>
      </w:r>
      <w:r w:rsidRPr="00EB5726">
        <w:rPr>
          <w:rFonts w:eastAsia="Calibri"/>
          <w:color w:val="000000"/>
          <w:spacing w:val="-2"/>
          <w:lang w:val="en-GB"/>
        </w:rPr>
        <w:t>had many constraints</w:t>
      </w:r>
      <w:r w:rsidR="00F37B3D" w:rsidRPr="00EB5726">
        <w:rPr>
          <w:rFonts w:eastAsia="Calibri"/>
          <w:color w:val="000000"/>
          <w:spacing w:val="-2"/>
          <w:lang w:val="en-GB"/>
        </w:rPr>
        <w:t>,</w:t>
      </w:r>
      <w:r w:rsidRPr="00EB5726">
        <w:rPr>
          <w:rFonts w:eastAsia="Calibri"/>
          <w:color w:val="000000"/>
          <w:spacing w:val="-2"/>
          <w:lang w:val="en-GB"/>
        </w:rPr>
        <w:t xml:space="preserve"> such as </w:t>
      </w:r>
      <w:r w:rsidR="00F37B3D" w:rsidRPr="00EB5726">
        <w:rPr>
          <w:rFonts w:eastAsia="Calibri"/>
          <w:color w:val="000000"/>
          <w:spacing w:val="-2"/>
          <w:lang w:val="en-GB"/>
        </w:rPr>
        <w:t xml:space="preserve">a </w:t>
      </w:r>
      <w:r w:rsidRPr="00EB5726">
        <w:rPr>
          <w:rFonts w:eastAsia="Calibri"/>
          <w:color w:val="000000"/>
          <w:spacing w:val="-2"/>
          <w:lang w:val="en-GB"/>
        </w:rPr>
        <w:t xml:space="preserve">lack of medical, housing, and recreational facilities for employees. Locational disadvantages led to </w:t>
      </w:r>
      <w:r w:rsidR="002F2DBB" w:rsidRPr="00EB5726">
        <w:rPr>
          <w:rFonts w:eastAsia="Calibri"/>
          <w:color w:val="000000"/>
          <w:spacing w:val="-2"/>
          <w:lang w:val="en-GB"/>
        </w:rPr>
        <w:t xml:space="preserve">an </w:t>
      </w:r>
      <w:r w:rsidRPr="00EB5726">
        <w:rPr>
          <w:rFonts w:eastAsia="Calibri"/>
          <w:color w:val="000000"/>
          <w:spacing w:val="-2"/>
          <w:lang w:val="en-GB"/>
        </w:rPr>
        <w:t xml:space="preserve">increasing attrition rate. </w:t>
      </w:r>
      <w:r w:rsidR="002F2DBB" w:rsidRPr="00EB5726">
        <w:rPr>
          <w:rFonts w:eastAsia="Calibri"/>
          <w:color w:val="000000"/>
          <w:spacing w:val="-2"/>
          <w:lang w:val="en-GB"/>
        </w:rPr>
        <w:t>The u</w:t>
      </w:r>
      <w:r w:rsidRPr="00EB5726">
        <w:rPr>
          <w:rFonts w:eastAsia="Calibri"/>
          <w:color w:val="000000"/>
          <w:spacing w:val="-2"/>
          <w:lang w:val="en-GB"/>
        </w:rPr>
        <w:t>navailability of skilled labo</w:t>
      </w:r>
      <w:r w:rsidR="00640417" w:rsidRPr="00EB5726">
        <w:rPr>
          <w:rFonts w:eastAsia="Calibri"/>
          <w:color w:val="000000"/>
          <w:spacing w:val="-2"/>
          <w:lang w:val="en-GB"/>
        </w:rPr>
        <w:t>u</w:t>
      </w:r>
      <w:r w:rsidRPr="00EB5726">
        <w:rPr>
          <w:rFonts w:eastAsia="Calibri"/>
          <w:color w:val="000000"/>
          <w:spacing w:val="-2"/>
          <w:lang w:val="en-GB"/>
        </w:rPr>
        <w:t xml:space="preserve">r in the market coupled with </w:t>
      </w:r>
      <w:r w:rsidR="002F2DBB" w:rsidRPr="00EB5726">
        <w:rPr>
          <w:rFonts w:eastAsia="Calibri"/>
          <w:color w:val="000000"/>
          <w:spacing w:val="-2"/>
          <w:lang w:val="en-GB"/>
        </w:rPr>
        <w:t xml:space="preserve">the </w:t>
      </w:r>
      <w:r w:rsidRPr="00EB5726">
        <w:rPr>
          <w:rFonts w:eastAsia="Calibri"/>
          <w:color w:val="000000"/>
          <w:spacing w:val="-2"/>
          <w:lang w:val="en-GB"/>
        </w:rPr>
        <w:t xml:space="preserve">locational disadvantage was </w:t>
      </w:r>
      <w:r w:rsidR="002F2DBB" w:rsidRPr="00EB5726">
        <w:rPr>
          <w:rFonts w:eastAsia="Calibri"/>
          <w:color w:val="000000"/>
          <w:spacing w:val="-2"/>
          <w:lang w:val="en-GB"/>
        </w:rPr>
        <w:t>to</w:t>
      </w:r>
      <w:r w:rsidRPr="00EB5726">
        <w:rPr>
          <w:rFonts w:eastAsia="Calibri"/>
          <w:color w:val="000000"/>
          <w:spacing w:val="-2"/>
          <w:lang w:val="en-GB"/>
        </w:rPr>
        <w:t xml:space="preserve">ugh </w:t>
      </w:r>
      <w:r w:rsidR="002F2DBB" w:rsidRPr="00EB5726">
        <w:rPr>
          <w:rFonts w:eastAsia="Calibri"/>
          <w:color w:val="000000"/>
          <w:spacing w:val="-2"/>
          <w:lang w:val="en-GB"/>
        </w:rPr>
        <w:t>on the</w:t>
      </w:r>
      <w:r w:rsidRPr="00EB5726">
        <w:rPr>
          <w:rFonts w:eastAsia="Calibri"/>
          <w:color w:val="000000"/>
          <w:spacing w:val="-2"/>
          <w:lang w:val="en-GB"/>
        </w:rPr>
        <w:t xml:space="preserve"> head of the HR department. To manage the daily operational work, the HR </w:t>
      </w:r>
      <w:r w:rsidR="002F2DBB" w:rsidRPr="00EB5726">
        <w:rPr>
          <w:rFonts w:eastAsia="Calibri"/>
          <w:color w:val="000000"/>
          <w:spacing w:val="-2"/>
          <w:lang w:val="en-GB"/>
        </w:rPr>
        <w:t>h</w:t>
      </w:r>
      <w:r w:rsidRPr="00EB5726">
        <w:rPr>
          <w:rFonts w:eastAsia="Calibri"/>
          <w:color w:val="000000"/>
          <w:spacing w:val="-2"/>
          <w:lang w:val="en-GB"/>
        </w:rPr>
        <w:t xml:space="preserve">ead prepared a list of employees from </w:t>
      </w:r>
      <w:r w:rsidR="002F2DBB" w:rsidRPr="00EB5726">
        <w:rPr>
          <w:rFonts w:eastAsia="Calibri"/>
          <w:color w:val="000000"/>
          <w:spacing w:val="-2"/>
          <w:lang w:val="en-GB"/>
        </w:rPr>
        <w:t xml:space="preserve">the </w:t>
      </w:r>
      <w:r w:rsidRPr="00EB5726">
        <w:rPr>
          <w:rFonts w:eastAsia="Calibri"/>
          <w:color w:val="000000"/>
          <w:spacing w:val="-2"/>
          <w:lang w:val="en-GB"/>
        </w:rPr>
        <w:t xml:space="preserve">Pune plant who would be transferred to </w:t>
      </w:r>
      <w:proofErr w:type="spellStart"/>
      <w:r w:rsidRPr="00EB5726">
        <w:rPr>
          <w:rFonts w:eastAsia="Calibri"/>
          <w:color w:val="000000"/>
          <w:spacing w:val="-2"/>
          <w:lang w:val="en-GB"/>
        </w:rPr>
        <w:t>Bokaro</w:t>
      </w:r>
      <w:proofErr w:type="spellEnd"/>
      <w:r w:rsidRPr="00EB5726">
        <w:rPr>
          <w:rFonts w:eastAsia="Calibri"/>
          <w:color w:val="000000"/>
          <w:spacing w:val="-2"/>
          <w:lang w:val="en-GB"/>
        </w:rPr>
        <w:t>. These employees were assured they would be compensated well. Experienced people from the old plant were sent to the new location at regular intervals.</w:t>
      </w:r>
    </w:p>
    <w:p w14:paraId="616D4183" w14:textId="77777777" w:rsidR="004E5586" w:rsidRPr="00640417" w:rsidRDefault="004E5586" w:rsidP="004E5586">
      <w:pPr>
        <w:pStyle w:val="BodyTextMain"/>
        <w:rPr>
          <w:rFonts w:eastAsia="Calibri"/>
          <w:color w:val="000000"/>
          <w:lang w:val="en-GB"/>
        </w:rPr>
      </w:pPr>
    </w:p>
    <w:p w14:paraId="3777349A" w14:textId="7D0428C3" w:rsidR="004E5586" w:rsidRPr="00FB58DA" w:rsidRDefault="004E5586" w:rsidP="004E5586">
      <w:pPr>
        <w:pStyle w:val="BodyTextMain"/>
        <w:rPr>
          <w:rFonts w:eastAsia="Calibri"/>
          <w:color w:val="000000"/>
          <w:kern w:val="22"/>
          <w:lang w:val="en-GB"/>
        </w:rPr>
      </w:pPr>
      <w:r w:rsidRPr="00FB58DA">
        <w:rPr>
          <w:rFonts w:eastAsia="Calibri"/>
          <w:color w:val="000000"/>
          <w:kern w:val="22"/>
          <w:lang w:val="en-GB"/>
        </w:rPr>
        <w:t xml:space="preserve">Initially, the new </w:t>
      </w:r>
      <w:r w:rsidR="00234C27" w:rsidRPr="00FB58DA">
        <w:rPr>
          <w:rFonts w:eastAsia="Calibri"/>
          <w:color w:val="000000"/>
          <w:kern w:val="22"/>
          <w:lang w:val="en-GB"/>
        </w:rPr>
        <w:t>facility was running at only 15 per cent</w:t>
      </w:r>
      <w:r w:rsidRPr="00FB58DA">
        <w:rPr>
          <w:rFonts w:eastAsia="Calibri"/>
          <w:color w:val="000000"/>
          <w:kern w:val="22"/>
          <w:lang w:val="en-GB"/>
        </w:rPr>
        <w:t xml:space="preserve"> of its capacity. The existing operations team was not able to increase the productivity. In consultation with the CEO, the HR </w:t>
      </w:r>
      <w:r w:rsidR="002F2DBB" w:rsidRPr="00FB58DA">
        <w:rPr>
          <w:rFonts w:eastAsia="Calibri"/>
          <w:color w:val="000000"/>
          <w:kern w:val="22"/>
          <w:lang w:val="en-GB"/>
        </w:rPr>
        <w:t>h</w:t>
      </w:r>
      <w:r w:rsidRPr="00FB58DA">
        <w:rPr>
          <w:rFonts w:eastAsia="Calibri"/>
          <w:color w:val="000000"/>
          <w:kern w:val="22"/>
          <w:lang w:val="en-GB"/>
        </w:rPr>
        <w:t xml:space="preserve">ead prepared a list of 50 senior employees of </w:t>
      </w:r>
      <w:r w:rsidR="002F2DBB" w:rsidRPr="00FB58DA">
        <w:rPr>
          <w:rFonts w:eastAsia="Calibri"/>
          <w:color w:val="000000"/>
          <w:kern w:val="22"/>
          <w:lang w:val="en-GB"/>
        </w:rPr>
        <w:t xml:space="preserve">the </w:t>
      </w:r>
      <w:r w:rsidRPr="00FB58DA">
        <w:rPr>
          <w:rFonts w:eastAsia="Calibri"/>
          <w:color w:val="000000"/>
          <w:kern w:val="22"/>
          <w:lang w:val="en-GB"/>
        </w:rPr>
        <w:t xml:space="preserve">operations team who would be transferred to </w:t>
      </w:r>
      <w:proofErr w:type="spellStart"/>
      <w:r w:rsidRPr="00FB58DA">
        <w:rPr>
          <w:rFonts w:eastAsia="Calibri"/>
          <w:color w:val="000000"/>
          <w:kern w:val="22"/>
          <w:lang w:val="en-GB"/>
        </w:rPr>
        <w:t>Bokaro</w:t>
      </w:r>
      <w:proofErr w:type="spellEnd"/>
      <w:r w:rsidRPr="00FB58DA">
        <w:rPr>
          <w:rFonts w:eastAsia="Calibri"/>
          <w:color w:val="000000"/>
          <w:kern w:val="22"/>
          <w:lang w:val="en-GB"/>
        </w:rPr>
        <w:t xml:space="preserve"> on a permanent basis. The senior employees from </w:t>
      </w:r>
      <w:r w:rsidR="00B9558E" w:rsidRPr="00FB58DA">
        <w:rPr>
          <w:rFonts w:eastAsia="Calibri"/>
          <w:color w:val="000000"/>
          <w:kern w:val="22"/>
          <w:lang w:val="en-GB"/>
        </w:rPr>
        <w:t xml:space="preserve">the </w:t>
      </w:r>
      <w:r w:rsidRPr="00FB58DA">
        <w:rPr>
          <w:rFonts w:eastAsia="Calibri"/>
          <w:color w:val="000000"/>
          <w:kern w:val="22"/>
          <w:lang w:val="en-GB"/>
        </w:rPr>
        <w:t xml:space="preserve">Pune plant perceived that workers </w:t>
      </w:r>
      <w:r w:rsidR="002F2DBB" w:rsidRPr="00FB58DA">
        <w:rPr>
          <w:rFonts w:eastAsia="Calibri"/>
          <w:color w:val="000000"/>
          <w:kern w:val="22"/>
          <w:lang w:val="en-GB"/>
        </w:rPr>
        <w:t>in</w:t>
      </w:r>
      <w:r w:rsidRPr="00FB58DA">
        <w:rPr>
          <w:rFonts w:eastAsia="Calibri"/>
          <w:color w:val="000000"/>
          <w:kern w:val="22"/>
          <w:lang w:val="en-GB"/>
        </w:rPr>
        <w:t xml:space="preserve"> </w:t>
      </w:r>
      <w:proofErr w:type="spellStart"/>
      <w:r w:rsidRPr="00FB58DA">
        <w:rPr>
          <w:rFonts w:eastAsia="Calibri"/>
          <w:color w:val="000000"/>
          <w:kern w:val="22"/>
          <w:lang w:val="en-GB"/>
        </w:rPr>
        <w:t>Bokaro</w:t>
      </w:r>
      <w:proofErr w:type="spellEnd"/>
      <w:r w:rsidRPr="00FB58DA">
        <w:rPr>
          <w:rFonts w:eastAsia="Calibri"/>
          <w:color w:val="000000"/>
          <w:kern w:val="22"/>
          <w:lang w:val="en-GB"/>
        </w:rPr>
        <w:t xml:space="preserve"> were rebellious. </w:t>
      </w:r>
      <w:r w:rsidR="00B9558E" w:rsidRPr="00FB58DA">
        <w:rPr>
          <w:rFonts w:eastAsia="Calibri"/>
          <w:color w:val="000000"/>
          <w:kern w:val="22"/>
          <w:lang w:val="en-GB"/>
        </w:rPr>
        <w:t>A recent</w:t>
      </w:r>
      <w:r w:rsidRPr="00FB58DA">
        <w:rPr>
          <w:rFonts w:eastAsia="Calibri"/>
          <w:color w:val="000000"/>
          <w:kern w:val="22"/>
          <w:lang w:val="en-GB"/>
        </w:rPr>
        <w:t xml:space="preserve"> fatal accident involving a local worker near the company main gate </w:t>
      </w:r>
      <w:r w:rsidR="00F37B3D">
        <w:rPr>
          <w:rFonts w:eastAsia="Calibri"/>
          <w:color w:val="000000"/>
          <w:kern w:val="22"/>
          <w:lang w:val="en-GB"/>
        </w:rPr>
        <w:t>heightened</w:t>
      </w:r>
      <w:r w:rsidRPr="00FB58DA">
        <w:rPr>
          <w:rFonts w:eastAsia="Calibri"/>
          <w:color w:val="000000"/>
          <w:kern w:val="22"/>
          <w:lang w:val="en-GB"/>
        </w:rPr>
        <w:t xml:space="preserve"> the </w:t>
      </w:r>
      <w:r w:rsidR="00B9558E" w:rsidRPr="00FB58DA">
        <w:rPr>
          <w:rFonts w:eastAsia="Calibri"/>
          <w:color w:val="000000"/>
          <w:kern w:val="22"/>
          <w:lang w:val="en-GB"/>
        </w:rPr>
        <w:t>concern over</w:t>
      </w:r>
      <w:r w:rsidRPr="00FB58DA">
        <w:rPr>
          <w:rFonts w:eastAsia="Calibri"/>
          <w:color w:val="000000"/>
          <w:kern w:val="22"/>
          <w:lang w:val="en-GB"/>
        </w:rPr>
        <w:t xml:space="preserve"> </w:t>
      </w:r>
      <w:r w:rsidR="00E33D25" w:rsidRPr="00FB58DA">
        <w:rPr>
          <w:rFonts w:eastAsia="Calibri"/>
          <w:color w:val="000000"/>
          <w:kern w:val="22"/>
          <w:lang w:val="en-GB"/>
        </w:rPr>
        <w:t xml:space="preserve">safety </w:t>
      </w:r>
      <w:r w:rsidRPr="00FB58DA">
        <w:rPr>
          <w:rFonts w:eastAsia="Calibri"/>
          <w:color w:val="000000"/>
          <w:kern w:val="22"/>
          <w:lang w:val="en-GB"/>
        </w:rPr>
        <w:t>risks.</w:t>
      </w:r>
      <w:r w:rsidR="00166E8C" w:rsidRPr="00FB58DA">
        <w:rPr>
          <w:rFonts w:eastAsia="Calibri"/>
          <w:color w:val="000000"/>
          <w:kern w:val="22"/>
          <w:lang w:val="en-GB"/>
        </w:rPr>
        <w:t xml:space="preserve"> </w:t>
      </w:r>
      <w:r w:rsidRPr="00FB58DA">
        <w:rPr>
          <w:rFonts w:eastAsia="Calibri"/>
          <w:color w:val="000000"/>
          <w:kern w:val="22"/>
          <w:lang w:val="en-GB"/>
        </w:rPr>
        <w:t>Nikhil Desai, a senior manager who witnessed the accident, expressed his concern as follows:</w:t>
      </w:r>
    </w:p>
    <w:p w14:paraId="7329D501" w14:textId="77777777" w:rsidR="00234C27" w:rsidRPr="00640417" w:rsidRDefault="00234C27" w:rsidP="004E5586">
      <w:pPr>
        <w:pStyle w:val="BodyTextMain"/>
        <w:rPr>
          <w:rFonts w:eastAsia="Calibri"/>
          <w:color w:val="000000"/>
          <w:kern w:val="22"/>
          <w:lang w:val="en-GB"/>
        </w:rPr>
      </w:pPr>
    </w:p>
    <w:p w14:paraId="26DD7822" w14:textId="239CB26F" w:rsidR="004E5586" w:rsidRPr="0089430C" w:rsidRDefault="004E5586" w:rsidP="00234C27">
      <w:pPr>
        <w:pStyle w:val="BodyTextMain"/>
        <w:ind w:left="720"/>
        <w:rPr>
          <w:rFonts w:eastAsia="Calibri"/>
          <w:color w:val="000000"/>
          <w:spacing w:val="-2"/>
          <w:kern w:val="22"/>
          <w:lang w:val="en-GB"/>
        </w:rPr>
      </w:pPr>
      <w:r w:rsidRPr="0089430C">
        <w:rPr>
          <w:rFonts w:eastAsia="Calibri"/>
          <w:color w:val="000000"/>
          <w:spacing w:val="-2"/>
          <w:kern w:val="22"/>
          <w:lang w:val="en-GB"/>
        </w:rPr>
        <w:t xml:space="preserve">I was there at the company main gate when a speeding car ran over a local worker [from a different company]. It was not our company vehicle, but it seemed that locals perceived that </w:t>
      </w:r>
      <w:r w:rsidR="00F37B3D">
        <w:rPr>
          <w:rFonts w:eastAsia="Calibri"/>
          <w:color w:val="000000"/>
          <w:spacing w:val="-2"/>
          <w:kern w:val="22"/>
          <w:lang w:val="en-GB"/>
        </w:rPr>
        <w:t xml:space="preserve">[a] </w:t>
      </w:r>
      <w:proofErr w:type="spellStart"/>
      <w:r w:rsidR="00E10A9F" w:rsidRPr="0089430C">
        <w:rPr>
          <w:rFonts w:eastAsia="Calibri"/>
          <w:color w:val="000000"/>
          <w:spacing w:val="-2"/>
          <w:kern w:val="22"/>
          <w:lang w:val="en-GB"/>
        </w:rPr>
        <w:t>Bartos</w:t>
      </w:r>
      <w:proofErr w:type="spellEnd"/>
      <w:r w:rsidRPr="0089430C">
        <w:rPr>
          <w:rFonts w:eastAsia="Calibri"/>
          <w:color w:val="000000"/>
          <w:spacing w:val="-2"/>
          <w:kern w:val="22"/>
          <w:lang w:val="en-GB"/>
        </w:rPr>
        <w:t xml:space="preserve"> company vehicle caused the accident. More than 500 workers and locals gathered at the company gate with many flags of different trade unions and started protesting. It was a dangerous situation</w:t>
      </w:r>
      <w:r w:rsidR="00F37B3D">
        <w:rPr>
          <w:rFonts w:eastAsia="Calibri"/>
          <w:color w:val="000000"/>
          <w:spacing w:val="-2"/>
          <w:kern w:val="22"/>
          <w:lang w:val="en-GB"/>
        </w:rPr>
        <w:t>,</w:t>
      </w:r>
      <w:r w:rsidRPr="0089430C">
        <w:rPr>
          <w:rFonts w:eastAsia="Calibri"/>
          <w:color w:val="000000"/>
          <w:spacing w:val="-2"/>
          <w:kern w:val="22"/>
          <w:lang w:val="en-GB"/>
        </w:rPr>
        <w:t xml:space="preserve"> as I had never seen such a strong crowd backed up by strong trade unions. It took a full day to convince them that the company was not involved</w:t>
      </w:r>
      <w:r w:rsidR="00F37B3D">
        <w:rPr>
          <w:rFonts w:eastAsia="Calibri"/>
          <w:color w:val="000000"/>
          <w:spacing w:val="-2"/>
          <w:kern w:val="22"/>
          <w:lang w:val="en-GB"/>
        </w:rPr>
        <w:t>—</w:t>
      </w:r>
      <w:r w:rsidRPr="0089430C">
        <w:rPr>
          <w:rFonts w:eastAsia="Calibri"/>
          <w:color w:val="000000"/>
          <w:spacing w:val="-2"/>
          <w:kern w:val="22"/>
          <w:lang w:val="en-GB"/>
        </w:rPr>
        <w:t>that too with the help of local police and a local minister. The company has to pay a hefty compensation for th</w:t>
      </w:r>
      <w:r w:rsidR="00234C27" w:rsidRPr="0089430C">
        <w:rPr>
          <w:rFonts w:eastAsia="Calibri"/>
          <w:color w:val="000000"/>
          <w:spacing w:val="-2"/>
          <w:kern w:val="22"/>
          <w:lang w:val="en-GB"/>
        </w:rPr>
        <w:t>e damage that it did not cause.</w:t>
      </w:r>
    </w:p>
    <w:p w14:paraId="19567211" w14:textId="77777777" w:rsidR="004E5586" w:rsidRPr="00640417" w:rsidRDefault="004E5586" w:rsidP="004E5586">
      <w:pPr>
        <w:pStyle w:val="BodyTextMain"/>
        <w:rPr>
          <w:rFonts w:eastAsia="Calibri"/>
          <w:color w:val="000000"/>
          <w:lang w:val="en-GB"/>
        </w:rPr>
      </w:pPr>
    </w:p>
    <w:p w14:paraId="2462B51E" w14:textId="4A8FCDBB" w:rsidR="004E5586" w:rsidRPr="00C85248" w:rsidRDefault="004E5586" w:rsidP="004E5586">
      <w:pPr>
        <w:pStyle w:val="BodyTextMain"/>
        <w:rPr>
          <w:rFonts w:eastAsia="Calibri"/>
          <w:color w:val="000000"/>
          <w:kern w:val="22"/>
          <w:lang w:val="en-GB"/>
        </w:rPr>
      </w:pPr>
      <w:r w:rsidRPr="00C85248">
        <w:rPr>
          <w:rFonts w:eastAsia="Calibri"/>
          <w:color w:val="000000"/>
          <w:kern w:val="22"/>
          <w:lang w:val="en-GB"/>
        </w:rPr>
        <w:t xml:space="preserve">The presence of strong trade unions in </w:t>
      </w:r>
      <w:r w:rsidR="00945BD1" w:rsidRPr="00C85248">
        <w:rPr>
          <w:rFonts w:eastAsia="Calibri"/>
          <w:color w:val="000000"/>
          <w:kern w:val="22"/>
          <w:lang w:val="en-GB"/>
        </w:rPr>
        <w:t xml:space="preserve">the </w:t>
      </w:r>
      <w:proofErr w:type="spellStart"/>
      <w:r w:rsidRPr="00C85248">
        <w:rPr>
          <w:rFonts w:eastAsia="Calibri"/>
          <w:color w:val="000000"/>
          <w:kern w:val="22"/>
          <w:lang w:val="en-GB"/>
        </w:rPr>
        <w:t>Bokaro</w:t>
      </w:r>
      <w:proofErr w:type="spellEnd"/>
      <w:r w:rsidRPr="00C85248">
        <w:rPr>
          <w:rFonts w:eastAsia="Calibri"/>
          <w:color w:val="000000"/>
          <w:kern w:val="22"/>
          <w:lang w:val="en-GB"/>
        </w:rPr>
        <w:t xml:space="preserve"> region</w:t>
      </w:r>
      <w:r w:rsidR="00945BD1" w:rsidRPr="00C85248">
        <w:rPr>
          <w:rFonts w:eastAsia="Calibri"/>
          <w:color w:val="000000"/>
          <w:kern w:val="22"/>
          <w:lang w:val="en-GB"/>
        </w:rPr>
        <w:t xml:space="preserve"> forced</w:t>
      </w:r>
      <w:r w:rsidRPr="00C85248">
        <w:rPr>
          <w:rFonts w:eastAsia="Calibri"/>
          <w:color w:val="000000"/>
          <w:kern w:val="22"/>
          <w:lang w:val="en-GB"/>
        </w:rPr>
        <w:t xml:space="preserve"> </w:t>
      </w:r>
      <w:proofErr w:type="spellStart"/>
      <w:r w:rsidR="00B9558E" w:rsidRPr="00C85248">
        <w:rPr>
          <w:rFonts w:eastAsia="Calibri"/>
          <w:color w:val="000000"/>
          <w:kern w:val="22"/>
          <w:lang w:val="en-GB"/>
        </w:rPr>
        <w:t>Bartos</w:t>
      </w:r>
      <w:proofErr w:type="spellEnd"/>
      <w:r w:rsidRPr="00C85248">
        <w:rPr>
          <w:rFonts w:eastAsia="Calibri"/>
          <w:color w:val="000000"/>
          <w:kern w:val="22"/>
          <w:lang w:val="en-GB"/>
        </w:rPr>
        <w:t xml:space="preserve"> to contemplate whether it would be able to carry out all its functions smoothly. The concept of </w:t>
      </w:r>
      <w:r w:rsidR="00945BD1" w:rsidRPr="00C85248">
        <w:rPr>
          <w:rFonts w:eastAsia="Calibri"/>
          <w:color w:val="000000"/>
          <w:kern w:val="22"/>
          <w:lang w:val="en-GB"/>
        </w:rPr>
        <w:t xml:space="preserve">a </w:t>
      </w:r>
      <w:r w:rsidRPr="00C85248">
        <w:rPr>
          <w:rFonts w:eastAsia="Calibri"/>
          <w:color w:val="000000"/>
          <w:kern w:val="22"/>
          <w:lang w:val="en-GB"/>
        </w:rPr>
        <w:t>labo</w:t>
      </w:r>
      <w:r w:rsidR="00640417" w:rsidRPr="00C85248">
        <w:rPr>
          <w:rFonts w:eastAsia="Calibri"/>
          <w:color w:val="000000"/>
          <w:kern w:val="22"/>
          <w:lang w:val="en-GB"/>
        </w:rPr>
        <w:t>u</w:t>
      </w:r>
      <w:r w:rsidRPr="00C85248">
        <w:rPr>
          <w:rFonts w:eastAsia="Calibri"/>
          <w:color w:val="000000"/>
          <w:kern w:val="22"/>
          <w:lang w:val="en-GB"/>
        </w:rPr>
        <w:t xml:space="preserve">r union was new for </w:t>
      </w:r>
      <w:proofErr w:type="spellStart"/>
      <w:r w:rsidR="00E10A9F" w:rsidRPr="00C85248">
        <w:rPr>
          <w:rFonts w:eastAsia="Calibri"/>
          <w:color w:val="000000"/>
          <w:kern w:val="22"/>
          <w:lang w:val="en-GB"/>
        </w:rPr>
        <w:t>Bartos</w:t>
      </w:r>
      <w:proofErr w:type="spellEnd"/>
      <w:r w:rsidRPr="00C85248">
        <w:rPr>
          <w:rFonts w:eastAsia="Calibri"/>
          <w:color w:val="000000"/>
          <w:kern w:val="22"/>
          <w:lang w:val="en-GB"/>
        </w:rPr>
        <w:t>. Senior employees above the manager level (</w:t>
      </w:r>
      <w:r w:rsidR="00234C27" w:rsidRPr="00C85248">
        <w:rPr>
          <w:rFonts w:eastAsia="Calibri"/>
          <w:color w:val="000000"/>
          <w:kern w:val="22"/>
          <w:lang w:val="en-GB"/>
        </w:rPr>
        <w:t xml:space="preserve">see </w:t>
      </w:r>
      <w:r w:rsidRPr="00C85248">
        <w:rPr>
          <w:rFonts w:eastAsia="Calibri"/>
          <w:color w:val="000000"/>
          <w:kern w:val="22"/>
          <w:lang w:val="en-GB"/>
        </w:rPr>
        <w:t xml:space="preserve">Exhibit 6) were aware of the locational disadvantages and were not ready to relocate. After the initial round of discussions with management, the employees were still not convinced </w:t>
      </w:r>
      <w:r w:rsidR="00945BD1" w:rsidRPr="00C85248">
        <w:rPr>
          <w:rFonts w:eastAsia="Calibri"/>
          <w:color w:val="000000"/>
          <w:kern w:val="22"/>
          <w:lang w:val="en-GB"/>
        </w:rPr>
        <w:t xml:space="preserve">about </w:t>
      </w:r>
      <w:r w:rsidRPr="00C85248">
        <w:rPr>
          <w:rFonts w:eastAsia="Calibri"/>
          <w:color w:val="000000"/>
          <w:kern w:val="22"/>
          <w:lang w:val="en-GB"/>
        </w:rPr>
        <w:t xml:space="preserve">relocation. Further rounds of negotiations went on but </w:t>
      </w:r>
      <w:r w:rsidR="00F37B3D" w:rsidRPr="00C85248">
        <w:rPr>
          <w:rFonts w:eastAsia="Calibri"/>
          <w:color w:val="000000"/>
          <w:kern w:val="22"/>
          <w:lang w:val="en-GB"/>
        </w:rPr>
        <w:t xml:space="preserve">achieved </w:t>
      </w:r>
      <w:r w:rsidRPr="00C85248">
        <w:rPr>
          <w:rFonts w:eastAsia="Calibri"/>
          <w:color w:val="000000"/>
          <w:kern w:val="22"/>
          <w:lang w:val="en-GB"/>
        </w:rPr>
        <w:t>no useful</w:t>
      </w:r>
      <w:r w:rsidR="00640417" w:rsidRPr="00C85248">
        <w:rPr>
          <w:rFonts w:eastAsia="Calibri"/>
          <w:color w:val="000000"/>
          <w:kern w:val="22"/>
          <w:lang w:val="en-GB"/>
        </w:rPr>
        <w:t xml:space="preserve"> results. Sinha</w:t>
      </w:r>
      <w:r w:rsidRPr="00C85248">
        <w:rPr>
          <w:rFonts w:eastAsia="Calibri"/>
          <w:color w:val="000000"/>
          <w:kern w:val="22"/>
          <w:lang w:val="en-GB"/>
        </w:rPr>
        <w:t xml:space="preserve"> assured the employees that they would get all the benefits and that their work w</w:t>
      </w:r>
      <w:r w:rsidR="00C85248" w:rsidRPr="00C85248">
        <w:rPr>
          <w:rFonts w:eastAsia="Calibri"/>
          <w:color w:val="000000"/>
          <w:kern w:val="22"/>
          <w:lang w:val="en-GB"/>
        </w:rPr>
        <w:t>ould be rewarded appropriately.</w:t>
      </w:r>
    </w:p>
    <w:p w14:paraId="03C16C8C" w14:textId="77777777" w:rsidR="00C85248" w:rsidRDefault="00C85248" w:rsidP="004E5586">
      <w:pPr>
        <w:pStyle w:val="BodyTextMain"/>
        <w:rPr>
          <w:rFonts w:eastAsia="Calibri"/>
          <w:color w:val="000000"/>
          <w:lang w:val="en-GB"/>
        </w:rPr>
      </w:pPr>
    </w:p>
    <w:p w14:paraId="41E5F309" w14:textId="4DD3C96F" w:rsidR="006E02F4" w:rsidRPr="00640417" w:rsidRDefault="00640417" w:rsidP="004E5586">
      <w:pPr>
        <w:pStyle w:val="BodyTextMain"/>
        <w:rPr>
          <w:rFonts w:eastAsia="Calibri"/>
          <w:color w:val="000000"/>
          <w:lang w:val="en-GB"/>
        </w:rPr>
      </w:pPr>
      <w:r>
        <w:rPr>
          <w:rFonts w:eastAsia="Calibri"/>
          <w:color w:val="000000"/>
          <w:lang w:val="en-GB"/>
        </w:rPr>
        <w:t>Sinha</w:t>
      </w:r>
      <w:r w:rsidR="004E5586" w:rsidRPr="00640417">
        <w:rPr>
          <w:rFonts w:eastAsia="Calibri"/>
          <w:color w:val="000000"/>
          <w:lang w:val="en-GB"/>
        </w:rPr>
        <w:t xml:space="preserve"> put particular emphasis on setting up a culture of labo</w:t>
      </w:r>
      <w:r>
        <w:rPr>
          <w:rFonts w:eastAsia="Calibri"/>
          <w:color w:val="000000"/>
          <w:lang w:val="en-GB"/>
        </w:rPr>
        <w:t>u</w:t>
      </w:r>
      <w:r w:rsidR="004E5586" w:rsidRPr="00640417">
        <w:rPr>
          <w:rFonts w:eastAsia="Calibri"/>
          <w:color w:val="000000"/>
          <w:lang w:val="en-GB"/>
        </w:rPr>
        <w:t xml:space="preserve">r without trade unions and ensuring work satisfaction for all. He started the “Growth with People” campaign to boost employee confidence in the company. He incorporated the campaign as the heart of corporate ethos and HR policies. HR practices </w:t>
      </w:r>
      <w:r w:rsidR="004E5586" w:rsidRPr="00640417">
        <w:rPr>
          <w:rFonts w:eastAsia="Calibri"/>
          <w:color w:val="000000"/>
          <w:lang w:val="en-GB"/>
        </w:rPr>
        <w:lastRenderedPageBreak/>
        <w:t xml:space="preserve">were revised to </w:t>
      </w:r>
      <w:r w:rsidR="00B9558E">
        <w:rPr>
          <w:rFonts w:eastAsia="Calibri"/>
          <w:color w:val="000000"/>
          <w:lang w:val="en-GB"/>
        </w:rPr>
        <w:t>create</w:t>
      </w:r>
      <w:r w:rsidR="004E5586" w:rsidRPr="00640417">
        <w:rPr>
          <w:rFonts w:eastAsia="Calibri"/>
          <w:color w:val="000000"/>
          <w:lang w:val="en-GB"/>
        </w:rPr>
        <w:t xml:space="preserve"> a superior workplace. To ensure high performance </w:t>
      </w:r>
      <w:r w:rsidR="00945BD1">
        <w:rPr>
          <w:rFonts w:eastAsia="Calibri"/>
          <w:color w:val="000000"/>
          <w:lang w:val="en-GB"/>
        </w:rPr>
        <w:t>in the</w:t>
      </w:r>
      <w:r w:rsidR="004E5586" w:rsidRPr="00640417">
        <w:rPr>
          <w:rFonts w:eastAsia="Calibri"/>
          <w:color w:val="000000"/>
          <w:lang w:val="en-GB"/>
        </w:rPr>
        <w:t xml:space="preserve"> workplace, the HR team started focusing on </w:t>
      </w:r>
      <w:r w:rsidR="00F37B3D">
        <w:rPr>
          <w:rFonts w:eastAsia="Calibri"/>
          <w:color w:val="000000"/>
          <w:lang w:val="en-GB"/>
        </w:rPr>
        <w:t>identifying</w:t>
      </w:r>
      <w:r w:rsidR="004E5586" w:rsidRPr="00640417">
        <w:rPr>
          <w:rFonts w:eastAsia="Calibri"/>
          <w:color w:val="000000"/>
          <w:lang w:val="en-GB"/>
        </w:rPr>
        <w:t xml:space="preserve"> </w:t>
      </w:r>
      <w:r w:rsidR="00945BD1">
        <w:rPr>
          <w:rFonts w:eastAsia="Calibri"/>
          <w:color w:val="000000"/>
          <w:lang w:val="en-GB"/>
        </w:rPr>
        <w:t xml:space="preserve">employees </w:t>
      </w:r>
      <w:r w:rsidR="007645B1">
        <w:rPr>
          <w:rFonts w:eastAsia="Calibri"/>
          <w:color w:val="000000"/>
          <w:lang w:val="en-GB"/>
        </w:rPr>
        <w:t>who</w:t>
      </w:r>
      <w:r w:rsidR="00945BD1">
        <w:rPr>
          <w:rFonts w:eastAsia="Calibri"/>
          <w:color w:val="000000"/>
          <w:lang w:val="en-GB"/>
        </w:rPr>
        <w:t xml:space="preserve"> showed </w:t>
      </w:r>
      <w:r w:rsidR="004E5586" w:rsidRPr="00640417">
        <w:rPr>
          <w:rFonts w:eastAsia="Calibri"/>
          <w:color w:val="000000"/>
          <w:lang w:val="en-GB"/>
        </w:rPr>
        <w:t xml:space="preserve">talent early </w:t>
      </w:r>
      <w:r w:rsidR="00B9558E">
        <w:rPr>
          <w:rFonts w:eastAsia="Calibri"/>
          <w:color w:val="000000"/>
          <w:lang w:val="en-GB"/>
        </w:rPr>
        <w:t xml:space="preserve">on </w:t>
      </w:r>
      <w:r w:rsidR="004E5586" w:rsidRPr="00640417">
        <w:rPr>
          <w:rFonts w:eastAsia="Calibri"/>
          <w:color w:val="000000"/>
          <w:lang w:val="en-GB"/>
        </w:rPr>
        <w:t xml:space="preserve">and </w:t>
      </w:r>
      <w:r w:rsidR="00945BD1">
        <w:rPr>
          <w:rFonts w:eastAsia="Calibri"/>
          <w:color w:val="000000"/>
          <w:lang w:val="en-GB"/>
        </w:rPr>
        <w:t>giving</w:t>
      </w:r>
      <w:r w:rsidR="004E5586" w:rsidRPr="00640417">
        <w:rPr>
          <w:rFonts w:eastAsia="Calibri"/>
          <w:color w:val="000000"/>
          <w:lang w:val="en-GB"/>
        </w:rPr>
        <w:t xml:space="preserve"> them adequate grooming through leadership development progra</w:t>
      </w:r>
      <w:r>
        <w:rPr>
          <w:rFonts w:eastAsia="Calibri"/>
          <w:color w:val="000000"/>
          <w:lang w:val="en-GB"/>
        </w:rPr>
        <w:t>ms.</w:t>
      </w:r>
    </w:p>
    <w:p w14:paraId="4801E554" w14:textId="77777777" w:rsidR="00801648" w:rsidRDefault="00801648" w:rsidP="004E5586">
      <w:pPr>
        <w:pStyle w:val="BodyTextMain"/>
        <w:rPr>
          <w:rFonts w:eastAsia="Calibri"/>
          <w:color w:val="000000"/>
          <w:lang w:val="en-GB"/>
        </w:rPr>
      </w:pPr>
    </w:p>
    <w:p w14:paraId="43B3133B" w14:textId="40EDB04E" w:rsidR="00FA2503" w:rsidRDefault="004E5586" w:rsidP="004E5586">
      <w:pPr>
        <w:pStyle w:val="BodyTextMain"/>
        <w:rPr>
          <w:rFonts w:eastAsia="Calibri"/>
          <w:color w:val="000000"/>
          <w:lang w:val="en-GB"/>
        </w:rPr>
      </w:pPr>
      <w:r w:rsidRPr="00640417">
        <w:rPr>
          <w:rFonts w:eastAsia="Calibri"/>
          <w:color w:val="000000"/>
          <w:lang w:val="en-GB"/>
        </w:rPr>
        <w:t xml:space="preserve">The HR department took many new steps to measure and award performance and leadership. </w:t>
      </w:r>
      <w:r w:rsidR="003D302F">
        <w:rPr>
          <w:rFonts w:eastAsia="Calibri"/>
          <w:color w:val="000000"/>
          <w:lang w:val="en-GB"/>
        </w:rPr>
        <w:t>The i</w:t>
      </w:r>
      <w:r w:rsidRPr="00640417">
        <w:rPr>
          <w:rFonts w:eastAsia="Calibri"/>
          <w:color w:val="000000"/>
          <w:lang w:val="en-GB"/>
        </w:rPr>
        <w:t xml:space="preserve">nstitutionalization of new appraisal methods left </w:t>
      </w:r>
      <w:r w:rsidR="003D302F">
        <w:rPr>
          <w:rFonts w:eastAsia="Calibri"/>
          <w:color w:val="000000"/>
          <w:lang w:val="en-GB"/>
        </w:rPr>
        <w:t xml:space="preserve">a </w:t>
      </w:r>
      <w:r w:rsidRPr="00640417">
        <w:rPr>
          <w:rFonts w:eastAsia="Calibri"/>
          <w:color w:val="000000"/>
          <w:lang w:val="en-GB"/>
        </w:rPr>
        <w:t>few employees puzzled, and after being offered appropriate time</w:t>
      </w:r>
      <w:r w:rsidR="003D302F">
        <w:rPr>
          <w:rFonts w:eastAsia="Calibri"/>
          <w:color w:val="000000"/>
          <w:lang w:val="en-GB"/>
        </w:rPr>
        <w:t xml:space="preserve"> to adjust</w:t>
      </w:r>
      <w:r w:rsidRPr="00640417">
        <w:rPr>
          <w:rFonts w:eastAsia="Calibri"/>
          <w:color w:val="000000"/>
          <w:lang w:val="en-GB"/>
        </w:rPr>
        <w:t>, they were given the notice to leave.</w:t>
      </w:r>
      <w:r w:rsidR="00166E8C" w:rsidRPr="00640417">
        <w:rPr>
          <w:rFonts w:eastAsia="Calibri"/>
          <w:color w:val="000000"/>
          <w:lang w:val="en-GB"/>
        </w:rPr>
        <w:t xml:space="preserve"> </w:t>
      </w:r>
      <w:r w:rsidR="00640417">
        <w:rPr>
          <w:rFonts w:eastAsia="Calibri"/>
          <w:color w:val="000000"/>
          <w:lang w:val="en-GB"/>
        </w:rPr>
        <w:t>Sinha</w:t>
      </w:r>
      <w:r w:rsidRPr="00640417">
        <w:rPr>
          <w:rFonts w:eastAsia="Calibri"/>
          <w:color w:val="000000"/>
          <w:lang w:val="en-GB"/>
        </w:rPr>
        <w:t xml:space="preserve"> directed </w:t>
      </w:r>
      <w:proofErr w:type="spellStart"/>
      <w:r w:rsidR="00A96363">
        <w:rPr>
          <w:rFonts w:eastAsia="Calibri"/>
          <w:color w:val="000000"/>
          <w:lang w:val="en-GB"/>
        </w:rPr>
        <w:t>Bartos</w:t>
      </w:r>
      <w:proofErr w:type="spellEnd"/>
      <w:r w:rsidR="00D71DE7">
        <w:rPr>
          <w:rFonts w:eastAsia="Calibri"/>
          <w:color w:val="000000"/>
          <w:lang w:val="en-GB"/>
        </w:rPr>
        <w:t xml:space="preserve"> </w:t>
      </w:r>
      <w:r w:rsidRPr="00640417">
        <w:rPr>
          <w:rFonts w:eastAsia="Calibri"/>
          <w:color w:val="000000"/>
          <w:lang w:val="en-GB"/>
        </w:rPr>
        <w:t xml:space="preserve">to set a standard to become an “equal opportunity employer.” Employing and retaining key talent </w:t>
      </w:r>
      <w:r w:rsidR="007645B1">
        <w:rPr>
          <w:rFonts w:eastAsia="Calibri"/>
          <w:color w:val="000000"/>
          <w:lang w:val="en-GB"/>
        </w:rPr>
        <w:t xml:space="preserve">and </w:t>
      </w:r>
      <w:r w:rsidR="007645B1" w:rsidRPr="00640417">
        <w:rPr>
          <w:rFonts w:eastAsia="Calibri"/>
          <w:color w:val="000000"/>
          <w:lang w:val="en-GB"/>
        </w:rPr>
        <w:t xml:space="preserve">providing </w:t>
      </w:r>
      <w:r w:rsidR="007645B1">
        <w:rPr>
          <w:rFonts w:eastAsia="Calibri"/>
          <w:color w:val="000000"/>
          <w:lang w:val="en-GB"/>
        </w:rPr>
        <w:t xml:space="preserve">them with </w:t>
      </w:r>
      <w:r w:rsidR="007645B1" w:rsidRPr="00640417">
        <w:rPr>
          <w:rFonts w:eastAsia="Calibri"/>
          <w:color w:val="000000"/>
          <w:lang w:val="en-GB"/>
        </w:rPr>
        <w:t>c</w:t>
      </w:r>
      <w:r w:rsidR="007645B1">
        <w:rPr>
          <w:rFonts w:eastAsia="Calibri"/>
          <w:color w:val="000000"/>
          <w:lang w:val="en-GB"/>
        </w:rPr>
        <w:t>areer development opportunities</w:t>
      </w:r>
      <w:r w:rsidR="007645B1" w:rsidRPr="00640417">
        <w:rPr>
          <w:rFonts w:eastAsia="Calibri"/>
          <w:color w:val="000000"/>
          <w:lang w:val="en-GB"/>
        </w:rPr>
        <w:t xml:space="preserve"> </w:t>
      </w:r>
      <w:r w:rsidRPr="00640417">
        <w:rPr>
          <w:rFonts w:eastAsia="Calibri"/>
          <w:color w:val="000000"/>
          <w:lang w:val="en-GB"/>
        </w:rPr>
        <w:t>had become integral to</w:t>
      </w:r>
      <w:r w:rsidR="00FA2503">
        <w:rPr>
          <w:rFonts w:eastAsia="Calibri"/>
          <w:color w:val="000000"/>
          <w:lang w:val="en-GB"/>
        </w:rPr>
        <w:t xml:space="preserve"> the company’s</w:t>
      </w:r>
      <w:r w:rsidRPr="00640417">
        <w:rPr>
          <w:rFonts w:eastAsia="Calibri"/>
          <w:color w:val="000000"/>
          <w:lang w:val="en-GB"/>
        </w:rPr>
        <w:t xml:space="preserve"> people processes. The company reviewed its resourcing policy so as to attract the right talent to fit the right role. </w:t>
      </w:r>
      <w:r w:rsidR="00FA2503">
        <w:rPr>
          <w:rFonts w:eastAsia="Calibri"/>
          <w:color w:val="000000"/>
          <w:lang w:val="en-GB"/>
        </w:rPr>
        <w:t>It i</w:t>
      </w:r>
      <w:r w:rsidRPr="00640417">
        <w:rPr>
          <w:rFonts w:eastAsia="Calibri"/>
          <w:color w:val="000000"/>
          <w:lang w:val="en-GB"/>
        </w:rPr>
        <w:t xml:space="preserve">nstituted competency-based recruitment that measured technical expertise, leadership skills, and cultural fit. It also established </w:t>
      </w:r>
      <w:r w:rsidR="003D302F">
        <w:rPr>
          <w:rFonts w:eastAsia="Calibri"/>
          <w:color w:val="000000"/>
          <w:lang w:val="en-GB"/>
        </w:rPr>
        <w:t xml:space="preserve">an </w:t>
      </w:r>
      <w:r w:rsidRPr="00640417">
        <w:rPr>
          <w:rFonts w:eastAsia="Calibri"/>
          <w:color w:val="000000"/>
          <w:lang w:val="en-GB"/>
        </w:rPr>
        <w:t xml:space="preserve">employee referral scheme. </w:t>
      </w:r>
      <w:r w:rsidR="00FA2503">
        <w:rPr>
          <w:rFonts w:eastAsia="Calibri"/>
          <w:color w:val="000000"/>
          <w:lang w:val="en-GB"/>
        </w:rPr>
        <w:t>T</w:t>
      </w:r>
      <w:r w:rsidRPr="00640417">
        <w:rPr>
          <w:rFonts w:eastAsia="Calibri"/>
          <w:color w:val="000000"/>
          <w:lang w:val="en-GB"/>
        </w:rPr>
        <w:t>he company’s core values were revised</w:t>
      </w:r>
      <w:r w:rsidR="00B9558E">
        <w:rPr>
          <w:rFonts w:eastAsia="Calibri"/>
          <w:color w:val="000000"/>
          <w:lang w:val="en-GB"/>
        </w:rPr>
        <w:t>,</w:t>
      </w:r>
      <w:r w:rsidRPr="00640417">
        <w:rPr>
          <w:rFonts w:eastAsia="Calibri"/>
          <w:color w:val="000000"/>
          <w:lang w:val="en-GB"/>
        </w:rPr>
        <w:t xml:space="preserve"> and new guiding principles were formulated (</w:t>
      </w:r>
      <w:r w:rsidR="00234C27" w:rsidRPr="00640417">
        <w:rPr>
          <w:rFonts w:eastAsia="Calibri"/>
          <w:color w:val="000000"/>
          <w:lang w:val="en-GB"/>
        </w:rPr>
        <w:t xml:space="preserve">see </w:t>
      </w:r>
      <w:r w:rsidR="0089430C">
        <w:rPr>
          <w:rFonts w:eastAsia="Calibri"/>
          <w:color w:val="000000"/>
          <w:lang w:val="en-GB"/>
        </w:rPr>
        <w:t>Exhibit 7).</w:t>
      </w:r>
    </w:p>
    <w:p w14:paraId="33D4079F" w14:textId="77777777" w:rsidR="00FA2503" w:rsidRDefault="00FA2503" w:rsidP="004E5586">
      <w:pPr>
        <w:pStyle w:val="BodyTextMain"/>
        <w:rPr>
          <w:rFonts w:eastAsia="Calibri"/>
          <w:color w:val="000000"/>
          <w:lang w:val="en-GB"/>
        </w:rPr>
      </w:pPr>
    </w:p>
    <w:p w14:paraId="660D9F8C" w14:textId="5A4909F1" w:rsidR="004E5586" w:rsidRPr="00640417" w:rsidRDefault="004E5586" w:rsidP="004E5586">
      <w:pPr>
        <w:pStyle w:val="BodyTextMain"/>
        <w:rPr>
          <w:rFonts w:eastAsia="Calibri"/>
          <w:color w:val="000000"/>
          <w:lang w:val="en-GB"/>
        </w:rPr>
      </w:pPr>
      <w:r w:rsidRPr="00640417">
        <w:rPr>
          <w:rFonts w:eastAsia="Calibri"/>
          <w:color w:val="000000"/>
          <w:lang w:val="en-GB"/>
        </w:rPr>
        <w:t xml:space="preserve">As part of </w:t>
      </w:r>
      <w:r w:rsidR="0052428C">
        <w:rPr>
          <w:rFonts w:eastAsia="Calibri"/>
          <w:color w:val="000000"/>
          <w:lang w:val="en-GB"/>
        </w:rPr>
        <w:t xml:space="preserve">the </w:t>
      </w:r>
      <w:r w:rsidRPr="00640417">
        <w:rPr>
          <w:rFonts w:eastAsia="Calibri"/>
          <w:color w:val="000000"/>
          <w:lang w:val="en-GB"/>
        </w:rPr>
        <w:t xml:space="preserve">talent management process, </w:t>
      </w:r>
      <w:proofErr w:type="spellStart"/>
      <w:r w:rsidR="005B7574">
        <w:rPr>
          <w:rFonts w:eastAsia="Calibri"/>
          <w:color w:val="000000"/>
          <w:lang w:val="en-GB"/>
        </w:rPr>
        <w:t>Bartos</w:t>
      </w:r>
      <w:proofErr w:type="spellEnd"/>
      <w:r w:rsidRPr="00640417">
        <w:rPr>
          <w:rFonts w:eastAsia="Calibri"/>
          <w:color w:val="000000"/>
          <w:lang w:val="en-GB"/>
        </w:rPr>
        <w:t xml:space="preserve"> </w:t>
      </w:r>
      <w:r w:rsidR="00FA2503">
        <w:rPr>
          <w:rFonts w:eastAsia="Calibri"/>
          <w:color w:val="000000"/>
          <w:lang w:val="en-GB"/>
        </w:rPr>
        <w:t xml:space="preserve">initiated </w:t>
      </w:r>
      <w:r w:rsidR="003D302F">
        <w:rPr>
          <w:rFonts w:eastAsia="Calibri"/>
          <w:color w:val="000000"/>
          <w:lang w:val="en-GB"/>
        </w:rPr>
        <w:t xml:space="preserve">an </w:t>
      </w:r>
      <w:r w:rsidRPr="00640417">
        <w:rPr>
          <w:rFonts w:eastAsia="Calibri"/>
          <w:color w:val="000000"/>
          <w:lang w:val="en-GB"/>
        </w:rPr>
        <w:t>internal job posting policy to provide opportunities to its employees to discover internal career options, thereby assisting career growth and progress.</w:t>
      </w:r>
      <w:r w:rsidR="00E36F75" w:rsidRPr="00640417" w:rsidDel="00E36F75">
        <w:rPr>
          <w:rFonts w:eastAsia="Calibri"/>
          <w:color w:val="000000"/>
          <w:lang w:val="en-GB"/>
        </w:rPr>
        <w:t xml:space="preserve"> </w:t>
      </w:r>
      <w:r w:rsidRPr="00640417">
        <w:rPr>
          <w:rFonts w:eastAsia="Calibri"/>
          <w:color w:val="000000"/>
          <w:lang w:val="en-GB"/>
        </w:rPr>
        <w:t xml:space="preserve">Under </w:t>
      </w:r>
      <w:r w:rsidR="00FA2503">
        <w:rPr>
          <w:rFonts w:eastAsia="Calibri"/>
          <w:color w:val="000000"/>
          <w:lang w:val="en-GB"/>
        </w:rPr>
        <w:t xml:space="preserve">Sinha’s </w:t>
      </w:r>
      <w:r w:rsidRPr="00640417">
        <w:rPr>
          <w:rFonts w:eastAsia="Calibri"/>
          <w:color w:val="000000"/>
          <w:lang w:val="en-GB"/>
        </w:rPr>
        <w:t>guidance, new</w:t>
      </w:r>
      <w:r w:rsidR="003D302F">
        <w:rPr>
          <w:rFonts w:eastAsia="Calibri"/>
          <w:color w:val="000000"/>
          <w:lang w:val="en-GB"/>
        </w:rPr>
        <w:t xml:space="preserve"> </w:t>
      </w:r>
      <w:r w:rsidRPr="00640417">
        <w:rPr>
          <w:rFonts w:eastAsia="Calibri"/>
          <w:color w:val="000000"/>
          <w:lang w:val="en-GB"/>
        </w:rPr>
        <w:t xml:space="preserve">employee engagement </w:t>
      </w:r>
      <w:r w:rsidR="003D302F">
        <w:rPr>
          <w:rFonts w:eastAsia="Calibri"/>
          <w:color w:val="000000"/>
          <w:lang w:val="en-GB"/>
        </w:rPr>
        <w:t xml:space="preserve">practices </w:t>
      </w:r>
      <w:r w:rsidRPr="00640417">
        <w:rPr>
          <w:rFonts w:eastAsia="Calibri"/>
          <w:color w:val="000000"/>
          <w:lang w:val="en-GB"/>
        </w:rPr>
        <w:t xml:space="preserve">started to take </w:t>
      </w:r>
      <w:r w:rsidR="00FA2503">
        <w:rPr>
          <w:rFonts w:eastAsia="Calibri"/>
          <w:color w:val="000000"/>
          <w:lang w:val="en-GB"/>
        </w:rPr>
        <w:t>shape</w:t>
      </w:r>
      <w:r w:rsidRPr="00640417">
        <w:rPr>
          <w:rFonts w:eastAsia="Calibri"/>
          <w:color w:val="000000"/>
          <w:lang w:val="en-GB"/>
        </w:rPr>
        <w:t>. The HR team launched B-Beat, a common communication platform for employees to share thoughts</w:t>
      </w:r>
      <w:r w:rsidR="007645B1">
        <w:rPr>
          <w:rFonts w:eastAsia="Calibri"/>
          <w:color w:val="000000"/>
          <w:lang w:val="en-GB"/>
        </w:rPr>
        <w:t>;</w:t>
      </w:r>
      <w:r w:rsidRPr="00640417">
        <w:rPr>
          <w:rFonts w:eastAsia="Calibri"/>
          <w:color w:val="000000"/>
          <w:lang w:val="en-GB"/>
        </w:rPr>
        <w:t xml:space="preserve"> </w:t>
      </w:r>
      <w:r w:rsidR="007645B1">
        <w:rPr>
          <w:rFonts w:eastAsia="Calibri"/>
          <w:color w:val="000000"/>
          <w:lang w:val="en-GB"/>
        </w:rPr>
        <w:t xml:space="preserve">form, </w:t>
      </w:r>
      <w:r w:rsidRPr="00640417">
        <w:rPr>
          <w:rFonts w:eastAsia="Calibri"/>
          <w:color w:val="000000"/>
          <w:lang w:val="en-GB"/>
        </w:rPr>
        <w:t>voice</w:t>
      </w:r>
      <w:r w:rsidR="007645B1">
        <w:rPr>
          <w:rFonts w:eastAsia="Calibri"/>
          <w:color w:val="000000"/>
          <w:lang w:val="en-GB"/>
        </w:rPr>
        <w:t>, and propose</w:t>
      </w:r>
      <w:r w:rsidRPr="00640417">
        <w:rPr>
          <w:rFonts w:eastAsia="Calibri"/>
          <w:color w:val="000000"/>
          <w:lang w:val="en-GB"/>
        </w:rPr>
        <w:t xml:space="preserve"> ideas</w:t>
      </w:r>
      <w:r w:rsidR="007645B1">
        <w:rPr>
          <w:rFonts w:eastAsia="Calibri"/>
          <w:color w:val="000000"/>
          <w:lang w:val="en-GB"/>
        </w:rPr>
        <w:t>;</w:t>
      </w:r>
      <w:r w:rsidRPr="00640417">
        <w:rPr>
          <w:rFonts w:eastAsia="Calibri"/>
          <w:color w:val="000000"/>
          <w:lang w:val="en-GB"/>
        </w:rPr>
        <w:t xml:space="preserve"> and be heard.</w:t>
      </w:r>
    </w:p>
    <w:p w14:paraId="33AEA4E3" w14:textId="77777777" w:rsidR="004E5586" w:rsidRPr="00640417" w:rsidRDefault="004E5586" w:rsidP="004E5586">
      <w:pPr>
        <w:pStyle w:val="BodyTextMain"/>
        <w:rPr>
          <w:rFonts w:eastAsia="Calibri"/>
          <w:color w:val="000000"/>
          <w:lang w:val="en-GB"/>
        </w:rPr>
      </w:pPr>
    </w:p>
    <w:p w14:paraId="4DF868F0" w14:textId="77777777" w:rsidR="004E5586" w:rsidRPr="00640417" w:rsidRDefault="004E5586" w:rsidP="004E5586">
      <w:pPr>
        <w:pStyle w:val="BodyTextMain"/>
        <w:rPr>
          <w:rFonts w:eastAsia="Calibri"/>
          <w:color w:val="000000"/>
          <w:lang w:val="en-GB"/>
        </w:rPr>
      </w:pPr>
    </w:p>
    <w:p w14:paraId="340BBF30" w14:textId="77777777" w:rsidR="00BE0220" w:rsidRPr="00975F5D" w:rsidRDefault="00BE0220" w:rsidP="00BE0220">
      <w:pPr>
        <w:pStyle w:val="Casehead1"/>
        <w:rPr>
          <w:lang w:val="en-GB"/>
        </w:rPr>
      </w:pPr>
      <w:r w:rsidRPr="00975F5D">
        <w:rPr>
          <w:lang w:val="en-GB"/>
        </w:rPr>
        <w:t xml:space="preserve">GLOBAL BUSINESS ENVIRONMENT IN THE Stainless STEEL INDUSTRY </w:t>
      </w:r>
    </w:p>
    <w:p w14:paraId="701A2DC8" w14:textId="77777777" w:rsidR="004E5586" w:rsidRPr="00640417" w:rsidRDefault="004E5586" w:rsidP="004E5586">
      <w:pPr>
        <w:pStyle w:val="BodyTextMain"/>
        <w:rPr>
          <w:rFonts w:eastAsia="Calibri"/>
          <w:color w:val="000000"/>
          <w:lang w:val="en-GB"/>
        </w:rPr>
      </w:pPr>
    </w:p>
    <w:p w14:paraId="20ED07AF" w14:textId="538A7AB3" w:rsidR="00383E98" w:rsidRPr="00EB5726" w:rsidRDefault="009545F7" w:rsidP="004E5586">
      <w:pPr>
        <w:pStyle w:val="BodyTextMain"/>
        <w:rPr>
          <w:rFonts w:eastAsia="Calibri"/>
          <w:color w:val="000000"/>
          <w:spacing w:val="-2"/>
          <w:kern w:val="22"/>
          <w:lang w:val="en-GB"/>
        </w:rPr>
      </w:pPr>
      <w:r w:rsidRPr="00EB5726">
        <w:rPr>
          <w:rFonts w:eastAsia="Calibri"/>
          <w:color w:val="000000"/>
          <w:spacing w:val="-2"/>
          <w:kern w:val="22"/>
          <w:lang w:val="en-GB"/>
        </w:rPr>
        <w:t xml:space="preserve">India’s </w:t>
      </w:r>
      <w:r w:rsidR="004E5586" w:rsidRPr="00EB5726">
        <w:rPr>
          <w:rFonts w:eastAsia="Calibri"/>
          <w:color w:val="000000"/>
          <w:spacing w:val="-2"/>
          <w:kern w:val="22"/>
          <w:lang w:val="en-GB"/>
        </w:rPr>
        <w:t xml:space="preserve">stainless steel sector was facing a threat from the sudden and immense rise in imports from different countries, especially China. </w:t>
      </w:r>
      <w:r w:rsidR="00383E98" w:rsidRPr="00EB5726">
        <w:rPr>
          <w:rFonts w:eastAsia="Calibri"/>
          <w:color w:val="000000"/>
          <w:spacing w:val="-2"/>
          <w:kern w:val="22"/>
          <w:lang w:val="en-GB"/>
        </w:rPr>
        <w:t>Stainless steel i</w:t>
      </w:r>
      <w:r w:rsidR="004E5586" w:rsidRPr="00EB5726">
        <w:rPr>
          <w:rFonts w:eastAsia="Calibri"/>
          <w:color w:val="000000"/>
          <w:spacing w:val="-2"/>
          <w:kern w:val="22"/>
          <w:lang w:val="en-GB"/>
        </w:rPr>
        <w:t>mport</w:t>
      </w:r>
      <w:r w:rsidR="0052428C" w:rsidRPr="00EB5726">
        <w:rPr>
          <w:rFonts w:eastAsia="Calibri"/>
          <w:color w:val="000000"/>
          <w:spacing w:val="-2"/>
          <w:kern w:val="22"/>
          <w:lang w:val="en-GB"/>
        </w:rPr>
        <w:t>s</w:t>
      </w:r>
      <w:r w:rsidR="004E5586" w:rsidRPr="00EB5726">
        <w:rPr>
          <w:rFonts w:eastAsia="Calibri"/>
          <w:color w:val="000000"/>
          <w:spacing w:val="-2"/>
          <w:kern w:val="22"/>
          <w:lang w:val="en-GB"/>
        </w:rPr>
        <w:t xml:space="preserve"> surged sharply from </w:t>
      </w:r>
      <w:r w:rsidR="0052428C" w:rsidRPr="00EB5726">
        <w:rPr>
          <w:rFonts w:eastAsia="Calibri"/>
          <w:color w:val="000000"/>
          <w:spacing w:val="-2"/>
          <w:kern w:val="22"/>
          <w:lang w:val="en-GB"/>
        </w:rPr>
        <w:t xml:space="preserve">fiscal year </w:t>
      </w:r>
      <w:r w:rsidR="00F33B93" w:rsidRPr="00EB5726">
        <w:rPr>
          <w:rFonts w:eastAsia="Calibri"/>
          <w:color w:val="000000"/>
          <w:spacing w:val="-2"/>
          <w:kern w:val="22"/>
          <w:lang w:val="en-GB"/>
        </w:rPr>
        <w:t xml:space="preserve">(FY) </w:t>
      </w:r>
      <w:r w:rsidR="004E5586" w:rsidRPr="00EB5726">
        <w:rPr>
          <w:rFonts w:eastAsia="Calibri"/>
          <w:color w:val="000000"/>
          <w:spacing w:val="-2"/>
          <w:kern w:val="22"/>
          <w:lang w:val="en-GB"/>
        </w:rPr>
        <w:t>2012–</w:t>
      </w:r>
      <w:r w:rsidR="0052428C" w:rsidRPr="00EB5726">
        <w:rPr>
          <w:rFonts w:eastAsia="Calibri"/>
          <w:color w:val="000000"/>
          <w:spacing w:val="-2"/>
          <w:kern w:val="22"/>
          <w:lang w:val="en-GB"/>
        </w:rPr>
        <w:t>20</w:t>
      </w:r>
      <w:r w:rsidR="004E5586" w:rsidRPr="00EB5726">
        <w:rPr>
          <w:rFonts w:eastAsia="Calibri"/>
          <w:color w:val="000000"/>
          <w:spacing w:val="-2"/>
          <w:kern w:val="22"/>
          <w:lang w:val="en-GB"/>
        </w:rPr>
        <w:t xml:space="preserve">13 to </w:t>
      </w:r>
      <w:r w:rsidR="00F33B93" w:rsidRPr="00EB5726">
        <w:rPr>
          <w:rFonts w:eastAsia="Calibri"/>
          <w:color w:val="000000"/>
          <w:spacing w:val="-2"/>
          <w:kern w:val="22"/>
          <w:lang w:val="en-GB"/>
        </w:rPr>
        <w:t>FY</w:t>
      </w:r>
      <w:r w:rsidR="004E5586" w:rsidRPr="00EB5726">
        <w:rPr>
          <w:rFonts w:eastAsia="Calibri"/>
          <w:color w:val="000000"/>
          <w:spacing w:val="-2"/>
          <w:kern w:val="22"/>
          <w:lang w:val="en-GB"/>
        </w:rPr>
        <w:t>2015–</w:t>
      </w:r>
      <w:r w:rsidR="0052428C" w:rsidRPr="00EB5726">
        <w:rPr>
          <w:rFonts w:eastAsia="Calibri"/>
          <w:color w:val="000000"/>
          <w:spacing w:val="-2"/>
          <w:kern w:val="22"/>
          <w:lang w:val="en-GB"/>
        </w:rPr>
        <w:t>20</w:t>
      </w:r>
      <w:r w:rsidR="004E5586" w:rsidRPr="00EB5726">
        <w:rPr>
          <w:rFonts w:eastAsia="Calibri"/>
          <w:color w:val="000000"/>
          <w:spacing w:val="-2"/>
          <w:kern w:val="22"/>
          <w:lang w:val="en-GB"/>
        </w:rPr>
        <w:t>16 (</w:t>
      </w:r>
      <w:r w:rsidR="00234C27" w:rsidRPr="00EB5726">
        <w:rPr>
          <w:rFonts w:eastAsia="Calibri"/>
          <w:color w:val="000000"/>
          <w:spacing w:val="-2"/>
          <w:kern w:val="22"/>
          <w:lang w:val="en-GB"/>
        </w:rPr>
        <w:t xml:space="preserve">see </w:t>
      </w:r>
      <w:r w:rsidR="004E5586" w:rsidRPr="00EB5726">
        <w:rPr>
          <w:rFonts w:eastAsia="Calibri"/>
          <w:color w:val="000000"/>
          <w:spacing w:val="-2"/>
          <w:kern w:val="22"/>
          <w:lang w:val="en-GB"/>
        </w:rPr>
        <w:t>Exhibit 8).</w:t>
      </w:r>
      <w:r w:rsidR="00CC1B96" w:rsidRPr="00EB5726">
        <w:rPr>
          <w:rFonts w:eastAsia="Calibri"/>
          <w:color w:val="000000"/>
          <w:spacing w:val="-2"/>
          <w:kern w:val="22"/>
          <w:lang w:val="en-GB"/>
        </w:rPr>
        <w:t xml:space="preserve"> </w:t>
      </w:r>
      <w:r w:rsidR="00383E98" w:rsidRPr="00EB5726">
        <w:rPr>
          <w:rFonts w:eastAsia="Calibri"/>
          <w:color w:val="000000"/>
          <w:spacing w:val="-2"/>
          <w:kern w:val="22"/>
          <w:lang w:val="en-GB"/>
        </w:rPr>
        <w:t xml:space="preserve">The major competitors were </w:t>
      </w:r>
      <w:proofErr w:type="spellStart"/>
      <w:r w:rsidR="00004735" w:rsidRPr="00EB5726">
        <w:rPr>
          <w:rFonts w:eastAsia="Calibri"/>
          <w:color w:val="000000"/>
          <w:spacing w:val="-2"/>
          <w:kern w:val="22"/>
          <w:lang w:val="en-GB"/>
        </w:rPr>
        <w:t>Baosteel</w:t>
      </w:r>
      <w:proofErr w:type="spellEnd"/>
      <w:r w:rsidR="00004735" w:rsidRPr="00EB5726">
        <w:rPr>
          <w:rFonts w:eastAsia="Calibri"/>
          <w:color w:val="000000"/>
          <w:spacing w:val="-2"/>
          <w:kern w:val="22"/>
          <w:lang w:val="en-GB"/>
        </w:rPr>
        <w:t xml:space="preserve"> Group Corporation from China, Pohang Iron and Steel Company</w:t>
      </w:r>
      <w:r w:rsidR="00D06F40" w:rsidRPr="00EB5726">
        <w:rPr>
          <w:rFonts w:eastAsia="Calibri"/>
          <w:color w:val="000000"/>
          <w:spacing w:val="-2"/>
          <w:kern w:val="22"/>
          <w:lang w:val="en-GB"/>
        </w:rPr>
        <w:t xml:space="preserve"> Ltd.</w:t>
      </w:r>
      <w:r w:rsidR="00004735" w:rsidRPr="00EB5726">
        <w:rPr>
          <w:rFonts w:eastAsia="Calibri"/>
          <w:color w:val="000000"/>
          <w:spacing w:val="-2"/>
          <w:kern w:val="22"/>
          <w:lang w:val="en-GB"/>
        </w:rPr>
        <w:t xml:space="preserve"> from South Korea, and Nippon Steel </w:t>
      </w:r>
      <w:r w:rsidR="00D2450C" w:rsidRPr="00EB5726">
        <w:rPr>
          <w:rFonts w:eastAsia="Calibri"/>
          <w:color w:val="000000"/>
          <w:spacing w:val="-2"/>
          <w:kern w:val="22"/>
          <w:lang w:val="en-GB"/>
        </w:rPr>
        <w:t xml:space="preserve">and Sumitomo Metal </w:t>
      </w:r>
      <w:r w:rsidR="00004735" w:rsidRPr="00EB5726">
        <w:rPr>
          <w:rFonts w:eastAsia="Calibri"/>
          <w:color w:val="000000"/>
          <w:spacing w:val="-2"/>
          <w:kern w:val="22"/>
          <w:lang w:val="en-GB"/>
        </w:rPr>
        <w:t>Corporation and JFE Steel Corp</w:t>
      </w:r>
      <w:r w:rsidR="00D06F40" w:rsidRPr="00EB5726">
        <w:rPr>
          <w:rFonts w:eastAsia="Calibri"/>
          <w:color w:val="000000"/>
          <w:spacing w:val="-2"/>
          <w:kern w:val="22"/>
          <w:lang w:val="en-GB"/>
        </w:rPr>
        <w:t>oration</w:t>
      </w:r>
      <w:r w:rsidR="00004735" w:rsidRPr="00EB5726">
        <w:rPr>
          <w:rFonts w:eastAsia="Calibri"/>
          <w:color w:val="000000"/>
          <w:spacing w:val="-2"/>
          <w:kern w:val="22"/>
          <w:lang w:val="en-GB"/>
        </w:rPr>
        <w:t xml:space="preserve"> from Japan. </w:t>
      </w:r>
      <w:r w:rsidR="00F33B93" w:rsidRPr="00EB5726">
        <w:rPr>
          <w:rFonts w:eastAsia="Calibri"/>
          <w:color w:val="000000"/>
          <w:spacing w:val="-2"/>
          <w:kern w:val="22"/>
          <w:lang w:val="en-GB"/>
        </w:rPr>
        <w:t>O</w:t>
      </w:r>
      <w:r w:rsidR="00004735" w:rsidRPr="00EB5726">
        <w:rPr>
          <w:rFonts w:eastAsia="Calibri"/>
          <w:color w:val="000000"/>
          <w:spacing w:val="-2"/>
          <w:kern w:val="22"/>
          <w:lang w:val="en-GB"/>
        </w:rPr>
        <w:t xml:space="preserve">f these four companies, </w:t>
      </w:r>
      <w:proofErr w:type="spellStart"/>
      <w:r w:rsidR="00004735" w:rsidRPr="00EB5726">
        <w:rPr>
          <w:rFonts w:eastAsia="Calibri"/>
          <w:color w:val="000000"/>
          <w:spacing w:val="-2"/>
          <w:kern w:val="22"/>
          <w:lang w:val="en-GB"/>
        </w:rPr>
        <w:t>Baosteel</w:t>
      </w:r>
      <w:proofErr w:type="spellEnd"/>
      <w:r w:rsidR="00004735" w:rsidRPr="00EB5726">
        <w:rPr>
          <w:rFonts w:eastAsia="Calibri"/>
          <w:color w:val="000000"/>
          <w:spacing w:val="-2"/>
          <w:kern w:val="22"/>
          <w:lang w:val="en-GB"/>
        </w:rPr>
        <w:t xml:space="preserve"> </w:t>
      </w:r>
      <w:r w:rsidR="007645B1" w:rsidRPr="00EB5726">
        <w:rPr>
          <w:rFonts w:eastAsia="Calibri"/>
          <w:color w:val="000000"/>
          <w:spacing w:val="-2"/>
          <w:kern w:val="22"/>
          <w:lang w:val="en-GB"/>
        </w:rPr>
        <w:t xml:space="preserve">Group Corporation </w:t>
      </w:r>
      <w:r w:rsidR="00004735" w:rsidRPr="00EB5726">
        <w:rPr>
          <w:rFonts w:eastAsia="Calibri"/>
          <w:color w:val="000000"/>
          <w:spacing w:val="-2"/>
          <w:kern w:val="22"/>
          <w:lang w:val="en-GB"/>
        </w:rPr>
        <w:t>offe</w:t>
      </w:r>
      <w:r w:rsidR="00383E98" w:rsidRPr="00EB5726">
        <w:rPr>
          <w:rFonts w:eastAsia="Calibri"/>
          <w:color w:val="000000"/>
          <w:spacing w:val="-2"/>
          <w:kern w:val="22"/>
          <w:lang w:val="en-GB"/>
        </w:rPr>
        <w:t xml:space="preserve">red </w:t>
      </w:r>
      <w:r w:rsidR="00384397" w:rsidRPr="00EB5726">
        <w:rPr>
          <w:rFonts w:eastAsia="Calibri"/>
          <w:color w:val="000000"/>
          <w:spacing w:val="-2"/>
          <w:kern w:val="22"/>
          <w:lang w:val="en-GB"/>
        </w:rPr>
        <w:t>the greatest</w:t>
      </w:r>
      <w:r w:rsidR="00004735" w:rsidRPr="00EB5726">
        <w:rPr>
          <w:rFonts w:eastAsia="Calibri"/>
          <w:color w:val="000000"/>
          <w:spacing w:val="-2"/>
          <w:kern w:val="22"/>
          <w:lang w:val="en-GB"/>
        </w:rPr>
        <w:t xml:space="preserve"> competition to </w:t>
      </w:r>
      <w:proofErr w:type="spellStart"/>
      <w:r w:rsidR="00004735" w:rsidRPr="00EB5726">
        <w:rPr>
          <w:rFonts w:eastAsia="Calibri"/>
          <w:color w:val="000000"/>
          <w:spacing w:val="-2"/>
          <w:kern w:val="22"/>
          <w:lang w:val="en-GB"/>
        </w:rPr>
        <w:t>Bartos</w:t>
      </w:r>
      <w:proofErr w:type="spellEnd"/>
      <w:r w:rsidR="00004735" w:rsidRPr="00EB5726">
        <w:rPr>
          <w:rFonts w:eastAsia="Calibri"/>
          <w:color w:val="000000"/>
          <w:spacing w:val="-2"/>
          <w:kern w:val="22"/>
          <w:lang w:val="en-GB"/>
        </w:rPr>
        <w:t xml:space="preserve"> in terms </w:t>
      </w:r>
      <w:r w:rsidR="00383E98" w:rsidRPr="00EB5726">
        <w:rPr>
          <w:rFonts w:eastAsia="Calibri"/>
          <w:color w:val="000000"/>
          <w:spacing w:val="-2"/>
          <w:kern w:val="22"/>
          <w:lang w:val="en-GB"/>
        </w:rPr>
        <w:t xml:space="preserve">of </w:t>
      </w:r>
      <w:r w:rsidR="00004735" w:rsidRPr="00EB5726">
        <w:rPr>
          <w:rFonts w:eastAsia="Calibri"/>
          <w:color w:val="000000"/>
          <w:spacing w:val="-2"/>
          <w:kern w:val="22"/>
          <w:lang w:val="en-GB"/>
        </w:rPr>
        <w:t xml:space="preserve">price. </w:t>
      </w:r>
      <w:r w:rsidR="00384397" w:rsidRPr="00EB5726">
        <w:rPr>
          <w:rFonts w:eastAsia="Calibri"/>
          <w:color w:val="000000"/>
          <w:spacing w:val="-2"/>
          <w:kern w:val="22"/>
          <w:lang w:val="en-GB"/>
        </w:rPr>
        <w:t>The</w:t>
      </w:r>
      <w:r w:rsidR="00383E98" w:rsidRPr="00EB5726">
        <w:rPr>
          <w:rFonts w:eastAsia="Calibri"/>
          <w:color w:val="000000"/>
          <w:spacing w:val="-2"/>
          <w:kern w:val="22"/>
          <w:lang w:val="en-GB"/>
        </w:rPr>
        <w:t xml:space="preserve"> </w:t>
      </w:r>
      <w:r w:rsidR="00384397" w:rsidRPr="00EB5726">
        <w:rPr>
          <w:rFonts w:eastAsia="Calibri"/>
          <w:color w:val="000000"/>
          <w:spacing w:val="-2"/>
          <w:kern w:val="22"/>
          <w:lang w:val="en-GB"/>
        </w:rPr>
        <w:t>i</w:t>
      </w:r>
      <w:r w:rsidR="00004735" w:rsidRPr="00EB5726">
        <w:rPr>
          <w:rFonts w:eastAsia="Calibri"/>
          <w:color w:val="000000"/>
          <w:spacing w:val="-2"/>
          <w:kern w:val="22"/>
          <w:lang w:val="en-GB"/>
        </w:rPr>
        <w:t xml:space="preserve">mport price of Korean and Japanese stainless steel was comparable </w:t>
      </w:r>
      <w:r w:rsidR="00C513E2" w:rsidRPr="00EB5726">
        <w:rPr>
          <w:rFonts w:eastAsia="Calibri"/>
          <w:color w:val="000000"/>
          <w:spacing w:val="-2"/>
          <w:kern w:val="22"/>
          <w:lang w:val="en-GB"/>
        </w:rPr>
        <w:t>to</w:t>
      </w:r>
      <w:r w:rsidR="00004735" w:rsidRPr="00EB5726">
        <w:rPr>
          <w:rFonts w:eastAsia="Calibri"/>
          <w:color w:val="000000"/>
          <w:spacing w:val="-2"/>
          <w:kern w:val="22"/>
          <w:lang w:val="en-GB"/>
        </w:rPr>
        <w:t xml:space="preserve"> that of </w:t>
      </w:r>
      <w:proofErr w:type="spellStart"/>
      <w:r w:rsidR="00004735" w:rsidRPr="00EB5726">
        <w:rPr>
          <w:rFonts w:eastAsia="Calibri"/>
          <w:color w:val="000000"/>
          <w:spacing w:val="-2"/>
          <w:kern w:val="22"/>
          <w:lang w:val="en-GB"/>
        </w:rPr>
        <w:t>Bartos</w:t>
      </w:r>
      <w:proofErr w:type="spellEnd"/>
      <w:r w:rsidR="00D06F40" w:rsidRPr="00EB5726">
        <w:rPr>
          <w:rFonts w:eastAsia="Calibri"/>
          <w:color w:val="000000"/>
          <w:spacing w:val="-2"/>
          <w:kern w:val="22"/>
          <w:lang w:val="en-GB"/>
        </w:rPr>
        <w:t>, as was</w:t>
      </w:r>
      <w:r w:rsidR="00004735" w:rsidRPr="00EB5726">
        <w:rPr>
          <w:rFonts w:eastAsia="Calibri"/>
          <w:color w:val="000000"/>
          <w:spacing w:val="-2"/>
          <w:kern w:val="22"/>
          <w:lang w:val="en-GB"/>
        </w:rPr>
        <w:t xml:space="preserve"> the quality. Customers were importing stainless steel from other companies</w:t>
      </w:r>
      <w:r w:rsidR="007645B1" w:rsidRPr="00EB5726">
        <w:rPr>
          <w:rFonts w:eastAsia="Calibri"/>
          <w:color w:val="000000"/>
          <w:spacing w:val="-2"/>
          <w:kern w:val="22"/>
          <w:lang w:val="en-GB"/>
        </w:rPr>
        <w:t xml:space="preserve"> around the world including</w:t>
      </w:r>
      <w:r w:rsidR="00004735" w:rsidRPr="00EB5726">
        <w:rPr>
          <w:rFonts w:eastAsia="Calibri"/>
          <w:color w:val="000000"/>
          <w:spacing w:val="-2"/>
          <w:kern w:val="22"/>
          <w:lang w:val="en-GB"/>
        </w:rPr>
        <w:t xml:space="preserve"> China, </w:t>
      </w:r>
      <w:r w:rsidR="00D06F40" w:rsidRPr="00EB5726">
        <w:rPr>
          <w:rFonts w:eastAsia="Calibri"/>
          <w:color w:val="000000"/>
          <w:spacing w:val="-2"/>
          <w:kern w:val="22"/>
          <w:lang w:val="en-GB"/>
        </w:rPr>
        <w:t xml:space="preserve">the </w:t>
      </w:r>
      <w:r w:rsidR="00004735" w:rsidRPr="00EB5726">
        <w:rPr>
          <w:rFonts w:eastAsia="Calibri"/>
          <w:color w:val="000000"/>
          <w:spacing w:val="-2"/>
          <w:kern w:val="22"/>
          <w:lang w:val="en-GB"/>
        </w:rPr>
        <w:t xml:space="preserve">European Union, </w:t>
      </w:r>
      <w:r w:rsidR="00F33B93" w:rsidRPr="00EB5726">
        <w:rPr>
          <w:rFonts w:eastAsia="Calibri"/>
          <w:color w:val="000000"/>
          <w:spacing w:val="-2"/>
          <w:kern w:val="22"/>
          <w:lang w:val="en-GB"/>
        </w:rPr>
        <w:t xml:space="preserve">the </w:t>
      </w:r>
      <w:r w:rsidR="00004735" w:rsidRPr="00EB5726">
        <w:rPr>
          <w:rFonts w:eastAsia="Calibri"/>
          <w:color w:val="000000"/>
          <w:spacing w:val="-2"/>
          <w:kern w:val="22"/>
          <w:lang w:val="en-GB"/>
        </w:rPr>
        <w:t>United States, South Africa, Taiwan</w:t>
      </w:r>
      <w:r w:rsidR="00D06F40" w:rsidRPr="00EB5726">
        <w:rPr>
          <w:rFonts w:eastAsia="Calibri"/>
          <w:color w:val="000000"/>
          <w:spacing w:val="-2"/>
          <w:kern w:val="22"/>
          <w:lang w:val="en-GB"/>
        </w:rPr>
        <w:t>,</w:t>
      </w:r>
      <w:r w:rsidR="00004735" w:rsidRPr="00EB5726">
        <w:rPr>
          <w:rFonts w:eastAsia="Calibri"/>
          <w:color w:val="000000"/>
          <w:spacing w:val="-2"/>
          <w:kern w:val="22"/>
          <w:lang w:val="en-GB"/>
        </w:rPr>
        <w:t xml:space="preserve"> and Thailand</w:t>
      </w:r>
      <w:r w:rsidR="00B07034" w:rsidRPr="00EB5726">
        <w:rPr>
          <w:rFonts w:eastAsia="Calibri"/>
          <w:color w:val="000000"/>
          <w:spacing w:val="-2"/>
          <w:kern w:val="22"/>
          <w:lang w:val="en-GB"/>
        </w:rPr>
        <w:t>,</w:t>
      </w:r>
      <w:r w:rsidR="00CA2F1E" w:rsidRPr="00EB5726">
        <w:rPr>
          <w:spacing w:val="-2"/>
          <w:kern w:val="22"/>
          <w:sz w:val="20"/>
          <w:szCs w:val="20"/>
        </w:rPr>
        <w:t xml:space="preserve"> </w:t>
      </w:r>
      <w:r w:rsidR="00CA2F1E" w:rsidRPr="00EB5726">
        <w:rPr>
          <w:rFonts w:eastAsia="Calibri"/>
          <w:color w:val="000000"/>
          <w:spacing w:val="-2"/>
          <w:kern w:val="22"/>
        </w:rPr>
        <w:t>though they were not importing from these countries on a regular basis.</w:t>
      </w:r>
    </w:p>
    <w:p w14:paraId="5346FE22" w14:textId="77777777" w:rsidR="00383E98" w:rsidRDefault="00383E98" w:rsidP="004E5586">
      <w:pPr>
        <w:pStyle w:val="BodyTextMain"/>
        <w:rPr>
          <w:rFonts w:eastAsia="Calibri"/>
          <w:color w:val="000000"/>
          <w:lang w:val="en-GB"/>
        </w:rPr>
      </w:pPr>
    </w:p>
    <w:p w14:paraId="5BFF9E98" w14:textId="6F687574" w:rsidR="0052428C" w:rsidRPr="0089430C" w:rsidRDefault="004E5586" w:rsidP="004E5586">
      <w:pPr>
        <w:pStyle w:val="BodyTextMain"/>
        <w:rPr>
          <w:rFonts w:eastAsia="Calibri"/>
          <w:color w:val="000000"/>
          <w:spacing w:val="-2"/>
          <w:kern w:val="22"/>
          <w:lang w:val="en-GB"/>
        </w:rPr>
      </w:pPr>
      <w:r w:rsidRPr="0089430C">
        <w:rPr>
          <w:rFonts w:eastAsia="Calibri"/>
          <w:color w:val="000000"/>
          <w:spacing w:val="-2"/>
          <w:kern w:val="22"/>
          <w:lang w:val="en-GB"/>
        </w:rPr>
        <w:t xml:space="preserve">Cheap imports and </w:t>
      </w:r>
      <w:r w:rsidR="00383E98" w:rsidRPr="0089430C">
        <w:rPr>
          <w:rFonts w:eastAsia="Calibri"/>
          <w:color w:val="000000"/>
          <w:spacing w:val="-2"/>
          <w:kern w:val="22"/>
          <w:lang w:val="en-GB"/>
        </w:rPr>
        <w:t xml:space="preserve">an </w:t>
      </w:r>
      <w:r w:rsidR="0052428C" w:rsidRPr="0089430C">
        <w:rPr>
          <w:rFonts w:eastAsia="Calibri"/>
          <w:color w:val="000000"/>
          <w:spacing w:val="-2"/>
          <w:kern w:val="22"/>
          <w:lang w:val="en-GB"/>
        </w:rPr>
        <w:t>unfavourable</w:t>
      </w:r>
      <w:r w:rsidRPr="0089430C">
        <w:rPr>
          <w:rFonts w:eastAsia="Calibri"/>
          <w:color w:val="000000"/>
          <w:spacing w:val="-2"/>
          <w:kern w:val="22"/>
          <w:lang w:val="en-GB"/>
        </w:rPr>
        <w:t xml:space="preserve"> import</w:t>
      </w:r>
      <w:r w:rsidR="0052428C" w:rsidRPr="0089430C">
        <w:rPr>
          <w:rFonts w:eastAsia="Calibri"/>
          <w:color w:val="000000"/>
          <w:spacing w:val="-2"/>
          <w:kern w:val="22"/>
          <w:lang w:val="en-GB"/>
        </w:rPr>
        <w:t xml:space="preserve"> duty structure </w:t>
      </w:r>
      <w:r w:rsidRPr="0089430C">
        <w:rPr>
          <w:rFonts w:eastAsia="Calibri"/>
          <w:color w:val="000000"/>
          <w:spacing w:val="-2"/>
          <w:kern w:val="22"/>
          <w:lang w:val="en-GB"/>
        </w:rPr>
        <w:t xml:space="preserve">resulted in </w:t>
      </w:r>
      <w:r w:rsidR="0052428C" w:rsidRPr="0089430C">
        <w:rPr>
          <w:rFonts w:eastAsia="Calibri"/>
          <w:color w:val="000000"/>
          <w:spacing w:val="-2"/>
          <w:kern w:val="22"/>
          <w:lang w:val="en-GB"/>
        </w:rPr>
        <w:t>a reduction of approximately 40 per cent</w:t>
      </w:r>
      <w:r w:rsidRPr="0089430C">
        <w:rPr>
          <w:rFonts w:eastAsia="Calibri"/>
          <w:color w:val="000000"/>
          <w:spacing w:val="-2"/>
          <w:kern w:val="22"/>
          <w:lang w:val="en-GB"/>
        </w:rPr>
        <w:t xml:space="preserve"> in domestic capacity u</w:t>
      </w:r>
      <w:r w:rsidR="00383E98" w:rsidRPr="0089430C">
        <w:rPr>
          <w:rFonts w:eastAsia="Calibri"/>
          <w:color w:val="000000"/>
          <w:spacing w:val="-2"/>
          <w:kern w:val="22"/>
          <w:lang w:val="en-GB"/>
        </w:rPr>
        <w:t>se</w:t>
      </w:r>
      <w:r w:rsidRPr="0089430C">
        <w:rPr>
          <w:rFonts w:eastAsia="Calibri"/>
          <w:color w:val="000000"/>
          <w:spacing w:val="-2"/>
          <w:kern w:val="22"/>
          <w:lang w:val="en-GB"/>
        </w:rPr>
        <w:t xml:space="preserve">. India ranked third globally in steel and stainless steel production, but it was </w:t>
      </w:r>
      <w:r w:rsidR="0052428C" w:rsidRPr="0089430C">
        <w:rPr>
          <w:rFonts w:eastAsia="Calibri"/>
          <w:color w:val="000000"/>
          <w:spacing w:val="-2"/>
          <w:kern w:val="22"/>
          <w:lang w:val="en-GB"/>
        </w:rPr>
        <w:t xml:space="preserve">still </w:t>
      </w:r>
      <w:r w:rsidRPr="0089430C">
        <w:rPr>
          <w:rFonts w:eastAsia="Calibri"/>
          <w:color w:val="000000"/>
          <w:spacing w:val="-2"/>
          <w:kern w:val="22"/>
          <w:lang w:val="en-GB"/>
        </w:rPr>
        <w:t>far behind the top producer in the sector (</w:t>
      </w:r>
      <w:r w:rsidR="00234C27" w:rsidRPr="0089430C">
        <w:rPr>
          <w:rFonts w:eastAsia="Calibri"/>
          <w:color w:val="000000"/>
          <w:spacing w:val="-2"/>
          <w:kern w:val="22"/>
          <w:lang w:val="en-GB"/>
        </w:rPr>
        <w:t xml:space="preserve">see </w:t>
      </w:r>
      <w:r w:rsidRPr="0089430C">
        <w:rPr>
          <w:rFonts w:eastAsia="Calibri"/>
          <w:color w:val="000000"/>
          <w:spacing w:val="-2"/>
          <w:kern w:val="22"/>
          <w:lang w:val="en-GB"/>
        </w:rPr>
        <w:t>Exhibit</w:t>
      </w:r>
      <w:r w:rsidR="00D06F40" w:rsidRPr="0089430C">
        <w:rPr>
          <w:rFonts w:eastAsia="Calibri"/>
          <w:color w:val="000000"/>
          <w:spacing w:val="-2"/>
          <w:kern w:val="22"/>
          <w:lang w:val="en-GB"/>
        </w:rPr>
        <w:t> </w:t>
      </w:r>
      <w:r w:rsidRPr="0089430C">
        <w:rPr>
          <w:rFonts w:eastAsia="Calibri"/>
          <w:color w:val="000000"/>
          <w:spacing w:val="-2"/>
          <w:kern w:val="22"/>
          <w:lang w:val="en-GB"/>
        </w:rPr>
        <w:t xml:space="preserve">9). In the 2014 budget session, the government announced </w:t>
      </w:r>
      <w:r w:rsidR="00383E98" w:rsidRPr="0089430C">
        <w:rPr>
          <w:rFonts w:eastAsia="Calibri"/>
          <w:color w:val="000000"/>
          <w:spacing w:val="-2"/>
          <w:kern w:val="22"/>
          <w:lang w:val="en-GB"/>
        </w:rPr>
        <w:t xml:space="preserve">an </w:t>
      </w:r>
      <w:r w:rsidRPr="0089430C">
        <w:rPr>
          <w:rFonts w:eastAsia="Calibri"/>
          <w:color w:val="000000"/>
          <w:spacing w:val="-2"/>
          <w:kern w:val="22"/>
          <w:lang w:val="en-GB"/>
        </w:rPr>
        <w:t xml:space="preserve">increase </w:t>
      </w:r>
      <w:r w:rsidR="00383E98" w:rsidRPr="0089430C">
        <w:rPr>
          <w:rFonts w:eastAsia="Calibri"/>
          <w:color w:val="000000"/>
          <w:spacing w:val="-2"/>
          <w:kern w:val="22"/>
          <w:lang w:val="en-GB"/>
        </w:rPr>
        <w:t>in</w:t>
      </w:r>
      <w:r w:rsidRPr="0089430C">
        <w:rPr>
          <w:rFonts w:eastAsia="Calibri"/>
          <w:color w:val="000000"/>
          <w:spacing w:val="-2"/>
          <w:kern w:val="22"/>
          <w:lang w:val="en-GB"/>
        </w:rPr>
        <w:t xml:space="preserve"> duties for five years on stainless steel imports from China, </w:t>
      </w:r>
      <w:r w:rsidR="0052428C" w:rsidRPr="0089430C">
        <w:rPr>
          <w:rFonts w:eastAsia="Calibri"/>
          <w:color w:val="000000"/>
          <w:spacing w:val="-2"/>
          <w:kern w:val="22"/>
          <w:lang w:val="en-GB"/>
        </w:rPr>
        <w:t xml:space="preserve">the </w:t>
      </w:r>
      <w:r w:rsidRPr="0089430C">
        <w:rPr>
          <w:rFonts w:eastAsia="Calibri"/>
          <w:color w:val="000000"/>
          <w:spacing w:val="-2"/>
          <w:kern w:val="22"/>
          <w:lang w:val="en-GB"/>
        </w:rPr>
        <w:t xml:space="preserve">European Union, and the United States. Imports from South Korea, South Africa, Taiwan, and Thailand would also be taxed. This was the first significant move </w:t>
      </w:r>
      <w:r w:rsidR="007645B1">
        <w:rPr>
          <w:rFonts w:eastAsia="Calibri"/>
          <w:color w:val="000000"/>
          <w:spacing w:val="-2"/>
          <w:kern w:val="22"/>
          <w:lang w:val="en-GB"/>
        </w:rPr>
        <w:t xml:space="preserve">ever </w:t>
      </w:r>
      <w:r w:rsidRPr="0089430C">
        <w:rPr>
          <w:rFonts w:eastAsia="Calibri"/>
          <w:color w:val="000000"/>
          <w:spacing w:val="-2"/>
          <w:kern w:val="22"/>
          <w:lang w:val="en-GB"/>
        </w:rPr>
        <w:t>by the government to protect and support high</w:t>
      </w:r>
      <w:r w:rsidR="00383E98" w:rsidRPr="0089430C">
        <w:rPr>
          <w:rFonts w:eastAsia="Calibri"/>
          <w:color w:val="000000"/>
          <w:spacing w:val="-2"/>
          <w:kern w:val="22"/>
          <w:lang w:val="en-GB"/>
        </w:rPr>
        <w:t>-</w:t>
      </w:r>
      <w:r w:rsidRPr="0089430C">
        <w:rPr>
          <w:rFonts w:eastAsia="Calibri"/>
          <w:color w:val="000000"/>
          <w:spacing w:val="-2"/>
          <w:kern w:val="22"/>
          <w:lang w:val="en-GB"/>
        </w:rPr>
        <w:t xml:space="preserve">value </w:t>
      </w:r>
      <w:r w:rsidR="00383E98" w:rsidRPr="0089430C">
        <w:rPr>
          <w:rFonts w:eastAsia="Calibri"/>
          <w:color w:val="000000"/>
          <w:spacing w:val="-2"/>
          <w:kern w:val="22"/>
          <w:lang w:val="en-GB"/>
        </w:rPr>
        <w:t xml:space="preserve">steel </w:t>
      </w:r>
      <w:r w:rsidRPr="0089430C">
        <w:rPr>
          <w:rFonts w:eastAsia="Calibri"/>
          <w:color w:val="000000"/>
          <w:spacing w:val="-2"/>
          <w:kern w:val="22"/>
          <w:lang w:val="en-GB"/>
        </w:rPr>
        <w:t xml:space="preserve">products. </w:t>
      </w:r>
    </w:p>
    <w:p w14:paraId="190E3BCB" w14:textId="77777777" w:rsidR="0052428C" w:rsidRDefault="0052428C" w:rsidP="004E5586">
      <w:pPr>
        <w:pStyle w:val="BodyTextMain"/>
        <w:rPr>
          <w:rFonts w:eastAsia="Calibri"/>
          <w:color w:val="000000"/>
          <w:lang w:val="en-GB"/>
        </w:rPr>
      </w:pPr>
    </w:p>
    <w:p w14:paraId="43EFCB47" w14:textId="598A7EEC" w:rsidR="00F33B93" w:rsidRPr="00EB5726" w:rsidRDefault="004E5586" w:rsidP="004E5586">
      <w:pPr>
        <w:pStyle w:val="BodyTextMain"/>
        <w:rPr>
          <w:rFonts w:eastAsia="Calibri"/>
          <w:color w:val="000000"/>
          <w:spacing w:val="-2"/>
          <w:kern w:val="22"/>
          <w:lang w:val="en-GB"/>
        </w:rPr>
      </w:pPr>
      <w:r w:rsidRPr="00EB5726">
        <w:rPr>
          <w:rFonts w:eastAsia="Calibri"/>
          <w:color w:val="000000"/>
          <w:spacing w:val="-2"/>
          <w:kern w:val="22"/>
          <w:lang w:val="en-GB"/>
        </w:rPr>
        <w:t>The stainless s</w:t>
      </w:r>
      <w:r w:rsidR="0052428C" w:rsidRPr="00EB5726">
        <w:rPr>
          <w:rFonts w:eastAsia="Calibri"/>
          <w:color w:val="000000"/>
          <w:spacing w:val="-2"/>
          <w:kern w:val="22"/>
          <w:lang w:val="en-GB"/>
        </w:rPr>
        <w:t>teel industry produce</w:t>
      </w:r>
      <w:r w:rsidR="00383E98" w:rsidRPr="00EB5726">
        <w:rPr>
          <w:rFonts w:eastAsia="Calibri"/>
          <w:color w:val="000000"/>
          <w:spacing w:val="-2"/>
          <w:kern w:val="22"/>
          <w:lang w:val="en-GB"/>
        </w:rPr>
        <w:t xml:space="preserve">d </w:t>
      </w:r>
      <w:r w:rsidR="0052428C" w:rsidRPr="00EB5726">
        <w:rPr>
          <w:rFonts w:eastAsia="Calibri"/>
          <w:color w:val="000000"/>
          <w:spacing w:val="-2"/>
          <w:kern w:val="22"/>
          <w:lang w:val="en-GB"/>
        </w:rPr>
        <w:t xml:space="preserve">only </w:t>
      </w:r>
      <w:r w:rsidR="007645B1" w:rsidRPr="00EB5726">
        <w:rPr>
          <w:rFonts w:eastAsia="Calibri"/>
          <w:color w:val="000000"/>
          <w:spacing w:val="-2"/>
          <w:kern w:val="22"/>
          <w:lang w:val="en-GB"/>
        </w:rPr>
        <w:t>3</w:t>
      </w:r>
      <w:r w:rsidR="0052428C" w:rsidRPr="00EB5726">
        <w:rPr>
          <w:rFonts w:eastAsia="Calibri"/>
          <w:color w:val="000000"/>
          <w:spacing w:val="-2"/>
          <w:kern w:val="22"/>
          <w:lang w:val="en-GB"/>
        </w:rPr>
        <w:t xml:space="preserve"> to </w:t>
      </w:r>
      <w:r w:rsidR="007645B1" w:rsidRPr="00EB5726">
        <w:rPr>
          <w:rFonts w:eastAsia="Calibri"/>
          <w:color w:val="000000"/>
          <w:spacing w:val="-2"/>
          <w:kern w:val="22"/>
          <w:lang w:val="en-GB"/>
        </w:rPr>
        <w:t>4</w:t>
      </w:r>
      <w:r w:rsidR="0052428C" w:rsidRPr="00EB5726">
        <w:rPr>
          <w:rFonts w:eastAsia="Calibri"/>
          <w:color w:val="000000"/>
          <w:spacing w:val="-2"/>
          <w:kern w:val="22"/>
          <w:lang w:val="en-GB"/>
        </w:rPr>
        <w:t xml:space="preserve"> per cent</w:t>
      </w:r>
      <w:r w:rsidRPr="00EB5726">
        <w:rPr>
          <w:rFonts w:eastAsia="Calibri"/>
          <w:color w:val="000000"/>
          <w:spacing w:val="-2"/>
          <w:kern w:val="22"/>
          <w:lang w:val="en-GB"/>
        </w:rPr>
        <w:t xml:space="preserve"> of India’s total steel production, whereas its contribution to </w:t>
      </w:r>
      <w:r w:rsidR="00383E98" w:rsidRPr="00EB5726">
        <w:rPr>
          <w:rFonts w:eastAsia="Calibri"/>
          <w:color w:val="000000"/>
          <w:spacing w:val="-2"/>
          <w:kern w:val="22"/>
          <w:lang w:val="en-GB"/>
        </w:rPr>
        <w:t xml:space="preserve">government </w:t>
      </w:r>
      <w:r w:rsidRPr="00EB5726">
        <w:rPr>
          <w:rFonts w:eastAsia="Calibri"/>
          <w:color w:val="000000"/>
          <w:spacing w:val="-2"/>
          <w:kern w:val="22"/>
          <w:lang w:val="en-GB"/>
        </w:rPr>
        <w:t xml:space="preserve">revenue </w:t>
      </w:r>
      <w:r w:rsidR="0052428C" w:rsidRPr="00EB5726">
        <w:rPr>
          <w:rFonts w:eastAsia="Calibri"/>
          <w:color w:val="000000"/>
          <w:spacing w:val="-2"/>
          <w:kern w:val="22"/>
          <w:lang w:val="en-GB"/>
        </w:rPr>
        <w:t>st</w:t>
      </w:r>
      <w:r w:rsidR="00383E98" w:rsidRPr="00EB5726">
        <w:rPr>
          <w:rFonts w:eastAsia="Calibri"/>
          <w:color w:val="000000"/>
          <w:spacing w:val="-2"/>
          <w:kern w:val="22"/>
          <w:lang w:val="en-GB"/>
        </w:rPr>
        <w:t>ood</w:t>
      </w:r>
      <w:r w:rsidR="0052428C" w:rsidRPr="00EB5726">
        <w:rPr>
          <w:rFonts w:eastAsia="Calibri"/>
          <w:color w:val="000000"/>
          <w:spacing w:val="-2"/>
          <w:kern w:val="22"/>
          <w:lang w:val="en-GB"/>
        </w:rPr>
        <w:t xml:space="preserve"> at 10 to 12 per cent</w:t>
      </w:r>
      <w:r w:rsidRPr="00EB5726">
        <w:rPr>
          <w:rFonts w:eastAsia="Calibri"/>
          <w:color w:val="000000"/>
          <w:spacing w:val="-2"/>
          <w:kern w:val="22"/>
          <w:lang w:val="en-GB"/>
        </w:rPr>
        <w:t xml:space="preserve"> of the entire steel industry. However, industry experts were not satisfied with the government</w:t>
      </w:r>
      <w:r w:rsidR="00476D77" w:rsidRPr="00EB5726">
        <w:rPr>
          <w:rFonts w:eastAsia="Calibri"/>
          <w:color w:val="000000"/>
          <w:spacing w:val="-2"/>
          <w:kern w:val="22"/>
          <w:lang w:val="en-GB"/>
        </w:rPr>
        <w:t>’s</w:t>
      </w:r>
      <w:r w:rsidRPr="00EB5726">
        <w:rPr>
          <w:rFonts w:eastAsia="Calibri"/>
          <w:color w:val="000000"/>
          <w:spacing w:val="-2"/>
          <w:kern w:val="22"/>
          <w:lang w:val="en-GB"/>
        </w:rPr>
        <w:t xml:space="preserve"> move to </w:t>
      </w:r>
      <w:r w:rsidR="0052428C" w:rsidRPr="00EB5726">
        <w:rPr>
          <w:rFonts w:eastAsia="Calibri"/>
          <w:color w:val="000000"/>
          <w:spacing w:val="-2"/>
          <w:kern w:val="22"/>
          <w:lang w:val="en-GB"/>
        </w:rPr>
        <w:t>increase the import duty from 5</w:t>
      </w:r>
      <w:r w:rsidR="00234C27" w:rsidRPr="00EB5726">
        <w:rPr>
          <w:rFonts w:eastAsia="Calibri"/>
          <w:color w:val="000000"/>
          <w:spacing w:val="-2"/>
          <w:kern w:val="22"/>
          <w:lang w:val="en-GB"/>
        </w:rPr>
        <w:t xml:space="preserve"> per cent to 7.5 per cent</w:t>
      </w:r>
      <w:r w:rsidRPr="00EB5726">
        <w:rPr>
          <w:rFonts w:eastAsia="Calibri"/>
          <w:color w:val="000000"/>
          <w:spacing w:val="-2"/>
          <w:kern w:val="22"/>
          <w:lang w:val="en-GB"/>
        </w:rPr>
        <w:t>. The president of the Indian Stainless Steel Development Association said, “Countries such as Ch</w:t>
      </w:r>
      <w:r w:rsidR="00234C27" w:rsidRPr="00EB5726">
        <w:rPr>
          <w:rFonts w:eastAsia="Calibri"/>
          <w:color w:val="000000"/>
          <w:spacing w:val="-2"/>
          <w:kern w:val="22"/>
          <w:lang w:val="en-GB"/>
        </w:rPr>
        <w:t>ina and Brazil impose around 14 per cent and 10 per cent</w:t>
      </w:r>
      <w:r w:rsidRPr="00EB5726">
        <w:rPr>
          <w:rFonts w:eastAsia="Calibri"/>
          <w:color w:val="000000"/>
          <w:spacing w:val="-2"/>
          <w:kern w:val="22"/>
          <w:lang w:val="en-GB"/>
        </w:rPr>
        <w:t xml:space="preserve"> import duty respectively, whereas India’s increased import duty is still lagging behind, and in turn, offering an unfair competition to the domestic manufacturer.” </w:t>
      </w:r>
      <w:proofErr w:type="spellStart"/>
      <w:r w:rsidR="00383E98" w:rsidRPr="00EB5726">
        <w:rPr>
          <w:rFonts w:eastAsia="Calibri"/>
          <w:color w:val="000000"/>
          <w:spacing w:val="-2"/>
          <w:kern w:val="22"/>
          <w:lang w:val="en-GB"/>
        </w:rPr>
        <w:t>Bartos’s</w:t>
      </w:r>
      <w:proofErr w:type="spellEnd"/>
      <w:r w:rsidR="00383E98" w:rsidRPr="00EB5726">
        <w:rPr>
          <w:rFonts w:eastAsia="Calibri"/>
          <w:color w:val="000000"/>
          <w:spacing w:val="-2"/>
          <w:kern w:val="22"/>
          <w:lang w:val="en-GB"/>
        </w:rPr>
        <w:t xml:space="preserve"> d</w:t>
      </w:r>
      <w:r w:rsidRPr="00EB5726">
        <w:rPr>
          <w:rFonts w:eastAsia="Calibri"/>
          <w:color w:val="000000"/>
          <w:spacing w:val="-2"/>
          <w:kern w:val="22"/>
          <w:lang w:val="en-GB"/>
        </w:rPr>
        <w:t>irector of procurement</w:t>
      </w:r>
      <w:r w:rsidR="00383E98" w:rsidRPr="00EB5726">
        <w:rPr>
          <w:rFonts w:eastAsia="Calibri"/>
          <w:color w:val="000000"/>
          <w:spacing w:val="-2"/>
          <w:kern w:val="22"/>
          <w:lang w:val="en-GB"/>
        </w:rPr>
        <w:t xml:space="preserve"> </w:t>
      </w:r>
      <w:r w:rsidRPr="00EB5726">
        <w:rPr>
          <w:rFonts w:eastAsia="Calibri"/>
          <w:color w:val="000000"/>
          <w:spacing w:val="-2"/>
          <w:kern w:val="22"/>
          <w:lang w:val="en-GB"/>
        </w:rPr>
        <w:t>expressed his dissatisfaction with government poli</w:t>
      </w:r>
      <w:r w:rsidR="0052428C" w:rsidRPr="00EB5726">
        <w:rPr>
          <w:rFonts w:eastAsia="Calibri"/>
          <w:color w:val="000000"/>
          <w:spacing w:val="-2"/>
          <w:kern w:val="22"/>
          <w:lang w:val="en-GB"/>
        </w:rPr>
        <w:t>cies</w:t>
      </w:r>
      <w:r w:rsidR="00383E98" w:rsidRPr="00EB5726">
        <w:rPr>
          <w:rFonts w:eastAsia="Calibri"/>
          <w:color w:val="000000"/>
          <w:spacing w:val="-2"/>
          <w:kern w:val="22"/>
          <w:lang w:val="en-GB"/>
        </w:rPr>
        <w:t xml:space="preserve">: </w:t>
      </w:r>
    </w:p>
    <w:p w14:paraId="443006B9" w14:textId="77777777" w:rsidR="00F33B93" w:rsidRDefault="00F33B93" w:rsidP="004E5586">
      <w:pPr>
        <w:pStyle w:val="BodyTextMain"/>
        <w:rPr>
          <w:rFonts w:eastAsia="Calibri"/>
          <w:color w:val="000000"/>
          <w:lang w:val="en-GB"/>
        </w:rPr>
      </w:pPr>
    </w:p>
    <w:p w14:paraId="2C067D9A" w14:textId="1CA60F89" w:rsidR="00F33B93" w:rsidRDefault="0052428C" w:rsidP="00A03932">
      <w:pPr>
        <w:pStyle w:val="BodyTextMain"/>
        <w:ind w:left="720"/>
        <w:rPr>
          <w:rFonts w:eastAsia="Calibri"/>
          <w:color w:val="000000"/>
          <w:lang w:val="en-GB"/>
        </w:rPr>
      </w:pPr>
      <w:r>
        <w:rPr>
          <w:rFonts w:eastAsia="Calibri"/>
          <w:color w:val="000000"/>
          <w:lang w:val="en-GB"/>
        </w:rPr>
        <w:lastRenderedPageBreak/>
        <w:t xml:space="preserve">In India, 60 to </w:t>
      </w:r>
      <w:r w:rsidR="00234C27" w:rsidRPr="00640417">
        <w:rPr>
          <w:rFonts w:eastAsia="Calibri"/>
          <w:color w:val="000000"/>
          <w:lang w:val="en-GB"/>
        </w:rPr>
        <w:t>70 per cent</w:t>
      </w:r>
      <w:r w:rsidR="004E5586" w:rsidRPr="00640417">
        <w:rPr>
          <w:rFonts w:eastAsia="Calibri"/>
          <w:color w:val="000000"/>
          <w:lang w:val="en-GB"/>
        </w:rPr>
        <w:t xml:space="preserve"> of stainless steel is produced through recycling</w:t>
      </w:r>
      <w:r w:rsidR="00476D77">
        <w:rPr>
          <w:rFonts w:eastAsia="Calibri"/>
          <w:color w:val="000000"/>
          <w:lang w:val="en-GB"/>
        </w:rPr>
        <w:t>,</w:t>
      </w:r>
      <w:r w:rsidR="004E5586" w:rsidRPr="00640417">
        <w:rPr>
          <w:rFonts w:eastAsia="Calibri"/>
          <w:color w:val="000000"/>
          <w:lang w:val="en-GB"/>
        </w:rPr>
        <w:t xml:space="preserve"> and this leads to higher</w:t>
      </w:r>
      <w:r>
        <w:rPr>
          <w:rFonts w:eastAsia="Calibri"/>
          <w:color w:val="000000"/>
          <w:lang w:val="en-GB"/>
        </w:rPr>
        <w:t xml:space="preserve"> dependency on stainless steel </w:t>
      </w:r>
      <w:r w:rsidR="004E5586" w:rsidRPr="00640417">
        <w:rPr>
          <w:rFonts w:eastAsia="Calibri"/>
          <w:color w:val="000000"/>
          <w:lang w:val="en-GB"/>
        </w:rPr>
        <w:t>scrap. Most of the scrap needs to be imported</w:t>
      </w:r>
      <w:r w:rsidR="00476D77">
        <w:rPr>
          <w:rFonts w:eastAsia="Calibri"/>
          <w:color w:val="000000"/>
          <w:lang w:val="en-GB"/>
        </w:rPr>
        <w:t>,</w:t>
      </w:r>
      <w:r w:rsidR="004E5586" w:rsidRPr="00640417">
        <w:rPr>
          <w:rFonts w:eastAsia="Calibri"/>
          <w:color w:val="000000"/>
          <w:lang w:val="en-GB"/>
        </w:rPr>
        <w:t xml:space="preserve"> as India is relatively new to stainless steel and scrap generation is still to come out. Request by industries to remove the import duty on SS </w:t>
      </w:r>
      <w:r w:rsidR="00476D77">
        <w:rPr>
          <w:rFonts w:eastAsia="Calibri"/>
          <w:color w:val="000000"/>
          <w:lang w:val="en-GB"/>
        </w:rPr>
        <w:t xml:space="preserve">[stainless steel] </w:t>
      </w:r>
      <w:r w:rsidR="004E5586" w:rsidRPr="00640417">
        <w:rPr>
          <w:rFonts w:eastAsia="Calibri"/>
          <w:color w:val="000000"/>
          <w:lang w:val="en-GB"/>
        </w:rPr>
        <w:t>scrap is mostly unheard by the government.</w:t>
      </w:r>
    </w:p>
    <w:p w14:paraId="017EB9EF" w14:textId="7867B3A0" w:rsidR="00F33B93" w:rsidRDefault="00F33B93" w:rsidP="00A03932">
      <w:pPr>
        <w:pStyle w:val="BodyTextMain"/>
        <w:ind w:left="720"/>
        <w:rPr>
          <w:rFonts w:eastAsia="Calibri"/>
          <w:color w:val="000000"/>
          <w:lang w:val="en-GB"/>
        </w:rPr>
      </w:pPr>
    </w:p>
    <w:p w14:paraId="70576D31" w14:textId="651F4726" w:rsidR="0052428C" w:rsidRDefault="004E5586" w:rsidP="00F64567">
      <w:pPr>
        <w:pStyle w:val="BodyTextMain"/>
        <w:rPr>
          <w:rFonts w:eastAsia="Calibri"/>
          <w:color w:val="000000"/>
          <w:lang w:val="en-GB"/>
        </w:rPr>
      </w:pPr>
      <w:r w:rsidRPr="00640417">
        <w:rPr>
          <w:rFonts w:eastAsia="Calibri"/>
          <w:color w:val="000000"/>
          <w:lang w:val="en-GB"/>
        </w:rPr>
        <w:t xml:space="preserve">Moreover, </w:t>
      </w:r>
      <w:r w:rsidR="00383E98">
        <w:rPr>
          <w:rFonts w:eastAsia="Calibri"/>
          <w:color w:val="000000"/>
          <w:lang w:val="en-GB"/>
        </w:rPr>
        <w:t xml:space="preserve">the </w:t>
      </w:r>
      <w:r w:rsidRPr="00640417">
        <w:rPr>
          <w:rFonts w:eastAsia="Calibri"/>
          <w:color w:val="000000"/>
          <w:lang w:val="en-GB"/>
        </w:rPr>
        <w:t>volatility in raw material prices and fluctuation in exchange rates</w:t>
      </w:r>
      <w:r w:rsidR="00AB593E">
        <w:rPr>
          <w:rFonts w:eastAsia="Calibri"/>
          <w:color w:val="000000"/>
          <w:lang w:val="en-GB"/>
        </w:rPr>
        <w:t>—</w:t>
      </w:r>
      <w:r w:rsidR="00234C27" w:rsidRPr="00640417">
        <w:rPr>
          <w:rFonts w:eastAsia="Calibri"/>
          <w:color w:val="000000"/>
          <w:lang w:val="en-GB"/>
        </w:rPr>
        <w:t xml:space="preserve">coupled with </w:t>
      </w:r>
      <w:r w:rsidR="00383E98">
        <w:rPr>
          <w:rFonts w:eastAsia="Calibri"/>
          <w:color w:val="000000"/>
          <w:lang w:val="en-GB"/>
        </w:rPr>
        <w:t xml:space="preserve">the </w:t>
      </w:r>
      <w:r w:rsidR="00234C27" w:rsidRPr="00640417">
        <w:rPr>
          <w:rFonts w:eastAsia="Calibri"/>
          <w:color w:val="000000"/>
          <w:lang w:val="en-GB"/>
        </w:rPr>
        <w:t>import duty of 2.5 per cent</w:t>
      </w:r>
      <w:r w:rsidRPr="00640417">
        <w:rPr>
          <w:rFonts w:eastAsia="Calibri"/>
          <w:color w:val="000000"/>
          <w:lang w:val="en-GB"/>
        </w:rPr>
        <w:t xml:space="preserve"> on pure nickel, </w:t>
      </w:r>
      <w:r w:rsidR="00383E98">
        <w:rPr>
          <w:rFonts w:eastAsia="Calibri"/>
          <w:color w:val="000000"/>
          <w:lang w:val="en-GB"/>
        </w:rPr>
        <w:t>f</w:t>
      </w:r>
      <w:r w:rsidR="0052428C" w:rsidRPr="00640417">
        <w:rPr>
          <w:rFonts w:eastAsia="Calibri"/>
          <w:color w:val="000000"/>
          <w:lang w:val="en-GB"/>
        </w:rPr>
        <w:t>erro</w:t>
      </w:r>
      <w:r w:rsidRPr="00640417">
        <w:rPr>
          <w:rFonts w:eastAsia="Calibri"/>
          <w:color w:val="000000"/>
          <w:lang w:val="en-GB"/>
        </w:rPr>
        <w:t>nickel, mild steel, and other such raw materials</w:t>
      </w:r>
      <w:r w:rsidR="00AB593E">
        <w:rPr>
          <w:rFonts w:eastAsia="Calibri"/>
          <w:color w:val="000000"/>
          <w:lang w:val="en-GB"/>
        </w:rPr>
        <w:t>—</w:t>
      </w:r>
      <w:r w:rsidRPr="00640417">
        <w:rPr>
          <w:rFonts w:eastAsia="Calibri"/>
          <w:color w:val="000000"/>
          <w:lang w:val="en-GB"/>
        </w:rPr>
        <w:t xml:space="preserve">would severely </w:t>
      </w:r>
      <w:r w:rsidR="00AB593E">
        <w:rPr>
          <w:rFonts w:eastAsia="Calibri"/>
          <w:color w:val="000000"/>
          <w:lang w:val="en-GB"/>
        </w:rPr>
        <w:t xml:space="preserve">affect </w:t>
      </w:r>
      <w:r w:rsidRPr="00640417">
        <w:rPr>
          <w:rFonts w:eastAsia="Calibri"/>
          <w:color w:val="000000"/>
          <w:lang w:val="en-GB"/>
        </w:rPr>
        <w:t>profitability and operations.</w:t>
      </w:r>
      <w:r w:rsidR="00AC5FAB" w:rsidRPr="00640417">
        <w:rPr>
          <w:rFonts w:eastAsia="Calibri"/>
          <w:color w:val="000000"/>
          <w:lang w:val="en-GB"/>
        </w:rPr>
        <w:t xml:space="preserve"> </w:t>
      </w:r>
    </w:p>
    <w:p w14:paraId="05F28F54" w14:textId="77777777" w:rsidR="0052428C" w:rsidRDefault="0052428C" w:rsidP="004E5586">
      <w:pPr>
        <w:pStyle w:val="BodyTextMain"/>
        <w:rPr>
          <w:rFonts w:eastAsia="Calibri"/>
          <w:color w:val="000000"/>
          <w:lang w:val="en-GB"/>
        </w:rPr>
      </w:pPr>
    </w:p>
    <w:p w14:paraId="4F2356C1" w14:textId="31340A16" w:rsidR="0052428C" w:rsidRDefault="004E5586" w:rsidP="004E5586">
      <w:pPr>
        <w:pStyle w:val="BodyTextMain"/>
        <w:rPr>
          <w:rFonts w:eastAsia="Calibri"/>
          <w:color w:val="000000"/>
          <w:lang w:val="en-GB"/>
        </w:rPr>
      </w:pPr>
      <w:r w:rsidRPr="00640417">
        <w:rPr>
          <w:rFonts w:eastAsia="Calibri"/>
          <w:color w:val="000000"/>
          <w:lang w:val="en-GB"/>
        </w:rPr>
        <w:t>Seema Agarwal, assistant general manager</w:t>
      </w:r>
      <w:r w:rsidR="000F05A8">
        <w:rPr>
          <w:rFonts w:eastAsia="Calibri"/>
          <w:color w:val="000000"/>
          <w:lang w:val="en-GB"/>
        </w:rPr>
        <w:t xml:space="preserve"> of </w:t>
      </w:r>
      <w:r w:rsidRPr="00640417">
        <w:rPr>
          <w:rFonts w:eastAsia="Calibri"/>
          <w:color w:val="000000"/>
          <w:lang w:val="en-GB"/>
        </w:rPr>
        <w:t>costing at the Pune plant, said, “Import duties on important raw material and scrap are almost nil in China, which gives Chinese manufacturer an edge over Indian manufacturer in the international market. Indian policymakers must devise policies to curb import and help its stainless steel industry flourish.”</w:t>
      </w:r>
      <w:r w:rsidR="00166E8C" w:rsidRPr="00640417">
        <w:rPr>
          <w:rFonts w:eastAsia="Calibri"/>
          <w:color w:val="000000"/>
          <w:lang w:val="en-GB"/>
        </w:rPr>
        <w:t xml:space="preserve"> </w:t>
      </w:r>
      <w:r w:rsidRPr="00640417">
        <w:rPr>
          <w:rFonts w:eastAsia="Calibri"/>
          <w:color w:val="000000"/>
          <w:lang w:val="en-GB"/>
        </w:rPr>
        <w:t>Ratnagiri</w:t>
      </w:r>
      <w:r w:rsidR="005C1B8C">
        <w:rPr>
          <w:rFonts w:eastAsia="Calibri"/>
          <w:color w:val="000000"/>
          <w:lang w:val="en-GB"/>
        </w:rPr>
        <w:t xml:space="preserve"> </w:t>
      </w:r>
      <w:proofErr w:type="spellStart"/>
      <w:r w:rsidR="005C1B8C">
        <w:rPr>
          <w:rFonts w:eastAsia="Calibri"/>
          <w:color w:val="000000"/>
          <w:lang w:val="en-GB"/>
        </w:rPr>
        <w:t>Saha</w:t>
      </w:r>
      <w:proofErr w:type="spellEnd"/>
      <w:r w:rsidRPr="00640417">
        <w:rPr>
          <w:rFonts w:eastAsia="Calibri"/>
          <w:color w:val="000000"/>
          <w:lang w:val="en-GB"/>
        </w:rPr>
        <w:t>, head of the operations department at Salem Steel Plant (</w:t>
      </w:r>
      <w:r w:rsidR="00AB593E">
        <w:rPr>
          <w:rFonts w:eastAsia="Calibri"/>
          <w:color w:val="000000"/>
          <w:lang w:val="en-GB"/>
        </w:rPr>
        <w:t xml:space="preserve">a </w:t>
      </w:r>
      <w:r w:rsidRPr="00640417">
        <w:rPr>
          <w:rFonts w:eastAsia="Calibri"/>
          <w:color w:val="000000"/>
          <w:lang w:val="en-GB"/>
        </w:rPr>
        <w:t xml:space="preserve">government-owned stainless steel producing unit), said, “India has the potential to cater to the projected demand of both cold rolled product and hot rolled product. With support from the government and proper policies, India can become a global leader </w:t>
      </w:r>
      <w:r w:rsidR="0052428C">
        <w:rPr>
          <w:rFonts w:eastAsia="Calibri"/>
          <w:color w:val="000000"/>
          <w:lang w:val="en-GB"/>
        </w:rPr>
        <w:t>in the stainless steel industry</w:t>
      </w:r>
      <w:r w:rsidR="000F05A8">
        <w:rPr>
          <w:rFonts w:eastAsia="Calibri"/>
          <w:color w:val="000000"/>
          <w:lang w:val="en-GB"/>
        </w:rPr>
        <w:t>.</w:t>
      </w:r>
      <w:r w:rsidRPr="00640417">
        <w:rPr>
          <w:rFonts w:eastAsia="Calibri"/>
          <w:color w:val="000000"/>
          <w:lang w:val="en-GB"/>
        </w:rPr>
        <w:t>”</w:t>
      </w:r>
      <w:r w:rsidR="0052428C">
        <w:rPr>
          <w:rFonts w:eastAsia="Calibri"/>
          <w:color w:val="000000"/>
          <w:lang w:val="en-GB"/>
        </w:rPr>
        <w:t xml:space="preserve"> </w:t>
      </w:r>
    </w:p>
    <w:p w14:paraId="19C3F711" w14:textId="77777777" w:rsidR="0052428C" w:rsidRDefault="0052428C" w:rsidP="004E5586">
      <w:pPr>
        <w:pStyle w:val="BodyTextMain"/>
        <w:rPr>
          <w:rFonts w:eastAsia="Calibri"/>
          <w:color w:val="000000"/>
          <w:lang w:val="en-GB"/>
        </w:rPr>
      </w:pPr>
    </w:p>
    <w:p w14:paraId="0BC7AD32" w14:textId="77777777" w:rsidR="00801648" w:rsidRDefault="00801648" w:rsidP="004E5586">
      <w:pPr>
        <w:pStyle w:val="BodyTextMain"/>
        <w:rPr>
          <w:rFonts w:eastAsia="Calibri"/>
          <w:color w:val="000000"/>
          <w:lang w:val="en-GB"/>
        </w:rPr>
      </w:pPr>
    </w:p>
    <w:p w14:paraId="05A02873" w14:textId="32B14E37" w:rsidR="004E5586" w:rsidRPr="00640417" w:rsidRDefault="000849C3" w:rsidP="001D1405">
      <w:pPr>
        <w:pStyle w:val="Casehead1"/>
        <w:rPr>
          <w:lang w:val="en-GB"/>
        </w:rPr>
      </w:pPr>
      <w:r>
        <w:rPr>
          <w:lang w:val="en-GB"/>
        </w:rPr>
        <w:t xml:space="preserve">turbulent </w:t>
      </w:r>
      <w:r w:rsidR="001E5803" w:rsidRPr="00CC1B96">
        <w:rPr>
          <w:bCs/>
        </w:rPr>
        <w:t>phase</w:t>
      </w:r>
    </w:p>
    <w:p w14:paraId="6C3C809E" w14:textId="77777777" w:rsidR="00583ADB" w:rsidRPr="00640417" w:rsidRDefault="00583ADB" w:rsidP="001D1405">
      <w:pPr>
        <w:pStyle w:val="BodyTextMain"/>
        <w:rPr>
          <w:rFonts w:eastAsia="Calibri"/>
          <w:color w:val="000000"/>
          <w:lang w:val="en-GB"/>
        </w:rPr>
      </w:pPr>
    </w:p>
    <w:p w14:paraId="2A99C989" w14:textId="3A527662" w:rsidR="00384397" w:rsidRPr="00C85248" w:rsidRDefault="009545F7" w:rsidP="001D1405">
      <w:pPr>
        <w:pStyle w:val="BodyTextMain"/>
        <w:rPr>
          <w:rFonts w:eastAsia="Calibri"/>
          <w:color w:val="000000"/>
          <w:spacing w:val="-2"/>
          <w:kern w:val="22"/>
          <w:lang w:val="en-GB"/>
        </w:rPr>
      </w:pPr>
      <w:proofErr w:type="spellStart"/>
      <w:r w:rsidRPr="00C85248">
        <w:rPr>
          <w:rFonts w:eastAsia="Calibri"/>
          <w:color w:val="000000"/>
          <w:spacing w:val="-2"/>
          <w:kern w:val="22"/>
          <w:lang w:val="en-GB"/>
        </w:rPr>
        <w:t>Bartos’s</w:t>
      </w:r>
      <w:proofErr w:type="spellEnd"/>
      <w:r w:rsidRPr="00C85248">
        <w:rPr>
          <w:rFonts w:eastAsia="Calibri"/>
          <w:color w:val="000000"/>
          <w:spacing w:val="-2"/>
          <w:kern w:val="22"/>
          <w:lang w:val="en-GB"/>
        </w:rPr>
        <w:t xml:space="preserve"> </w:t>
      </w:r>
      <w:r w:rsidR="004E5586" w:rsidRPr="00C85248">
        <w:rPr>
          <w:rFonts w:eastAsia="Calibri"/>
          <w:color w:val="000000"/>
          <w:spacing w:val="-2"/>
          <w:kern w:val="22"/>
          <w:lang w:val="en-GB"/>
        </w:rPr>
        <w:t>annual repor</w:t>
      </w:r>
      <w:r w:rsidRPr="00C85248">
        <w:rPr>
          <w:rFonts w:eastAsia="Calibri"/>
          <w:color w:val="000000"/>
          <w:spacing w:val="-2"/>
          <w:kern w:val="22"/>
          <w:lang w:val="en-GB"/>
        </w:rPr>
        <w:t>t</w:t>
      </w:r>
      <w:r w:rsidR="00D71DE7" w:rsidRPr="00C85248">
        <w:rPr>
          <w:rFonts w:eastAsia="Calibri"/>
          <w:color w:val="000000"/>
          <w:spacing w:val="-2"/>
          <w:kern w:val="22"/>
          <w:lang w:val="en-GB"/>
        </w:rPr>
        <w:t xml:space="preserve"> </w:t>
      </w:r>
      <w:r w:rsidR="004E5586" w:rsidRPr="00C85248">
        <w:rPr>
          <w:rFonts w:eastAsia="Calibri"/>
          <w:color w:val="000000"/>
          <w:spacing w:val="-2"/>
          <w:kern w:val="22"/>
          <w:lang w:val="en-GB"/>
        </w:rPr>
        <w:t xml:space="preserve">for 2014 documented an increase in debt from </w:t>
      </w:r>
      <w:r w:rsidR="007E01BA" w:rsidRPr="00C85248">
        <w:rPr>
          <w:rFonts w:eastAsia="Calibri"/>
          <w:color w:val="000000"/>
          <w:spacing w:val="-2"/>
          <w:kern w:val="22"/>
          <w:lang w:val="en-GB"/>
        </w:rPr>
        <w:t>$</w:t>
      </w:r>
      <w:r w:rsidR="004E5586" w:rsidRPr="00C85248">
        <w:rPr>
          <w:rFonts w:eastAsia="Calibri"/>
          <w:color w:val="000000"/>
          <w:spacing w:val="-2"/>
          <w:kern w:val="22"/>
          <w:lang w:val="en-GB"/>
        </w:rPr>
        <w:t xml:space="preserve">1.79 billion in </w:t>
      </w:r>
      <w:r w:rsidR="00AB593E" w:rsidRPr="00C85248">
        <w:rPr>
          <w:rFonts w:eastAsia="Calibri"/>
          <w:color w:val="000000"/>
          <w:spacing w:val="-2"/>
          <w:kern w:val="22"/>
          <w:lang w:val="en-GB"/>
        </w:rPr>
        <w:t>FY</w:t>
      </w:r>
      <w:r w:rsidR="004E5586" w:rsidRPr="00C85248">
        <w:rPr>
          <w:rFonts w:eastAsia="Calibri"/>
          <w:color w:val="000000"/>
          <w:spacing w:val="-2"/>
          <w:kern w:val="22"/>
          <w:lang w:val="en-GB"/>
        </w:rPr>
        <w:t xml:space="preserve">2013 to </w:t>
      </w:r>
      <w:r w:rsidR="007E01BA" w:rsidRPr="00C85248">
        <w:rPr>
          <w:rFonts w:eastAsia="Calibri"/>
          <w:color w:val="000000"/>
          <w:spacing w:val="-2"/>
          <w:kern w:val="22"/>
          <w:lang w:val="en-GB"/>
        </w:rPr>
        <w:t>$</w:t>
      </w:r>
      <w:r w:rsidR="004E5586" w:rsidRPr="00C85248">
        <w:rPr>
          <w:rFonts w:eastAsia="Calibri"/>
          <w:color w:val="000000"/>
          <w:spacing w:val="-2"/>
          <w:kern w:val="22"/>
          <w:lang w:val="en-GB"/>
        </w:rPr>
        <w:t xml:space="preserve">1.82 billion in </w:t>
      </w:r>
      <w:r w:rsidR="00AB593E" w:rsidRPr="00C85248">
        <w:rPr>
          <w:rFonts w:eastAsia="Calibri"/>
          <w:color w:val="000000"/>
          <w:spacing w:val="-2"/>
          <w:kern w:val="22"/>
          <w:lang w:val="en-GB"/>
        </w:rPr>
        <w:t>FY</w:t>
      </w:r>
      <w:r w:rsidR="004E5586" w:rsidRPr="00C85248">
        <w:rPr>
          <w:rFonts w:eastAsia="Calibri"/>
          <w:color w:val="000000"/>
          <w:spacing w:val="-2"/>
          <w:kern w:val="22"/>
          <w:lang w:val="en-GB"/>
        </w:rPr>
        <w:t xml:space="preserve">2014. The interest amount to be paid by the company grew from </w:t>
      </w:r>
      <w:r w:rsidR="007E01BA" w:rsidRPr="00C85248">
        <w:rPr>
          <w:rFonts w:eastAsia="Calibri"/>
          <w:color w:val="000000"/>
          <w:spacing w:val="-2"/>
          <w:kern w:val="22"/>
          <w:lang w:val="en-GB"/>
        </w:rPr>
        <w:t>$</w:t>
      </w:r>
      <w:r w:rsidR="004E5586" w:rsidRPr="00C85248">
        <w:rPr>
          <w:rFonts w:eastAsia="Calibri"/>
          <w:color w:val="000000"/>
          <w:spacing w:val="-2"/>
          <w:kern w:val="22"/>
          <w:lang w:val="en-GB"/>
        </w:rPr>
        <w:t xml:space="preserve">72.1 million in </w:t>
      </w:r>
      <w:r w:rsidR="00AB593E" w:rsidRPr="00C85248">
        <w:rPr>
          <w:rFonts w:eastAsia="Calibri"/>
          <w:color w:val="000000"/>
          <w:spacing w:val="-2"/>
          <w:kern w:val="22"/>
          <w:lang w:val="en-GB"/>
        </w:rPr>
        <w:t>FY</w:t>
      </w:r>
      <w:r w:rsidR="004E5586" w:rsidRPr="00C85248">
        <w:rPr>
          <w:rFonts w:eastAsia="Calibri"/>
          <w:color w:val="000000"/>
          <w:spacing w:val="-2"/>
          <w:kern w:val="22"/>
          <w:lang w:val="en-GB"/>
        </w:rPr>
        <w:t xml:space="preserve">2010 to </w:t>
      </w:r>
      <w:r w:rsidR="007E01BA" w:rsidRPr="00C85248">
        <w:rPr>
          <w:rFonts w:eastAsia="Calibri"/>
          <w:color w:val="000000"/>
          <w:spacing w:val="-2"/>
          <w:kern w:val="22"/>
          <w:lang w:val="en-GB"/>
        </w:rPr>
        <w:t>$</w:t>
      </w:r>
      <w:r w:rsidR="004E5586" w:rsidRPr="00C85248">
        <w:rPr>
          <w:rFonts w:eastAsia="Calibri"/>
          <w:color w:val="000000"/>
          <w:spacing w:val="-2"/>
          <w:kern w:val="22"/>
          <w:lang w:val="en-GB"/>
        </w:rPr>
        <w:t xml:space="preserve">205.6 million in </w:t>
      </w:r>
      <w:r w:rsidR="00AB593E" w:rsidRPr="00C85248">
        <w:rPr>
          <w:rFonts w:eastAsia="Calibri"/>
          <w:color w:val="000000"/>
          <w:spacing w:val="-2"/>
          <w:kern w:val="22"/>
          <w:lang w:val="en-GB"/>
        </w:rPr>
        <w:t>FY</w:t>
      </w:r>
      <w:r w:rsidR="004E5586" w:rsidRPr="00C85248">
        <w:rPr>
          <w:rFonts w:eastAsia="Calibri"/>
          <w:color w:val="000000"/>
          <w:spacing w:val="-2"/>
          <w:kern w:val="22"/>
          <w:lang w:val="en-GB"/>
        </w:rPr>
        <w:t xml:space="preserve">2014. The company’s retained earnings decreased sharply from </w:t>
      </w:r>
      <w:r w:rsidRPr="00C85248">
        <w:rPr>
          <w:rFonts w:eastAsia="Calibri"/>
          <w:color w:val="000000"/>
          <w:spacing w:val="-2"/>
          <w:kern w:val="22"/>
          <w:lang w:val="en-GB"/>
        </w:rPr>
        <w:t xml:space="preserve">a </w:t>
      </w:r>
      <w:r w:rsidR="004E5586" w:rsidRPr="00C85248">
        <w:rPr>
          <w:rFonts w:eastAsia="Calibri"/>
          <w:color w:val="000000"/>
          <w:spacing w:val="-2"/>
          <w:kern w:val="22"/>
          <w:lang w:val="en-GB"/>
        </w:rPr>
        <w:t xml:space="preserve">profit of </w:t>
      </w:r>
      <w:r w:rsidR="007E01BA" w:rsidRPr="00C85248">
        <w:rPr>
          <w:rFonts w:eastAsia="Calibri"/>
          <w:color w:val="000000"/>
          <w:spacing w:val="-2"/>
          <w:kern w:val="22"/>
          <w:lang w:val="en-GB"/>
        </w:rPr>
        <w:t>$</w:t>
      </w:r>
      <w:r w:rsidR="004E5586" w:rsidRPr="00C85248">
        <w:rPr>
          <w:rFonts w:eastAsia="Calibri"/>
          <w:color w:val="000000"/>
          <w:spacing w:val="-2"/>
          <w:kern w:val="22"/>
          <w:lang w:val="en-GB"/>
        </w:rPr>
        <w:t xml:space="preserve">63 million in </w:t>
      </w:r>
      <w:r w:rsidR="00AB593E" w:rsidRPr="00C85248">
        <w:rPr>
          <w:rFonts w:eastAsia="Calibri"/>
          <w:color w:val="000000"/>
          <w:spacing w:val="-2"/>
          <w:kern w:val="22"/>
          <w:lang w:val="en-GB"/>
        </w:rPr>
        <w:t>FY</w:t>
      </w:r>
      <w:r w:rsidR="004E5586" w:rsidRPr="00C85248">
        <w:rPr>
          <w:rFonts w:eastAsia="Calibri"/>
          <w:color w:val="000000"/>
          <w:spacing w:val="-2"/>
          <w:kern w:val="22"/>
          <w:lang w:val="en-GB"/>
        </w:rPr>
        <w:t xml:space="preserve">2010 to </w:t>
      </w:r>
      <w:r w:rsidRPr="00C85248">
        <w:rPr>
          <w:rFonts w:eastAsia="Calibri"/>
          <w:color w:val="000000"/>
          <w:spacing w:val="-2"/>
          <w:kern w:val="22"/>
          <w:lang w:val="en-GB"/>
        </w:rPr>
        <w:t xml:space="preserve">a </w:t>
      </w:r>
      <w:r w:rsidR="004E5586" w:rsidRPr="00C85248">
        <w:rPr>
          <w:rFonts w:eastAsia="Calibri"/>
          <w:color w:val="000000"/>
          <w:spacing w:val="-2"/>
          <w:kern w:val="22"/>
          <w:lang w:val="en-GB"/>
        </w:rPr>
        <w:t xml:space="preserve">loss of </w:t>
      </w:r>
      <w:r w:rsidR="007E01BA" w:rsidRPr="00C85248">
        <w:rPr>
          <w:rFonts w:eastAsia="Calibri"/>
          <w:color w:val="000000"/>
          <w:spacing w:val="-2"/>
          <w:kern w:val="22"/>
          <w:lang w:val="en-GB"/>
        </w:rPr>
        <w:t>$</w:t>
      </w:r>
      <w:r w:rsidR="004E5586" w:rsidRPr="00C85248">
        <w:rPr>
          <w:rFonts w:eastAsia="Calibri"/>
          <w:color w:val="000000"/>
          <w:spacing w:val="-2"/>
          <w:kern w:val="22"/>
          <w:lang w:val="en-GB"/>
        </w:rPr>
        <w:t>218 million in</w:t>
      </w:r>
      <w:r w:rsidR="00AB593E" w:rsidRPr="00C85248">
        <w:rPr>
          <w:rFonts w:eastAsia="Calibri"/>
          <w:color w:val="000000"/>
          <w:spacing w:val="-2"/>
          <w:kern w:val="22"/>
          <w:lang w:val="en-GB"/>
        </w:rPr>
        <w:t xml:space="preserve"> FY</w:t>
      </w:r>
      <w:r w:rsidR="004E5586" w:rsidRPr="00C85248">
        <w:rPr>
          <w:rFonts w:eastAsia="Calibri"/>
          <w:color w:val="000000"/>
          <w:spacing w:val="-2"/>
          <w:kern w:val="22"/>
          <w:lang w:val="en-GB"/>
        </w:rPr>
        <w:t xml:space="preserve">2014. The </w:t>
      </w:r>
      <w:r w:rsidR="00EB456D" w:rsidRPr="00C85248">
        <w:rPr>
          <w:rFonts w:eastAsia="Calibri"/>
          <w:color w:val="000000"/>
          <w:spacing w:val="-2"/>
          <w:kern w:val="22"/>
          <w:lang w:val="en-GB"/>
        </w:rPr>
        <w:t>board of d</w:t>
      </w:r>
      <w:r w:rsidR="004E5586" w:rsidRPr="00C85248">
        <w:rPr>
          <w:rFonts w:eastAsia="Calibri"/>
          <w:color w:val="000000"/>
          <w:spacing w:val="-2"/>
          <w:kern w:val="22"/>
          <w:lang w:val="en-GB"/>
        </w:rPr>
        <w:t xml:space="preserve">irectors was unhappy with the financial results. Market sentiments were reflected in </w:t>
      </w:r>
      <w:r w:rsidR="006A1262" w:rsidRPr="00C85248">
        <w:rPr>
          <w:rFonts w:eastAsia="Calibri"/>
          <w:color w:val="000000"/>
          <w:spacing w:val="-2"/>
          <w:kern w:val="22"/>
          <w:lang w:val="en-GB"/>
        </w:rPr>
        <w:t xml:space="preserve">the </w:t>
      </w:r>
      <w:r w:rsidR="004E5586" w:rsidRPr="00C85248">
        <w:rPr>
          <w:rFonts w:eastAsia="Calibri"/>
          <w:color w:val="000000"/>
          <w:spacing w:val="-2"/>
          <w:kern w:val="22"/>
          <w:lang w:val="en-GB"/>
        </w:rPr>
        <w:t>plummeting prices of stock and volume traded (</w:t>
      </w:r>
      <w:r w:rsidR="00234C27" w:rsidRPr="00C85248">
        <w:rPr>
          <w:rFonts w:eastAsia="Calibri"/>
          <w:color w:val="000000"/>
          <w:spacing w:val="-2"/>
          <w:kern w:val="22"/>
          <w:lang w:val="en-GB"/>
        </w:rPr>
        <w:t xml:space="preserve">see </w:t>
      </w:r>
      <w:r w:rsidR="001B55C0" w:rsidRPr="00C85248">
        <w:rPr>
          <w:rFonts w:eastAsia="Calibri"/>
          <w:color w:val="000000"/>
          <w:spacing w:val="-2"/>
          <w:kern w:val="22"/>
          <w:lang w:val="en-GB"/>
        </w:rPr>
        <w:t xml:space="preserve">Exhibit </w:t>
      </w:r>
      <w:r w:rsidR="00C57FFB" w:rsidRPr="00C85248">
        <w:rPr>
          <w:rFonts w:eastAsia="Calibri"/>
          <w:color w:val="000000"/>
          <w:spacing w:val="-2"/>
          <w:kern w:val="22"/>
          <w:lang w:val="en-GB"/>
        </w:rPr>
        <w:t>10</w:t>
      </w:r>
      <w:r w:rsidR="004E5586" w:rsidRPr="00C85248">
        <w:rPr>
          <w:rFonts w:eastAsia="Calibri"/>
          <w:color w:val="000000"/>
          <w:spacing w:val="-2"/>
          <w:kern w:val="22"/>
          <w:lang w:val="en-GB"/>
        </w:rPr>
        <w:t xml:space="preserve">). Banks were constantly approaching </w:t>
      </w:r>
      <w:proofErr w:type="spellStart"/>
      <w:r w:rsidR="00AB593E" w:rsidRPr="00C85248">
        <w:rPr>
          <w:rFonts w:eastAsia="Calibri"/>
          <w:color w:val="000000"/>
          <w:spacing w:val="-2"/>
          <w:kern w:val="22"/>
          <w:lang w:val="en-GB"/>
        </w:rPr>
        <w:t>Bartos</w:t>
      </w:r>
      <w:proofErr w:type="spellEnd"/>
      <w:r w:rsidR="00AB593E" w:rsidRPr="00C85248">
        <w:rPr>
          <w:rFonts w:eastAsia="Calibri"/>
          <w:color w:val="000000"/>
          <w:spacing w:val="-2"/>
          <w:kern w:val="22"/>
          <w:lang w:val="en-GB"/>
        </w:rPr>
        <w:t xml:space="preserve"> </w:t>
      </w:r>
      <w:r w:rsidR="004E5586" w:rsidRPr="00C85248">
        <w:rPr>
          <w:rFonts w:eastAsia="Calibri"/>
          <w:color w:val="000000"/>
          <w:spacing w:val="-2"/>
          <w:kern w:val="22"/>
          <w:lang w:val="en-GB"/>
        </w:rPr>
        <w:t>for their interest and principal repayment, but they were not able to get any substantive repayment plan. To explore a way out, the chief financial off</w:t>
      </w:r>
      <w:r w:rsidR="00B07034" w:rsidRPr="00C85248">
        <w:rPr>
          <w:rFonts w:eastAsia="Calibri"/>
          <w:color w:val="000000"/>
          <w:spacing w:val="-2"/>
          <w:kern w:val="22"/>
          <w:lang w:val="en-GB"/>
        </w:rPr>
        <w:t>ic</w:t>
      </w:r>
      <w:r w:rsidR="004E5586" w:rsidRPr="00C85248">
        <w:rPr>
          <w:rFonts w:eastAsia="Calibri"/>
          <w:color w:val="000000"/>
          <w:spacing w:val="-2"/>
          <w:kern w:val="22"/>
          <w:lang w:val="en-GB"/>
        </w:rPr>
        <w:t>er</w:t>
      </w:r>
      <w:r w:rsidRPr="00C85248">
        <w:rPr>
          <w:rFonts w:eastAsia="Calibri"/>
          <w:color w:val="000000"/>
          <w:spacing w:val="-2"/>
          <w:kern w:val="22"/>
          <w:lang w:val="en-GB"/>
        </w:rPr>
        <w:t xml:space="preserve"> </w:t>
      </w:r>
      <w:r w:rsidR="004E5586" w:rsidRPr="00C85248">
        <w:rPr>
          <w:rFonts w:eastAsia="Calibri"/>
          <w:color w:val="000000"/>
          <w:spacing w:val="-2"/>
          <w:kern w:val="22"/>
          <w:lang w:val="en-GB"/>
        </w:rPr>
        <w:t>had already looked into corporate debt restructuring.</w:t>
      </w:r>
      <w:r w:rsidRPr="00C85248">
        <w:rPr>
          <w:rFonts w:eastAsia="Calibri"/>
          <w:color w:val="000000"/>
          <w:spacing w:val="-2"/>
          <w:kern w:val="22"/>
          <w:lang w:val="en-GB"/>
        </w:rPr>
        <w:t xml:space="preserve"> </w:t>
      </w:r>
      <w:proofErr w:type="spellStart"/>
      <w:r w:rsidRPr="00C85248">
        <w:rPr>
          <w:rFonts w:eastAsia="Calibri"/>
          <w:color w:val="000000"/>
          <w:spacing w:val="-2"/>
          <w:kern w:val="22"/>
          <w:lang w:val="en-GB"/>
        </w:rPr>
        <w:t>Bartos</w:t>
      </w:r>
      <w:proofErr w:type="spellEnd"/>
      <w:r w:rsidR="004E5586" w:rsidRPr="00C85248">
        <w:rPr>
          <w:rFonts w:eastAsia="Calibri"/>
          <w:color w:val="000000"/>
          <w:spacing w:val="-2"/>
          <w:kern w:val="22"/>
          <w:lang w:val="en-GB"/>
        </w:rPr>
        <w:t xml:space="preserve"> had not paid any dividend since 2010, and its earning per share was at an all-time low. Share prices were showing a decreasing trend from 2010 (</w:t>
      </w:r>
      <w:r w:rsidR="00234C27" w:rsidRPr="00C85248">
        <w:rPr>
          <w:rFonts w:eastAsia="Calibri"/>
          <w:color w:val="000000"/>
          <w:spacing w:val="-2"/>
          <w:kern w:val="22"/>
          <w:lang w:val="en-GB"/>
        </w:rPr>
        <w:t xml:space="preserve">see </w:t>
      </w:r>
      <w:r w:rsidR="001B55C0" w:rsidRPr="00C85248">
        <w:rPr>
          <w:rFonts w:eastAsia="Calibri"/>
          <w:color w:val="000000"/>
          <w:spacing w:val="-2"/>
          <w:kern w:val="22"/>
          <w:lang w:val="en-GB"/>
        </w:rPr>
        <w:t xml:space="preserve">Exhibit </w:t>
      </w:r>
      <w:r w:rsidR="00C57FFB" w:rsidRPr="00C85248">
        <w:rPr>
          <w:rFonts w:eastAsia="Calibri"/>
          <w:color w:val="000000"/>
          <w:spacing w:val="-2"/>
          <w:kern w:val="22"/>
          <w:lang w:val="en-GB"/>
        </w:rPr>
        <w:t>10</w:t>
      </w:r>
      <w:r w:rsidR="004E5586" w:rsidRPr="00C85248">
        <w:rPr>
          <w:rFonts w:eastAsia="Calibri"/>
          <w:color w:val="000000"/>
          <w:spacing w:val="-2"/>
          <w:kern w:val="22"/>
          <w:lang w:val="en-GB"/>
        </w:rPr>
        <w:t>).</w:t>
      </w:r>
    </w:p>
    <w:p w14:paraId="5DA04269" w14:textId="77777777" w:rsidR="00384397" w:rsidRDefault="00384397" w:rsidP="001D1405">
      <w:pPr>
        <w:pStyle w:val="BodyTextMain"/>
        <w:rPr>
          <w:rFonts w:eastAsia="Calibri"/>
          <w:color w:val="000000"/>
          <w:lang w:val="en-GB"/>
        </w:rPr>
      </w:pPr>
    </w:p>
    <w:p w14:paraId="681F1A1E" w14:textId="1DFEDCE8" w:rsidR="006E02F4" w:rsidRPr="00640417" w:rsidRDefault="004E5586" w:rsidP="001D1405">
      <w:pPr>
        <w:pStyle w:val="BodyTextMain"/>
        <w:rPr>
          <w:rFonts w:eastAsia="Calibri"/>
          <w:color w:val="000000"/>
          <w:lang w:val="en-GB"/>
        </w:rPr>
      </w:pPr>
      <w:r w:rsidRPr="00640417">
        <w:rPr>
          <w:rFonts w:eastAsia="Calibri"/>
          <w:color w:val="000000"/>
          <w:lang w:val="en-GB"/>
        </w:rPr>
        <w:t>The newly hired CEO</w:t>
      </w:r>
      <w:r w:rsidR="009545F7">
        <w:rPr>
          <w:rFonts w:eastAsia="Calibri"/>
          <w:color w:val="000000"/>
          <w:lang w:val="en-GB"/>
        </w:rPr>
        <w:t>,</w:t>
      </w:r>
      <w:r w:rsidR="00166E8C" w:rsidRPr="00640417">
        <w:rPr>
          <w:rFonts w:eastAsia="Calibri"/>
          <w:color w:val="000000"/>
          <w:lang w:val="en-GB"/>
        </w:rPr>
        <w:t xml:space="preserve"> </w:t>
      </w:r>
      <w:r w:rsidR="00640417">
        <w:rPr>
          <w:rFonts w:eastAsia="Calibri"/>
          <w:color w:val="000000"/>
          <w:lang w:val="en-GB"/>
        </w:rPr>
        <w:t>Sinha</w:t>
      </w:r>
      <w:r w:rsidR="009545F7">
        <w:rPr>
          <w:rFonts w:eastAsia="Calibri"/>
          <w:color w:val="000000"/>
          <w:lang w:val="en-GB"/>
        </w:rPr>
        <w:t>,</w:t>
      </w:r>
      <w:r w:rsidRPr="00640417">
        <w:rPr>
          <w:rFonts w:eastAsia="Calibri"/>
          <w:color w:val="000000"/>
          <w:lang w:val="en-GB"/>
        </w:rPr>
        <w:t xml:space="preserve"> was working on all fronts but could not help alleviate </w:t>
      </w:r>
      <w:proofErr w:type="spellStart"/>
      <w:r w:rsidR="009545F7">
        <w:rPr>
          <w:rFonts w:eastAsia="Calibri"/>
          <w:color w:val="000000"/>
          <w:lang w:val="en-GB"/>
        </w:rPr>
        <w:t>Bartos’s</w:t>
      </w:r>
      <w:proofErr w:type="spellEnd"/>
      <w:r w:rsidR="009545F7">
        <w:rPr>
          <w:rFonts w:eastAsia="Calibri"/>
          <w:color w:val="000000"/>
          <w:lang w:val="en-GB"/>
        </w:rPr>
        <w:t xml:space="preserve"> </w:t>
      </w:r>
      <w:r w:rsidRPr="00640417">
        <w:rPr>
          <w:rFonts w:eastAsia="Calibri"/>
          <w:color w:val="000000"/>
          <w:lang w:val="en-GB"/>
        </w:rPr>
        <w:t xml:space="preserve">financial position. </w:t>
      </w:r>
      <w:r w:rsidR="009545F7">
        <w:rPr>
          <w:rFonts w:eastAsia="Calibri"/>
          <w:color w:val="000000"/>
          <w:lang w:val="en-GB"/>
        </w:rPr>
        <w:t xml:space="preserve">In the face of </w:t>
      </w:r>
      <w:r w:rsidRPr="00640417">
        <w:rPr>
          <w:rFonts w:eastAsia="Calibri"/>
          <w:color w:val="000000"/>
          <w:lang w:val="en-GB"/>
        </w:rPr>
        <w:t>growing concern</w:t>
      </w:r>
      <w:r w:rsidR="009545F7">
        <w:rPr>
          <w:rFonts w:eastAsia="Calibri"/>
          <w:color w:val="000000"/>
          <w:lang w:val="en-GB"/>
        </w:rPr>
        <w:t>s</w:t>
      </w:r>
      <w:r w:rsidRPr="00640417">
        <w:rPr>
          <w:rFonts w:eastAsia="Calibri"/>
          <w:color w:val="000000"/>
          <w:lang w:val="en-GB"/>
        </w:rPr>
        <w:t xml:space="preserve"> to alleviate </w:t>
      </w:r>
      <w:r w:rsidR="006A1262">
        <w:rPr>
          <w:rFonts w:eastAsia="Calibri"/>
          <w:color w:val="000000"/>
          <w:lang w:val="en-GB"/>
        </w:rPr>
        <w:t xml:space="preserve">not only </w:t>
      </w:r>
      <w:r w:rsidRPr="00640417">
        <w:rPr>
          <w:rFonts w:eastAsia="Calibri"/>
          <w:color w:val="000000"/>
          <w:lang w:val="en-GB"/>
        </w:rPr>
        <w:t>the company’s fina</w:t>
      </w:r>
      <w:r w:rsidR="00EB456D">
        <w:rPr>
          <w:rFonts w:eastAsia="Calibri"/>
          <w:color w:val="000000"/>
          <w:lang w:val="en-GB"/>
        </w:rPr>
        <w:t>ncial position</w:t>
      </w:r>
      <w:r w:rsidR="0084264D">
        <w:rPr>
          <w:rFonts w:eastAsia="Calibri"/>
          <w:color w:val="000000"/>
          <w:lang w:val="en-GB"/>
        </w:rPr>
        <w:t xml:space="preserve"> </w:t>
      </w:r>
      <w:r w:rsidR="006A1262">
        <w:rPr>
          <w:rFonts w:eastAsia="Calibri"/>
          <w:color w:val="000000"/>
          <w:lang w:val="en-GB"/>
        </w:rPr>
        <w:t>but also</w:t>
      </w:r>
      <w:r w:rsidR="00EB456D">
        <w:rPr>
          <w:rFonts w:eastAsia="Calibri"/>
          <w:color w:val="000000"/>
          <w:lang w:val="en-GB"/>
        </w:rPr>
        <w:t xml:space="preserve"> </w:t>
      </w:r>
      <w:r w:rsidR="009545F7">
        <w:rPr>
          <w:rFonts w:eastAsia="Calibri"/>
          <w:color w:val="000000"/>
          <w:lang w:val="en-GB"/>
        </w:rPr>
        <w:t xml:space="preserve">the </w:t>
      </w:r>
      <w:r w:rsidR="00EB456D">
        <w:rPr>
          <w:rFonts w:eastAsia="Calibri"/>
          <w:color w:val="000000"/>
          <w:lang w:val="en-GB"/>
        </w:rPr>
        <w:t>board of d</w:t>
      </w:r>
      <w:r w:rsidRPr="00640417">
        <w:rPr>
          <w:rFonts w:eastAsia="Calibri"/>
          <w:color w:val="000000"/>
          <w:lang w:val="en-GB"/>
        </w:rPr>
        <w:t>irectors</w:t>
      </w:r>
      <w:r w:rsidR="009545F7">
        <w:rPr>
          <w:rFonts w:eastAsia="Calibri"/>
          <w:color w:val="000000"/>
          <w:lang w:val="en-GB"/>
        </w:rPr>
        <w:t>’ anxiety over</w:t>
      </w:r>
      <w:r w:rsidRPr="00640417">
        <w:rPr>
          <w:rFonts w:eastAsia="Calibri"/>
          <w:color w:val="000000"/>
          <w:lang w:val="en-GB"/>
        </w:rPr>
        <w:t xml:space="preserve"> deliver</w:t>
      </w:r>
      <w:r w:rsidR="009545F7">
        <w:rPr>
          <w:rFonts w:eastAsia="Calibri"/>
          <w:color w:val="000000"/>
          <w:lang w:val="en-GB"/>
        </w:rPr>
        <w:t>ing</w:t>
      </w:r>
      <w:r w:rsidRPr="00640417">
        <w:rPr>
          <w:rFonts w:eastAsia="Calibri"/>
          <w:color w:val="000000"/>
          <w:lang w:val="en-GB"/>
        </w:rPr>
        <w:t xml:space="preserve"> faster results,</w:t>
      </w:r>
      <w:r w:rsidR="00166E8C" w:rsidRPr="00640417">
        <w:rPr>
          <w:rFonts w:eastAsia="Calibri"/>
          <w:color w:val="000000"/>
          <w:lang w:val="en-GB"/>
        </w:rPr>
        <w:t xml:space="preserve"> </w:t>
      </w:r>
      <w:r w:rsidR="00640417">
        <w:rPr>
          <w:rFonts w:eastAsia="Calibri"/>
          <w:color w:val="000000"/>
          <w:lang w:val="en-GB"/>
        </w:rPr>
        <w:t>Sinha</w:t>
      </w:r>
      <w:r w:rsidRPr="00640417">
        <w:rPr>
          <w:rFonts w:eastAsia="Calibri"/>
          <w:color w:val="000000"/>
          <w:lang w:val="en-GB"/>
        </w:rPr>
        <w:t xml:space="preserve"> left the organization. The employees could not completely understand the reason behind </w:t>
      </w:r>
      <w:r w:rsidR="009545F7">
        <w:rPr>
          <w:rFonts w:eastAsia="Calibri"/>
          <w:color w:val="000000"/>
          <w:lang w:val="en-GB"/>
        </w:rPr>
        <w:t xml:space="preserve">his </w:t>
      </w:r>
      <w:r w:rsidRPr="00640417">
        <w:rPr>
          <w:rFonts w:eastAsia="Calibri"/>
          <w:color w:val="000000"/>
          <w:lang w:val="en-GB"/>
        </w:rPr>
        <w:t>departure</w:t>
      </w:r>
      <w:r w:rsidR="009545F7">
        <w:rPr>
          <w:rFonts w:eastAsia="Calibri"/>
          <w:color w:val="000000"/>
          <w:lang w:val="en-GB"/>
        </w:rPr>
        <w:t>, and a</w:t>
      </w:r>
      <w:r w:rsidRPr="00640417">
        <w:rPr>
          <w:rFonts w:eastAsia="Calibri"/>
          <w:color w:val="000000"/>
          <w:lang w:val="en-GB"/>
        </w:rPr>
        <w:t xml:space="preserve">ll the new initiatives </w:t>
      </w:r>
      <w:r w:rsidR="009545F7">
        <w:rPr>
          <w:rFonts w:eastAsia="Calibri"/>
          <w:color w:val="000000"/>
          <w:lang w:val="en-GB"/>
        </w:rPr>
        <w:t xml:space="preserve">Sinha had </w:t>
      </w:r>
      <w:r w:rsidRPr="00640417">
        <w:rPr>
          <w:rFonts w:eastAsia="Calibri"/>
          <w:color w:val="000000"/>
          <w:lang w:val="en-GB"/>
        </w:rPr>
        <w:t>beg</w:t>
      </w:r>
      <w:r w:rsidR="009545F7">
        <w:rPr>
          <w:rFonts w:eastAsia="Calibri"/>
          <w:color w:val="000000"/>
          <w:lang w:val="en-GB"/>
        </w:rPr>
        <w:t xml:space="preserve">un </w:t>
      </w:r>
      <w:r w:rsidRPr="00640417">
        <w:rPr>
          <w:rFonts w:eastAsia="Calibri"/>
          <w:color w:val="000000"/>
          <w:lang w:val="en-GB"/>
        </w:rPr>
        <w:t>could not take shape. The sales force was perplexed</w:t>
      </w:r>
      <w:r w:rsidR="009545F7">
        <w:rPr>
          <w:rFonts w:eastAsia="Calibri"/>
          <w:color w:val="000000"/>
          <w:lang w:val="en-GB"/>
        </w:rPr>
        <w:t>,</w:t>
      </w:r>
      <w:r w:rsidRPr="00640417">
        <w:rPr>
          <w:rFonts w:eastAsia="Calibri"/>
          <w:color w:val="000000"/>
          <w:lang w:val="en-GB"/>
        </w:rPr>
        <w:t xml:space="preserve"> as in a short span of time the company had seen three CEOs.</w:t>
      </w:r>
      <w:r w:rsidR="00EB456D">
        <w:rPr>
          <w:rFonts w:eastAsia="Calibri"/>
          <w:color w:val="000000"/>
          <w:lang w:val="en-GB"/>
        </w:rPr>
        <w:t xml:space="preserve"> The new plant, operating at 30 per cent</w:t>
      </w:r>
      <w:r w:rsidRPr="00640417">
        <w:rPr>
          <w:rFonts w:eastAsia="Calibri"/>
          <w:color w:val="000000"/>
          <w:lang w:val="en-GB"/>
        </w:rPr>
        <w:t xml:space="preserve"> capacity, was facing </w:t>
      </w:r>
      <w:r w:rsidR="009545F7">
        <w:rPr>
          <w:rFonts w:eastAsia="Calibri"/>
          <w:color w:val="000000"/>
          <w:lang w:val="en-GB"/>
        </w:rPr>
        <w:t>a</w:t>
      </w:r>
      <w:r w:rsidRPr="00640417">
        <w:rPr>
          <w:rFonts w:eastAsia="Calibri"/>
          <w:color w:val="000000"/>
          <w:lang w:val="en-GB"/>
        </w:rPr>
        <w:t xml:space="preserve"> tremendous </w:t>
      </w:r>
      <w:r w:rsidR="009545F7">
        <w:rPr>
          <w:rFonts w:eastAsia="Calibri"/>
          <w:color w:val="000000"/>
          <w:lang w:val="en-GB"/>
        </w:rPr>
        <w:t xml:space="preserve">supply chain </w:t>
      </w:r>
      <w:r w:rsidRPr="00640417">
        <w:rPr>
          <w:rFonts w:eastAsia="Calibri"/>
          <w:color w:val="000000"/>
          <w:lang w:val="en-GB"/>
        </w:rPr>
        <w:t xml:space="preserve">problem. Raw material procurement was taking more than the standard lead time. </w:t>
      </w:r>
      <w:proofErr w:type="spellStart"/>
      <w:r w:rsidR="009545F7">
        <w:rPr>
          <w:rFonts w:eastAsia="Calibri"/>
          <w:color w:val="000000"/>
          <w:lang w:val="en-GB"/>
        </w:rPr>
        <w:t>Bartos</w:t>
      </w:r>
      <w:proofErr w:type="spellEnd"/>
      <w:r w:rsidR="009545F7">
        <w:rPr>
          <w:rFonts w:eastAsia="Calibri"/>
          <w:color w:val="000000"/>
          <w:lang w:val="en-GB"/>
        </w:rPr>
        <w:t xml:space="preserve"> </w:t>
      </w:r>
      <w:r w:rsidRPr="00640417">
        <w:rPr>
          <w:rFonts w:eastAsia="Calibri"/>
          <w:color w:val="000000"/>
          <w:lang w:val="en-GB"/>
        </w:rPr>
        <w:t xml:space="preserve">planned to increase the day’s payable period to boost its working capital, but suppliers were not ready. The suppliers started losing faith in the company. </w:t>
      </w:r>
    </w:p>
    <w:p w14:paraId="0C39E052" w14:textId="77777777" w:rsidR="006E02F4" w:rsidRPr="00640417" w:rsidRDefault="006E02F4" w:rsidP="001D1405">
      <w:pPr>
        <w:pStyle w:val="BodyTextMain"/>
        <w:rPr>
          <w:rFonts w:eastAsia="Calibri"/>
          <w:color w:val="000000"/>
          <w:lang w:val="en-GB"/>
        </w:rPr>
      </w:pPr>
    </w:p>
    <w:p w14:paraId="7EC2DCAF" w14:textId="556D66C1" w:rsidR="00841BF6" w:rsidRDefault="009545F7" w:rsidP="001D1405">
      <w:pPr>
        <w:pStyle w:val="BodyTextMain"/>
        <w:rPr>
          <w:rFonts w:eastAsia="Calibri"/>
          <w:color w:val="000000"/>
          <w:lang w:val="en-GB"/>
        </w:rPr>
      </w:pPr>
      <w:proofErr w:type="spellStart"/>
      <w:r>
        <w:rPr>
          <w:rFonts w:eastAsia="Calibri"/>
          <w:color w:val="000000"/>
          <w:lang w:val="en-GB"/>
        </w:rPr>
        <w:t>Bartos</w:t>
      </w:r>
      <w:proofErr w:type="spellEnd"/>
      <w:r w:rsidR="004E5586" w:rsidRPr="00640417">
        <w:rPr>
          <w:rFonts w:eastAsia="Calibri"/>
          <w:color w:val="000000"/>
          <w:lang w:val="en-GB"/>
        </w:rPr>
        <w:t xml:space="preserve"> reduced its day’s receivable and cut</w:t>
      </w:r>
      <w:r w:rsidR="00841BF6">
        <w:rPr>
          <w:rFonts w:eastAsia="Calibri"/>
          <w:color w:val="000000"/>
          <w:lang w:val="en-GB"/>
        </w:rPr>
        <w:t xml:space="preserve"> </w:t>
      </w:r>
      <w:r w:rsidR="004E5586" w:rsidRPr="00640417">
        <w:rPr>
          <w:rFonts w:eastAsia="Calibri"/>
          <w:color w:val="000000"/>
          <w:lang w:val="en-GB"/>
        </w:rPr>
        <w:t>credit sales</w:t>
      </w:r>
      <w:r w:rsidR="006A1262">
        <w:rPr>
          <w:rFonts w:eastAsia="Calibri"/>
          <w:color w:val="000000"/>
          <w:lang w:val="en-GB"/>
        </w:rPr>
        <w:t xml:space="preserve"> to</w:t>
      </w:r>
      <w:r w:rsidR="004E5586" w:rsidRPr="00640417">
        <w:rPr>
          <w:rFonts w:eastAsia="Calibri"/>
          <w:color w:val="000000"/>
          <w:lang w:val="en-GB"/>
        </w:rPr>
        <w:t xml:space="preserve"> only </w:t>
      </w:r>
      <w:r w:rsidR="00841BF6">
        <w:rPr>
          <w:rFonts w:eastAsia="Calibri"/>
          <w:color w:val="000000"/>
          <w:lang w:val="en-GB"/>
        </w:rPr>
        <w:t xml:space="preserve">a </w:t>
      </w:r>
      <w:r w:rsidR="004E5586" w:rsidRPr="00640417">
        <w:rPr>
          <w:rFonts w:eastAsia="Calibri"/>
          <w:color w:val="000000"/>
          <w:lang w:val="en-GB"/>
        </w:rPr>
        <w:t xml:space="preserve">few bulk buyers and long-term customers. </w:t>
      </w:r>
      <w:r w:rsidR="00841BF6">
        <w:rPr>
          <w:rFonts w:eastAsia="Calibri"/>
          <w:color w:val="000000"/>
          <w:lang w:val="en-GB"/>
        </w:rPr>
        <w:t xml:space="preserve">These steps </w:t>
      </w:r>
      <w:r w:rsidR="004E5586" w:rsidRPr="00640417">
        <w:rPr>
          <w:rFonts w:eastAsia="Calibri"/>
          <w:color w:val="000000"/>
          <w:lang w:val="en-GB"/>
        </w:rPr>
        <w:t>helped improve the working capital situation. Customers, who were already annoyed with an extended delivery period and</w:t>
      </w:r>
      <w:r w:rsidR="00841BF6">
        <w:rPr>
          <w:rFonts w:eastAsia="Calibri"/>
          <w:color w:val="000000"/>
          <w:lang w:val="en-GB"/>
        </w:rPr>
        <w:t xml:space="preserve"> commitment </w:t>
      </w:r>
      <w:r w:rsidR="004E5586" w:rsidRPr="00640417">
        <w:rPr>
          <w:rFonts w:eastAsia="Calibri"/>
          <w:color w:val="000000"/>
          <w:lang w:val="en-GB"/>
        </w:rPr>
        <w:t xml:space="preserve">failure, were not ready to accept the change of payment </w:t>
      </w:r>
      <w:r w:rsidR="00984DA7" w:rsidRPr="00640417">
        <w:rPr>
          <w:rFonts w:eastAsia="Calibri"/>
          <w:color w:val="000000"/>
          <w:lang w:val="en-GB"/>
        </w:rPr>
        <w:t>ter</w:t>
      </w:r>
      <w:r w:rsidR="00984DA7">
        <w:rPr>
          <w:rFonts w:eastAsia="Calibri"/>
          <w:color w:val="000000"/>
          <w:lang w:val="en-GB"/>
        </w:rPr>
        <w:t>ms</w:t>
      </w:r>
      <w:r w:rsidR="00984DA7" w:rsidRPr="00640417">
        <w:rPr>
          <w:rFonts w:eastAsia="Calibri"/>
          <w:color w:val="000000"/>
          <w:lang w:val="en-GB"/>
        </w:rPr>
        <w:t xml:space="preserve">. </w:t>
      </w:r>
      <w:r w:rsidR="004E5586" w:rsidRPr="00640417">
        <w:rPr>
          <w:rFonts w:eastAsia="Calibri"/>
          <w:color w:val="000000"/>
          <w:lang w:val="en-GB"/>
        </w:rPr>
        <w:t>Frequent change</w:t>
      </w:r>
      <w:r w:rsidR="00841BF6">
        <w:rPr>
          <w:rFonts w:eastAsia="Calibri"/>
          <w:color w:val="000000"/>
          <w:lang w:val="en-GB"/>
        </w:rPr>
        <w:t>s</w:t>
      </w:r>
      <w:r w:rsidR="004E5586" w:rsidRPr="00640417">
        <w:rPr>
          <w:rFonts w:eastAsia="Calibri"/>
          <w:color w:val="000000"/>
          <w:lang w:val="en-GB"/>
        </w:rPr>
        <w:t xml:space="preserve"> in </w:t>
      </w:r>
      <w:r w:rsidR="00841BF6">
        <w:rPr>
          <w:rFonts w:eastAsia="Calibri"/>
          <w:color w:val="000000"/>
          <w:lang w:val="en-GB"/>
        </w:rPr>
        <w:t xml:space="preserve">company </w:t>
      </w:r>
      <w:r w:rsidR="004E5586" w:rsidRPr="00640417">
        <w:rPr>
          <w:rFonts w:eastAsia="Calibri"/>
          <w:color w:val="000000"/>
          <w:lang w:val="en-GB"/>
        </w:rPr>
        <w:t xml:space="preserve">management, massive debt, and unavailability of working capital </w:t>
      </w:r>
      <w:r w:rsidR="00841BF6">
        <w:rPr>
          <w:rFonts w:eastAsia="Calibri"/>
          <w:color w:val="000000"/>
          <w:lang w:val="en-GB"/>
        </w:rPr>
        <w:t xml:space="preserve">caused customer </w:t>
      </w:r>
      <w:r w:rsidR="004E5586" w:rsidRPr="00640417">
        <w:rPr>
          <w:rFonts w:eastAsia="Calibri"/>
          <w:color w:val="000000"/>
          <w:lang w:val="en-GB"/>
        </w:rPr>
        <w:t xml:space="preserve">confidence </w:t>
      </w:r>
      <w:r w:rsidR="00841BF6">
        <w:rPr>
          <w:rFonts w:eastAsia="Calibri"/>
          <w:color w:val="000000"/>
          <w:lang w:val="en-GB"/>
        </w:rPr>
        <w:t>to drop</w:t>
      </w:r>
      <w:r w:rsidR="004E5586" w:rsidRPr="00640417">
        <w:rPr>
          <w:rFonts w:eastAsia="Calibri"/>
          <w:color w:val="000000"/>
          <w:lang w:val="en-GB"/>
        </w:rPr>
        <w:t xml:space="preserve">. </w:t>
      </w:r>
    </w:p>
    <w:p w14:paraId="1DB4F41C" w14:textId="77777777" w:rsidR="00C85248" w:rsidRDefault="00C85248" w:rsidP="001D1405">
      <w:pPr>
        <w:pStyle w:val="BodyTextMain"/>
        <w:rPr>
          <w:rFonts w:eastAsia="Calibri"/>
          <w:color w:val="000000"/>
          <w:lang w:val="en-GB"/>
        </w:rPr>
      </w:pPr>
    </w:p>
    <w:p w14:paraId="235F6117" w14:textId="28BA3BDE" w:rsidR="004E5586" w:rsidRPr="00640417" w:rsidRDefault="004E5586" w:rsidP="001D1405">
      <w:pPr>
        <w:pStyle w:val="BodyTextMain"/>
        <w:rPr>
          <w:rFonts w:eastAsia="Calibri"/>
          <w:color w:val="000000"/>
          <w:lang w:val="en-GB"/>
        </w:rPr>
      </w:pPr>
      <w:r w:rsidRPr="00640417">
        <w:rPr>
          <w:rFonts w:eastAsia="Calibri"/>
          <w:color w:val="000000"/>
          <w:lang w:val="en-GB"/>
        </w:rPr>
        <w:t xml:space="preserve">Since the new plant was not operating at optimal capacity, </w:t>
      </w:r>
      <w:r w:rsidR="00841BF6">
        <w:rPr>
          <w:rFonts w:eastAsia="Calibri"/>
          <w:color w:val="000000"/>
          <w:lang w:val="en-GB"/>
        </w:rPr>
        <w:t>the</w:t>
      </w:r>
      <w:r w:rsidRPr="00640417">
        <w:rPr>
          <w:rFonts w:eastAsia="Calibri"/>
          <w:color w:val="000000"/>
          <w:lang w:val="en-GB"/>
        </w:rPr>
        <w:t xml:space="preserve"> earlier plan to supply low-cost stainless steel was no longer effective. Unaware of these internal </w:t>
      </w:r>
      <w:r w:rsidR="00841BF6">
        <w:rPr>
          <w:rFonts w:eastAsia="Calibri"/>
          <w:color w:val="000000"/>
          <w:lang w:val="en-GB"/>
        </w:rPr>
        <w:t xml:space="preserve">company </w:t>
      </w:r>
      <w:r w:rsidRPr="00640417">
        <w:rPr>
          <w:rFonts w:eastAsia="Calibri"/>
          <w:color w:val="000000"/>
          <w:lang w:val="en-GB"/>
        </w:rPr>
        <w:t>facts and proble</w:t>
      </w:r>
      <w:r w:rsidR="00EB456D">
        <w:rPr>
          <w:rFonts w:eastAsia="Calibri"/>
          <w:color w:val="000000"/>
          <w:lang w:val="en-GB"/>
        </w:rPr>
        <w:t>ms, customers fe</w:t>
      </w:r>
      <w:r w:rsidRPr="00640417">
        <w:rPr>
          <w:rFonts w:eastAsia="Calibri"/>
          <w:color w:val="000000"/>
          <w:lang w:val="en-GB"/>
        </w:rPr>
        <w:t>l</w:t>
      </w:r>
      <w:r w:rsidR="00EB456D">
        <w:rPr>
          <w:rFonts w:eastAsia="Calibri"/>
          <w:color w:val="000000"/>
          <w:lang w:val="en-GB"/>
        </w:rPr>
        <w:t>t</w:t>
      </w:r>
      <w:r w:rsidRPr="00640417">
        <w:rPr>
          <w:rFonts w:eastAsia="Calibri"/>
          <w:color w:val="000000"/>
          <w:lang w:val="en-GB"/>
        </w:rPr>
        <w:t xml:space="preserve"> cheated by </w:t>
      </w:r>
      <w:r w:rsidR="006A1262">
        <w:rPr>
          <w:rFonts w:eastAsia="Calibri"/>
          <w:color w:val="000000"/>
          <w:lang w:val="en-GB"/>
        </w:rPr>
        <w:t xml:space="preserve">having to </w:t>
      </w:r>
      <w:r w:rsidRPr="00640417">
        <w:rPr>
          <w:rFonts w:eastAsia="Calibri"/>
          <w:color w:val="000000"/>
          <w:lang w:val="en-GB"/>
        </w:rPr>
        <w:t>rely on false hope</w:t>
      </w:r>
      <w:r w:rsidR="00EB456D">
        <w:rPr>
          <w:rFonts w:eastAsia="Calibri"/>
          <w:color w:val="000000"/>
          <w:lang w:val="en-GB"/>
        </w:rPr>
        <w:t>s</w:t>
      </w:r>
      <w:r w:rsidRPr="00640417">
        <w:rPr>
          <w:rFonts w:eastAsia="Calibri"/>
          <w:color w:val="000000"/>
          <w:lang w:val="en-GB"/>
        </w:rPr>
        <w:t xml:space="preserve">. Many </w:t>
      </w:r>
      <w:r w:rsidR="006A1262">
        <w:rPr>
          <w:rFonts w:eastAsia="Calibri"/>
          <w:color w:val="000000"/>
          <w:lang w:val="en-GB"/>
        </w:rPr>
        <w:t>of them</w:t>
      </w:r>
      <w:r w:rsidRPr="00640417">
        <w:rPr>
          <w:rFonts w:eastAsia="Calibri"/>
          <w:color w:val="000000"/>
          <w:lang w:val="en-GB"/>
        </w:rPr>
        <w:t xml:space="preserve"> started looking for a different source. </w:t>
      </w:r>
      <w:r w:rsidRPr="00640417">
        <w:rPr>
          <w:rFonts w:eastAsia="Calibri"/>
          <w:color w:val="000000"/>
          <w:lang w:val="en-GB"/>
        </w:rPr>
        <w:lastRenderedPageBreak/>
        <w:t>Competitors seized the opportunity and began serving</w:t>
      </w:r>
      <w:r w:rsidR="00841BF6">
        <w:rPr>
          <w:rFonts w:eastAsia="Calibri"/>
          <w:color w:val="000000"/>
          <w:lang w:val="en-GB"/>
        </w:rPr>
        <w:t xml:space="preserve"> </w:t>
      </w:r>
      <w:proofErr w:type="spellStart"/>
      <w:r w:rsidR="00841BF6">
        <w:rPr>
          <w:rFonts w:eastAsia="Calibri"/>
          <w:color w:val="000000"/>
          <w:lang w:val="en-GB"/>
        </w:rPr>
        <w:t>Bartos’s</w:t>
      </w:r>
      <w:proofErr w:type="spellEnd"/>
      <w:r w:rsidRPr="00640417">
        <w:rPr>
          <w:rFonts w:eastAsia="Calibri"/>
          <w:color w:val="000000"/>
          <w:lang w:val="en-GB"/>
        </w:rPr>
        <w:t xml:space="preserve"> clients. Many retailers began importing steel from Chinese companies, which offered </w:t>
      </w:r>
      <w:r w:rsidR="00AB593E">
        <w:rPr>
          <w:rFonts w:eastAsia="Calibri"/>
          <w:color w:val="000000"/>
          <w:lang w:val="en-GB"/>
        </w:rPr>
        <w:t xml:space="preserve">a </w:t>
      </w:r>
      <w:r w:rsidRPr="00640417">
        <w:rPr>
          <w:rFonts w:eastAsia="Calibri"/>
          <w:color w:val="000000"/>
          <w:lang w:val="en-GB"/>
        </w:rPr>
        <w:t>three</w:t>
      </w:r>
      <w:r w:rsidR="006A1262">
        <w:rPr>
          <w:rFonts w:eastAsia="Calibri"/>
          <w:color w:val="000000"/>
          <w:lang w:val="en-GB"/>
        </w:rPr>
        <w:t>-</w:t>
      </w:r>
      <w:r w:rsidRPr="00640417">
        <w:rPr>
          <w:rFonts w:eastAsia="Calibri"/>
          <w:color w:val="000000"/>
          <w:lang w:val="en-GB"/>
        </w:rPr>
        <w:t>times</w:t>
      </w:r>
      <w:r w:rsidR="006A1262">
        <w:rPr>
          <w:rFonts w:eastAsia="Calibri"/>
          <w:color w:val="000000"/>
          <w:lang w:val="en-GB"/>
        </w:rPr>
        <w:t>-</w:t>
      </w:r>
      <w:r w:rsidRPr="00640417">
        <w:rPr>
          <w:rFonts w:eastAsia="Calibri"/>
          <w:color w:val="000000"/>
          <w:lang w:val="en-GB"/>
        </w:rPr>
        <w:t xml:space="preserve">longer payable period than </w:t>
      </w:r>
      <w:proofErr w:type="spellStart"/>
      <w:r w:rsidR="00A96363">
        <w:rPr>
          <w:rFonts w:eastAsia="Calibri"/>
          <w:color w:val="000000"/>
          <w:lang w:val="en-GB"/>
        </w:rPr>
        <w:t>Bartos</w:t>
      </w:r>
      <w:proofErr w:type="spellEnd"/>
      <w:r w:rsidRPr="00640417">
        <w:rPr>
          <w:rFonts w:eastAsia="Calibri"/>
          <w:color w:val="000000"/>
          <w:lang w:val="en-GB"/>
        </w:rPr>
        <w:t>, comparable lead time delivery, and acceptable quality.</w:t>
      </w:r>
      <w:r w:rsidR="00841BF6">
        <w:rPr>
          <w:rFonts w:eastAsia="Calibri"/>
          <w:color w:val="000000"/>
          <w:lang w:val="en-GB"/>
        </w:rPr>
        <w:t xml:space="preserve"> </w:t>
      </w:r>
      <w:r w:rsidR="006A1262">
        <w:rPr>
          <w:rFonts w:eastAsia="Calibri"/>
          <w:color w:val="000000"/>
          <w:lang w:val="en-GB"/>
        </w:rPr>
        <w:t>M</w:t>
      </w:r>
      <w:r w:rsidRPr="00640417">
        <w:rPr>
          <w:rFonts w:eastAsia="Calibri"/>
          <w:color w:val="000000"/>
          <w:lang w:val="en-GB"/>
        </w:rPr>
        <w:t>any high-end customers began testing Chinese material to check whether it suited their applications. Th</w:t>
      </w:r>
      <w:r w:rsidR="00841BF6">
        <w:rPr>
          <w:rFonts w:eastAsia="Calibri"/>
          <w:color w:val="000000"/>
          <w:lang w:val="en-GB"/>
        </w:rPr>
        <w:t xml:space="preserve">ese circumstances </w:t>
      </w:r>
      <w:r w:rsidRPr="00640417">
        <w:rPr>
          <w:rFonts w:eastAsia="Calibri"/>
          <w:color w:val="000000"/>
          <w:lang w:val="en-GB"/>
        </w:rPr>
        <w:t xml:space="preserve">led to </w:t>
      </w:r>
      <w:r w:rsidR="00EB456D">
        <w:rPr>
          <w:rFonts w:eastAsia="Calibri"/>
          <w:color w:val="000000"/>
          <w:lang w:val="en-GB"/>
        </w:rPr>
        <w:t xml:space="preserve">a </w:t>
      </w:r>
      <w:r w:rsidRPr="00640417">
        <w:rPr>
          <w:rFonts w:eastAsia="Calibri"/>
          <w:color w:val="000000"/>
          <w:lang w:val="en-GB"/>
        </w:rPr>
        <w:t xml:space="preserve">decrease in order position </w:t>
      </w:r>
      <w:r w:rsidR="00841BF6">
        <w:rPr>
          <w:rFonts w:eastAsia="Calibri"/>
          <w:color w:val="000000"/>
          <w:lang w:val="en-GB"/>
        </w:rPr>
        <w:t xml:space="preserve">for </w:t>
      </w:r>
      <w:proofErr w:type="spellStart"/>
      <w:r w:rsidR="00A96363">
        <w:rPr>
          <w:rFonts w:eastAsia="Calibri"/>
          <w:color w:val="000000"/>
          <w:lang w:val="en-GB"/>
        </w:rPr>
        <w:t>Bartos</w:t>
      </w:r>
      <w:proofErr w:type="spellEnd"/>
      <w:r w:rsidRPr="00640417">
        <w:rPr>
          <w:rFonts w:eastAsia="Calibri"/>
          <w:color w:val="000000"/>
          <w:lang w:val="en-GB"/>
        </w:rPr>
        <w:t>.</w:t>
      </w:r>
    </w:p>
    <w:p w14:paraId="1D1C64C8" w14:textId="77777777" w:rsidR="004E5586" w:rsidRPr="00640417" w:rsidRDefault="004E5586" w:rsidP="004E5586">
      <w:pPr>
        <w:pStyle w:val="BodyTextMain"/>
        <w:rPr>
          <w:rFonts w:eastAsia="Calibri"/>
          <w:color w:val="000000"/>
          <w:lang w:val="en-GB"/>
        </w:rPr>
      </w:pPr>
    </w:p>
    <w:p w14:paraId="71AFB7CD" w14:textId="58FBE486" w:rsidR="00841BF6" w:rsidRDefault="004E5586" w:rsidP="004E5586">
      <w:pPr>
        <w:pStyle w:val="BodyTextMain"/>
        <w:rPr>
          <w:rFonts w:eastAsia="Calibri"/>
          <w:color w:val="000000"/>
          <w:lang w:val="en-GB"/>
        </w:rPr>
      </w:pPr>
      <w:r w:rsidRPr="00640417">
        <w:rPr>
          <w:rFonts w:eastAsia="Calibri"/>
          <w:color w:val="000000"/>
          <w:lang w:val="en-GB"/>
        </w:rPr>
        <w:t xml:space="preserve">In the monthly meeting in April 2015, department heads were brainstorming </w:t>
      </w:r>
      <w:r w:rsidR="00841BF6">
        <w:rPr>
          <w:rFonts w:eastAsia="Calibri"/>
          <w:color w:val="000000"/>
          <w:lang w:val="en-GB"/>
        </w:rPr>
        <w:t>way</w:t>
      </w:r>
      <w:r w:rsidR="006A1262">
        <w:rPr>
          <w:rFonts w:eastAsia="Calibri"/>
          <w:color w:val="000000"/>
          <w:lang w:val="en-GB"/>
        </w:rPr>
        <w:t>s</w:t>
      </w:r>
      <w:r w:rsidR="00841BF6">
        <w:rPr>
          <w:rFonts w:eastAsia="Calibri"/>
          <w:color w:val="000000"/>
          <w:lang w:val="en-GB"/>
        </w:rPr>
        <w:t xml:space="preserve"> </w:t>
      </w:r>
      <w:r w:rsidRPr="00640417">
        <w:rPr>
          <w:rFonts w:eastAsia="Calibri"/>
          <w:color w:val="000000"/>
          <w:lang w:val="en-GB"/>
        </w:rPr>
        <w:t>to resolve the situation. As recommended by</w:t>
      </w:r>
      <w:r w:rsidR="00166E8C" w:rsidRPr="00640417">
        <w:rPr>
          <w:rFonts w:eastAsia="Calibri"/>
          <w:color w:val="000000"/>
          <w:lang w:val="en-GB"/>
        </w:rPr>
        <w:t xml:space="preserve"> </w:t>
      </w:r>
      <w:r w:rsidR="00EB456D">
        <w:rPr>
          <w:rFonts w:eastAsia="Calibri"/>
          <w:color w:val="000000"/>
          <w:lang w:val="en-GB"/>
        </w:rPr>
        <w:t>Reddy</w:t>
      </w:r>
      <w:r w:rsidRPr="00640417">
        <w:rPr>
          <w:rFonts w:eastAsia="Calibri"/>
          <w:color w:val="000000"/>
          <w:lang w:val="en-GB"/>
        </w:rPr>
        <w:t>,</w:t>
      </w:r>
      <w:r w:rsidR="00166E8C" w:rsidRPr="00640417">
        <w:rPr>
          <w:rFonts w:eastAsia="Calibri"/>
          <w:color w:val="000000"/>
          <w:lang w:val="en-GB"/>
        </w:rPr>
        <w:t xml:space="preserve"> </w:t>
      </w:r>
      <w:r w:rsidRPr="00640417">
        <w:rPr>
          <w:rFonts w:eastAsia="Calibri"/>
          <w:color w:val="000000"/>
          <w:lang w:val="en-GB"/>
        </w:rPr>
        <w:t>Vijay</w:t>
      </w:r>
      <w:r w:rsidR="00EB456D">
        <w:rPr>
          <w:rFonts w:eastAsia="Calibri"/>
          <w:color w:val="000000"/>
          <w:lang w:val="en-GB"/>
        </w:rPr>
        <w:t xml:space="preserve"> </w:t>
      </w:r>
      <w:r w:rsidRPr="00640417">
        <w:rPr>
          <w:rFonts w:eastAsia="Calibri"/>
          <w:color w:val="000000"/>
          <w:lang w:val="en-GB"/>
        </w:rPr>
        <w:t xml:space="preserve">suggested working on productivity improvement, </w:t>
      </w:r>
      <w:r w:rsidR="006A1262">
        <w:rPr>
          <w:rFonts w:eastAsia="Calibri"/>
          <w:color w:val="000000"/>
          <w:lang w:val="en-GB"/>
        </w:rPr>
        <w:t xml:space="preserve">employing </w:t>
      </w:r>
      <w:r w:rsidRPr="00640417">
        <w:rPr>
          <w:rFonts w:eastAsia="Calibri"/>
          <w:color w:val="000000"/>
          <w:lang w:val="en-GB"/>
        </w:rPr>
        <w:t>new technology to reduce cost, or laying off employees.</w:t>
      </w:r>
      <w:r w:rsidR="00166E8C" w:rsidRPr="00640417">
        <w:rPr>
          <w:rFonts w:eastAsia="Calibri"/>
          <w:color w:val="000000"/>
          <w:lang w:val="en-GB"/>
        </w:rPr>
        <w:t xml:space="preserve"> </w:t>
      </w:r>
      <w:proofErr w:type="spellStart"/>
      <w:r w:rsidRPr="00640417">
        <w:rPr>
          <w:rFonts w:eastAsia="Calibri"/>
          <w:color w:val="000000"/>
          <w:lang w:val="en-GB"/>
        </w:rPr>
        <w:t>Sahil</w:t>
      </w:r>
      <w:proofErr w:type="spellEnd"/>
      <w:r w:rsidRPr="00640417">
        <w:rPr>
          <w:rFonts w:eastAsia="Calibri"/>
          <w:color w:val="000000"/>
          <w:lang w:val="en-GB"/>
        </w:rPr>
        <w:t xml:space="preserve"> Kumar, general manager</w:t>
      </w:r>
      <w:r w:rsidR="00841BF6">
        <w:rPr>
          <w:rFonts w:eastAsia="Calibri"/>
          <w:color w:val="000000"/>
          <w:lang w:val="en-GB"/>
        </w:rPr>
        <w:t xml:space="preserve"> </w:t>
      </w:r>
      <w:r w:rsidRPr="00640417">
        <w:rPr>
          <w:rFonts w:eastAsia="Calibri"/>
          <w:color w:val="000000"/>
          <w:lang w:val="en-GB"/>
        </w:rPr>
        <w:t>of the production unit, discarded productivity improvement as an alternative. He said</w:t>
      </w:r>
      <w:r w:rsidR="00AB593E">
        <w:rPr>
          <w:rFonts w:eastAsia="Calibri"/>
          <w:color w:val="000000"/>
          <w:lang w:val="en-GB"/>
        </w:rPr>
        <w:t>:</w:t>
      </w:r>
    </w:p>
    <w:p w14:paraId="7CB24DDE" w14:textId="77777777" w:rsidR="00841BF6" w:rsidRDefault="00841BF6" w:rsidP="004E5586">
      <w:pPr>
        <w:pStyle w:val="BodyTextMain"/>
        <w:rPr>
          <w:rFonts w:eastAsia="Calibri"/>
          <w:color w:val="000000"/>
          <w:lang w:val="en-GB"/>
        </w:rPr>
      </w:pPr>
    </w:p>
    <w:p w14:paraId="5F623FA6" w14:textId="55682210" w:rsidR="00841BF6" w:rsidRDefault="004E5586" w:rsidP="00A03932">
      <w:pPr>
        <w:pStyle w:val="BodyTextMain"/>
        <w:ind w:left="720"/>
        <w:rPr>
          <w:rFonts w:eastAsia="Calibri"/>
          <w:color w:val="000000"/>
          <w:lang w:val="en-GB"/>
        </w:rPr>
      </w:pPr>
      <w:r w:rsidRPr="00640417">
        <w:rPr>
          <w:rFonts w:eastAsia="Calibri"/>
          <w:color w:val="000000"/>
          <w:lang w:val="en-GB"/>
        </w:rPr>
        <w:t xml:space="preserve">We have taken all the measures to improve productivity. We have taken an innovative approach to cut the refractory bricks [used to protect the frame of the furnace </w:t>
      </w:r>
      <w:r w:rsidR="00D95E89">
        <w:rPr>
          <w:rFonts w:eastAsia="Calibri"/>
          <w:color w:val="000000"/>
          <w:lang w:val="en-GB"/>
        </w:rPr>
        <w:t>from</w:t>
      </w:r>
      <w:r w:rsidR="00D95E89" w:rsidRPr="00640417">
        <w:rPr>
          <w:rFonts w:eastAsia="Calibri"/>
          <w:color w:val="000000"/>
          <w:lang w:val="en-GB"/>
        </w:rPr>
        <w:t xml:space="preserve"> </w:t>
      </w:r>
      <w:r w:rsidRPr="00640417">
        <w:rPr>
          <w:rFonts w:eastAsia="Calibri"/>
          <w:color w:val="000000"/>
          <w:lang w:val="en-GB"/>
        </w:rPr>
        <w:t>extreme heat] in half and then use it for inner furnace lining. This has helped us to improve the production capacity. We are exploring the different areas of operations but chances of improvement are minuscule.</w:t>
      </w:r>
    </w:p>
    <w:p w14:paraId="6386AF9D" w14:textId="77777777" w:rsidR="00841BF6" w:rsidRDefault="00841BF6" w:rsidP="00905F4D">
      <w:pPr>
        <w:pStyle w:val="BodyTextMain"/>
        <w:rPr>
          <w:rFonts w:eastAsia="Calibri"/>
          <w:color w:val="000000"/>
          <w:lang w:val="en-GB"/>
        </w:rPr>
      </w:pPr>
    </w:p>
    <w:p w14:paraId="05214CD3" w14:textId="10E68E91" w:rsidR="00841BF6" w:rsidRDefault="004E5586">
      <w:pPr>
        <w:pStyle w:val="BodyTextMain"/>
        <w:rPr>
          <w:rFonts w:eastAsia="Calibri"/>
          <w:color w:val="000000"/>
          <w:lang w:val="en-GB"/>
        </w:rPr>
      </w:pPr>
      <w:r w:rsidRPr="00640417">
        <w:rPr>
          <w:rFonts w:eastAsia="Calibri"/>
          <w:color w:val="000000"/>
          <w:lang w:val="en-GB"/>
        </w:rPr>
        <w:t>Technology consultant</w:t>
      </w:r>
      <w:r w:rsidR="00AC5FAB" w:rsidRPr="00640417">
        <w:rPr>
          <w:rFonts w:eastAsia="Calibri"/>
          <w:color w:val="000000"/>
          <w:lang w:val="en-GB"/>
        </w:rPr>
        <w:t xml:space="preserve"> </w:t>
      </w:r>
      <w:proofErr w:type="spellStart"/>
      <w:r w:rsidRPr="00640417">
        <w:rPr>
          <w:rFonts w:eastAsia="Calibri"/>
          <w:color w:val="000000"/>
          <w:lang w:val="en-GB"/>
        </w:rPr>
        <w:t>Aita</w:t>
      </w:r>
      <w:proofErr w:type="spellEnd"/>
      <w:r w:rsidRPr="00640417">
        <w:rPr>
          <w:rFonts w:eastAsia="Calibri"/>
          <w:color w:val="000000"/>
          <w:lang w:val="en-GB"/>
        </w:rPr>
        <w:t xml:space="preserve"> Sen said, “For our </w:t>
      </w:r>
      <w:proofErr w:type="spellStart"/>
      <w:r w:rsidRPr="00640417">
        <w:rPr>
          <w:rFonts w:eastAsia="Calibri"/>
          <w:color w:val="000000"/>
          <w:lang w:val="en-GB"/>
        </w:rPr>
        <w:t>Bokaro</w:t>
      </w:r>
      <w:proofErr w:type="spellEnd"/>
      <w:r w:rsidRPr="00640417">
        <w:rPr>
          <w:rFonts w:eastAsia="Calibri"/>
          <w:color w:val="000000"/>
          <w:lang w:val="en-GB"/>
        </w:rPr>
        <w:t xml:space="preserve"> unit, we have used the best available machines. Further changes in technology may be possible, but it will take a longer time to reap its benefits. Considering the financial situation, I would suggest that we might not borrow further debt for technological improvement whose benefits are longer to realize.”</w:t>
      </w:r>
      <w:r w:rsidR="00945BF9">
        <w:rPr>
          <w:rFonts w:eastAsia="Calibri"/>
          <w:color w:val="000000"/>
          <w:lang w:val="en-GB"/>
        </w:rPr>
        <w:t xml:space="preserve"> </w:t>
      </w:r>
      <w:r w:rsidRPr="00640417">
        <w:rPr>
          <w:rFonts w:eastAsia="Calibri"/>
          <w:color w:val="000000"/>
          <w:lang w:val="en-GB"/>
        </w:rPr>
        <w:t xml:space="preserve">According to the HR </w:t>
      </w:r>
      <w:r w:rsidR="00841BF6">
        <w:rPr>
          <w:rFonts w:eastAsia="Calibri"/>
          <w:color w:val="000000"/>
          <w:lang w:val="en-GB"/>
        </w:rPr>
        <w:t>d</w:t>
      </w:r>
      <w:r w:rsidRPr="00640417">
        <w:rPr>
          <w:rFonts w:eastAsia="Calibri"/>
          <w:color w:val="000000"/>
          <w:lang w:val="en-GB"/>
        </w:rPr>
        <w:t>irector,</w:t>
      </w:r>
    </w:p>
    <w:p w14:paraId="5CEECCCD" w14:textId="77777777" w:rsidR="00841BF6" w:rsidRDefault="00841BF6">
      <w:pPr>
        <w:pStyle w:val="BodyTextMain"/>
        <w:rPr>
          <w:rFonts w:eastAsia="Calibri"/>
          <w:color w:val="000000"/>
          <w:lang w:val="en-GB"/>
        </w:rPr>
      </w:pPr>
    </w:p>
    <w:p w14:paraId="5033A9F7" w14:textId="105A1074" w:rsidR="00841BF6" w:rsidRDefault="004E5586" w:rsidP="00A03932">
      <w:pPr>
        <w:pStyle w:val="BodyTextMain"/>
        <w:ind w:left="720"/>
        <w:rPr>
          <w:rFonts w:eastAsia="Calibri"/>
          <w:color w:val="000000"/>
          <w:lang w:val="en-GB"/>
        </w:rPr>
      </w:pPr>
      <w:r w:rsidRPr="00640417">
        <w:rPr>
          <w:rFonts w:eastAsia="Calibri"/>
          <w:color w:val="000000"/>
          <w:lang w:val="en-GB"/>
        </w:rPr>
        <w:t xml:space="preserve">Laying off workers may give us some cost saving, but we must also consider the strong presence of trade unions in the </w:t>
      </w:r>
      <w:proofErr w:type="spellStart"/>
      <w:r w:rsidR="001A428C">
        <w:rPr>
          <w:rFonts w:eastAsia="Calibri"/>
          <w:color w:val="000000"/>
          <w:lang w:val="en-GB"/>
        </w:rPr>
        <w:t>Bokaro</w:t>
      </w:r>
      <w:proofErr w:type="spellEnd"/>
      <w:r w:rsidR="001A428C">
        <w:rPr>
          <w:rFonts w:eastAsia="Calibri"/>
          <w:color w:val="000000"/>
          <w:lang w:val="en-GB"/>
        </w:rPr>
        <w:t xml:space="preserve"> </w:t>
      </w:r>
      <w:r w:rsidRPr="00640417">
        <w:rPr>
          <w:rFonts w:eastAsia="Calibri"/>
          <w:color w:val="000000"/>
          <w:lang w:val="en-GB"/>
        </w:rPr>
        <w:t>region. Company workers are not associated with any trade union, but in the case of a bulk layoff, union leaders would not miss a chance to include company workers on their side. We may lose our control over the workers, and subsequently, production will be hampered.</w:t>
      </w:r>
    </w:p>
    <w:p w14:paraId="7403F766" w14:textId="77777777" w:rsidR="00841BF6" w:rsidRDefault="00841BF6" w:rsidP="00A03932">
      <w:pPr>
        <w:pStyle w:val="BodyTextMain"/>
        <w:ind w:left="720"/>
        <w:rPr>
          <w:rFonts w:eastAsia="Calibri"/>
          <w:color w:val="000000"/>
          <w:lang w:val="en-GB"/>
        </w:rPr>
      </w:pPr>
    </w:p>
    <w:p w14:paraId="39BA9130" w14:textId="56438AB8" w:rsidR="004E5586" w:rsidRPr="00640417" w:rsidRDefault="004E5586" w:rsidP="00905F4D">
      <w:pPr>
        <w:pStyle w:val="BodyTextMain"/>
        <w:rPr>
          <w:rFonts w:eastAsia="Calibri"/>
          <w:color w:val="000000"/>
          <w:lang w:val="en-GB"/>
        </w:rPr>
      </w:pPr>
      <w:r w:rsidRPr="00640417">
        <w:rPr>
          <w:rFonts w:eastAsia="Calibri"/>
          <w:color w:val="000000"/>
          <w:lang w:val="en-GB"/>
        </w:rPr>
        <w:t xml:space="preserve">Vijay concluded the meeting by asking </w:t>
      </w:r>
      <w:r w:rsidR="00841BF6">
        <w:rPr>
          <w:rFonts w:eastAsia="Calibri"/>
          <w:color w:val="000000"/>
          <w:lang w:val="en-GB"/>
        </w:rPr>
        <w:t xml:space="preserve">the team </w:t>
      </w:r>
      <w:r w:rsidRPr="00640417">
        <w:rPr>
          <w:rFonts w:eastAsia="Calibri"/>
          <w:color w:val="000000"/>
          <w:lang w:val="en-GB"/>
        </w:rPr>
        <w:t>to delve deeper into the suggestions or propose new alternatives.</w:t>
      </w:r>
    </w:p>
    <w:p w14:paraId="4560ABC3" w14:textId="77777777" w:rsidR="004E5586" w:rsidRPr="00640417" w:rsidRDefault="004E5586" w:rsidP="004E5586">
      <w:pPr>
        <w:pStyle w:val="BodyTextMain"/>
        <w:rPr>
          <w:rFonts w:eastAsia="Calibri"/>
          <w:color w:val="000000"/>
          <w:lang w:val="en-GB"/>
        </w:rPr>
      </w:pPr>
    </w:p>
    <w:p w14:paraId="16BC546F" w14:textId="4B84ED20" w:rsidR="00DD06A6" w:rsidRDefault="004E5586" w:rsidP="004E5586">
      <w:pPr>
        <w:pStyle w:val="BodyTextMain"/>
        <w:rPr>
          <w:rFonts w:eastAsia="Calibri"/>
          <w:color w:val="000000"/>
          <w:lang w:val="en-GB"/>
        </w:rPr>
      </w:pPr>
      <w:r w:rsidRPr="00640417">
        <w:rPr>
          <w:rFonts w:eastAsia="Calibri"/>
          <w:color w:val="000000"/>
          <w:lang w:val="en-GB"/>
        </w:rPr>
        <w:t>In June 2015,</w:t>
      </w:r>
      <w:r w:rsidR="00166E8C" w:rsidRPr="00640417">
        <w:rPr>
          <w:rFonts w:eastAsia="Calibri"/>
          <w:color w:val="000000"/>
          <w:lang w:val="en-GB"/>
        </w:rPr>
        <w:t xml:space="preserve"> </w:t>
      </w:r>
      <w:r w:rsidRPr="00640417">
        <w:rPr>
          <w:rFonts w:eastAsia="Calibri"/>
          <w:color w:val="000000"/>
          <w:lang w:val="en-GB"/>
        </w:rPr>
        <w:t>Vijay took over as CEO and appointed</w:t>
      </w:r>
      <w:r w:rsidR="00166E8C" w:rsidRPr="00640417">
        <w:rPr>
          <w:rFonts w:eastAsia="Calibri"/>
          <w:color w:val="000000"/>
          <w:lang w:val="en-GB"/>
        </w:rPr>
        <w:t xml:space="preserve"> </w:t>
      </w:r>
      <w:r w:rsidRPr="00640417">
        <w:rPr>
          <w:rFonts w:eastAsia="Calibri"/>
          <w:color w:val="000000"/>
          <w:lang w:val="en-GB"/>
        </w:rPr>
        <w:t xml:space="preserve">Harsh Sharma as </w:t>
      </w:r>
      <w:r w:rsidR="00D24D5F">
        <w:rPr>
          <w:rFonts w:eastAsia="Calibri"/>
          <w:color w:val="000000"/>
          <w:lang w:val="en-GB"/>
        </w:rPr>
        <w:t>d</w:t>
      </w:r>
      <w:r w:rsidRPr="00640417">
        <w:rPr>
          <w:rFonts w:eastAsia="Calibri"/>
          <w:color w:val="000000"/>
          <w:lang w:val="en-GB"/>
        </w:rPr>
        <w:t>irector of HR, sales, marketing, and operations.</w:t>
      </w:r>
      <w:r w:rsidR="00166E8C" w:rsidRPr="00640417">
        <w:rPr>
          <w:rFonts w:eastAsia="Calibri"/>
          <w:color w:val="000000"/>
          <w:lang w:val="en-GB"/>
        </w:rPr>
        <w:t xml:space="preserve"> </w:t>
      </w:r>
      <w:r w:rsidRPr="00640417">
        <w:rPr>
          <w:rFonts w:eastAsia="Calibri"/>
          <w:color w:val="000000"/>
          <w:lang w:val="en-GB"/>
        </w:rPr>
        <w:t>Sharma, an expert in operations, started pushing operations for more productive work. For him, if a problem exist</w:t>
      </w:r>
      <w:r w:rsidR="005B6F89">
        <w:rPr>
          <w:rFonts w:eastAsia="Calibri"/>
          <w:color w:val="000000"/>
          <w:lang w:val="en-GB"/>
        </w:rPr>
        <w:t>ed</w:t>
      </w:r>
      <w:r w:rsidRPr="00640417">
        <w:rPr>
          <w:rFonts w:eastAsia="Calibri"/>
          <w:color w:val="000000"/>
          <w:lang w:val="en-GB"/>
        </w:rPr>
        <w:t>, so d</w:t>
      </w:r>
      <w:r w:rsidR="005B6F89">
        <w:rPr>
          <w:rFonts w:eastAsia="Calibri"/>
          <w:color w:val="000000"/>
          <w:lang w:val="en-GB"/>
        </w:rPr>
        <w:t>id</w:t>
      </w:r>
      <w:r w:rsidRPr="00640417">
        <w:rPr>
          <w:rFonts w:eastAsia="Calibri"/>
          <w:color w:val="000000"/>
          <w:lang w:val="en-GB"/>
        </w:rPr>
        <w:t xml:space="preserve"> a solution</w:t>
      </w:r>
      <w:r w:rsidR="004B39C1">
        <w:rPr>
          <w:rFonts w:eastAsia="Calibri"/>
          <w:color w:val="000000"/>
          <w:lang w:val="en-GB"/>
        </w:rPr>
        <w:t>—</w:t>
      </w:r>
      <w:r w:rsidRPr="00640417">
        <w:rPr>
          <w:rFonts w:eastAsia="Calibri"/>
          <w:color w:val="000000"/>
          <w:lang w:val="en-GB"/>
        </w:rPr>
        <w:t xml:space="preserve">and it </w:t>
      </w:r>
      <w:r w:rsidR="004B39C1">
        <w:rPr>
          <w:rFonts w:eastAsia="Calibri"/>
          <w:color w:val="000000"/>
          <w:lang w:val="en-GB"/>
        </w:rPr>
        <w:t>had to</w:t>
      </w:r>
      <w:r w:rsidRPr="00640417">
        <w:rPr>
          <w:rFonts w:eastAsia="Calibri"/>
          <w:color w:val="000000"/>
          <w:lang w:val="en-GB"/>
        </w:rPr>
        <w:t xml:space="preserve"> be the duty of employee</w:t>
      </w:r>
      <w:r w:rsidR="00AB593E">
        <w:rPr>
          <w:rFonts w:eastAsia="Calibri"/>
          <w:color w:val="000000"/>
          <w:lang w:val="en-GB"/>
        </w:rPr>
        <w:t>s</w:t>
      </w:r>
      <w:r w:rsidRPr="00640417">
        <w:rPr>
          <w:rFonts w:eastAsia="Calibri"/>
          <w:color w:val="000000"/>
          <w:lang w:val="en-GB"/>
        </w:rPr>
        <w:t xml:space="preserve"> to resolve </w:t>
      </w:r>
      <w:r w:rsidR="00DD06A6">
        <w:rPr>
          <w:rFonts w:eastAsia="Calibri"/>
          <w:color w:val="000000"/>
          <w:lang w:val="en-GB"/>
        </w:rPr>
        <w:t>problems</w:t>
      </w:r>
      <w:r w:rsidRPr="00640417">
        <w:rPr>
          <w:rFonts w:eastAsia="Calibri"/>
          <w:color w:val="000000"/>
          <w:lang w:val="en-GB"/>
        </w:rPr>
        <w:t xml:space="preserve"> on </w:t>
      </w:r>
      <w:r w:rsidR="00DD06A6">
        <w:rPr>
          <w:rFonts w:eastAsia="Calibri"/>
          <w:color w:val="000000"/>
          <w:lang w:val="en-GB"/>
        </w:rPr>
        <w:t>their</w:t>
      </w:r>
      <w:r w:rsidRPr="00640417">
        <w:rPr>
          <w:rFonts w:eastAsia="Calibri"/>
          <w:color w:val="000000"/>
          <w:lang w:val="en-GB"/>
        </w:rPr>
        <w:t xml:space="preserve"> </w:t>
      </w:r>
      <w:proofErr w:type="gramStart"/>
      <w:r w:rsidRPr="00640417">
        <w:rPr>
          <w:rFonts w:eastAsia="Calibri"/>
          <w:color w:val="000000"/>
          <w:lang w:val="en-GB"/>
        </w:rPr>
        <w:t>own.</w:t>
      </w:r>
      <w:proofErr w:type="gramEnd"/>
      <w:r w:rsidRPr="00640417">
        <w:rPr>
          <w:rFonts w:eastAsia="Calibri"/>
          <w:color w:val="000000"/>
          <w:lang w:val="en-GB"/>
        </w:rPr>
        <w:t xml:space="preserve"> He initiated cost-cutting measures in all departments. </w:t>
      </w:r>
      <w:r w:rsidR="00AB593E">
        <w:rPr>
          <w:rFonts w:eastAsia="Calibri"/>
          <w:color w:val="000000"/>
          <w:lang w:val="en-GB"/>
        </w:rPr>
        <w:t>As a cost-cutting initiative, a</w:t>
      </w:r>
      <w:r w:rsidRPr="00640417">
        <w:rPr>
          <w:rFonts w:eastAsia="Calibri"/>
          <w:color w:val="000000"/>
          <w:lang w:val="en-GB"/>
        </w:rPr>
        <w:t xml:space="preserve">ll employees who were shifted to </w:t>
      </w:r>
      <w:r w:rsidR="00DD06A6">
        <w:rPr>
          <w:rFonts w:eastAsia="Calibri"/>
          <w:color w:val="000000"/>
          <w:lang w:val="en-GB"/>
        </w:rPr>
        <w:t xml:space="preserve">the </w:t>
      </w:r>
      <w:r w:rsidRPr="00640417">
        <w:rPr>
          <w:rFonts w:eastAsia="Calibri"/>
          <w:color w:val="000000"/>
          <w:lang w:val="en-GB"/>
        </w:rPr>
        <w:t>new plan</w:t>
      </w:r>
      <w:r w:rsidR="00F347B2">
        <w:rPr>
          <w:rFonts w:eastAsia="Calibri"/>
          <w:color w:val="000000"/>
          <w:lang w:val="en-GB"/>
        </w:rPr>
        <w:t>t</w:t>
      </w:r>
      <w:r w:rsidRPr="00640417">
        <w:rPr>
          <w:rFonts w:eastAsia="Calibri"/>
          <w:color w:val="000000"/>
          <w:lang w:val="en-GB"/>
        </w:rPr>
        <w:t xml:space="preserve"> location for process improvement were made permanent. Many employees were not ready to relocate but went there on a commitment by the previous CEO. All the benefits offered to relocated employees were withdrawn. </w:t>
      </w:r>
    </w:p>
    <w:p w14:paraId="5E05EE25" w14:textId="77777777" w:rsidR="00DD06A6" w:rsidRDefault="00DD06A6" w:rsidP="004E5586">
      <w:pPr>
        <w:pStyle w:val="BodyTextMain"/>
        <w:rPr>
          <w:rFonts w:eastAsia="Calibri"/>
          <w:color w:val="000000"/>
          <w:lang w:val="en-GB"/>
        </w:rPr>
      </w:pPr>
    </w:p>
    <w:p w14:paraId="28AA4310" w14:textId="66AC8DCE" w:rsidR="004E5586" w:rsidRPr="0089430C" w:rsidRDefault="004E5586" w:rsidP="004E5586">
      <w:pPr>
        <w:pStyle w:val="BodyTextMain"/>
        <w:rPr>
          <w:rFonts w:eastAsia="Calibri"/>
          <w:color w:val="000000"/>
          <w:spacing w:val="-2"/>
          <w:kern w:val="22"/>
          <w:lang w:val="en-GB"/>
        </w:rPr>
      </w:pPr>
      <w:r w:rsidRPr="0089430C">
        <w:rPr>
          <w:rFonts w:eastAsia="Calibri"/>
          <w:color w:val="000000"/>
          <w:spacing w:val="-2"/>
          <w:kern w:val="22"/>
          <w:lang w:val="en-GB"/>
        </w:rPr>
        <w:t xml:space="preserve">People were in shock </w:t>
      </w:r>
      <w:r w:rsidR="00DD06A6" w:rsidRPr="0089430C">
        <w:rPr>
          <w:rFonts w:eastAsia="Calibri"/>
          <w:color w:val="000000"/>
          <w:spacing w:val="-2"/>
          <w:kern w:val="22"/>
          <w:lang w:val="en-GB"/>
        </w:rPr>
        <w:t>over</w:t>
      </w:r>
      <w:r w:rsidRPr="0089430C">
        <w:rPr>
          <w:rFonts w:eastAsia="Calibri"/>
          <w:color w:val="000000"/>
          <w:spacing w:val="-2"/>
          <w:kern w:val="22"/>
          <w:lang w:val="en-GB"/>
        </w:rPr>
        <w:t xml:space="preserve"> such action</w:t>
      </w:r>
      <w:r w:rsidR="004B39C1">
        <w:rPr>
          <w:rFonts w:eastAsia="Calibri"/>
          <w:color w:val="000000"/>
          <w:spacing w:val="-2"/>
          <w:kern w:val="22"/>
          <w:lang w:val="en-GB"/>
        </w:rPr>
        <w:t>s</w:t>
      </w:r>
      <w:r w:rsidRPr="0089430C">
        <w:rPr>
          <w:rFonts w:eastAsia="Calibri"/>
          <w:color w:val="000000"/>
          <w:spacing w:val="-2"/>
          <w:kern w:val="22"/>
          <w:lang w:val="en-GB"/>
        </w:rPr>
        <w:t>.</w:t>
      </w:r>
      <w:r w:rsidR="00DD06A6" w:rsidRPr="0089430C">
        <w:rPr>
          <w:rFonts w:eastAsia="Calibri"/>
          <w:color w:val="000000"/>
          <w:spacing w:val="-2"/>
          <w:kern w:val="22"/>
          <w:lang w:val="en-GB"/>
        </w:rPr>
        <w:t xml:space="preserve"> However, </w:t>
      </w:r>
      <w:r w:rsidR="00EB456D" w:rsidRPr="0089430C">
        <w:rPr>
          <w:rFonts w:eastAsia="Calibri"/>
          <w:color w:val="000000"/>
          <w:spacing w:val="-2"/>
          <w:kern w:val="22"/>
          <w:lang w:val="en-GB"/>
        </w:rPr>
        <w:t>Sharma</w:t>
      </w:r>
      <w:r w:rsidRPr="0089430C">
        <w:rPr>
          <w:rFonts w:eastAsia="Calibri"/>
          <w:color w:val="000000"/>
          <w:spacing w:val="-2"/>
          <w:kern w:val="22"/>
          <w:lang w:val="en-GB"/>
        </w:rPr>
        <w:t xml:space="preserve"> was not ready to listen to the grievances of employee</w:t>
      </w:r>
      <w:r w:rsidR="00DD06A6" w:rsidRPr="0089430C">
        <w:rPr>
          <w:rFonts w:eastAsia="Calibri"/>
          <w:color w:val="000000"/>
          <w:spacing w:val="-2"/>
          <w:kern w:val="22"/>
          <w:lang w:val="en-GB"/>
        </w:rPr>
        <w:t>s</w:t>
      </w:r>
      <w:r w:rsidRPr="0089430C">
        <w:rPr>
          <w:rFonts w:eastAsia="Calibri"/>
          <w:color w:val="000000"/>
          <w:spacing w:val="-2"/>
          <w:kern w:val="22"/>
          <w:lang w:val="en-GB"/>
        </w:rPr>
        <w:t xml:space="preserve">. According to him, the company was in bad shape and everyone should contribute the maximum possible. He used a policy of shift or leave. He also put on hold all the previous policies that were initiated for appraisal and engagement. </w:t>
      </w:r>
      <w:r w:rsidR="00F64567" w:rsidRPr="0089430C">
        <w:rPr>
          <w:rFonts w:eastAsia="Calibri"/>
          <w:color w:val="000000"/>
          <w:spacing w:val="-2"/>
          <w:kern w:val="22"/>
          <w:lang w:val="en-GB"/>
        </w:rPr>
        <w:t>T</w:t>
      </w:r>
      <w:r w:rsidRPr="0089430C">
        <w:rPr>
          <w:rFonts w:eastAsia="Calibri"/>
          <w:color w:val="000000"/>
          <w:spacing w:val="-2"/>
          <w:kern w:val="22"/>
          <w:lang w:val="en-GB"/>
        </w:rPr>
        <w:t xml:space="preserve">he company </w:t>
      </w:r>
      <w:r w:rsidR="00F64567" w:rsidRPr="0089430C">
        <w:rPr>
          <w:rFonts w:eastAsia="Calibri"/>
          <w:color w:val="000000"/>
          <w:spacing w:val="-2"/>
          <w:kern w:val="22"/>
          <w:lang w:val="en-GB"/>
        </w:rPr>
        <w:t>announced that it would not</w:t>
      </w:r>
      <w:r w:rsidRPr="0089430C">
        <w:rPr>
          <w:rFonts w:eastAsia="Calibri"/>
          <w:color w:val="000000"/>
          <w:spacing w:val="-2"/>
          <w:kern w:val="22"/>
          <w:lang w:val="en-GB"/>
        </w:rPr>
        <w:t xml:space="preserve"> offer any </w:t>
      </w:r>
      <w:r w:rsidR="00D054DE" w:rsidRPr="0089430C">
        <w:rPr>
          <w:rFonts w:eastAsia="Calibri"/>
          <w:color w:val="000000"/>
          <w:spacing w:val="-2"/>
          <w:kern w:val="22"/>
          <w:lang w:val="en-GB"/>
        </w:rPr>
        <w:t xml:space="preserve">salary </w:t>
      </w:r>
      <w:r w:rsidRPr="0089430C">
        <w:rPr>
          <w:rFonts w:eastAsia="Calibri"/>
          <w:color w:val="000000"/>
          <w:spacing w:val="-2"/>
          <w:kern w:val="22"/>
          <w:lang w:val="en-GB"/>
        </w:rPr>
        <w:t xml:space="preserve">increment that year. </w:t>
      </w:r>
      <w:r w:rsidR="00DD06A6" w:rsidRPr="0089430C">
        <w:rPr>
          <w:rFonts w:eastAsia="Calibri"/>
          <w:color w:val="000000"/>
          <w:spacing w:val="-2"/>
          <w:kern w:val="22"/>
          <w:lang w:val="en-GB"/>
        </w:rPr>
        <w:t>For</w:t>
      </w:r>
      <w:r w:rsidRPr="0089430C">
        <w:rPr>
          <w:rFonts w:eastAsia="Calibri"/>
          <w:color w:val="000000"/>
          <w:spacing w:val="-2"/>
          <w:kern w:val="22"/>
          <w:lang w:val="en-GB"/>
        </w:rPr>
        <w:t xml:space="preserve"> the </w:t>
      </w:r>
      <w:r w:rsidR="00DD06A6" w:rsidRPr="0089430C">
        <w:rPr>
          <w:rFonts w:eastAsia="Calibri"/>
          <w:color w:val="000000"/>
          <w:spacing w:val="-2"/>
          <w:kern w:val="22"/>
          <w:lang w:val="en-GB"/>
        </w:rPr>
        <w:t>p</w:t>
      </w:r>
      <w:r w:rsidRPr="0089430C">
        <w:rPr>
          <w:rFonts w:eastAsia="Calibri"/>
          <w:color w:val="000000"/>
          <w:spacing w:val="-2"/>
          <w:kern w:val="22"/>
          <w:lang w:val="en-GB"/>
        </w:rPr>
        <w:t xml:space="preserve">ast three years, the company </w:t>
      </w:r>
      <w:r w:rsidR="00DD06A6" w:rsidRPr="0089430C">
        <w:rPr>
          <w:rFonts w:eastAsia="Calibri"/>
          <w:color w:val="000000"/>
          <w:spacing w:val="-2"/>
          <w:kern w:val="22"/>
          <w:lang w:val="en-GB"/>
        </w:rPr>
        <w:t>had been</w:t>
      </w:r>
      <w:r w:rsidRPr="0089430C">
        <w:rPr>
          <w:rFonts w:eastAsia="Calibri"/>
          <w:color w:val="000000"/>
          <w:spacing w:val="-2"/>
          <w:kern w:val="22"/>
          <w:lang w:val="en-GB"/>
        </w:rPr>
        <w:t xml:space="preserve"> offering half the increment of the industry average. Because of little growth, employees were frustrated</w:t>
      </w:r>
      <w:r w:rsidR="00DD06A6" w:rsidRPr="0089430C">
        <w:rPr>
          <w:rFonts w:eastAsia="Calibri"/>
          <w:color w:val="000000"/>
          <w:spacing w:val="-2"/>
          <w:kern w:val="22"/>
          <w:lang w:val="en-GB"/>
        </w:rPr>
        <w:t>,</w:t>
      </w:r>
      <w:r w:rsidRPr="0089430C">
        <w:rPr>
          <w:rFonts w:eastAsia="Calibri"/>
          <w:color w:val="000000"/>
          <w:spacing w:val="-2"/>
          <w:kern w:val="22"/>
          <w:lang w:val="en-GB"/>
        </w:rPr>
        <w:t xml:space="preserve"> but </w:t>
      </w:r>
      <w:r w:rsidR="00DD06A6" w:rsidRPr="0089430C">
        <w:rPr>
          <w:rFonts w:eastAsia="Calibri"/>
          <w:color w:val="000000"/>
          <w:spacing w:val="-2"/>
          <w:kern w:val="22"/>
          <w:lang w:val="en-GB"/>
        </w:rPr>
        <w:t xml:space="preserve">they </w:t>
      </w:r>
      <w:r w:rsidRPr="0089430C">
        <w:rPr>
          <w:rFonts w:eastAsia="Calibri"/>
          <w:color w:val="000000"/>
          <w:spacing w:val="-2"/>
          <w:kern w:val="22"/>
          <w:lang w:val="en-GB"/>
        </w:rPr>
        <w:t>had faith in the organization.</w:t>
      </w:r>
    </w:p>
    <w:p w14:paraId="26DB93E2" w14:textId="77777777" w:rsidR="004E5586" w:rsidRPr="00640417" w:rsidRDefault="004E5586" w:rsidP="004E5586">
      <w:pPr>
        <w:pStyle w:val="BodyTextMain"/>
        <w:rPr>
          <w:rFonts w:eastAsia="Calibri"/>
          <w:color w:val="000000"/>
          <w:lang w:val="en-GB"/>
        </w:rPr>
      </w:pPr>
    </w:p>
    <w:p w14:paraId="50C4FB20" w14:textId="798377B3" w:rsidR="004E5586" w:rsidRPr="00801648" w:rsidRDefault="00EB456D" w:rsidP="004E5586">
      <w:pPr>
        <w:pStyle w:val="BodyTextMain"/>
        <w:rPr>
          <w:rFonts w:eastAsia="Calibri"/>
          <w:color w:val="000000"/>
          <w:spacing w:val="-2"/>
          <w:kern w:val="22"/>
          <w:lang w:val="en-GB"/>
        </w:rPr>
      </w:pPr>
      <w:r w:rsidRPr="00801648">
        <w:rPr>
          <w:rFonts w:eastAsia="Calibri"/>
          <w:color w:val="000000"/>
          <w:spacing w:val="-2"/>
          <w:kern w:val="22"/>
          <w:lang w:val="en-GB"/>
        </w:rPr>
        <w:t xml:space="preserve">Sharma </w:t>
      </w:r>
      <w:r w:rsidR="004E5586" w:rsidRPr="00801648">
        <w:rPr>
          <w:rFonts w:eastAsia="Calibri"/>
          <w:color w:val="000000"/>
          <w:spacing w:val="-2"/>
          <w:kern w:val="22"/>
          <w:lang w:val="en-GB"/>
        </w:rPr>
        <w:t xml:space="preserve">was not happy with </w:t>
      </w:r>
      <w:r w:rsidR="00AB593E">
        <w:rPr>
          <w:rFonts w:eastAsia="Calibri"/>
          <w:color w:val="000000"/>
          <w:spacing w:val="-2"/>
          <w:kern w:val="22"/>
          <w:lang w:val="en-GB"/>
        </w:rPr>
        <w:t xml:space="preserve">the </w:t>
      </w:r>
      <w:r w:rsidR="004E5586" w:rsidRPr="00801648">
        <w:rPr>
          <w:rFonts w:eastAsia="Calibri"/>
          <w:color w:val="000000"/>
          <w:spacing w:val="-2"/>
          <w:kern w:val="22"/>
          <w:lang w:val="en-GB"/>
        </w:rPr>
        <w:t xml:space="preserve">targets the sales team was </w:t>
      </w:r>
      <w:r w:rsidR="00AB593E">
        <w:rPr>
          <w:rFonts w:eastAsia="Calibri"/>
          <w:color w:val="000000"/>
          <w:spacing w:val="-2"/>
          <w:kern w:val="22"/>
          <w:lang w:val="en-GB"/>
        </w:rPr>
        <w:t>hitting</w:t>
      </w:r>
      <w:r w:rsidR="004E5586" w:rsidRPr="00801648">
        <w:rPr>
          <w:rFonts w:eastAsia="Calibri"/>
          <w:color w:val="000000"/>
          <w:spacing w:val="-2"/>
          <w:kern w:val="22"/>
          <w:lang w:val="en-GB"/>
        </w:rPr>
        <w:t xml:space="preserve">. He started pushing the sales team </w:t>
      </w:r>
      <w:r w:rsidR="00F12BAE">
        <w:rPr>
          <w:rFonts w:eastAsia="Calibri"/>
          <w:color w:val="000000"/>
          <w:spacing w:val="-2"/>
          <w:kern w:val="22"/>
          <w:lang w:val="en-GB"/>
        </w:rPr>
        <w:t xml:space="preserve">to </w:t>
      </w:r>
      <w:r w:rsidR="004E5586" w:rsidRPr="00801648">
        <w:rPr>
          <w:rFonts w:eastAsia="Calibri"/>
          <w:color w:val="000000"/>
          <w:spacing w:val="-2"/>
          <w:kern w:val="22"/>
          <w:lang w:val="en-GB"/>
        </w:rPr>
        <w:t>get more orders</w:t>
      </w:r>
      <w:r w:rsidR="004B39C1">
        <w:rPr>
          <w:rFonts w:eastAsia="Calibri"/>
          <w:color w:val="000000"/>
          <w:spacing w:val="-2"/>
          <w:kern w:val="22"/>
          <w:lang w:val="en-GB"/>
        </w:rPr>
        <w:t>, and t</w:t>
      </w:r>
      <w:r w:rsidR="004E5586" w:rsidRPr="00801648">
        <w:rPr>
          <w:rFonts w:eastAsia="Calibri"/>
          <w:color w:val="000000"/>
          <w:spacing w:val="-2"/>
          <w:kern w:val="22"/>
          <w:lang w:val="en-GB"/>
        </w:rPr>
        <w:t>he monthly sales o</w:t>
      </w:r>
      <w:r w:rsidR="00234C27" w:rsidRPr="00801648">
        <w:rPr>
          <w:rFonts w:eastAsia="Calibri"/>
          <w:color w:val="000000"/>
          <w:spacing w:val="-2"/>
          <w:kern w:val="22"/>
          <w:lang w:val="en-GB"/>
        </w:rPr>
        <w:t>rder target was increased by 20 per cent</w:t>
      </w:r>
      <w:r w:rsidR="004E5586" w:rsidRPr="00801648">
        <w:rPr>
          <w:rFonts w:eastAsia="Calibri"/>
          <w:color w:val="000000"/>
          <w:spacing w:val="-2"/>
          <w:kern w:val="22"/>
          <w:lang w:val="en-GB"/>
        </w:rPr>
        <w:t>. The sales team, which was already disappointed with the delivery failure issues and raw material issues, was surprised by the increase</w:t>
      </w:r>
      <w:r w:rsidR="004B39C1">
        <w:rPr>
          <w:rFonts w:eastAsia="Calibri"/>
          <w:color w:val="000000"/>
          <w:spacing w:val="-2"/>
          <w:kern w:val="22"/>
          <w:lang w:val="en-GB"/>
        </w:rPr>
        <w:t>d</w:t>
      </w:r>
      <w:r w:rsidR="004E5586" w:rsidRPr="00801648">
        <w:rPr>
          <w:rFonts w:eastAsia="Calibri"/>
          <w:color w:val="000000"/>
          <w:spacing w:val="-2"/>
          <w:kern w:val="22"/>
          <w:lang w:val="en-GB"/>
        </w:rPr>
        <w:t xml:space="preserve"> target. The </w:t>
      </w:r>
      <w:r w:rsidR="00F12BAE">
        <w:rPr>
          <w:rFonts w:eastAsia="Calibri"/>
          <w:color w:val="000000"/>
          <w:spacing w:val="-2"/>
          <w:kern w:val="22"/>
          <w:lang w:val="en-GB"/>
        </w:rPr>
        <w:t>team</w:t>
      </w:r>
      <w:r w:rsidR="004E5586" w:rsidRPr="00801648">
        <w:rPr>
          <w:rFonts w:eastAsia="Calibri"/>
          <w:color w:val="000000"/>
          <w:spacing w:val="-2"/>
          <w:kern w:val="22"/>
          <w:lang w:val="en-GB"/>
        </w:rPr>
        <w:t xml:space="preserve"> did not understand why management was pushing for more orders by increasing the</w:t>
      </w:r>
      <w:r w:rsidR="00DD06A6">
        <w:rPr>
          <w:rFonts w:eastAsia="Calibri"/>
          <w:color w:val="000000"/>
          <w:spacing w:val="-2"/>
          <w:kern w:val="22"/>
          <w:lang w:val="en-GB"/>
        </w:rPr>
        <w:t xml:space="preserve"> </w:t>
      </w:r>
      <w:r w:rsidR="004E5586" w:rsidRPr="00801648">
        <w:rPr>
          <w:rFonts w:eastAsia="Calibri"/>
          <w:color w:val="000000"/>
          <w:spacing w:val="-2"/>
          <w:kern w:val="22"/>
          <w:lang w:val="en-GB"/>
        </w:rPr>
        <w:t xml:space="preserve">order </w:t>
      </w:r>
      <w:r w:rsidR="004E5586" w:rsidRPr="00801648">
        <w:rPr>
          <w:rFonts w:eastAsia="Calibri"/>
          <w:color w:val="000000"/>
          <w:spacing w:val="-2"/>
          <w:kern w:val="22"/>
          <w:lang w:val="en-GB"/>
        </w:rPr>
        <w:lastRenderedPageBreak/>
        <w:t>booking target when it was consistently failing in its delivery commitments. This</w:t>
      </w:r>
      <w:r w:rsidR="00F12BAE">
        <w:rPr>
          <w:rFonts w:eastAsia="Calibri"/>
          <w:color w:val="000000"/>
          <w:spacing w:val="-2"/>
          <w:kern w:val="22"/>
          <w:lang w:val="en-GB"/>
        </w:rPr>
        <w:t xml:space="preserve"> situation</w:t>
      </w:r>
      <w:r w:rsidR="004E5586" w:rsidRPr="00801648">
        <w:rPr>
          <w:rFonts w:eastAsia="Calibri"/>
          <w:color w:val="000000"/>
          <w:spacing w:val="-2"/>
          <w:kern w:val="22"/>
          <w:lang w:val="en-GB"/>
        </w:rPr>
        <w:t xml:space="preserve"> led </w:t>
      </w:r>
      <w:r w:rsidR="004B39C1">
        <w:rPr>
          <w:rFonts w:eastAsia="Calibri"/>
          <w:color w:val="000000"/>
          <w:spacing w:val="-2"/>
          <w:kern w:val="22"/>
          <w:lang w:val="en-GB"/>
        </w:rPr>
        <w:t>to</w:t>
      </w:r>
      <w:r w:rsidR="00F12BAE">
        <w:rPr>
          <w:rFonts w:eastAsia="Calibri"/>
          <w:color w:val="000000"/>
          <w:spacing w:val="-2"/>
          <w:kern w:val="22"/>
          <w:lang w:val="en-GB"/>
        </w:rPr>
        <w:t xml:space="preserve"> </w:t>
      </w:r>
      <w:r w:rsidR="004E5586" w:rsidRPr="00801648">
        <w:rPr>
          <w:rFonts w:eastAsia="Calibri"/>
          <w:color w:val="000000"/>
          <w:spacing w:val="-2"/>
          <w:kern w:val="22"/>
          <w:lang w:val="en-GB"/>
        </w:rPr>
        <w:t>dissatis</w:t>
      </w:r>
      <w:r w:rsidR="00F12BAE">
        <w:rPr>
          <w:rFonts w:eastAsia="Calibri"/>
          <w:color w:val="000000"/>
          <w:spacing w:val="-2"/>
          <w:kern w:val="22"/>
          <w:lang w:val="en-GB"/>
        </w:rPr>
        <w:t>f</w:t>
      </w:r>
      <w:r w:rsidR="004B39C1">
        <w:rPr>
          <w:rFonts w:eastAsia="Calibri"/>
          <w:color w:val="000000"/>
          <w:spacing w:val="-2"/>
          <w:kern w:val="22"/>
          <w:lang w:val="en-GB"/>
        </w:rPr>
        <w:t>action among the workers</w:t>
      </w:r>
      <w:r w:rsidR="00AB593E">
        <w:rPr>
          <w:rFonts w:eastAsia="Calibri"/>
          <w:color w:val="000000"/>
          <w:spacing w:val="-2"/>
          <w:kern w:val="22"/>
          <w:lang w:val="en-GB"/>
        </w:rPr>
        <w:t xml:space="preserve">. They </w:t>
      </w:r>
      <w:r w:rsidR="00F12BAE">
        <w:rPr>
          <w:rFonts w:eastAsia="Calibri"/>
          <w:color w:val="000000"/>
          <w:spacing w:val="-2"/>
          <w:kern w:val="22"/>
          <w:lang w:val="en-GB"/>
        </w:rPr>
        <w:t>believed that</w:t>
      </w:r>
      <w:r w:rsidR="004E5586" w:rsidRPr="00801648">
        <w:rPr>
          <w:rFonts w:eastAsia="Calibri"/>
          <w:color w:val="000000"/>
          <w:spacing w:val="-2"/>
          <w:kern w:val="22"/>
          <w:lang w:val="en-GB"/>
        </w:rPr>
        <w:t xml:space="preserve"> management was not ready to dig deeper into the proble</w:t>
      </w:r>
      <w:r w:rsidRPr="00801648">
        <w:rPr>
          <w:rFonts w:eastAsia="Calibri"/>
          <w:color w:val="000000"/>
          <w:spacing w:val="-2"/>
          <w:kern w:val="22"/>
          <w:lang w:val="en-GB"/>
        </w:rPr>
        <w:t>m</w:t>
      </w:r>
      <w:r w:rsidR="00AC5FAB" w:rsidRPr="00801648">
        <w:rPr>
          <w:rFonts w:eastAsia="Calibri"/>
          <w:color w:val="000000"/>
          <w:spacing w:val="-2"/>
          <w:kern w:val="22"/>
          <w:lang w:val="en-GB"/>
        </w:rPr>
        <w:t xml:space="preserve"> </w:t>
      </w:r>
      <w:r w:rsidR="004E5586" w:rsidRPr="00801648">
        <w:rPr>
          <w:rFonts w:eastAsia="Calibri"/>
          <w:color w:val="000000"/>
          <w:spacing w:val="-2"/>
          <w:kern w:val="22"/>
          <w:lang w:val="en-GB"/>
        </w:rPr>
        <w:t>and find a solution but only wanted to increase targets.</w:t>
      </w:r>
    </w:p>
    <w:p w14:paraId="2FE2D30B" w14:textId="77777777" w:rsidR="004E5586" w:rsidRPr="00640417" w:rsidRDefault="004E5586" w:rsidP="004E5586">
      <w:pPr>
        <w:pStyle w:val="BodyTextMain"/>
        <w:rPr>
          <w:rFonts w:eastAsia="Calibri"/>
          <w:color w:val="000000"/>
          <w:lang w:val="en-GB"/>
        </w:rPr>
      </w:pPr>
    </w:p>
    <w:p w14:paraId="2BC70D5C" w14:textId="4393F641" w:rsidR="004E5586" w:rsidRPr="00801648" w:rsidRDefault="004E5586" w:rsidP="004E5586">
      <w:pPr>
        <w:pStyle w:val="BodyTextMain"/>
        <w:rPr>
          <w:rFonts w:eastAsia="Calibri"/>
          <w:color w:val="000000"/>
          <w:spacing w:val="-2"/>
          <w:kern w:val="22"/>
          <w:lang w:val="en-GB"/>
        </w:rPr>
      </w:pPr>
      <w:r w:rsidRPr="00801648">
        <w:rPr>
          <w:rFonts w:eastAsia="Calibri"/>
          <w:color w:val="000000"/>
          <w:spacing w:val="-2"/>
          <w:kern w:val="22"/>
          <w:lang w:val="en-GB"/>
        </w:rPr>
        <w:t>With th</w:t>
      </w:r>
      <w:r w:rsidR="004B39C1">
        <w:rPr>
          <w:rFonts w:eastAsia="Calibri"/>
          <w:color w:val="000000"/>
          <w:spacing w:val="-2"/>
          <w:kern w:val="22"/>
          <w:lang w:val="en-GB"/>
        </w:rPr>
        <w:t>is</w:t>
      </w:r>
      <w:r w:rsidRPr="00801648">
        <w:rPr>
          <w:rFonts w:eastAsia="Calibri"/>
          <w:color w:val="000000"/>
          <w:spacing w:val="-2"/>
          <w:kern w:val="22"/>
          <w:lang w:val="en-GB"/>
        </w:rPr>
        <w:t xml:space="preserve"> series of actions in the backdrop, employees started losing faith in </w:t>
      </w:r>
      <w:proofErr w:type="spellStart"/>
      <w:r w:rsidR="00F12BAE">
        <w:rPr>
          <w:rFonts w:eastAsia="Calibri"/>
          <w:color w:val="000000"/>
          <w:spacing w:val="-2"/>
          <w:kern w:val="22"/>
          <w:lang w:val="en-GB"/>
        </w:rPr>
        <w:t>Bartos</w:t>
      </w:r>
      <w:proofErr w:type="spellEnd"/>
      <w:r w:rsidRPr="00801648">
        <w:rPr>
          <w:rFonts w:eastAsia="Calibri"/>
          <w:color w:val="000000"/>
          <w:spacing w:val="-2"/>
          <w:kern w:val="22"/>
          <w:lang w:val="en-GB"/>
        </w:rPr>
        <w:t>. Many senior people from operations resigned, which led to a massive shortage of skilled labo</w:t>
      </w:r>
      <w:r w:rsidR="00EB456D" w:rsidRPr="00801648">
        <w:rPr>
          <w:rFonts w:eastAsia="Calibri"/>
          <w:color w:val="000000"/>
          <w:spacing w:val="-2"/>
          <w:kern w:val="22"/>
          <w:lang w:val="en-GB"/>
        </w:rPr>
        <w:t>u</w:t>
      </w:r>
      <w:r w:rsidRPr="00801648">
        <w:rPr>
          <w:rFonts w:eastAsia="Calibri"/>
          <w:color w:val="000000"/>
          <w:spacing w:val="-2"/>
          <w:kern w:val="22"/>
          <w:lang w:val="en-GB"/>
        </w:rPr>
        <w:t xml:space="preserve">r. To their surprise, the company did not even ask them to stay and their resignations were readily accepted. </w:t>
      </w:r>
      <w:r w:rsidR="00AB593E">
        <w:rPr>
          <w:rFonts w:eastAsia="Calibri"/>
          <w:color w:val="000000"/>
          <w:spacing w:val="-2"/>
          <w:kern w:val="22"/>
          <w:lang w:val="en-GB"/>
        </w:rPr>
        <w:t>In the face of s</w:t>
      </w:r>
      <w:r w:rsidRPr="00801648">
        <w:rPr>
          <w:rFonts w:eastAsia="Calibri"/>
          <w:color w:val="000000"/>
          <w:spacing w:val="-2"/>
          <w:kern w:val="22"/>
          <w:lang w:val="en-GB"/>
        </w:rPr>
        <w:t xml:space="preserve">uch policies, many people across </w:t>
      </w:r>
      <w:r w:rsidR="00AB593E">
        <w:rPr>
          <w:rFonts w:eastAsia="Calibri"/>
          <w:color w:val="000000"/>
          <w:spacing w:val="-2"/>
          <w:kern w:val="22"/>
          <w:lang w:val="en-GB"/>
        </w:rPr>
        <w:t xml:space="preserve">several </w:t>
      </w:r>
      <w:r w:rsidRPr="00801648">
        <w:rPr>
          <w:rFonts w:eastAsia="Calibri"/>
          <w:color w:val="000000"/>
          <w:spacing w:val="-2"/>
          <w:kern w:val="22"/>
          <w:lang w:val="en-GB"/>
        </w:rPr>
        <w:t xml:space="preserve">levels left the organization. A raid by the Central Pollution Control Board at the </w:t>
      </w:r>
      <w:proofErr w:type="spellStart"/>
      <w:r w:rsidRPr="00801648">
        <w:rPr>
          <w:rFonts w:eastAsia="Calibri"/>
          <w:color w:val="000000"/>
          <w:spacing w:val="-2"/>
          <w:kern w:val="22"/>
          <w:lang w:val="en-GB"/>
        </w:rPr>
        <w:t>Bokaro</w:t>
      </w:r>
      <w:proofErr w:type="spellEnd"/>
      <w:r w:rsidRPr="00801648">
        <w:rPr>
          <w:rFonts w:eastAsia="Calibri"/>
          <w:color w:val="000000"/>
          <w:spacing w:val="-2"/>
          <w:kern w:val="22"/>
          <w:lang w:val="en-GB"/>
        </w:rPr>
        <w:t xml:space="preserve"> plant worsened the situation. Two crucial production lines were not complying with the rules and regulations, which led to the temporary closure of the manufacturing facility. The action jeopardized production, leading to </w:t>
      </w:r>
      <w:r w:rsidR="00F12BAE">
        <w:rPr>
          <w:rFonts w:eastAsia="Calibri"/>
          <w:color w:val="000000"/>
          <w:spacing w:val="-2"/>
          <w:kern w:val="22"/>
          <w:lang w:val="en-GB"/>
        </w:rPr>
        <w:t xml:space="preserve">a </w:t>
      </w:r>
      <w:r w:rsidRPr="00801648">
        <w:rPr>
          <w:rFonts w:eastAsia="Calibri"/>
          <w:color w:val="000000"/>
          <w:spacing w:val="-2"/>
          <w:kern w:val="22"/>
          <w:lang w:val="en-GB"/>
        </w:rPr>
        <w:t xml:space="preserve">complete loss of trust by employees, customers, and all </w:t>
      </w:r>
      <w:r w:rsidR="00F12BAE">
        <w:rPr>
          <w:rFonts w:eastAsia="Calibri"/>
          <w:color w:val="000000"/>
          <w:spacing w:val="-2"/>
          <w:kern w:val="22"/>
          <w:lang w:val="en-GB"/>
        </w:rPr>
        <w:t xml:space="preserve">other </w:t>
      </w:r>
      <w:r w:rsidRPr="00801648">
        <w:rPr>
          <w:rFonts w:eastAsia="Calibri"/>
          <w:color w:val="000000"/>
          <w:spacing w:val="-2"/>
          <w:kern w:val="22"/>
          <w:lang w:val="en-GB"/>
        </w:rPr>
        <w:t>stakeholders.</w:t>
      </w:r>
    </w:p>
    <w:p w14:paraId="55A27578" w14:textId="77777777" w:rsidR="00801648" w:rsidRDefault="00801648" w:rsidP="00801648">
      <w:pPr>
        <w:pStyle w:val="BodyTextMain"/>
        <w:rPr>
          <w:rFonts w:eastAsia="Calibri"/>
          <w:color w:val="000000"/>
          <w:sz w:val="18"/>
          <w:szCs w:val="18"/>
          <w:lang w:val="en-GB"/>
        </w:rPr>
      </w:pPr>
    </w:p>
    <w:p w14:paraId="5D773713" w14:textId="77777777" w:rsidR="00986EE5" w:rsidRPr="00801648" w:rsidRDefault="00986EE5" w:rsidP="00801648">
      <w:pPr>
        <w:pStyle w:val="BodyTextMain"/>
        <w:rPr>
          <w:rFonts w:eastAsia="Calibri"/>
          <w:color w:val="000000"/>
          <w:sz w:val="18"/>
          <w:szCs w:val="18"/>
          <w:lang w:val="en-GB"/>
        </w:rPr>
      </w:pPr>
    </w:p>
    <w:p w14:paraId="1F92F050" w14:textId="77777777" w:rsidR="00986EE5" w:rsidRPr="00A03932" w:rsidRDefault="00986EE5" w:rsidP="00A03932">
      <w:pPr>
        <w:pStyle w:val="Casehead1"/>
        <w:rPr>
          <w:lang w:val="en-GB"/>
        </w:rPr>
      </w:pPr>
      <w:r w:rsidRPr="00A03932">
        <w:rPr>
          <w:lang w:val="en-GB"/>
        </w:rPr>
        <w:t>Weighing the options</w:t>
      </w:r>
    </w:p>
    <w:p w14:paraId="75E13C1C" w14:textId="77777777" w:rsidR="00986EE5" w:rsidRDefault="00986EE5" w:rsidP="00801648">
      <w:pPr>
        <w:pStyle w:val="BodyTextMain"/>
        <w:rPr>
          <w:rFonts w:eastAsia="Calibri"/>
          <w:color w:val="000000"/>
          <w:lang w:val="en-GB"/>
        </w:rPr>
      </w:pPr>
    </w:p>
    <w:p w14:paraId="42E6A68C" w14:textId="2098CB0F" w:rsidR="00D40D30" w:rsidRDefault="004E5586" w:rsidP="00707032">
      <w:pPr>
        <w:pStyle w:val="BodyTextMain"/>
        <w:rPr>
          <w:rFonts w:eastAsia="Calibri"/>
          <w:color w:val="000000"/>
          <w:lang w:val="en-GB"/>
        </w:rPr>
      </w:pPr>
      <w:r w:rsidRPr="00640417">
        <w:rPr>
          <w:rFonts w:eastAsia="Calibri"/>
          <w:color w:val="000000"/>
          <w:lang w:val="en-GB"/>
        </w:rPr>
        <w:t xml:space="preserve">In </w:t>
      </w:r>
      <w:r w:rsidR="00F12BAE">
        <w:rPr>
          <w:rFonts w:eastAsia="Calibri"/>
          <w:color w:val="000000"/>
          <w:lang w:val="en-GB"/>
        </w:rPr>
        <w:t xml:space="preserve">late </w:t>
      </w:r>
      <w:r w:rsidRPr="00640417">
        <w:rPr>
          <w:rFonts w:eastAsia="Calibri"/>
          <w:color w:val="000000"/>
          <w:lang w:val="en-GB"/>
        </w:rPr>
        <w:t>September 2015,</w:t>
      </w:r>
      <w:r w:rsidR="00166E8C" w:rsidRPr="00640417">
        <w:rPr>
          <w:rFonts w:eastAsia="Calibri"/>
          <w:color w:val="000000"/>
          <w:lang w:val="en-GB"/>
        </w:rPr>
        <w:t xml:space="preserve"> </w:t>
      </w:r>
      <w:r w:rsidRPr="00640417">
        <w:rPr>
          <w:rFonts w:eastAsia="Calibri"/>
          <w:color w:val="000000"/>
          <w:lang w:val="en-GB"/>
        </w:rPr>
        <w:t xml:space="preserve">Vijay was sitting </w:t>
      </w:r>
      <w:r w:rsidR="00F12BAE">
        <w:rPr>
          <w:rFonts w:eastAsia="Calibri"/>
          <w:color w:val="000000"/>
          <w:lang w:val="en-GB"/>
        </w:rPr>
        <w:t xml:space="preserve">at home </w:t>
      </w:r>
      <w:r w:rsidRPr="00640417">
        <w:rPr>
          <w:rFonts w:eastAsia="Calibri"/>
          <w:color w:val="000000"/>
          <w:lang w:val="en-GB"/>
        </w:rPr>
        <w:t>watching news</w:t>
      </w:r>
      <w:r w:rsidR="00EB2C36">
        <w:rPr>
          <w:rFonts w:eastAsia="Calibri"/>
          <w:color w:val="000000"/>
          <w:lang w:val="en-GB"/>
        </w:rPr>
        <w:t xml:space="preserve"> </w:t>
      </w:r>
      <w:r w:rsidR="00F12BAE">
        <w:rPr>
          <w:rFonts w:eastAsia="Calibri"/>
          <w:color w:val="000000"/>
          <w:lang w:val="en-GB"/>
        </w:rPr>
        <w:t xml:space="preserve">about </w:t>
      </w:r>
      <w:proofErr w:type="spellStart"/>
      <w:r w:rsidR="00F12BAE">
        <w:rPr>
          <w:rFonts w:eastAsia="Calibri"/>
          <w:color w:val="000000"/>
          <w:lang w:val="en-GB"/>
        </w:rPr>
        <w:t>Bartos</w:t>
      </w:r>
      <w:proofErr w:type="spellEnd"/>
      <w:r w:rsidR="00F12BAE">
        <w:rPr>
          <w:rFonts w:eastAsia="Calibri"/>
          <w:color w:val="000000"/>
          <w:lang w:val="en-GB"/>
        </w:rPr>
        <w:t xml:space="preserve"> </w:t>
      </w:r>
      <w:r w:rsidR="00EB2C36">
        <w:rPr>
          <w:rFonts w:eastAsia="Calibri"/>
          <w:color w:val="000000"/>
          <w:lang w:val="en-GB"/>
        </w:rPr>
        <w:t>on television</w:t>
      </w:r>
      <w:r w:rsidR="00F12BAE">
        <w:rPr>
          <w:rFonts w:eastAsia="Calibri"/>
          <w:color w:val="000000"/>
          <w:lang w:val="en-GB"/>
        </w:rPr>
        <w:t>.</w:t>
      </w:r>
      <w:r w:rsidRPr="00640417">
        <w:rPr>
          <w:rFonts w:eastAsia="Calibri"/>
          <w:color w:val="000000"/>
          <w:lang w:val="en-GB"/>
        </w:rPr>
        <w:t xml:space="preserve"> He closed his eyes and started contemplating the options he had on hand to solve his </w:t>
      </w:r>
      <w:r w:rsidR="00862FD2" w:rsidRPr="00640417">
        <w:rPr>
          <w:rFonts w:eastAsia="Calibri"/>
          <w:color w:val="000000"/>
          <w:lang w:val="en-GB"/>
        </w:rPr>
        <w:t>proble</w:t>
      </w:r>
      <w:r w:rsidR="00862FD2">
        <w:rPr>
          <w:rFonts w:eastAsia="Calibri"/>
          <w:color w:val="000000"/>
          <w:lang w:val="en-GB"/>
        </w:rPr>
        <w:t>m</w:t>
      </w:r>
      <w:r w:rsidR="00862FD2" w:rsidRPr="00640417">
        <w:rPr>
          <w:rFonts w:eastAsia="Calibri"/>
          <w:color w:val="000000"/>
          <w:lang w:val="en-GB"/>
        </w:rPr>
        <w:t xml:space="preserve">. </w:t>
      </w:r>
      <w:r w:rsidRPr="00640417">
        <w:rPr>
          <w:rFonts w:eastAsia="Calibri"/>
          <w:color w:val="000000"/>
          <w:lang w:val="en-GB"/>
        </w:rPr>
        <w:t>Looking at the current situation</w:t>
      </w:r>
      <w:r w:rsidR="005B6F89">
        <w:rPr>
          <w:rFonts w:eastAsia="Calibri"/>
          <w:color w:val="000000"/>
          <w:lang w:val="en-GB"/>
        </w:rPr>
        <w:t xml:space="preserve"> for </w:t>
      </w:r>
      <w:proofErr w:type="spellStart"/>
      <w:r w:rsidR="00905F4D">
        <w:rPr>
          <w:rFonts w:eastAsia="Calibri"/>
          <w:color w:val="000000"/>
          <w:lang w:val="en-GB"/>
        </w:rPr>
        <w:t>Bartos</w:t>
      </w:r>
      <w:proofErr w:type="spellEnd"/>
      <w:r w:rsidRPr="00640417">
        <w:rPr>
          <w:rFonts w:eastAsia="Calibri"/>
          <w:color w:val="000000"/>
          <w:lang w:val="en-GB"/>
        </w:rPr>
        <w:t xml:space="preserve"> and the market,</w:t>
      </w:r>
      <w:r w:rsidR="00166E8C" w:rsidRPr="00640417">
        <w:rPr>
          <w:rFonts w:eastAsia="Calibri"/>
          <w:color w:val="000000"/>
          <w:lang w:val="en-GB"/>
        </w:rPr>
        <w:t xml:space="preserve"> </w:t>
      </w:r>
      <w:r w:rsidR="00EB456D">
        <w:rPr>
          <w:rFonts w:eastAsia="Calibri"/>
          <w:color w:val="000000"/>
          <w:lang w:val="en-GB"/>
        </w:rPr>
        <w:t>Reddy</w:t>
      </w:r>
      <w:r w:rsidRPr="00640417">
        <w:rPr>
          <w:rFonts w:eastAsia="Calibri"/>
          <w:color w:val="000000"/>
          <w:lang w:val="en-GB"/>
        </w:rPr>
        <w:t xml:space="preserve"> had suggested</w:t>
      </w:r>
      <w:r w:rsidR="005B6F89">
        <w:rPr>
          <w:rFonts w:eastAsia="Calibri"/>
          <w:color w:val="000000"/>
          <w:lang w:val="en-GB"/>
        </w:rPr>
        <w:t xml:space="preserve"> </w:t>
      </w:r>
      <w:r w:rsidRPr="00640417">
        <w:rPr>
          <w:rFonts w:eastAsia="Calibri"/>
          <w:color w:val="000000"/>
          <w:lang w:val="en-GB"/>
        </w:rPr>
        <w:t>rationaliz</w:t>
      </w:r>
      <w:r w:rsidR="005B6F89">
        <w:rPr>
          <w:rFonts w:eastAsia="Calibri"/>
          <w:color w:val="000000"/>
          <w:lang w:val="en-GB"/>
        </w:rPr>
        <w:t xml:space="preserve">ing </w:t>
      </w:r>
      <w:r w:rsidRPr="00640417">
        <w:rPr>
          <w:rFonts w:eastAsia="Calibri"/>
          <w:color w:val="000000"/>
          <w:lang w:val="en-GB"/>
        </w:rPr>
        <w:t>on three fronts: (1)</w:t>
      </w:r>
      <w:r w:rsidR="00905F4D">
        <w:rPr>
          <w:rFonts w:eastAsia="Calibri"/>
          <w:color w:val="000000"/>
          <w:lang w:val="en-GB"/>
        </w:rPr>
        <w:t> </w:t>
      </w:r>
      <w:r w:rsidRPr="00640417">
        <w:rPr>
          <w:rFonts w:eastAsia="Calibri"/>
          <w:color w:val="000000"/>
          <w:lang w:val="en-GB"/>
        </w:rPr>
        <w:t xml:space="preserve">productivity improvement to reduce cost, (2) laying off employees, and (3) technological advancement. </w:t>
      </w:r>
      <w:r w:rsidR="00905F4D">
        <w:rPr>
          <w:rFonts w:eastAsia="Calibri"/>
          <w:color w:val="000000"/>
          <w:lang w:val="en-GB"/>
        </w:rPr>
        <w:t xml:space="preserve">Vijay </w:t>
      </w:r>
      <w:r w:rsidRPr="00640417">
        <w:rPr>
          <w:rFonts w:eastAsia="Calibri"/>
          <w:color w:val="000000"/>
          <w:lang w:val="en-GB"/>
        </w:rPr>
        <w:t xml:space="preserve">switched off his television and went over </w:t>
      </w:r>
      <w:r w:rsidR="004B39C1">
        <w:rPr>
          <w:rFonts w:eastAsia="Calibri"/>
          <w:color w:val="000000"/>
          <w:lang w:val="en-GB"/>
        </w:rPr>
        <w:t>the</w:t>
      </w:r>
      <w:r w:rsidRPr="00640417">
        <w:rPr>
          <w:rFonts w:eastAsia="Calibri"/>
          <w:color w:val="000000"/>
          <w:lang w:val="en-GB"/>
        </w:rPr>
        <w:t xml:space="preserve"> alternatives. He had partially explored these alternatives</w:t>
      </w:r>
      <w:r w:rsidR="00905F4D">
        <w:rPr>
          <w:rFonts w:eastAsia="Calibri"/>
          <w:color w:val="000000"/>
          <w:lang w:val="en-GB"/>
        </w:rPr>
        <w:t>,</w:t>
      </w:r>
      <w:r w:rsidRPr="00640417">
        <w:rPr>
          <w:rFonts w:eastAsia="Calibri"/>
          <w:color w:val="000000"/>
          <w:lang w:val="en-GB"/>
        </w:rPr>
        <w:t xml:space="preserve"> but he needed to re-examine their applicability to </w:t>
      </w:r>
      <w:r w:rsidR="005B6F89">
        <w:rPr>
          <w:rFonts w:eastAsia="Calibri"/>
          <w:color w:val="000000"/>
          <w:lang w:val="en-GB"/>
        </w:rPr>
        <w:t xml:space="preserve">the </w:t>
      </w:r>
      <w:r w:rsidRPr="00640417">
        <w:rPr>
          <w:rFonts w:eastAsia="Calibri"/>
          <w:color w:val="000000"/>
          <w:lang w:val="en-GB"/>
        </w:rPr>
        <w:t>company’s situation and organize his th</w:t>
      </w:r>
      <w:r w:rsidR="00EB456D">
        <w:rPr>
          <w:rFonts w:eastAsia="Calibri"/>
          <w:color w:val="000000"/>
          <w:lang w:val="en-GB"/>
        </w:rPr>
        <w:t>oughts before meeting with the board of d</w:t>
      </w:r>
      <w:r w:rsidRPr="00640417">
        <w:rPr>
          <w:rFonts w:eastAsia="Calibri"/>
          <w:color w:val="000000"/>
          <w:lang w:val="en-GB"/>
        </w:rPr>
        <w:t>irectors.</w:t>
      </w:r>
    </w:p>
    <w:p w14:paraId="2BBB4405" w14:textId="25902FD0" w:rsidR="007B5C44" w:rsidRPr="00D40D30" w:rsidRDefault="004E5586" w:rsidP="00707032">
      <w:pPr>
        <w:pStyle w:val="BodyTextMain"/>
        <w:rPr>
          <w:rFonts w:eastAsia="Calibri"/>
          <w:color w:val="000000"/>
          <w:lang w:val="en-GB"/>
        </w:rPr>
        <w:sectPr w:rsidR="007B5C44" w:rsidRPr="00D40D30" w:rsidSect="00EB5410">
          <w:headerReference w:type="default" r:id="rId11"/>
          <w:endnotePr>
            <w:numFmt w:val="decimal"/>
          </w:endnotePr>
          <w:pgSz w:w="12240" w:h="15840"/>
          <w:pgMar w:top="1080" w:right="1440" w:bottom="1440" w:left="1440" w:header="1080" w:footer="720" w:gutter="0"/>
          <w:cols w:space="720"/>
          <w:titlePg/>
          <w:docGrid w:linePitch="360"/>
        </w:sectPr>
      </w:pPr>
      <w:r w:rsidRPr="00640417">
        <w:rPr>
          <w:lang w:val="en-GB"/>
        </w:rPr>
        <w:br w:type="page"/>
      </w:r>
    </w:p>
    <w:p w14:paraId="5BC8DBB2" w14:textId="6D6A3346" w:rsidR="004E5586" w:rsidRPr="00640417" w:rsidRDefault="004E5586" w:rsidP="00BA292F">
      <w:pPr>
        <w:pStyle w:val="ExhibitHeading"/>
        <w:keepNext/>
        <w:rPr>
          <w:rFonts w:eastAsia="Calibri"/>
          <w:lang w:val="en-GB"/>
        </w:rPr>
      </w:pPr>
      <w:r w:rsidRPr="00640417">
        <w:rPr>
          <w:rFonts w:eastAsia="Calibri"/>
          <w:lang w:val="en-GB"/>
        </w:rPr>
        <w:lastRenderedPageBreak/>
        <w:t xml:space="preserve">Exhibit </w:t>
      </w:r>
      <w:r w:rsidR="003A08A3">
        <w:rPr>
          <w:rFonts w:eastAsia="Calibri"/>
          <w:lang w:val="en-GB"/>
        </w:rPr>
        <w:t>1</w:t>
      </w:r>
      <w:r w:rsidR="00707032" w:rsidRPr="00640417">
        <w:rPr>
          <w:rFonts w:eastAsia="Calibri"/>
          <w:lang w:val="en-GB"/>
        </w:rPr>
        <w:t xml:space="preserve">: </w:t>
      </w:r>
      <w:r w:rsidRPr="00640417">
        <w:rPr>
          <w:rFonts w:eastAsia="Calibri"/>
          <w:lang w:val="en-GB"/>
        </w:rPr>
        <w:t xml:space="preserve">PROCESS FLOW AT </w:t>
      </w:r>
      <w:r w:rsidR="00EA4387">
        <w:rPr>
          <w:rFonts w:eastAsia="Calibri"/>
          <w:lang w:val="en-GB"/>
        </w:rPr>
        <w:t xml:space="preserve">the </w:t>
      </w:r>
      <w:r w:rsidR="00627CF1">
        <w:rPr>
          <w:rFonts w:eastAsia="Calibri"/>
          <w:lang w:val="en-GB"/>
        </w:rPr>
        <w:t>Pune PLANT</w:t>
      </w:r>
    </w:p>
    <w:p w14:paraId="43A11EA5" w14:textId="77777777" w:rsidR="004E5586" w:rsidRPr="00640417" w:rsidRDefault="004E5586" w:rsidP="00BA292F">
      <w:pPr>
        <w:pStyle w:val="BodyTextMain"/>
        <w:keepNext/>
        <w:rPr>
          <w:rFonts w:eastAsia="Calibri"/>
          <w:sz w:val="20"/>
          <w:szCs w:val="20"/>
          <w:lang w:val="en-GB"/>
        </w:rPr>
      </w:pPr>
    </w:p>
    <w:p w14:paraId="172177C3" w14:textId="7D29DBCC" w:rsidR="004E5586" w:rsidRPr="00640417" w:rsidRDefault="004E5586" w:rsidP="00915A39">
      <w:pPr>
        <w:keepNext/>
        <w:spacing w:after="160"/>
        <w:jc w:val="center"/>
        <w:rPr>
          <w:rFonts w:eastAsia="Calibri"/>
          <w:b/>
          <w:i/>
          <w:szCs w:val="22"/>
          <w:lang w:val="en-GB"/>
        </w:rPr>
      </w:pPr>
      <w:r w:rsidRPr="00640417">
        <w:rPr>
          <w:rFonts w:eastAsia="Calibri"/>
          <w:noProof/>
          <w:sz w:val="22"/>
          <w:szCs w:val="22"/>
        </w:rPr>
        <w:drawing>
          <wp:inline distT="0" distB="0" distL="0" distR="0" wp14:anchorId="6E7B7CBE" wp14:editId="49E2133A">
            <wp:extent cx="8112125" cy="5010912"/>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8205240" cy="5068429"/>
                    </a:xfrm>
                    <a:prstGeom prst="rect">
                      <a:avLst/>
                    </a:prstGeom>
                    <a:noFill/>
                    <a:ln>
                      <a:noFill/>
                    </a:ln>
                  </pic:spPr>
                </pic:pic>
              </a:graphicData>
            </a:graphic>
          </wp:inline>
        </w:drawing>
      </w:r>
    </w:p>
    <w:p w14:paraId="79FC22D1" w14:textId="77777777" w:rsidR="00707032" w:rsidRPr="00640417" w:rsidRDefault="00707032" w:rsidP="00BA292F">
      <w:pPr>
        <w:pStyle w:val="BodyTextMain"/>
        <w:keepNext/>
        <w:rPr>
          <w:rFonts w:eastAsia="Calibri"/>
          <w:sz w:val="20"/>
          <w:szCs w:val="20"/>
          <w:lang w:val="en-GB"/>
        </w:rPr>
      </w:pPr>
    </w:p>
    <w:p w14:paraId="58D0A7DB" w14:textId="1E3DE637" w:rsidR="004E5586" w:rsidRPr="00C55DA9" w:rsidRDefault="004E5586" w:rsidP="00C55DA9">
      <w:pPr>
        <w:pStyle w:val="BodyTextMain"/>
        <w:rPr>
          <w:rFonts w:ascii="Arial" w:eastAsia="Calibri" w:hAnsi="Arial" w:cs="Arial"/>
          <w:sz w:val="17"/>
          <w:szCs w:val="17"/>
          <w:lang w:val="en-GB"/>
        </w:rPr>
      </w:pPr>
      <w:r w:rsidRPr="00C55DA9">
        <w:rPr>
          <w:rFonts w:ascii="Arial" w:eastAsia="Calibri" w:hAnsi="Arial" w:cs="Arial"/>
          <w:sz w:val="17"/>
          <w:szCs w:val="17"/>
          <w:lang w:val="en-GB"/>
        </w:rPr>
        <w:t xml:space="preserve">Source: Company </w:t>
      </w:r>
      <w:r w:rsidR="00E768D4">
        <w:rPr>
          <w:rFonts w:ascii="Arial" w:eastAsia="Calibri" w:hAnsi="Arial" w:cs="Arial"/>
          <w:sz w:val="17"/>
          <w:szCs w:val="17"/>
          <w:lang w:val="en-GB"/>
        </w:rPr>
        <w:t>d</w:t>
      </w:r>
      <w:r w:rsidR="00DE2F4C" w:rsidRPr="00C55DA9">
        <w:rPr>
          <w:rFonts w:ascii="Arial" w:eastAsia="Calibri" w:hAnsi="Arial" w:cs="Arial"/>
          <w:sz w:val="17"/>
          <w:szCs w:val="17"/>
          <w:lang w:val="en-GB"/>
        </w:rPr>
        <w:t>ocuments.</w:t>
      </w:r>
    </w:p>
    <w:p w14:paraId="686296A1" w14:textId="77777777" w:rsidR="00915A39" w:rsidRPr="00C55DA9" w:rsidRDefault="00915A39" w:rsidP="00C55DA9">
      <w:pPr>
        <w:pStyle w:val="BodyTextMain"/>
        <w:rPr>
          <w:rFonts w:ascii="Arial" w:eastAsia="Calibri" w:hAnsi="Arial" w:cs="Arial"/>
          <w:sz w:val="17"/>
          <w:szCs w:val="17"/>
          <w:lang w:val="en-GB"/>
        </w:rPr>
        <w:sectPr w:rsidR="00915A39" w:rsidRPr="00C55DA9" w:rsidSect="00915A39">
          <w:headerReference w:type="default" r:id="rId13"/>
          <w:endnotePr>
            <w:numFmt w:val="decimal"/>
          </w:endnotePr>
          <w:pgSz w:w="15840" w:h="12240" w:orient="landscape"/>
          <w:pgMar w:top="1440" w:right="1440" w:bottom="1440" w:left="1440" w:header="1080" w:footer="720" w:gutter="0"/>
          <w:cols w:space="720"/>
          <w:docGrid w:linePitch="360"/>
        </w:sectPr>
      </w:pPr>
    </w:p>
    <w:p w14:paraId="247C5878" w14:textId="47B5811B" w:rsidR="004E5586" w:rsidRPr="00640417" w:rsidRDefault="004E5586" w:rsidP="00BA292F">
      <w:pPr>
        <w:pStyle w:val="ExhibitHeading"/>
        <w:keepNext/>
        <w:rPr>
          <w:rFonts w:eastAsia="Calibri"/>
          <w:lang w:val="en-GB"/>
        </w:rPr>
      </w:pPr>
      <w:r w:rsidRPr="00640417">
        <w:rPr>
          <w:rFonts w:eastAsia="Calibri"/>
          <w:lang w:val="en-GB"/>
        </w:rPr>
        <w:lastRenderedPageBreak/>
        <w:t xml:space="preserve">Exhibit </w:t>
      </w:r>
      <w:r w:rsidR="003A08A3">
        <w:rPr>
          <w:rFonts w:eastAsia="Calibri"/>
          <w:lang w:val="en-GB"/>
        </w:rPr>
        <w:t>2</w:t>
      </w:r>
      <w:r w:rsidR="00707032" w:rsidRPr="00640417">
        <w:rPr>
          <w:rFonts w:eastAsia="Calibri"/>
          <w:lang w:val="en-GB"/>
        </w:rPr>
        <w:t xml:space="preserve">: </w:t>
      </w:r>
      <w:r w:rsidRPr="00640417">
        <w:rPr>
          <w:rFonts w:eastAsia="Calibri"/>
          <w:lang w:val="en-GB"/>
        </w:rPr>
        <w:t>OUTLINE OF PROCUREMENT PROCESS</w:t>
      </w:r>
    </w:p>
    <w:p w14:paraId="515AC903" w14:textId="77777777" w:rsidR="00707032" w:rsidRPr="00640417" w:rsidRDefault="00707032" w:rsidP="00BA292F">
      <w:pPr>
        <w:pStyle w:val="BodyTextMain"/>
        <w:keepNext/>
        <w:rPr>
          <w:rFonts w:eastAsia="Calibri"/>
          <w:sz w:val="20"/>
          <w:szCs w:val="20"/>
          <w:lang w:val="en-GB"/>
        </w:rPr>
      </w:pPr>
    </w:p>
    <w:p w14:paraId="22DE54A1" w14:textId="01086420" w:rsidR="004E5586" w:rsidRPr="00640417" w:rsidRDefault="0089430C" w:rsidP="004436B8">
      <w:pPr>
        <w:keepNext/>
        <w:spacing w:after="160"/>
        <w:jc w:val="center"/>
        <w:rPr>
          <w:rFonts w:eastAsia="Calibri"/>
          <w:szCs w:val="22"/>
          <w:lang w:val="en-GB"/>
        </w:rPr>
      </w:pPr>
      <w:r>
        <w:rPr>
          <w:noProof/>
        </w:rPr>
        <w:drawing>
          <wp:inline distT="0" distB="0" distL="0" distR="0" wp14:anchorId="5B79595C" wp14:editId="4F816C76">
            <wp:extent cx="5494836" cy="485729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grayscl/>
                    </a:blip>
                    <a:stretch>
                      <a:fillRect/>
                    </a:stretch>
                  </pic:blipFill>
                  <pic:spPr>
                    <a:xfrm>
                      <a:off x="0" y="0"/>
                      <a:ext cx="5555208" cy="4910660"/>
                    </a:xfrm>
                    <a:prstGeom prst="rect">
                      <a:avLst/>
                    </a:prstGeom>
                  </pic:spPr>
                </pic:pic>
              </a:graphicData>
            </a:graphic>
          </wp:inline>
        </w:drawing>
      </w:r>
    </w:p>
    <w:p w14:paraId="21587ACF" w14:textId="1926BA55" w:rsidR="004E5586" w:rsidRPr="00C55DA9" w:rsidRDefault="004E5586" w:rsidP="00C55DA9">
      <w:pPr>
        <w:pStyle w:val="BodyTextMain"/>
        <w:rPr>
          <w:rFonts w:ascii="Arial" w:eastAsia="Calibri" w:hAnsi="Arial" w:cs="Arial"/>
          <w:sz w:val="17"/>
          <w:szCs w:val="17"/>
          <w:lang w:val="en-GB"/>
        </w:rPr>
      </w:pPr>
      <w:r w:rsidRPr="00C55DA9">
        <w:rPr>
          <w:rFonts w:ascii="Arial" w:eastAsia="Calibri" w:hAnsi="Arial" w:cs="Arial"/>
          <w:sz w:val="17"/>
          <w:szCs w:val="17"/>
          <w:lang w:val="en-GB"/>
        </w:rPr>
        <w:t xml:space="preserve">Source: Company </w:t>
      </w:r>
      <w:r w:rsidR="00E768D4">
        <w:rPr>
          <w:rFonts w:ascii="Arial" w:eastAsia="Calibri" w:hAnsi="Arial" w:cs="Arial"/>
          <w:sz w:val="17"/>
          <w:szCs w:val="17"/>
          <w:lang w:val="en-GB"/>
        </w:rPr>
        <w:t>d</w:t>
      </w:r>
      <w:r w:rsidR="00DE2F4C" w:rsidRPr="00C55DA9">
        <w:rPr>
          <w:rFonts w:ascii="Arial" w:eastAsia="Calibri" w:hAnsi="Arial" w:cs="Arial"/>
          <w:sz w:val="17"/>
          <w:szCs w:val="17"/>
          <w:lang w:val="en-GB"/>
        </w:rPr>
        <w:t>ocuments.</w:t>
      </w:r>
    </w:p>
    <w:p w14:paraId="7E2A3D48" w14:textId="77777777" w:rsidR="00707032" w:rsidRPr="00640417" w:rsidRDefault="00707032" w:rsidP="00707032">
      <w:pPr>
        <w:pStyle w:val="BodyTextMain"/>
        <w:rPr>
          <w:rFonts w:eastAsia="Calibri"/>
          <w:sz w:val="20"/>
          <w:szCs w:val="20"/>
          <w:lang w:val="en-GB"/>
        </w:rPr>
      </w:pPr>
    </w:p>
    <w:p w14:paraId="2C29D8D5" w14:textId="0839E1DB" w:rsidR="003D0C1C" w:rsidRPr="00640417" w:rsidRDefault="004E5586" w:rsidP="001101F1">
      <w:pPr>
        <w:pStyle w:val="ExhibitHeading"/>
        <w:rPr>
          <w:rFonts w:eastAsia="Calibri"/>
          <w:lang w:val="en-GB"/>
        </w:rPr>
      </w:pPr>
      <w:r w:rsidRPr="00640417">
        <w:rPr>
          <w:rFonts w:eastAsia="Calibri"/>
          <w:lang w:val="en-GB"/>
        </w:rPr>
        <w:t xml:space="preserve">Exhibit </w:t>
      </w:r>
      <w:r w:rsidR="003A08A3">
        <w:rPr>
          <w:rFonts w:eastAsia="Calibri"/>
          <w:lang w:val="en-GB"/>
        </w:rPr>
        <w:t>3</w:t>
      </w:r>
      <w:r w:rsidR="00707032" w:rsidRPr="00640417">
        <w:rPr>
          <w:rFonts w:eastAsia="Calibri"/>
          <w:lang w:val="en-GB"/>
        </w:rPr>
        <w:t xml:space="preserve">: </w:t>
      </w:r>
      <w:r w:rsidR="00A96363">
        <w:rPr>
          <w:rFonts w:eastAsia="Calibri"/>
          <w:lang w:val="en-GB"/>
        </w:rPr>
        <w:t>BARTOS</w:t>
      </w:r>
      <w:r w:rsidR="003D0C1C">
        <w:rPr>
          <w:rFonts w:eastAsia="Calibri"/>
          <w:lang w:val="en-GB"/>
        </w:rPr>
        <w:t>’s vision</w:t>
      </w:r>
    </w:p>
    <w:p w14:paraId="3DAB6E33" w14:textId="77777777" w:rsidR="00707032" w:rsidRPr="00640417" w:rsidRDefault="00707032" w:rsidP="00707032">
      <w:pPr>
        <w:pStyle w:val="BodyTextMain"/>
        <w:rPr>
          <w:rFonts w:eastAsia="Calibri"/>
          <w:sz w:val="20"/>
          <w:szCs w:val="20"/>
          <w:lang w:val="en-GB"/>
        </w:rPr>
      </w:pPr>
    </w:p>
    <w:tbl>
      <w:tblPr>
        <w:tblStyle w:val="TableGrid1"/>
        <w:tblW w:w="9235" w:type="dxa"/>
        <w:jc w:val="center"/>
        <w:tblLayout w:type="fixed"/>
        <w:tblLook w:val="04A0" w:firstRow="1" w:lastRow="0" w:firstColumn="1" w:lastColumn="0" w:noHBand="0" w:noVBand="1"/>
      </w:tblPr>
      <w:tblGrid>
        <w:gridCol w:w="289"/>
        <w:gridCol w:w="8946"/>
      </w:tblGrid>
      <w:tr w:rsidR="004E5586" w:rsidRPr="00640417" w14:paraId="3C8D077C" w14:textId="77777777" w:rsidTr="0064573F">
        <w:trPr>
          <w:trHeight w:val="422"/>
          <w:jc w:val="center"/>
        </w:trPr>
        <w:tc>
          <w:tcPr>
            <w:tcW w:w="289" w:type="dxa"/>
            <w:vAlign w:val="center"/>
          </w:tcPr>
          <w:p w14:paraId="74AF68E6" w14:textId="77777777" w:rsidR="004E5586" w:rsidRPr="00A03932" w:rsidRDefault="004E5586" w:rsidP="0064573F">
            <w:pPr>
              <w:pStyle w:val="ExhibitText"/>
              <w:jc w:val="left"/>
              <w:rPr>
                <w:rFonts w:eastAsia="SimSun"/>
                <w:lang w:val="en-GB"/>
              </w:rPr>
            </w:pPr>
            <w:r w:rsidRPr="00A03932">
              <w:rPr>
                <w:rFonts w:eastAsia="SimSun"/>
                <w:lang w:val="en-GB"/>
              </w:rPr>
              <w:t>1</w:t>
            </w:r>
          </w:p>
        </w:tc>
        <w:tc>
          <w:tcPr>
            <w:tcW w:w="8946" w:type="dxa"/>
            <w:vAlign w:val="center"/>
          </w:tcPr>
          <w:p w14:paraId="08583F9C" w14:textId="39E22114" w:rsidR="004E5586" w:rsidRPr="00640417" w:rsidRDefault="004E5586" w:rsidP="0064573F">
            <w:pPr>
              <w:pStyle w:val="ExhibitText"/>
              <w:jc w:val="left"/>
              <w:rPr>
                <w:rFonts w:eastAsia="SimSun"/>
                <w:lang w:val="en-GB"/>
              </w:rPr>
            </w:pPr>
            <w:r w:rsidRPr="00640417">
              <w:rPr>
                <w:rFonts w:eastAsia="SimSun"/>
                <w:lang w:val="en-GB"/>
              </w:rPr>
              <w:t>T</w:t>
            </w:r>
            <w:r w:rsidRPr="00640417">
              <w:rPr>
                <w:rFonts w:eastAsia="SimSun"/>
                <w:shd w:val="clear" w:color="auto" w:fill="FFFFFF"/>
                <w:lang w:val="en-GB"/>
              </w:rPr>
              <w:t xml:space="preserve">o be among the top </w:t>
            </w:r>
            <w:r w:rsidR="003D0C1C">
              <w:rPr>
                <w:rFonts w:eastAsia="SimSun"/>
                <w:shd w:val="clear" w:color="auto" w:fill="FFFFFF"/>
                <w:lang w:val="en-GB"/>
              </w:rPr>
              <w:t>10</w:t>
            </w:r>
            <w:r w:rsidRPr="00640417">
              <w:rPr>
                <w:rFonts w:eastAsia="SimSun"/>
                <w:shd w:val="clear" w:color="auto" w:fill="FFFFFF"/>
                <w:lang w:val="en-GB"/>
              </w:rPr>
              <w:t xml:space="preserve"> stainless steel producers in the world</w:t>
            </w:r>
          </w:p>
        </w:tc>
      </w:tr>
      <w:tr w:rsidR="004E5586" w:rsidRPr="00640417" w14:paraId="71520B8B" w14:textId="77777777" w:rsidTr="0064573F">
        <w:trPr>
          <w:trHeight w:val="395"/>
          <w:jc w:val="center"/>
        </w:trPr>
        <w:tc>
          <w:tcPr>
            <w:tcW w:w="289" w:type="dxa"/>
            <w:vAlign w:val="center"/>
          </w:tcPr>
          <w:p w14:paraId="0964E24A" w14:textId="77777777" w:rsidR="004E5586" w:rsidRPr="00A03932" w:rsidRDefault="004E5586" w:rsidP="0064573F">
            <w:pPr>
              <w:pStyle w:val="ExhibitText"/>
              <w:jc w:val="left"/>
              <w:rPr>
                <w:rFonts w:eastAsia="SimSun"/>
                <w:lang w:val="en-GB"/>
              </w:rPr>
            </w:pPr>
            <w:r w:rsidRPr="00A03932">
              <w:rPr>
                <w:rFonts w:eastAsia="SimSun"/>
                <w:lang w:val="en-GB"/>
              </w:rPr>
              <w:t>2</w:t>
            </w:r>
          </w:p>
        </w:tc>
        <w:tc>
          <w:tcPr>
            <w:tcW w:w="8946" w:type="dxa"/>
            <w:vAlign w:val="center"/>
          </w:tcPr>
          <w:p w14:paraId="7E49D3DF" w14:textId="331BC745" w:rsidR="004E5586" w:rsidRPr="00640417" w:rsidRDefault="004E5586" w:rsidP="0064573F">
            <w:pPr>
              <w:pStyle w:val="ExhibitText"/>
              <w:jc w:val="left"/>
              <w:rPr>
                <w:rFonts w:eastAsia="SimSun"/>
                <w:lang w:val="en-GB"/>
              </w:rPr>
            </w:pPr>
            <w:r w:rsidRPr="00640417">
              <w:rPr>
                <w:rFonts w:eastAsia="SimSun"/>
                <w:shd w:val="clear" w:color="auto" w:fill="FFFFFF"/>
                <w:lang w:val="en-GB"/>
              </w:rPr>
              <w:t>To gain international recognition for cost leadership, product innovation, and customer satisfaction</w:t>
            </w:r>
          </w:p>
        </w:tc>
      </w:tr>
      <w:tr w:rsidR="004E5586" w:rsidRPr="00640417" w14:paraId="795F605A" w14:textId="77777777" w:rsidTr="0064573F">
        <w:trPr>
          <w:trHeight w:val="350"/>
          <w:jc w:val="center"/>
        </w:trPr>
        <w:tc>
          <w:tcPr>
            <w:tcW w:w="289" w:type="dxa"/>
            <w:vAlign w:val="center"/>
          </w:tcPr>
          <w:p w14:paraId="7391C54F" w14:textId="77777777" w:rsidR="004E5586" w:rsidRPr="00A03932" w:rsidRDefault="004E5586" w:rsidP="0064573F">
            <w:pPr>
              <w:pStyle w:val="ExhibitText"/>
              <w:jc w:val="left"/>
              <w:rPr>
                <w:rFonts w:eastAsia="SimSun"/>
                <w:lang w:val="en-GB"/>
              </w:rPr>
            </w:pPr>
            <w:r w:rsidRPr="00A03932">
              <w:rPr>
                <w:rFonts w:eastAsia="SimSun"/>
                <w:lang w:val="en-GB"/>
              </w:rPr>
              <w:t>3</w:t>
            </w:r>
          </w:p>
        </w:tc>
        <w:tc>
          <w:tcPr>
            <w:tcW w:w="8946" w:type="dxa"/>
            <w:vAlign w:val="center"/>
          </w:tcPr>
          <w:p w14:paraId="3A4B649B" w14:textId="74DF77F9" w:rsidR="004E5586" w:rsidRPr="00640417" w:rsidRDefault="004E5586" w:rsidP="0064573F">
            <w:pPr>
              <w:pStyle w:val="ExhibitText"/>
              <w:jc w:val="left"/>
              <w:rPr>
                <w:rFonts w:eastAsia="SimSun"/>
                <w:lang w:val="en-GB"/>
              </w:rPr>
            </w:pPr>
            <w:r w:rsidRPr="00640417">
              <w:rPr>
                <w:rFonts w:eastAsia="SimSun"/>
                <w:shd w:val="clear" w:color="auto" w:fill="FFFFFF"/>
                <w:lang w:val="en-GB"/>
              </w:rPr>
              <w:t xml:space="preserve">To be admired as a socially responsible and sustained value creator for all </w:t>
            </w:r>
            <w:r w:rsidR="004B39C1">
              <w:rPr>
                <w:rFonts w:eastAsia="SimSun"/>
                <w:shd w:val="clear" w:color="auto" w:fill="FFFFFF"/>
                <w:lang w:val="en-GB"/>
              </w:rPr>
              <w:t xml:space="preserve">of </w:t>
            </w:r>
            <w:r w:rsidRPr="00640417">
              <w:rPr>
                <w:rFonts w:eastAsia="SimSun"/>
                <w:shd w:val="clear" w:color="auto" w:fill="FFFFFF"/>
                <w:lang w:val="en-GB"/>
              </w:rPr>
              <w:t>its stakeholders</w:t>
            </w:r>
          </w:p>
        </w:tc>
      </w:tr>
    </w:tbl>
    <w:p w14:paraId="5B0058ED" w14:textId="77777777" w:rsidR="00F36BF2" w:rsidRPr="00640417" w:rsidRDefault="00F36BF2" w:rsidP="00F36BF2">
      <w:pPr>
        <w:pStyle w:val="BodyTextMain"/>
        <w:rPr>
          <w:rFonts w:eastAsia="Calibri"/>
          <w:sz w:val="20"/>
          <w:szCs w:val="20"/>
          <w:lang w:val="en-GB"/>
        </w:rPr>
      </w:pPr>
    </w:p>
    <w:p w14:paraId="37605C3B" w14:textId="0A6ED2A6" w:rsidR="00D40D30" w:rsidRDefault="004E5586" w:rsidP="00C55DA9">
      <w:pPr>
        <w:pStyle w:val="BodyTextMain"/>
        <w:rPr>
          <w:rFonts w:ascii="Arial" w:eastAsia="Calibri" w:hAnsi="Arial" w:cs="Arial"/>
          <w:sz w:val="17"/>
          <w:szCs w:val="17"/>
          <w:lang w:val="en-GB"/>
        </w:rPr>
      </w:pPr>
      <w:r w:rsidRPr="00C55DA9">
        <w:rPr>
          <w:rFonts w:ascii="Arial" w:eastAsia="Calibri" w:hAnsi="Arial" w:cs="Arial"/>
          <w:sz w:val="17"/>
          <w:szCs w:val="17"/>
          <w:lang w:val="en-GB"/>
        </w:rPr>
        <w:t xml:space="preserve">Source: Company </w:t>
      </w:r>
      <w:r w:rsidR="00E768D4">
        <w:rPr>
          <w:rFonts w:ascii="Arial" w:eastAsia="Calibri" w:hAnsi="Arial" w:cs="Arial"/>
          <w:sz w:val="17"/>
          <w:szCs w:val="17"/>
          <w:lang w:val="en-GB"/>
        </w:rPr>
        <w:t>d</w:t>
      </w:r>
      <w:r w:rsidR="00DE2F4C" w:rsidRPr="00C55DA9">
        <w:rPr>
          <w:rFonts w:ascii="Arial" w:eastAsia="Calibri" w:hAnsi="Arial" w:cs="Arial"/>
          <w:sz w:val="17"/>
          <w:szCs w:val="17"/>
          <w:lang w:val="en-GB"/>
        </w:rPr>
        <w:t>ocuments.</w:t>
      </w:r>
    </w:p>
    <w:p w14:paraId="5893F143" w14:textId="77777777" w:rsidR="00D40D30" w:rsidRDefault="00D40D30">
      <w:pPr>
        <w:spacing w:after="200" w:line="276" w:lineRule="auto"/>
        <w:rPr>
          <w:rFonts w:ascii="Arial" w:eastAsia="Calibri" w:hAnsi="Arial" w:cs="Arial"/>
          <w:sz w:val="17"/>
          <w:szCs w:val="17"/>
          <w:lang w:val="en-GB"/>
        </w:rPr>
      </w:pPr>
      <w:r>
        <w:rPr>
          <w:rFonts w:ascii="Arial" w:eastAsia="Calibri" w:hAnsi="Arial" w:cs="Arial"/>
          <w:sz w:val="17"/>
          <w:szCs w:val="17"/>
          <w:lang w:val="en-GB"/>
        </w:rPr>
        <w:br w:type="page"/>
      </w:r>
    </w:p>
    <w:p w14:paraId="0AA12C00" w14:textId="69B35518" w:rsidR="00D40D30" w:rsidRPr="00640417" w:rsidRDefault="00D40D30" w:rsidP="00D40D30">
      <w:pPr>
        <w:pStyle w:val="ExhibitHeading"/>
        <w:rPr>
          <w:rFonts w:eastAsia="Calibri"/>
          <w:lang w:val="en-GB"/>
        </w:rPr>
      </w:pPr>
      <w:r w:rsidRPr="00640417">
        <w:rPr>
          <w:rFonts w:eastAsia="Calibri"/>
          <w:lang w:val="en-GB"/>
        </w:rPr>
        <w:lastRenderedPageBreak/>
        <w:t xml:space="preserve">Exhibit </w:t>
      </w:r>
      <w:r>
        <w:rPr>
          <w:rFonts w:eastAsia="Calibri"/>
          <w:lang w:val="en-GB"/>
        </w:rPr>
        <w:t>4</w:t>
      </w:r>
      <w:r w:rsidRPr="00640417">
        <w:rPr>
          <w:rFonts w:eastAsia="Calibri"/>
          <w:lang w:val="en-GB"/>
        </w:rPr>
        <w:t xml:space="preserve">: </w:t>
      </w:r>
      <w:r w:rsidR="00536D28">
        <w:rPr>
          <w:rFonts w:eastAsia="Calibri"/>
          <w:lang w:val="en-GB"/>
        </w:rPr>
        <w:t xml:space="preserve">bartos </w:t>
      </w:r>
      <w:r w:rsidRPr="00640417">
        <w:rPr>
          <w:rFonts w:eastAsia="Calibri"/>
          <w:lang w:val="en-GB"/>
        </w:rPr>
        <w:t>BALANCE SHEETS</w:t>
      </w:r>
    </w:p>
    <w:p w14:paraId="64219FE4" w14:textId="77777777" w:rsidR="00D40D30" w:rsidRPr="00640417" w:rsidRDefault="00D40D30" w:rsidP="00D40D30">
      <w:pPr>
        <w:pStyle w:val="BodyTextMain"/>
        <w:rPr>
          <w:rFonts w:eastAsia="Calibri"/>
          <w:sz w:val="20"/>
          <w:szCs w:val="20"/>
          <w:lang w:val="en-GB"/>
        </w:rPr>
      </w:pPr>
    </w:p>
    <w:tbl>
      <w:tblPr>
        <w:tblStyle w:val="TableGrid"/>
        <w:tblW w:w="9305" w:type="dxa"/>
        <w:jc w:val="center"/>
        <w:tblLayout w:type="fixed"/>
        <w:tblLook w:val="04A0" w:firstRow="1" w:lastRow="0" w:firstColumn="1" w:lastColumn="0" w:noHBand="0" w:noVBand="1"/>
      </w:tblPr>
      <w:tblGrid>
        <w:gridCol w:w="2230"/>
        <w:gridCol w:w="1440"/>
        <w:gridCol w:w="1440"/>
        <w:gridCol w:w="1440"/>
        <w:gridCol w:w="1440"/>
        <w:gridCol w:w="1315"/>
      </w:tblGrid>
      <w:tr w:rsidR="00C85248" w:rsidRPr="00640417" w14:paraId="3FCC6D86" w14:textId="77777777" w:rsidTr="00C85248">
        <w:trPr>
          <w:trHeight w:val="317"/>
          <w:jc w:val="center"/>
        </w:trPr>
        <w:tc>
          <w:tcPr>
            <w:tcW w:w="2230" w:type="dxa"/>
            <w:vMerge w:val="restart"/>
            <w:vAlign w:val="center"/>
          </w:tcPr>
          <w:p w14:paraId="27028A6C" w14:textId="77777777" w:rsidR="00C85248" w:rsidRPr="00640417" w:rsidRDefault="00C85248" w:rsidP="00C85248">
            <w:pPr>
              <w:pStyle w:val="ExhibitText"/>
              <w:jc w:val="center"/>
              <w:rPr>
                <w:b/>
                <w:bCs/>
                <w:color w:val="000000"/>
                <w:lang w:val="en-GB"/>
              </w:rPr>
            </w:pPr>
            <w:r w:rsidRPr="00640417">
              <w:rPr>
                <w:b/>
                <w:bCs/>
                <w:color w:val="000000"/>
                <w:lang w:val="en-GB"/>
              </w:rPr>
              <w:t>Sources Of Funds</w:t>
            </w:r>
          </w:p>
        </w:tc>
        <w:tc>
          <w:tcPr>
            <w:tcW w:w="1440" w:type="dxa"/>
            <w:vAlign w:val="center"/>
          </w:tcPr>
          <w:p w14:paraId="488382B3" w14:textId="08338E99" w:rsidR="00C85248" w:rsidRPr="00640417" w:rsidRDefault="00C85248" w:rsidP="00C85248">
            <w:pPr>
              <w:pStyle w:val="ExhibitText"/>
              <w:jc w:val="center"/>
              <w:rPr>
                <w:b/>
                <w:color w:val="000000"/>
                <w:lang w:val="en-GB"/>
              </w:rPr>
            </w:pPr>
            <w:r w:rsidRPr="00640417">
              <w:rPr>
                <w:b/>
                <w:color w:val="000000"/>
                <w:lang w:val="en-GB"/>
              </w:rPr>
              <w:t>Mar</w:t>
            </w:r>
            <w:r>
              <w:rPr>
                <w:b/>
                <w:color w:val="000000"/>
                <w:lang w:val="en-GB"/>
              </w:rPr>
              <w:t>ch</w:t>
            </w:r>
            <w:r w:rsidRPr="00640417">
              <w:rPr>
                <w:b/>
                <w:color w:val="000000"/>
                <w:lang w:val="en-GB"/>
              </w:rPr>
              <w:t xml:space="preserve"> </w:t>
            </w:r>
            <w:r>
              <w:rPr>
                <w:b/>
                <w:color w:val="000000"/>
                <w:lang w:val="en-GB"/>
              </w:rPr>
              <w:t>20</w:t>
            </w:r>
            <w:r w:rsidRPr="00640417">
              <w:rPr>
                <w:b/>
                <w:color w:val="000000"/>
                <w:lang w:val="en-GB"/>
              </w:rPr>
              <w:t>10</w:t>
            </w:r>
          </w:p>
        </w:tc>
        <w:tc>
          <w:tcPr>
            <w:tcW w:w="1440" w:type="dxa"/>
            <w:vAlign w:val="center"/>
          </w:tcPr>
          <w:p w14:paraId="3839425C" w14:textId="4B2855DE" w:rsidR="00C85248" w:rsidRPr="00640417" w:rsidRDefault="00C85248" w:rsidP="00C85248">
            <w:pPr>
              <w:pStyle w:val="ExhibitText"/>
              <w:jc w:val="center"/>
              <w:rPr>
                <w:b/>
                <w:color w:val="000000"/>
                <w:lang w:val="en-GB"/>
              </w:rPr>
            </w:pPr>
            <w:r w:rsidRPr="00640417">
              <w:rPr>
                <w:b/>
                <w:color w:val="000000"/>
                <w:lang w:val="en-GB"/>
              </w:rPr>
              <w:t>Mar</w:t>
            </w:r>
            <w:r>
              <w:rPr>
                <w:b/>
                <w:color w:val="000000"/>
                <w:lang w:val="en-GB"/>
              </w:rPr>
              <w:t>ch</w:t>
            </w:r>
            <w:r w:rsidRPr="00640417">
              <w:rPr>
                <w:b/>
                <w:color w:val="000000"/>
                <w:lang w:val="en-GB"/>
              </w:rPr>
              <w:t xml:space="preserve"> </w:t>
            </w:r>
            <w:r>
              <w:rPr>
                <w:b/>
                <w:color w:val="000000"/>
                <w:lang w:val="en-GB"/>
              </w:rPr>
              <w:t>20</w:t>
            </w:r>
            <w:r w:rsidRPr="00640417">
              <w:rPr>
                <w:b/>
                <w:color w:val="000000"/>
                <w:lang w:val="en-GB"/>
              </w:rPr>
              <w:t>11</w:t>
            </w:r>
          </w:p>
        </w:tc>
        <w:tc>
          <w:tcPr>
            <w:tcW w:w="1440" w:type="dxa"/>
            <w:vAlign w:val="center"/>
          </w:tcPr>
          <w:p w14:paraId="49EEAC57" w14:textId="54EA8D5C" w:rsidR="00C85248" w:rsidRPr="00640417" w:rsidRDefault="00C85248" w:rsidP="00C85248">
            <w:pPr>
              <w:pStyle w:val="ExhibitText"/>
              <w:jc w:val="center"/>
              <w:rPr>
                <w:b/>
                <w:color w:val="000000"/>
                <w:lang w:val="en-GB"/>
              </w:rPr>
            </w:pPr>
            <w:r w:rsidRPr="00640417">
              <w:rPr>
                <w:b/>
                <w:color w:val="000000"/>
                <w:lang w:val="en-GB"/>
              </w:rPr>
              <w:t>Mar</w:t>
            </w:r>
            <w:r>
              <w:rPr>
                <w:b/>
                <w:color w:val="000000"/>
                <w:lang w:val="en-GB"/>
              </w:rPr>
              <w:t>ch</w:t>
            </w:r>
            <w:r w:rsidRPr="00640417">
              <w:rPr>
                <w:b/>
                <w:color w:val="000000"/>
                <w:lang w:val="en-GB"/>
              </w:rPr>
              <w:t xml:space="preserve"> </w:t>
            </w:r>
            <w:r>
              <w:rPr>
                <w:b/>
                <w:color w:val="000000"/>
                <w:lang w:val="en-GB"/>
              </w:rPr>
              <w:t>20</w:t>
            </w:r>
            <w:r w:rsidRPr="00640417">
              <w:rPr>
                <w:b/>
                <w:color w:val="000000"/>
                <w:lang w:val="en-GB"/>
              </w:rPr>
              <w:t>12</w:t>
            </w:r>
          </w:p>
        </w:tc>
        <w:tc>
          <w:tcPr>
            <w:tcW w:w="1440" w:type="dxa"/>
            <w:vAlign w:val="center"/>
          </w:tcPr>
          <w:p w14:paraId="7366F924" w14:textId="2F2758BB" w:rsidR="00C85248" w:rsidRPr="00640417" w:rsidRDefault="00C85248" w:rsidP="00C85248">
            <w:pPr>
              <w:pStyle w:val="ExhibitText"/>
              <w:jc w:val="center"/>
              <w:rPr>
                <w:b/>
                <w:color w:val="000000"/>
                <w:lang w:val="en-GB"/>
              </w:rPr>
            </w:pPr>
            <w:r w:rsidRPr="00640417">
              <w:rPr>
                <w:b/>
                <w:color w:val="000000"/>
                <w:lang w:val="en-GB"/>
              </w:rPr>
              <w:t>Mar</w:t>
            </w:r>
            <w:r>
              <w:rPr>
                <w:b/>
                <w:color w:val="000000"/>
                <w:lang w:val="en-GB"/>
              </w:rPr>
              <w:t>ch</w:t>
            </w:r>
            <w:r w:rsidRPr="00640417">
              <w:rPr>
                <w:b/>
                <w:color w:val="000000"/>
                <w:lang w:val="en-GB"/>
              </w:rPr>
              <w:t xml:space="preserve"> </w:t>
            </w:r>
            <w:r>
              <w:rPr>
                <w:b/>
                <w:color w:val="000000"/>
                <w:lang w:val="en-GB"/>
              </w:rPr>
              <w:t>20</w:t>
            </w:r>
            <w:r w:rsidRPr="00640417">
              <w:rPr>
                <w:b/>
                <w:color w:val="000000"/>
                <w:lang w:val="en-GB"/>
              </w:rPr>
              <w:t>13</w:t>
            </w:r>
          </w:p>
        </w:tc>
        <w:tc>
          <w:tcPr>
            <w:tcW w:w="1315" w:type="dxa"/>
            <w:vAlign w:val="center"/>
          </w:tcPr>
          <w:p w14:paraId="27850E4E" w14:textId="77903C51" w:rsidR="00C85248" w:rsidRPr="00640417" w:rsidRDefault="00C85248" w:rsidP="00C85248">
            <w:pPr>
              <w:pStyle w:val="ExhibitText"/>
              <w:jc w:val="center"/>
              <w:rPr>
                <w:b/>
                <w:color w:val="000000"/>
                <w:lang w:val="en-GB"/>
              </w:rPr>
            </w:pPr>
            <w:r w:rsidRPr="00640417">
              <w:rPr>
                <w:b/>
                <w:color w:val="000000"/>
                <w:lang w:val="en-GB"/>
              </w:rPr>
              <w:t>Mar</w:t>
            </w:r>
            <w:r>
              <w:rPr>
                <w:b/>
                <w:color w:val="000000"/>
                <w:lang w:val="en-GB"/>
              </w:rPr>
              <w:t>ch</w:t>
            </w:r>
            <w:r w:rsidRPr="00640417">
              <w:rPr>
                <w:b/>
                <w:color w:val="000000"/>
                <w:lang w:val="en-GB"/>
              </w:rPr>
              <w:t xml:space="preserve"> </w:t>
            </w:r>
            <w:r>
              <w:rPr>
                <w:b/>
                <w:color w:val="000000"/>
                <w:lang w:val="en-GB"/>
              </w:rPr>
              <w:t>20</w:t>
            </w:r>
            <w:r w:rsidRPr="00640417">
              <w:rPr>
                <w:b/>
                <w:color w:val="000000"/>
                <w:lang w:val="en-GB"/>
              </w:rPr>
              <w:t>14</w:t>
            </w:r>
          </w:p>
        </w:tc>
      </w:tr>
      <w:tr w:rsidR="00C85248" w:rsidRPr="00640417" w14:paraId="5ED5A771" w14:textId="77777777" w:rsidTr="00C85248">
        <w:trPr>
          <w:trHeight w:val="317"/>
          <w:jc w:val="center"/>
        </w:trPr>
        <w:tc>
          <w:tcPr>
            <w:tcW w:w="2230" w:type="dxa"/>
            <w:vMerge/>
            <w:vAlign w:val="center"/>
          </w:tcPr>
          <w:p w14:paraId="209271CB" w14:textId="77777777" w:rsidR="00C85248" w:rsidRPr="00640417" w:rsidRDefault="00C85248" w:rsidP="00C85248">
            <w:pPr>
              <w:pStyle w:val="ExhibitText"/>
              <w:jc w:val="center"/>
              <w:rPr>
                <w:color w:val="000000"/>
                <w:lang w:val="en-GB"/>
              </w:rPr>
            </w:pPr>
          </w:p>
        </w:tc>
        <w:tc>
          <w:tcPr>
            <w:tcW w:w="1440" w:type="dxa"/>
            <w:vAlign w:val="center"/>
          </w:tcPr>
          <w:p w14:paraId="5F01B3D6" w14:textId="3CF24AFD" w:rsidR="00C85248" w:rsidRPr="00640417" w:rsidRDefault="00C85248" w:rsidP="00C85248">
            <w:pPr>
              <w:pStyle w:val="ExhibitText"/>
              <w:jc w:val="center"/>
              <w:rPr>
                <w:b/>
                <w:color w:val="000000"/>
                <w:lang w:val="en-GB"/>
              </w:rPr>
            </w:pPr>
            <w:r w:rsidRPr="00640417">
              <w:rPr>
                <w:b/>
                <w:color w:val="000000"/>
                <w:lang w:val="en-GB"/>
              </w:rPr>
              <w:t xml:space="preserve">12 </w:t>
            </w:r>
            <w:r>
              <w:rPr>
                <w:b/>
                <w:color w:val="000000"/>
                <w:lang w:val="en-GB"/>
              </w:rPr>
              <w:t>M</w:t>
            </w:r>
            <w:r w:rsidRPr="00640417">
              <w:rPr>
                <w:b/>
                <w:color w:val="000000"/>
                <w:lang w:val="en-GB"/>
              </w:rPr>
              <w:t>onths</w:t>
            </w:r>
          </w:p>
        </w:tc>
        <w:tc>
          <w:tcPr>
            <w:tcW w:w="1440" w:type="dxa"/>
            <w:vAlign w:val="center"/>
          </w:tcPr>
          <w:p w14:paraId="0E9F7C4B" w14:textId="65730C73" w:rsidR="00C85248" w:rsidRPr="00640417" w:rsidRDefault="00C85248" w:rsidP="00C85248">
            <w:pPr>
              <w:pStyle w:val="ExhibitText"/>
              <w:jc w:val="center"/>
              <w:rPr>
                <w:b/>
                <w:color w:val="000000"/>
                <w:lang w:val="en-GB"/>
              </w:rPr>
            </w:pPr>
            <w:r w:rsidRPr="00640417">
              <w:rPr>
                <w:b/>
                <w:color w:val="000000"/>
                <w:lang w:val="en-GB"/>
              </w:rPr>
              <w:t xml:space="preserve">12 </w:t>
            </w:r>
            <w:r>
              <w:rPr>
                <w:b/>
                <w:color w:val="000000"/>
                <w:lang w:val="en-GB"/>
              </w:rPr>
              <w:t>M</w:t>
            </w:r>
            <w:r w:rsidRPr="00640417">
              <w:rPr>
                <w:b/>
                <w:color w:val="000000"/>
                <w:lang w:val="en-GB"/>
              </w:rPr>
              <w:t>onths</w:t>
            </w:r>
          </w:p>
        </w:tc>
        <w:tc>
          <w:tcPr>
            <w:tcW w:w="1440" w:type="dxa"/>
            <w:vAlign w:val="center"/>
          </w:tcPr>
          <w:p w14:paraId="5E81C224" w14:textId="453DF669" w:rsidR="00C85248" w:rsidRPr="00640417" w:rsidRDefault="00C85248" w:rsidP="00C85248">
            <w:pPr>
              <w:pStyle w:val="ExhibitText"/>
              <w:jc w:val="center"/>
              <w:rPr>
                <w:b/>
                <w:color w:val="000000"/>
                <w:lang w:val="en-GB"/>
              </w:rPr>
            </w:pPr>
            <w:r w:rsidRPr="00640417">
              <w:rPr>
                <w:b/>
                <w:color w:val="000000"/>
                <w:lang w:val="en-GB"/>
              </w:rPr>
              <w:t xml:space="preserve">12 </w:t>
            </w:r>
            <w:r>
              <w:rPr>
                <w:b/>
                <w:color w:val="000000"/>
                <w:lang w:val="en-GB"/>
              </w:rPr>
              <w:t>M</w:t>
            </w:r>
            <w:r w:rsidRPr="00640417">
              <w:rPr>
                <w:b/>
                <w:color w:val="000000"/>
                <w:lang w:val="en-GB"/>
              </w:rPr>
              <w:t>onths</w:t>
            </w:r>
          </w:p>
        </w:tc>
        <w:tc>
          <w:tcPr>
            <w:tcW w:w="1440" w:type="dxa"/>
            <w:vAlign w:val="center"/>
          </w:tcPr>
          <w:p w14:paraId="13A3D738" w14:textId="1383D0F5" w:rsidR="00C85248" w:rsidRPr="00640417" w:rsidRDefault="00C85248" w:rsidP="00C85248">
            <w:pPr>
              <w:pStyle w:val="ExhibitText"/>
              <w:jc w:val="center"/>
              <w:rPr>
                <w:b/>
                <w:color w:val="000000"/>
                <w:lang w:val="en-GB"/>
              </w:rPr>
            </w:pPr>
            <w:r w:rsidRPr="00640417">
              <w:rPr>
                <w:b/>
                <w:color w:val="000000"/>
                <w:lang w:val="en-GB"/>
              </w:rPr>
              <w:t xml:space="preserve">12 </w:t>
            </w:r>
            <w:r>
              <w:rPr>
                <w:b/>
                <w:color w:val="000000"/>
                <w:lang w:val="en-GB"/>
              </w:rPr>
              <w:t>M</w:t>
            </w:r>
            <w:r w:rsidRPr="00640417">
              <w:rPr>
                <w:b/>
                <w:color w:val="000000"/>
                <w:lang w:val="en-GB"/>
              </w:rPr>
              <w:t>onths</w:t>
            </w:r>
          </w:p>
        </w:tc>
        <w:tc>
          <w:tcPr>
            <w:tcW w:w="1315" w:type="dxa"/>
            <w:vAlign w:val="center"/>
          </w:tcPr>
          <w:p w14:paraId="2D24307F" w14:textId="5070D4E3" w:rsidR="00C85248" w:rsidRPr="00640417" w:rsidRDefault="00C85248" w:rsidP="00C85248">
            <w:pPr>
              <w:pStyle w:val="ExhibitText"/>
              <w:jc w:val="center"/>
              <w:rPr>
                <w:b/>
                <w:color w:val="000000"/>
                <w:lang w:val="en-GB"/>
              </w:rPr>
            </w:pPr>
            <w:r w:rsidRPr="00640417">
              <w:rPr>
                <w:b/>
                <w:color w:val="000000"/>
                <w:lang w:val="en-GB"/>
              </w:rPr>
              <w:t xml:space="preserve">12 </w:t>
            </w:r>
            <w:r>
              <w:rPr>
                <w:b/>
                <w:color w:val="000000"/>
                <w:lang w:val="en-GB"/>
              </w:rPr>
              <w:t>M</w:t>
            </w:r>
            <w:r w:rsidRPr="00640417">
              <w:rPr>
                <w:b/>
                <w:color w:val="000000"/>
                <w:lang w:val="en-GB"/>
              </w:rPr>
              <w:t>onths</w:t>
            </w:r>
          </w:p>
        </w:tc>
      </w:tr>
      <w:tr w:rsidR="00C85248" w:rsidRPr="00640417" w14:paraId="182F76FD" w14:textId="77777777" w:rsidTr="00C85248">
        <w:trPr>
          <w:trHeight w:val="317"/>
          <w:jc w:val="center"/>
        </w:trPr>
        <w:tc>
          <w:tcPr>
            <w:tcW w:w="2230" w:type="dxa"/>
            <w:vAlign w:val="center"/>
          </w:tcPr>
          <w:p w14:paraId="458572B1" w14:textId="77777777" w:rsidR="00C85248" w:rsidRPr="00640417" w:rsidRDefault="00C85248" w:rsidP="00C85248">
            <w:pPr>
              <w:pStyle w:val="ExhibitText"/>
              <w:jc w:val="left"/>
              <w:rPr>
                <w:color w:val="000000"/>
                <w:lang w:val="en-GB"/>
              </w:rPr>
            </w:pPr>
            <w:r w:rsidRPr="00640417">
              <w:rPr>
                <w:color w:val="000000"/>
                <w:lang w:val="en-GB"/>
              </w:rPr>
              <w:t>Total Share Capital</w:t>
            </w:r>
          </w:p>
        </w:tc>
        <w:tc>
          <w:tcPr>
            <w:tcW w:w="1440" w:type="dxa"/>
            <w:vAlign w:val="center"/>
          </w:tcPr>
          <w:p w14:paraId="10E65559" w14:textId="3633A9B9" w:rsidR="00C85248" w:rsidRPr="00640417" w:rsidRDefault="00C85248" w:rsidP="00C85248">
            <w:pPr>
              <w:pStyle w:val="ExhibitText"/>
              <w:jc w:val="right"/>
              <w:rPr>
                <w:color w:val="000000"/>
                <w:lang w:val="en-GB"/>
              </w:rPr>
            </w:pPr>
            <w:r w:rsidRPr="00640417">
              <w:rPr>
                <w:color w:val="000000"/>
                <w:lang w:val="en-GB"/>
              </w:rPr>
              <w:t xml:space="preserve">6.19 </w:t>
            </w:r>
          </w:p>
        </w:tc>
        <w:tc>
          <w:tcPr>
            <w:tcW w:w="1440" w:type="dxa"/>
            <w:vAlign w:val="center"/>
          </w:tcPr>
          <w:p w14:paraId="401C4169" w14:textId="09B179B6" w:rsidR="00C85248" w:rsidRPr="00640417" w:rsidRDefault="00C85248" w:rsidP="00C85248">
            <w:pPr>
              <w:pStyle w:val="ExhibitText"/>
              <w:jc w:val="right"/>
              <w:rPr>
                <w:color w:val="000000"/>
                <w:lang w:val="en-GB"/>
              </w:rPr>
            </w:pPr>
            <w:r w:rsidRPr="00640417">
              <w:rPr>
                <w:color w:val="000000"/>
                <w:lang w:val="en-GB"/>
              </w:rPr>
              <w:t xml:space="preserve">6.24 </w:t>
            </w:r>
          </w:p>
        </w:tc>
        <w:tc>
          <w:tcPr>
            <w:tcW w:w="1440" w:type="dxa"/>
            <w:vAlign w:val="center"/>
          </w:tcPr>
          <w:p w14:paraId="63F1E31C" w14:textId="7522FAE0" w:rsidR="00C85248" w:rsidRPr="00640417" w:rsidRDefault="00C85248" w:rsidP="00C85248">
            <w:pPr>
              <w:pStyle w:val="ExhibitText"/>
              <w:jc w:val="right"/>
              <w:rPr>
                <w:color w:val="000000"/>
                <w:lang w:val="en-GB"/>
              </w:rPr>
            </w:pPr>
            <w:r w:rsidRPr="00640417">
              <w:rPr>
                <w:color w:val="000000"/>
                <w:lang w:val="en-GB"/>
              </w:rPr>
              <w:t xml:space="preserve">6.32 </w:t>
            </w:r>
          </w:p>
        </w:tc>
        <w:tc>
          <w:tcPr>
            <w:tcW w:w="1440" w:type="dxa"/>
            <w:vAlign w:val="center"/>
          </w:tcPr>
          <w:p w14:paraId="5D119A4C" w14:textId="42F4045F" w:rsidR="00C85248" w:rsidRPr="00640417" w:rsidRDefault="00C85248" w:rsidP="00C85248">
            <w:pPr>
              <w:pStyle w:val="ExhibitText"/>
              <w:jc w:val="right"/>
              <w:rPr>
                <w:color w:val="000000"/>
                <w:lang w:val="en-GB"/>
              </w:rPr>
            </w:pPr>
            <w:r w:rsidRPr="00640417">
              <w:rPr>
                <w:color w:val="000000"/>
                <w:lang w:val="en-GB"/>
              </w:rPr>
              <w:t xml:space="preserve">6.80 </w:t>
            </w:r>
          </w:p>
        </w:tc>
        <w:tc>
          <w:tcPr>
            <w:tcW w:w="1315" w:type="dxa"/>
            <w:vAlign w:val="center"/>
          </w:tcPr>
          <w:p w14:paraId="2B8DC592" w14:textId="0F842F27" w:rsidR="00C85248" w:rsidRPr="00640417" w:rsidRDefault="00C85248" w:rsidP="00C85248">
            <w:pPr>
              <w:pStyle w:val="ExhibitText"/>
              <w:jc w:val="right"/>
              <w:rPr>
                <w:color w:val="000000"/>
                <w:lang w:val="en-GB"/>
              </w:rPr>
            </w:pPr>
            <w:r w:rsidRPr="00640417">
              <w:rPr>
                <w:color w:val="000000"/>
                <w:lang w:val="en-GB"/>
              </w:rPr>
              <w:t xml:space="preserve">7.71 </w:t>
            </w:r>
          </w:p>
        </w:tc>
      </w:tr>
      <w:tr w:rsidR="00C85248" w:rsidRPr="00640417" w14:paraId="049AB286" w14:textId="77777777" w:rsidTr="00C85248">
        <w:trPr>
          <w:trHeight w:val="317"/>
          <w:jc w:val="center"/>
        </w:trPr>
        <w:tc>
          <w:tcPr>
            <w:tcW w:w="2230" w:type="dxa"/>
            <w:vAlign w:val="center"/>
          </w:tcPr>
          <w:p w14:paraId="6FF48619" w14:textId="77777777" w:rsidR="00C85248" w:rsidRPr="00640417" w:rsidRDefault="00C85248" w:rsidP="00C85248">
            <w:pPr>
              <w:pStyle w:val="ExhibitText"/>
              <w:jc w:val="left"/>
              <w:rPr>
                <w:color w:val="000000"/>
                <w:lang w:val="en-GB"/>
              </w:rPr>
            </w:pPr>
            <w:r w:rsidRPr="00640417">
              <w:rPr>
                <w:color w:val="000000"/>
                <w:lang w:val="en-GB"/>
              </w:rPr>
              <w:t>Equity Share Capital</w:t>
            </w:r>
          </w:p>
        </w:tc>
        <w:tc>
          <w:tcPr>
            <w:tcW w:w="1440" w:type="dxa"/>
            <w:vAlign w:val="center"/>
          </w:tcPr>
          <w:p w14:paraId="100EFC2A" w14:textId="7702E191" w:rsidR="00C85248" w:rsidRPr="00640417" w:rsidRDefault="00C85248" w:rsidP="00C85248">
            <w:pPr>
              <w:pStyle w:val="ExhibitText"/>
              <w:jc w:val="right"/>
              <w:rPr>
                <w:color w:val="000000"/>
                <w:lang w:val="en-GB"/>
              </w:rPr>
            </w:pPr>
            <w:r w:rsidRPr="00640417">
              <w:rPr>
                <w:color w:val="000000"/>
                <w:lang w:val="en-GB"/>
              </w:rPr>
              <w:t xml:space="preserve">6.19 </w:t>
            </w:r>
          </w:p>
        </w:tc>
        <w:tc>
          <w:tcPr>
            <w:tcW w:w="1440" w:type="dxa"/>
            <w:vAlign w:val="center"/>
          </w:tcPr>
          <w:p w14:paraId="64C4B4DF" w14:textId="7896FE1A" w:rsidR="00C85248" w:rsidRPr="00640417" w:rsidRDefault="00C85248" w:rsidP="00C85248">
            <w:pPr>
              <w:pStyle w:val="ExhibitText"/>
              <w:jc w:val="right"/>
              <w:rPr>
                <w:color w:val="000000"/>
                <w:lang w:val="en-GB"/>
              </w:rPr>
            </w:pPr>
            <w:r w:rsidRPr="00640417">
              <w:rPr>
                <w:color w:val="000000"/>
                <w:lang w:val="en-GB"/>
              </w:rPr>
              <w:t xml:space="preserve">6.24 </w:t>
            </w:r>
          </w:p>
        </w:tc>
        <w:tc>
          <w:tcPr>
            <w:tcW w:w="1440" w:type="dxa"/>
            <w:vAlign w:val="center"/>
          </w:tcPr>
          <w:p w14:paraId="66996CF2" w14:textId="59FF5052" w:rsidR="00C85248" w:rsidRPr="00640417" w:rsidRDefault="00C85248" w:rsidP="00C85248">
            <w:pPr>
              <w:pStyle w:val="ExhibitText"/>
              <w:jc w:val="right"/>
              <w:rPr>
                <w:color w:val="000000"/>
                <w:lang w:val="en-GB"/>
              </w:rPr>
            </w:pPr>
            <w:r w:rsidRPr="00640417">
              <w:rPr>
                <w:color w:val="000000"/>
                <w:lang w:val="en-GB"/>
              </w:rPr>
              <w:t xml:space="preserve">6.32 </w:t>
            </w:r>
          </w:p>
        </w:tc>
        <w:tc>
          <w:tcPr>
            <w:tcW w:w="1440" w:type="dxa"/>
            <w:vAlign w:val="center"/>
          </w:tcPr>
          <w:p w14:paraId="04F0EFC5" w14:textId="26588149" w:rsidR="00C85248" w:rsidRPr="00640417" w:rsidRDefault="00C85248" w:rsidP="00C85248">
            <w:pPr>
              <w:pStyle w:val="ExhibitText"/>
              <w:jc w:val="right"/>
              <w:rPr>
                <w:color w:val="000000"/>
                <w:lang w:val="en-GB"/>
              </w:rPr>
            </w:pPr>
            <w:r w:rsidRPr="00640417">
              <w:rPr>
                <w:color w:val="000000"/>
                <w:lang w:val="en-GB"/>
              </w:rPr>
              <w:t xml:space="preserve">6.80 </w:t>
            </w:r>
          </w:p>
        </w:tc>
        <w:tc>
          <w:tcPr>
            <w:tcW w:w="1315" w:type="dxa"/>
            <w:vAlign w:val="center"/>
          </w:tcPr>
          <w:p w14:paraId="12C96425" w14:textId="0759391E" w:rsidR="00C85248" w:rsidRPr="00640417" w:rsidRDefault="00C85248" w:rsidP="00C85248">
            <w:pPr>
              <w:pStyle w:val="ExhibitText"/>
              <w:jc w:val="right"/>
              <w:rPr>
                <w:color w:val="000000"/>
                <w:lang w:val="en-GB"/>
              </w:rPr>
            </w:pPr>
            <w:r w:rsidRPr="00640417">
              <w:rPr>
                <w:color w:val="000000"/>
                <w:lang w:val="en-GB"/>
              </w:rPr>
              <w:t xml:space="preserve">7.18 </w:t>
            </w:r>
          </w:p>
        </w:tc>
      </w:tr>
      <w:tr w:rsidR="00C85248" w:rsidRPr="00640417" w14:paraId="74A365AC" w14:textId="77777777" w:rsidTr="00C85248">
        <w:trPr>
          <w:trHeight w:val="264"/>
          <w:jc w:val="center"/>
        </w:trPr>
        <w:tc>
          <w:tcPr>
            <w:tcW w:w="2230" w:type="dxa"/>
            <w:vAlign w:val="center"/>
          </w:tcPr>
          <w:p w14:paraId="3DBF742E" w14:textId="77777777" w:rsidR="00C85248" w:rsidRPr="00640417" w:rsidRDefault="00C85248" w:rsidP="00C85248">
            <w:pPr>
              <w:pStyle w:val="ExhibitText"/>
              <w:jc w:val="left"/>
              <w:rPr>
                <w:color w:val="000000"/>
                <w:lang w:val="en-GB"/>
              </w:rPr>
            </w:pPr>
            <w:r w:rsidRPr="00640417">
              <w:rPr>
                <w:color w:val="000000"/>
                <w:lang w:val="en-GB"/>
              </w:rPr>
              <w:t>Share Application Money</w:t>
            </w:r>
          </w:p>
        </w:tc>
        <w:tc>
          <w:tcPr>
            <w:tcW w:w="1440" w:type="dxa"/>
            <w:vAlign w:val="center"/>
          </w:tcPr>
          <w:p w14:paraId="736216A8" w14:textId="44945CD4" w:rsidR="00C85248" w:rsidRPr="00640417" w:rsidRDefault="00C85248" w:rsidP="00C85248">
            <w:pPr>
              <w:pStyle w:val="ExhibitText"/>
              <w:jc w:val="right"/>
              <w:rPr>
                <w:color w:val="000000"/>
                <w:lang w:val="en-GB"/>
              </w:rPr>
            </w:pPr>
            <w:r w:rsidRPr="00640417">
              <w:rPr>
                <w:color w:val="000000"/>
                <w:lang w:val="en-GB"/>
              </w:rPr>
              <w:t xml:space="preserve">0.00 </w:t>
            </w:r>
          </w:p>
        </w:tc>
        <w:tc>
          <w:tcPr>
            <w:tcW w:w="1440" w:type="dxa"/>
            <w:vAlign w:val="center"/>
          </w:tcPr>
          <w:p w14:paraId="7EAE2ABD" w14:textId="539F141F" w:rsidR="00C85248" w:rsidRPr="00640417" w:rsidRDefault="00C85248" w:rsidP="00C85248">
            <w:pPr>
              <w:pStyle w:val="ExhibitText"/>
              <w:jc w:val="right"/>
              <w:rPr>
                <w:color w:val="000000"/>
                <w:lang w:val="en-GB"/>
              </w:rPr>
            </w:pPr>
            <w:r w:rsidRPr="00640417">
              <w:rPr>
                <w:color w:val="000000"/>
                <w:lang w:val="en-GB"/>
              </w:rPr>
              <w:t xml:space="preserve">0.00 </w:t>
            </w:r>
          </w:p>
        </w:tc>
        <w:tc>
          <w:tcPr>
            <w:tcW w:w="1440" w:type="dxa"/>
            <w:vAlign w:val="center"/>
          </w:tcPr>
          <w:p w14:paraId="2E168C10" w14:textId="32B937D3" w:rsidR="00C85248" w:rsidRPr="00640417" w:rsidRDefault="00C85248" w:rsidP="00C85248">
            <w:pPr>
              <w:pStyle w:val="ExhibitText"/>
              <w:jc w:val="right"/>
              <w:rPr>
                <w:color w:val="000000"/>
                <w:lang w:val="en-GB"/>
              </w:rPr>
            </w:pPr>
            <w:r w:rsidRPr="00640417">
              <w:rPr>
                <w:color w:val="000000"/>
                <w:lang w:val="en-GB"/>
              </w:rPr>
              <w:t xml:space="preserve">0.00 </w:t>
            </w:r>
          </w:p>
        </w:tc>
        <w:tc>
          <w:tcPr>
            <w:tcW w:w="1440" w:type="dxa"/>
            <w:vAlign w:val="center"/>
          </w:tcPr>
          <w:p w14:paraId="513A6B01" w14:textId="2C64A004" w:rsidR="00C85248" w:rsidRPr="00640417" w:rsidRDefault="00C85248" w:rsidP="00C85248">
            <w:pPr>
              <w:pStyle w:val="ExhibitText"/>
              <w:jc w:val="right"/>
              <w:rPr>
                <w:color w:val="000000"/>
                <w:lang w:val="en-GB"/>
              </w:rPr>
            </w:pPr>
            <w:r w:rsidRPr="00640417">
              <w:rPr>
                <w:color w:val="000000"/>
                <w:lang w:val="en-GB"/>
              </w:rPr>
              <w:t xml:space="preserve">0.00 </w:t>
            </w:r>
          </w:p>
        </w:tc>
        <w:tc>
          <w:tcPr>
            <w:tcW w:w="1315" w:type="dxa"/>
            <w:vAlign w:val="center"/>
          </w:tcPr>
          <w:p w14:paraId="74D8EDB4" w14:textId="2A2B1110" w:rsidR="00C85248" w:rsidRPr="00640417" w:rsidRDefault="00C85248" w:rsidP="00C85248">
            <w:pPr>
              <w:pStyle w:val="ExhibitText"/>
              <w:jc w:val="right"/>
              <w:rPr>
                <w:color w:val="000000"/>
                <w:lang w:val="en-GB"/>
              </w:rPr>
            </w:pPr>
            <w:r w:rsidRPr="00640417">
              <w:rPr>
                <w:color w:val="000000"/>
                <w:lang w:val="en-GB"/>
              </w:rPr>
              <w:t xml:space="preserve">0.00 </w:t>
            </w:r>
          </w:p>
        </w:tc>
      </w:tr>
      <w:tr w:rsidR="00C85248" w:rsidRPr="00640417" w14:paraId="30DBF666" w14:textId="77777777" w:rsidTr="00C85248">
        <w:trPr>
          <w:trHeight w:val="338"/>
          <w:jc w:val="center"/>
        </w:trPr>
        <w:tc>
          <w:tcPr>
            <w:tcW w:w="2230" w:type="dxa"/>
            <w:vAlign w:val="center"/>
          </w:tcPr>
          <w:p w14:paraId="3B80754A" w14:textId="77777777" w:rsidR="00C85248" w:rsidRPr="00640417" w:rsidRDefault="00C85248" w:rsidP="00C85248">
            <w:pPr>
              <w:pStyle w:val="ExhibitText"/>
              <w:jc w:val="left"/>
              <w:rPr>
                <w:color w:val="000000"/>
                <w:lang w:val="en-GB"/>
              </w:rPr>
            </w:pPr>
            <w:r w:rsidRPr="00640417">
              <w:rPr>
                <w:color w:val="000000"/>
                <w:lang w:val="en-GB"/>
              </w:rPr>
              <w:t>Preference Share Capital</w:t>
            </w:r>
          </w:p>
        </w:tc>
        <w:tc>
          <w:tcPr>
            <w:tcW w:w="1440" w:type="dxa"/>
            <w:vAlign w:val="center"/>
          </w:tcPr>
          <w:p w14:paraId="0A995FF3" w14:textId="0ABA1340" w:rsidR="00C85248" w:rsidRPr="00640417" w:rsidRDefault="00C85248" w:rsidP="00C85248">
            <w:pPr>
              <w:pStyle w:val="ExhibitText"/>
              <w:jc w:val="right"/>
              <w:rPr>
                <w:color w:val="000000"/>
                <w:lang w:val="en-GB"/>
              </w:rPr>
            </w:pPr>
            <w:r w:rsidRPr="00640417">
              <w:rPr>
                <w:color w:val="000000"/>
                <w:lang w:val="en-GB"/>
              </w:rPr>
              <w:t xml:space="preserve">0.00 </w:t>
            </w:r>
          </w:p>
        </w:tc>
        <w:tc>
          <w:tcPr>
            <w:tcW w:w="1440" w:type="dxa"/>
            <w:vAlign w:val="center"/>
          </w:tcPr>
          <w:p w14:paraId="7EC720E3" w14:textId="18D3B9AA" w:rsidR="00C85248" w:rsidRPr="00640417" w:rsidRDefault="00C85248" w:rsidP="00C85248">
            <w:pPr>
              <w:pStyle w:val="ExhibitText"/>
              <w:jc w:val="right"/>
              <w:rPr>
                <w:color w:val="000000"/>
                <w:lang w:val="en-GB"/>
              </w:rPr>
            </w:pPr>
            <w:r w:rsidRPr="00640417">
              <w:rPr>
                <w:color w:val="000000"/>
                <w:lang w:val="en-GB"/>
              </w:rPr>
              <w:t xml:space="preserve">0.00 </w:t>
            </w:r>
          </w:p>
        </w:tc>
        <w:tc>
          <w:tcPr>
            <w:tcW w:w="1440" w:type="dxa"/>
            <w:vAlign w:val="center"/>
          </w:tcPr>
          <w:p w14:paraId="78AA0EE9" w14:textId="069F71EC" w:rsidR="00C85248" w:rsidRPr="00640417" w:rsidRDefault="00C85248" w:rsidP="00C85248">
            <w:pPr>
              <w:pStyle w:val="ExhibitText"/>
              <w:jc w:val="right"/>
              <w:rPr>
                <w:color w:val="000000"/>
                <w:lang w:val="en-GB"/>
              </w:rPr>
            </w:pPr>
            <w:r w:rsidRPr="00640417">
              <w:rPr>
                <w:color w:val="000000"/>
                <w:lang w:val="en-GB"/>
              </w:rPr>
              <w:t xml:space="preserve">0.00 </w:t>
            </w:r>
          </w:p>
        </w:tc>
        <w:tc>
          <w:tcPr>
            <w:tcW w:w="1440" w:type="dxa"/>
            <w:vAlign w:val="center"/>
          </w:tcPr>
          <w:p w14:paraId="18770D67" w14:textId="2B5B92C5" w:rsidR="00C85248" w:rsidRPr="00640417" w:rsidRDefault="00C85248" w:rsidP="00C85248">
            <w:pPr>
              <w:pStyle w:val="ExhibitText"/>
              <w:jc w:val="right"/>
              <w:rPr>
                <w:color w:val="000000"/>
                <w:lang w:val="en-GB"/>
              </w:rPr>
            </w:pPr>
            <w:r w:rsidRPr="00640417">
              <w:rPr>
                <w:color w:val="000000"/>
                <w:lang w:val="en-GB"/>
              </w:rPr>
              <w:t xml:space="preserve">0.00 </w:t>
            </w:r>
          </w:p>
        </w:tc>
        <w:tc>
          <w:tcPr>
            <w:tcW w:w="1315" w:type="dxa"/>
            <w:vAlign w:val="center"/>
          </w:tcPr>
          <w:p w14:paraId="4A2070D3" w14:textId="4927D72F" w:rsidR="00C85248" w:rsidRPr="00640417" w:rsidRDefault="00C85248" w:rsidP="00C85248">
            <w:pPr>
              <w:pStyle w:val="ExhibitText"/>
              <w:jc w:val="right"/>
              <w:rPr>
                <w:color w:val="000000"/>
                <w:lang w:val="en-GB"/>
              </w:rPr>
            </w:pPr>
            <w:r w:rsidRPr="00640417">
              <w:rPr>
                <w:color w:val="000000"/>
                <w:lang w:val="en-GB"/>
              </w:rPr>
              <w:t xml:space="preserve">0.53 </w:t>
            </w:r>
          </w:p>
        </w:tc>
      </w:tr>
      <w:tr w:rsidR="00C85248" w:rsidRPr="00640417" w14:paraId="1BC3FDD1" w14:textId="77777777" w:rsidTr="00C85248">
        <w:trPr>
          <w:trHeight w:val="317"/>
          <w:jc w:val="center"/>
        </w:trPr>
        <w:tc>
          <w:tcPr>
            <w:tcW w:w="2230" w:type="dxa"/>
            <w:vAlign w:val="center"/>
          </w:tcPr>
          <w:p w14:paraId="01887176" w14:textId="77777777" w:rsidR="00C85248" w:rsidRPr="00640417" w:rsidRDefault="00C85248" w:rsidP="00C85248">
            <w:pPr>
              <w:pStyle w:val="ExhibitText"/>
              <w:jc w:val="left"/>
              <w:rPr>
                <w:color w:val="000000"/>
                <w:lang w:val="en-GB"/>
              </w:rPr>
            </w:pPr>
            <w:r w:rsidRPr="00640417">
              <w:rPr>
                <w:color w:val="000000"/>
                <w:lang w:val="en-GB"/>
              </w:rPr>
              <w:t>Reserves</w:t>
            </w:r>
          </w:p>
        </w:tc>
        <w:tc>
          <w:tcPr>
            <w:tcW w:w="1440" w:type="dxa"/>
            <w:vAlign w:val="center"/>
          </w:tcPr>
          <w:p w14:paraId="360BB035" w14:textId="1F8136C0" w:rsidR="00C85248" w:rsidRPr="00640417" w:rsidRDefault="00C85248" w:rsidP="00C85248">
            <w:pPr>
              <w:pStyle w:val="ExhibitText"/>
              <w:jc w:val="right"/>
              <w:rPr>
                <w:color w:val="000000"/>
                <w:lang w:val="en-GB"/>
              </w:rPr>
            </w:pPr>
            <w:r w:rsidRPr="00640417">
              <w:rPr>
                <w:color w:val="000000"/>
                <w:lang w:val="en-GB"/>
              </w:rPr>
              <w:t xml:space="preserve">312.75 </w:t>
            </w:r>
          </w:p>
        </w:tc>
        <w:tc>
          <w:tcPr>
            <w:tcW w:w="1440" w:type="dxa"/>
            <w:vAlign w:val="center"/>
          </w:tcPr>
          <w:p w14:paraId="645D73C3" w14:textId="0D865E6A" w:rsidR="00C85248" w:rsidRPr="00640417" w:rsidRDefault="00C85248" w:rsidP="00C85248">
            <w:pPr>
              <w:pStyle w:val="ExhibitText"/>
              <w:jc w:val="right"/>
              <w:rPr>
                <w:color w:val="000000"/>
                <w:lang w:val="en-GB"/>
              </w:rPr>
            </w:pPr>
            <w:r w:rsidRPr="00640417">
              <w:rPr>
                <w:color w:val="000000"/>
                <w:lang w:val="en-GB"/>
              </w:rPr>
              <w:t xml:space="preserve">369.56 </w:t>
            </w:r>
          </w:p>
        </w:tc>
        <w:tc>
          <w:tcPr>
            <w:tcW w:w="1440" w:type="dxa"/>
            <w:vAlign w:val="center"/>
          </w:tcPr>
          <w:p w14:paraId="535D5FE4" w14:textId="2DE21D2A" w:rsidR="00C85248" w:rsidRPr="00640417" w:rsidRDefault="00C85248" w:rsidP="00C85248">
            <w:pPr>
              <w:pStyle w:val="ExhibitText"/>
              <w:jc w:val="right"/>
              <w:rPr>
                <w:color w:val="000000"/>
                <w:lang w:val="en-GB"/>
              </w:rPr>
            </w:pPr>
            <w:r w:rsidRPr="00640417">
              <w:rPr>
                <w:color w:val="000000"/>
                <w:lang w:val="en-GB"/>
              </w:rPr>
              <w:t xml:space="preserve">357.37 </w:t>
            </w:r>
          </w:p>
        </w:tc>
        <w:tc>
          <w:tcPr>
            <w:tcW w:w="1440" w:type="dxa"/>
            <w:vAlign w:val="center"/>
          </w:tcPr>
          <w:p w14:paraId="714BB1EB" w14:textId="731A56D2" w:rsidR="00C85248" w:rsidRPr="00640417" w:rsidRDefault="00C85248" w:rsidP="00C85248">
            <w:pPr>
              <w:pStyle w:val="ExhibitText"/>
              <w:jc w:val="right"/>
              <w:rPr>
                <w:color w:val="000000"/>
                <w:lang w:val="en-GB"/>
              </w:rPr>
            </w:pPr>
            <w:r w:rsidRPr="00640417">
              <w:rPr>
                <w:color w:val="000000"/>
                <w:lang w:val="en-GB"/>
              </w:rPr>
              <w:t xml:space="preserve">239.17 </w:t>
            </w:r>
          </w:p>
        </w:tc>
        <w:tc>
          <w:tcPr>
            <w:tcW w:w="1315" w:type="dxa"/>
            <w:vAlign w:val="center"/>
          </w:tcPr>
          <w:p w14:paraId="6A757D81" w14:textId="2A49EE67" w:rsidR="00C85248" w:rsidRPr="00640417" w:rsidRDefault="00C85248" w:rsidP="00C85248">
            <w:pPr>
              <w:pStyle w:val="ExhibitText"/>
              <w:jc w:val="right"/>
              <w:rPr>
                <w:color w:val="000000"/>
                <w:lang w:val="en-GB"/>
              </w:rPr>
            </w:pPr>
            <w:r w:rsidRPr="00640417">
              <w:rPr>
                <w:color w:val="000000"/>
                <w:lang w:val="en-GB"/>
              </w:rPr>
              <w:t xml:space="preserve">24.56 </w:t>
            </w:r>
          </w:p>
        </w:tc>
      </w:tr>
      <w:tr w:rsidR="00C85248" w:rsidRPr="00640417" w14:paraId="165719A3" w14:textId="77777777" w:rsidTr="00C85248">
        <w:trPr>
          <w:trHeight w:val="317"/>
          <w:jc w:val="center"/>
        </w:trPr>
        <w:tc>
          <w:tcPr>
            <w:tcW w:w="2230" w:type="dxa"/>
            <w:vAlign w:val="center"/>
          </w:tcPr>
          <w:p w14:paraId="48ED0A46" w14:textId="77777777" w:rsidR="00C85248" w:rsidRPr="00640417" w:rsidRDefault="00C85248" w:rsidP="00C85248">
            <w:pPr>
              <w:pStyle w:val="ExhibitText"/>
              <w:jc w:val="left"/>
              <w:rPr>
                <w:color w:val="000000"/>
                <w:lang w:val="en-GB"/>
              </w:rPr>
            </w:pPr>
            <w:r w:rsidRPr="00640417">
              <w:rPr>
                <w:color w:val="000000"/>
                <w:lang w:val="en-GB"/>
              </w:rPr>
              <w:t>Net</w:t>
            </w:r>
            <w:r>
              <w:rPr>
                <w:color w:val="000000"/>
                <w:lang w:val="en-GB"/>
              </w:rPr>
              <w:t xml:space="preserve"> </w:t>
            </w:r>
            <w:r w:rsidRPr="00640417">
              <w:rPr>
                <w:color w:val="000000"/>
                <w:lang w:val="en-GB"/>
              </w:rPr>
              <w:t>Worth</w:t>
            </w:r>
          </w:p>
        </w:tc>
        <w:tc>
          <w:tcPr>
            <w:tcW w:w="1440" w:type="dxa"/>
            <w:vAlign w:val="center"/>
          </w:tcPr>
          <w:p w14:paraId="66310CA8" w14:textId="3B1E1594" w:rsidR="00C85248" w:rsidRPr="00640417" w:rsidRDefault="00C85248" w:rsidP="00C85248">
            <w:pPr>
              <w:pStyle w:val="ExhibitText"/>
              <w:jc w:val="right"/>
              <w:rPr>
                <w:color w:val="000000"/>
                <w:lang w:val="en-GB"/>
              </w:rPr>
            </w:pPr>
            <w:r w:rsidRPr="00640417">
              <w:rPr>
                <w:color w:val="000000"/>
                <w:lang w:val="en-GB"/>
              </w:rPr>
              <w:t xml:space="preserve">318.93 </w:t>
            </w:r>
          </w:p>
        </w:tc>
        <w:tc>
          <w:tcPr>
            <w:tcW w:w="1440" w:type="dxa"/>
            <w:vAlign w:val="center"/>
          </w:tcPr>
          <w:p w14:paraId="51225138" w14:textId="76E0D010" w:rsidR="00C85248" w:rsidRPr="00640417" w:rsidRDefault="00C85248" w:rsidP="00C85248">
            <w:pPr>
              <w:pStyle w:val="ExhibitText"/>
              <w:jc w:val="right"/>
              <w:rPr>
                <w:color w:val="000000"/>
                <w:lang w:val="en-GB"/>
              </w:rPr>
            </w:pPr>
            <w:r w:rsidRPr="00640417">
              <w:rPr>
                <w:color w:val="000000"/>
                <w:lang w:val="en-GB"/>
              </w:rPr>
              <w:t xml:space="preserve">375.80 </w:t>
            </w:r>
          </w:p>
        </w:tc>
        <w:tc>
          <w:tcPr>
            <w:tcW w:w="1440" w:type="dxa"/>
            <w:vAlign w:val="center"/>
          </w:tcPr>
          <w:p w14:paraId="39B8A321" w14:textId="56859119" w:rsidR="00C85248" w:rsidRPr="00640417" w:rsidRDefault="00C85248" w:rsidP="00C85248">
            <w:pPr>
              <w:pStyle w:val="ExhibitText"/>
              <w:jc w:val="right"/>
              <w:rPr>
                <w:color w:val="000000"/>
                <w:lang w:val="en-GB"/>
              </w:rPr>
            </w:pPr>
            <w:r w:rsidRPr="00640417">
              <w:rPr>
                <w:color w:val="000000"/>
                <w:lang w:val="en-GB"/>
              </w:rPr>
              <w:t xml:space="preserve">363.69 </w:t>
            </w:r>
          </w:p>
        </w:tc>
        <w:tc>
          <w:tcPr>
            <w:tcW w:w="1440" w:type="dxa"/>
            <w:vAlign w:val="center"/>
          </w:tcPr>
          <w:p w14:paraId="05C9D129" w14:textId="5481AC86" w:rsidR="00C85248" w:rsidRPr="00640417" w:rsidRDefault="00C85248" w:rsidP="00C85248">
            <w:pPr>
              <w:pStyle w:val="ExhibitText"/>
              <w:jc w:val="right"/>
              <w:rPr>
                <w:color w:val="000000"/>
                <w:lang w:val="en-GB"/>
              </w:rPr>
            </w:pPr>
            <w:r w:rsidRPr="00640417">
              <w:rPr>
                <w:color w:val="000000"/>
                <w:lang w:val="en-GB"/>
              </w:rPr>
              <w:t xml:space="preserve">245.98 </w:t>
            </w:r>
          </w:p>
        </w:tc>
        <w:tc>
          <w:tcPr>
            <w:tcW w:w="1315" w:type="dxa"/>
            <w:vAlign w:val="center"/>
          </w:tcPr>
          <w:p w14:paraId="48B006FB" w14:textId="7FF56FAA" w:rsidR="00C85248" w:rsidRPr="00640417" w:rsidRDefault="00C85248" w:rsidP="00C85248">
            <w:pPr>
              <w:pStyle w:val="ExhibitText"/>
              <w:jc w:val="right"/>
              <w:rPr>
                <w:color w:val="000000"/>
                <w:lang w:val="en-GB"/>
              </w:rPr>
            </w:pPr>
            <w:r w:rsidRPr="00640417">
              <w:rPr>
                <w:color w:val="000000"/>
                <w:lang w:val="en-GB"/>
              </w:rPr>
              <w:t xml:space="preserve">32.26 </w:t>
            </w:r>
          </w:p>
        </w:tc>
      </w:tr>
      <w:tr w:rsidR="00C85248" w:rsidRPr="00640417" w14:paraId="209CE7AA" w14:textId="77777777" w:rsidTr="00C85248">
        <w:trPr>
          <w:trHeight w:val="317"/>
          <w:jc w:val="center"/>
        </w:trPr>
        <w:tc>
          <w:tcPr>
            <w:tcW w:w="2230" w:type="dxa"/>
            <w:vAlign w:val="center"/>
          </w:tcPr>
          <w:p w14:paraId="267F3624" w14:textId="77777777" w:rsidR="00C85248" w:rsidRPr="00640417" w:rsidRDefault="00C85248" w:rsidP="00C85248">
            <w:pPr>
              <w:pStyle w:val="ExhibitText"/>
              <w:jc w:val="left"/>
              <w:rPr>
                <w:color w:val="000000"/>
                <w:lang w:val="en-GB"/>
              </w:rPr>
            </w:pPr>
            <w:r w:rsidRPr="00640417">
              <w:rPr>
                <w:color w:val="000000"/>
                <w:lang w:val="en-GB"/>
              </w:rPr>
              <w:t>Secured Loans</w:t>
            </w:r>
          </w:p>
        </w:tc>
        <w:tc>
          <w:tcPr>
            <w:tcW w:w="1440" w:type="dxa"/>
            <w:vAlign w:val="center"/>
          </w:tcPr>
          <w:p w14:paraId="08FAD4BB" w14:textId="0C2EA097" w:rsidR="00C85248" w:rsidRPr="00640417" w:rsidRDefault="00C85248" w:rsidP="00C85248">
            <w:pPr>
              <w:pStyle w:val="ExhibitText"/>
              <w:jc w:val="right"/>
              <w:rPr>
                <w:color w:val="000000"/>
                <w:lang w:val="en-GB"/>
              </w:rPr>
            </w:pPr>
            <w:r w:rsidRPr="00640417">
              <w:rPr>
                <w:color w:val="000000"/>
                <w:lang w:val="en-GB"/>
              </w:rPr>
              <w:t>1</w:t>
            </w:r>
            <w:r>
              <w:rPr>
                <w:color w:val="000000"/>
                <w:lang w:val="en-GB"/>
              </w:rPr>
              <w:t>,</w:t>
            </w:r>
            <w:r w:rsidRPr="00640417">
              <w:rPr>
                <w:color w:val="000000"/>
                <w:lang w:val="en-GB"/>
              </w:rPr>
              <w:t xml:space="preserve">214.34 </w:t>
            </w:r>
          </w:p>
        </w:tc>
        <w:tc>
          <w:tcPr>
            <w:tcW w:w="1440" w:type="dxa"/>
            <w:vAlign w:val="center"/>
          </w:tcPr>
          <w:p w14:paraId="108D4975" w14:textId="299AE190" w:rsidR="00C85248" w:rsidRPr="00640417" w:rsidRDefault="00C85248" w:rsidP="00C85248">
            <w:pPr>
              <w:pStyle w:val="ExhibitText"/>
              <w:jc w:val="right"/>
              <w:rPr>
                <w:color w:val="000000"/>
                <w:lang w:val="en-GB"/>
              </w:rPr>
            </w:pPr>
            <w:r w:rsidRPr="00640417">
              <w:rPr>
                <w:color w:val="000000"/>
                <w:lang w:val="en-GB"/>
              </w:rPr>
              <w:t>1</w:t>
            </w:r>
            <w:r>
              <w:rPr>
                <w:color w:val="000000"/>
                <w:lang w:val="en-GB"/>
              </w:rPr>
              <w:t>,</w:t>
            </w:r>
            <w:r w:rsidRPr="00640417">
              <w:rPr>
                <w:color w:val="000000"/>
                <w:lang w:val="en-GB"/>
              </w:rPr>
              <w:t xml:space="preserve">426.63 </w:t>
            </w:r>
          </w:p>
        </w:tc>
        <w:tc>
          <w:tcPr>
            <w:tcW w:w="1440" w:type="dxa"/>
            <w:vAlign w:val="center"/>
          </w:tcPr>
          <w:p w14:paraId="55872001" w14:textId="5D1C58CD" w:rsidR="00C85248" w:rsidRPr="00640417" w:rsidRDefault="00C85248" w:rsidP="00C85248">
            <w:pPr>
              <w:pStyle w:val="ExhibitText"/>
              <w:jc w:val="right"/>
              <w:rPr>
                <w:color w:val="000000"/>
                <w:lang w:val="en-GB"/>
              </w:rPr>
            </w:pPr>
            <w:r w:rsidRPr="00640417">
              <w:rPr>
                <w:color w:val="000000"/>
                <w:lang w:val="en-GB"/>
              </w:rPr>
              <w:t>1</w:t>
            </w:r>
            <w:r>
              <w:rPr>
                <w:color w:val="000000"/>
                <w:lang w:val="en-GB"/>
              </w:rPr>
              <w:t>,</w:t>
            </w:r>
            <w:r w:rsidRPr="00640417">
              <w:rPr>
                <w:color w:val="000000"/>
                <w:lang w:val="en-GB"/>
              </w:rPr>
              <w:t xml:space="preserve">534.18 </w:t>
            </w:r>
          </w:p>
        </w:tc>
        <w:tc>
          <w:tcPr>
            <w:tcW w:w="1440" w:type="dxa"/>
            <w:vAlign w:val="center"/>
          </w:tcPr>
          <w:p w14:paraId="368C21C5" w14:textId="0DC482CD" w:rsidR="00C85248" w:rsidRPr="00640417" w:rsidRDefault="00C85248" w:rsidP="00C85248">
            <w:pPr>
              <w:pStyle w:val="ExhibitText"/>
              <w:jc w:val="right"/>
              <w:rPr>
                <w:color w:val="000000"/>
                <w:lang w:val="en-GB"/>
              </w:rPr>
            </w:pPr>
            <w:r w:rsidRPr="00640417">
              <w:rPr>
                <w:color w:val="000000"/>
                <w:lang w:val="en-GB"/>
              </w:rPr>
              <w:t>1</w:t>
            </w:r>
            <w:r>
              <w:rPr>
                <w:color w:val="000000"/>
                <w:lang w:val="en-GB"/>
              </w:rPr>
              <w:t>,</w:t>
            </w:r>
            <w:r w:rsidRPr="00640417">
              <w:rPr>
                <w:color w:val="000000"/>
                <w:lang w:val="en-GB"/>
              </w:rPr>
              <w:t xml:space="preserve">792.46 </w:t>
            </w:r>
          </w:p>
        </w:tc>
        <w:tc>
          <w:tcPr>
            <w:tcW w:w="1315" w:type="dxa"/>
            <w:vAlign w:val="center"/>
          </w:tcPr>
          <w:p w14:paraId="794CD832" w14:textId="2A69C3E0" w:rsidR="00C85248" w:rsidRPr="00640417" w:rsidRDefault="00C85248" w:rsidP="00C85248">
            <w:pPr>
              <w:pStyle w:val="ExhibitText"/>
              <w:jc w:val="right"/>
              <w:rPr>
                <w:color w:val="000000"/>
                <w:lang w:val="en-GB"/>
              </w:rPr>
            </w:pPr>
            <w:r w:rsidRPr="00640417">
              <w:rPr>
                <w:color w:val="000000"/>
                <w:lang w:val="en-GB"/>
              </w:rPr>
              <w:t>1</w:t>
            </w:r>
            <w:r>
              <w:rPr>
                <w:color w:val="000000"/>
                <w:lang w:val="en-GB"/>
              </w:rPr>
              <w:t>,</w:t>
            </w:r>
            <w:r w:rsidRPr="00640417">
              <w:rPr>
                <w:color w:val="000000"/>
                <w:lang w:val="en-GB"/>
              </w:rPr>
              <w:t xml:space="preserve">813.82 </w:t>
            </w:r>
          </w:p>
        </w:tc>
      </w:tr>
      <w:tr w:rsidR="00C85248" w:rsidRPr="00640417" w14:paraId="1B94778C" w14:textId="77777777" w:rsidTr="00C85248">
        <w:trPr>
          <w:trHeight w:val="317"/>
          <w:jc w:val="center"/>
        </w:trPr>
        <w:tc>
          <w:tcPr>
            <w:tcW w:w="2230" w:type="dxa"/>
            <w:vAlign w:val="center"/>
          </w:tcPr>
          <w:p w14:paraId="3E7018D5" w14:textId="77777777" w:rsidR="00C85248" w:rsidRPr="00640417" w:rsidRDefault="00C85248" w:rsidP="00C85248">
            <w:pPr>
              <w:pStyle w:val="ExhibitText"/>
              <w:jc w:val="left"/>
              <w:rPr>
                <w:color w:val="000000"/>
                <w:lang w:val="en-GB"/>
              </w:rPr>
            </w:pPr>
            <w:r w:rsidRPr="00640417">
              <w:rPr>
                <w:color w:val="000000"/>
                <w:lang w:val="en-GB"/>
              </w:rPr>
              <w:t>Unsecured Loans</w:t>
            </w:r>
          </w:p>
        </w:tc>
        <w:tc>
          <w:tcPr>
            <w:tcW w:w="1440" w:type="dxa"/>
            <w:vAlign w:val="center"/>
          </w:tcPr>
          <w:p w14:paraId="6CFD405C" w14:textId="73D381D1" w:rsidR="00C85248" w:rsidRPr="00640417" w:rsidRDefault="00C85248" w:rsidP="00C85248">
            <w:pPr>
              <w:pStyle w:val="ExhibitText"/>
              <w:jc w:val="right"/>
              <w:rPr>
                <w:color w:val="000000"/>
                <w:lang w:val="en-GB"/>
              </w:rPr>
            </w:pPr>
            <w:r w:rsidRPr="00640417">
              <w:rPr>
                <w:color w:val="000000"/>
                <w:lang w:val="en-GB"/>
              </w:rPr>
              <w:t xml:space="preserve">40.40 </w:t>
            </w:r>
          </w:p>
        </w:tc>
        <w:tc>
          <w:tcPr>
            <w:tcW w:w="1440" w:type="dxa"/>
            <w:vAlign w:val="center"/>
          </w:tcPr>
          <w:p w14:paraId="38EB1607" w14:textId="35CC0C95" w:rsidR="00C85248" w:rsidRPr="00640417" w:rsidRDefault="00C85248" w:rsidP="00C85248">
            <w:pPr>
              <w:pStyle w:val="ExhibitText"/>
              <w:jc w:val="right"/>
              <w:rPr>
                <w:color w:val="000000"/>
                <w:lang w:val="en-GB"/>
              </w:rPr>
            </w:pPr>
            <w:r w:rsidRPr="00640417">
              <w:rPr>
                <w:color w:val="000000"/>
                <w:lang w:val="en-GB"/>
              </w:rPr>
              <w:t xml:space="preserve">19.99 </w:t>
            </w:r>
          </w:p>
        </w:tc>
        <w:tc>
          <w:tcPr>
            <w:tcW w:w="1440" w:type="dxa"/>
            <w:vAlign w:val="center"/>
          </w:tcPr>
          <w:p w14:paraId="274933C5" w14:textId="23879FD1" w:rsidR="00C85248" w:rsidRPr="00640417" w:rsidRDefault="00C85248" w:rsidP="00C85248">
            <w:pPr>
              <w:pStyle w:val="ExhibitText"/>
              <w:jc w:val="right"/>
              <w:rPr>
                <w:color w:val="000000"/>
                <w:lang w:val="en-GB"/>
              </w:rPr>
            </w:pPr>
            <w:r w:rsidRPr="00640417">
              <w:rPr>
                <w:color w:val="000000"/>
                <w:lang w:val="en-GB"/>
              </w:rPr>
              <w:t xml:space="preserve">6.49 </w:t>
            </w:r>
          </w:p>
        </w:tc>
        <w:tc>
          <w:tcPr>
            <w:tcW w:w="1440" w:type="dxa"/>
            <w:vAlign w:val="center"/>
          </w:tcPr>
          <w:p w14:paraId="2BC70A67" w14:textId="46DA9816" w:rsidR="00C85248" w:rsidRPr="00640417" w:rsidRDefault="00C85248" w:rsidP="00C85248">
            <w:pPr>
              <w:pStyle w:val="ExhibitText"/>
              <w:jc w:val="right"/>
              <w:rPr>
                <w:color w:val="000000"/>
                <w:lang w:val="en-GB"/>
              </w:rPr>
            </w:pPr>
            <w:r w:rsidRPr="00640417">
              <w:rPr>
                <w:color w:val="000000"/>
                <w:lang w:val="en-GB"/>
              </w:rPr>
              <w:t xml:space="preserve">5.45 </w:t>
            </w:r>
          </w:p>
        </w:tc>
        <w:tc>
          <w:tcPr>
            <w:tcW w:w="1315" w:type="dxa"/>
            <w:vAlign w:val="center"/>
          </w:tcPr>
          <w:p w14:paraId="6D75866F" w14:textId="38F861A7" w:rsidR="00C85248" w:rsidRPr="00640417" w:rsidRDefault="00C85248" w:rsidP="00C85248">
            <w:pPr>
              <w:pStyle w:val="ExhibitText"/>
              <w:jc w:val="right"/>
              <w:rPr>
                <w:color w:val="000000"/>
                <w:lang w:val="en-GB"/>
              </w:rPr>
            </w:pPr>
            <w:r w:rsidRPr="00640417">
              <w:rPr>
                <w:color w:val="000000"/>
                <w:lang w:val="en-GB"/>
              </w:rPr>
              <w:t xml:space="preserve">4.77 </w:t>
            </w:r>
          </w:p>
        </w:tc>
      </w:tr>
      <w:tr w:rsidR="00C85248" w:rsidRPr="00640417" w14:paraId="26D635CD" w14:textId="77777777" w:rsidTr="00C85248">
        <w:trPr>
          <w:trHeight w:val="317"/>
          <w:jc w:val="center"/>
        </w:trPr>
        <w:tc>
          <w:tcPr>
            <w:tcW w:w="2230" w:type="dxa"/>
            <w:vAlign w:val="center"/>
          </w:tcPr>
          <w:p w14:paraId="29BAED15" w14:textId="77777777" w:rsidR="00C85248" w:rsidRPr="00640417" w:rsidRDefault="00C85248" w:rsidP="00C85248">
            <w:pPr>
              <w:pStyle w:val="ExhibitText"/>
              <w:jc w:val="left"/>
              <w:rPr>
                <w:color w:val="000000"/>
                <w:lang w:val="en-GB"/>
              </w:rPr>
            </w:pPr>
            <w:r w:rsidRPr="00640417">
              <w:rPr>
                <w:color w:val="000000"/>
                <w:lang w:val="en-GB"/>
              </w:rPr>
              <w:t>Total Debt</w:t>
            </w:r>
          </w:p>
        </w:tc>
        <w:tc>
          <w:tcPr>
            <w:tcW w:w="1440" w:type="dxa"/>
            <w:vAlign w:val="center"/>
          </w:tcPr>
          <w:p w14:paraId="341A1708" w14:textId="14281B46" w:rsidR="00C85248" w:rsidRPr="00640417" w:rsidRDefault="00C85248" w:rsidP="00C85248">
            <w:pPr>
              <w:pStyle w:val="ExhibitText"/>
              <w:jc w:val="right"/>
              <w:rPr>
                <w:color w:val="000000"/>
                <w:lang w:val="en-GB"/>
              </w:rPr>
            </w:pPr>
            <w:r w:rsidRPr="00640417">
              <w:rPr>
                <w:color w:val="000000"/>
                <w:lang w:val="en-GB"/>
              </w:rPr>
              <w:t>1</w:t>
            </w:r>
            <w:r>
              <w:rPr>
                <w:color w:val="000000"/>
                <w:lang w:val="en-GB"/>
              </w:rPr>
              <w:t>,</w:t>
            </w:r>
            <w:r w:rsidRPr="00640417">
              <w:rPr>
                <w:color w:val="000000"/>
                <w:lang w:val="en-GB"/>
              </w:rPr>
              <w:t xml:space="preserve">254.74 </w:t>
            </w:r>
          </w:p>
        </w:tc>
        <w:tc>
          <w:tcPr>
            <w:tcW w:w="1440" w:type="dxa"/>
            <w:vAlign w:val="center"/>
          </w:tcPr>
          <w:p w14:paraId="25753F70" w14:textId="700B7D9A" w:rsidR="00C85248" w:rsidRPr="00640417" w:rsidRDefault="00C85248" w:rsidP="00C85248">
            <w:pPr>
              <w:pStyle w:val="ExhibitText"/>
              <w:jc w:val="right"/>
              <w:rPr>
                <w:color w:val="000000"/>
                <w:lang w:val="en-GB"/>
              </w:rPr>
            </w:pPr>
            <w:r w:rsidRPr="00640417">
              <w:rPr>
                <w:color w:val="000000"/>
                <w:lang w:val="en-GB"/>
              </w:rPr>
              <w:t>1</w:t>
            </w:r>
            <w:r>
              <w:rPr>
                <w:color w:val="000000"/>
                <w:lang w:val="en-GB"/>
              </w:rPr>
              <w:t>,</w:t>
            </w:r>
            <w:r w:rsidRPr="00640417">
              <w:rPr>
                <w:color w:val="000000"/>
                <w:lang w:val="en-GB"/>
              </w:rPr>
              <w:t xml:space="preserve">446.62 </w:t>
            </w:r>
          </w:p>
        </w:tc>
        <w:tc>
          <w:tcPr>
            <w:tcW w:w="1440" w:type="dxa"/>
            <w:vAlign w:val="center"/>
          </w:tcPr>
          <w:p w14:paraId="31E94A68" w14:textId="250AEB9F" w:rsidR="00C85248" w:rsidRPr="00640417" w:rsidRDefault="00C85248" w:rsidP="00C85248">
            <w:pPr>
              <w:pStyle w:val="ExhibitText"/>
              <w:jc w:val="right"/>
              <w:rPr>
                <w:color w:val="000000"/>
                <w:lang w:val="en-GB"/>
              </w:rPr>
            </w:pPr>
            <w:r w:rsidRPr="00640417">
              <w:rPr>
                <w:color w:val="000000"/>
                <w:lang w:val="en-GB"/>
              </w:rPr>
              <w:t>1</w:t>
            </w:r>
            <w:r>
              <w:rPr>
                <w:color w:val="000000"/>
                <w:lang w:val="en-GB"/>
              </w:rPr>
              <w:t>,</w:t>
            </w:r>
            <w:r w:rsidRPr="00640417">
              <w:rPr>
                <w:color w:val="000000"/>
                <w:lang w:val="en-GB"/>
              </w:rPr>
              <w:t xml:space="preserve">540.67 </w:t>
            </w:r>
          </w:p>
        </w:tc>
        <w:tc>
          <w:tcPr>
            <w:tcW w:w="1440" w:type="dxa"/>
            <w:vAlign w:val="center"/>
          </w:tcPr>
          <w:p w14:paraId="6BCE37D3" w14:textId="4B0964E0" w:rsidR="00C85248" w:rsidRPr="00640417" w:rsidRDefault="00C85248" w:rsidP="00C85248">
            <w:pPr>
              <w:pStyle w:val="ExhibitText"/>
              <w:jc w:val="right"/>
              <w:rPr>
                <w:color w:val="000000"/>
                <w:lang w:val="en-GB"/>
              </w:rPr>
            </w:pPr>
            <w:r w:rsidRPr="00640417">
              <w:rPr>
                <w:color w:val="000000"/>
                <w:lang w:val="en-GB"/>
              </w:rPr>
              <w:t>1</w:t>
            </w:r>
            <w:r>
              <w:rPr>
                <w:color w:val="000000"/>
                <w:lang w:val="en-GB"/>
              </w:rPr>
              <w:t>,</w:t>
            </w:r>
            <w:r w:rsidRPr="00640417">
              <w:rPr>
                <w:color w:val="000000"/>
                <w:lang w:val="en-GB"/>
              </w:rPr>
              <w:t xml:space="preserve">797.91 </w:t>
            </w:r>
          </w:p>
        </w:tc>
        <w:tc>
          <w:tcPr>
            <w:tcW w:w="1315" w:type="dxa"/>
            <w:vAlign w:val="center"/>
          </w:tcPr>
          <w:p w14:paraId="03261374" w14:textId="0DE6D6E1" w:rsidR="00C85248" w:rsidRPr="00640417" w:rsidRDefault="00C85248" w:rsidP="00C85248">
            <w:pPr>
              <w:pStyle w:val="ExhibitText"/>
              <w:jc w:val="right"/>
              <w:rPr>
                <w:color w:val="000000"/>
                <w:lang w:val="en-GB"/>
              </w:rPr>
            </w:pPr>
            <w:r w:rsidRPr="00640417">
              <w:rPr>
                <w:color w:val="000000"/>
                <w:lang w:val="en-GB"/>
              </w:rPr>
              <w:t>1</w:t>
            </w:r>
            <w:r>
              <w:rPr>
                <w:color w:val="000000"/>
                <w:lang w:val="en-GB"/>
              </w:rPr>
              <w:t>,</w:t>
            </w:r>
            <w:r w:rsidRPr="00640417">
              <w:rPr>
                <w:color w:val="000000"/>
                <w:lang w:val="en-GB"/>
              </w:rPr>
              <w:t xml:space="preserve">818.59 </w:t>
            </w:r>
          </w:p>
        </w:tc>
      </w:tr>
      <w:tr w:rsidR="00C85248" w:rsidRPr="00640417" w14:paraId="1E3C5234" w14:textId="77777777" w:rsidTr="00C85248">
        <w:trPr>
          <w:trHeight w:val="317"/>
          <w:jc w:val="center"/>
        </w:trPr>
        <w:tc>
          <w:tcPr>
            <w:tcW w:w="2230" w:type="dxa"/>
            <w:vAlign w:val="center"/>
          </w:tcPr>
          <w:p w14:paraId="02DACFDE" w14:textId="77777777" w:rsidR="00C85248" w:rsidRPr="00640417" w:rsidRDefault="00C85248" w:rsidP="00C85248">
            <w:pPr>
              <w:pStyle w:val="ExhibitText"/>
              <w:jc w:val="left"/>
              <w:rPr>
                <w:color w:val="000000"/>
                <w:lang w:val="en-GB"/>
              </w:rPr>
            </w:pPr>
            <w:r w:rsidRPr="00640417">
              <w:rPr>
                <w:color w:val="000000"/>
                <w:lang w:val="en-GB"/>
              </w:rPr>
              <w:t>Total Liabilities</w:t>
            </w:r>
          </w:p>
        </w:tc>
        <w:tc>
          <w:tcPr>
            <w:tcW w:w="1440" w:type="dxa"/>
            <w:vAlign w:val="center"/>
          </w:tcPr>
          <w:p w14:paraId="5AC1EDB4" w14:textId="61AB1914" w:rsidR="00C85248" w:rsidRPr="00640417" w:rsidRDefault="00C85248" w:rsidP="00C85248">
            <w:pPr>
              <w:pStyle w:val="ExhibitText"/>
              <w:jc w:val="right"/>
              <w:rPr>
                <w:color w:val="000000"/>
                <w:lang w:val="en-GB"/>
              </w:rPr>
            </w:pPr>
            <w:r w:rsidRPr="00640417">
              <w:rPr>
                <w:color w:val="000000"/>
                <w:lang w:val="en-GB"/>
              </w:rPr>
              <w:t>1</w:t>
            </w:r>
            <w:r>
              <w:rPr>
                <w:color w:val="000000"/>
                <w:lang w:val="en-GB"/>
              </w:rPr>
              <w:t>,</w:t>
            </w:r>
            <w:r w:rsidRPr="00640417">
              <w:rPr>
                <w:color w:val="000000"/>
                <w:lang w:val="en-GB"/>
              </w:rPr>
              <w:t xml:space="preserve">573.67 </w:t>
            </w:r>
          </w:p>
        </w:tc>
        <w:tc>
          <w:tcPr>
            <w:tcW w:w="1440" w:type="dxa"/>
            <w:vAlign w:val="center"/>
          </w:tcPr>
          <w:p w14:paraId="4ECE1F69" w14:textId="03DE761C" w:rsidR="00C85248" w:rsidRPr="00640417" w:rsidRDefault="00C85248" w:rsidP="00C85248">
            <w:pPr>
              <w:pStyle w:val="ExhibitText"/>
              <w:jc w:val="right"/>
              <w:rPr>
                <w:color w:val="000000"/>
                <w:lang w:val="en-GB"/>
              </w:rPr>
            </w:pPr>
            <w:r w:rsidRPr="00640417">
              <w:rPr>
                <w:color w:val="000000"/>
                <w:lang w:val="en-GB"/>
              </w:rPr>
              <w:t>1</w:t>
            </w:r>
            <w:r>
              <w:rPr>
                <w:color w:val="000000"/>
                <w:lang w:val="en-GB"/>
              </w:rPr>
              <w:t>,</w:t>
            </w:r>
            <w:r w:rsidRPr="00640417">
              <w:rPr>
                <w:color w:val="000000"/>
                <w:lang w:val="en-GB"/>
              </w:rPr>
              <w:t xml:space="preserve">822.42 </w:t>
            </w:r>
          </w:p>
        </w:tc>
        <w:tc>
          <w:tcPr>
            <w:tcW w:w="1440" w:type="dxa"/>
            <w:vAlign w:val="center"/>
          </w:tcPr>
          <w:p w14:paraId="4B3F3AC8" w14:textId="2EFDEC4F" w:rsidR="00C85248" w:rsidRPr="00640417" w:rsidRDefault="00C85248" w:rsidP="00C85248">
            <w:pPr>
              <w:pStyle w:val="ExhibitText"/>
              <w:jc w:val="right"/>
              <w:rPr>
                <w:color w:val="000000"/>
                <w:lang w:val="en-GB"/>
              </w:rPr>
            </w:pPr>
            <w:r w:rsidRPr="00640417">
              <w:rPr>
                <w:color w:val="000000"/>
                <w:lang w:val="en-GB"/>
              </w:rPr>
              <w:t>1</w:t>
            </w:r>
            <w:r>
              <w:rPr>
                <w:color w:val="000000"/>
                <w:lang w:val="en-GB"/>
              </w:rPr>
              <w:t>,</w:t>
            </w:r>
            <w:r w:rsidRPr="00640417">
              <w:rPr>
                <w:color w:val="000000"/>
                <w:lang w:val="en-GB"/>
              </w:rPr>
              <w:t xml:space="preserve">904.36 </w:t>
            </w:r>
          </w:p>
        </w:tc>
        <w:tc>
          <w:tcPr>
            <w:tcW w:w="1440" w:type="dxa"/>
            <w:vAlign w:val="center"/>
          </w:tcPr>
          <w:p w14:paraId="01CC2CD1" w14:textId="426FB9E5" w:rsidR="00C85248" w:rsidRPr="00640417" w:rsidRDefault="00C85248" w:rsidP="00C85248">
            <w:pPr>
              <w:pStyle w:val="ExhibitText"/>
              <w:jc w:val="right"/>
              <w:rPr>
                <w:color w:val="000000"/>
                <w:lang w:val="en-GB"/>
              </w:rPr>
            </w:pPr>
            <w:r w:rsidRPr="00640417">
              <w:rPr>
                <w:color w:val="000000"/>
                <w:lang w:val="en-GB"/>
              </w:rPr>
              <w:t>2</w:t>
            </w:r>
            <w:r>
              <w:rPr>
                <w:color w:val="000000"/>
                <w:lang w:val="en-GB"/>
              </w:rPr>
              <w:t>,</w:t>
            </w:r>
            <w:r w:rsidRPr="00640417">
              <w:rPr>
                <w:color w:val="000000"/>
                <w:lang w:val="en-GB"/>
              </w:rPr>
              <w:t xml:space="preserve">043.89 </w:t>
            </w:r>
          </w:p>
        </w:tc>
        <w:tc>
          <w:tcPr>
            <w:tcW w:w="1315" w:type="dxa"/>
            <w:vAlign w:val="center"/>
          </w:tcPr>
          <w:p w14:paraId="1F653BB0" w14:textId="61407B6F" w:rsidR="00C85248" w:rsidRPr="00640417" w:rsidRDefault="00C85248" w:rsidP="00C85248">
            <w:pPr>
              <w:pStyle w:val="ExhibitText"/>
              <w:jc w:val="right"/>
              <w:rPr>
                <w:color w:val="000000"/>
                <w:lang w:val="en-GB"/>
              </w:rPr>
            </w:pPr>
            <w:r w:rsidRPr="00640417">
              <w:rPr>
                <w:color w:val="000000"/>
                <w:lang w:val="en-GB"/>
              </w:rPr>
              <w:t>1</w:t>
            </w:r>
            <w:r>
              <w:rPr>
                <w:color w:val="000000"/>
                <w:lang w:val="en-GB"/>
              </w:rPr>
              <w:t>,</w:t>
            </w:r>
            <w:r w:rsidRPr="00640417">
              <w:rPr>
                <w:color w:val="000000"/>
                <w:lang w:val="en-GB"/>
              </w:rPr>
              <w:t xml:space="preserve">850.85 </w:t>
            </w:r>
          </w:p>
        </w:tc>
      </w:tr>
    </w:tbl>
    <w:p w14:paraId="0B2A66CA" w14:textId="77777777" w:rsidR="00D40D30" w:rsidRPr="00640417" w:rsidRDefault="00D40D30" w:rsidP="00D40D30">
      <w:pPr>
        <w:rPr>
          <w:b/>
          <w:bCs/>
          <w:color w:val="000000"/>
          <w:lang w:val="en-GB"/>
        </w:rPr>
      </w:pPr>
    </w:p>
    <w:tbl>
      <w:tblPr>
        <w:tblW w:w="927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20"/>
        <w:gridCol w:w="1350"/>
        <w:gridCol w:w="1350"/>
        <w:gridCol w:w="1350"/>
        <w:gridCol w:w="1350"/>
        <w:gridCol w:w="1350"/>
      </w:tblGrid>
      <w:tr w:rsidR="007707BB" w:rsidRPr="00640417" w14:paraId="1F3A3545" w14:textId="77777777" w:rsidTr="007707BB">
        <w:trPr>
          <w:trHeight w:val="275"/>
          <w:jc w:val="center"/>
        </w:trPr>
        <w:tc>
          <w:tcPr>
            <w:tcW w:w="2520" w:type="dxa"/>
            <w:tcBorders>
              <w:top w:val="single" w:sz="8" w:space="0" w:color="auto"/>
              <w:left w:val="single" w:sz="8" w:space="0" w:color="auto"/>
              <w:bottom w:val="single" w:sz="8" w:space="0" w:color="auto"/>
              <w:right w:val="single" w:sz="8" w:space="0" w:color="auto"/>
            </w:tcBorders>
            <w:shd w:val="clear" w:color="000000" w:fill="FFFFFF"/>
            <w:vAlign w:val="center"/>
          </w:tcPr>
          <w:p w14:paraId="74B61B50" w14:textId="77777777" w:rsidR="007707BB" w:rsidRPr="00640417" w:rsidRDefault="007707BB" w:rsidP="007707BB">
            <w:pPr>
              <w:pStyle w:val="ExhibitText"/>
              <w:jc w:val="center"/>
              <w:rPr>
                <w:b/>
                <w:lang w:val="en-GB"/>
              </w:rPr>
            </w:pPr>
            <w:r w:rsidRPr="00640417">
              <w:rPr>
                <w:b/>
                <w:lang w:val="en-GB"/>
              </w:rPr>
              <w:t xml:space="preserve">Application </w:t>
            </w:r>
            <w:r>
              <w:rPr>
                <w:b/>
                <w:lang w:val="en-GB"/>
              </w:rPr>
              <w:t>o</w:t>
            </w:r>
            <w:r w:rsidRPr="00640417">
              <w:rPr>
                <w:b/>
                <w:lang w:val="en-GB"/>
              </w:rPr>
              <w:t>f Funds</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57D2B349" w14:textId="2A6D72A0" w:rsidR="007707BB" w:rsidRPr="00640417" w:rsidRDefault="007707BB" w:rsidP="007707BB">
            <w:pPr>
              <w:pStyle w:val="ExhibitText"/>
              <w:jc w:val="center"/>
              <w:rPr>
                <w:b/>
                <w:lang w:val="en-GB"/>
              </w:rPr>
            </w:pPr>
            <w:r w:rsidRPr="00640417">
              <w:rPr>
                <w:b/>
                <w:lang w:val="en-GB"/>
              </w:rPr>
              <w:t>Mar</w:t>
            </w:r>
            <w:r>
              <w:rPr>
                <w:b/>
                <w:lang w:val="en-GB"/>
              </w:rPr>
              <w:t>ch</w:t>
            </w:r>
            <w:r w:rsidRPr="00640417">
              <w:rPr>
                <w:b/>
                <w:lang w:val="en-GB"/>
              </w:rPr>
              <w:t xml:space="preserve"> </w:t>
            </w:r>
            <w:r>
              <w:rPr>
                <w:b/>
                <w:lang w:val="en-GB"/>
              </w:rPr>
              <w:t>20</w:t>
            </w:r>
            <w:r w:rsidRPr="00640417">
              <w:rPr>
                <w:b/>
                <w:lang w:val="en-GB"/>
              </w:rPr>
              <w:t>10</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1B522480" w14:textId="26CA20B7" w:rsidR="007707BB" w:rsidRPr="00640417" w:rsidRDefault="007707BB" w:rsidP="007707BB">
            <w:pPr>
              <w:pStyle w:val="ExhibitText"/>
              <w:jc w:val="center"/>
              <w:rPr>
                <w:b/>
                <w:lang w:val="en-GB"/>
              </w:rPr>
            </w:pPr>
            <w:r w:rsidRPr="00640417">
              <w:rPr>
                <w:b/>
                <w:lang w:val="en-GB"/>
              </w:rPr>
              <w:t>Mar</w:t>
            </w:r>
            <w:r>
              <w:rPr>
                <w:b/>
                <w:lang w:val="en-GB"/>
              </w:rPr>
              <w:t>ch</w:t>
            </w:r>
            <w:r w:rsidRPr="00640417">
              <w:rPr>
                <w:b/>
                <w:lang w:val="en-GB"/>
              </w:rPr>
              <w:t xml:space="preserve"> </w:t>
            </w:r>
            <w:r>
              <w:rPr>
                <w:b/>
                <w:lang w:val="en-GB"/>
              </w:rPr>
              <w:t>20</w:t>
            </w:r>
            <w:r w:rsidRPr="00640417">
              <w:rPr>
                <w:b/>
                <w:lang w:val="en-GB"/>
              </w:rPr>
              <w:t>11</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191F115F" w14:textId="769DA0DF" w:rsidR="007707BB" w:rsidRPr="00640417" w:rsidRDefault="007707BB" w:rsidP="007707BB">
            <w:pPr>
              <w:pStyle w:val="ExhibitText"/>
              <w:jc w:val="center"/>
              <w:rPr>
                <w:b/>
                <w:lang w:val="en-GB"/>
              </w:rPr>
            </w:pPr>
            <w:r w:rsidRPr="00640417">
              <w:rPr>
                <w:b/>
                <w:lang w:val="en-GB"/>
              </w:rPr>
              <w:t>Mar</w:t>
            </w:r>
            <w:r>
              <w:rPr>
                <w:b/>
                <w:lang w:val="en-GB"/>
              </w:rPr>
              <w:t>ch</w:t>
            </w:r>
            <w:r w:rsidRPr="00640417">
              <w:rPr>
                <w:b/>
                <w:lang w:val="en-GB"/>
              </w:rPr>
              <w:t xml:space="preserve"> </w:t>
            </w:r>
            <w:r>
              <w:rPr>
                <w:b/>
                <w:lang w:val="en-GB"/>
              </w:rPr>
              <w:t>20</w:t>
            </w:r>
            <w:r w:rsidRPr="00640417">
              <w:rPr>
                <w:b/>
                <w:lang w:val="en-GB"/>
              </w:rPr>
              <w:t>12</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0458484F" w14:textId="5238CE5E" w:rsidR="007707BB" w:rsidRPr="00640417" w:rsidRDefault="007707BB" w:rsidP="007707BB">
            <w:pPr>
              <w:pStyle w:val="ExhibitText"/>
              <w:jc w:val="center"/>
              <w:rPr>
                <w:b/>
                <w:lang w:val="en-GB"/>
              </w:rPr>
            </w:pPr>
            <w:r w:rsidRPr="00640417">
              <w:rPr>
                <w:b/>
                <w:lang w:val="en-GB"/>
              </w:rPr>
              <w:t>Mar</w:t>
            </w:r>
            <w:r>
              <w:rPr>
                <w:b/>
                <w:lang w:val="en-GB"/>
              </w:rPr>
              <w:t>ch</w:t>
            </w:r>
            <w:r w:rsidRPr="00640417">
              <w:rPr>
                <w:b/>
                <w:lang w:val="en-GB"/>
              </w:rPr>
              <w:t xml:space="preserve"> </w:t>
            </w:r>
            <w:r>
              <w:rPr>
                <w:b/>
                <w:lang w:val="en-GB"/>
              </w:rPr>
              <w:t>20</w:t>
            </w:r>
            <w:r w:rsidRPr="00640417">
              <w:rPr>
                <w:b/>
                <w:lang w:val="en-GB"/>
              </w:rPr>
              <w:t>13</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0942B44B" w14:textId="50FA1652" w:rsidR="007707BB" w:rsidRPr="00640417" w:rsidRDefault="007707BB" w:rsidP="007707BB">
            <w:pPr>
              <w:pStyle w:val="ExhibitText"/>
              <w:jc w:val="center"/>
              <w:rPr>
                <w:b/>
                <w:lang w:val="en-GB"/>
              </w:rPr>
            </w:pPr>
            <w:r w:rsidRPr="00640417">
              <w:rPr>
                <w:b/>
                <w:lang w:val="en-GB"/>
              </w:rPr>
              <w:t>Mar</w:t>
            </w:r>
            <w:r>
              <w:rPr>
                <w:b/>
                <w:lang w:val="en-GB"/>
              </w:rPr>
              <w:t>ch</w:t>
            </w:r>
            <w:r w:rsidRPr="00640417">
              <w:rPr>
                <w:b/>
                <w:lang w:val="en-GB"/>
              </w:rPr>
              <w:t xml:space="preserve"> </w:t>
            </w:r>
            <w:r>
              <w:rPr>
                <w:b/>
                <w:lang w:val="en-GB"/>
              </w:rPr>
              <w:t>20</w:t>
            </w:r>
            <w:r w:rsidRPr="00640417">
              <w:rPr>
                <w:b/>
                <w:lang w:val="en-GB"/>
              </w:rPr>
              <w:t>14</w:t>
            </w:r>
          </w:p>
        </w:tc>
      </w:tr>
      <w:tr w:rsidR="007707BB" w:rsidRPr="00640417" w14:paraId="17E09A86" w14:textId="77777777" w:rsidTr="007707BB">
        <w:trPr>
          <w:trHeight w:val="275"/>
          <w:jc w:val="center"/>
        </w:trPr>
        <w:tc>
          <w:tcPr>
            <w:tcW w:w="2520" w:type="dxa"/>
            <w:tcBorders>
              <w:top w:val="single" w:sz="8" w:space="0" w:color="auto"/>
              <w:left w:val="single" w:sz="8" w:space="0" w:color="auto"/>
              <w:bottom w:val="single" w:sz="8" w:space="0" w:color="auto"/>
              <w:right w:val="single" w:sz="8" w:space="0" w:color="auto"/>
            </w:tcBorders>
            <w:shd w:val="clear" w:color="000000" w:fill="FFFFFF"/>
            <w:vAlign w:val="center"/>
          </w:tcPr>
          <w:p w14:paraId="171A4C5F" w14:textId="77777777" w:rsidR="007707BB" w:rsidRPr="00640417" w:rsidRDefault="007707BB" w:rsidP="007707BB">
            <w:pPr>
              <w:pStyle w:val="ExhibitText"/>
              <w:jc w:val="left"/>
              <w:rPr>
                <w:lang w:val="en-GB"/>
              </w:rPr>
            </w:pPr>
            <w:r w:rsidRPr="00640417">
              <w:rPr>
                <w:lang w:val="en-GB"/>
              </w:rPr>
              <w:t>Gross Block</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0DFF5DAE" w14:textId="43D33D71" w:rsidR="007707BB" w:rsidRPr="00640417" w:rsidRDefault="007707BB" w:rsidP="007707BB">
            <w:pPr>
              <w:pStyle w:val="ExhibitText"/>
              <w:jc w:val="right"/>
              <w:rPr>
                <w:lang w:val="en-GB"/>
              </w:rPr>
            </w:pPr>
            <w:r w:rsidRPr="00640417">
              <w:rPr>
                <w:lang w:val="en-GB"/>
              </w:rPr>
              <w:t>886.30</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287284A3" w14:textId="3355D4DD" w:rsidR="007707BB" w:rsidRPr="00640417" w:rsidRDefault="007707BB" w:rsidP="007707BB">
            <w:pPr>
              <w:pStyle w:val="ExhibitText"/>
              <w:jc w:val="right"/>
              <w:rPr>
                <w:lang w:val="en-GB"/>
              </w:rPr>
            </w:pPr>
            <w:r w:rsidRPr="00640417">
              <w:rPr>
                <w:lang w:val="en-GB"/>
              </w:rPr>
              <w:t>985.62</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4B194B13" w14:textId="1831927C" w:rsidR="007707BB" w:rsidRPr="00640417" w:rsidRDefault="007707BB" w:rsidP="007707BB">
            <w:pPr>
              <w:pStyle w:val="ExhibitText"/>
              <w:jc w:val="right"/>
              <w:rPr>
                <w:lang w:val="en-GB"/>
              </w:rPr>
            </w:pPr>
            <w:r w:rsidRPr="00640417">
              <w:rPr>
                <w:lang w:val="en-GB"/>
              </w:rPr>
              <w:t>1,984.74</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65234354" w14:textId="6851D1E6" w:rsidR="007707BB" w:rsidRPr="00640417" w:rsidRDefault="007707BB" w:rsidP="007707BB">
            <w:pPr>
              <w:pStyle w:val="ExhibitText"/>
              <w:jc w:val="right"/>
              <w:rPr>
                <w:lang w:val="en-GB"/>
              </w:rPr>
            </w:pPr>
            <w:r w:rsidRPr="00640417">
              <w:rPr>
                <w:lang w:val="en-GB"/>
              </w:rPr>
              <w:t>2,109.84</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66F083BE" w14:textId="514B158E" w:rsidR="007707BB" w:rsidRPr="00640417" w:rsidRDefault="007707BB" w:rsidP="007707BB">
            <w:pPr>
              <w:pStyle w:val="ExhibitText"/>
              <w:jc w:val="right"/>
              <w:rPr>
                <w:lang w:val="en-GB"/>
              </w:rPr>
            </w:pPr>
            <w:r w:rsidRPr="00640417">
              <w:rPr>
                <w:lang w:val="en-GB"/>
              </w:rPr>
              <w:t>2,147.77</w:t>
            </w:r>
          </w:p>
        </w:tc>
      </w:tr>
      <w:tr w:rsidR="007707BB" w:rsidRPr="00640417" w14:paraId="6E99A752" w14:textId="77777777" w:rsidTr="007707BB">
        <w:trPr>
          <w:trHeight w:val="275"/>
          <w:jc w:val="center"/>
        </w:trPr>
        <w:tc>
          <w:tcPr>
            <w:tcW w:w="2520" w:type="dxa"/>
            <w:tcBorders>
              <w:top w:val="single" w:sz="8" w:space="0" w:color="auto"/>
              <w:left w:val="single" w:sz="8" w:space="0" w:color="auto"/>
              <w:bottom w:val="single" w:sz="8" w:space="0" w:color="auto"/>
              <w:right w:val="single" w:sz="8" w:space="0" w:color="auto"/>
            </w:tcBorders>
            <w:shd w:val="clear" w:color="000000" w:fill="FFFFFF"/>
            <w:vAlign w:val="center"/>
          </w:tcPr>
          <w:p w14:paraId="1E94B2F7" w14:textId="77777777" w:rsidR="007707BB" w:rsidRPr="00640417" w:rsidRDefault="007707BB" w:rsidP="007707BB">
            <w:pPr>
              <w:pStyle w:val="ExhibitText"/>
              <w:jc w:val="left"/>
              <w:rPr>
                <w:lang w:val="en-GB"/>
              </w:rPr>
            </w:pPr>
            <w:r w:rsidRPr="00640417">
              <w:rPr>
                <w:lang w:val="en-GB"/>
              </w:rPr>
              <w:t>Less: Revaluation Reserves</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205FF4E8" w14:textId="19E8DF4F" w:rsidR="007707BB" w:rsidRPr="00640417" w:rsidRDefault="007707BB" w:rsidP="007707BB">
            <w:pPr>
              <w:pStyle w:val="ExhibitText"/>
              <w:jc w:val="right"/>
              <w:rPr>
                <w:lang w:val="en-GB"/>
              </w:rPr>
            </w:pPr>
            <w:r w:rsidRPr="00640417">
              <w:rPr>
                <w:lang w:val="en-GB"/>
              </w:rPr>
              <w:t>0.00</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45E6A345" w14:textId="7ED3E797" w:rsidR="007707BB" w:rsidRPr="00640417" w:rsidRDefault="007707BB" w:rsidP="007707BB">
            <w:pPr>
              <w:pStyle w:val="ExhibitText"/>
              <w:jc w:val="right"/>
              <w:rPr>
                <w:lang w:val="en-GB"/>
              </w:rPr>
            </w:pPr>
            <w:r w:rsidRPr="00640417">
              <w:rPr>
                <w:lang w:val="en-GB"/>
              </w:rPr>
              <w:t>0.00</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5BDFFF11" w14:textId="40CD621C" w:rsidR="007707BB" w:rsidRPr="00640417" w:rsidRDefault="007707BB" w:rsidP="007707BB">
            <w:pPr>
              <w:pStyle w:val="ExhibitText"/>
              <w:jc w:val="right"/>
              <w:rPr>
                <w:lang w:val="en-GB"/>
              </w:rPr>
            </w:pPr>
            <w:r w:rsidRPr="00640417">
              <w:rPr>
                <w:lang w:val="en-GB"/>
              </w:rPr>
              <w:t>0.00</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2C464FE2" w14:textId="25EE5805" w:rsidR="007707BB" w:rsidRPr="00640417" w:rsidRDefault="007707BB" w:rsidP="007707BB">
            <w:pPr>
              <w:pStyle w:val="ExhibitText"/>
              <w:jc w:val="right"/>
              <w:rPr>
                <w:lang w:val="en-GB"/>
              </w:rPr>
            </w:pPr>
            <w:r w:rsidRPr="00640417">
              <w:rPr>
                <w:lang w:val="en-GB"/>
              </w:rPr>
              <w:t>0.00</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49A26E9E" w14:textId="733FB3E4" w:rsidR="007707BB" w:rsidRPr="00640417" w:rsidRDefault="007707BB" w:rsidP="007707BB">
            <w:pPr>
              <w:pStyle w:val="ExhibitText"/>
              <w:jc w:val="right"/>
              <w:rPr>
                <w:lang w:val="en-GB"/>
              </w:rPr>
            </w:pPr>
            <w:r w:rsidRPr="00640417">
              <w:rPr>
                <w:lang w:val="en-GB"/>
              </w:rPr>
              <w:t>0.00</w:t>
            </w:r>
          </w:p>
        </w:tc>
      </w:tr>
      <w:tr w:rsidR="007707BB" w:rsidRPr="00640417" w14:paraId="251E5BDA" w14:textId="77777777" w:rsidTr="007707BB">
        <w:trPr>
          <w:trHeight w:val="275"/>
          <w:jc w:val="center"/>
        </w:trPr>
        <w:tc>
          <w:tcPr>
            <w:tcW w:w="2520" w:type="dxa"/>
            <w:tcBorders>
              <w:top w:val="single" w:sz="8" w:space="0" w:color="auto"/>
              <w:left w:val="single" w:sz="8" w:space="0" w:color="auto"/>
              <w:bottom w:val="single" w:sz="8" w:space="0" w:color="auto"/>
              <w:right w:val="single" w:sz="8" w:space="0" w:color="auto"/>
            </w:tcBorders>
            <w:shd w:val="clear" w:color="000000" w:fill="FFFFFF"/>
            <w:vAlign w:val="center"/>
          </w:tcPr>
          <w:p w14:paraId="17B4F226" w14:textId="77777777" w:rsidR="007707BB" w:rsidRPr="00640417" w:rsidRDefault="007707BB" w:rsidP="007707BB">
            <w:pPr>
              <w:pStyle w:val="ExhibitText"/>
              <w:jc w:val="left"/>
              <w:rPr>
                <w:lang w:val="en-GB"/>
              </w:rPr>
            </w:pPr>
            <w:r w:rsidRPr="00640417">
              <w:rPr>
                <w:lang w:val="en-GB"/>
              </w:rPr>
              <w:t>Less: Accum</w:t>
            </w:r>
            <w:r>
              <w:rPr>
                <w:lang w:val="en-GB"/>
              </w:rPr>
              <w:t>ulated</w:t>
            </w:r>
            <w:r w:rsidRPr="00640417">
              <w:rPr>
                <w:lang w:val="en-GB"/>
              </w:rPr>
              <w:t xml:space="preserve"> Depreciation</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588F107D" w14:textId="15CBA993" w:rsidR="007707BB" w:rsidRPr="00640417" w:rsidRDefault="007707BB" w:rsidP="007707BB">
            <w:pPr>
              <w:pStyle w:val="ExhibitText"/>
              <w:jc w:val="right"/>
              <w:rPr>
                <w:lang w:val="en-GB"/>
              </w:rPr>
            </w:pPr>
            <w:r w:rsidRPr="00640417">
              <w:rPr>
                <w:lang w:val="en-GB"/>
              </w:rPr>
              <w:t>235.77</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2BDDC1CA" w14:textId="22688CBC" w:rsidR="007707BB" w:rsidRPr="00640417" w:rsidRDefault="007707BB" w:rsidP="007707BB">
            <w:pPr>
              <w:pStyle w:val="ExhibitText"/>
              <w:jc w:val="right"/>
              <w:rPr>
                <w:lang w:val="en-GB"/>
              </w:rPr>
            </w:pPr>
            <w:r w:rsidRPr="00640417">
              <w:rPr>
                <w:lang w:val="en-GB"/>
              </w:rPr>
              <w:t>291.89</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7C8F88C0" w14:textId="22399574" w:rsidR="007707BB" w:rsidRPr="00640417" w:rsidRDefault="007707BB" w:rsidP="007707BB">
            <w:pPr>
              <w:pStyle w:val="ExhibitText"/>
              <w:jc w:val="right"/>
              <w:rPr>
                <w:lang w:val="en-GB"/>
              </w:rPr>
            </w:pPr>
            <w:r w:rsidRPr="00640417">
              <w:rPr>
                <w:lang w:val="en-GB"/>
              </w:rPr>
              <w:t>358.84</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027F2368" w14:textId="43B38E22" w:rsidR="007707BB" w:rsidRPr="00640417" w:rsidRDefault="007707BB" w:rsidP="007707BB">
            <w:pPr>
              <w:pStyle w:val="ExhibitText"/>
              <w:jc w:val="right"/>
              <w:rPr>
                <w:lang w:val="en-GB"/>
              </w:rPr>
            </w:pPr>
            <w:r w:rsidRPr="00640417">
              <w:rPr>
                <w:lang w:val="en-GB"/>
              </w:rPr>
              <w:t>475.32</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13BA4AF0" w14:textId="099E129C" w:rsidR="007707BB" w:rsidRPr="00640417" w:rsidRDefault="007707BB" w:rsidP="007707BB">
            <w:pPr>
              <w:pStyle w:val="ExhibitText"/>
              <w:jc w:val="right"/>
              <w:rPr>
                <w:lang w:val="en-GB"/>
              </w:rPr>
            </w:pPr>
            <w:r w:rsidRPr="00640417">
              <w:rPr>
                <w:lang w:val="en-GB"/>
              </w:rPr>
              <w:t>574.83</w:t>
            </w:r>
          </w:p>
        </w:tc>
      </w:tr>
      <w:tr w:rsidR="007707BB" w:rsidRPr="00640417" w14:paraId="4FD1724D" w14:textId="77777777" w:rsidTr="007707BB">
        <w:trPr>
          <w:trHeight w:val="275"/>
          <w:jc w:val="center"/>
        </w:trPr>
        <w:tc>
          <w:tcPr>
            <w:tcW w:w="2520" w:type="dxa"/>
            <w:tcBorders>
              <w:top w:val="single" w:sz="8" w:space="0" w:color="auto"/>
              <w:left w:val="single" w:sz="8" w:space="0" w:color="auto"/>
              <w:bottom w:val="single" w:sz="8" w:space="0" w:color="auto"/>
              <w:right w:val="single" w:sz="8" w:space="0" w:color="auto"/>
            </w:tcBorders>
            <w:shd w:val="clear" w:color="000000" w:fill="FFFFFF"/>
            <w:vAlign w:val="center"/>
          </w:tcPr>
          <w:p w14:paraId="18B67790" w14:textId="77777777" w:rsidR="007707BB" w:rsidRPr="00640417" w:rsidRDefault="007707BB" w:rsidP="007707BB">
            <w:pPr>
              <w:pStyle w:val="ExhibitText"/>
              <w:jc w:val="left"/>
              <w:rPr>
                <w:lang w:val="en-GB"/>
              </w:rPr>
            </w:pPr>
            <w:r w:rsidRPr="00640417">
              <w:rPr>
                <w:lang w:val="en-GB"/>
              </w:rPr>
              <w:t>Net Block</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3DF64CBB" w14:textId="41353801" w:rsidR="007707BB" w:rsidRPr="00640417" w:rsidRDefault="007707BB" w:rsidP="007707BB">
            <w:pPr>
              <w:pStyle w:val="ExhibitText"/>
              <w:jc w:val="right"/>
              <w:rPr>
                <w:lang w:val="en-GB"/>
              </w:rPr>
            </w:pPr>
            <w:r w:rsidRPr="00640417">
              <w:rPr>
                <w:lang w:val="en-GB"/>
              </w:rPr>
              <w:t>650.53</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02C60401" w14:textId="1FEBCBF6" w:rsidR="007707BB" w:rsidRPr="00640417" w:rsidRDefault="007707BB" w:rsidP="007707BB">
            <w:pPr>
              <w:pStyle w:val="ExhibitText"/>
              <w:jc w:val="right"/>
              <w:rPr>
                <w:lang w:val="en-GB"/>
              </w:rPr>
            </w:pPr>
            <w:r w:rsidRPr="00640417">
              <w:rPr>
                <w:lang w:val="en-GB"/>
              </w:rPr>
              <w:t>693.74</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67EF6462" w14:textId="16274F58" w:rsidR="007707BB" w:rsidRPr="00640417" w:rsidRDefault="007707BB" w:rsidP="007707BB">
            <w:pPr>
              <w:pStyle w:val="ExhibitText"/>
              <w:jc w:val="right"/>
              <w:rPr>
                <w:lang w:val="en-GB"/>
              </w:rPr>
            </w:pPr>
            <w:r w:rsidRPr="00640417">
              <w:rPr>
                <w:lang w:val="en-GB"/>
              </w:rPr>
              <w:t>1,625.90</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14F40BA4" w14:textId="5A6091C8" w:rsidR="007707BB" w:rsidRPr="00640417" w:rsidRDefault="007707BB" w:rsidP="007707BB">
            <w:pPr>
              <w:pStyle w:val="ExhibitText"/>
              <w:jc w:val="right"/>
              <w:rPr>
                <w:lang w:val="en-GB"/>
              </w:rPr>
            </w:pPr>
            <w:r w:rsidRPr="00640417">
              <w:rPr>
                <w:lang w:val="en-GB"/>
              </w:rPr>
              <w:t>1,634.51</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2B15A016" w14:textId="00BFA727" w:rsidR="007707BB" w:rsidRPr="00640417" w:rsidRDefault="007707BB" w:rsidP="007707BB">
            <w:pPr>
              <w:pStyle w:val="ExhibitText"/>
              <w:jc w:val="right"/>
              <w:rPr>
                <w:lang w:val="en-GB"/>
              </w:rPr>
            </w:pPr>
            <w:r w:rsidRPr="00640417">
              <w:rPr>
                <w:lang w:val="en-GB"/>
              </w:rPr>
              <w:t>1,572.94</w:t>
            </w:r>
          </w:p>
        </w:tc>
      </w:tr>
      <w:tr w:rsidR="007707BB" w:rsidRPr="00640417" w14:paraId="47FEFF0B" w14:textId="77777777" w:rsidTr="007707BB">
        <w:trPr>
          <w:trHeight w:val="275"/>
          <w:jc w:val="center"/>
        </w:trPr>
        <w:tc>
          <w:tcPr>
            <w:tcW w:w="2520" w:type="dxa"/>
            <w:tcBorders>
              <w:top w:val="single" w:sz="8" w:space="0" w:color="auto"/>
              <w:left w:val="single" w:sz="8" w:space="0" w:color="auto"/>
              <w:bottom w:val="single" w:sz="8" w:space="0" w:color="auto"/>
              <w:right w:val="single" w:sz="8" w:space="0" w:color="auto"/>
            </w:tcBorders>
            <w:shd w:val="clear" w:color="000000" w:fill="FFFFFF"/>
            <w:vAlign w:val="center"/>
          </w:tcPr>
          <w:p w14:paraId="311AD442" w14:textId="77777777" w:rsidR="007707BB" w:rsidRPr="00640417" w:rsidRDefault="007707BB" w:rsidP="007707BB">
            <w:pPr>
              <w:pStyle w:val="ExhibitText"/>
              <w:jc w:val="left"/>
              <w:rPr>
                <w:lang w:val="en-GB"/>
              </w:rPr>
            </w:pPr>
            <w:r w:rsidRPr="00640417">
              <w:rPr>
                <w:lang w:val="en-GB"/>
              </w:rPr>
              <w:t>Capital Work in Progress</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3AC92A88" w14:textId="31B262C5" w:rsidR="007707BB" w:rsidRPr="00640417" w:rsidRDefault="007707BB" w:rsidP="007707BB">
            <w:pPr>
              <w:pStyle w:val="ExhibitText"/>
              <w:jc w:val="right"/>
              <w:rPr>
                <w:lang w:val="en-GB"/>
              </w:rPr>
            </w:pPr>
            <w:r w:rsidRPr="00640417">
              <w:rPr>
                <w:lang w:val="en-GB"/>
              </w:rPr>
              <w:t>647.50</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2EAC631D" w14:textId="33FC50AB" w:rsidR="007707BB" w:rsidRPr="00640417" w:rsidRDefault="007707BB" w:rsidP="007707BB">
            <w:pPr>
              <w:pStyle w:val="ExhibitText"/>
              <w:jc w:val="right"/>
              <w:rPr>
                <w:lang w:val="en-GB"/>
              </w:rPr>
            </w:pPr>
            <w:r w:rsidRPr="00640417">
              <w:rPr>
                <w:lang w:val="en-GB"/>
              </w:rPr>
              <w:t>816.83</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02A1F729" w14:textId="7D1BB264" w:rsidR="007707BB" w:rsidRPr="00640417" w:rsidRDefault="007707BB" w:rsidP="007707BB">
            <w:pPr>
              <w:pStyle w:val="ExhibitText"/>
              <w:jc w:val="right"/>
              <w:rPr>
                <w:lang w:val="en-GB"/>
              </w:rPr>
            </w:pPr>
            <w:r w:rsidRPr="00640417">
              <w:rPr>
                <w:lang w:val="en-GB"/>
              </w:rPr>
              <w:t>76.91</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540202B7" w14:textId="45C580EB" w:rsidR="007707BB" w:rsidRPr="00640417" w:rsidRDefault="007707BB" w:rsidP="007707BB">
            <w:pPr>
              <w:pStyle w:val="ExhibitText"/>
              <w:jc w:val="right"/>
              <w:rPr>
                <w:lang w:val="en-GB"/>
              </w:rPr>
            </w:pPr>
            <w:r w:rsidRPr="00640417">
              <w:rPr>
                <w:lang w:val="en-GB"/>
              </w:rPr>
              <w:t>25.73</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6D4DAB1C" w14:textId="5F99A5FE" w:rsidR="007707BB" w:rsidRPr="00640417" w:rsidRDefault="007707BB" w:rsidP="007707BB">
            <w:pPr>
              <w:pStyle w:val="ExhibitText"/>
              <w:jc w:val="right"/>
              <w:rPr>
                <w:lang w:val="en-GB"/>
              </w:rPr>
            </w:pPr>
            <w:r w:rsidRPr="00640417">
              <w:rPr>
                <w:lang w:val="en-GB"/>
              </w:rPr>
              <w:t>25.56</w:t>
            </w:r>
          </w:p>
        </w:tc>
      </w:tr>
      <w:tr w:rsidR="007707BB" w:rsidRPr="00640417" w14:paraId="3737669F" w14:textId="77777777" w:rsidTr="007707BB">
        <w:trPr>
          <w:trHeight w:val="275"/>
          <w:jc w:val="center"/>
        </w:trPr>
        <w:tc>
          <w:tcPr>
            <w:tcW w:w="2520" w:type="dxa"/>
            <w:tcBorders>
              <w:top w:val="single" w:sz="8" w:space="0" w:color="auto"/>
              <w:left w:val="single" w:sz="8" w:space="0" w:color="auto"/>
              <w:bottom w:val="single" w:sz="8" w:space="0" w:color="auto"/>
              <w:right w:val="single" w:sz="8" w:space="0" w:color="auto"/>
            </w:tcBorders>
            <w:shd w:val="clear" w:color="000000" w:fill="FFFFFF"/>
            <w:vAlign w:val="center"/>
          </w:tcPr>
          <w:p w14:paraId="1C8B2E3A" w14:textId="77777777" w:rsidR="007707BB" w:rsidRPr="00640417" w:rsidRDefault="007707BB" w:rsidP="007707BB">
            <w:pPr>
              <w:pStyle w:val="ExhibitText"/>
              <w:jc w:val="left"/>
              <w:rPr>
                <w:lang w:val="en-GB"/>
              </w:rPr>
            </w:pPr>
            <w:r w:rsidRPr="00640417">
              <w:rPr>
                <w:lang w:val="en-GB"/>
              </w:rPr>
              <w:t>Investments</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686B59B6" w14:textId="2383E254" w:rsidR="007707BB" w:rsidRPr="00640417" w:rsidRDefault="007707BB" w:rsidP="007707BB">
            <w:pPr>
              <w:pStyle w:val="ExhibitText"/>
              <w:jc w:val="right"/>
              <w:rPr>
                <w:lang w:val="en-GB"/>
              </w:rPr>
            </w:pPr>
            <w:r w:rsidRPr="00640417">
              <w:rPr>
                <w:lang w:val="en-GB"/>
              </w:rPr>
              <w:t>58.58</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4203A4E6" w14:textId="71AF81B7" w:rsidR="007707BB" w:rsidRPr="00640417" w:rsidRDefault="007707BB" w:rsidP="007707BB">
            <w:pPr>
              <w:pStyle w:val="ExhibitText"/>
              <w:jc w:val="right"/>
              <w:rPr>
                <w:lang w:val="en-GB"/>
              </w:rPr>
            </w:pPr>
            <w:r w:rsidRPr="00640417">
              <w:rPr>
                <w:lang w:val="en-GB"/>
              </w:rPr>
              <w:t>27.88</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2A755618" w14:textId="2A9794D9" w:rsidR="007707BB" w:rsidRPr="00640417" w:rsidRDefault="007707BB" w:rsidP="007707BB">
            <w:pPr>
              <w:pStyle w:val="ExhibitText"/>
              <w:jc w:val="right"/>
              <w:rPr>
                <w:lang w:val="en-GB"/>
              </w:rPr>
            </w:pPr>
            <w:r w:rsidRPr="00640417">
              <w:rPr>
                <w:lang w:val="en-GB"/>
              </w:rPr>
              <w:t>28.32</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63AD4A21" w14:textId="44EF9A5A" w:rsidR="007707BB" w:rsidRPr="00640417" w:rsidRDefault="007707BB" w:rsidP="007707BB">
            <w:pPr>
              <w:pStyle w:val="ExhibitText"/>
              <w:jc w:val="right"/>
              <w:rPr>
                <w:lang w:val="en-GB"/>
              </w:rPr>
            </w:pPr>
            <w:r w:rsidRPr="00640417">
              <w:rPr>
                <w:lang w:val="en-GB"/>
              </w:rPr>
              <w:t>28.89</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227929C2" w14:textId="265AC6B7" w:rsidR="007707BB" w:rsidRPr="00640417" w:rsidRDefault="007707BB" w:rsidP="007707BB">
            <w:pPr>
              <w:pStyle w:val="ExhibitText"/>
              <w:jc w:val="right"/>
              <w:rPr>
                <w:lang w:val="en-GB"/>
              </w:rPr>
            </w:pPr>
            <w:r w:rsidRPr="00640417">
              <w:rPr>
                <w:lang w:val="en-GB"/>
              </w:rPr>
              <w:t>28.41</w:t>
            </w:r>
          </w:p>
        </w:tc>
      </w:tr>
      <w:tr w:rsidR="007707BB" w:rsidRPr="00640417" w14:paraId="328A0202" w14:textId="77777777" w:rsidTr="007707BB">
        <w:trPr>
          <w:trHeight w:val="275"/>
          <w:jc w:val="center"/>
        </w:trPr>
        <w:tc>
          <w:tcPr>
            <w:tcW w:w="2520" w:type="dxa"/>
            <w:tcBorders>
              <w:top w:val="single" w:sz="8" w:space="0" w:color="auto"/>
              <w:left w:val="single" w:sz="8" w:space="0" w:color="auto"/>
              <w:bottom w:val="single" w:sz="8" w:space="0" w:color="auto"/>
              <w:right w:val="single" w:sz="8" w:space="0" w:color="auto"/>
            </w:tcBorders>
            <w:shd w:val="clear" w:color="000000" w:fill="FFFFFF"/>
            <w:vAlign w:val="center"/>
          </w:tcPr>
          <w:p w14:paraId="6368BF58" w14:textId="77777777" w:rsidR="007707BB" w:rsidRPr="00640417" w:rsidRDefault="007707BB" w:rsidP="007707BB">
            <w:pPr>
              <w:pStyle w:val="ExhibitText"/>
              <w:jc w:val="left"/>
              <w:rPr>
                <w:lang w:val="en-GB"/>
              </w:rPr>
            </w:pPr>
            <w:r w:rsidRPr="00640417">
              <w:rPr>
                <w:lang w:val="en-GB"/>
              </w:rPr>
              <w:t>Inventories</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124E21D1" w14:textId="158E844A" w:rsidR="007707BB" w:rsidRPr="00640417" w:rsidRDefault="007707BB" w:rsidP="007707BB">
            <w:pPr>
              <w:pStyle w:val="ExhibitText"/>
              <w:jc w:val="right"/>
              <w:rPr>
                <w:lang w:val="en-GB"/>
              </w:rPr>
            </w:pPr>
            <w:r w:rsidRPr="00640417">
              <w:rPr>
                <w:lang w:val="en-GB"/>
              </w:rPr>
              <w:t>272.14</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608049A3" w14:textId="75104243" w:rsidR="007707BB" w:rsidRPr="00640417" w:rsidRDefault="007707BB" w:rsidP="007707BB">
            <w:pPr>
              <w:pStyle w:val="ExhibitText"/>
              <w:jc w:val="right"/>
              <w:rPr>
                <w:lang w:val="en-GB"/>
              </w:rPr>
            </w:pPr>
            <w:r w:rsidRPr="00640417">
              <w:rPr>
                <w:lang w:val="en-GB"/>
              </w:rPr>
              <w:t>351.45</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7DDA9B54" w14:textId="14361FAD" w:rsidR="007707BB" w:rsidRPr="00640417" w:rsidRDefault="007707BB" w:rsidP="007707BB">
            <w:pPr>
              <w:pStyle w:val="ExhibitText"/>
              <w:jc w:val="right"/>
              <w:rPr>
                <w:lang w:val="en-GB"/>
              </w:rPr>
            </w:pPr>
            <w:r w:rsidRPr="00640417">
              <w:rPr>
                <w:lang w:val="en-GB"/>
              </w:rPr>
              <w:t>450.46</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00E04860" w14:textId="37014683" w:rsidR="007707BB" w:rsidRPr="00640417" w:rsidRDefault="007707BB" w:rsidP="007707BB">
            <w:pPr>
              <w:pStyle w:val="ExhibitText"/>
              <w:jc w:val="right"/>
              <w:rPr>
                <w:lang w:val="en-GB"/>
              </w:rPr>
            </w:pPr>
            <w:r w:rsidRPr="00640417">
              <w:rPr>
                <w:lang w:val="en-GB"/>
              </w:rPr>
              <w:t>546.07</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44818E27" w14:textId="4C6CF829" w:rsidR="007707BB" w:rsidRPr="00640417" w:rsidRDefault="007707BB" w:rsidP="007707BB">
            <w:pPr>
              <w:pStyle w:val="ExhibitText"/>
              <w:jc w:val="right"/>
              <w:rPr>
                <w:lang w:val="en-GB"/>
              </w:rPr>
            </w:pPr>
            <w:r w:rsidRPr="00640417">
              <w:rPr>
                <w:lang w:val="en-GB"/>
              </w:rPr>
              <w:t>550.81</w:t>
            </w:r>
          </w:p>
        </w:tc>
      </w:tr>
      <w:tr w:rsidR="007707BB" w:rsidRPr="00640417" w14:paraId="264490EB" w14:textId="77777777" w:rsidTr="007707BB">
        <w:trPr>
          <w:trHeight w:val="275"/>
          <w:jc w:val="center"/>
        </w:trPr>
        <w:tc>
          <w:tcPr>
            <w:tcW w:w="2520" w:type="dxa"/>
            <w:tcBorders>
              <w:top w:val="single" w:sz="8" w:space="0" w:color="auto"/>
              <w:left w:val="single" w:sz="8" w:space="0" w:color="auto"/>
              <w:bottom w:val="single" w:sz="8" w:space="0" w:color="auto"/>
              <w:right w:val="single" w:sz="8" w:space="0" w:color="auto"/>
            </w:tcBorders>
            <w:shd w:val="clear" w:color="000000" w:fill="FFFFFF"/>
            <w:vAlign w:val="center"/>
          </w:tcPr>
          <w:p w14:paraId="737BDD31" w14:textId="77777777" w:rsidR="007707BB" w:rsidRPr="00640417" w:rsidRDefault="007707BB" w:rsidP="007707BB">
            <w:pPr>
              <w:pStyle w:val="ExhibitText"/>
              <w:jc w:val="left"/>
              <w:rPr>
                <w:lang w:val="en-GB"/>
              </w:rPr>
            </w:pPr>
            <w:r w:rsidRPr="00640417">
              <w:rPr>
                <w:lang w:val="en-GB"/>
              </w:rPr>
              <w:t>Sundry Debtors</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2F5EFD29" w14:textId="1775C135" w:rsidR="007707BB" w:rsidRPr="00640417" w:rsidRDefault="007707BB" w:rsidP="007707BB">
            <w:pPr>
              <w:pStyle w:val="ExhibitText"/>
              <w:jc w:val="right"/>
              <w:rPr>
                <w:lang w:val="en-GB"/>
              </w:rPr>
            </w:pPr>
            <w:r w:rsidRPr="00640417">
              <w:rPr>
                <w:lang w:val="en-GB"/>
              </w:rPr>
              <w:t>176.62</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76E0CBC8" w14:textId="0BCAFD0E" w:rsidR="007707BB" w:rsidRPr="00640417" w:rsidRDefault="007707BB" w:rsidP="007707BB">
            <w:pPr>
              <w:pStyle w:val="ExhibitText"/>
              <w:jc w:val="right"/>
              <w:rPr>
                <w:lang w:val="en-GB"/>
              </w:rPr>
            </w:pPr>
            <w:r w:rsidRPr="00640417">
              <w:rPr>
                <w:lang w:val="en-GB"/>
              </w:rPr>
              <w:t>203.56</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1B7F81EF" w14:textId="7B69F753" w:rsidR="007707BB" w:rsidRPr="00640417" w:rsidRDefault="007707BB" w:rsidP="007707BB">
            <w:pPr>
              <w:pStyle w:val="ExhibitText"/>
              <w:jc w:val="right"/>
              <w:rPr>
                <w:lang w:val="en-GB"/>
              </w:rPr>
            </w:pPr>
            <w:r w:rsidRPr="00640417">
              <w:rPr>
                <w:lang w:val="en-GB"/>
              </w:rPr>
              <w:t>250.94</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785E7E61" w14:textId="46FAE4EF" w:rsidR="007707BB" w:rsidRPr="00640417" w:rsidRDefault="007707BB" w:rsidP="007707BB">
            <w:pPr>
              <w:pStyle w:val="ExhibitText"/>
              <w:jc w:val="right"/>
              <w:rPr>
                <w:lang w:val="en-GB"/>
              </w:rPr>
            </w:pPr>
            <w:r w:rsidRPr="00640417">
              <w:rPr>
                <w:lang w:val="en-GB"/>
              </w:rPr>
              <w:t>318.17</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71E1922A" w14:textId="42527A79" w:rsidR="007707BB" w:rsidRPr="00640417" w:rsidRDefault="007707BB" w:rsidP="007707BB">
            <w:pPr>
              <w:pStyle w:val="ExhibitText"/>
              <w:jc w:val="right"/>
              <w:rPr>
                <w:lang w:val="en-GB"/>
              </w:rPr>
            </w:pPr>
            <w:r w:rsidRPr="00640417">
              <w:rPr>
                <w:lang w:val="en-GB"/>
              </w:rPr>
              <w:t>281.56</w:t>
            </w:r>
          </w:p>
        </w:tc>
      </w:tr>
      <w:tr w:rsidR="007707BB" w:rsidRPr="00640417" w14:paraId="26675E7D" w14:textId="77777777" w:rsidTr="007707BB">
        <w:trPr>
          <w:trHeight w:val="275"/>
          <w:jc w:val="center"/>
        </w:trPr>
        <w:tc>
          <w:tcPr>
            <w:tcW w:w="2520" w:type="dxa"/>
            <w:tcBorders>
              <w:top w:val="single" w:sz="8" w:space="0" w:color="auto"/>
              <w:left w:val="single" w:sz="8" w:space="0" w:color="auto"/>
              <w:bottom w:val="single" w:sz="8" w:space="0" w:color="auto"/>
              <w:right w:val="single" w:sz="8" w:space="0" w:color="auto"/>
            </w:tcBorders>
            <w:shd w:val="clear" w:color="000000" w:fill="FFFFFF"/>
            <w:vAlign w:val="center"/>
          </w:tcPr>
          <w:p w14:paraId="2F785D51" w14:textId="77777777" w:rsidR="007707BB" w:rsidRPr="00640417" w:rsidRDefault="007707BB" w:rsidP="007707BB">
            <w:pPr>
              <w:pStyle w:val="ExhibitText"/>
              <w:jc w:val="left"/>
              <w:rPr>
                <w:lang w:val="en-GB"/>
              </w:rPr>
            </w:pPr>
            <w:r w:rsidRPr="00640417">
              <w:rPr>
                <w:lang w:val="en-GB"/>
              </w:rPr>
              <w:t>Cash and Bank Balance</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5671BC5E" w14:textId="1B81DC2F" w:rsidR="007707BB" w:rsidRPr="00640417" w:rsidRDefault="007707BB" w:rsidP="007707BB">
            <w:pPr>
              <w:pStyle w:val="ExhibitText"/>
              <w:jc w:val="right"/>
              <w:rPr>
                <w:lang w:val="en-GB"/>
              </w:rPr>
            </w:pPr>
            <w:r w:rsidRPr="00640417">
              <w:rPr>
                <w:lang w:val="en-GB"/>
              </w:rPr>
              <w:t>62.35</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1BFE046A" w14:textId="055AA72E" w:rsidR="007707BB" w:rsidRPr="00640417" w:rsidRDefault="007707BB" w:rsidP="007707BB">
            <w:pPr>
              <w:pStyle w:val="ExhibitText"/>
              <w:jc w:val="right"/>
              <w:rPr>
                <w:lang w:val="en-GB"/>
              </w:rPr>
            </w:pPr>
            <w:r w:rsidRPr="00640417">
              <w:rPr>
                <w:lang w:val="en-GB"/>
              </w:rPr>
              <w:t>51.31</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2C8080E8" w14:textId="2B42364C" w:rsidR="007707BB" w:rsidRPr="00640417" w:rsidRDefault="007707BB" w:rsidP="007707BB">
            <w:pPr>
              <w:pStyle w:val="ExhibitText"/>
              <w:jc w:val="right"/>
              <w:rPr>
                <w:lang w:val="en-GB"/>
              </w:rPr>
            </w:pPr>
            <w:r w:rsidRPr="00640417">
              <w:rPr>
                <w:lang w:val="en-GB"/>
              </w:rPr>
              <w:t>27.37</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51D0D20A" w14:textId="222D7A65" w:rsidR="007707BB" w:rsidRPr="00640417" w:rsidRDefault="007707BB" w:rsidP="007707BB">
            <w:pPr>
              <w:pStyle w:val="ExhibitText"/>
              <w:jc w:val="right"/>
              <w:rPr>
                <w:lang w:val="en-GB"/>
              </w:rPr>
            </w:pPr>
            <w:r w:rsidRPr="00640417">
              <w:rPr>
                <w:lang w:val="en-GB"/>
              </w:rPr>
              <w:t>14.63</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37A0AD04" w14:textId="0C76B1CB" w:rsidR="007707BB" w:rsidRPr="00640417" w:rsidRDefault="007707BB" w:rsidP="007707BB">
            <w:pPr>
              <w:pStyle w:val="ExhibitText"/>
              <w:jc w:val="right"/>
              <w:rPr>
                <w:lang w:val="en-GB"/>
              </w:rPr>
            </w:pPr>
            <w:r w:rsidRPr="00640417">
              <w:rPr>
                <w:lang w:val="en-GB"/>
              </w:rPr>
              <w:t>8.11</w:t>
            </w:r>
          </w:p>
        </w:tc>
      </w:tr>
      <w:tr w:rsidR="007707BB" w:rsidRPr="00640417" w14:paraId="3DA4FC07" w14:textId="77777777" w:rsidTr="007707BB">
        <w:trPr>
          <w:trHeight w:val="275"/>
          <w:jc w:val="center"/>
        </w:trPr>
        <w:tc>
          <w:tcPr>
            <w:tcW w:w="2520" w:type="dxa"/>
            <w:tcBorders>
              <w:top w:val="single" w:sz="8" w:space="0" w:color="auto"/>
              <w:left w:val="single" w:sz="8" w:space="0" w:color="auto"/>
              <w:bottom w:val="single" w:sz="8" w:space="0" w:color="auto"/>
              <w:right w:val="single" w:sz="8" w:space="0" w:color="auto"/>
            </w:tcBorders>
            <w:shd w:val="clear" w:color="000000" w:fill="FFFFFF"/>
            <w:vAlign w:val="center"/>
          </w:tcPr>
          <w:p w14:paraId="66A0B0D5" w14:textId="77777777" w:rsidR="007707BB" w:rsidRPr="00640417" w:rsidRDefault="007707BB" w:rsidP="007707BB">
            <w:pPr>
              <w:pStyle w:val="ExhibitText"/>
              <w:jc w:val="left"/>
              <w:rPr>
                <w:lang w:val="en-GB"/>
              </w:rPr>
            </w:pPr>
            <w:r w:rsidRPr="00640417">
              <w:rPr>
                <w:lang w:val="en-GB"/>
              </w:rPr>
              <w:t>Total Current Assets</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0F23A3DC" w14:textId="5FE8A6F4" w:rsidR="007707BB" w:rsidRPr="00640417" w:rsidRDefault="007707BB" w:rsidP="007707BB">
            <w:pPr>
              <w:pStyle w:val="ExhibitText"/>
              <w:jc w:val="right"/>
              <w:rPr>
                <w:lang w:val="en-GB"/>
              </w:rPr>
            </w:pPr>
            <w:r w:rsidRPr="00640417">
              <w:rPr>
                <w:lang w:val="en-GB"/>
              </w:rPr>
              <w:t>511.12</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31D5BD32" w14:textId="01CC3FD2" w:rsidR="007707BB" w:rsidRPr="00640417" w:rsidRDefault="007707BB" w:rsidP="007707BB">
            <w:pPr>
              <w:pStyle w:val="ExhibitText"/>
              <w:jc w:val="right"/>
              <w:rPr>
                <w:lang w:val="en-GB"/>
              </w:rPr>
            </w:pPr>
            <w:r w:rsidRPr="00640417">
              <w:rPr>
                <w:lang w:val="en-GB"/>
              </w:rPr>
              <w:t>606.32</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5A6D517F" w14:textId="2629C0ED" w:rsidR="007707BB" w:rsidRPr="00640417" w:rsidRDefault="007707BB" w:rsidP="007707BB">
            <w:pPr>
              <w:pStyle w:val="ExhibitText"/>
              <w:jc w:val="right"/>
              <w:rPr>
                <w:lang w:val="en-GB"/>
              </w:rPr>
            </w:pPr>
            <w:r w:rsidRPr="00640417">
              <w:rPr>
                <w:lang w:val="en-GB"/>
              </w:rPr>
              <w:t>728.77</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29F12372" w14:textId="45BD38CD" w:rsidR="007707BB" w:rsidRPr="00640417" w:rsidRDefault="007707BB" w:rsidP="007707BB">
            <w:pPr>
              <w:pStyle w:val="ExhibitText"/>
              <w:jc w:val="right"/>
              <w:rPr>
                <w:lang w:val="en-GB"/>
              </w:rPr>
            </w:pPr>
            <w:r w:rsidRPr="00640417">
              <w:rPr>
                <w:lang w:val="en-GB"/>
              </w:rPr>
              <w:t>878.87</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3DACC9E6" w14:textId="5868A1B0" w:rsidR="007707BB" w:rsidRPr="00640417" w:rsidRDefault="007707BB" w:rsidP="007707BB">
            <w:pPr>
              <w:pStyle w:val="ExhibitText"/>
              <w:jc w:val="right"/>
              <w:rPr>
                <w:lang w:val="en-GB"/>
              </w:rPr>
            </w:pPr>
            <w:r w:rsidRPr="00640417">
              <w:rPr>
                <w:lang w:val="en-GB"/>
              </w:rPr>
              <w:t>840.48</w:t>
            </w:r>
          </w:p>
        </w:tc>
      </w:tr>
      <w:tr w:rsidR="007707BB" w:rsidRPr="00640417" w14:paraId="11070CE0" w14:textId="77777777" w:rsidTr="007707BB">
        <w:trPr>
          <w:trHeight w:val="275"/>
          <w:jc w:val="center"/>
        </w:trPr>
        <w:tc>
          <w:tcPr>
            <w:tcW w:w="2520" w:type="dxa"/>
            <w:tcBorders>
              <w:top w:val="single" w:sz="8" w:space="0" w:color="auto"/>
              <w:left w:val="single" w:sz="8" w:space="0" w:color="auto"/>
              <w:bottom w:val="single" w:sz="8" w:space="0" w:color="auto"/>
              <w:right w:val="single" w:sz="8" w:space="0" w:color="auto"/>
            </w:tcBorders>
            <w:shd w:val="clear" w:color="000000" w:fill="FFFFFF"/>
            <w:vAlign w:val="center"/>
          </w:tcPr>
          <w:p w14:paraId="7D656557" w14:textId="77777777" w:rsidR="007707BB" w:rsidRPr="00640417" w:rsidRDefault="007707BB" w:rsidP="007707BB">
            <w:pPr>
              <w:pStyle w:val="ExhibitText"/>
              <w:jc w:val="left"/>
              <w:rPr>
                <w:lang w:val="en-GB"/>
              </w:rPr>
            </w:pPr>
            <w:r w:rsidRPr="00640417">
              <w:rPr>
                <w:lang w:val="en-GB"/>
              </w:rPr>
              <w:t>Loans and Advances</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13B75A17" w14:textId="7B59BB19" w:rsidR="007707BB" w:rsidRPr="00640417" w:rsidRDefault="007707BB" w:rsidP="007707BB">
            <w:pPr>
              <w:pStyle w:val="ExhibitText"/>
              <w:jc w:val="right"/>
              <w:rPr>
                <w:lang w:val="en-GB"/>
              </w:rPr>
            </w:pPr>
            <w:r w:rsidRPr="00640417">
              <w:rPr>
                <w:lang w:val="en-GB"/>
              </w:rPr>
              <w:t>177.17</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63C1F8BA" w14:textId="13B8FFEF" w:rsidR="007707BB" w:rsidRPr="00640417" w:rsidRDefault="007707BB" w:rsidP="007707BB">
            <w:pPr>
              <w:pStyle w:val="ExhibitText"/>
              <w:jc w:val="right"/>
              <w:rPr>
                <w:lang w:val="en-GB"/>
              </w:rPr>
            </w:pPr>
            <w:r w:rsidRPr="00640417">
              <w:rPr>
                <w:lang w:val="en-GB"/>
              </w:rPr>
              <w:t>205.13</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553339F7" w14:textId="2ADB0A3B" w:rsidR="007707BB" w:rsidRPr="00640417" w:rsidRDefault="007707BB" w:rsidP="007707BB">
            <w:pPr>
              <w:pStyle w:val="ExhibitText"/>
              <w:jc w:val="right"/>
              <w:rPr>
                <w:lang w:val="en-GB"/>
              </w:rPr>
            </w:pPr>
            <w:r w:rsidRPr="00640417">
              <w:rPr>
                <w:lang w:val="en-GB"/>
              </w:rPr>
              <w:t>217.47</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7562E266" w14:textId="0738EE96" w:rsidR="007707BB" w:rsidRPr="00640417" w:rsidRDefault="007707BB" w:rsidP="007707BB">
            <w:pPr>
              <w:pStyle w:val="ExhibitText"/>
              <w:jc w:val="right"/>
              <w:rPr>
                <w:lang w:val="en-GB"/>
              </w:rPr>
            </w:pPr>
            <w:r w:rsidRPr="00640417">
              <w:rPr>
                <w:lang w:val="en-GB"/>
              </w:rPr>
              <w:t>186.39</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35EDC1C7" w14:textId="170B521E" w:rsidR="007707BB" w:rsidRPr="00640417" w:rsidRDefault="007707BB" w:rsidP="007707BB">
            <w:pPr>
              <w:pStyle w:val="ExhibitText"/>
              <w:jc w:val="right"/>
              <w:rPr>
                <w:lang w:val="en-GB"/>
              </w:rPr>
            </w:pPr>
            <w:r w:rsidRPr="00640417">
              <w:rPr>
                <w:lang w:val="en-GB"/>
              </w:rPr>
              <w:t>148.05</w:t>
            </w:r>
          </w:p>
        </w:tc>
      </w:tr>
      <w:tr w:rsidR="007707BB" w:rsidRPr="00640417" w14:paraId="6C4DE5D8" w14:textId="77777777" w:rsidTr="007707BB">
        <w:trPr>
          <w:trHeight w:val="275"/>
          <w:jc w:val="center"/>
        </w:trPr>
        <w:tc>
          <w:tcPr>
            <w:tcW w:w="2520" w:type="dxa"/>
            <w:tcBorders>
              <w:top w:val="single" w:sz="8" w:space="0" w:color="auto"/>
              <w:left w:val="single" w:sz="8" w:space="0" w:color="auto"/>
              <w:bottom w:val="single" w:sz="8" w:space="0" w:color="auto"/>
              <w:right w:val="single" w:sz="8" w:space="0" w:color="auto"/>
            </w:tcBorders>
            <w:shd w:val="clear" w:color="000000" w:fill="FFFFFF"/>
            <w:vAlign w:val="center"/>
          </w:tcPr>
          <w:p w14:paraId="5685A4F9" w14:textId="77777777" w:rsidR="007707BB" w:rsidRPr="00640417" w:rsidRDefault="007707BB" w:rsidP="007707BB">
            <w:pPr>
              <w:pStyle w:val="ExhibitText"/>
              <w:jc w:val="left"/>
              <w:rPr>
                <w:lang w:val="en-GB"/>
              </w:rPr>
            </w:pPr>
            <w:r w:rsidRPr="00640417">
              <w:rPr>
                <w:lang w:val="en-GB"/>
              </w:rPr>
              <w:t>Fixed Deposits</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5320E15D" w14:textId="3C6BB3D4" w:rsidR="007707BB" w:rsidRPr="00640417" w:rsidRDefault="007707BB" w:rsidP="007707BB">
            <w:pPr>
              <w:pStyle w:val="ExhibitText"/>
              <w:jc w:val="right"/>
              <w:rPr>
                <w:lang w:val="en-GB"/>
              </w:rPr>
            </w:pPr>
            <w:r w:rsidRPr="00640417">
              <w:rPr>
                <w:lang w:val="en-GB"/>
              </w:rPr>
              <w:t>52.23</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17705066" w14:textId="3B3F207C" w:rsidR="007707BB" w:rsidRPr="00640417" w:rsidRDefault="007707BB" w:rsidP="007707BB">
            <w:pPr>
              <w:pStyle w:val="ExhibitText"/>
              <w:jc w:val="right"/>
              <w:rPr>
                <w:lang w:val="en-GB"/>
              </w:rPr>
            </w:pPr>
            <w:r w:rsidRPr="00640417">
              <w:rPr>
                <w:lang w:val="en-GB"/>
              </w:rPr>
              <w:t>0.00</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21AB0D95" w14:textId="302453E0" w:rsidR="007707BB" w:rsidRPr="00640417" w:rsidRDefault="007707BB" w:rsidP="007707BB">
            <w:pPr>
              <w:pStyle w:val="ExhibitText"/>
              <w:jc w:val="right"/>
              <w:rPr>
                <w:lang w:val="en-GB"/>
              </w:rPr>
            </w:pPr>
            <w:r w:rsidRPr="00640417">
              <w:rPr>
                <w:lang w:val="en-GB"/>
              </w:rPr>
              <w:t>0.00</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6FA558D3" w14:textId="2E25A95D" w:rsidR="007707BB" w:rsidRPr="00640417" w:rsidRDefault="007707BB" w:rsidP="007707BB">
            <w:pPr>
              <w:pStyle w:val="ExhibitText"/>
              <w:jc w:val="right"/>
              <w:rPr>
                <w:lang w:val="en-GB"/>
              </w:rPr>
            </w:pPr>
            <w:r w:rsidRPr="00640417">
              <w:rPr>
                <w:lang w:val="en-GB"/>
              </w:rPr>
              <w:t>0.00</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6016B5C1" w14:textId="20983083" w:rsidR="007707BB" w:rsidRPr="00640417" w:rsidRDefault="007707BB" w:rsidP="007707BB">
            <w:pPr>
              <w:pStyle w:val="ExhibitText"/>
              <w:jc w:val="right"/>
              <w:rPr>
                <w:lang w:val="en-GB"/>
              </w:rPr>
            </w:pPr>
            <w:r w:rsidRPr="00640417">
              <w:rPr>
                <w:lang w:val="en-GB"/>
              </w:rPr>
              <w:t>0.00</w:t>
            </w:r>
          </w:p>
        </w:tc>
      </w:tr>
      <w:tr w:rsidR="007707BB" w:rsidRPr="00640417" w14:paraId="04207509" w14:textId="77777777" w:rsidTr="007707BB">
        <w:trPr>
          <w:trHeight w:val="275"/>
          <w:jc w:val="center"/>
        </w:trPr>
        <w:tc>
          <w:tcPr>
            <w:tcW w:w="2520" w:type="dxa"/>
            <w:tcBorders>
              <w:top w:val="single" w:sz="8" w:space="0" w:color="auto"/>
              <w:left w:val="single" w:sz="8" w:space="0" w:color="auto"/>
              <w:bottom w:val="single" w:sz="8" w:space="0" w:color="auto"/>
              <w:right w:val="single" w:sz="8" w:space="0" w:color="auto"/>
            </w:tcBorders>
            <w:shd w:val="clear" w:color="000000" w:fill="FFFFFF"/>
            <w:vAlign w:val="center"/>
          </w:tcPr>
          <w:p w14:paraId="03777FB7" w14:textId="77777777" w:rsidR="007707BB" w:rsidRPr="00640417" w:rsidRDefault="007707BB" w:rsidP="007707BB">
            <w:pPr>
              <w:pStyle w:val="ExhibitText"/>
              <w:jc w:val="left"/>
              <w:rPr>
                <w:lang w:val="en-GB"/>
              </w:rPr>
            </w:pPr>
            <w:r w:rsidRPr="00640417">
              <w:rPr>
                <w:lang w:val="en-GB"/>
              </w:rPr>
              <w:t>Total</w:t>
            </w:r>
            <w:r>
              <w:rPr>
                <w:lang w:val="en-GB"/>
              </w:rPr>
              <w:t xml:space="preserve"> Current Assets</w:t>
            </w:r>
            <w:r w:rsidRPr="00640417">
              <w:rPr>
                <w:lang w:val="en-GB"/>
              </w:rPr>
              <w:t>, Loans</w:t>
            </w:r>
            <w:r>
              <w:rPr>
                <w:lang w:val="en-GB"/>
              </w:rPr>
              <w:t>,</w:t>
            </w:r>
            <w:r w:rsidRPr="00640417">
              <w:rPr>
                <w:lang w:val="en-GB"/>
              </w:rPr>
              <w:t xml:space="preserve"> </w:t>
            </w:r>
            <w:r>
              <w:rPr>
                <w:lang w:val="en-GB"/>
              </w:rPr>
              <w:t xml:space="preserve">and </w:t>
            </w:r>
            <w:r w:rsidRPr="00640417">
              <w:rPr>
                <w:lang w:val="en-GB"/>
              </w:rPr>
              <w:t>Advances</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56110BE7" w14:textId="0ADEAEB3" w:rsidR="007707BB" w:rsidRPr="00640417" w:rsidRDefault="007707BB" w:rsidP="007707BB">
            <w:pPr>
              <w:pStyle w:val="ExhibitText"/>
              <w:jc w:val="right"/>
              <w:rPr>
                <w:lang w:val="en-GB"/>
              </w:rPr>
            </w:pPr>
            <w:r w:rsidRPr="00640417">
              <w:rPr>
                <w:lang w:val="en-GB"/>
              </w:rPr>
              <w:t>740.52</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22481D29" w14:textId="7FCE096A" w:rsidR="007707BB" w:rsidRPr="00640417" w:rsidRDefault="007707BB" w:rsidP="007707BB">
            <w:pPr>
              <w:pStyle w:val="ExhibitText"/>
              <w:jc w:val="right"/>
              <w:rPr>
                <w:lang w:val="en-GB"/>
              </w:rPr>
            </w:pPr>
            <w:r w:rsidRPr="00640417">
              <w:rPr>
                <w:lang w:val="en-GB"/>
              </w:rPr>
              <w:t>811.44</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1737D02E" w14:textId="7CB27510" w:rsidR="007707BB" w:rsidRPr="00640417" w:rsidRDefault="007707BB" w:rsidP="007707BB">
            <w:pPr>
              <w:pStyle w:val="ExhibitText"/>
              <w:jc w:val="right"/>
              <w:rPr>
                <w:lang w:val="en-GB"/>
              </w:rPr>
            </w:pPr>
            <w:r w:rsidRPr="00640417">
              <w:rPr>
                <w:lang w:val="en-GB"/>
              </w:rPr>
              <w:t>946.24</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78DB4CC1" w14:textId="75DF2973" w:rsidR="007707BB" w:rsidRPr="00640417" w:rsidRDefault="007707BB" w:rsidP="007707BB">
            <w:pPr>
              <w:pStyle w:val="ExhibitText"/>
              <w:jc w:val="right"/>
              <w:rPr>
                <w:lang w:val="en-GB"/>
              </w:rPr>
            </w:pPr>
            <w:r w:rsidRPr="00640417">
              <w:rPr>
                <w:lang w:val="en-GB"/>
              </w:rPr>
              <w:t>1,065.26</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1A6B46DB" w14:textId="0931029F" w:rsidR="007707BB" w:rsidRPr="00640417" w:rsidRDefault="007707BB" w:rsidP="007707BB">
            <w:pPr>
              <w:pStyle w:val="ExhibitText"/>
              <w:jc w:val="right"/>
              <w:rPr>
                <w:lang w:val="en-GB"/>
              </w:rPr>
            </w:pPr>
            <w:r w:rsidRPr="00640417">
              <w:rPr>
                <w:lang w:val="en-GB"/>
              </w:rPr>
              <w:t>988.53</w:t>
            </w:r>
          </w:p>
        </w:tc>
      </w:tr>
      <w:tr w:rsidR="007707BB" w:rsidRPr="00640417" w14:paraId="60351FB2" w14:textId="77777777" w:rsidTr="007707BB">
        <w:trPr>
          <w:trHeight w:val="275"/>
          <w:jc w:val="center"/>
        </w:trPr>
        <w:tc>
          <w:tcPr>
            <w:tcW w:w="2520" w:type="dxa"/>
            <w:tcBorders>
              <w:top w:val="single" w:sz="8" w:space="0" w:color="auto"/>
              <w:left w:val="single" w:sz="8" w:space="0" w:color="auto"/>
              <w:bottom w:val="single" w:sz="8" w:space="0" w:color="auto"/>
              <w:right w:val="single" w:sz="8" w:space="0" w:color="auto"/>
            </w:tcBorders>
            <w:shd w:val="clear" w:color="000000" w:fill="FFFFFF"/>
            <w:vAlign w:val="center"/>
          </w:tcPr>
          <w:p w14:paraId="6C368A12" w14:textId="77777777" w:rsidR="007707BB" w:rsidRPr="00640417" w:rsidRDefault="007707BB" w:rsidP="007707BB">
            <w:pPr>
              <w:pStyle w:val="ExhibitText"/>
              <w:jc w:val="left"/>
              <w:rPr>
                <w:lang w:val="en-GB"/>
              </w:rPr>
            </w:pPr>
            <w:r w:rsidRPr="00640417">
              <w:rPr>
                <w:lang w:val="en-GB"/>
              </w:rPr>
              <w:t>Deferred Credit</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64BB0056" w14:textId="1BE0C4F9" w:rsidR="007707BB" w:rsidRPr="00640417" w:rsidRDefault="007707BB" w:rsidP="007707BB">
            <w:pPr>
              <w:pStyle w:val="ExhibitText"/>
              <w:jc w:val="right"/>
              <w:rPr>
                <w:lang w:val="en-GB"/>
              </w:rPr>
            </w:pPr>
            <w:r w:rsidRPr="00640417">
              <w:rPr>
                <w:lang w:val="en-GB"/>
              </w:rPr>
              <w:t>0.00</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0B0DA887" w14:textId="1E4C1594" w:rsidR="007707BB" w:rsidRPr="00640417" w:rsidRDefault="007707BB" w:rsidP="007707BB">
            <w:pPr>
              <w:pStyle w:val="ExhibitText"/>
              <w:jc w:val="right"/>
              <w:rPr>
                <w:lang w:val="en-GB"/>
              </w:rPr>
            </w:pPr>
            <w:r w:rsidRPr="00640417">
              <w:rPr>
                <w:lang w:val="en-GB"/>
              </w:rPr>
              <w:t>0.00</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78867238" w14:textId="6541EBF5" w:rsidR="007707BB" w:rsidRPr="00640417" w:rsidRDefault="007707BB" w:rsidP="007707BB">
            <w:pPr>
              <w:pStyle w:val="ExhibitText"/>
              <w:jc w:val="right"/>
              <w:rPr>
                <w:lang w:val="en-GB"/>
              </w:rPr>
            </w:pPr>
            <w:r w:rsidRPr="00640417">
              <w:rPr>
                <w:lang w:val="en-GB"/>
              </w:rPr>
              <w:t>0.00</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332A6BCA" w14:textId="0D462AB9" w:rsidR="007707BB" w:rsidRPr="00640417" w:rsidRDefault="007707BB" w:rsidP="007707BB">
            <w:pPr>
              <w:pStyle w:val="ExhibitText"/>
              <w:jc w:val="right"/>
              <w:rPr>
                <w:lang w:val="en-GB"/>
              </w:rPr>
            </w:pPr>
            <w:r w:rsidRPr="00640417">
              <w:rPr>
                <w:lang w:val="en-GB"/>
              </w:rPr>
              <w:t>0.00</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035BD066" w14:textId="48C98247" w:rsidR="007707BB" w:rsidRPr="00640417" w:rsidRDefault="007707BB" w:rsidP="007707BB">
            <w:pPr>
              <w:pStyle w:val="ExhibitText"/>
              <w:jc w:val="right"/>
              <w:rPr>
                <w:lang w:val="en-GB"/>
              </w:rPr>
            </w:pPr>
            <w:r w:rsidRPr="00640417">
              <w:rPr>
                <w:lang w:val="en-GB"/>
              </w:rPr>
              <w:t>0.00</w:t>
            </w:r>
          </w:p>
        </w:tc>
      </w:tr>
      <w:tr w:rsidR="007707BB" w:rsidRPr="00640417" w14:paraId="69575D9E" w14:textId="77777777" w:rsidTr="007707BB">
        <w:trPr>
          <w:trHeight w:val="275"/>
          <w:jc w:val="center"/>
        </w:trPr>
        <w:tc>
          <w:tcPr>
            <w:tcW w:w="2520" w:type="dxa"/>
            <w:tcBorders>
              <w:top w:val="single" w:sz="8" w:space="0" w:color="auto"/>
              <w:left w:val="single" w:sz="8" w:space="0" w:color="auto"/>
              <w:bottom w:val="single" w:sz="8" w:space="0" w:color="auto"/>
              <w:right w:val="single" w:sz="8" w:space="0" w:color="auto"/>
            </w:tcBorders>
            <w:shd w:val="clear" w:color="000000" w:fill="FFFFFF"/>
            <w:vAlign w:val="center"/>
          </w:tcPr>
          <w:p w14:paraId="710DE8BF" w14:textId="77777777" w:rsidR="007707BB" w:rsidRPr="00640417" w:rsidRDefault="007707BB" w:rsidP="007707BB">
            <w:pPr>
              <w:pStyle w:val="ExhibitText"/>
              <w:jc w:val="left"/>
              <w:rPr>
                <w:lang w:val="en-GB"/>
              </w:rPr>
            </w:pPr>
            <w:r w:rsidRPr="00640417">
              <w:rPr>
                <w:lang w:val="en-GB"/>
              </w:rPr>
              <w:t>Current Liabilities</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6E13803A" w14:textId="18F143ED" w:rsidR="007707BB" w:rsidRPr="00640417" w:rsidRDefault="007707BB" w:rsidP="007707BB">
            <w:pPr>
              <w:pStyle w:val="ExhibitText"/>
              <w:jc w:val="right"/>
              <w:rPr>
                <w:lang w:val="en-GB"/>
              </w:rPr>
            </w:pPr>
            <w:r w:rsidRPr="00640417">
              <w:rPr>
                <w:lang w:val="en-GB"/>
              </w:rPr>
              <w:t>478.24</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755150CB" w14:textId="67E4A229" w:rsidR="007707BB" w:rsidRPr="00640417" w:rsidRDefault="007707BB" w:rsidP="007707BB">
            <w:pPr>
              <w:pStyle w:val="ExhibitText"/>
              <w:jc w:val="right"/>
              <w:rPr>
                <w:lang w:val="en-GB"/>
              </w:rPr>
            </w:pPr>
            <w:r w:rsidRPr="00640417">
              <w:rPr>
                <w:lang w:val="en-GB"/>
              </w:rPr>
              <w:t>463.22</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0FE0498A" w14:textId="2D060DAA" w:rsidR="007707BB" w:rsidRPr="00640417" w:rsidRDefault="007707BB" w:rsidP="007707BB">
            <w:pPr>
              <w:pStyle w:val="ExhibitText"/>
              <w:jc w:val="right"/>
              <w:rPr>
                <w:lang w:val="en-GB"/>
              </w:rPr>
            </w:pPr>
            <w:r w:rsidRPr="00640417">
              <w:rPr>
                <w:lang w:val="en-GB"/>
              </w:rPr>
              <w:t>708.65</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31C94C57" w14:textId="57E1BE1E" w:rsidR="007707BB" w:rsidRPr="00640417" w:rsidRDefault="007707BB" w:rsidP="007707BB">
            <w:pPr>
              <w:pStyle w:val="ExhibitText"/>
              <w:jc w:val="right"/>
              <w:rPr>
                <w:lang w:val="en-GB"/>
              </w:rPr>
            </w:pPr>
            <w:r w:rsidRPr="00640417">
              <w:rPr>
                <w:lang w:val="en-GB"/>
              </w:rPr>
              <w:t>708.44</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3DA6D59B" w14:textId="59CB43BF" w:rsidR="007707BB" w:rsidRPr="00640417" w:rsidRDefault="007707BB" w:rsidP="007707BB">
            <w:pPr>
              <w:pStyle w:val="ExhibitText"/>
              <w:jc w:val="right"/>
              <w:rPr>
                <w:lang w:val="en-GB"/>
              </w:rPr>
            </w:pPr>
            <w:r w:rsidRPr="00640417">
              <w:rPr>
                <w:lang w:val="en-GB"/>
              </w:rPr>
              <w:t>762.78</w:t>
            </w:r>
          </w:p>
        </w:tc>
      </w:tr>
      <w:tr w:rsidR="007707BB" w:rsidRPr="00640417" w14:paraId="406A40D7" w14:textId="77777777" w:rsidTr="007707BB">
        <w:trPr>
          <w:trHeight w:val="275"/>
          <w:jc w:val="center"/>
        </w:trPr>
        <w:tc>
          <w:tcPr>
            <w:tcW w:w="2520" w:type="dxa"/>
            <w:tcBorders>
              <w:top w:val="single" w:sz="8" w:space="0" w:color="auto"/>
              <w:left w:val="single" w:sz="8" w:space="0" w:color="auto"/>
              <w:bottom w:val="single" w:sz="8" w:space="0" w:color="auto"/>
              <w:right w:val="single" w:sz="8" w:space="0" w:color="auto"/>
            </w:tcBorders>
            <w:shd w:val="clear" w:color="000000" w:fill="FFFFFF"/>
            <w:vAlign w:val="center"/>
          </w:tcPr>
          <w:p w14:paraId="57AF73D4" w14:textId="77777777" w:rsidR="007707BB" w:rsidRPr="00640417" w:rsidRDefault="007707BB" w:rsidP="007707BB">
            <w:pPr>
              <w:pStyle w:val="ExhibitText"/>
              <w:jc w:val="left"/>
              <w:rPr>
                <w:lang w:val="en-GB"/>
              </w:rPr>
            </w:pPr>
            <w:r w:rsidRPr="00640417">
              <w:rPr>
                <w:lang w:val="en-GB"/>
              </w:rPr>
              <w:t>Provisions</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7953C71C" w14:textId="7AC788CD" w:rsidR="007707BB" w:rsidRPr="00640417" w:rsidRDefault="007707BB" w:rsidP="007707BB">
            <w:pPr>
              <w:pStyle w:val="ExhibitText"/>
              <w:jc w:val="right"/>
              <w:rPr>
                <w:lang w:val="en-GB"/>
              </w:rPr>
            </w:pPr>
            <w:r w:rsidRPr="00640417">
              <w:rPr>
                <w:lang w:val="en-GB"/>
              </w:rPr>
              <w:t>49.84</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40EEE8F5" w14:textId="492DDF1A" w:rsidR="007707BB" w:rsidRPr="00640417" w:rsidRDefault="007707BB" w:rsidP="007707BB">
            <w:pPr>
              <w:pStyle w:val="ExhibitText"/>
              <w:jc w:val="right"/>
              <w:rPr>
                <w:lang w:val="en-GB"/>
              </w:rPr>
            </w:pPr>
            <w:r w:rsidRPr="00640417">
              <w:rPr>
                <w:lang w:val="en-GB"/>
              </w:rPr>
              <w:t>64.23</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6EEADD5E" w14:textId="5C470FAB" w:rsidR="007707BB" w:rsidRPr="00640417" w:rsidRDefault="007707BB" w:rsidP="007707BB">
            <w:pPr>
              <w:pStyle w:val="ExhibitText"/>
              <w:jc w:val="right"/>
              <w:rPr>
                <w:lang w:val="en-GB"/>
              </w:rPr>
            </w:pPr>
            <w:r w:rsidRPr="00640417">
              <w:rPr>
                <w:lang w:val="en-GB"/>
              </w:rPr>
              <w:t>64.35</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2F217AF9" w14:textId="0A47669C" w:rsidR="007707BB" w:rsidRPr="00640417" w:rsidRDefault="007707BB" w:rsidP="007707BB">
            <w:pPr>
              <w:pStyle w:val="ExhibitText"/>
              <w:jc w:val="right"/>
              <w:rPr>
                <w:lang w:val="en-GB"/>
              </w:rPr>
            </w:pPr>
            <w:r w:rsidRPr="00640417">
              <w:rPr>
                <w:lang w:val="en-GB"/>
              </w:rPr>
              <w:t>2.06</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00FB6868" w14:textId="2E7E9A81" w:rsidR="007707BB" w:rsidRPr="00640417" w:rsidRDefault="007707BB" w:rsidP="007707BB">
            <w:pPr>
              <w:pStyle w:val="ExhibitText"/>
              <w:jc w:val="right"/>
              <w:rPr>
                <w:lang w:val="en-GB"/>
              </w:rPr>
            </w:pPr>
            <w:r w:rsidRPr="00640417">
              <w:rPr>
                <w:lang w:val="en-GB"/>
              </w:rPr>
              <w:t>1.81</w:t>
            </w:r>
          </w:p>
        </w:tc>
      </w:tr>
      <w:tr w:rsidR="007707BB" w:rsidRPr="00640417" w14:paraId="629E2414" w14:textId="77777777" w:rsidTr="007707BB">
        <w:trPr>
          <w:trHeight w:val="275"/>
          <w:jc w:val="center"/>
        </w:trPr>
        <w:tc>
          <w:tcPr>
            <w:tcW w:w="2520" w:type="dxa"/>
            <w:tcBorders>
              <w:top w:val="single" w:sz="8" w:space="0" w:color="auto"/>
              <w:left w:val="single" w:sz="8" w:space="0" w:color="auto"/>
              <w:bottom w:val="single" w:sz="8" w:space="0" w:color="auto"/>
              <w:right w:val="single" w:sz="8" w:space="0" w:color="auto"/>
            </w:tcBorders>
            <w:shd w:val="clear" w:color="000000" w:fill="FFFFFF"/>
            <w:vAlign w:val="center"/>
          </w:tcPr>
          <w:p w14:paraId="47465EE8" w14:textId="77777777" w:rsidR="007707BB" w:rsidRPr="00640417" w:rsidRDefault="007707BB" w:rsidP="007707BB">
            <w:pPr>
              <w:pStyle w:val="ExhibitText"/>
              <w:jc w:val="left"/>
              <w:rPr>
                <w:lang w:val="en-GB"/>
              </w:rPr>
            </w:pPr>
            <w:r w:rsidRPr="00640417">
              <w:rPr>
                <w:lang w:val="en-GB"/>
              </w:rPr>
              <w:t>Total C</w:t>
            </w:r>
            <w:r>
              <w:rPr>
                <w:lang w:val="en-GB"/>
              </w:rPr>
              <w:t>urrent Liabilities</w:t>
            </w:r>
            <w:r w:rsidRPr="00640417">
              <w:rPr>
                <w:lang w:val="en-GB"/>
              </w:rPr>
              <w:t xml:space="preserve"> </w:t>
            </w:r>
            <w:r>
              <w:rPr>
                <w:lang w:val="en-GB"/>
              </w:rPr>
              <w:t>and</w:t>
            </w:r>
            <w:r w:rsidRPr="00640417">
              <w:rPr>
                <w:lang w:val="en-GB"/>
              </w:rPr>
              <w:t xml:space="preserve"> Provisions</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1287287D" w14:textId="53D81908" w:rsidR="007707BB" w:rsidRPr="00640417" w:rsidRDefault="007707BB" w:rsidP="007707BB">
            <w:pPr>
              <w:pStyle w:val="ExhibitText"/>
              <w:jc w:val="right"/>
              <w:rPr>
                <w:lang w:val="en-GB"/>
              </w:rPr>
            </w:pPr>
            <w:r w:rsidRPr="00640417">
              <w:rPr>
                <w:lang w:val="en-GB"/>
              </w:rPr>
              <w:t>528.08</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4942EC7B" w14:textId="7FD4CAF9" w:rsidR="007707BB" w:rsidRPr="00640417" w:rsidRDefault="007707BB" w:rsidP="007707BB">
            <w:pPr>
              <w:pStyle w:val="ExhibitText"/>
              <w:jc w:val="right"/>
              <w:rPr>
                <w:lang w:val="en-GB"/>
              </w:rPr>
            </w:pPr>
            <w:r w:rsidRPr="00640417">
              <w:rPr>
                <w:lang w:val="en-GB"/>
              </w:rPr>
              <w:t>527.46</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54FFD14F" w14:textId="2D30F5F4" w:rsidR="007707BB" w:rsidRPr="00640417" w:rsidRDefault="007707BB" w:rsidP="007707BB">
            <w:pPr>
              <w:pStyle w:val="ExhibitText"/>
              <w:jc w:val="right"/>
              <w:rPr>
                <w:lang w:val="en-GB"/>
              </w:rPr>
            </w:pPr>
            <w:r w:rsidRPr="00640417">
              <w:rPr>
                <w:lang w:val="en-GB"/>
              </w:rPr>
              <w:t>773.00</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2A925C2F" w14:textId="70381CC0" w:rsidR="007707BB" w:rsidRPr="00640417" w:rsidRDefault="007707BB" w:rsidP="007707BB">
            <w:pPr>
              <w:pStyle w:val="ExhibitText"/>
              <w:jc w:val="right"/>
              <w:rPr>
                <w:lang w:val="en-GB"/>
              </w:rPr>
            </w:pPr>
            <w:r w:rsidRPr="00640417">
              <w:rPr>
                <w:lang w:val="en-GB"/>
              </w:rPr>
              <w:t>710.50</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71B3CC36" w14:textId="1883D092" w:rsidR="007707BB" w:rsidRPr="00640417" w:rsidRDefault="007707BB" w:rsidP="007707BB">
            <w:pPr>
              <w:pStyle w:val="ExhibitText"/>
              <w:jc w:val="right"/>
              <w:rPr>
                <w:lang w:val="en-GB"/>
              </w:rPr>
            </w:pPr>
            <w:r w:rsidRPr="00640417">
              <w:rPr>
                <w:lang w:val="en-GB"/>
              </w:rPr>
              <w:t>764.59</w:t>
            </w:r>
          </w:p>
        </w:tc>
      </w:tr>
      <w:tr w:rsidR="007707BB" w:rsidRPr="00640417" w14:paraId="64D8C406" w14:textId="77777777" w:rsidTr="007707BB">
        <w:trPr>
          <w:trHeight w:val="275"/>
          <w:jc w:val="center"/>
        </w:trPr>
        <w:tc>
          <w:tcPr>
            <w:tcW w:w="2520" w:type="dxa"/>
            <w:tcBorders>
              <w:top w:val="single" w:sz="8" w:space="0" w:color="auto"/>
              <w:left w:val="single" w:sz="8" w:space="0" w:color="auto"/>
              <w:bottom w:val="single" w:sz="8" w:space="0" w:color="auto"/>
              <w:right w:val="single" w:sz="8" w:space="0" w:color="auto"/>
            </w:tcBorders>
            <w:shd w:val="clear" w:color="000000" w:fill="FFFFFF"/>
            <w:vAlign w:val="center"/>
          </w:tcPr>
          <w:p w14:paraId="67DAFEA3" w14:textId="77777777" w:rsidR="007707BB" w:rsidRPr="00640417" w:rsidRDefault="007707BB" w:rsidP="007707BB">
            <w:pPr>
              <w:pStyle w:val="ExhibitText"/>
              <w:jc w:val="left"/>
              <w:rPr>
                <w:lang w:val="en-GB"/>
              </w:rPr>
            </w:pPr>
            <w:r w:rsidRPr="00640417">
              <w:rPr>
                <w:lang w:val="en-GB"/>
              </w:rPr>
              <w:t>Net Current Assets</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4DB0C755" w14:textId="24452BCA" w:rsidR="007707BB" w:rsidRPr="00640417" w:rsidRDefault="007707BB" w:rsidP="007707BB">
            <w:pPr>
              <w:pStyle w:val="ExhibitText"/>
              <w:jc w:val="right"/>
              <w:rPr>
                <w:lang w:val="en-GB"/>
              </w:rPr>
            </w:pPr>
            <w:r w:rsidRPr="00640417">
              <w:rPr>
                <w:lang w:val="en-GB"/>
              </w:rPr>
              <w:t>212.44</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1CF52ED8" w14:textId="217BAD31" w:rsidR="007707BB" w:rsidRPr="00640417" w:rsidRDefault="007707BB" w:rsidP="007707BB">
            <w:pPr>
              <w:pStyle w:val="ExhibitText"/>
              <w:jc w:val="right"/>
              <w:rPr>
                <w:lang w:val="en-GB"/>
              </w:rPr>
            </w:pPr>
            <w:r w:rsidRPr="00640417">
              <w:rPr>
                <w:lang w:val="en-GB"/>
              </w:rPr>
              <w:t>283.99</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29610647" w14:textId="4A585B85" w:rsidR="007707BB" w:rsidRPr="00640417" w:rsidRDefault="007707BB" w:rsidP="007707BB">
            <w:pPr>
              <w:pStyle w:val="ExhibitText"/>
              <w:jc w:val="right"/>
              <w:rPr>
                <w:lang w:val="en-GB"/>
              </w:rPr>
            </w:pPr>
            <w:r w:rsidRPr="00640417">
              <w:rPr>
                <w:lang w:val="en-GB"/>
              </w:rPr>
              <w:t>173.23</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0040DEEA" w14:textId="33B3E6CA" w:rsidR="007707BB" w:rsidRPr="00640417" w:rsidRDefault="007707BB" w:rsidP="007707BB">
            <w:pPr>
              <w:pStyle w:val="ExhibitText"/>
              <w:jc w:val="right"/>
              <w:rPr>
                <w:lang w:val="en-GB"/>
              </w:rPr>
            </w:pPr>
            <w:r w:rsidRPr="00640417">
              <w:rPr>
                <w:lang w:val="en-GB"/>
              </w:rPr>
              <w:t>354.76</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57679838" w14:textId="5985A450" w:rsidR="007707BB" w:rsidRPr="00640417" w:rsidRDefault="007707BB" w:rsidP="007707BB">
            <w:pPr>
              <w:pStyle w:val="ExhibitText"/>
              <w:jc w:val="right"/>
              <w:rPr>
                <w:lang w:val="en-GB"/>
              </w:rPr>
            </w:pPr>
            <w:r w:rsidRPr="00640417">
              <w:rPr>
                <w:lang w:val="en-GB"/>
              </w:rPr>
              <w:t>223.94</w:t>
            </w:r>
          </w:p>
        </w:tc>
      </w:tr>
      <w:tr w:rsidR="007707BB" w:rsidRPr="00640417" w14:paraId="6CBB1033" w14:textId="77777777" w:rsidTr="007707BB">
        <w:trPr>
          <w:trHeight w:val="275"/>
          <w:jc w:val="center"/>
        </w:trPr>
        <w:tc>
          <w:tcPr>
            <w:tcW w:w="2520" w:type="dxa"/>
            <w:tcBorders>
              <w:top w:val="single" w:sz="8" w:space="0" w:color="auto"/>
              <w:left w:val="single" w:sz="8" w:space="0" w:color="auto"/>
              <w:bottom w:val="single" w:sz="8" w:space="0" w:color="auto"/>
              <w:right w:val="single" w:sz="8" w:space="0" w:color="auto"/>
            </w:tcBorders>
            <w:shd w:val="clear" w:color="000000" w:fill="FFFFFF"/>
            <w:vAlign w:val="center"/>
          </w:tcPr>
          <w:p w14:paraId="6AE505B3" w14:textId="77777777" w:rsidR="007707BB" w:rsidRPr="00640417" w:rsidRDefault="007707BB" w:rsidP="007707BB">
            <w:pPr>
              <w:pStyle w:val="ExhibitText"/>
              <w:jc w:val="left"/>
              <w:rPr>
                <w:lang w:val="en-GB"/>
              </w:rPr>
            </w:pPr>
            <w:r w:rsidRPr="00640417">
              <w:rPr>
                <w:lang w:val="en-GB"/>
              </w:rPr>
              <w:t>Miscellaneous Expenses</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3D776A1C" w14:textId="0CAD9CBB" w:rsidR="007707BB" w:rsidRPr="00640417" w:rsidRDefault="007707BB" w:rsidP="007707BB">
            <w:pPr>
              <w:pStyle w:val="ExhibitText"/>
              <w:jc w:val="right"/>
              <w:rPr>
                <w:lang w:val="en-GB"/>
              </w:rPr>
            </w:pPr>
            <w:r w:rsidRPr="00640417">
              <w:rPr>
                <w:lang w:val="en-GB"/>
              </w:rPr>
              <w:t>4.63</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3F02E444" w14:textId="20AFF8A9" w:rsidR="007707BB" w:rsidRPr="00640417" w:rsidRDefault="007707BB" w:rsidP="007707BB">
            <w:pPr>
              <w:pStyle w:val="ExhibitText"/>
              <w:jc w:val="right"/>
              <w:rPr>
                <w:lang w:val="en-GB"/>
              </w:rPr>
            </w:pPr>
            <w:r w:rsidRPr="00640417">
              <w:rPr>
                <w:lang w:val="en-GB"/>
              </w:rPr>
              <w:t>0.00</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03DDA54F" w14:textId="3ABBDAE7" w:rsidR="007707BB" w:rsidRPr="00640417" w:rsidRDefault="007707BB" w:rsidP="007707BB">
            <w:pPr>
              <w:pStyle w:val="ExhibitText"/>
              <w:jc w:val="right"/>
              <w:rPr>
                <w:lang w:val="en-GB"/>
              </w:rPr>
            </w:pPr>
            <w:r w:rsidRPr="00640417">
              <w:rPr>
                <w:lang w:val="en-GB"/>
              </w:rPr>
              <w:t>0.00</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49D37AD3" w14:textId="17A9A2BC" w:rsidR="007707BB" w:rsidRPr="00640417" w:rsidRDefault="007707BB" w:rsidP="007707BB">
            <w:pPr>
              <w:pStyle w:val="ExhibitText"/>
              <w:jc w:val="right"/>
              <w:rPr>
                <w:lang w:val="en-GB"/>
              </w:rPr>
            </w:pPr>
            <w:r w:rsidRPr="00640417">
              <w:rPr>
                <w:lang w:val="en-GB"/>
              </w:rPr>
              <w:t>0.00</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6F1896F7" w14:textId="7470A0C6" w:rsidR="007707BB" w:rsidRPr="00640417" w:rsidRDefault="007707BB" w:rsidP="007707BB">
            <w:pPr>
              <w:pStyle w:val="ExhibitText"/>
              <w:jc w:val="right"/>
              <w:rPr>
                <w:lang w:val="en-GB"/>
              </w:rPr>
            </w:pPr>
            <w:r w:rsidRPr="00640417">
              <w:rPr>
                <w:lang w:val="en-GB"/>
              </w:rPr>
              <w:t>0.00</w:t>
            </w:r>
          </w:p>
        </w:tc>
      </w:tr>
      <w:tr w:rsidR="007707BB" w:rsidRPr="00640417" w14:paraId="31B7FB72" w14:textId="77777777" w:rsidTr="007707BB">
        <w:trPr>
          <w:trHeight w:val="275"/>
          <w:jc w:val="center"/>
        </w:trPr>
        <w:tc>
          <w:tcPr>
            <w:tcW w:w="2520" w:type="dxa"/>
            <w:tcBorders>
              <w:top w:val="single" w:sz="8" w:space="0" w:color="auto"/>
              <w:left w:val="single" w:sz="8" w:space="0" w:color="auto"/>
              <w:bottom w:val="single" w:sz="8" w:space="0" w:color="auto"/>
              <w:right w:val="single" w:sz="8" w:space="0" w:color="auto"/>
            </w:tcBorders>
            <w:shd w:val="clear" w:color="000000" w:fill="FFFFFF"/>
            <w:vAlign w:val="center"/>
          </w:tcPr>
          <w:p w14:paraId="5F6963B8" w14:textId="77777777" w:rsidR="007707BB" w:rsidRPr="00640417" w:rsidRDefault="007707BB" w:rsidP="007707BB">
            <w:pPr>
              <w:pStyle w:val="ExhibitText"/>
              <w:jc w:val="left"/>
              <w:rPr>
                <w:lang w:val="en-GB"/>
              </w:rPr>
            </w:pPr>
            <w:r w:rsidRPr="00640417">
              <w:rPr>
                <w:lang w:val="en-GB"/>
              </w:rPr>
              <w:t>Total Assets</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776D18E4" w14:textId="7B627C2F" w:rsidR="007707BB" w:rsidRPr="00640417" w:rsidRDefault="007707BB" w:rsidP="007707BB">
            <w:pPr>
              <w:pStyle w:val="ExhibitText"/>
              <w:jc w:val="right"/>
              <w:rPr>
                <w:lang w:val="en-GB"/>
              </w:rPr>
            </w:pPr>
            <w:r w:rsidRPr="00640417">
              <w:rPr>
                <w:lang w:val="en-GB"/>
              </w:rPr>
              <w:t>1,573.67</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127ECFBC" w14:textId="19E3264A" w:rsidR="007707BB" w:rsidRPr="00640417" w:rsidRDefault="007707BB" w:rsidP="007707BB">
            <w:pPr>
              <w:pStyle w:val="ExhibitText"/>
              <w:jc w:val="right"/>
              <w:rPr>
                <w:lang w:val="en-GB"/>
              </w:rPr>
            </w:pPr>
            <w:r w:rsidRPr="00640417">
              <w:rPr>
                <w:lang w:val="en-GB"/>
              </w:rPr>
              <w:t>1,822.42</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5E683DFC" w14:textId="53C9A4BC" w:rsidR="007707BB" w:rsidRPr="00640417" w:rsidRDefault="007707BB" w:rsidP="007707BB">
            <w:pPr>
              <w:pStyle w:val="ExhibitText"/>
              <w:jc w:val="right"/>
              <w:rPr>
                <w:lang w:val="en-GB"/>
              </w:rPr>
            </w:pPr>
            <w:r w:rsidRPr="00640417">
              <w:rPr>
                <w:lang w:val="en-GB"/>
              </w:rPr>
              <w:t>1,904.36</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34843ACE" w14:textId="61D4C77C" w:rsidR="007707BB" w:rsidRPr="00640417" w:rsidRDefault="007707BB" w:rsidP="007707BB">
            <w:pPr>
              <w:pStyle w:val="ExhibitText"/>
              <w:jc w:val="right"/>
              <w:rPr>
                <w:lang w:val="en-GB"/>
              </w:rPr>
            </w:pPr>
            <w:r w:rsidRPr="00640417">
              <w:rPr>
                <w:lang w:val="en-GB"/>
              </w:rPr>
              <w:t>2,043.89</w:t>
            </w:r>
          </w:p>
        </w:tc>
        <w:tc>
          <w:tcPr>
            <w:tcW w:w="1350" w:type="dxa"/>
            <w:tcBorders>
              <w:top w:val="single" w:sz="8" w:space="0" w:color="auto"/>
              <w:left w:val="single" w:sz="8" w:space="0" w:color="auto"/>
              <w:bottom w:val="single" w:sz="8" w:space="0" w:color="auto"/>
              <w:right w:val="single" w:sz="8" w:space="0" w:color="auto"/>
            </w:tcBorders>
            <w:shd w:val="clear" w:color="000000" w:fill="FFFFFF"/>
            <w:vAlign w:val="center"/>
          </w:tcPr>
          <w:p w14:paraId="692378F6" w14:textId="41CA848C" w:rsidR="007707BB" w:rsidRPr="00640417" w:rsidRDefault="007707BB" w:rsidP="007707BB">
            <w:pPr>
              <w:pStyle w:val="ExhibitText"/>
              <w:jc w:val="right"/>
              <w:rPr>
                <w:lang w:val="en-GB"/>
              </w:rPr>
            </w:pPr>
            <w:r w:rsidRPr="00640417">
              <w:rPr>
                <w:lang w:val="en-GB"/>
              </w:rPr>
              <w:t>1,850.85</w:t>
            </w:r>
          </w:p>
        </w:tc>
      </w:tr>
    </w:tbl>
    <w:p w14:paraId="7A362033" w14:textId="77777777" w:rsidR="00D40D30" w:rsidRPr="00640417" w:rsidRDefault="00D40D30" w:rsidP="00D40D30">
      <w:pPr>
        <w:pStyle w:val="BodyTextMain"/>
        <w:rPr>
          <w:rFonts w:eastAsia="Calibri"/>
          <w:sz w:val="20"/>
          <w:szCs w:val="20"/>
          <w:lang w:val="en-GB"/>
        </w:rPr>
      </w:pPr>
    </w:p>
    <w:p w14:paraId="097E31ED" w14:textId="77777777" w:rsidR="00D40D30" w:rsidRPr="00C55DA9" w:rsidRDefault="00D40D30" w:rsidP="00D40D30">
      <w:pPr>
        <w:pStyle w:val="BodyTextMain"/>
        <w:rPr>
          <w:rFonts w:ascii="Arial" w:eastAsia="Calibri" w:hAnsi="Arial" w:cs="Arial"/>
          <w:sz w:val="17"/>
          <w:szCs w:val="17"/>
          <w:lang w:val="en-GB"/>
        </w:rPr>
      </w:pPr>
      <w:r w:rsidRPr="00C55DA9">
        <w:rPr>
          <w:rFonts w:ascii="Arial" w:eastAsia="Calibri" w:hAnsi="Arial" w:cs="Arial"/>
          <w:sz w:val="17"/>
          <w:szCs w:val="17"/>
          <w:lang w:val="en-GB"/>
        </w:rPr>
        <w:t xml:space="preserve">Source: Company </w:t>
      </w:r>
      <w:r>
        <w:rPr>
          <w:rFonts w:ascii="Arial" w:eastAsia="Calibri" w:hAnsi="Arial" w:cs="Arial"/>
          <w:sz w:val="17"/>
          <w:szCs w:val="17"/>
          <w:lang w:val="en-GB"/>
        </w:rPr>
        <w:t>d</w:t>
      </w:r>
      <w:r w:rsidRPr="00C55DA9">
        <w:rPr>
          <w:rFonts w:ascii="Arial" w:eastAsia="Calibri" w:hAnsi="Arial" w:cs="Arial"/>
          <w:sz w:val="17"/>
          <w:szCs w:val="17"/>
          <w:lang w:val="en-GB"/>
        </w:rPr>
        <w:t>ocuments.</w:t>
      </w:r>
    </w:p>
    <w:p w14:paraId="494E0C11" w14:textId="77777777" w:rsidR="00D40D30" w:rsidRPr="00640417" w:rsidRDefault="00D40D30" w:rsidP="00D40D30">
      <w:pPr>
        <w:pStyle w:val="BodyTextMain"/>
        <w:rPr>
          <w:rFonts w:eastAsia="Calibri"/>
          <w:sz w:val="20"/>
          <w:szCs w:val="20"/>
          <w:lang w:val="en-GB"/>
        </w:rPr>
      </w:pPr>
    </w:p>
    <w:p w14:paraId="5231C024" w14:textId="1FD477FA" w:rsidR="00D40D30" w:rsidRPr="00640417" w:rsidRDefault="00D40D30" w:rsidP="00D40D30">
      <w:pPr>
        <w:pStyle w:val="ExhibitHeading"/>
        <w:keepNext/>
        <w:rPr>
          <w:rFonts w:eastAsia="Calibri"/>
          <w:lang w:val="en-GB"/>
        </w:rPr>
      </w:pPr>
      <w:r w:rsidRPr="00640417">
        <w:rPr>
          <w:rFonts w:eastAsia="Calibri"/>
          <w:lang w:val="en-GB"/>
        </w:rPr>
        <w:lastRenderedPageBreak/>
        <w:t xml:space="preserve">Exhibit </w:t>
      </w:r>
      <w:r>
        <w:rPr>
          <w:rFonts w:eastAsia="Calibri"/>
          <w:lang w:val="en-GB"/>
        </w:rPr>
        <w:t>5</w:t>
      </w:r>
      <w:r w:rsidRPr="00640417">
        <w:rPr>
          <w:rFonts w:eastAsia="Calibri"/>
          <w:lang w:val="en-GB"/>
        </w:rPr>
        <w:t xml:space="preserve">: </w:t>
      </w:r>
      <w:r w:rsidR="00536D28">
        <w:rPr>
          <w:rFonts w:eastAsia="Calibri"/>
          <w:lang w:val="en-GB"/>
        </w:rPr>
        <w:t xml:space="preserve">bartos </w:t>
      </w:r>
      <w:r w:rsidRPr="00640417">
        <w:rPr>
          <w:rFonts w:eastAsia="Calibri"/>
          <w:lang w:val="en-GB"/>
        </w:rPr>
        <w:t>INCOME STATEMENTS</w:t>
      </w:r>
    </w:p>
    <w:p w14:paraId="59A5085B" w14:textId="77777777" w:rsidR="00D40D30" w:rsidRPr="00D40D30" w:rsidRDefault="00D40D30" w:rsidP="007707BB">
      <w:pPr>
        <w:pStyle w:val="ExhibitText"/>
        <w:jc w:val="left"/>
        <w:rPr>
          <w:rFonts w:eastAsia="Calibri"/>
          <w:lang w:val="en-GB"/>
        </w:rPr>
      </w:pPr>
    </w:p>
    <w:tbl>
      <w:tblPr>
        <w:tblpPr w:leftFromText="180" w:rightFromText="180" w:vertAnchor="text" w:tblpXSpec="center" w:tblpY="1"/>
        <w:tblOverlap w:val="never"/>
        <w:tblW w:w="9255" w:type="dxa"/>
        <w:tblLayout w:type="fixed"/>
        <w:tblCellMar>
          <w:top w:w="15" w:type="dxa"/>
          <w:left w:w="15" w:type="dxa"/>
          <w:bottom w:w="15" w:type="dxa"/>
          <w:right w:w="15" w:type="dxa"/>
        </w:tblCellMar>
        <w:tblLook w:val="04A0" w:firstRow="1" w:lastRow="0" w:firstColumn="1" w:lastColumn="0" w:noHBand="0" w:noVBand="1"/>
      </w:tblPr>
      <w:tblGrid>
        <w:gridCol w:w="2775"/>
        <w:gridCol w:w="1350"/>
        <w:gridCol w:w="1260"/>
        <w:gridCol w:w="1350"/>
        <w:gridCol w:w="1350"/>
        <w:gridCol w:w="1170"/>
      </w:tblGrid>
      <w:tr w:rsidR="007707BB" w:rsidRPr="00640417" w14:paraId="3CCE47BD" w14:textId="77777777" w:rsidTr="005247EE">
        <w:trPr>
          <w:trHeight w:val="156"/>
        </w:trPr>
        <w:tc>
          <w:tcPr>
            <w:tcW w:w="2775" w:type="dxa"/>
            <w:vMerge w:val="restart"/>
            <w:tcBorders>
              <w:top w:val="single" w:sz="4" w:space="0" w:color="000000"/>
              <w:left w:val="single" w:sz="4" w:space="0" w:color="000000"/>
              <w:right w:val="single" w:sz="4" w:space="0" w:color="000000"/>
            </w:tcBorders>
            <w:vAlign w:val="center"/>
          </w:tcPr>
          <w:p w14:paraId="2B3E7EC0" w14:textId="77777777" w:rsidR="007707BB" w:rsidRPr="00640417" w:rsidRDefault="007707BB" w:rsidP="005247EE">
            <w:pPr>
              <w:pStyle w:val="ExhibitText"/>
              <w:keepNext/>
              <w:jc w:val="center"/>
              <w:rPr>
                <w:lang w:val="en-GB"/>
              </w:rPr>
            </w:pPr>
            <w:r w:rsidRPr="00640417">
              <w:rPr>
                <w:b/>
                <w:bCs/>
                <w:color w:val="000000"/>
                <w:lang w:val="en-GB"/>
              </w:rPr>
              <w:t>Income</w:t>
            </w:r>
          </w:p>
        </w:tc>
        <w:tc>
          <w:tcPr>
            <w:tcW w:w="1350" w:type="dxa"/>
            <w:tcBorders>
              <w:top w:val="single" w:sz="4" w:space="0" w:color="000000"/>
              <w:left w:val="single" w:sz="4" w:space="0" w:color="000000"/>
              <w:right w:val="single" w:sz="4" w:space="0" w:color="000000"/>
            </w:tcBorders>
          </w:tcPr>
          <w:p w14:paraId="711C9289" w14:textId="77777777" w:rsidR="007707BB" w:rsidRDefault="007707BB" w:rsidP="005247EE">
            <w:pPr>
              <w:pStyle w:val="ExhibitText"/>
              <w:keepNext/>
              <w:jc w:val="center"/>
              <w:rPr>
                <w:b/>
                <w:bCs/>
                <w:color w:val="000000"/>
                <w:lang w:val="en-GB"/>
              </w:rPr>
            </w:pPr>
          </w:p>
        </w:tc>
        <w:tc>
          <w:tcPr>
            <w:tcW w:w="1260" w:type="dxa"/>
            <w:tcBorders>
              <w:top w:val="single" w:sz="4" w:space="0" w:color="000000"/>
              <w:left w:val="single" w:sz="4" w:space="0" w:color="000000"/>
              <w:right w:val="single" w:sz="4" w:space="0" w:color="000000"/>
            </w:tcBorders>
          </w:tcPr>
          <w:p w14:paraId="577D6EA0" w14:textId="77777777" w:rsidR="007707BB" w:rsidRDefault="007707BB" w:rsidP="005247EE">
            <w:pPr>
              <w:pStyle w:val="ExhibitText"/>
              <w:keepNext/>
              <w:jc w:val="center"/>
              <w:rPr>
                <w:b/>
                <w:bCs/>
                <w:color w:val="000000"/>
                <w:lang w:val="en-GB"/>
              </w:rPr>
            </w:pPr>
          </w:p>
        </w:tc>
        <w:tc>
          <w:tcPr>
            <w:tcW w:w="1350" w:type="dxa"/>
            <w:tcBorders>
              <w:top w:val="single" w:sz="4" w:space="0" w:color="000000"/>
              <w:left w:val="single" w:sz="4" w:space="0" w:color="000000"/>
              <w:right w:val="single" w:sz="4" w:space="0" w:color="000000"/>
            </w:tcBorders>
          </w:tcPr>
          <w:p w14:paraId="39CFBA28" w14:textId="77777777" w:rsidR="007707BB" w:rsidRDefault="007707BB" w:rsidP="005247EE">
            <w:pPr>
              <w:pStyle w:val="ExhibitText"/>
              <w:keepNext/>
              <w:jc w:val="center"/>
              <w:rPr>
                <w:b/>
                <w:bCs/>
                <w:color w:val="000000"/>
                <w:lang w:val="en-GB"/>
              </w:rPr>
            </w:pPr>
          </w:p>
        </w:tc>
        <w:tc>
          <w:tcPr>
            <w:tcW w:w="1350" w:type="dxa"/>
            <w:tcBorders>
              <w:top w:val="single" w:sz="4" w:space="0" w:color="000000"/>
              <w:left w:val="single" w:sz="4" w:space="0" w:color="000000"/>
              <w:right w:val="single" w:sz="4" w:space="0" w:color="000000"/>
            </w:tcBorders>
          </w:tcPr>
          <w:p w14:paraId="4B881DEC" w14:textId="77777777" w:rsidR="007707BB" w:rsidRDefault="007707BB" w:rsidP="005247EE">
            <w:pPr>
              <w:pStyle w:val="ExhibitText"/>
              <w:keepNext/>
              <w:jc w:val="center"/>
              <w:rPr>
                <w:b/>
                <w:bCs/>
                <w:color w:val="000000"/>
                <w:lang w:val="en-GB"/>
              </w:rPr>
            </w:pPr>
          </w:p>
        </w:tc>
        <w:tc>
          <w:tcPr>
            <w:tcW w:w="1170" w:type="dxa"/>
            <w:tcBorders>
              <w:top w:val="single" w:sz="4" w:space="0" w:color="000000"/>
              <w:left w:val="single" w:sz="4" w:space="0" w:color="000000"/>
              <w:bottom w:val="single" w:sz="4" w:space="0" w:color="000000"/>
              <w:right w:val="single" w:sz="4" w:space="0" w:color="000000"/>
            </w:tcBorders>
            <w:vAlign w:val="center"/>
          </w:tcPr>
          <w:p w14:paraId="1791509D" w14:textId="18749516" w:rsidR="007707BB" w:rsidRPr="00640417" w:rsidRDefault="007707BB" w:rsidP="005247EE">
            <w:pPr>
              <w:pStyle w:val="ExhibitText"/>
              <w:keepNext/>
              <w:jc w:val="center"/>
              <w:rPr>
                <w:b/>
                <w:bCs/>
                <w:color w:val="000000"/>
                <w:lang w:val="en-GB"/>
              </w:rPr>
            </w:pPr>
            <w:r>
              <w:rPr>
                <w:b/>
                <w:bCs/>
                <w:color w:val="000000"/>
                <w:lang w:val="en-GB"/>
              </w:rPr>
              <w:t xml:space="preserve">US$ </w:t>
            </w:r>
            <w:r w:rsidRPr="00640417">
              <w:rPr>
                <w:b/>
                <w:bCs/>
                <w:color w:val="000000"/>
                <w:lang w:val="en-GB"/>
              </w:rPr>
              <w:t>Million</w:t>
            </w:r>
          </w:p>
        </w:tc>
      </w:tr>
      <w:tr w:rsidR="007707BB" w:rsidRPr="00640417" w14:paraId="6316B8FF" w14:textId="77777777" w:rsidTr="005247EE">
        <w:trPr>
          <w:trHeight w:val="251"/>
        </w:trPr>
        <w:tc>
          <w:tcPr>
            <w:tcW w:w="2775" w:type="dxa"/>
            <w:vMerge/>
            <w:tcBorders>
              <w:left w:val="single" w:sz="4" w:space="0" w:color="000000"/>
              <w:bottom w:val="single" w:sz="4" w:space="0" w:color="000000"/>
              <w:right w:val="single" w:sz="4" w:space="0" w:color="000000"/>
            </w:tcBorders>
            <w:vAlign w:val="center"/>
          </w:tcPr>
          <w:p w14:paraId="50A2FA0C" w14:textId="77777777" w:rsidR="007707BB" w:rsidRPr="00640417" w:rsidRDefault="007707BB" w:rsidP="005247EE">
            <w:pPr>
              <w:pStyle w:val="ExhibitText"/>
              <w:keepNext/>
              <w:jc w:val="center"/>
              <w:rPr>
                <w:b/>
                <w:bCs/>
                <w:color w:val="000000"/>
                <w:lang w:val="en-GB"/>
              </w:rPr>
            </w:pPr>
          </w:p>
        </w:tc>
        <w:tc>
          <w:tcPr>
            <w:tcW w:w="1350" w:type="dxa"/>
            <w:tcBorders>
              <w:top w:val="single" w:sz="4" w:space="0" w:color="000000"/>
              <w:left w:val="single" w:sz="4" w:space="0" w:color="000000"/>
              <w:bottom w:val="single" w:sz="4" w:space="0" w:color="000000"/>
              <w:right w:val="single" w:sz="4" w:space="0" w:color="000000"/>
            </w:tcBorders>
            <w:vAlign w:val="center"/>
          </w:tcPr>
          <w:p w14:paraId="45A2CF34" w14:textId="23A5974F" w:rsidR="007707BB" w:rsidRPr="00640417" w:rsidRDefault="007707BB" w:rsidP="005247EE">
            <w:pPr>
              <w:pStyle w:val="ExhibitText"/>
              <w:keepNext/>
              <w:jc w:val="center"/>
              <w:rPr>
                <w:b/>
                <w:bCs/>
                <w:color w:val="000000"/>
                <w:lang w:val="en-GB"/>
              </w:rPr>
            </w:pPr>
            <w:r w:rsidRPr="00640417">
              <w:rPr>
                <w:b/>
                <w:bCs/>
                <w:color w:val="000000"/>
                <w:lang w:val="en-GB"/>
              </w:rPr>
              <w:t>Mar</w:t>
            </w:r>
            <w:r>
              <w:rPr>
                <w:b/>
                <w:bCs/>
                <w:color w:val="000000"/>
                <w:lang w:val="en-GB"/>
              </w:rPr>
              <w:t>ch</w:t>
            </w:r>
            <w:r w:rsidRPr="00640417">
              <w:rPr>
                <w:b/>
                <w:bCs/>
                <w:color w:val="000000"/>
                <w:lang w:val="en-GB"/>
              </w:rPr>
              <w:t xml:space="preserve"> </w:t>
            </w:r>
            <w:r>
              <w:rPr>
                <w:b/>
                <w:bCs/>
                <w:color w:val="000000"/>
                <w:lang w:val="en-GB"/>
              </w:rPr>
              <w:t>20</w:t>
            </w:r>
            <w:r w:rsidRPr="00640417">
              <w:rPr>
                <w:b/>
                <w:bCs/>
                <w:color w:val="000000"/>
                <w:lang w:val="en-GB"/>
              </w:rPr>
              <w:t>10</w:t>
            </w:r>
          </w:p>
        </w:tc>
        <w:tc>
          <w:tcPr>
            <w:tcW w:w="1260" w:type="dxa"/>
            <w:tcBorders>
              <w:top w:val="single" w:sz="4" w:space="0" w:color="000000"/>
              <w:left w:val="single" w:sz="4" w:space="0" w:color="000000"/>
              <w:bottom w:val="single" w:sz="4" w:space="0" w:color="000000"/>
              <w:right w:val="single" w:sz="4" w:space="0" w:color="000000"/>
            </w:tcBorders>
            <w:vAlign w:val="center"/>
          </w:tcPr>
          <w:p w14:paraId="4D4252A4" w14:textId="26BA7007" w:rsidR="007707BB" w:rsidRPr="00640417" w:rsidRDefault="007707BB" w:rsidP="005247EE">
            <w:pPr>
              <w:pStyle w:val="ExhibitText"/>
              <w:keepNext/>
              <w:jc w:val="center"/>
              <w:rPr>
                <w:b/>
                <w:bCs/>
                <w:color w:val="000000"/>
                <w:lang w:val="en-GB"/>
              </w:rPr>
            </w:pPr>
            <w:r w:rsidRPr="00640417">
              <w:rPr>
                <w:b/>
                <w:bCs/>
                <w:color w:val="000000"/>
                <w:lang w:val="en-GB"/>
              </w:rPr>
              <w:t>Mar</w:t>
            </w:r>
            <w:r>
              <w:rPr>
                <w:b/>
                <w:bCs/>
                <w:color w:val="000000"/>
                <w:lang w:val="en-GB"/>
              </w:rPr>
              <w:t>ch</w:t>
            </w:r>
            <w:r w:rsidRPr="00640417">
              <w:rPr>
                <w:b/>
                <w:bCs/>
                <w:color w:val="000000"/>
                <w:lang w:val="en-GB"/>
              </w:rPr>
              <w:t xml:space="preserve"> </w:t>
            </w:r>
            <w:r>
              <w:rPr>
                <w:b/>
                <w:bCs/>
                <w:color w:val="000000"/>
                <w:lang w:val="en-GB"/>
              </w:rPr>
              <w:t>20</w:t>
            </w:r>
            <w:r w:rsidRPr="00640417">
              <w:rPr>
                <w:b/>
                <w:bCs/>
                <w:color w:val="000000"/>
                <w:lang w:val="en-GB"/>
              </w:rPr>
              <w:t>11</w:t>
            </w:r>
          </w:p>
        </w:tc>
        <w:tc>
          <w:tcPr>
            <w:tcW w:w="1350" w:type="dxa"/>
            <w:tcBorders>
              <w:top w:val="single" w:sz="4" w:space="0" w:color="000000"/>
              <w:left w:val="single" w:sz="4" w:space="0" w:color="000000"/>
              <w:bottom w:val="single" w:sz="4" w:space="0" w:color="000000"/>
              <w:right w:val="single" w:sz="4" w:space="0" w:color="000000"/>
            </w:tcBorders>
            <w:vAlign w:val="center"/>
          </w:tcPr>
          <w:p w14:paraId="402FD58F" w14:textId="522397DD" w:rsidR="007707BB" w:rsidRPr="00640417" w:rsidRDefault="007707BB" w:rsidP="005247EE">
            <w:pPr>
              <w:pStyle w:val="ExhibitText"/>
              <w:keepNext/>
              <w:jc w:val="center"/>
              <w:rPr>
                <w:b/>
                <w:bCs/>
                <w:color w:val="000000"/>
                <w:lang w:val="en-GB"/>
              </w:rPr>
            </w:pPr>
            <w:r w:rsidRPr="00640417">
              <w:rPr>
                <w:b/>
                <w:bCs/>
                <w:color w:val="000000"/>
                <w:lang w:val="en-GB"/>
              </w:rPr>
              <w:t>Mar</w:t>
            </w:r>
            <w:r>
              <w:rPr>
                <w:b/>
                <w:bCs/>
                <w:color w:val="000000"/>
                <w:lang w:val="en-GB"/>
              </w:rPr>
              <w:t>ch</w:t>
            </w:r>
            <w:r w:rsidRPr="00640417">
              <w:rPr>
                <w:b/>
                <w:bCs/>
                <w:color w:val="000000"/>
                <w:lang w:val="en-GB"/>
              </w:rPr>
              <w:t xml:space="preserve"> </w:t>
            </w:r>
            <w:r>
              <w:rPr>
                <w:b/>
                <w:bCs/>
                <w:color w:val="000000"/>
                <w:lang w:val="en-GB"/>
              </w:rPr>
              <w:t>20</w:t>
            </w:r>
            <w:r w:rsidRPr="00640417">
              <w:rPr>
                <w:b/>
                <w:bCs/>
                <w:color w:val="000000"/>
                <w:lang w:val="en-GB"/>
              </w:rPr>
              <w:t>12</w:t>
            </w:r>
          </w:p>
        </w:tc>
        <w:tc>
          <w:tcPr>
            <w:tcW w:w="1350" w:type="dxa"/>
            <w:tcBorders>
              <w:top w:val="single" w:sz="4" w:space="0" w:color="000000"/>
              <w:left w:val="single" w:sz="4" w:space="0" w:color="000000"/>
              <w:bottom w:val="single" w:sz="4" w:space="0" w:color="000000"/>
              <w:right w:val="single" w:sz="4" w:space="0" w:color="000000"/>
            </w:tcBorders>
            <w:vAlign w:val="center"/>
          </w:tcPr>
          <w:p w14:paraId="0FDC92D0" w14:textId="347C09B7" w:rsidR="007707BB" w:rsidRPr="00640417" w:rsidRDefault="007707BB" w:rsidP="005247EE">
            <w:pPr>
              <w:pStyle w:val="ExhibitText"/>
              <w:keepNext/>
              <w:jc w:val="center"/>
              <w:rPr>
                <w:b/>
                <w:bCs/>
                <w:color w:val="000000"/>
                <w:lang w:val="en-GB"/>
              </w:rPr>
            </w:pPr>
            <w:r w:rsidRPr="00640417">
              <w:rPr>
                <w:b/>
                <w:bCs/>
                <w:color w:val="000000"/>
                <w:lang w:val="en-GB"/>
              </w:rPr>
              <w:t>Mar</w:t>
            </w:r>
            <w:r>
              <w:rPr>
                <w:b/>
                <w:bCs/>
                <w:color w:val="000000"/>
                <w:lang w:val="en-GB"/>
              </w:rPr>
              <w:t>ch</w:t>
            </w:r>
            <w:r w:rsidRPr="00640417">
              <w:rPr>
                <w:b/>
                <w:bCs/>
                <w:color w:val="000000"/>
                <w:lang w:val="en-GB"/>
              </w:rPr>
              <w:t xml:space="preserve"> </w:t>
            </w:r>
            <w:r>
              <w:rPr>
                <w:b/>
                <w:bCs/>
                <w:color w:val="000000"/>
                <w:lang w:val="en-GB"/>
              </w:rPr>
              <w:t>20</w:t>
            </w:r>
            <w:r w:rsidRPr="00640417">
              <w:rPr>
                <w:b/>
                <w:bCs/>
                <w:color w:val="000000"/>
                <w:lang w:val="en-GB"/>
              </w:rPr>
              <w:t>13</w:t>
            </w:r>
          </w:p>
        </w:tc>
        <w:tc>
          <w:tcPr>
            <w:tcW w:w="1170" w:type="dxa"/>
            <w:tcBorders>
              <w:top w:val="single" w:sz="4" w:space="0" w:color="000000"/>
              <w:left w:val="single" w:sz="4" w:space="0" w:color="000000"/>
              <w:bottom w:val="single" w:sz="4" w:space="0" w:color="000000"/>
              <w:right w:val="single" w:sz="4" w:space="0" w:color="000000"/>
            </w:tcBorders>
            <w:vAlign w:val="center"/>
          </w:tcPr>
          <w:p w14:paraId="0891F954" w14:textId="70BB5BD4" w:rsidR="007707BB" w:rsidRPr="00640417" w:rsidRDefault="007707BB" w:rsidP="005247EE">
            <w:pPr>
              <w:pStyle w:val="ExhibitText"/>
              <w:keepNext/>
              <w:jc w:val="center"/>
              <w:rPr>
                <w:b/>
                <w:bCs/>
                <w:color w:val="000000"/>
                <w:lang w:val="en-GB"/>
              </w:rPr>
            </w:pPr>
            <w:r w:rsidRPr="00640417">
              <w:rPr>
                <w:b/>
                <w:bCs/>
                <w:color w:val="000000"/>
                <w:lang w:val="en-GB"/>
              </w:rPr>
              <w:t>Mar</w:t>
            </w:r>
            <w:r>
              <w:rPr>
                <w:b/>
                <w:bCs/>
                <w:color w:val="000000"/>
                <w:lang w:val="en-GB"/>
              </w:rPr>
              <w:t>ch</w:t>
            </w:r>
            <w:r w:rsidRPr="00640417">
              <w:rPr>
                <w:b/>
                <w:bCs/>
                <w:color w:val="000000"/>
                <w:lang w:val="en-GB"/>
              </w:rPr>
              <w:t xml:space="preserve"> </w:t>
            </w:r>
            <w:r>
              <w:rPr>
                <w:b/>
                <w:bCs/>
                <w:color w:val="000000"/>
                <w:lang w:val="en-GB"/>
              </w:rPr>
              <w:t>20</w:t>
            </w:r>
            <w:r w:rsidRPr="00640417">
              <w:rPr>
                <w:b/>
                <w:bCs/>
                <w:color w:val="000000"/>
                <w:lang w:val="en-GB"/>
              </w:rPr>
              <w:t>14</w:t>
            </w:r>
          </w:p>
        </w:tc>
      </w:tr>
      <w:tr w:rsidR="007707BB" w:rsidRPr="00640417" w14:paraId="41C557F7" w14:textId="77777777" w:rsidTr="005247EE">
        <w:trPr>
          <w:trHeight w:val="251"/>
        </w:trPr>
        <w:tc>
          <w:tcPr>
            <w:tcW w:w="2775" w:type="dxa"/>
            <w:tcBorders>
              <w:top w:val="single" w:sz="4" w:space="0" w:color="000000"/>
              <w:left w:val="single" w:sz="4" w:space="0" w:color="000000"/>
              <w:bottom w:val="single" w:sz="4" w:space="0" w:color="000000"/>
              <w:right w:val="single" w:sz="4" w:space="0" w:color="000000"/>
            </w:tcBorders>
            <w:vAlign w:val="center"/>
          </w:tcPr>
          <w:p w14:paraId="79C3F24A" w14:textId="77777777" w:rsidR="007707BB" w:rsidRPr="00640417" w:rsidRDefault="007707BB" w:rsidP="005247EE">
            <w:pPr>
              <w:pStyle w:val="ExhibitText"/>
              <w:keepNext/>
              <w:rPr>
                <w:b/>
                <w:bCs/>
                <w:color w:val="000000"/>
                <w:lang w:val="en-GB"/>
              </w:rPr>
            </w:pPr>
          </w:p>
        </w:tc>
        <w:tc>
          <w:tcPr>
            <w:tcW w:w="1350" w:type="dxa"/>
            <w:tcBorders>
              <w:top w:val="single" w:sz="4" w:space="0" w:color="000000"/>
              <w:left w:val="single" w:sz="4" w:space="0" w:color="000000"/>
              <w:bottom w:val="single" w:sz="4" w:space="0" w:color="000000"/>
              <w:right w:val="single" w:sz="4" w:space="0" w:color="000000"/>
            </w:tcBorders>
            <w:vAlign w:val="center"/>
          </w:tcPr>
          <w:p w14:paraId="53A4E739" w14:textId="22AA6B65" w:rsidR="007707BB" w:rsidRPr="00A03932" w:rsidRDefault="007707BB" w:rsidP="005247EE">
            <w:pPr>
              <w:pStyle w:val="ExhibitText"/>
              <w:keepNext/>
              <w:jc w:val="center"/>
              <w:rPr>
                <w:b/>
                <w:color w:val="000000"/>
                <w:lang w:val="en-GB"/>
              </w:rPr>
            </w:pPr>
            <w:r w:rsidRPr="00A03932">
              <w:rPr>
                <w:b/>
                <w:color w:val="000000"/>
                <w:lang w:val="en-GB"/>
              </w:rPr>
              <w:t xml:space="preserve">12 </w:t>
            </w:r>
            <w:r>
              <w:rPr>
                <w:b/>
                <w:color w:val="000000"/>
                <w:lang w:val="en-GB"/>
              </w:rPr>
              <w:t>M</w:t>
            </w:r>
            <w:r w:rsidRPr="00A03932">
              <w:rPr>
                <w:b/>
                <w:color w:val="000000"/>
                <w:lang w:val="en-GB"/>
              </w:rPr>
              <w:t>onths</w:t>
            </w:r>
          </w:p>
        </w:tc>
        <w:tc>
          <w:tcPr>
            <w:tcW w:w="1260" w:type="dxa"/>
            <w:tcBorders>
              <w:top w:val="single" w:sz="4" w:space="0" w:color="000000"/>
              <w:left w:val="single" w:sz="4" w:space="0" w:color="000000"/>
              <w:bottom w:val="single" w:sz="4" w:space="0" w:color="000000"/>
              <w:right w:val="single" w:sz="4" w:space="0" w:color="000000"/>
            </w:tcBorders>
            <w:vAlign w:val="center"/>
          </w:tcPr>
          <w:p w14:paraId="569F0898" w14:textId="5968756A" w:rsidR="007707BB" w:rsidRPr="00A03932" w:rsidRDefault="007707BB" w:rsidP="005247EE">
            <w:pPr>
              <w:pStyle w:val="ExhibitText"/>
              <w:keepNext/>
              <w:jc w:val="center"/>
              <w:rPr>
                <w:b/>
                <w:color w:val="000000"/>
                <w:lang w:val="en-GB"/>
              </w:rPr>
            </w:pPr>
            <w:r w:rsidRPr="00A03932">
              <w:rPr>
                <w:b/>
                <w:color w:val="000000"/>
                <w:lang w:val="en-GB"/>
              </w:rPr>
              <w:t xml:space="preserve">12 </w:t>
            </w:r>
            <w:r>
              <w:rPr>
                <w:b/>
                <w:color w:val="000000"/>
                <w:lang w:val="en-GB"/>
              </w:rPr>
              <w:t>M</w:t>
            </w:r>
            <w:r w:rsidRPr="00A03932">
              <w:rPr>
                <w:b/>
                <w:color w:val="000000"/>
                <w:lang w:val="en-GB"/>
              </w:rPr>
              <w:t>onths</w:t>
            </w:r>
          </w:p>
        </w:tc>
        <w:tc>
          <w:tcPr>
            <w:tcW w:w="1350" w:type="dxa"/>
            <w:tcBorders>
              <w:top w:val="single" w:sz="4" w:space="0" w:color="000000"/>
              <w:left w:val="single" w:sz="4" w:space="0" w:color="000000"/>
              <w:bottom w:val="single" w:sz="4" w:space="0" w:color="000000"/>
              <w:right w:val="single" w:sz="4" w:space="0" w:color="000000"/>
            </w:tcBorders>
            <w:vAlign w:val="center"/>
          </w:tcPr>
          <w:p w14:paraId="2E2BDCBA" w14:textId="3A85DC1E" w:rsidR="007707BB" w:rsidRPr="00A03932" w:rsidRDefault="007707BB" w:rsidP="005247EE">
            <w:pPr>
              <w:pStyle w:val="ExhibitText"/>
              <w:keepNext/>
              <w:jc w:val="center"/>
              <w:rPr>
                <w:b/>
                <w:color w:val="000000"/>
                <w:lang w:val="en-GB"/>
              </w:rPr>
            </w:pPr>
            <w:r w:rsidRPr="00A03932">
              <w:rPr>
                <w:b/>
                <w:color w:val="000000"/>
                <w:lang w:val="en-GB"/>
              </w:rPr>
              <w:t xml:space="preserve">12 </w:t>
            </w:r>
            <w:r>
              <w:rPr>
                <w:b/>
                <w:color w:val="000000"/>
                <w:lang w:val="en-GB"/>
              </w:rPr>
              <w:t>M</w:t>
            </w:r>
            <w:r w:rsidRPr="00A03932">
              <w:rPr>
                <w:b/>
                <w:color w:val="000000"/>
                <w:lang w:val="en-GB"/>
              </w:rPr>
              <w:t>onths</w:t>
            </w:r>
          </w:p>
        </w:tc>
        <w:tc>
          <w:tcPr>
            <w:tcW w:w="1350" w:type="dxa"/>
            <w:tcBorders>
              <w:top w:val="single" w:sz="4" w:space="0" w:color="000000"/>
              <w:left w:val="single" w:sz="4" w:space="0" w:color="000000"/>
              <w:bottom w:val="single" w:sz="4" w:space="0" w:color="000000"/>
              <w:right w:val="single" w:sz="4" w:space="0" w:color="000000"/>
            </w:tcBorders>
            <w:vAlign w:val="center"/>
          </w:tcPr>
          <w:p w14:paraId="392A7E1F" w14:textId="158D919E" w:rsidR="007707BB" w:rsidRPr="00A03932" w:rsidRDefault="007707BB" w:rsidP="005247EE">
            <w:pPr>
              <w:pStyle w:val="ExhibitText"/>
              <w:keepNext/>
              <w:jc w:val="center"/>
              <w:rPr>
                <w:b/>
                <w:color w:val="000000"/>
                <w:lang w:val="en-GB"/>
              </w:rPr>
            </w:pPr>
            <w:r w:rsidRPr="00A03932">
              <w:rPr>
                <w:b/>
                <w:color w:val="000000"/>
                <w:lang w:val="en-GB"/>
              </w:rPr>
              <w:t xml:space="preserve">12 </w:t>
            </w:r>
            <w:r>
              <w:rPr>
                <w:b/>
                <w:color w:val="000000"/>
                <w:lang w:val="en-GB"/>
              </w:rPr>
              <w:t>M</w:t>
            </w:r>
            <w:r w:rsidRPr="00A03932">
              <w:rPr>
                <w:b/>
                <w:color w:val="000000"/>
                <w:lang w:val="en-GB"/>
              </w:rPr>
              <w:t>onths</w:t>
            </w:r>
          </w:p>
        </w:tc>
        <w:tc>
          <w:tcPr>
            <w:tcW w:w="1170" w:type="dxa"/>
            <w:tcBorders>
              <w:top w:val="single" w:sz="4" w:space="0" w:color="000000"/>
              <w:left w:val="single" w:sz="4" w:space="0" w:color="000000"/>
              <w:bottom w:val="single" w:sz="4" w:space="0" w:color="000000"/>
              <w:right w:val="single" w:sz="4" w:space="0" w:color="000000"/>
            </w:tcBorders>
            <w:vAlign w:val="center"/>
          </w:tcPr>
          <w:p w14:paraId="7146BCC9" w14:textId="5FFD7EC1" w:rsidR="007707BB" w:rsidRPr="00A03932" w:rsidRDefault="007707BB" w:rsidP="005247EE">
            <w:pPr>
              <w:pStyle w:val="ExhibitText"/>
              <w:keepNext/>
              <w:jc w:val="center"/>
              <w:rPr>
                <w:b/>
                <w:color w:val="000000"/>
                <w:lang w:val="en-GB"/>
              </w:rPr>
            </w:pPr>
            <w:r w:rsidRPr="00A03932">
              <w:rPr>
                <w:b/>
                <w:color w:val="000000"/>
                <w:lang w:val="en-GB"/>
              </w:rPr>
              <w:t xml:space="preserve">12 </w:t>
            </w:r>
            <w:r>
              <w:rPr>
                <w:b/>
                <w:color w:val="000000"/>
                <w:lang w:val="en-GB"/>
              </w:rPr>
              <w:t>M</w:t>
            </w:r>
            <w:r w:rsidRPr="00A03932">
              <w:rPr>
                <w:b/>
                <w:color w:val="000000"/>
                <w:lang w:val="en-GB"/>
              </w:rPr>
              <w:t>onths</w:t>
            </w:r>
          </w:p>
        </w:tc>
      </w:tr>
      <w:tr w:rsidR="007707BB" w:rsidRPr="00640417" w14:paraId="0428571A" w14:textId="77777777" w:rsidTr="005247EE">
        <w:trPr>
          <w:trHeight w:val="251"/>
        </w:trPr>
        <w:tc>
          <w:tcPr>
            <w:tcW w:w="2775" w:type="dxa"/>
            <w:tcBorders>
              <w:top w:val="single" w:sz="4" w:space="0" w:color="000000"/>
              <w:left w:val="single" w:sz="4" w:space="0" w:color="000000"/>
              <w:bottom w:val="single" w:sz="4" w:space="0" w:color="000000"/>
              <w:right w:val="single" w:sz="4" w:space="0" w:color="000000"/>
            </w:tcBorders>
            <w:vAlign w:val="center"/>
          </w:tcPr>
          <w:p w14:paraId="4ACC7CC4" w14:textId="77777777" w:rsidR="007707BB" w:rsidRPr="00D40D30" w:rsidRDefault="007707BB" w:rsidP="005247EE">
            <w:pPr>
              <w:pStyle w:val="ExhibitText"/>
              <w:keepNext/>
              <w:jc w:val="left"/>
              <w:rPr>
                <w:color w:val="000000"/>
                <w:sz w:val="18"/>
                <w:szCs w:val="18"/>
                <w:lang w:val="en-GB"/>
              </w:rPr>
            </w:pPr>
            <w:r w:rsidRPr="00D40D30">
              <w:rPr>
                <w:color w:val="000000"/>
                <w:sz w:val="18"/>
                <w:szCs w:val="18"/>
                <w:lang w:val="en-GB"/>
              </w:rPr>
              <w:t>Sales Turnover</w:t>
            </w:r>
          </w:p>
        </w:tc>
        <w:tc>
          <w:tcPr>
            <w:tcW w:w="1350" w:type="dxa"/>
            <w:tcBorders>
              <w:top w:val="single" w:sz="4" w:space="0" w:color="000000"/>
              <w:left w:val="single" w:sz="4" w:space="0" w:color="000000"/>
              <w:bottom w:val="single" w:sz="4" w:space="0" w:color="000000"/>
              <w:right w:val="single" w:sz="4" w:space="0" w:color="000000"/>
            </w:tcBorders>
            <w:vAlign w:val="center"/>
          </w:tcPr>
          <w:p w14:paraId="65D71C18" w14:textId="7EE6D648"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1,019.91</w:t>
            </w:r>
          </w:p>
        </w:tc>
        <w:tc>
          <w:tcPr>
            <w:tcW w:w="1260" w:type="dxa"/>
            <w:tcBorders>
              <w:top w:val="single" w:sz="4" w:space="0" w:color="000000"/>
              <w:left w:val="single" w:sz="4" w:space="0" w:color="000000"/>
              <w:bottom w:val="single" w:sz="4" w:space="0" w:color="000000"/>
              <w:right w:val="single" w:sz="4" w:space="0" w:color="000000"/>
            </w:tcBorders>
            <w:vAlign w:val="center"/>
          </w:tcPr>
          <w:p w14:paraId="2407FD7F" w14:textId="176D382E"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1,139.83</w:t>
            </w:r>
          </w:p>
        </w:tc>
        <w:tc>
          <w:tcPr>
            <w:tcW w:w="1350" w:type="dxa"/>
            <w:tcBorders>
              <w:top w:val="single" w:sz="4" w:space="0" w:color="000000"/>
              <w:left w:val="single" w:sz="4" w:space="0" w:color="000000"/>
              <w:bottom w:val="single" w:sz="4" w:space="0" w:color="000000"/>
              <w:right w:val="single" w:sz="4" w:space="0" w:color="000000"/>
            </w:tcBorders>
            <w:vAlign w:val="center"/>
          </w:tcPr>
          <w:p w14:paraId="4A89FB32" w14:textId="3C5A34C7"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1,315.18</w:t>
            </w:r>
          </w:p>
        </w:tc>
        <w:tc>
          <w:tcPr>
            <w:tcW w:w="1350" w:type="dxa"/>
            <w:tcBorders>
              <w:top w:val="single" w:sz="4" w:space="0" w:color="000000"/>
              <w:left w:val="single" w:sz="4" w:space="0" w:color="000000"/>
              <w:bottom w:val="single" w:sz="4" w:space="0" w:color="000000"/>
              <w:right w:val="single" w:sz="4" w:space="0" w:color="000000"/>
            </w:tcBorders>
            <w:vAlign w:val="center"/>
          </w:tcPr>
          <w:p w14:paraId="4C162EB6" w14:textId="73180F98"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1,714.37</w:t>
            </w:r>
          </w:p>
        </w:tc>
        <w:tc>
          <w:tcPr>
            <w:tcW w:w="1170" w:type="dxa"/>
            <w:tcBorders>
              <w:top w:val="single" w:sz="4" w:space="0" w:color="000000"/>
              <w:left w:val="single" w:sz="4" w:space="0" w:color="000000"/>
              <w:bottom w:val="single" w:sz="4" w:space="0" w:color="000000"/>
              <w:right w:val="single" w:sz="4" w:space="0" w:color="000000"/>
            </w:tcBorders>
            <w:vAlign w:val="center"/>
          </w:tcPr>
          <w:p w14:paraId="20CD6F02" w14:textId="06FF9485"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1,992.17</w:t>
            </w:r>
          </w:p>
        </w:tc>
      </w:tr>
      <w:tr w:rsidR="007707BB" w:rsidRPr="00640417" w14:paraId="5020EC6A" w14:textId="77777777" w:rsidTr="005247EE">
        <w:trPr>
          <w:trHeight w:val="251"/>
        </w:trPr>
        <w:tc>
          <w:tcPr>
            <w:tcW w:w="2775" w:type="dxa"/>
            <w:tcBorders>
              <w:top w:val="single" w:sz="4" w:space="0" w:color="000000"/>
              <w:left w:val="single" w:sz="4" w:space="0" w:color="000000"/>
              <w:bottom w:val="single" w:sz="4" w:space="0" w:color="000000"/>
              <w:right w:val="single" w:sz="4" w:space="0" w:color="000000"/>
            </w:tcBorders>
            <w:vAlign w:val="center"/>
          </w:tcPr>
          <w:p w14:paraId="1AA23CD7" w14:textId="77777777" w:rsidR="007707BB" w:rsidRPr="00D40D30" w:rsidRDefault="007707BB" w:rsidP="005247EE">
            <w:pPr>
              <w:pStyle w:val="ExhibitText"/>
              <w:keepNext/>
              <w:jc w:val="left"/>
              <w:rPr>
                <w:color w:val="000000"/>
                <w:sz w:val="18"/>
                <w:szCs w:val="18"/>
                <w:lang w:val="en-GB"/>
              </w:rPr>
            </w:pPr>
            <w:r w:rsidRPr="00D40D30">
              <w:rPr>
                <w:color w:val="000000"/>
                <w:sz w:val="18"/>
                <w:szCs w:val="18"/>
                <w:lang w:val="en-GB"/>
              </w:rPr>
              <w:t>Excise Duty</w:t>
            </w:r>
          </w:p>
        </w:tc>
        <w:tc>
          <w:tcPr>
            <w:tcW w:w="1350" w:type="dxa"/>
            <w:tcBorders>
              <w:top w:val="single" w:sz="4" w:space="0" w:color="000000"/>
              <w:left w:val="single" w:sz="4" w:space="0" w:color="000000"/>
              <w:bottom w:val="single" w:sz="4" w:space="0" w:color="000000"/>
              <w:right w:val="single" w:sz="4" w:space="0" w:color="000000"/>
            </w:tcBorders>
            <w:vAlign w:val="center"/>
          </w:tcPr>
          <w:p w14:paraId="0DC900E5" w14:textId="78B78B21"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63.05</w:t>
            </w:r>
          </w:p>
        </w:tc>
        <w:tc>
          <w:tcPr>
            <w:tcW w:w="1260" w:type="dxa"/>
            <w:tcBorders>
              <w:top w:val="single" w:sz="4" w:space="0" w:color="000000"/>
              <w:left w:val="single" w:sz="4" w:space="0" w:color="000000"/>
              <w:bottom w:val="single" w:sz="4" w:space="0" w:color="000000"/>
              <w:right w:val="single" w:sz="4" w:space="0" w:color="000000"/>
            </w:tcBorders>
            <w:vAlign w:val="center"/>
          </w:tcPr>
          <w:p w14:paraId="1F1FC556" w14:textId="5410F9ED"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0.00</w:t>
            </w:r>
          </w:p>
        </w:tc>
        <w:tc>
          <w:tcPr>
            <w:tcW w:w="1350" w:type="dxa"/>
            <w:tcBorders>
              <w:top w:val="single" w:sz="4" w:space="0" w:color="000000"/>
              <w:left w:val="single" w:sz="4" w:space="0" w:color="000000"/>
              <w:bottom w:val="single" w:sz="4" w:space="0" w:color="000000"/>
              <w:right w:val="single" w:sz="4" w:space="0" w:color="000000"/>
            </w:tcBorders>
            <w:vAlign w:val="center"/>
          </w:tcPr>
          <w:p w14:paraId="20094455" w14:textId="6BA793E0"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0.00</w:t>
            </w:r>
          </w:p>
        </w:tc>
        <w:tc>
          <w:tcPr>
            <w:tcW w:w="1350" w:type="dxa"/>
            <w:tcBorders>
              <w:top w:val="single" w:sz="4" w:space="0" w:color="000000"/>
              <w:left w:val="single" w:sz="4" w:space="0" w:color="000000"/>
              <w:bottom w:val="single" w:sz="4" w:space="0" w:color="000000"/>
              <w:right w:val="single" w:sz="4" w:space="0" w:color="000000"/>
            </w:tcBorders>
            <w:vAlign w:val="center"/>
          </w:tcPr>
          <w:p w14:paraId="5F6DEAC4" w14:textId="7D1B3912"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0.00</w:t>
            </w:r>
          </w:p>
        </w:tc>
        <w:tc>
          <w:tcPr>
            <w:tcW w:w="1170" w:type="dxa"/>
            <w:tcBorders>
              <w:top w:val="single" w:sz="4" w:space="0" w:color="000000"/>
              <w:left w:val="single" w:sz="4" w:space="0" w:color="000000"/>
              <w:bottom w:val="single" w:sz="4" w:space="0" w:color="000000"/>
              <w:right w:val="single" w:sz="4" w:space="0" w:color="000000"/>
            </w:tcBorders>
            <w:vAlign w:val="center"/>
          </w:tcPr>
          <w:p w14:paraId="01987082" w14:textId="500EA93E"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0.00</w:t>
            </w:r>
          </w:p>
        </w:tc>
      </w:tr>
      <w:tr w:rsidR="007707BB" w:rsidRPr="00640417" w14:paraId="1AF7E1A0" w14:textId="77777777" w:rsidTr="005247EE">
        <w:trPr>
          <w:trHeight w:val="251"/>
        </w:trPr>
        <w:tc>
          <w:tcPr>
            <w:tcW w:w="2775" w:type="dxa"/>
            <w:tcBorders>
              <w:top w:val="single" w:sz="4" w:space="0" w:color="000000"/>
              <w:left w:val="single" w:sz="4" w:space="0" w:color="000000"/>
              <w:bottom w:val="single" w:sz="4" w:space="0" w:color="000000"/>
              <w:right w:val="single" w:sz="4" w:space="0" w:color="000000"/>
            </w:tcBorders>
            <w:vAlign w:val="center"/>
          </w:tcPr>
          <w:p w14:paraId="1A1A7966" w14:textId="77777777" w:rsidR="007707BB" w:rsidRPr="00D40D30" w:rsidRDefault="007707BB" w:rsidP="005247EE">
            <w:pPr>
              <w:pStyle w:val="ExhibitText"/>
              <w:keepNext/>
              <w:jc w:val="left"/>
              <w:rPr>
                <w:color w:val="000000"/>
                <w:sz w:val="18"/>
                <w:szCs w:val="18"/>
                <w:lang w:val="en-GB"/>
              </w:rPr>
            </w:pPr>
            <w:r w:rsidRPr="00D40D30">
              <w:rPr>
                <w:color w:val="000000"/>
                <w:sz w:val="18"/>
                <w:szCs w:val="18"/>
                <w:lang w:val="en-GB"/>
              </w:rPr>
              <w:t>Net Sales</w:t>
            </w:r>
          </w:p>
        </w:tc>
        <w:tc>
          <w:tcPr>
            <w:tcW w:w="1350" w:type="dxa"/>
            <w:tcBorders>
              <w:top w:val="single" w:sz="4" w:space="0" w:color="000000"/>
              <w:left w:val="single" w:sz="4" w:space="0" w:color="000000"/>
              <w:bottom w:val="single" w:sz="4" w:space="0" w:color="000000"/>
              <w:right w:val="single" w:sz="4" w:space="0" w:color="000000"/>
            </w:tcBorders>
            <w:vAlign w:val="center"/>
          </w:tcPr>
          <w:p w14:paraId="306705FB" w14:textId="34615E4F"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956.86</w:t>
            </w:r>
          </w:p>
        </w:tc>
        <w:tc>
          <w:tcPr>
            <w:tcW w:w="1260" w:type="dxa"/>
            <w:tcBorders>
              <w:top w:val="single" w:sz="4" w:space="0" w:color="000000"/>
              <w:left w:val="single" w:sz="4" w:space="0" w:color="000000"/>
              <w:bottom w:val="single" w:sz="4" w:space="0" w:color="000000"/>
              <w:right w:val="single" w:sz="4" w:space="0" w:color="000000"/>
            </w:tcBorders>
            <w:vAlign w:val="center"/>
          </w:tcPr>
          <w:p w14:paraId="2413F63A" w14:textId="2A50E24C"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1,139.83</w:t>
            </w:r>
          </w:p>
        </w:tc>
        <w:tc>
          <w:tcPr>
            <w:tcW w:w="1350" w:type="dxa"/>
            <w:tcBorders>
              <w:top w:val="single" w:sz="4" w:space="0" w:color="000000"/>
              <w:left w:val="single" w:sz="4" w:space="0" w:color="000000"/>
              <w:bottom w:val="single" w:sz="4" w:space="0" w:color="000000"/>
              <w:right w:val="single" w:sz="4" w:space="0" w:color="000000"/>
            </w:tcBorders>
            <w:vAlign w:val="center"/>
          </w:tcPr>
          <w:p w14:paraId="74CE8497" w14:textId="16E0F38F"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1,315.18</w:t>
            </w:r>
          </w:p>
        </w:tc>
        <w:tc>
          <w:tcPr>
            <w:tcW w:w="1350" w:type="dxa"/>
            <w:tcBorders>
              <w:top w:val="single" w:sz="4" w:space="0" w:color="000000"/>
              <w:left w:val="single" w:sz="4" w:space="0" w:color="000000"/>
              <w:bottom w:val="single" w:sz="4" w:space="0" w:color="000000"/>
              <w:right w:val="single" w:sz="4" w:space="0" w:color="000000"/>
            </w:tcBorders>
            <w:vAlign w:val="center"/>
          </w:tcPr>
          <w:p w14:paraId="68B8B1D8" w14:textId="18695550"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1,714.37</w:t>
            </w:r>
          </w:p>
        </w:tc>
        <w:tc>
          <w:tcPr>
            <w:tcW w:w="1170" w:type="dxa"/>
            <w:tcBorders>
              <w:top w:val="single" w:sz="4" w:space="0" w:color="000000"/>
              <w:left w:val="single" w:sz="4" w:space="0" w:color="000000"/>
              <w:bottom w:val="single" w:sz="4" w:space="0" w:color="000000"/>
              <w:right w:val="single" w:sz="4" w:space="0" w:color="000000"/>
            </w:tcBorders>
            <w:vAlign w:val="center"/>
          </w:tcPr>
          <w:p w14:paraId="4977FB7E" w14:textId="01D39EBB"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1,992.17</w:t>
            </w:r>
          </w:p>
        </w:tc>
      </w:tr>
      <w:tr w:rsidR="007707BB" w:rsidRPr="00640417" w14:paraId="55D3D083" w14:textId="77777777" w:rsidTr="005247EE">
        <w:trPr>
          <w:trHeight w:val="328"/>
        </w:trPr>
        <w:tc>
          <w:tcPr>
            <w:tcW w:w="2775" w:type="dxa"/>
            <w:tcBorders>
              <w:top w:val="single" w:sz="4" w:space="0" w:color="000000"/>
              <w:left w:val="single" w:sz="4" w:space="0" w:color="000000"/>
              <w:bottom w:val="single" w:sz="4" w:space="0" w:color="000000"/>
              <w:right w:val="single" w:sz="4" w:space="0" w:color="000000"/>
            </w:tcBorders>
            <w:vAlign w:val="center"/>
          </w:tcPr>
          <w:p w14:paraId="32976A3A" w14:textId="77777777" w:rsidR="007707BB" w:rsidRPr="00D40D30" w:rsidRDefault="007707BB" w:rsidP="005247EE">
            <w:pPr>
              <w:pStyle w:val="ExhibitText"/>
              <w:keepNext/>
              <w:jc w:val="left"/>
              <w:rPr>
                <w:color w:val="000000"/>
                <w:sz w:val="18"/>
                <w:szCs w:val="18"/>
                <w:lang w:val="en-GB"/>
              </w:rPr>
            </w:pPr>
            <w:r w:rsidRPr="00D40D30">
              <w:rPr>
                <w:color w:val="000000"/>
                <w:sz w:val="18"/>
                <w:szCs w:val="18"/>
                <w:lang w:val="en-GB"/>
              </w:rPr>
              <w:t>Other Income</w:t>
            </w:r>
          </w:p>
        </w:tc>
        <w:tc>
          <w:tcPr>
            <w:tcW w:w="1350" w:type="dxa"/>
            <w:tcBorders>
              <w:top w:val="single" w:sz="4" w:space="0" w:color="000000"/>
              <w:left w:val="single" w:sz="4" w:space="0" w:color="000000"/>
              <w:bottom w:val="single" w:sz="4" w:space="0" w:color="000000"/>
              <w:right w:val="single" w:sz="4" w:space="0" w:color="000000"/>
            </w:tcBorders>
            <w:vAlign w:val="center"/>
          </w:tcPr>
          <w:p w14:paraId="421CFCD2" w14:textId="166BD724"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46.51</w:t>
            </w:r>
          </w:p>
        </w:tc>
        <w:tc>
          <w:tcPr>
            <w:tcW w:w="1260" w:type="dxa"/>
            <w:tcBorders>
              <w:top w:val="single" w:sz="4" w:space="0" w:color="000000"/>
              <w:left w:val="single" w:sz="4" w:space="0" w:color="000000"/>
              <w:bottom w:val="single" w:sz="4" w:space="0" w:color="000000"/>
              <w:right w:val="single" w:sz="4" w:space="0" w:color="000000"/>
            </w:tcBorders>
            <w:vAlign w:val="center"/>
          </w:tcPr>
          <w:p w14:paraId="3B568C05" w14:textId="7C065858"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18.54</w:t>
            </w:r>
          </w:p>
        </w:tc>
        <w:tc>
          <w:tcPr>
            <w:tcW w:w="1350" w:type="dxa"/>
            <w:tcBorders>
              <w:top w:val="single" w:sz="4" w:space="0" w:color="000000"/>
              <w:left w:val="single" w:sz="4" w:space="0" w:color="000000"/>
              <w:bottom w:val="single" w:sz="4" w:space="0" w:color="000000"/>
              <w:right w:val="single" w:sz="4" w:space="0" w:color="000000"/>
            </w:tcBorders>
            <w:vAlign w:val="center"/>
          </w:tcPr>
          <w:p w14:paraId="67EB0FF0" w14:textId="4EEC801A"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–22.08</w:t>
            </w:r>
          </w:p>
        </w:tc>
        <w:tc>
          <w:tcPr>
            <w:tcW w:w="1350" w:type="dxa"/>
            <w:tcBorders>
              <w:top w:val="single" w:sz="4" w:space="0" w:color="000000"/>
              <w:left w:val="single" w:sz="4" w:space="0" w:color="000000"/>
              <w:bottom w:val="single" w:sz="4" w:space="0" w:color="000000"/>
              <w:right w:val="single" w:sz="4" w:space="0" w:color="000000"/>
            </w:tcBorders>
            <w:vAlign w:val="center"/>
          </w:tcPr>
          <w:p w14:paraId="57826B76" w14:textId="1BFA9596"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–20.47</w:t>
            </w:r>
          </w:p>
        </w:tc>
        <w:tc>
          <w:tcPr>
            <w:tcW w:w="1170" w:type="dxa"/>
            <w:tcBorders>
              <w:top w:val="single" w:sz="4" w:space="0" w:color="000000"/>
              <w:left w:val="single" w:sz="4" w:space="0" w:color="000000"/>
              <w:bottom w:val="single" w:sz="4" w:space="0" w:color="000000"/>
              <w:right w:val="single" w:sz="4" w:space="0" w:color="000000"/>
            </w:tcBorders>
            <w:vAlign w:val="center"/>
          </w:tcPr>
          <w:p w14:paraId="0A7F6F0C" w14:textId="51D770A7"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–62.81</w:t>
            </w:r>
          </w:p>
        </w:tc>
      </w:tr>
      <w:tr w:rsidR="007707BB" w:rsidRPr="00640417" w14:paraId="5C7D7237" w14:textId="77777777" w:rsidTr="005247EE">
        <w:trPr>
          <w:trHeight w:val="251"/>
        </w:trPr>
        <w:tc>
          <w:tcPr>
            <w:tcW w:w="2775" w:type="dxa"/>
            <w:tcBorders>
              <w:top w:val="single" w:sz="4" w:space="0" w:color="000000"/>
              <w:left w:val="single" w:sz="4" w:space="0" w:color="000000"/>
              <w:bottom w:val="single" w:sz="4" w:space="0" w:color="000000"/>
              <w:right w:val="single" w:sz="4" w:space="0" w:color="000000"/>
            </w:tcBorders>
            <w:vAlign w:val="center"/>
          </w:tcPr>
          <w:p w14:paraId="39F3116C" w14:textId="77777777" w:rsidR="007707BB" w:rsidRPr="00D40D30" w:rsidRDefault="007707BB" w:rsidP="005247EE">
            <w:pPr>
              <w:pStyle w:val="ExhibitText"/>
              <w:keepNext/>
              <w:jc w:val="left"/>
              <w:rPr>
                <w:color w:val="000000"/>
                <w:sz w:val="18"/>
                <w:szCs w:val="18"/>
                <w:lang w:val="en-GB"/>
              </w:rPr>
            </w:pPr>
            <w:r w:rsidRPr="00D40D30">
              <w:rPr>
                <w:color w:val="000000"/>
                <w:sz w:val="18"/>
                <w:szCs w:val="18"/>
                <w:lang w:val="en-GB"/>
              </w:rPr>
              <w:t>Stock Adjustments</w:t>
            </w:r>
          </w:p>
        </w:tc>
        <w:tc>
          <w:tcPr>
            <w:tcW w:w="1350" w:type="dxa"/>
            <w:tcBorders>
              <w:top w:val="single" w:sz="4" w:space="0" w:color="000000"/>
              <w:left w:val="single" w:sz="4" w:space="0" w:color="000000"/>
              <w:bottom w:val="single" w:sz="4" w:space="0" w:color="000000"/>
              <w:right w:val="single" w:sz="4" w:space="0" w:color="000000"/>
            </w:tcBorders>
            <w:vAlign w:val="center"/>
          </w:tcPr>
          <w:p w14:paraId="6175E60A" w14:textId="42293CC5"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63EBA1E6" w14:textId="1A7826E6"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40.15</w:t>
            </w:r>
          </w:p>
        </w:tc>
        <w:tc>
          <w:tcPr>
            <w:tcW w:w="1350" w:type="dxa"/>
            <w:tcBorders>
              <w:top w:val="single" w:sz="4" w:space="0" w:color="000000"/>
              <w:left w:val="single" w:sz="4" w:space="0" w:color="000000"/>
              <w:bottom w:val="single" w:sz="4" w:space="0" w:color="000000"/>
              <w:right w:val="single" w:sz="4" w:space="0" w:color="000000"/>
            </w:tcBorders>
            <w:vAlign w:val="center"/>
          </w:tcPr>
          <w:p w14:paraId="127C3827" w14:textId="61FB4667"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72.56</w:t>
            </w:r>
          </w:p>
        </w:tc>
        <w:tc>
          <w:tcPr>
            <w:tcW w:w="1350" w:type="dxa"/>
            <w:tcBorders>
              <w:top w:val="single" w:sz="4" w:space="0" w:color="000000"/>
              <w:left w:val="single" w:sz="4" w:space="0" w:color="000000"/>
              <w:bottom w:val="single" w:sz="4" w:space="0" w:color="000000"/>
              <w:right w:val="single" w:sz="4" w:space="0" w:color="000000"/>
            </w:tcBorders>
            <w:vAlign w:val="center"/>
          </w:tcPr>
          <w:p w14:paraId="4FFCC620" w14:textId="774965D1"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60.64</w:t>
            </w:r>
          </w:p>
        </w:tc>
        <w:tc>
          <w:tcPr>
            <w:tcW w:w="1170" w:type="dxa"/>
            <w:tcBorders>
              <w:top w:val="single" w:sz="4" w:space="0" w:color="000000"/>
              <w:left w:val="single" w:sz="4" w:space="0" w:color="000000"/>
              <w:bottom w:val="single" w:sz="4" w:space="0" w:color="000000"/>
              <w:right w:val="single" w:sz="4" w:space="0" w:color="000000"/>
            </w:tcBorders>
            <w:vAlign w:val="center"/>
          </w:tcPr>
          <w:p w14:paraId="527B3A6E" w14:textId="7CA7014A"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–19.94</w:t>
            </w:r>
          </w:p>
        </w:tc>
      </w:tr>
      <w:tr w:rsidR="007707BB" w:rsidRPr="00640417" w14:paraId="2044D889" w14:textId="77777777" w:rsidTr="005247EE">
        <w:trPr>
          <w:trHeight w:val="251"/>
        </w:trPr>
        <w:tc>
          <w:tcPr>
            <w:tcW w:w="2775" w:type="dxa"/>
            <w:tcBorders>
              <w:top w:val="single" w:sz="4" w:space="0" w:color="000000"/>
              <w:left w:val="single" w:sz="4" w:space="0" w:color="000000"/>
              <w:bottom w:val="single" w:sz="4" w:space="0" w:color="000000"/>
              <w:right w:val="single" w:sz="4" w:space="0" w:color="000000"/>
            </w:tcBorders>
            <w:vAlign w:val="center"/>
          </w:tcPr>
          <w:p w14:paraId="5393832B" w14:textId="77777777" w:rsidR="007707BB" w:rsidRPr="00D40D30" w:rsidRDefault="007707BB" w:rsidP="005247EE">
            <w:pPr>
              <w:pStyle w:val="ExhibitText"/>
              <w:keepNext/>
              <w:jc w:val="left"/>
              <w:rPr>
                <w:color w:val="000000"/>
                <w:sz w:val="18"/>
                <w:szCs w:val="18"/>
                <w:lang w:val="en-GB"/>
              </w:rPr>
            </w:pPr>
            <w:r w:rsidRPr="00D40D30">
              <w:rPr>
                <w:color w:val="000000"/>
                <w:sz w:val="18"/>
                <w:szCs w:val="18"/>
                <w:lang w:val="en-GB"/>
              </w:rPr>
              <w:t>Total Income</w:t>
            </w:r>
          </w:p>
        </w:tc>
        <w:tc>
          <w:tcPr>
            <w:tcW w:w="1350" w:type="dxa"/>
            <w:tcBorders>
              <w:top w:val="single" w:sz="4" w:space="0" w:color="000000"/>
              <w:left w:val="single" w:sz="4" w:space="0" w:color="000000"/>
              <w:bottom w:val="single" w:sz="4" w:space="0" w:color="000000"/>
              <w:right w:val="single" w:sz="4" w:space="0" w:color="000000"/>
            </w:tcBorders>
            <w:vAlign w:val="center"/>
          </w:tcPr>
          <w:p w14:paraId="3AD3DFAA" w14:textId="430D305A"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1,010.32</w:t>
            </w:r>
          </w:p>
        </w:tc>
        <w:tc>
          <w:tcPr>
            <w:tcW w:w="1260" w:type="dxa"/>
            <w:tcBorders>
              <w:top w:val="single" w:sz="4" w:space="0" w:color="000000"/>
              <w:left w:val="single" w:sz="4" w:space="0" w:color="000000"/>
              <w:bottom w:val="single" w:sz="4" w:space="0" w:color="000000"/>
              <w:right w:val="single" w:sz="4" w:space="0" w:color="000000"/>
            </w:tcBorders>
            <w:vAlign w:val="center"/>
          </w:tcPr>
          <w:p w14:paraId="0EDF8B71" w14:textId="0E791402"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1,198.51</w:t>
            </w:r>
          </w:p>
        </w:tc>
        <w:tc>
          <w:tcPr>
            <w:tcW w:w="1350" w:type="dxa"/>
            <w:tcBorders>
              <w:top w:val="single" w:sz="4" w:space="0" w:color="000000"/>
              <w:left w:val="single" w:sz="4" w:space="0" w:color="000000"/>
              <w:bottom w:val="single" w:sz="4" w:space="0" w:color="000000"/>
              <w:right w:val="single" w:sz="4" w:space="0" w:color="000000"/>
            </w:tcBorders>
            <w:vAlign w:val="center"/>
          </w:tcPr>
          <w:p w14:paraId="30FCB2C8" w14:textId="7FC8B8E7"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1,365.66</w:t>
            </w:r>
          </w:p>
        </w:tc>
        <w:tc>
          <w:tcPr>
            <w:tcW w:w="1350" w:type="dxa"/>
            <w:tcBorders>
              <w:top w:val="single" w:sz="4" w:space="0" w:color="000000"/>
              <w:left w:val="single" w:sz="4" w:space="0" w:color="000000"/>
              <w:bottom w:val="single" w:sz="4" w:space="0" w:color="000000"/>
              <w:right w:val="single" w:sz="4" w:space="0" w:color="000000"/>
            </w:tcBorders>
            <w:vAlign w:val="center"/>
          </w:tcPr>
          <w:p w14:paraId="34ED2AEE" w14:textId="55D40A52"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1,754.54</w:t>
            </w:r>
          </w:p>
        </w:tc>
        <w:tc>
          <w:tcPr>
            <w:tcW w:w="1170" w:type="dxa"/>
            <w:tcBorders>
              <w:top w:val="single" w:sz="4" w:space="0" w:color="000000"/>
              <w:left w:val="single" w:sz="4" w:space="0" w:color="000000"/>
              <w:bottom w:val="single" w:sz="4" w:space="0" w:color="000000"/>
              <w:right w:val="single" w:sz="4" w:space="0" w:color="000000"/>
            </w:tcBorders>
            <w:vAlign w:val="center"/>
          </w:tcPr>
          <w:p w14:paraId="362E10BC" w14:textId="4EBD9E98"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1,909.43</w:t>
            </w:r>
          </w:p>
        </w:tc>
      </w:tr>
      <w:tr w:rsidR="007707BB" w:rsidRPr="00640417" w14:paraId="4B33C8C6" w14:textId="77777777" w:rsidTr="005247EE">
        <w:trPr>
          <w:trHeight w:val="251"/>
        </w:trPr>
        <w:tc>
          <w:tcPr>
            <w:tcW w:w="2775" w:type="dxa"/>
            <w:tcBorders>
              <w:top w:val="single" w:sz="4" w:space="0" w:color="000000"/>
              <w:left w:val="single" w:sz="4" w:space="0" w:color="000000"/>
              <w:bottom w:val="single" w:sz="4" w:space="0" w:color="000000"/>
              <w:right w:val="single" w:sz="4" w:space="0" w:color="000000"/>
            </w:tcBorders>
            <w:vAlign w:val="center"/>
          </w:tcPr>
          <w:p w14:paraId="0C33CA40" w14:textId="77777777" w:rsidR="007707BB" w:rsidRPr="00640417" w:rsidRDefault="007707BB" w:rsidP="005247EE">
            <w:pPr>
              <w:pStyle w:val="ExhibitText"/>
              <w:keepNext/>
              <w:jc w:val="center"/>
              <w:rPr>
                <w:b/>
                <w:color w:val="000000"/>
                <w:lang w:val="en-GB"/>
              </w:rPr>
            </w:pPr>
            <w:r w:rsidRPr="00640417">
              <w:rPr>
                <w:b/>
                <w:color w:val="000000"/>
                <w:lang w:val="en-GB"/>
              </w:rPr>
              <w:t>Expenditure</w:t>
            </w:r>
          </w:p>
        </w:tc>
        <w:tc>
          <w:tcPr>
            <w:tcW w:w="1350" w:type="dxa"/>
            <w:tcBorders>
              <w:top w:val="single" w:sz="4" w:space="0" w:color="000000"/>
              <w:left w:val="single" w:sz="4" w:space="0" w:color="000000"/>
              <w:bottom w:val="single" w:sz="4" w:space="0" w:color="000000"/>
              <w:right w:val="single" w:sz="4" w:space="0" w:color="000000"/>
            </w:tcBorders>
          </w:tcPr>
          <w:p w14:paraId="247EDE59" w14:textId="77777777" w:rsidR="007707BB" w:rsidRPr="00D40D30" w:rsidRDefault="007707BB" w:rsidP="005247EE">
            <w:pPr>
              <w:pStyle w:val="ExhibitText"/>
              <w:keepNext/>
              <w:jc w:val="right"/>
              <w:rPr>
                <w:color w:val="000000"/>
                <w:sz w:val="18"/>
                <w:szCs w:val="18"/>
                <w:lang w:val="en-GB"/>
              </w:rPr>
            </w:pPr>
          </w:p>
        </w:tc>
        <w:tc>
          <w:tcPr>
            <w:tcW w:w="1260" w:type="dxa"/>
            <w:tcBorders>
              <w:top w:val="single" w:sz="4" w:space="0" w:color="000000"/>
              <w:left w:val="single" w:sz="4" w:space="0" w:color="000000"/>
              <w:bottom w:val="single" w:sz="4" w:space="0" w:color="000000"/>
              <w:right w:val="single" w:sz="4" w:space="0" w:color="000000"/>
            </w:tcBorders>
          </w:tcPr>
          <w:p w14:paraId="46D4CC8F" w14:textId="77777777" w:rsidR="007707BB" w:rsidRPr="00D40D30" w:rsidRDefault="007707BB" w:rsidP="005247EE">
            <w:pPr>
              <w:pStyle w:val="ExhibitText"/>
              <w:keepNext/>
              <w:jc w:val="right"/>
              <w:rPr>
                <w:color w:val="000000"/>
                <w:sz w:val="18"/>
                <w:szCs w:val="18"/>
                <w:lang w:val="en-GB"/>
              </w:rPr>
            </w:pPr>
          </w:p>
        </w:tc>
        <w:tc>
          <w:tcPr>
            <w:tcW w:w="1350" w:type="dxa"/>
            <w:tcBorders>
              <w:top w:val="single" w:sz="4" w:space="0" w:color="000000"/>
              <w:left w:val="single" w:sz="4" w:space="0" w:color="000000"/>
              <w:bottom w:val="single" w:sz="4" w:space="0" w:color="000000"/>
              <w:right w:val="single" w:sz="4" w:space="0" w:color="000000"/>
            </w:tcBorders>
          </w:tcPr>
          <w:p w14:paraId="25506C7B" w14:textId="77777777" w:rsidR="007707BB" w:rsidRPr="00D40D30" w:rsidRDefault="007707BB" w:rsidP="005247EE">
            <w:pPr>
              <w:pStyle w:val="ExhibitText"/>
              <w:keepNext/>
              <w:jc w:val="right"/>
              <w:rPr>
                <w:color w:val="000000"/>
                <w:sz w:val="18"/>
                <w:szCs w:val="18"/>
                <w:lang w:val="en-GB"/>
              </w:rPr>
            </w:pPr>
          </w:p>
        </w:tc>
        <w:tc>
          <w:tcPr>
            <w:tcW w:w="1350" w:type="dxa"/>
            <w:tcBorders>
              <w:top w:val="single" w:sz="4" w:space="0" w:color="000000"/>
              <w:left w:val="single" w:sz="4" w:space="0" w:color="000000"/>
              <w:bottom w:val="single" w:sz="4" w:space="0" w:color="000000"/>
              <w:right w:val="single" w:sz="4" w:space="0" w:color="000000"/>
            </w:tcBorders>
          </w:tcPr>
          <w:p w14:paraId="28C24997" w14:textId="77777777" w:rsidR="007707BB" w:rsidRPr="00D40D30" w:rsidRDefault="007707BB" w:rsidP="005247EE">
            <w:pPr>
              <w:pStyle w:val="ExhibitText"/>
              <w:keepNext/>
              <w:jc w:val="right"/>
              <w:rPr>
                <w:color w:val="000000"/>
                <w:sz w:val="18"/>
                <w:szCs w:val="18"/>
                <w:lang w:val="en-GB"/>
              </w:rPr>
            </w:pPr>
          </w:p>
        </w:tc>
        <w:tc>
          <w:tcPr>
            <w:tcW w:w="1170" w:type="dxa"/>
            <w:tcBorders>
              <w:top w:val="single" w:sz="4" w:space="0" w:color="000000"/>
              <w:left w:val="single" w:sz="4" w:space="0" w:color="000000"/>
              <w:bottom w:val="single" w:sz="4" w:space="0" w:color="000000"/>
              <w:right w:val="single" w:sz="4" w:space="0" w:color="000000"/>
            </w:tcBorders>
            <w:vAlign w:val="center"/>
          </w:tcPr>
          <w:p w14:paraId="39E2C1DB" w14:textId="0994B3CC" w:rsidR="007707BB" w:rsidRPr="00D40D30" w:rsidRDefault="007707BB" w:rsidP="005247EE">
            <w:pPr>
              <w:pStyle w:val="ExhibitText"/>
              <w:keepNext/>
              <w:jc w:val="right"/>
              <w:rPr>
                <w:color w:val="000000"/>
                <w:sz w:val="18"/>
                <w:szCs w:val="18"/>
                <w:lang w:val="en-GB"/>
              </w:rPr>
            </w:pPr>
          </w:p>
        </w:tc>
      </w:tr>
      <w:tr w:rsidR="007707BB" w:rsidRPr="00640417" w14:paraId="00557865" w14:textId="77777777" w:rsidTr="005247EE">
        <w:trPr>
          <w:trHeight w:val="222"/>
        </w:trPr>
        <w:tc>
          <w:tcPr>
            <w:tcW w:w="2775" w:type="dxa"/>
            <w:tcBorders>
              <w:top w:val="single" w:sz="4" w:space="0" w:color="000000"/>
              <w:left w:val="single" w:sz="4" w:space="0" w:color="000000"/>
              <w:bottom w:val="single" w:sz="4" w:space="0" w:color="000000"/>
              <w:right w:val="single" w:sz="4" w:space="0" w:color="000000"/>
            </w:tcBorders>
            <w:vAlign w:val="center"/>
          </w:tcPr>
          <w:p w14:paraId="1CAA2215" w14:textId="77777777" w:rsidR="007707BB" w:rsidRPr="00D40D30" w:rsidRDefault="007707BB" w:rsidP="005247EE">
            <w:pPr>
              <w:pStyle w:val="ExhibitText"/>
              <w:keepNext/>
              <w:jc w:val="left"/>
              <w:rPr>
                <w:color w:val="000000"/>
                <w:sz w:val="18"/>
                <w:szCs w:val="18"/>
                <w:lang w:val="en-GB"/>
              </w:rPr>
            </w:pPr>
            <w:r w:rsidRPr="00D40D30">
              <w:rPr>
                <w:color w:val="000000"/>
                <w:sz w:val="18"/>
                <w:szCs w:val="18"/>
                <w:lang w:val="en-GB"/>
              </w:rPr>
              <w:t>Raw Materials</w:t>
            </w:r>
          </w:p>
        </w:tc>
        <w:tc>
          <w:tcPr>
            <w:tcW w:w="1350" w:type="dxa"/>
            <w:tcBorders>
              <w:top w:val="single" w:sz="4" w:space="0" w:color="000000"/>
              <w:left w:val="single" w:sz="4" w:space="0" w:color="000000"/>
              <w:bottom w:val="single" w:sz="4" w:space="0" w:color="000000"/>
              <w:right w:val="single" w:sz="4" w:space="0" w:color="000000"/>
            </w:tcBorders>
            <w:vAlign w:val="center"/>
          </w:tcPr>
          <w:p w14:paraId="453CE114" w14:textId="7FBC3A05"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629.09</w:t>
            </w:r>
          </w:p>
        </w:tc>
        <w:tc>
          <w:tcPr>
            <w:tcW w:w="1260" w:type="dxa"/>
            <w:tcBorders>
              <w:top w:val="single" w:sz="4" w:space="0" w:color="000000"/>
              <w:left w:val="single" w:sz="4" w:space="0" w:color="000000"/>
              <w:bottom w:val="single" w:sz="4" w:space="0" w:color="000000"/>
              <w:right w:val="single" w:sz="4" w:space="0" w:color="000000"/>
            </w:tcBorders>
            <w:vAlign w:val="center"/>
          </w:tcPr>
          <w:p w14:paraId="7ADE76C6" w14:textId="7CB11ED3"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818.99</w:t>
            </w:r>
          </w:p>
        </w:tc>
        <w:tc>
          <w:tcPr>
            <w:tcW w:w="1350" w:type="dxa"/>
            <w:tcBorders>
              <w:top w:val="single" w:sz="4" w:space="0" w:color="000000"/>
              <w:left w:val="single" w:sz="4" w:space="0" w:color="000000"/>
              <w:bottom w:val="single" w:sz="4" w:space="0" w:color="000000"/>
              <w:right w:val="single" w:sz="4" w:space="0" w:color="000000"/>
            </w:tcBorders>
            <w:vAlign w:val="center"/>
          </w:tcPr>
          <w:p w14:paraId="54ED3574" w14:textId="6DB9C9DD"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1,020.77</w:t>
            </w:r>
          </w:p>
        </w:tc>
        <w:tc>
          <w:tcPr>
            <w:tcW w:w="1350" w:type="dxa"/>
            <w:tcBorders>
              <w:top w:val="single" w:sz="4" w:space="0" w:color="000000"/>
              <w:left w:val="single" w:sz="4" w:space="0" w:color="000000"/>
              <w:bottom w:val="single" w:sz="4" w:space="0" w:color="000000"/>
              <w:right w:val="single" w:sz="4" w:space="0" w:color="000000"/>
            </w:tcBorders>
            <w:vAlign w:val="center"/>
          </w:tcPr>
          <w:p w14:paraId="1FD6E106" w14:textId="28D17362"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1,303.27</w:t>
            </w:r>
          </w:p>
        </w:tc>
        <w:tc>
          <w:tcPr>
            <w:tcW w:w="1170" w:type="dxa"/>
            <w:tcBorders>
              <w:top w:val="single" w:sz="4" w:space="0" w:color="000000"/>
              <w:left w:val="single" w:sz="4" w:space="0" w:color="000000"/>
              <w:bottom w:val="single" w:sz="4" w:space="0" w:color="000000"/>
              <w:right w:val="single" w:sz="4" w:space="0" w:color="000000"/>
            </w:tcBorders>
            <w:vAlign w:val="center"/>
          </w:tcPr>
          <w:p w14:paraId="631A3AFA" w14:textId="64317834"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1,433.67</w:t>
            </w:r>
          </w:p>
        </w:tc>
      </w:tr>
      <w:tr w:rsidR="007707BB" w:rsidRPr="00640417" w14:paraId="26DF7739" w14:textId="77777777" w:rsidTr="005247EE">
        <w:trPr>
          <w:trHeight w:val="180"/>
        </w:trPr>
        <w:tc>
          <w:tcPr>
            <w:tcW w:w="2775" w:type="dxa"/>
            <w:tcBorders>
              <w:top w:val="single" w:sz="4" w:space="0" w:color="000000"/>
              <w:left w:val="single" w:sz="4" w:space="0" w:color="000000"/>
              <w:bottom w:val="single" w:sz="4" w:space="0" w:color="000000"/>
              <w:right w:val="single" w:sz="4" w:space="0" w:color="000000"/>
            </w:tcBorders>
            <w:vAlign w:val="center"/>
          </w:tcPr>
          <w:p w14:paraId="69F8598F" w14:textId="5406A626" w:rsidR="007707BB" w:rsidRPr="00D40D30" w:rsidRDefault="007707BB" w:rsidP="005247EE">
            <w:pPr>
              <w:pStyle w:val="ExhibitText"/>
              <w:keepNext/>
              <w:jc w:val="left"/>
              <w:rPr>
                <w:color w:val="000000"/>
                <w:sz w:val="18"/>
                <w:szCs w:val="18"/>
                <w:lang w:val="en-GB"/>
              </w:rPr>
            </w:pPr>
            <w:r w:rsidRPr="00D40D30">
              <w:rPr>
                <w:color w:val="000000"/>
                <w:sz w:val="18"/>
                <w:szCs w:val="18"/>
                <w:lang w:val="en-GB"/>
              </w:rPr>
              <w:t>Power and Fuel Cost</w:t>
            </w:r>
            <w:r>
              <w:rPr>
                <w:color w:val="000000"/>
                <w:sz w:val="18"/>
                <w:szCs w:val="18"/>
                <w:lang w:val="en-GB"/>
              </w:rPr>
              <w:t>s</w:t>
            </w:r>
          </w:p>
        </w:tc>
        <w:tc>
          <w:tcPr>
            <w:tcW w:w="1350" w:type="dxa"/>
            <w:tcBorders>
              <w:top w:val="single" w:sz="4" w:space="0" w:color="000000"/>
              <w:left w:val="single" w:sz="4" w:space="0" w:color="000000"/>
              <w:bottom w:val="single" w:sz="4" w:space="0" w:color="000000"/>
              <w:right w:val="single" w:sz="4" w:space="0" w:color="000000"/>
            </w:tcBorders>
            <w:vAlign w:val="center"/>
          </w:tcPr>
          <w:p w14:paraId="7620B06E" w14:textId="730AC62D"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83.96</w:t>
            </w:r>
          </w:p>
        </w:tc>
        <w:tc>
          <w:tcPr>
            <w:tcW w:w="1260" w:type="dxa"/>
            <w:tcBorders>
              <w:top w:val="single" w:sz="4" w:space="0" w:color="000000"/>
              <w:left w:val="single" w:sz="4" w:space="0" w:color="000000"/>
              <w:bottom w:val="single" w:sz="4" w:space="0" w:color="000000"/>
              <w:right w:val="single" w:sz="4" w:space="0" w:color="000000"/>
            </w:tcBorders>
            <w:vAlign w:val="center"/>
          </w:tcPr>
          <w:p w14:paraId="0CE922DD" w14:textId="31F87412"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93.38</w:t>
            </w:r>
          </w:p>
        </w:tc>
        <w:tc>
          <w:tcPr>
            <w:tcW w:w="1350" w:type="dxa"/>
            <w:tcBorders>
              <w:top w:val="single" w:sz="4" w:space="0" w:color="000000"/>
              <w:left w:val="single" w:sz="4" w:space="0" w:color="000000"/>
              <w:bottom w:val="single" w:sz="4" w:space="0" w:color="000000"/>
              <w:right w:val="single" w:sz="4" w:space="0" w:color="000000"/>
            </w:tcBorders>
            <w:vAlign w:val="center"/>
          </w:tcPr>
          <w:p w14:paraId="4BC5558D" w14:textId="0B821900"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107.72</w:t>
            </w:r>
          </w:p>
        </w:tc>
        <w:tc>
          <w:tcPr>
            <w:tcW w:w="1350" w:type="dxa"/>
            <w:tcBorders>
              <w:top w:val="single" w:sz="4" w:space="0" w:color="000000"/>
              <w:left w:val="single" w:sz="4" w:space="0" w:color="000000"/>
              <w:bottom w:val="single" w:sz="4" w:space="0" w:color="000000"/>
              <w:right w:val="single" w:sz="4" w:space="0" w:color="000000"/>
            </w:tcBorders>
            <w:vAlign w:val="center"/>
          </w:tcPr>
          <w:p w14:paraId="78638865" w14:textId="0644438F"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205.86</w:t>
            </w:r>
          </w:p>
        </w:tc>
        <w:tc>
          <w:tcPr>
            <w:tcW w:w="1170" w:type="dxa"/>
            <w:tcBorders>
              <w:top w:val="single" w:sz="4" w:space="0" w:color="000000"/>
              <w:left w:val="single" w:sz="4" w:space="0" w:color="000000"/>
              <w:bottom w:val="single" w:sz="4" w:space="0" w:color="000000"/>
              <w:right w:val="single" w:sz="4" w:space="0" w:color="000000"/>
            </w:tcBorders>
            <w:vAlign w:val="center"/>
          </w:tcPr>
          <w:p w14:paraId="456AA241" w14:textId="7CCC38CA"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212.01</w:t>
            </w:r>
          </w:p>
        </w:tc>
      </w:tr>
      <w:tr w:rsidR="007707BB" w:rsidRPr="00640417" w14:paraId="5FFE4B00" w14:textId="77777777" w:rsidTr="005247EE">
        <w:trPr>
          <w:trHeight w:val="222"/>
        </w:trPr>
        <w:tc>
          <w:tcPr>
            <w:tcW w:w="2775" w:type="dxa"/>
            <w:tcBorders>
              <w:top w:val="single" w:sz="4" w:space="0" w:color="000000"/>
              <w:left w:val="single" w:sz="4" w:space="0" w:color="000000"/>
              <w:bottom w:val="single" w:sz="4" w:space="0" w:color="000000"/>
              <w:right w:val="single" w:sz="4" w:space="0" w:color="000000"/>
            </w:tcBorders>
            <w:vAlign w:val="center"/>
          </w:tcPr>
          <w:p w14:paraId="65ED96DA" w14:textId="77777777" w:rsidR="007707BB" w:rsidRPr="00D40D30" w:rsidRDefault="007707BB" w:rsidP="005247EE">
            <w:pPr>
              <w:pStyle w:val="ExhibitText"/>
              <w:keepNext/>
              <w:jc w:val="left"/>
              <w:rPr>
                <w:color w:val="000000"/>
                <w:sz w:val="18"/>
                <w:szCs w:val="18"/>
                <w:lang w:val="en-GB"/>
              </w:rPr>
            </w:pPr>
            <w:r w:rsidRPr="00D40D30">
              <w:rPr>
                <w:color w:val="000000"/>
                <w:sz w:val="18"/>
                <w:szCs w:val="18"/>
                <w:lang w:val="en-GB"/>
              </w:rPr>
              <w:t>Employee Cost</w:t>
            </w:r>
          </w:p>
        </w:tc>
        <w:tc>
          <w:tcPr>
            <w:tcW w:w="1350" w:type="dxa"/>
            <w:tcBorders>
              <w:top w:val="single" w:sz="4" w:space="0" w:color="000000"/>
              <w:left w:val="single" w:sz="4" w:space="0" w:color="000000"/>
              <w:bottom w:val="single" w:sz="4" w:space="0" w:color="000000"/>
              <w:right w:val="single" w:sz="4" w:space="0" w:color="000000"/>
            </w:tcBorders>
            <w:vAlign w:val="center"/>
          </w:tcPr>
          <w:p w14:paraId="034A815C" w14:textId="7F61AFFE"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20.24</w:t>
            </w:r>
          </w:p>
        </w:tc>
        <w:tc>
          <w:tcPr>
            <w:tcW w:w="1260" w:type="dxa"/>
            <w:tcBorders>
              <w:top w:val="single" w:sz="4" w:space="0" w:color="000000"/>
              <w:left w:val="single" w:sz="4" w:space="0" w:color="000000"/>
              <w:bottom w:val="single" w:sz="4" w:space="0" w:color="000000"/>
              <w:right w:val="single" w:sz="4" w:space="0" w:color="000000"/>
            </w:tcBorders>
            <w:vAlign w:val="center"/>
          </w:tcPr>
          <w:p w14:paraId="676AC477" w14:textId="2389B447"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25.30</w:t>
            </w:r>
          </w:p>
        </w:tc>
        <w:tc>
          <w:tcPr>
            <w:tcW w:w="1350" w:type="dxa"/>
            <w:tcBorders>
              <w:top w:val="single" w:sz="4" w:space="0" w:color="000000"/>
              <w:left w:val="single" w:sz="4" w:space="0" w:color="000000"/>
              <w:bottom w:val="single" w:sz="4" w:space="0" w:color="000000"/>
              <w:right w:val="single" w:sz="4" w:space="0" w:color="000000"/>
            </w:tcBorders>
            <w:vAlign w:val="center"/>
          </w:tcPr>
          <w:p w14:paraId="1DB59CD1" w14:textId="1905D644"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28.31</w:t>
            </w:r>
          </w:p>
        </w:tc>
        <w:tc>
          <w:tcPr>
            <w:tcW w:w="1350" w:type="dxa"/>
            <w:tcBorders>
              <w:top w:val="single" w:sz="4" w:space="0" w:color="000000"/>
              <w:left w:val="single" w:sz="4" w:space="0" w:color="000000"/>
              <w:bottom w:val="single" w:sz="4" w:space="0" w:color="000000"/>
              <w:right w:val="single" w:sz="4" w:space="0" w:color="000000"/>
            </w:tcBorders>
            <w:vAlign w:val="center"/>
          </w:tcPr>
          <w:p w14:paraId="1BB65CDE" w14:textId="03E066F8"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41.06</w:t>
            </w:r>
          </w:p>
        </w:tc>
        <w:tc>
          <w:tcPr>
            <w:tcW w:w="1170" w:type="dxa"/>
            <w:tcBorders>
              <w:top w:val="single" w:sz="4" w:space="0" w:color="000000"/>
              <w:left w:val="single" w:sz="4" w:space="0" w:color="000000"/>
              <w:bottom w:val="single" w:sz="4" w:space="0" w:color="000000"/>
              <w:right w:val="single" w:sz="4" w:space="0" w:color="000000"/>
            </w:tcBorders>
            <w:vAlign w:val="center"/>
          </w:tcPr>
          <w:p w14:paraId="6A552877" w14:textId="6E68F9D5"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39.89</w:t>
            </w:r>
          </w:p>
        </w:tc>
      </w:tr>
      <w:tr w:rsidR="007707BB" w:rsidRPr="00640417" w14:paraId="04595753" w14:textId="77777777" w:rsidTr="005247EE">
        <w:trPr>
          <w:trHeight w:val="251"/>
        </w:trPr>
        <w:tc>
          <w:tcPr>
            <w:tcW w:w="2775" w:type="dxa"/>
            <w:tcBorders>
              <w:top w:val="single" w:sz="4" w:space="0" w:color="000000"/>
              <w:left w:val="single" w:sz="4" w:space="0" w:color="000000"/>
              <w:bottom w:val="single" w:sz="4" w:space="0" w:color="000000"/>
              <w:right w:val="single" w:sz="4" w:space="0" w:color="000000"/>
            </w:tcBorders>
            <w:vAlign w:val="center"/>
          </w:tcPr>
          <w:p w14:paraId="39901CD0" w14:textId="77777777" w:rsidR="007707BB" w:rsidRPr="00D40D30" w:rsidRDefault="007707BB" w:rsidP="005247EE">
            <w:pPr>
              <w:pStyle w:val="ExhibitText"/>
              <w:keepNext/>
              <w:jc w:val="left"/>
              <w:rPr>
                <w:color w:val="000000"/>
                <w:sz w:val="18"/>
                <w:szCs w:val="18"/>
                <w:lang w:val="en-GB"/>
              </w:rPr>
            </w:pPr>
            <w:r w:rsidRPr="00D40D30">
              <w:rPr>
                <w:color w:val="000000"/>
                <w:sz w:val="18"/>
                <w:szCs w:val="18"/>
                <w:lang w:val="en-GB"/>
              </w:rPr>
              <w:t>Other Manufacturing Expenses</w:t>
            </w:r>
          </w:p>
        </w:tc>
        <w:tc>
          <w:tcPr>
            <w:tcW w:w="1350" w:type="dxa"/>
            <w:tcBorders>
              <w:top w:val="single" w:sz="4" w:space="0" w:color="000000"/>
              <w:left w:val="single" w:sz="4" w:space="0" w:color="000000"/>
              <w:bottom w:val="single" w:sz="4" w:space="0" w:color="000000"/>
              <w:right w:val="single" w:sz="4" w:space="0" w:color="000000"/>
            </w:tcBorders>
            <w:vAlign w:val="center"/>
          </w:tcPr>
          <w:p w14:paraId="3623D30D" w14:textId="61A9A905"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20.90</w:t>
            </w:r>
          </w:p>
        </w:tc>
        <w:tc>
          <w:tcPr>
            <w:tcW w:w="1260" w:type="dxa"/>
            <w:tcBorders>
              <w:top w:val="single" w:sz="4" w:space="0" w:color="000000"/>
              <w:left w:val="single" w:sz="4" w:space="0" w:color="000000"/>
              <w:bottom w:val="single" w:sz="4" w:space="0" w:color="000000"/>
              <w:right w:val="single" w:sz="4" w:space="0" w:color="000000"/>
            </w:tcBorders>
            <w:vAlign w:val="center"/>
          </w:tcPr>
          <w:p w14:paraId="494EA651" w14:textId="74D5C42F"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26.23</w:t>
            </w:r>
          </w:p>
        </w:tc>
        <w:tc>
          <w:tcPr>
            <w:tcW w:w="1350" w:type="dxa"/>
            <w:tcBorders>
              <w:top w:val="single" w:sz="4" w:space="0" w:color="000000"/>
              <w:left w:val="single" w:sz="4" w:space="0" w:color="000000"/>
              <w:bottom w:val="single" w:sz="4" w:space="0" w:color="000000"/>
              <w:right w:val="single" w:sz="4" w:space="0" w:color="000000"/>
            </w:tcBorders>
            <w:vAlign w:val="center"/>
          </w:tcPr>
          <w:p w14:paraId="539D9469" w14:textId="0FF9AA33"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31.15</w:t>
            </w:r>
          </w:p>
        </w:tc>
        <w:tc>
          <w:tcPr>
            <w:tcW w:w="1350" w:type="dxa"/>
            <w:tcBorders>
              <w:top w:val="single" w:sz="4" w:space="0" w:color="000000"/>
              <w:left w:val="single" w:sz="4" w:space="0" w:color="000000"/>
              <w:bottom w:val="single" w:sz="4" w:space="0" w:color="000000"/>
              <w:right w:val="single" w:sz="4" w:space="0" w:color="000000"/>
            </w:tcBorders>
            <w:vAlign w:val="center"/>
          </w:tcPr>
          <w:p w14:paraId="590A6AA1" w14:textId="52DAFD67"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38.96</w:t>
            </w:r>
          </w:p>
        </w:tc>
        <w:tc>
          <w:tcPr>
            <w:tcW w:w="1170" w:type="dxa"/>
            <w:tcBorders>
              <w:top w:val="single" w:sz="4" w:space="0" w:color="000000"/>
              <w:left w:val="single" w:sz="4" w:space="0" w:color="000000"/>
              <w:bottom w:val="single" w:sz="4" w:space="0" w:color="000000"/>
              <w:right w:val="single" w:sz="4" w:space="0" w:color="000000"/>
            </w:tcBorders>
            <w:vAlign w:val="center"/>
          </w:tcPr>
          <w:p w14:paraId="705191F5" w14:textId="089D0618"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47.35</w:t>
            </w:r>
          </w:p>
        </w:tc>
      </w:tr>
      <w:tr w:rsidR="007707BB" w:rsidRPr="00640417" w14:paraId="7FCC5112" w14:textId="77777777" w:rsidTr="005247EE">
        <w:trPr>
          <w:trHeight w:val="205"/>
        </w:trPr>
        <w:tc>
          <w:tcPr>
            <w:tcW w:w="2775" w:type="dxa"/>
            <w:tcBorders>
              <w:top w:val="single" w:sz="4" w:space="0" w:color="000000"/>
              <w:left w:val="single" w:sz="4" w:space="0" w:color="000000"/>
              <w:bottom w:val="single" w:sz="4" w:space="0" w:color="000000"/>
              <w:right w:val="single" w:sz="4" w:space="0" w:color="000000"/>
            </w:tcBorders>
            <w:vAlign w:val="center"/>
          </w:tcPr>
          <w:p w14:paraId="7277AD3E" w14:textId="20B2C3C3" w:rsidR="007707BB" w:rsidRPr="00D40D30" w:rsidRDefault="007707BB" w:rsidP="005247EE">
            <w:pPr>
              <w:pStyle w:val="ExhibitText"/>
              <w:keepNext/>
              <w:jc w:val="left"/>
              <w:rPr>
                <w:color w:val="000000"/>
                <w:sz w:val="18"/>
                <w:szCs w:val="18"/>
                <w:lang w:val="en-GB"/>
              </w:rPr>
            </w:pPr>
            <w:r w:rsidRPr="00D40D30">
              <w:rPr>
                <w:color w:val="000000"/>
                <w:sz w:val="18"/>
                <w:szCs w:val="18"/>
                <w:lang w:val="en-GB"/>
              </w:rPr>
              <w:t>Selling and Admin Expenses</w:t>
            </w:r>
          </w:p>
        </w:tc>
        <w:tc>
          <w:tcPr>
            <w:tcW w:w="1350" w:type="dxa"/>
            <w:tcBorders>
              <w:top w:val="single" w:sz="4" w:space="0" w:color="000000"/>
              <w:left w:val="single" w:sz="4" w:space="0" w:color="000000"/>
              <w:bottom w:val="single" w:sz="4" w:space="0" w:color="000000"/>
              <w:right w:val="single" w:sz="4" w:space="0" w:color="000000"/>
            </w:tcBorders>
            <w:vAlign w:val="center"/>
          </w:tcPr>
          <w:p w14:paraId="0305B4BF" w14:textId="44C6077F"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29.20</w:t>
            </w:r>
          </w:p>
        </w:tc>
        <w:tc>
          <w:tcPr>
            <w:tcW w:w="1260" w:type="dxa"/>
            <w:tcBorders>
              <w:top w:val="single" w:sz="4" w:space="0" w:color="000000"/>
              <w:left w:val="single" w:sz="4" w:space="0" w:color="000000"/>
              <w:bottom w:val="single" w:sz="4" w:space="0" w:color="000000"/>
              <w:right w:val="single" w:sz="4" w:space="0" w:color="000000"/>
            </w:tcBorders>
            <w:vAlign w:val="center"/>
          </w:tcPr>
          <w:p w14:paraId="2254DDE3" w14:textId="47D42859"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0.00</w:t>
            </w:r>
          </w:p>
        </w:tc>
        <w:tc>
          <w:tcPr>
            <w:tcW w:w="1350" w:type="dxa"/>
            <w:tcBorders>
              <w:top w:val="single" w:sz="4" w:space="0" w:color="000000"/>
              <w:left w:val="single" w:sz="4" w:space="0" w:color="000000"/>
              <w:bottom w:val="single" w:sz="4" w:space="0" w:color="000000"/>
              <w:right w:val="single" w:sz="4" w:space="0" w:color="000000"/>
            </w:tcBorders>
            <w:vAlign w:val="center"/>
          </w:tcPr>
          <w:p w14:paraId="1C22E50C" w14:textId="7803228B"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0.00</w:t>
            </w:r>
          </w:p>
        </w:tc>
        <w:tc>
          <w:tcPr>
            <w:tcW w:w="1350" w:type="dxa"/>
            <w:tcBorders>
              <w:top w:val="single" w:sz="4" w:space="0" w:color="000000"/>
              <w:left w:val="single" w:sz="4" w:space="0" w:color="000000"/>
              <w:bottom w:val="single" w:sz="4" w:space="0" w:color="000000"/>
              <w:right w:val="single" w:sz="4" w:space="0" w:color="000000"/>
            </w:tcBorders>
            <w:vAlign w:val="center"/>
          </w:tcPr>
          <w:p w14:paraId="2352DCDB" w14:textId="363832EF"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0.00</w:t>
            </w:r>
          </w:p>
        </w:tc>
        <w:tc>
          <w:tcPr>
            <w:tcW w:w="1170" w:type="dxa"/>
            <w:tcBorders>
              <w:top w:val="single" w:sz="4" w:space="0" w:color="000000"/>
              <w:left w:val="single" w:sz="4" w:space="0" w:color="000000"/>
              <w:bottom w:val="single" w:sz="4" w:space="0" w:color="000000"/>
              <w:right w:val="single" w:sz="4" w:space="0" w:color="000000"/>
            </w:tcBorders>
            <w:vAlign w:val="center"/>
          </w:tcPr>
          <w:p w14:paraId="10D61410" w14:textId="494DB221"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0.00</w:t>
            </w:r>
          </w:p>
        </w:tc>
      </w:tr>
      <w:tr w:rsidR="007707BB" w:rsidRPr="00640417" w14:paraId="62E8D2EA" w14:textId="77777777" w:rsidTr="005247EE">
        <w:trPr>
          <w:trHeight w:val="246"/>
        </w:trPr>
        <w:tc>
          <w:tcPr>
            <w:tcW w:w="2775" w:type="dxa"/>
            <w:tcBorders>
              <w:top w:val="single" w:sz="4" w:space="0" w:color="000000"/>
              <w:left w:val="single" w:sz="4" w:space="0" w:color="000000"/>
              <w:bottom w:val="single" w:sz="4" w:space="0" w:color="000000"/>
              <w:right w:val="single" w:sz="4" w:space="0" w:color="000000"/>
            </w:tcBorders>
            <w:vAlign w:val="center"/>
          </w:tcPr>
          <w:p w14:paraId="5C4F26A2" w14:textId="77777777" w:rsidR="007707BB" w:rsidRPr="00D40D30" w:rsidRDefault="007707BB" w:rsidP="005247EE">
            <w:pPr>
              <w:pStyle w:val="ExhibitText"/>
              <w:keepNext/>
              <w:jc w:val="left"/>
              <w:rPr>
                <w:color w:val="000000"/>
                <w:sz w:val="18"/>
                <w:szCs w:val="18"/>
                <w:lang w:val="en-GB"/>
              </w:rPr>
            </w:pPr>
            <w:r w:rsidRPr="00D40D30">
              <w:rPr>
                <w:color w:val="000000"/>
                <w:sz w:val="18"/>
                <w:szCs w:val="18"/>
                <w:lang w:val="en-GB"/>
              </w:rPr>
              <w:t>Miscellaneous Expenses</w:t>
            </w:r>
          </w:p>
        </w:tc>
        <w:tc>
          <w:tcPr>
            <w:tcW w:w="1350" w:type="dxa"/>
            <w:tcBorders>
              <w:top w:val="single" w:sz="4" w:space="0" w:color="000000"/>
              <w:left w:val="single" w:sz="4" w:space="0" w:color="000000"/>
              <w:bottom w:val="single" w:sz="4" w:space="0" w:color="000000"/>
              <w:right w:val="single" w:sz="4" w:space="0" w:color="000000"/>
            </w:tcBorders>
            <w:vAlign w:val="center"/>
          </w:tcPr>
          <w:p w14:paraId="7F39313F" w14:textId="7C1A7570"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3.06</w:t>
            </w:r>
          </w:p>
        </w:tc>
        <w:tc>
          <w:tcPr>
            <w:tcW w:w="1260" w:type="dxa"/>
            <w:tcBorders>
              <w:top w:val="single" w:sz="4" w:space="0" w:color="000000"/>
              <w:left w:val="single" w:sz="4" w:space="0" w:color="000000"/>
              <w:bottom w:val="single" w:sz="4" w:space="0" w:color="000000"/>
              <w:right w:val="single" w:sz="4" w:space="0" w:color="000000"/>
            </w:tcBorders>
            <w:vAlign w:val="center"/>
          </w:tcPr>
          <w:p w14:paraId="699F4967" w14:textId="311CC01D"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35.91</w:t>
            </w:r>
          </w:p>
        </w:tc>
        <w:tc>
          <w:tcPr>
            <w:tcW w:w="1350" w:type="dxa"/>
            <w:tcBorders>
              <w:top w:val="single" w:sz="4" w:space="0" w:color="000000"/>
              <w:left w:val="single" w:sz="4" w:space="0" w:color="000000"/>
              <w:bottom w:val="single" w:sz="4" w:space="0" w:color="000000"/>
              <w:right w:val="single" w:sz="4" w:space="0" w:color="000000"/>
            </w:tcBorders>
            <w:vAlign w:val="center"/>
          </w:tcPr>
          <w:p w14:paraId="4FBB65A2" w14:textId="2B511B4B"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49.12</w:t>
            </w:r>
          </w:p>
        </w:tc>
        <w:tc>
          <w:tcPr>
            <w:tcW w:w="1350" w:type="dxa"/>
            <w:tcBorders>
              <w:top w:val="single" w:sz="4" w:space="0" w:color="000000"/>
              <w:left w:val="single" w:sz="4" w:space="0" w:color="000000"/>
              <w:bottom w:val="single" w:sz="4" w:space="0" w:color="000000"/>
              <w:right w:val="single" w:sz="4" w:space="0" w:color="000000"/>
            </w:tcBorders>
            <w:vAlign w:val="center"/>
          </w:tcPr>
          <w:p w14:paraId="49E42B87" w14:textId="2506BE7D"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83.37</w:t>
            </w:r>
          </w:p>
        </w:tc>
        <w:tc>
          <w:tcPr>
            <w:tcW w:w="1170" w:type="dxa"/>
            <w:tcBorders>
              <w:top w:val="single" w:sz="4" w:space="0" w:color="000000"/>
              <w:left w:val="single" w:sz="4" w:space="0" w:color="000000"/>
              <w:bottom w:val="single" w:sz="4" w:space="0" w:color="000000"/>
              <w:right w:val="single" w:sz="4" w:space="0" w:color="000000"/>
            </w:tcBorders>
            <w:vAlign w:val="center"/>
          </w:tcPr>
          <w:p w14:paraId="4A70C2AA" w14:textId="0022E574"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91.71</w:t>
            </w:r>
          </w:p>
        </w:tc>
      </w:tr>
      <w:tr w:rsidR="007707BB" w:rsidRPr="00640417" w14:paraId="6D54377F" w14:textId="77777777" w:rsidTr="005247EE">
        <w:trPr>
          <w:trHeight w:val="205"/>
        </w:trPr>
        <w:tc>
          <w:tcPr>
            <w:tcW w:w="2775" w:type="dxa"/>
            <w:tcBorders>
              <w:top w:val="single" w:sz="4" w:space="0" w:color="000000"/>
              <w:left w:val="single" w:sz="4" w:space="0" w:color="000000"/>
              <w:bottom w:val="single" w:sz="4" w:space="0" w:color="000000"/>
              <w:right w:val="single" w:sz="4" w:space="0" w:color="000000"/>
            </w:tcBorders>
            <w:vAlign w:val="center"/>
          </w:tcPr>
          <w:p w14:paraId="18F04F13" w14:textId="77777777" w:rsidR="007707BB" w:rsidRPr="00D40D30" w:rsidRDefault="007707BB" w:rsidP="005247EE">
            <w:pPr>
              <w:pStyle w:val="ExhibitText"/>
              <w:keepNext/>
              <w:jc w:val="left"/>
              <w:rPr>
                <w:color w:val="000000"/>
                <w:sz w:val="18"/>
                <w:szCs w:val="18"/>
                <w:lang w:val="en-GB"/>
              </w:rPr>
            </w:pPr>
            <w:r w:rsidRPr="00D40D30">
              <w:rPr>
                <w:color w:val="000000"/>
                <w:sz w:val="18"/>
                <w:szCs w:val="18"/>
                <w:lang w:val="en-GB"/>
              </w:rPr>
              <w:t>Preoperative Expenses Capitalized</w:t>
            </w:r>
          </w:p>
        </w:tc>
        <w:tc>
          <w:tcPr>
            <w:tcW w:w="1350" w:type="dxa"/>
            <w:tcBorders>
              <w:top w:val="single" w:sz="4" w:space="0" w:color="000000"/>
              <w:left w:val="single" w:sz="4" w:space="0" w:color="000000"/>
              <w:bottom w:val="single" w:sz="4" w:space="0" w:color="000000"/>
              <w:right w:val="single" w:sz="4" w:space="0" w:color="000000"/>
            </w:tcBorders>
            <w:vAlign w:val="center"/>
          </w:tcPr>
          <w:p w14:paraId="71931F5D" w14:textId="1E1855E1"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0.00</w:t>
            </w:r>
          </w:p>
        </w:tc>
        <w:tc>
          <w:tcPr>
            <w:tcW w:w="1260" w:type="dxa"/>
            <w:tcBorders>
              <w:top w:val="single" w:sz="4" w:space="0" w:color="000000"/>
              <w:left w:val="single" w:sz="4" w:space="0" w:color="000000"/>
              <w:bottom w:val="single" w:sz="4" w:space="0" w:color="000000"/>
              <w:right w:val="single" w:sz="4" w:space="0" w:color="000000"/>
            </w:tcBorders>
            <w:vAlign w:val="center"/>
          </w:tcPr>
          <w:p w14:paraId="260BA16F" w14:textId="3702F3F3"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0.00</w:t>
            </w:r>
          </w:p>
        </w:tc>
        <w:tc>
          <w:tcPr>
            <w:tcW w:w="1350" w:type="dxa"/>
            <w:tcBorders>
              <w:top w:val="single" w:sz="4" w:space="0" w:color="000000"/>
              <w:left w:val="single" w:sz="4" w:space="0" w:color="000000"/>
              <w:bottom w:val="single" w:sz="4" w:space="0" w:color="000000"/>
              <w:right w:val="single" w:sz="4" w:space="0" w:color="000000"/>
            </w:tcBorders>
            <w:vAlign w:val="center"/>
          </w:tcPr>
          <w:p w14:paraId="48DDDE90" w14:textId="6190DC31"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0.00</w:t>
            </w:r>
          </w:p>
        </w:tc>
        <w:tc>
          <w:tcPr>
            <w:tcW w:w="1350" w:type="dxa"/>
            <w:tcBorders>
              <w:top w:val="single" w:sz="4" w:space="0" w:color="000000"/>
              <w:left w:val="single" w:sz="4" w:space="0" w:color="000000"/>
              <w:bottom w:val="single" w:sz="4" w:space="0" w:color="000000"/>
              <w:right w:val="single" w:sz="4" w:space="0" w:color="000000"/>
            </w:tcBorders>
            <w:vAlign w:val="center"/>
          </w:tcPr>
          <w:p w14:paraId="6A328C3D" w14:textId="0EC675B7"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0.00</w:t>
            </w:r>
          </w:p>
        </w:tc>
        <w:tc>
          <w:tcPr>
            <w:tcW w:w="1170" w:type="dxa"/>
            <w:tcBorders>
              <w:top w:val="single" w:sz="4" w:space="0" w:color="000000"/>
              <w:left w:val="single" w:sz="4" w:space="0" w:color="000000"/>
              <w:bottom w:val="single" w:sz="4" w:space="0" w:color="000000"/>
              <w:right w:val="single" w:sz="4" w:space="0" w:color="000000"/>
            </w:tcBorders>
            <w:vAlign w:val="center"/>
          </w:tcPr>
          <w:p w14:paraId="5AD9B727" w14:textId="02F91002"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0.00</w:t>
            </w:r>
          </w:p>
        </w:tc>
      </w:tr>
      <w:tr w:rsidR="007707BB" w:rsidRPr="00640417" w14:paraId="3C1A939E" w14:textId="77777777" w:rsidTr="005247EE">
        <w:trPr>
          <w:trHeight w:val="246"/>
        </w:trPr>
        <w:tc>
          <w:tcPr>
            <w:tcW w:w="2775" w:type="dxa"/>
            <w:tcBorders>
              <w:top w:val="single" w:sz="4" w:space="0" w:color="000000"/>
              <w:left w:val="single" w:sz="4" w:space="0" w:color="000000"/>
              <w:bottom w:val="single" w:sz="4" w:space="0" w:color="000000"/>
              <w:right w:val="single" w:sz="4" w:space="0" w:color="000000"/>
            </w:tcBorders>
            <w:vAlign w:val="center"/>
          </w:tcPr>
          <w:p w14:paraId="52E1E54B" w14:textId="77777777" w:rsidR="007707BB" w:rsidRPr="00D40D30" w:rsidRDefault="007707BB" w:rsidP="005247EE">
            <w:pPr>
              <w:pStyle w:val="ExhibitText"/>
              <w:keepNext/>
              <w:jc w:val="left"/>
              <w:rPr>
                <w:color w:val="000000"/>
                <w:sz w:val="18"/>
                <w:szCs w:val="18"/>
                <w:lang w:val="en-GB"/>
              </w:rPr>
            </w:pPr>
            <w:r w:rsidRPr="00D40D30">
              <w:rPr>
                <w:color w:val="000000"/>
                <w:sz w:val="18"/>
                <w:szCs w:val="18"/>
                <w:lang w:val="en-GB"/>
              </w:rPr>
              <w:t>Total Expenses</w:t>
            </w:r>
          </w:p>
        </w:tc>
        <w:tc>
          <w:tcPr>
            <w:tcW w:w="1350" w:type="dxa"/>
            <w:tcBorders>
              <w:top w:val="single" w:sz="4" w:space="0" w:color="000000"/>
              <w:left w:val="single" w:sz="4" w:space="0" w:color="000000"/>
              <w:bottom w:val="single" w:sz="4" w:space="0" w:color="000000"/>
              <w:right w:val="single" w:sz="4" w:space="0" w:color="000000"/>
            </w:tcBorders>
            <w:vAlign w:val="center"/>
          </w:tcPr>
          <w:p w14:paraId="5C77A147" w14:textId="26A36CE2"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786.45</w:t>
            </w:r>
          </w:p>
        </w:tc>
        <w:tc>
          <w:tcPr>
            <w:tcW w:w="1260" w:type="dxa"/>
            <w:tcBorders>
              <w:top w:val="single" w:sz="4" w:space="0" w:color="000000"/>
              <w:left w:val="single" w:sz="4" w:space="0" w:color="000000"/>
              <w:bottom w:val="single" w:sz="4" w:space="0" w:color="000000"/>
              <w:right w:val="single" w:sz="4" w:space="0" w:color="000000"/>
            </w:tcBorders>
            <w:vAlign w:val="center"/>
          </w:tcPr>
          <w:p w14:paraId="665292E8" w14:textId="07557BD6"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999.81</w:t>
            </w:r>
          </w:p>
        </w:tc>
        <w:tc>
          <w:tcPr>
            <w:tcW w:w="1350" w:type="dxa"/>
            <w:tcBorders>
              <w:top w:val="single" w:sz="4" w:space="0" w:color="000000"/>
              <w:left w:val="single" w:sz="4" w:space="0" w:color="000000"/>
              <w:bottom w:val="single" w:sz="4" w:space="0" w:color="000000"/>
              <w:right w:val="single" w:sz="4" w:space="0" w:color="000000"/>
            </w:tcBorders>
            <w:vAlign w:val="center"/>
          </w:tcPr>
          <w:p w14:paraId="376F5470" w14:textId="0D5C3CBD"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1,237.06</w:t>
            </w:r>
          </w:p>
        </w:tc>
        <w:tc>
          <w:tcPr>
            <w:tcW w:w="1350" w:type="dxa"/>
            <w:tcBorders>
              <w:top w:val="single" w:sz="4" w:space="0" w:color="000000"/>
              <w:left w:val="single" w:sz="4" w:space="0" w:color="000000"/>
              <w:bottom w:val="single" w:sz="4" w:space="0" w:color="000000"/>
              <w:right w:val="single" w:sz="4" w:space="0" w:color="000000"/>
            </w:tcBorders>
            <w:vAlign w:val="center"/>
          </w:tcPr>
          <w:p w14:paraId="61814D5A" w14:textId="6E9E98B6"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1,672.51</w:t>
            </w:r>
          </w:p>
        </w:tc>
        <w:tc>
          <w:tcPr>
            <w:tcW w:w="1170" w:type="dxa"/>
            <w:tcBorders>
              <w:top w:val="single" w:sz="4" w:space="0" w:color="000000"/>
              <w:left w:val="single" w:sz="4" w:space="0" w:color="000000"/>
              <w:bottom w:val="single" w:sz="4" w:space="0" w:color="000000"/>
              <w:right w:val="single" w:sz="4" w:space="0" w:color="000000"/>
            </w:tcBorders>
            <w:vAlign w:val="center"/>
          </w:tcPr>
          <w:p w14:paraId="1441D1CE" w14:textId="59E031D4"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1,824.63</w:t>
            </w:r>
          </w:p>
        </w:tc>
      </w:tr>
      <w:tr w:rsidR="007707BB" w:rsidRPr="00640417" w14:paraId="63013D13" w14:textId="77777777" w:rsidTr="005247EE">
        <w:trPr>
          <w:trHeight w:val="205"/>
        </w:trPr>
        <w:tc>
          <w:tcPr>
            <w:tcW w:w="2775" w:type="dxa"/>
            <w:tcBorders>
              <w:top w:val="single" w:sz="4" w:space="0" w:color="000000"/>
              <w:left w:val="single" w:sz="4" w:space="0" w:color="000000"/>
              <w:bottom w:val="single" w:sz="4" w:space="0" w:color="000000"/>
              <w:right w:val="single" w:sz="4" w:space="0" w:color="000000"/>
            </w:tcBorders>
            <w:vAlign w:val="center"/>
          </w:tcPr>
          <w:p w14:paraId="629DEEAF" w14:textId="77777777" w:rsidR="007707BB" w:rsidRPr="00D40D30" w:rsidRDefault="007707BB" w:rsidP="005247EE">
            <w:pPr>
              <w:pStyle w:val="ExhibitText"/>
              <w:keepNext/>
              <w:jc w:val="left"/>
              <w:rPr>
                <w:color w:val="000000"/>
                <w:sz w:val="18"/>
                <w:szCs w:val="18"/>
                <w:lang w:val="en-GB"/>
              </w:rPr>
            </w:pPr>
            <w:r w:rsidRPr="00D40D30">
              <w:rPr>
                <w:color w:val="000000"/>
                <w:sz w:val="18"/>
                <w:szCs w:val="18"/>
                <w:lang w:val="en-GB"/>
              </w:rPr>
              <w:t>Operating Profit</w:t>
            </w:r>
          </w:p>
        </w:tc>
        <w:tc>
          <w:tcPr>
            <w:tcW w:w="1350" w:type="dxa"/>
            <w:tcBorders>
              <w:top w:val="single" w:sz="4" w:space="0" w:color="000000"/>
              <w:left w:val="single" w:sz="4" w:space="0" w:color="000000"/>
              <w:bottom w:val="single" w:sz="4" w:space="0" w:color="000000"/>
              <w:right w:val="single" w:sz="4" w:space="0" w:color="000000"/>
            </w:tcBorders>
            <w:vAlign w:val="center"/>
          </w:tcPr>
          <w:p w14:paraId="7B5BFB21" w14:textId="6694F344"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177.36</w:t>
            </w:r>
          </w:p>
        </w:tc>
        <w:tc>
          <w:tcPr>
            <w:tcW w:w="1260" w:type="dxa"/>
            <w:tcBorders>
              <w:top w:val="single" w:sz="4" w:space="0" w:color="000000"/>
              <w:left w:val="single" w:sz="4" w:space="0" w:color="000000"/>
              <w:bottom w:val="single" w:sz="4" w:space="0" w:color="000000"/>
              <w:right w:val="single" w:sz="4" w:space="0" w:color="000000"/>
            </w:tcBorders>
            <w:vAlign w:val="center"/>
          </w:tcPr>
          <w:p w14:paraId="49A105B7" w14:textId="757C69F3"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180.17</w:t>
            </w:r>
          </w:p>
        </w:tc>
        <w:tc>
          <w:tcPr>
            <w:tcW w:w="1350" w:type="dxa"/>
            <w:tcBorders>
              <w:top w:val="single" w:sz="4" w:space="0" w:color="000000"/>
              <w:left w:val="single" w:sz="4" w:space="0" w:color="000000"/>
              <w:bottom w:val="single" w:sz="4" w:space="0" w:color="000000"/>
              <w:right w:val="single" w:sz="4" w:space="0" w:color="000000"/>
            </w:tcBorders>
            <w:vAlign w:val="center"/>
          </w:tcPr>
          <w:p w14:paraId="3B4D3506" w14:textId="2692D895"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150.68</w:t>
            </w:r>
          </w:p>
        </w:tc>
        <w:tc>
          <w:tcPr>
            <w:tcW w:w="1350" w:type="dxa"/>
            <w:tcBorders>
              <w:top w:val="single" w:sz="4" w:space="0" w:color="000000"/>
              <w:left w:val="single" w:sz="4" w:space="0" w:color="000000"/>
              <w:bottom w:val="single" w:sz="4" w:space="0" w:color="000000"/>
              <w:right w:val="single" w:sz="4" w:space="0" w:color="000000"/>
            </w:tcBorders>
            <w:vAlign w:val="center"/>
          </w:tcPr>
          <w:p w14:paraId="58D712C3" w14:textId="555576E7"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102.50</w:t>
            </w:r>
          </w:p>
        </w:tc>
        <w:tc>
          <w:tcPr>
            <w:tcW w:w="1170" w:type="dxa"/>
            <w:tcBorders>
              <w:top w:val="single" w:sz="4" w:space="0" w:color="000000"/>
              <w:left w:val="single" w:sz="4" w:space="0" w:color="000000"/>
              <w:bottom w:val="single" w:sz="4" w:space="0" w:color="000000"/>
              <w:right w:val="single" w:sz="4" w:space="0" w:color="000000"/>
            </w:tcBorders>
            <w:vAlign w:val="center"/>
          </w:tcPr>
          <w:p w14:paraId="4161E0FE" w14:textId="520D8F69"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147.61</w:t>
            </w:r>
          </w:p>
        </w:tc>
      </w:tr>
      <w:tr w:rsidR="007707BB" w:rsidRPr="00640417" w14:paraId="02A1CD8B" w14:textId="77777777" w:rsidTr="005247EE">
        <w:trPr>
          <w:trHeight w:val="165"/>
        </w:trPr>
        <w:tc>
          <w:tcPr>
            <w:tcW w:w="2775" w:type="dxa"/>
            <w:tcBorders>
              <w:top w:val="single" w:sz="4" w:space="0" w:color="000000"/>
              <w:left w:val="single" w:sz="4" w:space="0" w:color="000000"/>
              <w:bottom w:val="single" w:sz="4" w:space="0" w:color="000000"/>
              <w:right w:val="single" w:sz="4" w:space="0" w:color="000000"/>
            </w:tcBorders>
            <w:vAlign w:val="center"/>
          </w:tcPr>
          <w:p w14:paraId="4190E2B6" w14:textId="77777777" w:rsidR="007707BB" w:rsidRPr="00D40D30" w:rsidRDefault="007707BB" w:rsidP="005247EE">
            <w:pPr>
              <w:pStyle w:val="ExhibitText"/>
              <w:keepNext/>
              <w:jc w:val="left"/>
              <w:rPr>
                <w:color w:val="000000"/>
                <w:sz w:val="18"/>
                <w:szCs w:val="18"/>
                <w:lang w:val="en-GB"/>
              </w:rPr>
            </w:pPr>
            <w:r w:rsidRPr="00D40D30">
              <w:rPr>
                <w:color w:val="000000"/>
                <w:sz w:val="18"/>
                <w:szCs w:val="18"/>
                <w:lang w:val="en-GB"/>
              </w:rPr>
              <w:t>Profit before Depreciation, Interest, and Taxes</w:t>
            </w:r>
          </w:p>
        </w:tc>
        <w:tc>
          <w:tcPr>
            <w:tcW w:w="1350" w:type="dxa"/>
            <w:tcBorders>
              <w:top w:val="single" w:sz="4" w:space="0" w:color="000000"/>
              <w:left w:val="single" w:sz="4" w:space="0" w:color="000000"/>
              <w:bottom w:val="single" w:sz="4" w:space="0" w:color="000000"/>
              <w:right w:val="single" w:sz="4" w:space="0" w:color="000000"/>
            </w:tcBorders>
            <w:vAlign w:val="center"/>
          </w:tcPr>
          <w:p w14:paraId="243CD8D7" w14:textId="7B455762"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223.87</w:t>
            </w:r>
          </w:p>
        </w:tc>
        <w:tc>
          <w:tcPr>
            <w:tcW w:w="1260" w:type="dxa"/>
            <w:tcBorders>
              <w:top w:val="single" w:sz="4" w:space="0" w:color="000000"/>
              <w:left w:val="single" w:sz="4" w:space="0" w:color="000000"/>
              <w:bottom w:val="single" w:sz="4" w:space="0" w:color="000000"/>
              <w:right w:val="single" w:sz="4" w:space="0" w:color="000000"/>
            </w:tcBorders>
            <w:vAlign w:val="center"/>
          </w:tcPr>
          <w:p w14:paraId="5E78D3BE" w14:textId="40F98BBC"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198.71</w:t>
            </w:r>
          </w:p>
        </w:tc>
        <w:tc>
          <w:tcPr>
            <w:tcW w:w="1350" w:type="dxa"/>
            <w:tcBorders>
              <w:top w:val="single" w:sz="4" w:space="0" w:color="000000"/>
              <w:left w:val="single" w:sz="4" w:space="0" w:color="000000"/>
              <w:bottom w:val="single" w:sz="4" w:space="0" w:color="000000"/>
              <w:right w:val="single" w:sz="4" w:space="0" w:color="000000"/>
            </w:tcBorders>
            <w:vAlign w:val="center"/>
          </w:tcPr>
          <w:p w14:paraId="14BEE951" w14:textId="6A8B8F43"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128.60</w:t>
            </w:r>
          </w:p>
        </w:tc>
        <w:tc>
          <w:tcPr>
            <w:tcW w:w="1350" w:type="dxa"/>
            <w:tcBorders>
              <w:top w:val="single" w:sz="4" w:space="0" w:color="000000"/>
              <w:left w:val="single" w:sz="4" w:space="0" w:color="000000"/>
              <w:bottom w:val="single" w:sz="4" w:space="0" w:color="000000"/>
              <w:right w:val="single" w:sz="4" w:space="0" w:color="000000"/>
            </w:tcBorders>
            <w:vAlign w:val="center"/>
          </w:tcPr>
          <w:p w14:paraId="2FB58BB6" w14:textId="4ABF4E44"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82.02</w:t>
            </w:r>
          </w:p>
        </w:tc>
        <w:tc>
          <w:tcPr>
            <w:tcW w:w="1170" w:type="dxa"/>
            <w:tcBorders>
              <w:top w:val="single" w:sz="4" w:space="0" w:color="000000"/>
              <w:left w:val="single" w:sz="4" w:space="0" w:color="000000"/>
              <w:bottom w:val="single" w:sz="4" w:space="0" w:color="000000"/>
              <w:right w:val="single" w:sz="4" w:space="0" w:color="000000"/>
            </w:tcBorders>
            <w:vAlign w:val="center"/>
          </w:tcPr>
          <w:p w14:paraId="34B0EDDC" w14:textId="161088FD"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84.80</w:t>
            </w:r>
          </w:p>
        </w:tc>
      </w:tr>
      <w:tr w:rsidR="007707BB" w:rsidRPr="00640417" w14:paraId="3E2B72AC" w14:textId="77777777" w:rsidTr="005247EE">
        <w:trPr>
          <w:trHeight w:val="251"/>
        </w:trPr>
        <w:tc>
          <w:tcPr>
            <w:tcW w:w="2775" w:type="dxa"/>
            <w:tcBorders>
              <w:top w:val="single" w:sz="4" w:space="0" w:color="000000"/>
              <w:left w:val="single" w:sz="4" w:space="0" w:color="000000"/>
              <w:bottom w:val="single" w:sz="4" w:space="0" w:color="000000"/>
              <w:right w:val="single" w:sz="4" w:space="0" w:color="000000"/>
            </w:tcBorders>
            <w:vAlign w:val="center"/>
          </w:tcPr>
          <w:p w14:paraId="1456FEF4" w14:textId="77777777" w:rsidR="007707BB" w:rsidRPr="00D40D30" w:rsidRDefault="007707BB" w:rsidP="005247EE">
            <w:pPr>
              <w:pStyle w:val="ExhibitText"/>
              <w:keepNext/>
              <w:jc w:val="left"/>
              <w:rPr>
                <w:color w:val="000000"/>
                <w:sz w:val="18"/>
                <w:szCs w:val="18"/>
                <w:lang w:val="en-GB"/>
              </w:rPr>
            </w:pPr>
            <w:r w:rsidRPr="00D40D30">
              <w:rPr>
                <w:color w:val="000000"/>
                <w:sz w:val="18"/>
                <w:szCs w:val="18"/>
                <w:lang w:val="en-GB"/>
              </w:rPr>
              <w:t>Interest</w:t>
            </w:r>
          </w:p>
        </w:tc>
        <w:tc>
          <w:tcPr>
            <w:tcW w:w="1350" w:type="dxa"/>
            <w:tcBorders>
              <w:top w:val="single" w:sz="4" w:space="0" w:color="000000"/>
              <w:left w:val="single" w:sz="4" w:space="0" w:color="000000"/>
              <w:bottom w:val="single" w:sz="4" w:space="0" w:color="000000"/>
              <w:right w:val="single" w:sz="4" w:space="0" w:color="000000"/>
            </w:tcBorders>
            <w:vAlign w:val="center"/>
          </w:tcPr>
          <w:p w14:paraId="3114C8F1" w14:textId="2E364915"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72.27</w:t>
            </w:r>
          </w:p>
        </w:tc>
        <w:tc>
          <w:tcPr>
            <w:tcW w:w="1260" w:type="dxa"/>
            <w:tcBorders>
              <w:top w:val="single" w:sz="4" w:space="0" w:color="000000"/>
              <w:left w:val="single" w:sz="4" w:space="0" w:color="000000"/>
              <w:bottom w:val="single" w:sz="4" w:space="0" w:color="000000"/>
              <w:right w:val="single" w:sz="4" w:space="0" w:color="000000"/>
            </w:tcBorders>
            <w:vAlign w:val="center"/>
          </w:tcPr>
          <w:p w14:paraId="6D375475" w14:textId="407279E6"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64.79</w:t>
            </w:r>
          </w:p>
        </w:tc>
        <w:tc>
          <w:tcPr>
            <w:tcW w:w="1350" w:type="dxa"/>
            <w:tcBorders>
              <w:top w:val="single" w:sz="4" w:space="0" w:color="000000"/>
              <w:left w:val="single" w:sz="4" w:space="0" w:color="000000"/>
              <w:bottom w:val="single" w:sz="4" w:space="0" w:color="000000"/>
              <w:right w:val="single" w:sz="4" w:space="0" w:color="000000"/>
            </w:tcBorders>
            <w:vAlign w:val="center"/>
          </w:tcPr>
          <w:p w14:paraId="39DCB0CF" w14:textId="0703F3F5"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86.13</w:t>
            </w:r>
          </w:p>
        </w:tc>
        <w:tc>
          <w:tcPr>
            <w:tcW w:w="1350" w:type="dxa"/>
            <w:tcBorders>
              <w:top w:val="single" w:sz="4" w:space="0" w:color="000000"/>
              <w:left w:val="single" w:sz="4" w:space="0" w:color="000000"/>
              <w:bottom w:val="single" w:sz="4" w:space="0" w:color="000000"/>
              <w:right w:val="single" w:sz="4" w:space="0" w:color="000000"/>
            </w:tcBorders>
            <w:vAlign w:val="center"/>
          </w:tcPr>
          <w:p w14:paraId="1DC1C31D" w14:textId="282A5215"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165.05</w:t>
            </w:r>
          </w:p>
        </w:tc>
        <w:tc>
          <w:tcPr>
            <w:tcW w:w="1170" w:type="dxa"/>
            <w:tcBorders>
              <w:top w:val="single" w:sz="4" w:space="0" w:color="000000"/>
              <w:left w:val="single" w:sz="4" w:space="0" w:color="000000"/>
              <w:bottom w:val="single" w:sz="4" w:space="0" w:color="000000"/>
              <w:right w:val="single" w:sz="4" w:space="0" w:color="000000"/>
            </w:tcBorders>
            <w:vAlign w:val="center"/>
          </w:tcPr>
          <w:p w14:paraId="4A97D74D" w14:textId="3701BDE0"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205.78</w:t>
            </w:r>
          </w:p>
        </w:tc>
      </w:tr>
      <w:tr w:rsidR="007707BB" w:rsidRPr="00640417" w14:paraId="17B856EE" w14:textId="77777777" w:rsidTr="005247EE">
        <w:trPr>
          <w:trHeight w:val="251"/>
        </w:trPr>
        <w:tc>
          <w:tcPr>
            <w:tcW w:w="2775" w:type="dxa"/>
            <w:tcBorders>
              <w:top w:val="single" w:sz="4" w:space="0" w:color="000000"/>
              <w:left w:val="single" w:sz="4" w:space="0" w:color="000000"/>
              <w:bottom w:val="single" w:sz="4" w:space="0" w:color="000000"/>
              <w:right w:val="single" w:sz="4" w:space="0" w:color="000000"/>
            </w:tcBorders>
            <w:vAlign w:val="center"/>
          </w:tcPr>
          <w:p w14:paraId="23DB1830" w14:textId="6F5B48D1" w:rsidR="007707BB" w:rsidRPr="00D40D30" w:rsidRDefault="007707BB" w:rsidP="005247EE">
            <w:pPr>
              <w:pStyle w:val="ExhibitText"/>
              <w:keepNext/>
              <w:jc w:val="left"/>
              <w:rPr>
                <w:color w:val="000000"/>
                <w:sz w:val="18"/>
                <w:szCs w:val="18"/>
                <w:lang w:val="en-GB"/>
              </w:rPr>
            </w:pPr>
            <w:r w:rsidRPr="00D40D30">
              <w:rPr>
                <w:color w:val="000000"/>
                <w:sz w:val="18"/>
                <w:szCs w:val="18"/>
                <w:lang w:val="en-GB"/>
              </w:rPr>
              <w:t>Profit before Depreciation and Tax</w:t>
            </w:r>
            <w:r>
              <w:rPr>
                <w:color w:val="000000"/>
                <w:sz w:val="18"/>
                <w:szCs w:val="18"/>
                <w:lang w:val="en-GB"/>
              </w:rPr>
              <w:t>es</w:t>
            </w:r>
          </w:p>
        </w:tc>
        <w:tc>
          <w:tcPr>
            <w:tcW w:w="1350" w:type="dxa"/>
            <w:tcBorders>
              <w:top w:val="single" w:sz="4" w:space="0" w:color="000000"/>
              <w:left w:val="single" w:sz="4" w:space="0" w:color="000000"/>
              <w:bottom w:val="single" w:sz="4" w:space="0" w:color="000000"/>
              <w:right w:val="single" w:sz="4" w:space="0" w:color="000000"/>
            </w:tcBorders>
            <w:vAlign w:val="center"/>
          </w:tcPr>
          <w:p w14:paraId="590736D2" w14:textId="739E757B"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151.60</w:t>
            </w:r>
          </w:p>
        </w:tc>
        <w:tc>
          <w:tcPr>
            <w:tcW w:w="1260" w:type="dxa"/>
            <w:tcBorders>
              <w:top w:val="single" w:sz="4" w:space="0" w:color="000000"/>
              <w:left w:val="single" w:sz="4" w:space="0" w:color="000000"/>
              <w:bottom w:val="single" w:sz="4" w:space="0" w:color="000000"/>
              <w:right w:val="single" w:sz="4" w:space="0" w:color="000000"/>
            </w:tcBorders>
            <w:vAlign w:val="center"/>
          </w:tcPr>
          <w:p w14:paraId="413240F4" w14:textId="02BB34CA"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133.92</w:t>
            </w:r>
          </w:p>
        </w:tc>
        <w:tc>
          <w:tcPr>
            <w:tcW w:w="1350" w:type="dxa"/>
            <w:tcBorders>
              <w:top w:val="single" w:sz="4" w:space="0" w:color="000000"/>
              <w:left w:val="single" w:sz="4" w:space="0" w:color="000000"/>
              <w:bottom w:val="single" w:sz="4" w:space="0" w:color="000000"/>
              <w:right w:val="single" w:sz="4" w:space="0" w:color="000000"/>
            </w:tcBorders>
            <w:vAlign w:val="center"/>
          </w:tcPr>
          <w:p w14:paraId="291506E5" w14:textId="3DB29FB9"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42.47</w:t>
            </w:r>
          </w:p>
        </w:tc>
        <w:tc>
          <w:tcPr>
            <w:tcW w:w="1350" w:type="dxa"/>
            <w:tcBorders>
              <w:top w:val="single" w:sz="4" w:space="0" w:color="000000"/>
              <w:left w:val="single" w:sz="4" w:space="0" w:color="000000"/>
              <w:bottom w:val="single" w:sz="4" w:space="0" w:color="000000"/>
              <w:right w:val="single" w:sz="4" w:space="0" w:color="000000"/>
            </w:tcBorders>
            <w:vAlign w:val="center"/>
          </w:tcPr>
          <w:p w14:paraId="5EE63E59" w14:textId="7A9BBF20"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–83.03</w:t>
            </w:r>
          </w:p>
        </w:tc>
        <w:tc>
          <w:tcPr>
            <w:tcW w:w="1170" w:type="dxa"/>
            <w:tcBorders>
              <w:top w:val="single" w:sz="4" w:space="0" w:color="000000"/>
              <w:left w:val="single" w:sz="4" w:space="0" w:color="000000"/>
              <w:bottom w:val="single" w:sz="4" w:space="0" w:color="000000"/>
              <w:right w:val="single" w:sz="4" w:space="0" w:color="000000"/>
            </w:tcBorders>
            <w:vAlign w:val="center"/>
          </w:tcPr>
          <w:p w14:paraId="5409D189" w14:textId="66C5187D"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–120.98</w:t>
            </w:r>
          </w:p>
        </w:tc>
      </w:tr>
      <w:tr w:rsidR="007707BB" w:rsidRPr="00640417" w14:paraId="021CBEAC" w14:textId="77777777" w:rsidTr="005247EE">
        <w:trPr>
          <w:trHeight w:val="251"/>
        </w:trPr>
        <w:tc>
          <w:tcPr>
            <w:tcW w:w="2775" w:type="dxa"/>
            <w:tcBorders>
              <w:top w:val="single" w:sz="4" w:space="0" w:color="000000"/>
              <w:left w:val="single" w:sz="4" w:space="0" w:color="000000"/>
              <w:bottom w:val="single" w:sz="4" w:space="0" w:color="000000"/>
              <w:right w:val="single" w:sz="4" w:space="0" w:color="000000"/>
            </w:tcBorders>
            <w:vAlign w:val="center"/>
          </w:tcPr>
          <w:p w14:paraId="15EB99FE" w14:textId="77777777" w:rsidR="007707BB" w:rsidRPr="00D40D30" w:rsidRDefault="007707BB" w:rsidP="005247EE">
            <w:pPr>
              <w:pStyle w:val="ExhibitText"/>
              <w:keepNext/>
              <w:jc w:val="left"/>
              <w:rPr>
                <w:color w:val="000000"/>
                <w:sz w:val="18"/>
                <w:szCs w:val="18"/>
                <w:lang w:val="en-GB"/>
              </w:rPr>
            </w:pPr>
            <w:r w:rsidRPr="00D40D30">
              <w:rPr>
                <w:color w:val="000000"/>
                <w:sz w:val="18"/>
                <w:szCs w:val="18"/>
                <w:lang w:val="en-GB"/>
              </w:rPr>
              <w:t>Depreciation</w:t>
            </w:r>
          </w:p>
        </w:tc>
        <w:tc>
          <w:tcPr>
            <w:tcW w:w="1350" w:type="dxa"/>
            <w:tcBorders>
              <w:top w:val="single" w:sz="4" w:space="0" w:color="000000"/>
              <w:left w:val="single" w:sz="4" w:space="0" w:color="000000"/>
              <w:bottom w:val="single" w:sz="4" w:space="0" w:color="000000"/>
              <w:right w:val="single" w:sz="4" w:space="0" w:color="000000"/>
            </w:tcBorders>
            <w:vAlign w:val="center"/>
          </w:tcPr>
          <w:p w14:paraId="10D95F6F" w14:textId="210DDB22"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56.65</w:t>
            </w:r>
          </w:p>
        </w:tc>
        <w:tc>
          <w:tcPr>
            <w:tcW w:w="1260" w:type="dxa"/>
            <w:tcBorders>
              <w:top w:val="single" w:sz="4" w:space="0" w:color="000000"/>
              <w:left w:val="single" w:sz="4" w:space="0" w:color="000000"/>
              <w:bottom w:val="single" w:sz="4" w:space="0" w:color="000000"/>
              <w:right w:val="single" w:sz="4" w:space="0" w:color="000000"/>
            </w:tcBorders>
            <w:vAlign w:val="center"/>
          </w:tcPr>
          <w:p w14:paraId="5CB97463" w14:textId="62E4E0C1"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59.36</w:t>
            </w:r>
          </w:p>
        </w:tc>
        <w:tc>
          <w:tcPr>
            <w:tcW w:w="1350" w:type="dxa"/>
            <w:tcBorders>
              <w:top w:val="single" w:sz="4" w:space="0" w:color="000000"/>
              <w:left w:val="single" w:sz="4" w:space="0" w:color="000000"/>
              <w:bottom w:val="single" w:sz="4" w:space="0" w:color="000000"/>
              <w:right w:val="single" w:sz="4" w:space="0" w:color="000000"/>
            </w:tcBorders>
            <w:vAlign w:val="center"/>
          </w:tcPr>
          <w:p w14:paraId="378BD2BE" w14:textId="08A64C02"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68.10</w:t>
            </w:r>
          </w:p>
        </w:tc>
        <w:tc>
          <w:tcPr>
            <w:tcW w:w="1350" w:type="dxa"/>
            <w:tcBorders>
              <w:top w:val="single" w:sz="4" w:space="0" w:color="000000"/>
              <w:left w:val="single" w:sz="4" w:space="0" w:color="000000"/>
              <w:bottom w:val="single" w:sz="4" w:space="0" w:color="000000"/>
              <w:right w:val="single" w:sz="4" w:space="0" w:color="000000"/>
            </w:tcBorders>
            <w:vAlign w:val="center"/>
          </w:tcPr>
          <w:p w14:paraId="180CBE9B" w14:textId="4400241D"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116.89</w:t>
            </w:r>
          </w:p>
        </w:tc>
        <w:tc>
          <w:tcPr>
            <w:tcW w:w="1170" w:type="dxa"/>
            <w:tcBorders>
              <w:top w:val="single" w:sz="4" w:space="0" w:color="000000"/>
              <w:left w:val="single" w:sz="4" w:space="0" w:color="000000"/>
              <w:bottom w:val="single" w:sz="4" w:space="0" w:color="000000"/>
              <w:right w:val="single" w:sz="4" w:space="0" w:color="000000"/>
            </w:tcBorders>
            <w:vAlign w:val="center"/>
          </w:tcPr>
          <w:p w14:paraId="41BCC6A0" w14:textId="180A1935"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114.61</w:t>
            </w:r>
          </w:p>
        </w:tc>
      </w:tr>
      <w:tr w:rsidR="007707BB" w:rsidRPr="00640417" w14:paraId="7CD7DD54" w14:textId="77777777" w:rsidTr="005247EE">
        <w:trPr>
          <w:trHeight w:val="197"/>
        </w:trPr>
        <w:tc>
          <w:tcPr>
            <w:tcW w:w="2775" w:type="dxa"/>
            <w:tcBorders>
              <w:top w:val="single" w:sz="4" w:space="0" w:color="000000"/>
              <w:left w:val="single" w:sz="4" w:space="0" w:color="000000"/>
              <w:bottom w:val="single" w:sz="4" w:space="0" w:color="000000"/>
              <w:right w:val="single" w:sz="4" w:space="0" w:color="000000"/>
            </w:tcBorders>
            <w:vAlign w:val="center"/>
          </w:tcPr>
          <w:p w14:paraId="23CB7818" w14:textId="77777777" w:rsidR="007707BB" w:rsidRPr="00D40D30" w:rsidRDefault="007707BB" w:rsidP="005247EE">
            <w:pPr>
              <w:pStyle w:val="ExhibitText"/>
              <w:keepNext/>
              <w:jc w:val="left"/>
              <w:rPr>
                <w:color w:val="000000"/>
                <w:sz w:val="18"/>
                <w:szCs w:val="18"/>
                <w:lang w:val="en-GB"/>
              </w:rPr>
            </w:pPr>
            <w:r w:rsidRPr="00D40D30">
              <w:rPr>
                <w:color w:val="000000"/>
                <w:sz w:val="18"/>
                <w:szCs w:val="18"/>
                <w:lang w:val="en-GB"/>
              </w:rPr>
              <w:t>Other Written Off</w:t>
            </w:r>
          </w:p>
        </w:tc>
        <w:tc>
          <w:tcPr>
            <w:tcW w:w="1350" w:type="dxa"/>
            <w:tcBorders>
              <w:top w:val="single" w:sz="4" w:space="0" w:color="000000"/>
              <w:left w:val="single" w:sz="4" w:space="0" w:color="000000"/>
              <w:bottom w:val="single" w:sz="4" w:space="0" w:color="000000"/>
              <w:right w:val="single" w:sz="4" w:space="0" w:color="000000"/>
            </w:tcBorders>
            <w:vAlign w:val="center"/>
          </w:tcPr>
          <w:p w14:paraId="64E431CA" w14:textId="2B9C6D1D"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0.53</w:t>
            </w:r>
          </w:p>
        </w:tc>
        <w:tc>
          <w:tcPr>
            <w:tcW w:w="1260" w:type="dxa"/>
            <w:tcBorders>
              <w:top w:val="single" w:sz="4" w:space="0" w:color="000000"/>
              <w:left w:val="single" w:sz="4" w:space="0" w:color="000000"/>
              <w:bottom w:val="single" w:sz="4" w:space="0" w:color="000000"/>
              <w:right w:val="single" w:sz="4" w:space="0" w:color="000000"/>
            </w:tcBorders>
            <w:vAlign w:val="center"/>
          </w:tcPr>
          <w:p w14:paraId="56AD7DE6" w14:textId="018F2EE0"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0.00</w:t>
            </w:r>
          </w:p>
        </w:tc>
        <w:tc>
          <w:tcPr>
            <w:tcW w:w="1350" w:type="dxa"/>
            <w:tcBorders>
              <w:top w:val="single" w:sz="4" w:space="0" w:color="000000"/>
              <w:left w:val="single" w:sz="4" w:space="0" w:color="000000"/>
              <w:bottom w:val="single" w:sz="4" w:space="0" w:color="000000"/>
              <w:right w:val="single" w:sz="4" w:space="0" w:color="000000"/>
            </w:tcBorders>
            <w:vAlign w:val="center"/>
          </w:tcPr>
          <w:p w14:paraId="1D20BF23" w14:textId="6EBEAD5C"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0.00</w:t>
            </w:r>
          </w:p>
        </w:tc>
        <w:tc>
          <w:tcPr>
            <w:tcW w:w="1350" w:type="dxa"/>
            <w:tcBorders>
              <w:top w:val="single" w:sz="4" w:space="0" w:color="000000"/>
              <w:left w:val="single" w:sz="4" w:space="0" w:color="000000"/>
              <w:bottom w:val="single" w:sz="4" w:space="0" w:color="000000"/>
              <w:right w:val="single" w:sz="4" w:space="0" w:color="000000"/>
            </w:tcBorders>
            <w:vAlign w:val="center"/>
          </w:tcPr>
          <w:p w14:paraId="5B5F18A7" w14:textId="54763F2E"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0.00</w:t>
            </w:r>
          </w:p>
        </w:tc>
        <w:tc>
          <w:tcPr>
            <w:tcW w:w="1170" w:type="dxa"/>
            <w:tcBorders>
              <w:top w:val="single" w:sz="4" w:space="0" w:color="000000"/>
              <w:left w:val="single" w:sz="4" w:space="0" w:color="000000"/>
              <w:bottom w:val="single" w:sz="4" w:space="0" w:color="000000"/>
              <w:right w:val="single" w:sz="4" w:space="0" w:color="000000"/>
            </w:tcBorders>
            <w:vAlign w:val="center"/>
          </w:tcPr>
          <w:p w14:paraId="2480D0D2" w14:textId="359EE0B1"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0.00</w:t>
            </w:r>
          </w:p>
        </w:tc>
      </w:tr>
      <w:tr w:rsidR="007707BB" w:rsidRPr="00640417" w14:paraId="05A1D0E1" w14:textId="77777777" w:rsidTr="005247EE">
        <w:trPr>
          <w:trHeight w:val="251"/>
        </w:trPr>
        <w:tc>
          <w:tcPr>
            <w:tcW w:w="2775" w:type="dxa"/>
            <w:tcBorders>
              <w:top w:val="single" w:sz="4" w:space="0" w:color="000000"/>
              <w:left w:val="single" w:sz="4" w:space="0" w:color="000000"/>
              <w:bottom w:val="single" w:sz="4" w:space="0" w:color="000000"/>
              <w:right w:val="single" w:sz="4" w:space="0" w:color="000000"/>
            </w:tcBorders>
            <w:vAlign w:val="center"/>
          </w:tcPr>
          <w:p w14:paraId="0052E5F1" w14:textId="77777777" w:rsidR="007707BB" w:rsidRPr="00D40D30" w:rsidRDefault="007707BB" w:rsidP="005247EE">
            <w:pPr>
              <w:pStyle w:val="ExhibitText"/>
              <w:keepNext/>
              <w:jc w:val="left"/>
              <w:rPr>
                <w:color w:val="000000"/>
                <w:sz w:val="18"/>
                <w:szCs w:val="18"/>
                <w:lang w:val="en-GB"/>
              </w:rPr>
            </w:pPr>
            <w:r w:rsidRPr="00D40D30">
              <w:rPr>
                <w:color w:val="000000"/>
                <w:sz w:val="18"/>
                <w:szCs w:val="18"/>
                <w:lang w:val="en-GB"/>
              </w:rPr>
              <w:t>Profit before Tax</w:t>
            </w:r>
          </w:p>
        </w:tc>
        <w:tc>
          <w:tcPr>
            <w:tcW w:w="1350" w:type="dxa"/>
            <w:tcBorders>
              <w:top w:val="single" w:sz="4" w:space="0" w:color="000000"/>
              <w:left w:val="single" w:sz="4" w:space="0" w:color="000000"/>
              <w:bottom w:val="single" w:sz="4" w:space="0" w:color="000000"/>
              <w:right w:val="single" w:sz="4" w:space="0" w:color="000000"/>
            </w:tcBorders>
            <w:vAlign w:val="center"/>
          </w:tcPr>
          <w:p w14:paraId="245F96F1" w14:textId="2B12A922"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94.42</w:t>
            </w:r>
          </w:p>
        </w:tc>
        <w:tc>
          <w:tcPr>
            <w:tcW w:w="1260" w:type="dxa"/>
            <w:tcBorders>
              <w:top w:val="single" w:sz="4" w:space="0" w:color="000000"/>
              <w:left w:val="single" w:sz="4" w:space="0" w:color="000000"/>
              <w:bottom w:val="single" w:sz="4" w:space="0" w:color="000000"/>
              <w:right w:val="single" w:sz="4" w:space="0" w:color="000000"/>
            </w:tcBorders>
            <w:vAlign w:val="center"/>
          </w:tcPr>
          <w:p w14:paraId="6BF456C5" w14:textId="6D05FAEC"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74.56</w:t>
            </w:r>
          </w:p>
        </w:tc>
        <w:tc>
          <w:tcPr>
            <w:tcW w:w="1350" w:type="dxa"/>
            <w:tcBorders>
              <w:top w:val="single" w:sz="4" w:space="0" w:color="000000"/>
              <w:left w:val="single" w:sz="4" w:space="0" w:color="000000"/>
              <w:bottom w:val="single" w:sz="4" w:space="0" w:color="000000"/>
              <w:right w:val="single" w:sz="4" w:space="0" w:color="000000"/>
            </w:tcBorders>
            <w:vAlign w:val="center"/>
          </w:tcPr>
          <w:p w14:paraId="286EBCC4" w14:textId="240D8AF3"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–25.64</w:t>
            </w:r>
          </w:p>
        </w:tc>
        <w:tc>
          <w:tcPr>
            <w:tcW w:w="1350" w:type="dxa"/>
            <w:tcBorders>
              <w:top w:val="single" w:sz="4" w:space="0" w:color="000000"/>
              <w:left w:val="single" w:sz="4" w:space="0" w:color="000000"/>
              <w:bottom w:val="single" w:sz="4" w:space="0" w:color="000000"/>
              <w:right w:val="single" w:sz="4" w:space="0" w:color="000000"/>
            </w:tcBorders>
            <w:vAlign w:val="center"/>
          </w:tcPr>
          <w:p w14:paraId="72B53730" w14:textId="5762AEF6"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–199.91</w:t>
            </w:r>
          </w:p>
        </w:tc>
        <w:tc>
          <w:tcPr>
            <w:tcW w:w="1170" w:type="dxa"/>
            <w:tcBorders>
              <w:top w:val="single" w:sz="4" w:space="0" w:color="000000"/>
              <w:left w:val="single" w:sz="4" w:space="0" w:color="000000"/>
              <w:bottom w:val="single" w:sz="4" w:space="0" w:color="000000"/>
              <w:right w:val="single" w:sz="4" w:space="0" w:color="000000"/>
            </w:tcBorders>
            <w:vAlign w:val="center"/>
          </w:tcPr>
          <w:p w14:paraId="7AE03017" w14:textId="46D109A1"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–235.59</w:t>
            </w:r>
          </w:p>
        </w:tc>
      </w:tr>
      <w:tr w:rsidR="007707BB" w:rsidRPr="00640417" w14:paraId="3F8F8AA4" w14:textId="77777777" w:rsidTr="005247EE">
        <w:trPr>
          <w:trHeight w:val="237"/>
        </w:trPr>
        <w:tc>
          <w:tcPr>
            <w:tcW w:w="2775" w:type="dxa"/>
            <w:tcBorders>
              <w:top w:val="single" w:sz="4" w:space="0" w:color="000000"/>
              <w:left w:val="single" w:sz="4" w:space="0" w:color="000000"/>
              <w:bottom w:val="single" w:sz="4" w:space="0" w:color="000000"/>
              <w:right w:val="single" w:sz="4" w:space="0" w:color="000000"/>
            </w:tcBorders>
            <w:vAlign w:val="center"/>
          </w:tcPr>
          <w:p w14:paraId="2BD6F838" w14:textId="77777777" w:rsidR="007707BB" w:rsidRPr="00D40D30" w:rsidRDefault="007707BB" w:rsidP="005247EE">
            <w:pPr>
              <w:pStyle w:val="ExhibitText"/>
              <w:keepNext/>
              <w:jc w:val="left"/>
              <w:rPr>
                <w:color w:val="000000"/>
                <w:sz w:val="18"/>
                <w:szCs w:val="18"/>
                <w:lang w:val="en-GB"/>
              </w:rPr>
            </w:pPr>
            <w:r w:rsidRPr="00D40D30">
              <w:rPr>
                <w:color w:val="000000"/>
                <w:sz w:val="18"/>
                <w:szCs w:val="18"/>
                <w:lang w:val="en-GB"/>
              </w:rPr>
              <w:t xml:space="preserve">Extraordinary Items </w:t>
            </w:r>
          </w:p>
        </w:tc>
        <w:tc>
          <w:tcPr>
            <w:tcW w:w="1350" w:type="dxa"/>
            <w:tcBorders>
              <w:top w:val="single" w:sz="4" w:space="0" w:color="000000"/>
              <w:left w:val="single" w:sz="4" w:space="0" w:color="000000"/>
              <w:bottom w:val="single" w:sz="4" w:space="0" w:color="000000"/>
              <w:right w:val="single" w:sz="4" w:space="0" w:color="000000"/>
            </w:tcBorders>
            <w:vAlign w:val="center"/>
          </w:tcPr>
          <w:p w14:paraId="493DE750" w14:textId="05EF4EA7"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0.64</w:t>
            </w:r>
          </w:p>
        </w:tc>
        <w:tc>
          <w:tcPr>
            <w:tcW w:w="1260" w:type="dxa"/>
            <w:tcBorders>
              <w:top w:val="single" w:sz="4" w:space="0" w:color="000000"/>
              <w:left w:val="single" w:sz="4" w:space="0" w:color="000000"/>
              <w:bottom w:val="single" w:sz="4" w:space="0" w:color="000000"/>
              <w:right w:val="single" w:sz="4" w:space="0" w:color="000000"/>
            </w:tcBorders>
            <w:vAlign w:val="center"/>
          </w:tcPr>
          <w:p w14:paraId="16911245" w14:textId="19782EBE"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0.00</w:t>
            </w:r>
          </w:p>
        </w:tc>
        <w:tc>
          <w:tcPr>
            <w:tcW w:w="1350" w:type="dxa"/>
            <w:tcBorders>
              <w:top w:val="single" w:sz="4" w:space="0" w:color="000000"/>
              <w:left w:val="single" w:sz="4" w:space="0" w:color="000000"/>
              <w:bottom w:val="single" w:sz="4" w:space="0" w:color="000000"/>
              <w:right w:val="single" w:sz="4" w:space="0" w:color="000000"/>
            </w:tcBorders>
            <w:vAlign w:val="center"/>
          </w:tcPr>
          <w:p w14:paraId="7F4E630C" w14:textId="36984EBD"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0.00</w:t>
            </w:r>
          </w:p>
        </w:tc>
        <w:tc>
          <w:tcPr>
            <w:tcW w:w="1350" w:type="dxa"/>
            <w:tcBorders>
              <w:top w:val="single" w:sz="4" w:space="0" w:color="000000"/>
              <w:left w:val="single" w:sz="4" w:space="0" w:color="000000"/>
              <w:bottom w:val="single" w:sz="4" w:space="0" w:color="000000"/>
              <w:right w:val="single" w:sz="4" w:space="0" w:color="000000"/>
            </w:tcBorders>
            <w:vAlign w:val="center"/>
          </w:tcPr>
          <w:p w14:paraId="5159FBB5" w14:textId="7FDEF8BE"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0.00</w:t>
            </w:r>
          </w:p>
        </w:tc>
        <w:tc>
          <w:tcPr>
            <w:tcW w:w="1170" w:type="dxa"/>
            <w:tcBorders>
              <w:top w:val="single" w:sz="4" w:space="0" w:color="000000"/>
              <w:left w:val="single" w:sz="4" w:space="0" w:color="000000"/>
              <w:bottom w:val="single" w:sz="4" w:space="0" w:color="000000"/>
              <w:right w:val="single" w:sz="4" w:space="0" w:color="000000"/>
            </w:tcBorders>
            <w:vAlign w:val="center"/>
          </w:tcPr>
          <w:p w14:paraId="288CE08F" w14:textId="0D48CE08"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0.00</w:t>
            </w:r>
          </w:p>
        </w:tc>
      </w:tr>
      <w:tr w:rsidR="007707BB" w:rsidRPr="00640417" w14:paraId="59274290" w14:textId="77777777" w:rsidTr="005247EE">
        <w:trPr>
          <w:trHeight w:val="251"/>
        </w:trPr>
        <w:tc>
          <w:tcPr>
            <w:tcW w:w="2775" w:type="dxa"/>
            <w:tcBorders>
              <w:top w:val="single" w:sz="4" w:space="0" w:color="000000"/>
              <w:left w:val="single" w:sz="4" w:space="0" w:color="000000"/>
              <w:bottom w:val="single" w:sz="4" w:space="0" w:color="000000"/>
              <w:right w:val="single" w:sz="4" w:space="0" w:color="000000"/>
            </w:tcBorders>
            <w:vAlign w:val="center"/>
          </w:tcPr>
          <w:p w14:paraId="00C6945E" w14:textId="77777777" w:rsidR="007707BB" w:rsidRPr="00D40D30" w:rsidRDefault="007707BB" w:rsidP="005247EE">
            <w:pPr>
              <w:pStyle w:val="ExhibitText"/>
              <w:keepNext/>
              <w:jc w:val="left"/>
              <w:rPr>
                <w:color w:val="000000"/>
                <w:sz w:val="18"/>
                <w:szCs w:val="18"/>
                <w:lang w:val="en-GB"/>
              </w:rPr>
            </w:pPr>
            <w:r w:rsidRPr="00D40D30">
              <w:rPr>
                <w:color w:val="000000"/>
                <w:sz w:val="18"/>
                <w:szCs w:val="18"/>
                <w:lang w:val="en-GB"/>
              </w:rPr>
              <w:t xml:space="preserve">Profit before Tax </w:t>
            </w:r>
          </w:p>
          <w:p w14:paraId="5D368502" w14:textId="77777777" w:rsidR="007707BB" w:rsidRPr="00D40D30" w:rsidRDefault="007707BB" w:rsidP="005247EE">
            <w:pPr>
              <w:pStyle w:val="ExhibitText"/>
              <w:keepNext/>
              <w:jc w:val="left"/>
              <w:rPr>
                <w:color w:val="000000"/>
                <w:sz w:val="18"/>
                <w:szCs w:val="18"/>
                <w:lang w:val="en-GB"/>
              </w:rPr>
            </w:pPr>
            <w:r w:rsidRPr="00D40D30">
              <w:rPr>
                <w:color w:val="000000"/>
                <w:sz w:val="18"/>
                <w:szCs w:val="18"/>
                <w:lang w:val="en-GB"/>
              </w:rPr>
              <w:t>(Post-Extraordinary Items)</w:t>
            </w:r>
          </w:p>
        </w:tc>
        <w:tc>
          <w:tcPr>
            <w:tcW w:w="1350" w:type="dxa"/>
            <w:tcBorders>
              <w:top w:val="single" w:sz="4" w:space="0" w:color="000000"/>
              <w:left w:val="single" w:sz="4" w:space="0" w:color="000000"/>
              <w:bottom w:val="single" w:sz="4" w:space="0" w:color="000000"/>
              <w:right w:val="single" w:sz="4" w:space="0" w:color="000000"/>
            </w:tcBorders>
            <w:vAlign w:val="center"/>
          </w:tcPr>
          <w:p w14:paraId="322CD770" w14:textId="48A91337"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95.06</w:t>
            </w:r>
          </w:p>
        </w:tc>
        <w:tc>
          <w:tcPr>
            <w:tcW w:w="1260" w:type="dxa"/>
            <w:tcBorders>
              <w:top w:val="single" w:sz="4" w:space="0" w:color="000000"/>
              <w:left w:val="single" w:sz="4" w:space="0" w:color="000000"/>
              <w:bottom w:val="single" w:sz="4" w:space="0" w:color="000000"/>
              <w:right w:val="single" w:sz="4" w:space="0" w:color="000000"/>
            </w:tcBorders>
            <w:vAlign w:val="center"/>
          </w:tcPr>
          <w:p w14:paraId="1E5E47F9" w14:textId="32A5E98B"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74.56</w:t>
            </w:r>
          </w:p>
        </w:tc>
        <w:tc>
          <w:tcPr>
            <w:tcW w:w="1350" w:type="dxa"/>
            <w:tcBorders>
              <w:top w:val="single" w:sz="4" w:space="0" w:color="000000"/>
              <w:left w:val="single" w:sz="4" w:space="0" w:color="000000"/>
              <w:bottom w:val="single" w:sz="4" w:space="0" w:color="000000"/>
              <w:right w:val="single" w:sz="4" w:space="0" w:color="000000"/>
            </w:tcBorders>
            <w:vAlign w:val="center"/>
          </w:tcPr>
          <w:p w14:paraId="51DD8386" w14:textId="0C1186EC"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–25.64</w:t>
            </w:r>
          </w:p>
        </w:tc>
        <w:tc>
          <w:tcPr>
            <w:tcW w:w="1350" w:type="dxa"/>
            <w:tcBorders>
              <w:top w:val="single" w:sz="4" w:space="0" w:color="000000"/>
              <w:left w:val="single" w:sz="4" w:space="0" w:color="000000"/>
              <w:bottom w:val="single" w:sz="4" w:space="0" w:color="000000"/>
              <w:right w:val="single" w:sz="4" w:space="0" w:color="000000"/>
            </w:tcBorders>
            <w:vAlign w:val="center"/>
          </w:tcPr>
          <w:p w14:paraId="7B0FBB54" w14:textId="27F98803"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–199.91</w:t>
            </w:r>
          </w:p>
        </w:tc>
        <w:tc>
          <w:tcPr>
            <w:tcW w:w="1170" w:type="dxa"/>
            <w:tcBorders>
              <w:top w:val="single" w:sz="4" w:space="0" w:color="000000"/>
              <w:left w:val="single" w:sz="4" w:space="0" w:color="000000"/>
              <w:bottom w:val="single" w:sz="4" w:space="0" w:color="000000"/>
              <w:right w:val="single" w:sz="4" w:space="0" w:color="000000"/>
            </w:tcBorders>
            <w:vAlign w:val="center"/>
          </w:tcPr>
          <w:p w14:paraId="0E4A72EA" w14:textId="149ACEBE"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–235.59</w:t>
            </w:r>
          </w:p>
        </w:tc>
      </w:tr>
      <w:tr w:rsidR="007707BB" w:rsidRPr="00640417" w14:paraId="6FE848F8" w14:textId="77777777" w:rsidTr="005247EE">
        <w:trPr>
          <w:trHeight w:val="156"/>
        </w:trPr>
        <w:tc>
          <w:tcPr>
            <w:tcW w:w="2775" w:type="dxa"/>
            <w:tcBorders>
              <w:top w:val="single" w:sz="4" w:space="0" w:color="000000"/>
              <w:left w:val="single" w:sz="4" w:space="0" w:color="000000"/>
              <w:bottom w:val="single" w:sz="4" w:space="0" w:color="000000"/>
              <w:right w:val="single" w:sz="4" w:space="0" w:color="000000"/>
            </w:tcBorders>
            <w:vAlign w:val="center"/>
          </w:tcPr>
          <w:p w14:paraId="52317A0F" w14:textId="77777777" w:rsidR="007707BB" w:rsidRPr="00D40D30" w:rsidRDefault="007707BB" w:rsidP="005247EE">
            <w:pPr>
              <w:pStyle w:val="ExhibitText"/>
              <w:keepNext/>
              <w:jc w:val="left"/>
              <w:rPr>
                <w:color w:val="000000"/>
                <w:sz w:val="18"/>
                <w:szCs w:val="18"/>
                <w:lang w:val="en-GB"/>
              </w:rPr>
            </w:pPr>
            <w:r w:rsidRPr="00D40D30">
              <w:rPr>
                <w:color w:val="000000"/>
                <w:sz w:val="18"/>
                <w:szCs w:val="18"/>
                <w:lang w:val="en-GB"/>
              </w:rPr>
              <w:t>Tax</w:t>
            </w:r>
          </w:p>
        </w:tc>
        <w:tc>
          <w:tcPr>
            <w:tcW w:w="1350" w:type="dxa"/>
            <w:tcBorders>
              <w:top w:val="single" w:sz="4" w:space="0" w:color="000000"/>
              <w:left w:val="single" w:sz="4" w:space="0" w:color="000000"/>
              <w:bottom w:val="single" w:sz="4" w:space="0" w:color="000000"/>
              <w:right w:val="single" w:sz="4" w:space="0" w:color="000000"/>
            </w:tcBorders>
            <w:vAlign w:val="center"/>
          </w:tcPr>
          <w:p w14:paraId="41E3EC9B" w14:textId="195307D0"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31.98</w:t>
            </w:r>
          </w:p>
        </w:tc>
        <w:tc>
          <w:tcPr>
            <w:tcW w:w="1260" w:type="dxa"/>
            <w:tcBorders>
              <w:top w:val="single" w:sz="4" w:space="0" w:color="000000"/>
              <w:left w:val="single" w:sz="4" w:space="0" w:color="000000"/>
              <w:bottom w:val="single" w:sz="4" w:space="0" w:color="000000"/>
              <w:right w:val="single" w:sz="4" w:space="0" w:color="000000"/>
            </w:tcBorders>
            <w:vAlign w:val="center"/>
          </w:tcPr>
          <w:p w14:paraId="552D0DC3" w14:textId="21FD4E04"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21.50</w:t>
            </w:r>
          </w:p>
        </w:tc>
        <w:tc>
          <w:tcPr>
            <w:tcW w:w="1350" w:type="dxa"/>
            <w:tcBorders>
              <w:top w:val="single" w:sz="4" w:space="0" w:color="000000"/>
              <w:left w:val="single" w:sz="4" w:space="0" w:color="000000"/>
              <w:bottom w:val="single" w:sz="4" w:space="0" w:color="000000"/>
              <w:right w:val="single" w:sz="4" w:space="0" w:color="000000"/>
            </w:tcBorders>
            <w:vAlign w:val="center"/>
          </w:tcPr>
          <w:p w14:paraId="6A2D2D09" w14:textId="1771D28B"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–8.32</w:t>
            </w:r>
          </w:p>
        </w:tc>
        <w:tc>
          <w:tcPr>
            <w:tcW w:w="1350" w:type="dxa"/>
            <w:tcBorders>
              <w:top w:val="single" w:sz="4" w:space="0" w:color="000000"/>
              <w:left w:val="single" w:sz="4" w:space="0" w:color="000000"/>
              <w:bottom w:val="single" w:sz="4" w:space="0" w:color="000000"/>
              <w:right w:val="single" w:sz="4" w:space="0" w:color="000000"/>
            </w:tcBorders>
            <w:vAlign w:val="center"/>
          </w:tcPr>
          <w:p w14:paraId="7D803F49" w14:textId="2AE39FA7"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–63.11</w:t>
            </w:r>
          </w:p>
        </w:tc>
        <w:tc>
          <w:tcPr>
            <w:tcW w:w="1170" w:type="dxa"/>
            <w:tcBorders>
              <w:top w:val="single" w:sz="4" w:space="0" w:color="000000"/>
              <w:left w:val="single" w:sz="4" w:space="0" w:color="000000"/>
              <w:bottom w:val="single" w:sz="4" w:space="0" w:color="000000"/>
              <w:right w:val="single" w:sz="4" w:space="0" w:color="000000"/>
            </w:tcBorders>
            <w:vAlign w:val="center"/>
          </w:tcPr>
          <w:p w14:paraId="06907BC1" w14:textId="324D6487" w:rsidR="007707BB" w:rsidRPr="00D40D30" w:rsidRDefault="007707BB" w:rsidP="005247EE">
            <w:pPr>
              <w:pStyle w:val="ExhibitText"/>
              <w:keepNext/>
              <w:jc w:val="right"/>
              <w:rPr>
                <w:color w:val="000000"/>
                <w:sz w:val="18"/>
                <w:szCs w:val="18"/>
                <w:lang w:val="en-GB"/>
              </w:rPr>
            </w:pPr>
            <w:r w:rsidRPr="00D40D30">
              <w:rPr>
                <w:color w:val="000000"/>
                <w:sz w:val="18"/>
                <w:szCs w:val="18"/>
                <w:lang w:val="en-GB"/>
              </w:rPr>
              <w:t>-3.91</w:t>
            </w:r>
          </w:p>
        </w:tc>
      </w:tr>
      <w:tr w:rsidR="007707BB" w:rsidRPr="00640417" w14:paraId="042672E0" w14:textId="77777777" w:rsidTr="005247EE">
        <w:trPr>
          <w:trHeight w:val="251"/>
        </w:trPr>
        <w:tc>
          <w:tcPr>
            <w:tcW w:w="2775" w:type="dxa"/>
            <w:tcBorders>
              <w:top w:val="single" w:sz="4" w:space="0" w:color="000000"/>
              <w:left w:val="single" w:sz="4" w:space="0" w:color="000000"/>
              <w:bottom w:val="single" w:sz="4" w:space="0" w:color="000000"/>
              <w:right w:val="single" w:sz="4" w:space="0" w:color="000000"/>
            </w:tcBorders>
            <w:vAlign w:val="center"/>
          </w:tcPr>
          <w:p w14:paraId="3D44323A" w14:textId="77777777" w:rsidR="007707BB" w:rsidRPr="00D40D30" w:rsidRDefault="007707BB" w:rsidP="005247EE">
            <w:pPr>
              <w:pStyle w:val="ExhibitText"/>
              <w:jc w:val="left"/>
              <w:rPr>
                <w:color w:val="000000"/>
                <w:sz w:val="18"/>
                <w:szCs w:val="18"/>
                <w:lang w:val="en-GB"/>
              </w:rPr>
            </w:pPr>
            <w:r w:rsidRPr="00D40D30">
              <w:rPr>
                <w:color w:val="000000"/>
                <w:sz w:val="18"/>
                <w:szCs w:val="18"/>
                <w:lang w:val="en-GB"/>
              </w:rPr>
              <w:t>Reported Net Profit</w:t>
            </w:r>
          </w:p>
        </w:tc>
        <w:tc>
          <w:tcPr>
            <w:tcW w:w="1350" w:type="dxa"/>
            <w:tcBorders>
              <w:top w:val="single" w:sz="4" w:space="0" w:color="000000"/>
              <w:left w:val="single" w:sz="4" w:space="0" w:color="000000"/>
              <w:bottom w:val="single" w:sz="4" w:space="0" w:color="000000"/>
              <w:right w:val="single" w:sz="4" w:space="0" w:color="000000"/>
            </w:tcBorders>
            <w:vAlign w:val="center"/>
          </w:tcPr>
          <w:p w14:paraId="675BD337" w14:textId="215F8072" w:rsidR="007707BB" w:rsidRPr="00D40D30" w:rsidRDefault="007707BB" w:rsidP="005247EE">
            <w:pPr>
              <w:pStyle w:val="ExhibitText"/>
              <w:jc w:val="right"/>
              <w:rPr>
                <w:color w:val="000000"/>
                <w:sz w:val="18"/>
                <w:szCs w:val="18"/>
                <w:lang w:val="en-GB"/>
              </w:rPr>
            </w:pPr>
            <w:r w:rsidRPr="00D40D30">
              <w:rPr>
                <w:color w:val="000000"/>
                <w:sz w:val="18"/>
                <w:szCs w:val="18"/>
                <w:lang w:val="en-GB"/>
              </w:rPr>
              <w:t>63.08</w:t>
            </w:r>
          </w:p>
        </w:tc>
        <w:tc>
          <w:tcPr>
            <w:tcW w:w="1260" w:type="dxa"/>
            <w:tcBorders>
              <w:top w:val="single" w:sz="4" w:space="0" w:color="000000"/>
              <w:left w:val="single" w:sz="4" w:space="0" w:color="000000"/>
              <w:bottom w:val="single" w:sz="4" w:space="0" w:color="000000"/>
              <w:right w:val="single" w:sz="4" w:space="0" w:color="000000"/>
            </w:tcBorders>
            <w:vAlign w:val="center"/>
          </w:tcPr>
          <w:p w14:paraId="0E7DFF1A" w14:textId="0DA6C519" w:rsidR="007707BB" w:rsidRPr="00D40D30" w:rsidRDefault="007707BB" w:rsidP="005247EE">
            <w:pPr>
              <w:pStyle w:val="ExhibitText"/>
              <w:jc w:val="right"/>
              <w:rPr>
                <w:color w:val="000000"/>
                <w:sz w:val="18"/>
                <w:szCs w:val="18"/>
                <w:lang w:val="en-GB"/>
              </w:rPr>
            </w:pPr>
            <w:r w:rsidRPr="00D40D30">
              <w:rPr>
                <w:color w:val="000000"/>
                <w:sz w:val="18"/>
                <w:szCs w:val="18"/>
                <w:lang w:val="en-GB"/>
              </w:rPr>
              <w:t>53.06</w:t>
            </w:r>
          </w:p>
        </w:tc>
        <w:tc>
          <w:tcPr>
            <w:tcW w:w="1350" w:type="dxa"/>
            <w:tcBorders>
              <w:top w:val="single" w:sz="4" w:space="0" w:color="000000"/>
              <w:left w:val="single" w:sz="4" w:space="0" w:color="000000"/>
              <w:bottom w:val="single" w:sz="4" w:space="0" w:color="000000"/>
              <w:right w:val="single" w:sz="4" w:space="0" w:color="000000"/>
            </w:tcBorders>
            <w:vAlign w:val="center"/>
          </w:tcPr>
          <w:p w14:paraId="5634D791" w14:textId="04A6EAED" w:rsidR="007707BB" w:rsidRPr="00D40D30" w:rsidRDefault="007707BB" w:rsidP="005247EE">
            <w:pPr>
              <w:pStyle w:val="ExhibitText"/>
              <w:jc w:val="right"/>
              <w:rPr>
                <w:color w:val="000000"/>
                <w:sz w:val="18"/>
                <w:szCs w:val="18"/>
                <w:lang w:val="en-GB"/>
              </w:rPr>
            </w:pPr>
            <w:r w:rsidRPr="00D40D30">
              <w:rPr>
                <w:color w:val="000000"/>
                <w:sz w:val="18"/>
                <w:szCs w:val="18"/>
                <w:lang w:val="en-GB"/>
              </w:rPr>
              <w:t>–17.32</w:t>
            </w:r>
          </w:p>
        </w:tc>
        <w:tc>
          <w:tcPr>
            <w:tcW w:w="1350" w:type="dxa"/>
            <w:tcBorders>
              <w:top w:val="single" w:sz="4" w:space="0" w:color="000000"/>
              <w:left w:val="single" w:sz="4" w:space="0" w:color="000000"/>
              <w:bottom w:val="single" w:sz="4" w:space="0" w:color="000000"/>
              <w:right w:val="single" w:sz="4" w:space="0" w:color="000000"/>
            </w:tcBorders>
            <w:vAlign w:val="center"/>
          </w:tcPr>
          <w:p w14:paraId="37E066DA" w14:textId="797084DC" w:rsidR="007707BB" w:rsidRPr="00D40D30" w:rsidRDefault="007707BB" w:rsidP="005247EE">
            <w:pPr>
              <w:pStyle w:val="ExhibitText"/>
              <w:jc w:val="right"/>
              <w:rPr>
                <w:color w:val="000000"/>
                <w:sz w:val="18"/>
                <w:szCs w:val="18"/>
                <w:lang w:val="en-GB"/>
              </w:rPr>
            </w:pPr>
            <w:r w:rsidRPr="00D40D30">
              <w:rPr>
                <w:color w:val="000000"/>
                <w:sz w:val="18"/>
                <w:szCs w:val="18"/>
                <w:lang w:val="en-GB"/>
              </w:rPr>
              <w:t>–136.80</w:t>
            </w:r>
          </w:p>
        </w:tc>
        <w:tc>
          <w:tcPr>
            <w:tcW w:w="1170" w:type="dxa"/>
            <w:tcBorders>
              <w:top w:val="single" w:sz="4" w:space="0" w:color="000000"/>
              <w:left w:val="single" w:sz="4" w:space="0" w:color="000000"/>
              <w:bottom w:val="single" w:sz="4" w:space="0" w:color="000000"/>
              <w:right w:val="single" w:sz="4" w:space="0" w:color="000000"/>
            </w:tcBorders>
            <w:vAlign w:val="center"/>
          </w:tcPr>
          <w:p w14:paraId="55E9C48F" w14:textId="51270E10" w:rsidR="007707BB" w:rsidRPr="00D40D30" w:rsidRDefault="007707BB" w:rsidP="005247EE">
            <w:pPr>
              <w:pStyle w:val="ExhibitText"/>
              <w:jc w:val="right"/>
              <w:rPr>
                <w:color w:val="000000"/>
                <w:sz w:val="18"/>
                <w:szCs w:val="18"/>
                <w:lang w:val="en-GB"/>
              </w:rPr>
            </w:pPr>
            <w:r w:rsidRPr="00D40D30">
              <w:rPr>
                <w:color w:val="000000"/>
                <w:sz w:val="18"/>
                <w:szCs w:val="18"/>
                <w:lang w:val="en-GB"/>
              </w:rPr>
              <w:t>–231.68</w:t>
            </w:r>
          </w:p>
        </w:tc>
      </w:tr>
      <w:tr w:rsidR="007707BB" w:rsidRPr="00640417" w14:paraId="6C024920" w14:textId="77777777" w:rsidTr="005247EE">
        <w:trPr>
          <w:trHeight w:val="251"/>
        </w:trPr>
        <w:tc>
          <w:tcPr>
            <w:tcW w:w="2775" w:type="dxa"/>
            <w:tcBorders>
              <w:top w:val="single" w:sz="4" w:space="0" w:color="000000"/>
              <w:left w:val="single" w:sz="4" w:space="0" w:color="000000"/>
              <w:bottom w:val="single" w:sz="4" w:space="0" w:color="000000"/>
              <w:right w:val="single" w:sz="4" w:space="0" w:color="000000"/>
            </w:tcBorders>
            <w:vAlign w:val="center"/>
          </w:tcPr>
          <w:p w14:paraId="5211B572" w14:textId="77777777" w:rsidR="007707BB" w:rsidRPr="00D40D30" w:rsidRDefault="007707BB" w:rsidP="005247EE">
            <w:pPr>
              <w:pStyle w:val="ExhibitText"/>
              <w:jc w:val="left"/>
              <w:rPr>
                <w:color w:val="000000"/>
                <w:sz w:val="18"/>
                <w:szCs w:val="18"/>
                <w:lang w:val="en-GB"/>
              </w:rPr>
            </w:pPr>
            <w:r w:rsidRPr="00D40D30">
              <w:rPr>
                <w:color w:val="000000"/>
                <w:sz w:val="18"/>
                <w:szCs w:val="18"/>
                <w:lang w:val="en-GB"/>
              </w:rPr>
              <w:t>Total Value Addition</w:t>
            </w:r>
          </w:p>
        </w:tc>
        <w:tc>
          <w:tcPr>
            <w:tcW w:w="1350" w:type="dxa"/>
            <w:tcBorders>
              <w:top w:val="single" w:sz="4" w:space="0" w:color="000000"/>
              <w:left w:val="single" w:sz="4" w:space="0" w:color="000000"/>
              <w:bottom w:val="single" w:sz="4" w:space="0" w:color="000000"/>
              <w:right w:val="single" w:sz="4" w:space="0" w:color="000000"/>
            </w:tcBorders>
            <w:vAlign w:val="center"/>
          </w:tcPr>
          <w:p w14:paraId="76919CBF" w14:textId="67CF4CA2" w:rsidR="007707BB" w:rsidRPr="00D40D30" w:rsidRDefault="007707BB" w:rsidP="005247EE">
            <w:pPr>
              <w:pStyle w:val="ExhibitText"/>
              <w:jc w:val="right"/>
              <w:rPr>
                <w:color w:val="000000"/>
                <w:sz w:val="18"/>
                <w:szCs w:val="18"/>
                <w:lang w:val="en-GB"/>
              </w:rPr>
            </w:pPr>
            <w:r w:rsidRPr="00D40D30">
              <w:rPr>
                <w:color w:val="000000"/>
                <w:sz w:val="18"/>
                <w:szCs w:val="18"/>
                <w:lang w:val="en-GB"/>
              </w:rPr>
              <w:t>157.36</w:t>
            </w:r>
          </w:p>
        </w:tc>
        <w:tc>
          <w:tcPr>
            <w:tcW w:w="1260" w:type="dxa"/>
            <w:tcBorders>
              <w:top w:val="single" w:sz="4" w:space="0" w:color="000000"/>
              <w:left w:val="single" w:sz="4" w:space="0" w:color="000000"/>
              <w:bottom w:val="single" w:sz="4" w:space="0" w:color="000000"/>
              <w:right w:val="single" w:sz="4" w:space="0" w:color="000000"/>
            </w:tcBorders>
            <w:vAlign w:val="center"/>
          </w:tcPr>
          <w:p w14:paraId="0E0BBD81" w14:textId="51E41B29" w:rsidR="007707BB" w:rsidRPr="00D40D30" w:rsidRDefault="007707BB" w:rsidP="005247EE">
            <w:pPr>
              <w:pStyle w:val="ExhibitText"/>
              <w:jc w:val="right"/>
              <w:rPr>
                <w:color w:val="000000"/>
                <w:sz w:val="18"/>
                <w:szCs w:val="18"/>
                <w:lang w:val="en-GB"/>
              </w:rPr>
            </w:pPr>
            <w:r w:rsidRPr="00D40D30">
              <w:rPr>
                <w:color w:val="000000"/>
                <w:sz w:val="18"/>
                <w:szCs w:val="18"/>
                <w:lang w:val="en-GB"/>
              </w:rPr>
              <w:t>180.81</w:t>
            </w:r>
          </w:p>
        </w:tc>
        <w:tc>
          <w:tcPr>
            <w:tcW w:w="1350" w:type="dxa"/>
            <w:tcBorders>
              <w:top w:val="single" w:sz="4" w:space="0" w:color="000000"/>
              <w:left w:val="single" w:sz="4" w:space="0" w:color="000000"/>
              <w:bottom w:val="single" w:sz="4" w:space="0" w:color="000000"/>
              <w:right w:val="single" w:sz="4" w:space="0" w:color="000000"/>
            </w:tcBorders>
            <w:vAlign w:val="center"/>
          </w:tcPr>
          <w:p w14:paraId="3486E520" w14:textId="128F4411" w:rsidR="007707BB" w:rsidRPr="00D40D30" w:rsidRDefault="007707BB" w:rsidP="005247EE">
            <w:pPr>
              <w:pStyle w:val="ExhibitText"/>
              <w:jc w:val="right"/>
              <w:rPr>
                <w:color w:val="000000"/>
                <w:sz w:val="18"/>
                <w:szCs w:val="18"/>
                <w:lang w:val="en-GB"/>
              </w:rPr>
            </w:pPr>
            <w:r w:rsidRPr="00D40D30">
              <w:rPr>
                <w:color w:val="000000"/>
                <w:sz w:val="18"/>
                <w:szCs w:val="18"/>
                <w:lang w:val="en-GB"/>
              </w:rPr>
              <w:t>216.29</w:t>
            </w:r>
          </w:p>
        </w:tc>
        <w:tc>
          <w:tcPr>
            <w:tcW w:w="1350" w:type="dxa"/>
            <w:tcBorders>
              <w:top w:val="single" w:sz="4" w:space="0" w:color="000000"/>
              <w:left w:val="single" w:sz="4" w:space="0" w:color="000000"/>
              <w:bottom w:val="single" w:sz="4" w:space="0" w:color="000000"/>
              <w:right w:val="single" w:sz="4" w:space="0" w:color="000000"/>
            </w:tcBorders>
            <w:vAlign w:val="center"/>
          </w:tcPr>
          <w:p w14:paraId="5ECB4959" w14:textId="6CA5D8CA" w:rsidR="007707BB" w:rsidRPr="00D40D30" w:rsidRDefault="007707BB" w:rsidP="005247EE">
            <w:pPr>
              <w:pStyle w:val="ExhibitText"/>
              <w:jc w:val="right"/>
              <w:rPr>
                <w:color w:val="000000"/>
                <w:sz w:val="18"/>
                <w:szCs w:val="18"/>
                <w:lang w:val="en-GB"/>
              </w:rPr>
            </w:pPr>
            <w:r w:rsidRPr="00D40D30">
              <w:rPr>
                <w:color w:val="000000"/>
                <w:sz w:val="18"/>
                <w:szCs w:val="18"/>
                <w:lang w:val="en-GB"/>
              </w:rPr>
              <w:t>369.25</w:t>
            </w:r>
          </w:p>
        </w:tc>
        <w:tc>
          <w:tcPr>
            <w:tcW w:w="1170" w:type="dxa"/>
            <w:tcBorders>
              <w:top w:val="single" w:sz="4" w:space="0" w:color="000000"/>
              <w:left w:val="single" w:sz="4" w:space="0" w:color="000000"/>
              <w:bottom w:val="single" w:sz="4" w:space="0" w:color="000000"/>
              <w:right w:val="single" w:sz="4" w:space="0" w:color="000000"/>
            </w:tcBorders>
            <w:vAlign w:val="center"/>
          </w:tcPr>
          <w:p w14:paraId="6975EC97" w14:textId="4726E670" w:rsidR="007707BB" w:rsidRPr="00D40D30" w:rsidRDefault="007707BB" w:rsidP="005247EE">
            <w:pPr>
              <w:pStyle w:val="ExhibitText"/>
              <w:jc w:val="right"/>
              <w:rPr>
                <w:color w:val="000000"/>
                <w:sz w:val="18"/>
                <w:szCs w:val="18"/>
                <w:lang w:val="en-GB"/>
              </w:rPr>
            </w:pPr>
            <w:r w:rsidRPr="00D40D30">
              <w:rPr>
                <w:color w:val="000000"/>
                <w:sz w:val="18"/>
                <w:szCs w:val="18"/>
                <w:lang w:val="en-GB"/>
              </w:rPr>
              <w:t>390.95</w:t>
            </w:r>
          </w:p>
        </w:tc>
      </w:tr>
      <w:tr w:rsidR="007707BB" w:rsidRPr="00640417" w14:paraId="610FC32A" w14:textId="77777777" w:rsidTr="005247EE">
        <w:trPr>
          <w:trHeight w:val="156"/>
        </w:trPr>
        <w:tc>
          <w:tcPr>
            <w:tcW w:w="2775" w:type="dxa"/>
            <w:tcBorders>
              <w:top w:val="single" w:sz="4" w:space="0" w:color="000000"/>
              <w:left w:val="single" w:sz="4" w:space="0" w:color="000000"/>
              <w:bottom w:val="single" w:sz="4" w:space="0" w:color="000000"/>
              <w:right w:val="single" w:sz="4" w:space="0" w:color="000000"/>
            </w:tcBorders>
            <w:vAlign w:val="center"/>
          </w:tcPr>
          <w:p w14:paraId="2EBC3C86" w14:textId="77777777" w:rsidR="007707BB" w:rsidRPr="00D40D30" w:rsidRDefault="007707BB" w:rsidP="005247EE">
            <w:pPr>
              <w:pStyle w:val="ExhibitText"/>
              <w:jc w:val="left"/>
              <w:rPr>
                <w:color w:val="000000"/>
                <w:sz w:val="18"/>
                <w:szCs w:val="18"/>
                <w:lang w:val="en-GB"/>
              </w:rPr>
            </w:pPr>
            <w:r w:rsidRPr="00D40D30">
              <w:rPr>
                <w:color w:val="000000"/>
                <w:sz w:val="18"/>
                <w:szCs w:val="18"/>
                <w:lang w:val="en-GB"/>
              </w:rPr>
              <w:t>Preference Dividend</w:t>
            </w:r>
          </w:p>
        </w:tc>
        <w:tc>
          <w:tcPr>
            <w:tcW w:w="1350" w:type="dxa"/>
            <w:tcBorders>
              <w:top w:val="single" w:sz="4" w:space="0" w:color="000000"/>
              <w:left w:val="single" w:sz="4" w:space="0" w:color="000000"/>
              <w:bottom w:val="single" w:sz="4" w:space="0" w:color="000000"/>
              <w:right w:val="single" w:sz="4" w:space="0" w:color="000000"/>
            </w:tcBorders>
            <w:vAlign w:val="center"/>
          </w:tcPr>
          <w:p w14:paraId="20311613" w14:textId="16BBDE09" w:rsidR="007707BB" w:rsidRPr="00D40D30" w:rsidRDefault="007707BB" w:rsidP="005247EE">
            <w:pPr>
              <w:pStyle w:val="ExhibitText"/>
              <w:jc w:val="right"/>
              <w:rPr>
                <w:color w:val="000000"/>
                <w:sz w:val="18"/>
                <w:szCs w:val="18"/>
                <w:lang w:val="en-GB"/>
              </w:rPr>
            </w:pPr>
            <w:r w:rsidRPr="00D40D30">
              <w:rPr>
                <w:color w:val="000000"/>
                <w:sz w:val="18"/>
                <w:szCs w:val="18"/>
                <w:lang w:val="en-GB"/>
              </w:rPr>
              <w:t>0.00</w:t>
            </w:r>
          </w:p>
        </w:tc>
        <w:tc>
          <w:tcPr>
            <w:tcW w:w="1260" w:type="dxa"/>
            <w:tcBorders>
              <w:top w:val="single" w:sz="4" w:space="0" w:color="000000"/>
              <w:left w:val="single" w:sz="4" w:space="0" w:color="000000"/>
              <w:bottom w:val="single" w:sz="4" w:space="0" w:color="000000"/>
              <w:right w:val="single" w:sz="4" w:space="0" w:color="000000"/>
            </w:tcBorders>
            <w:vAlign w:val="center"/>
          </w:tcPr>
          <w:p w14:paraId="6D08F8A0" w14:textId="36F2CDE2" w:rsidR="007707BB" w:rsidRPr="00D40D30" w:rsidRDefault="007707BB" w:rsidP="005247EE">
            <w:pPr>
              <w:pStyle w:val="ExhibitText"/>
              <w:jc w:val="right"/>
              <w:rPr>
                <w:color w:val="000000"/>
                <w:sz w:val="18"/>
                <w:szCs w:val="18"/>
                <w:lang w:val="en-GB"/>
              </w:rPr>
            </w:pPr>
            <w:r w:rsidRPr="00D40D30">
              <w:rPr>
                <w:color w:val="000000"/>
                <w:sz w:val="18"/>
                <w:szCs w:val="18"/>
                <w:lang w:val="en-GB"/>
              </w:rPr>
              <w:t>0.00</w:t>
            </w:r>
          </w:p>
        </w:tc>
        <w:tc>
          <w:tcPr>
            <w:tcW w:w="1350" w:type="dxa"/>
            <w:tcBorders>
              <w:top w:val="single" w:sz="4" w:space="0" w:color="000000"/>
              <w:left w:val="single" w:sz="4" w:space="0" w:color="000000"/>
              <w:bottom w:val="single" w:sz="4" w:space="0" w:color="000000"/>
              <w:right w:val="single" w:sz="4" w:space="0" w:color="000000"/>
            </w:tcBorders>
            <w:vAlign w:val="center"/>
          </w:tcPr>
          <w:p w14:paraId="3D9BF4F0" w14:textId="1D32FBF9" w:rsidR="007707BB" w:rsidRPr="00D40D30" w:rsidRDefault="007707BB" w:rsidP="005247EE">
            <w:pPr>
              <w:pStyle w:val="ExhibitText"/>
              <w:jc w:val="right"/>
              <w:rPr>
                <w:color w:val="000000"/>
                <w:sz w:val="18"/>
                <w:szCs w:val="18"/>
                <w:lang w:val="en-GB"/>
              </w:rPr>
            </w:pPr>
            <w:r w:rsidRPr="00D40D30">
              <w:rPr>
                <w:color w:val="000000"/>
                <w:sz w:val="18"/>
                <w:szCs w:val="18"/>
                <w:lang w:val="en-GB"/>
              </w:rPr>
              <w:t>0.00</w:t>
            </w:r>
          </w:p>
        </w:tc>
        <w:tc>
          <w:tcPr>
            <w:tcW w:w="1350" w:type="dxa"/>
            <w:tcBorders>
              <w:top w:val="single" w:sz="4" w:space="0" w:color="000000"/>
              <w:left w:val="single" w:sz="4" w:space="0" w:color="000000"/>
              <w:bottom w:val="single" w:sz="4" w:space="0" w:color="000000"/>
              <w:right w:val="single" w:sz="4" w:space="0" w:color="000000"/>
            </w:tcBorders>
            <w:vAlign w:val="center"/>
          </w:tcPr>
          <w:p w14:paraId="52B36E13" w14:textId="317ABABD" w:rsidR="007707BB" w:rsidRPr="00D40D30" w:rsidRDefault="007707BB" w:rsidP="005247EE">
            <w:pPr>
              <w:pStyle w:val="ExhibitText"/>
              <w:jc w:val="right"/>
              <w:rPr>
                <w:color w:val="000000"/>
                <w:sz w:val="18"/>
                <w:szCs w:val="18"/>
                <w:lang w:val="en-GB"/>
              </w:rPr>
            </w:pPr>
            <w:r w:rsidRPr="00D40D30">
              <w:rPr>
                <w:color w:val="000000"/>
                <w:sz w:val="18"/>
                <w:szCs w:val="18"/>
                <w:lang w:val="en-GB"/>
              </w:rPr>
              <w:t>0.00</w:t>
            </w:r>
          </w:p>
        </w:tc>
        <w:tc>
          <w:tcPr>
            <w:tcW w:w="1170" w:type="dxa"/>
            <w:tcBorders>
              <w:top w:val="single" w:sz="4" w:space="0" w:color="000000"/>
              <w:left w:val="single" w:sz="4" w:space="0" w:color="000000"/>
              <w:bottom w:val="single" w:sz="4" w:space="0" w:color="000000"/>
              <w:right w:val="single" w:sz="4" w:space="0" w:color="000000"/>
            </w:tcBorders>
            <w:vAlign w:val="center"/>
          </w:tcPr>
          <w:p w14:paraId="0CE5A5A1" w14:textId="345545E4" w:rsidR="007707BB" w:rsidRPr="00D40D30" w:rsidRDefault="007707BB" w:rsidP="005247EE">
            <w:pPr>
              <w:pStyle w:val="ExhibitText"/>
              <w:jc w:val="right"/>
              <w:rPr>
                <w:color w:val="000000"/>
                <w:sz w:val="18"/>
                <w:szCs w:val="18"/>
                <w:lang w:val="en-GB"/>
              </w:rPr>
            </w:pPr>
            <w:r w:rsidRPr="00D40D30">
              <w:rPr>
                <w:color w:val="000000"/>
                <w:sz w:val="18"/>
                <w:szCs w:val="18"/>
                <w:lang w:val="en-GB"/>
              </w:rPr>
              <w:t>0.00</w:t>
            </w:r>
          </w:p>
        </w:tc>
      </w:tr>
      <w:tr w:rsidR="007707BB" w:rsidRPr="00640417" w14:paraId="2F0B5884" w14:textId="77777777" w:rsidTr="005247EE">
        <w:trPr>
          <w:trHeight w:val="156"/>
        </w:trPr>
        <w:tc>
          <w:tcPr>
            <w:tcW w:w="2775" w:type="dxa"/>
            <w:tcBorders>
              <w:top w:val="single" w:sz="4" w:space="0" w:color="000000"/>
              <w:left w:val="single" w:sz="4" w:space="0" w:color="000000"/>
              <w:bottom w:val="single" w:sz="4" w:space="0" w:color="000000"/>
              <w:right w:val="single" w:sz="4" w:space="0" w:color="000000"/>
            </w:tcBorders>
            <w:vAlign w:val="center"/>
          </w:tcPr>
          <w:p w14:paraId="34BF0C82" w14:textId="77777777" w:rsidR="007707BB" w:rsidRPr="00D40D30" w:rsidRDefault="007707BB" w:rsidP="005247EE">
            <w:pPr>
              <w:pStyle w:val="ExhibitText"/>
              <w:jc w:val="left"/>
              <w:rPr>
                <w:color w:val="000000"/>
                <w:sz w:val="18"/>
                <w:szCs w:val="18"/>
                <w:lang w:val="en-GB"/>
              </w:rPr>
            </w:pPr>
            <w:r w:rsidRPr="00D40D30">
              <w:rPr>
                <w:color w:val="000000"/>
                <w:sz w:val="18"/>
                <w:szCs w:val="18"/>
                <w:lang w:val="en-GB"/>
              </w:rPr>
              <w:t>Equity Dividend</w:t>
            </w:r>
          </w:p>
        </w:tc>
        <w:tc>
          <w:tcPr>
            <w:tcW w:w="1350" w:type="dxa"/>
            <w:tcBorders>
              <w:top w:val="single" w:sz="4" w:space="0" w:color="000000"/>
              <w:left w:val="single" w:sz="4" w:space="0" w:color="000000"/>
              <w:bottom w:val="single" w:sz="4" w:space="0" w:color="000000"/>
              <w:right w:val="single" w:sz="4" w:space="0" w:color="000000"/>
            </w:tcBorders>
            <w:vAlign w:val="center"/>
          </w:tcPr>
          <w:p w14:paraId="2EFABE43" w14:textId="4041CA6C" w:rsidR="007707BB" w:rsidRPr="00D40D30" w:rsidRDefault="007707BB" w:rsidP="005247EE">
            <w:pPr>
              <w:pStyle w:val="ExhibitText"/>
              <w:jc w:val="right"/>
              <w:rPr>
                <w:color w:val="000000"/>
                <w:sz w:val="18"/>
                <w:szCs w:val="18"/>
                <w:lang w:val="en-GB"/>
              </w:rPr>
            </w:pPr>
            <w:r w:rsidRPr="00D40D30">
              <w:rPr>
                <w:color w:val="000000"/>
                <w:sz w:val="18"/>
                <w:szCs w:val="18"/>
                <w:lang w:val="en-GB"/>
              </w:rPr>
              <w:t>0.00</w:t>
            </w:r>
          </w:p>
        </w:tc>
        <w:tc>
          <w:tcPr>
            <w:tcW w:w="1260" w:type="dxa"/>
            <w:tcBorders>
              <w:top w:val="single" w:sz="4" w:space="0" w:color="000000"/>
              <w:left w:val="single" w:sz="4" w:space="0" w:color="000000"/>
              <w:bottom w:val="single" w:sz="4" w:space="0" w:color="000000"/>
              <w:right w:val="single" w:sz="4" w:space="0" w:color="000000"/>
            </w:tcBorders>
            <w:vAlign w:val="center"/>
          </w:tcPr>
          <w:p w14:paraId="37BB72C8" w14:textId="1BD136B6" w:rsidR="007707BB" w:rsidRPr="00D40D30" w:rsidRDefault="007707BB" w:rsidP="005247EE">
            <w:pPr>
              <w:pStyle w:val="ExhibitText"/>
              <w:jc w:val="right"/>
              <w:rPr>
                <w:color w:val="000000"/>
                <w:sz w:val="18"/>
                <w:szCs w:val="18"/>
                <w:lang w:val="en-GB"/>
              </w:rPr>
            </w:pPr>
            <w:r w:rsidRPr="00D40D30">
              <w:rPr>
                <w:color w:val="000000"/>
                <w:sz w:val="18"/>
                <w:szCs w:val="18"/>
                <w:lang w:val="en-GB"/>
              </w:rPr>
              <w:t>0.00</w:t>
            </w:r>
          </w:p>
        </w:tc>
        <w:tc>
          <w:tcPr>
            <w:tcW w:w="1350" w:type="dxa"/>
            <w:tcBorders>
              <w:top w:val="single" w:sz="4" w:space="0" w:color="000000"/>
              <w:left w:val="single" w:sz="4" w:space="0" w:color="000000"/>
              <w:bottom w:val="single" w:sz="4" w:space="0" w:color="000000"/>
              <w:right w:val="single" w:sz="4" w:space="0" w:color="000000"/>
            </w:tcBorders>
            <w:vAlign w:val="center"/>
          </w:tcPr>
          <w:p w14:paraId="4B2C8AC8" w14:textId="47F930FC" w:rsidR="007707BB" w:rsidRPr="00D40D30" w:rsidRDefault="007707BB" w:rsidP="005247EE">
            <w:pPr>
              <w:pStyle w:val="ExhibitText"/>
              <w:jc w:val="right"/>
              <w:rPr>
                <w:color w:val="000000"/>
                <w:sz w:val="18"/>
                <w:szCs w:val="18"/>
                <w:lang w:val="en-GB"/>
              </w:rPr>
            </w:pPr>
            <w:r w:rsidRPr="00D40D30">
              <w:rPr>
                <w:color w:val="000000"/>
                <w:sz w:val="18"/>
                <w:szCs w:val="18"/>
                <w:lang w:val="en-GB"/>
              </w:rPr>
              <w:t>0.00</w:t>
            </w:r>
          </w:p>
        </w:tc>
        <w:tc>
          <w:tcPr>
            <w:tcW w:w="1350" w:type="dxa"/>
            <w:tcBorders>
              <w:top w:val="single" w:sz="4" w:space="0" w:color="000000"/>
              <w:left w:val="single" w:sz="4" w:space="0" w:color="000000"/>
              <w:bottom w:val="single" w:sz="4" w:space="0" w:color="000000"/>
              <w:right w:val="single" w:sz="4" w:space="0" w:color="000000"/>
            </w:tcBorders>
            <w:vAlign w:val="center"/>
          </w:tcPr>
          <w:p w14:paraId="3ECD6245" w14:textId="4C5ABA27" w:rsidR="007707BB" w:rsidRPr="00D40D30" w:rsidRDefault="007707BB" w:rsidP="005247EE">
            <w:pPr>
              <w:pStyle w:val="ExhibitText"/>
              <w:jc w:val="right"/>
              <w:rPr>
                <w:color w:val="000000"/>
                <w:sz w:val="18"/>
                <w:szCs w:val="18"/>
                <w:lang w:val="en-GB"/>
              </w:rPr>
            </w:pPr>
            <w:r w:rsidRPr="00D40D30">
              <w:rPr>
                <w:color w:val="000000"/>
                <w:sz w:val="18"/>
                <w:szCs w:val="18"/>
                <w:lang w:val="en-GB"/>
              </w:rPr>
              <w:t>0.00</w:t>
            </w:r>
          </w:p>
        </w:tc>
        <w:tc>
          <w:tcPr>
            <w:tcW w:w="1170" w:type="dxa"/>
            <w:tcBorders>
              <w:top w:val="single" w:sz="4" w:space="0" w:color="000000"/>
              <w:left w:val="single" w:sz="4" w:space="0" w:color="000000"/>
              <w:bottom w:val="single" w:sz="4" w:space="0" w:color="000000"/>
              <w:right w:val="single" w:sz="4" w:space="0" w:color="000000"/>
            </w:tcBorders>
            <w:vAlign w:val="center"/>
          </w:tcPr>
          <w:p w14:paraId="14C6F0AA" w14:textId="4CCF9458" w:rsidR="007707BB" w:rsidRPr="00D40D30" w:rsidRDefault="007707BB" w:rsidP="005247EE">
            <w:pPr>
              <w:pStyle w:val="ExhibitText"/>
              <w:jc w:val="right"/>
              <w:rPr>
                <w:color w:val="000000"/>
                <w:sz w:val="18"/>
                <w:szCs w:val="18"/>
                <w:lang w:val="en-GB"/>
              </w:rPr>
            </w:pPr>
            <w:r w:rsidRPr="00D40D30">
              <w:rPr>
                <w:color w:val="000000"/>
                <w:sz w:val="18"/>
                <w:szCs w:val="18"/>
                <w:lang w:val="en-GB"/>
              </w:rPr>
              <w:t>0.00</w:t>
            </w:r>
          </w:p>
        </w:tc>
      </w:tr>
      <w:tr w:rsidR="007707BB" w:rsidRPr="00640417" w14:paraId="78C8C92B" w14:textId="77777777" w:rsidTr="005247EE">
        <w:trPr>
          <w:trHeight w:val="156"/>
        </w:trPr>
        <w:tc>
          <w:tcPr>
            <w:tcW w:w="2775" w:type="dxa"/>
            <w:tcBorders>
              <w:top w:val="single" w:sz="4" w:space="0" w:color="000000"/>
              <w:left w:val="single" w:sz="4" w:space="0" w:color="000000"/>
              <w:bottom w:val="single" w:sz="4" w:space="0" w:color="000000"/>
              <w:right w:val="single" w:sz="4" w:space="0" w:color="000000"/>
            </w:tcBorders>
            <w:vAlign w:val="center"/>
          </w:tcPr>
          <w:p w14:paraId="614F809D" w14:textId="77777777" w:rsidR="007707BB" w:rsidRPr="00D40D30" w:rsidRDefault="007707BB" w:rsidP="005247EE">
            <w:pPr>
              <w:pStyle w:val="ExhibitText"/>
              <w:jc w:val="left"/>
              <w:rPr>
                <w:color w:val="000000"/>
                <w:sz w:val="18"/>
                <w:szCs w:val="18"/>
                <w:lang w:val="en-GB"/>
              </w:rPr>
            </w:pPr>
            <w:r w:rsidRPr="00D40D30">
              <w:rPr>
                <w:color w:val="000000"/>
                <w:sz w:val="18"/>
                <w:szCs w:val="18"/>
                <w:lang w:val="en-GB"/>
              </w:rPr>
              <w:t>Corporate Dividend Tax</w:t>
            </w:r>
          </w:p>
        </w:tc>
        <w:tc>
          <w:tcPr>
            <w:tcW w:w="1350" w:type="dxa"/>
            <w:tcBorders>
              <w:top w:val="single" w:sz="4" w:space="0" w:color="000000"/>
              <w:left w:val="single" w:sz="4" w:space="0" w:color="000000"/>
              <w:bottom w:val="single" w:sz="4" w:space="0" w:color="000000"/>
              <w:right w:val="single" w:sz="4" w:space="0" w:color="000000"/>
            </w:tcBorders>
            <w:vAlign w:val="center"/>
          </w:tcPr>
          <w:p w14:paraId="18ACF78E" w14:textId="36FF7231" w:rsidR="007707BB" w:rsidRPr="00D40D30" w:rsidRDefault="007707BB" w:rsidP="005247EE">
            <w:pPr>
              <w:pStyle w:val="ExhibitText"/>
              <w:jc w:val="right"/>
              <w:rPr>
                <w:color w:val="000000"/>
                <w:sz w:val="18"/>
                <w:szCs w:val="18"/>
                <w:lang w:val="en-GB"/>
              </w:rPr>
            </w:pPr>
            <w:r w:rsidRPr="00D40D30">
              <w:rPr>
                <w:color w:val="000000"/>
                <w:sz w:val="18"/>
                <w:szCs w:val="18"/>
                <w:lang w:val="en-GB"/>
              </w:rPr>
              <w:t>0.00</w:t>
            </w:r>
          </w:p>
        </w:tc>
        <w:tc>
          <w:tcPr>
            <w:tcW w:w="1260" w:type="dxa"/>
            <w:tcBorders>
              <w:top w:val="single" w:sz="4" w:space="0" w:color="000000"/>
              <w:left w:val="single" w:sz="4" w:space="0" w:color="000000"/>
              <w:bottom w:val="single" w:sz="4" w:space="0" w:color="000000"/>
              <w:right w:val="single" w:sz="4" w:space="0" w:color="000000"/>
            </w:tcBorders>
            <w:vAlign w:val="center"/>
          </w:tcPr>
          <w:p w14:paraId="05E36053" w14:textId="442CB544" w:rsidR="007707BB" w:rsidRPr="00D40D30" w:rsidRDefault="007707BB" w:rsidP="005247EE">
            <w:pPr>
              <w:pStyle w:val="ExhibitText"/>
              <w:jc w:val="right"/>
              <w:rPr>
                <w:color w:val="000000"/>
                <w:sz w:val="18"/>
                <w:szCs w:val="18"/>
                <w:lang w:val="en-GB"/>
              </w:rPr>
            </w:pPr>
            <w:r w:rsidRPr="00D40D30">
              <w:rPr>
                <w:color w:val="000000"/>
                <w:sz w:val="18"/>
                <w:szCs w:val="18"/>
                <w:lang w:val="en-GB"/>
              </w:rPr>
              <w:t>0.00</w:t>
            </w:r>
          </w:p>
        </w:tc>
        <w:tc>
          <w:tcPr>
            <w:tcW w:w="1350" w:type="dxa"/>
            <w:tcBorders>
              <w:top w:val="single" w:sz="4" w:space="0" w:color="000000"/>
              <w:left w:val="single" w:sz="4" w:space="0" w:color="000000"/>
              <w:bottom w:val="single" w:sz="4" w:space="0" w:color="000000"/>
              <w:right w:val="single" w:sz="4" w:space="0" w:color="000000"/>
            </w:tcBorders>
            <w:vAlign w:val="center"/>
          </w:tcPr>
          <w:p w14:paraId="32CB7CC6" w14:textId="3DD90FDC" w:rsidR="007707BB" w:rsidRPr="00D40D30" w:rsidRDefault="007707BB" w:rsidP="005247EE">
            <w:pPr>
              <w:pStyle w:val="ExhibitText"/>
              <w:jc w:val="right"/>
              <w:rPr>
                <w:color w:val="000000"/>
                <w:sz w:val="18"/>
                <w:szCs w:val="18"/>
                <w:lang w:val="en-GB"/>
              </w:rPr>
            </w:pPr>
            <w:r w:rsidRPr="00D40D30">
              <w:rPr>
                <w:color w:val="000000"/>
                <w:sz w:val="18"/>
                <w:szCs w:val="18"/>
                <w:lang w:val="en-GB"/>
              </w:rPr>
              <w:t>0.00</w:t>
            </w:r>
          </w:p>
        </w:tc>
        <w:tc>
          <w:tcPr>
            <w:tcW w:w="1350" w:type="dxa"/>
            <w:tcBorders>
              <w:top w:val="single" w:sz="4" w:space="0" w:color="000000"/>
              <w:left w:val="single" w:sz="4" w:space="0" w:color="000000"/>
              <w:bottom w:val="single" w:sz="4" w:space="0" w:color="000000"/>
              <w:right w:val="single" w:sz="4" w:space="0" w:color="000000"/>
            </w:tcBorders>
            <w:vAlign w:val="center"/>
          </w:tcPr>
          <w:p w14:paraId="7454C10F" w14:textId="4FA44DAC" w:rsidR="007707BB" w:rsidRPr="00D40D30" w:rsidRDefault="007707BB" w:rsidP="005247EE">
            <w:pPr>
              <w:pStyle w:val="ExhibitText"/>
              <w:jc w:val="right"/>
              <w:rPr>
                <w:color w:val="000000"/>
                <w:sz w:val="18"/>
                <w:szCs w:val="18"/>
                <w:lang w:val="en-GB"/>
              </w:rPr>
            </w:pPr>
            <w:r w:rsidRPr="00D40D30">
              <w:rPr>
                <w:color w:val="000000"/>
                <w:sz w:val="18"/>
                <w:szCs w:val="18"/>
                <w:lang w:val="en-GB"/>
              </w:rPr>
              <w:t>0.00</w:t>
            </w:r>
          </w:p>
        </w:tc>
        <w:tc>
          <w:tcPr>
            <w:tcW w:w="1170" w:type="dxa"/>
            <w:tcBorders>
              <w:top w:val="single" w:sz="4" w:space="0" w:color="000000"/>
              <w:left w:val="single" w:sz="4" w:space="0" w:color="000000"/>
              <w:bottom w:val="single" w:sz="4" w:space="0" w:color="000000"/>
              <w:right w:val="single" w:sz="4" w:space="0" w:color="000000"/>
            </w:tcBorders>
            <w:vAlign w:val="center"/>
          </w:tcPr>
          <w:p w14:paraId="75C0995F" w14:textId="4A9203A4" w:rsidR="007707BB" w:rsidRPr="00D40D30" w:rsidRDefault="007707BB" w:rsidP="005247EE">
            <w:pPr>
              <w:pStyle w:val="ExhibitText"/>
              <w:jc w:val="right"/>
              <w:rPr>
                <w:color w:val="000000"/>
                <w:sz w:val="18"/>
                <w:szCs w:val="18"/>
                <w:lang w:val="en-GB"/>
              </w:rPr>
            </w:pPr>
            <w:r w:rsidRPr="00D40D30">
              <w:rPr>
                <w:color w:val="000000"/>
                <w:sz w:val="18"/>
                <w:szCs w:val="18"/>
                <w:lang w:val="en-GB"/>
              </w:rPr>
              <w:t>0.00</w:t>
            </w:r>
          </w:p>
        </w:tc>
      </w:tr>
      <w:tr w:rsidR="005247EE" w:rsidRPr="00640417" w14:paraId="7A12DED1" w14:textId="77777777" w:rsidTr="005247EE">
        <w:trPr>
          <w:trHeight w:val="251"/>
        </w:trPr>
        <w:tc>
          <w:tcPr>
            <w:tcW w:w="9255" w:type="dxa"/>
            <w:gridSpan w:val="6"/>
            <w:tcBorders>
              <w:top w:val="single" w:sz="4" w:space="0" w:color="000000"/>
              <w:left w:val="single" w:sz="4" w:space="0" w:color="000000"/>
              <w:bottom w:val="single" w:sz="4" w:space="0" w:color="000000"/>
              <w:right w:val="single" w:sz="4" w:space="0" w:color="000000"/>
            </w:tcBorders>
          </w:tcPr>
          <w:p w14:paraId="5D8608F7" w14:textId="727F5BAD" w:rsidR="005247EE" w:rsidRPr="00D40D30" w:rsidRDefault="005247EE" w:rsidP="005247EE">
            <w:pPr>
              <w:pStyle w:val="ExhibitText"/>
              <w:jc w:val="left"/>
              <w:rPr>
                <w:color w:val="000000"/>
                <w:sz w:val="18"/>
                <w:szCs w:val="18"/>
                <w:lang w:val="en-GB"/>
              </w:rPr>
            </w:pPr>
            <w:r w:rsidRPr="00D40D30">
              <w:rPr>
                <w:b/>
                <w:color w:val="000000"/>
                <w:sz w:val="18"/>
                <w:szCs w:val="18"/>
                <w:lang w:val="en-GB"/>
              </w:rPr>
              <w:t>Per Share Data (Annualized)</w:t>
            </w:r>
          </w:p>
        </w:tc>
      </w:tr>
      <w:tr w:rsidR="005247EE" w:rsidRPr="00640417" w14:paraId="7213F6C7" w14:textId="77777777" w:rsidTr="005247EE">
        <w:trPr>
          <w:trHeight w:val="251"/>
        </w:trPr>
        <w:tc>
          <w:tcPr>
            <w:tcW w:w="2775" w:type="dxa"/>
            <w:tcBorders>
              <w:top w:val="single" w:sz="4" w:space="0" w:color="000000"/>
              <w:left w:val="single" w:sz="4" w:space="0" w:color="000000"/>
              <w:bottom w:val="single" w:sz="4" w:space="0" w:color="000000"/>
              <w:right w:val="single" w:sz="4" w:space="0" w:color="000000"/>
            </w:tcBorders>
            <w:vAlign w:val="center"/>
          </w:tcPr>
          <w:p w14:paraId="40FAF821" w14:textId="77777777" w:rsidR="005247EE" w:rsidRPr="00D40D30" w:rsidRDefault="005247EE" w:rsidP="005247EE">
            <w:pPr>
              <w:pStyle w:val="ExhibitText"/>
              <w:jc w:val="left"/>
              <w:rPr>
                <w:color w:val="000000"/>
                <w:sz w:val="18"/>
                <w:szCs w:val="18"/>
                <w:lang w:val="en-GB"/>
              </w:rPr>
            </w:pPr>
            <w:r w:rsidRPr="00D40D30">
              <w:rPr>
                <w:color w:val="000000"/>
                <w:sz w:val="18"/>
                <w:szCs w:val="18"/>
                <w:lang w:val="en-GB"/>
              </w:rPr>
              <w:t>Shares in Issue (Millions)</w:t>
            </w:r>
          </w:p>
        </w:tc>
        <w:tc>
          <w:tcPr>
            <w:tcW w:w="1350" w:type="dxa"/>
            <w:tcBorders>
              <w:top w:val="single" w:sz="4" w:space="0" w:color="000000"/>
              <w:left w:val="single" w:sz="4" w:space="0" w:color="000000"/>
              <w:bottom w:val="single" w:sz="4" w:space="0" w:color="000000"/>
              <w:right w:val="single" w:sz="4" w:space="0" w:color="000000"/>
            </w:tcBorders>
            <w:vAlign w:val="center"/>
          </w:tcPr>
          <w:p w14:paraId="64FA8D23" w14:textId="5CA137D8" w:rsidR="005247EE" w:rsidRPr="00D40D30" w:rsidRDefault="005247EE" w:rsidP="005247EE">
            <w:pPr>
              <w:pStyle w:val="ExhibitText"/>
              <w:jc w:val="right"/>
              <w:rPr>
                <w:color w:val="000000"/>
                <w:sz w:val="18"/>
                <w:szCs w:val="18"/>
                <w:lang w:val="en-GB"/>
              </w:rPr>
            </w:pPr>
            <w:r w:rsidRPr="00D40D30">
              <w:rPr>
                <w:color w:val="000000"/>
                <w:sz w:val="18"/>
                <w:szCs w:val="18"/>
                <w:lang w:val="en-GB"/>
              </w:rPr>
              <w:t>185.58</w:t>
            </w:r>
          </w:p>
        </w:tc>
        <w:tc>
          <w:tcPr>
            <w:tcW w:w="1260" w:type="dxa"/>
            <w:tcBorders>
              <w:top w:val="single" w:sz="4" w:space="0" w:color="000000"/>
              <w:left w:val="single" w:sz="4" w:space="0" w:color="000000"/>
              <w:bottom w:val="single" w:sz="4" w:space="0" w:color="000000"/>
              <w:right w:val="single" w:sz="4" w:space="0" w:color="000000"/>
            </w:tcBorders>
            <w:vAlign w:val="center"/>
          </w:tcPr>
          <w:p w14:paraId="45F586A1" w14:textId="3C44C506" w:rsidR="005247EE" w:rsidRPr="00D40D30" w:rsidRDefault="005247EE" w:rsidP="005247EE">
            <w:pPr>
              <w:pStyle w:val="ExhibitText"/>
              <w:jc w:val="right"/>
              <w:rPr>
                <w:color w:val="000000"/>
                <w:sz w:val="18"/>
                <w:szCs w:val="18"/>
                <w:lang w:val="en-GB"/>
              </w:rPr>
            </w:pPr>
            <w:r w:rsidRPr="00D40D30">
              <w:rPr>
                <w:color w:val="000000"/>
                <w:sz w:val="18"/>
                <w:szCs w:val="18"/>
                <w:lang w:val="en-GB"/>
              </w:rPr>
              <w:t>187.32</w:t>
            </w:r>
          </w:p>
        </w:tc>
        <w:tc>
          <w:tcPr>
            <w:tcW w:w="1350" w:type="dxa"/>
            <w:tcBorders>
              <w:top w:val="single" w:sz="4" w:space="0" w:color="000000"/>
              <w:left w:val="single" w:sz="4" w:space="0" w:color="000000"/>
              <w:bottom w:val="single" w:sz="4" w:space="0" w:color="000000"/>
              <w:right w:val="single" w:sz="4" w:space="0" w:color="000000"/>
            </w:tcBorders>
            <w:vAlign w:val="center"/>
          </w:tcPr>
          <w:p w14:paraId="4493A9D5" w14:textId="624D887C" w:rsidR="005247EE" w:rsidRPr="00D40D30" w:rsidRDefault="005247EE" w:rsidP="005247EE">
            <w:pPr>
              <w:pStyle w:val="ExhibitText"/>
              <w:jc w:val="right"/>
              <w:rPr>
                <w:color w:val="000000"/>
                <w:sz w:val="18"/>
                <w:szCs w:val="18"/>
                <w:lang w:val="en-GB"/>
              </w:rPr>
            </w:pPr>
            <w:r w:rsidRPr="00D40D30">
              <w:rPr>
                <w:color w:val="000000"/>
                <w:sz w:val="18"/>
                <w:szCs w:val="18"/>
                <w:lang w:val="en-GB"/>
              </w:rPr>
              <w:t>189.51</w:t>
            </w:r>
          </w:p>
        </w:tc>
        <w:tc>
          <w:tcPr>
            <w:tcW w:w="1350" w:type="dxa"/>
            <w:tcBorders>
              <w:top w:val="single" w:sz="4" w:space="0" w:color="000000"/>
              <w:left w:val="single" w:sz="4" w:space="0" w:color="000000"/>
              <w:bottom w:val="single" w:sz="4" w:space="0" w:color="000000"/>
              <w:right w:val="single" w:sz="4" w:space="0" w:color="000000"/>
            </w:tcBorders>
            <w:vAlign w:val="center"/>
          </w:tcPr>
          <w:p w14:paraId="766123E0" w14:textId="27067C3E" w:rsidR="005247EE" w:rsidRPr="00D40D30" w:rsidRDefault="005247EE" w:rsidP="005247EE">
            <w:pPr>
              <w:pStyle w:val="ExhibitText"/>
              <w:jc w:val="right"/>
              <w:rPr>
                <w:color w:val="000000"/>
                <w:sz w:val="18"/>
                <w:szCs w:val="18"/>
                <w:lang w:val="en-GB"/>
              </w:rPr>
            </w:pPr>
            <w:r w:rsidRPr="00D40D30">
              <w:rPr>
                <w:color w:val="000000"/>
                <w:sz w:val="18"/>
                <w:szCs w:val="18"/>
                <w:lang w:val="en-GB"/>
              </w:rPr>
              <w:t>204.08</w:t>
            </w:r>
          </w:p>
        </w:tc>
        <w:tc>
          <w:tcPr>
            <w:tcW w:w="1170" w:type="dxa"/>
            <w:tcBorders>
              <w:top w:val="single" w:sz="4" w:space="0" w:color="000000"/>
              <w:left w:val="single" w:sz="4" w:space="0" w:color="000000"/>
              <w:bottom w:val="single" w:sz="4" w:space="0" w:color="000000"/>
              <w:right w:val="single" w:sz="4" w:space="0" w:color="000000"/>
            </w:tcBorders>
            <w:vAlign w:val="center"/>
          </w:tcPr>
          <w:p w14:paraId="3E8792B5" w14:textId="00169B83" w:rsidR="005247EE" w:rsidRPr="00D40D30" w:rsidRDefault="005247EE" w:rsidP="005247EE">
            <w:pPr>
              <w:pStyle w:val="ExhibitText"/>
              <w:jc w:val="right"/>
              <w:rPr>
                <w:color w:val="000000"/>
                <w:sz w:val="18"/>
                <w:szCs w:val="18"/>
                <w:lang w:val="en-GB"/>
              </w:rPr>
            </w:pPr>
            <w:r w:rsidRPr="00D40D30">
              <w:rPr>
                <w:color w:val="000000"/>
                <w:sz w:val="18"/>
                <w:szCs w:val="18"/>
                <w:lang w:val="en-GB"/>
              </w:rPr>
              <w:t>215.38</w:t>
            </w:r>
          </w:p>
        </w:tc>
      </w:tr>
      <w:tr w:rsidR="005247EE" w:rsidRPr="00640417" w14:paraId="2022502F" w14:textId="77777777" w:rsidTr="005247EE">
        <w:trPr>
          <w:trHeight w:val="251"/>
        </w:trPr>
        <w:tc>
          <w:tcPr>
            <w:tcW w:w="2775" w:type="dxa"/>
            <w:tcBorders>
              <w:top w:val="single" w:sz="4" w:space="0" w:color="000000"/>
              <w:left w:val="single" w:sz="4" w:space="0" w:color="000000"/>
              <w:bottom w:val="single" w:sz="4" w:space="0" w:color="000000"/>
              <w:right w:val="single" w:sz="4" w:space="0" w:color="000000"/>
            </w:tcBorders>
            <w:vAlign w:val="center"/>
          </w:tcPr>
          <w:p w14:paraId="02EF2602" w14:textId="050CC3FE" w:rsidR="005247EE" w:rsidRPr="00D40D30" w:rsidRDefault="005247EE" w:rsidP="005247EE">
            <w:pPr>
              <w:pStyle w:val="ExhibitText"/>
              <w:jc w:val="left"/>
              <w:rPr>
                <w:color w:val="000000"/>
                <w:sz w:val="18"/>
                <w:szCs w:val="18"/>
                <w:lang w:val="en-GB"/>
              </w:rPr>
            </w:pPr>
            <w:r w:rsidRPr="00D40D30">
              <w:rPr>
                <w:color w:val="000000"/>
                <w:sz w:val="18"/>
                <w:szCs w:val="18"/>
                <w:lang w:val="en-GB"/>
              </w:rPr>
              <w:t xml:space="preserve">Earnings </w:t>
            </w:r>
            <w:r>
              <w:rPr>
                <w:color w:val="000000"/>
                <w:sz w:val="18"/>
                <w:szCs w:val="18"/>
                <w:lang w:val="en-GB"/>
              </w:rPr>
              <w:t>p</w:t>
            </w:r>
            <w:r w:rsidRPr="00D40D30">
              <w:rPr>
                <w:color w:val="000000"/>
                <w:sz w:val="18"/>
                <w:szCs w:val="18"/>
                <w:lang w:val="en-GB"/>
              </w:rPr>
              <w:t>er Share (US$)</w:t>
            </w:r>
          </w:p>
        </w:tc>
        <w:tc>
          <w:tcPr>
            <w:tcW w:w="1350" w:type="dxa"/>
            <w:tcBorders>
              <w:top w:val="single" w:sz="4" w:space="0" w:color="000000"/>
              <w:left w:val="single" w:sz="4" w:space="0" w:color="000000"/>
              <w:bottom w:val="single" w:sz="4" w:space="0" w:color="000000"/>
              <w:right w:val="single" w:sz="4" w:space="0" w:color="000000"/>
            </w:tcBorders>
            <w:vAlign w:val="center"/>
          </w:tcPr>
          <w:p w14:paraId="187ACAB7" w14:textId="2FE82FA3" w:rsidR="005247EE" w:rsidRPr="00D40D30" w:rsidRDefault="005247EE" w:rsidP="005247EE">
            <w:pPr>
              <w:pStyle w:val="ExhibitText"/>
              <w:jc w:val="right"/>
              <w:rPr>
                <w:color w:val="000000"/>
                <w:sz w:val="18"/>
                <w:szCs w:val="18"/>
                <w:lang w:val="en-GB"/>
              </w:rPr>
            </w:pPr>
            <w:r w:rsidRPr="00D40D30">
              <w:rPr>
                <w:color w:val="000000"/>
                <w:sz w:val="18"/>
                <w:szCs w:val="18"/>
                <w:lang w:val="en-GB"/>
              </w:rPr>
              <w:t>0.34</w:t>
            </w:r>
          </w:p>
        </w:tc>
        <w:tc>
          <w:tcPr>
            <w:tcW w:w="1260" w:type="dxa"/>
            <w:tcBorders>
              <w:top w:val="single" w:sz="4" w:space="0" w:color="000000"/>
              <w:left w:val="single" w:sz="4" w:space="0" w:color="000000"/>
              <w:bottom w:val="single" w:sz="4" w:space="0" w:color="000000"/>
              <w:right w:val="single" w:sz="4" w:space="0" w:color="000000"/>
            </w:tcBorders>
            <w:vAlign w:val="center"/>
          </w:tcPr>
          <w:p w14:paraId="20BFEB89" w14:textId="35473F09" w:rsidR="005247EE" w:rsidRPr="00D40D30" w:rsidRDefault="005247EE" w:rsidP="005247EE">
            <w:pPr>
              <w:pStyle w:val="ExhibitText"/>
              <w:jc w:val="right"/>
              <w:rPr>
                <w:color w:val="000000"/>
                <w:sz w:val="18"/>
                <w:szCs w:val="18"/>
                <w:lang w:val="en-GB"/>
              </w:rPr>
            </w:pPr>
            <w:r w:rsidRPr="00D40D30">
              <w:rPr>
                <w:color w:val="000000"/>
                <w:sz w:val="18"/>
                <w:szCs w:val="18"/>
                <w:lang w:val="en-GB"/>
              </w:rPr>
              <w:t>0.28</w:t>
            </w:r>
          </w:p>
        </w:tc>
        <w:tc>
          <w:tcPr>
            <w:tcW w:w="1350" w:type="dxa"/>
            <w:tcBorders>
              <w:top w:val="single" w:sz="4" w:space="0" w:color="000000"/>
              <w:left w:val="single" w:sz="4" w:space="0" w:color="000000"/>
              <w:bottom w:val="single" w:sz="4" w:space="0" w:color="000000"/>
              <w:right w:val="single" w:sz="4" w:space="0" w:color="000000"/>
            </w:tcBorders>
            <w:vAlign w:val="center"/>
          </w:tcPr>
          <w:p w14:paraId="0FD8D436" w14:textId="5379DFCD" w:rsidR="005247EE" w:rsidRPr="00D40D30" w:rsidRDefault="005247EE" w:rsidP="005247EE">
            <w:pPr>
              <w:pStyle w:val="ExhibitText"/>
              <w:jc w:val="right"/>
              <w:rPr>
                <w:color w:val="000000"/>
                <w:sz w:val="18"/>
                <w:szCs w:val="18"/>
                <w:lang w:val="en-GB"/>
              </w:rPr>
            </w:pPr>
            <w:r w:rsidRPr="00D40D30">
              <w:rPr>
                <w:color w:val="000000"/>
                <w:sz w:val="18"/>
                <w:szCs w:val="18"/>
                <w:lang w:val="en-GB"/>
              </w:rPr>
              <w:t>–0.09</w:t>
            </w:r>
          </w:p>
        </w:tc>
        <w:tc>
          <w:tcPr>
            <w:tcW w:w="1350" w:type="dxa"/>
            <w:tcBorders>
              <w:top w:val="single" w:sz="4" w:space="0" w:color="000000"/>
              <w:left w:val="single" w:sz="4" w:space="0" w:color="000000"/>
              <w:bottom w:val="single" w:sz="4" w:space="0" w:color="000000"/>
              <w:right w:val="single" w:sz="4" w:space="0" w:color="000000"/>
            </w:tcBorders>
            <w:vAlign w:val="center"/>
          </w:tcPr>
          <w:p w14:paraId="292DF8D8" w14:textId="3ED919BC" w:rsidR="005247EE" w:rsidRPr="00D40D30" w:rsidRDefault="005247EE" w:rsidP="005247EE">
            <w:pPr>
              <w:pStyle w:val="ExhibitText"/>
              <w:jc w:val="right"/>
              <w:rPr>
                <w:color w:val="000000"/>
                <w:sz w:val="18"/>
                <w:szCs w:val="18"/>
                <w:lang w:val="en-GB"/>
              </w:rPr>
            </w:pPr>
            <w:r w:rsidRPr="00D40D30">
              <w:rPr>
                <w:color w:val="000000"/>
                <w:sz w:val="18"/>
                <w:szCs w:val="18"/>
                <w:lang w:val="en-GB"/>
              </w:rPr>
              <w:t>–0.67</w:t>
            </w:r>
          </w:p>
        </w:tc>
        <w:tc>
          <w:tcPr>
            <w:tcW w:w="1170" w:type="dxa"/>
            <w:tcBorders>
              <w:top w:val="single" w:sz="4" w:space="0" w:color="000000"/>
              <w:left w:val="single" w:sz="4" w:space="0" w:color="000000"/>
              <w:bottom w:val="single" w:sz="4" w:space="0" w:color="000000"/>
              <w:right w:val="single" w:sz="4" w:space="0" w:color="000000"/>
            </w:tcBorders>
            <w:vAlign w:val="center"/>
          </w:tcPr>
          <w:p w14:paraId="1EE05B7B" w14:textId="148A6093" w:rsidR="005247EE" w:rsidRPr="00D40D30" w:rsidRDefault="005247EE" w:rsidP="005247EE">
            <w:pPr>
              <w:pStyle w:val="ExhibitText"/>
              <w:jc w:val="right"/>
              <w:rPr>
                <w:color w:val="000000"/>
                <w:sz w:val="18"/>
                <w:szCs w:val="18"/>
                <w:lang w:val="en-GB"/>
              </w:rPr>
            </w:pPr>
            <w:r w:rsidRPr="00D40D30">
              <w:rPr>
                <w:color w:val="000000"/>
                <w:sz w:val="18"/>
                <w:szCs w:val="18"/>
                <w:lang w:val="en-GB"/>
              </w:rPr>
              <w:t>–1.08</w:t>
            </w:r>
          </w:p>
        </w:tc>
      </w:tr>
      <w:tr w:rsidR="005247EE" w:rsidRPr="00640417" w14:paraId="0109ECD4" w14:textId="77777777" w:rsidTr="005247EE">
        <w:trPr>
          <w:trHeight w:val="140"/>
        </w:trPr>
        <w:tc>
          <w:tcPr>
            <w:tcW w:w="2775" w:type="dxa"/>
            <w:tcBorders>
              <w:top w:val="single" w:sz="4" w:space="0" w:color="000000"/>
              <w:left w:val="single" w:sz="4" w:space="0" w:color="000000"/>
              <w:bottom w:val="single" w:sz="4" w:space="0" w:color="000000"/>
              <w:right w:val="single" w:sz="4" w:space="0" w:color="000000"/>
            </w:tcBorders>
            <w:vAlign w:val="center"/>
          </w:tcPr>
          <w:p w14:paraId="5F6ACE06" w14:textId="77777777" w:rsidR="005247EE" w:rsidRPr="00D40D30" w:rsidRDefault="005247EE" w:rsidP="005247EE">
            <w:pPr>
              <w:pStyle w:val="ExhibitText"/>
              <w:jc w:val="left"/>
              <w:rPr>
                <w:color w:val="000000"/>
                <w:sz w:val="18"/>
                <w:szCs w:val="18"/>
                <w:lang w:val="en-GB"/>
              </w:rPr>
            </w:pPr>
            <w:r w:rsidRPr="00D40D30">
              <w:rPr>
                <w:color w:val="000000"/>
                <w:sz w:val="18"/>
                <w:szCs w:val="18"/>
                <w:lang w:val="en-GB"/>
              </w:rPr>
              <w:t>Equity Dividend (%)</w:t>
            </w:r>
          </w:p>
        </w:tc>
        <w:tc>
          <w:tcPr>
            <w:tcW w:w="1350" w:type="dxa"/>
            <w:tcBorders>
              <w:top w:val="single" w:sz="4" w:space="0" w:color="000000"/>
              <w:left w:val="single" w:sz="4" w:space="0" w:color="000000"/>
              <w:bottom w:val="single" w:sz="4" w:space="0" w:color="000000"/>
              <w:right w:val="single" w:sz="4" w:space="0" w:color="000000"/>
            </w:tcBorders>
            <w:vAlign w:val="center"/>
          </w:tcPr>
          <w:p w14:paraId="038A5E70" w14:textId="797855B4" w:rsidR="005247EE" w:rsidRPr="00D40D30" w:rsidRDefault="005247EE" w:rsidP="005247EE">
            <w:pPr>
              <w:pStyle w:val="ExhibitText"/>
              <w:jc w:val="right"/>
              <w:rPr>
                <w:color w:val="000000"/>
                <w:sz w:val="18"/>
                <w:szCs w:val="18"/>
                <w:lang w:val="en-GB"/>
              </w:rPr>
            </w:pPr>
            <w:r w:rsidRPr="00D40D30">
              <w:rPr>
                <w:color w:val="000000"/>
                <w:sz w:val="18"/>
                <w:szCs w:val="18"/>
                <w:lang w:val="en-GB"/>
              </w:rPr>
              <w:t>0.00</w:t>
            </w:r>
          </w:p>
        </w:tc>
        <w:tc>
          <w:tcPr>
            <w:tcW w:w="1260" w:type="dxa"/>
            <w:tcBorders>
              <w:top w:val="single" w:sz="4" w:space="0" w:color="000000"/>
              <w:left w:val="single" w:sz="4" w:space="0" w:color="000000"/>
              <w:bottom w:val="single" w:sz="4" w:space="0" w:color="000000"/>
              <w:right w:val="single" w:sz="4" w:space="0" w:color="000000"/>
            </w:tcBorders>
            <w:vAlign w:val="center"/>
          </w:tcPr>
          <w:p w14:paraId="21D12C49" w14:textId="094A1D88" w:rsidR="005247EE" w:rsidRPr="00D40D30" w:rsidRDefault="005247EE" w:rsidP="005247EE">
            <w:pPr>
              <w:pStyle w:val="ExhibitText"/>
              <w:jc w:val="right"/>
              <w:rPr>
                <w:color w:val="000000"/>
                <w:sz w:val="18"/>
                <w:szCs w:val="18"/>
                <w:lang w:val="en-GB"/>
              </w:rPr>
            </w:pPr>
            <w:r w:rsidRPr="00D40D30">
              <w:rPr>
                <w:color w:val="000000"/>
                <w:sz w:val="18"/>
                <w:szCs w:val="18"/>
                <w:lang w:val="en-GB"/>
              </w:rPr>
              <w:t>0.00</w:t>
            </w:r>
          </w:p>
        </w:tc>
        <w:tc>
          <w:tcPr>
            <w:tcW w:w="1350" w:type="dxa"/>
            <w:tcBorders>
              <w:top w:val="single" w:sz="4" w:space="0" w:color="000000"/>
              <w:left w:val="single" w:sz="4" w:space="0" w:color="000000"/>
              <w:bottom w:val="single" w:sz="4" w:space="0" w:color="000000"/>
              <w:right w:val="single" w:sz="4" w:space="0" w:color="000000"/>
            </w:tcBorders>
            <w:vAlign w:val="center"/>
          </w:tcPr>
          <w:p w14:paraId="3BD8827E" w14:textId="058BA4C0" w:rsidR="005247EE" w:rsidRPr="00D40D30" w:rsidRDefault="005247EE" w:rsidP="005247EE">
            <w:pPr>
              <w:pStyle w:val="ExhibitText"/>
              <w:jc w:val="right"/>
              <w:rPr>
                <w:color w:val="000000"/>
                <w:sz w:val="18"/>
                <w:szCs w:val="18"/>
                <w:lang w:val="en-GB"/>
              </w:rPr>
            </w:pPr>
            <w:r w:rsidRPr="00D40D30">
              <w:rPr>
                <w:color w:val="000000"/>
                <w:sz w:val="18"/>
                <w:szCs w:val="18"/>
                <w:lang w:val="en-GB"/>
              </w:rPr>
              <w:t>0.00</w:t>
            </w:r>
          </w:p>
        </w:tc>
        <w:tc>
          <w:tcPr>
            <w:tcW w:w="1350" w:type="dxa"/>
            <w:tcBorders>
              <w:top w:val="single" w:sz="4" w:space="0" w:color="000000"/>
              <w:left w:val="single" w:sz="4" w:space="0" w:color="000000"/>
              <w:bottom w:val="single" w:sz="4" w:space="0" w:color="000000"/>
              <w:right w:val="single" w:sz="4" w:space="0" w:color="000000"/>
            </w:tcBorders>
            <w:vAlign w:val="center"/>
          </w:tcPr>
          <w:p w14:paraId="7B84B535" w14:textId="29BD1884" w:rsidR="005247EE" w:rsidRPr="00D40D30" w:rsidRDefault="005247EE" w:rsidP="005247EE">
            <w:pPr>
              <w:pStyle w:val="ExhibitText"/>
              <w:jc w:val="right"/>
              <w:rPr>
                <w:color w:val="000000"/>
                <w:sz w:val="18"/>
                <w:szCs w:val="18"/>
                <w:lang w:val="en-GB"/>
              </w:rPr>
            </w:pPr>
            <w:r w:rsidRPr="00D40D30">
              <w:rPr>
                <w:color w:val="000000"/>
                <w:sz w:val="18"/>
                <w:szCs w:val="18"/>
                <w:lang w:val="en-GB"/>
              </w:rPr>
              <w:t>0.00</w:t>
            </w:r>
          </w:p>
        </w:tc>
        <w:tc>
          <w:tcPr>
            <w:tcW w:w="1170" w:type="dxa"/>
            <w:tcBorders>
              <w:top w:val="single" w:sz="4" w:space="0" w:color="000000"/>
              <w:left w:val="single" w:sz="4" w:space="0" w:color="000000"/>
              <w:bottom w:val="single" w:sz="4" w:space="0" w:color="000000"/>
              <w:right w:val="single" w:sz="4" w:space="0" w:color="000000"/>
            </w:tcBorders>
            <w:vAlign w:val="center"/>
          </w:tcPr>
          <w:p w14:paraId="58F9C510" w14:textId="36335497" w:rsidR="005247EE" w:rsidRPr="00D40D30" w:rsidRDefault="005247EE" w:rsidP="005247EE">
            <w:pPr>
              <w:pStyle w:val="ExhibitText"/>
              <w:jc w:val="right"/>
              <w:rPr>
                <w:color w:val="000000"/>
                <w:sz w:val="18"/>
                <w:szCs w:val="18"/>
                <w:lang w:val="en-GB"/>
              </w:rPr>
            </w:pPr>
            <w:r w:rsidRPr="00D40D30">
              <w:rPr>
                <w:color w:val="000000"/>
                <w:sz w:val="18"/>
                <w:szCs w:val="18"/>
                <w:lang w:val="en-GB"/>
              </w:rPr>
              <w:t>0.00</w:t>
            </w:r>
          </w:p>
        </w:tc>
      </w:tr>
      <w:tr w:rsidR="005247EE" w:rsidRPr="00640417" w14:paraId="4C0A3563" w14:textId="77777777" w:rsidTr="005247EE">
        <w:trPr>
          <w:trHeight w:val="251"/>
        </w:trPr>
        <w:tc>
          <w:tcPr>
            <w:tcW w:w="2775" w:type="dxa"/>
            <w:tcBorders>
              <w:top w:val="single" w:sz="4" w:space="0" w:color="000000"/>
              <w:left w:val="single" w:sz="4" w:space="0" w:color="000000"/>
              <w:bottom w:val="single" w:sz="4" w:space="0" w:color="000000"/>
              <w:right w:val="single" w:sz="4" w:space="0" w:color="000000"/>
            </w:tcBorders>
            <w:vAlign w:val="center"/>
          </w:tcPr>
          <w:p w14:paraId="74CF37B6" w14:textId="77777777" w:rsidR="005247EE" w:rsidRPr="00D40D30" w:rsidRDefault="005247EE" w:rsidP="005247EE">
            <w:pPr>
              <w:pStyle w:val="ExhibitText"/>
              <w:jc w:val="left"/>
              <w:rPr>
                <w:color w:val="000000"/>
                <w:sz w:val="18"/>
                <w:szCs w:val="18"/>
                <w:lang w:val="en-GB"/>
              </w:rPr>
            </w:pPr>
            <w:r w:rsidRPr="00D40D30">
              <w:rPr>
                <w:color w:val="000000"/>
                <w:sz w:val="18"/>
                <w:szCs w:val="18"/>
                <w:lang w:val="en-GB"/>
              </w:rPr>
              <w:t>Book Value (US$)</w:t>
            </w:r>
          </w:p>
        </w:tc>
        <w:tc>
          <w:tcPr>
            <w:tcW w:w="1350" w:type="dxa"/>
            <w:tcBorders>
              <w:top w:val="single" w:sz="4" w:space="0" w:color="000000"/>
              <w:left w:val="single" w:sz="4" w:space="0" w:color="000000"/>
              <w:bottom w:val="single" w:sz="4" w:space="0" w:color="000000"/>
              <w:right w:val="single" w:sz="4" w:space="0" w:color="000000"/>
            </w:tcBorders>
            <w:vAlign w:val="center"/>
          </w:tcPr>
          <w:p w14:paraId="6612B8BD" w14:textId="187CE443" w:rsidR="005247EE" w:rsidRPr="00D40D30" w:rsidRDefault="005247EE" w:rsidP="005247EE">
            <w:pPr>
              <w:pStyle w:val="ExhibitText"/>
              <w:jc w:val="right"/>
              <w:rPr>
                <w:color w:val="000000"/>
                <w:sz w:val="18"/>
                <w:szCs w:val="18"/>
                <w:lang w:val="en-GB"/>
              </w:rPr>
            </w:pPr>
            <w:r w:rsidRPr="00D40D30">
              <w:rPr>
                <w:color w:val="000000"/>
                <w:sz w:val="18"/>
                <w:szCs w:val="18"/>
                <w:lang w:val="en-GB"/>
              </w:rPr>
              <w:t>1.72</w:t>
            </w:r>
          </w:p>
        </w:tc>
        <w:tc>
          <w:tcPr>
            <w:tcW w:w="1260" w:type="dxa"/>
            <w:tcBorders>
              <w:top w:val="single" w:sz="4" w:space="0" w:color="000000"/>
              <w:left w:val="single" w:sz="4" w:space="0" w:color="000000"/>
              <w:bottom w:val="single" w:sz="4" w:space="0" w:color="000000"/>
              <w:right w:val="single" w:sz="4" w:space="0" w:color="000000"/>
            </w:tcBorders>
            <w:vAlign w:val="center"/>
          </w:tcPr>
          <w:p w14:paraId="445F438D" w14:textId="7B5B950A" w:rsidR="005247EE" w:rsidRPr="00D40D30" w:rsidRDefault="005247EE" w:rsidP="005247EE">
            <w:pPr>
              <w:pStyle w:val="ExhibitText"/>
              <w:jc w:val="right"/>
              <w:rPr>
                <w:color w:val="000000"/>
                <w:sz w:val="18"/>
                <w:szCs w:val="18"/>
                <w:lang w:val="en-GB"/>
              </w:rPr>
            </w:pPr>
            <w:r w:rsidRPr="00D40D30">
              <w:rPr>
                <w:color w:val="000000"/>
                <w:sz w:val="18"/>
                <w:szCs w:val="18"/>
                <w:lang w:val="en-GB"/>
              </w:rPr>
              <w:t>2.01</w:t>
            </w:r>
          </w:p>
        </w:tc>
        <w:tc>
          <w:tcPr>
            <w:tcW w:w="1350" w:type="dxa"/>
            <w:tcBorders>
              <w:top w:val="single" w:sz="4" w:space="0" w:color="000000"/>
              <w:left w:val="single" w:sz="4" w:space="0" w:color="000000"/>
              <w:bottom w:val="single" w:sz="4" w:space="0" w:color="000000"/>
              <w:right w:val="single" w:sz="4" w:space="0" w:color="000000"/>
            </w:tcBorders>
            <w:vAlign w:val="center"/>
          </w:tcPr>
          <w:p w14:paraId="7C5A313E" w14:textId="593C1518" w:rsidR="005247EE" w:rsidRPr="00D40D30" w:rsidRDefault="005247EE" w:rsidP="005247EE">
            <w:pPr>
              <w:pStyle w:val="ExhibitText"/>
              <w:jc w:val="right"/>
              <w:rPr>
                <w:color w:val="000000"/>
                <w:sz w:val="18"/>
                <w:szCs w:val="18"/>
                <w:lang w:val="en-GB"/>
              </w:rPr>
            </w:pPr>
            <w:r w:rsidRPr="00D40D30">
              <w:rPr>
                <w:color w:val="000000"/>
                <w:sz w:val="18"/>
                <w:szCs w:val="18"/>
                <w:lang w:val="en-GB"/>
              </w:rPr>
              <w:t>1.92</w:t>
            </w:r>
          </w:p>
        </w:tc>
        <w:tc>
          <w:tcPr>
            <w:tcW w:w="1350" w:type="dxa"/>
            <w:tcBorders>
              <w:top w:val="single" w:sz="4" w:space="0" w:color="000000"/>
              <w:left w:val="single" w:sz="4" w:space="0" w:color="000000"/>
              <w:bottom w:val="single" w:sz="4" w:space="0" w:color="000000"/>
              <w:right w:val="single" w:sz="4" w:space="0" w:color="000000"/>
            </w:tcBorders>
            <w:vAlign w:val="center"/>
          </w:tcPr>
          <w:p w14:paraId="0CFFA814" w14:textId="566243E9" w:rsidR="005247EE" w:rsidRPr="00D40D30" w:rsidRDefault="005247EE" w:rsidP="005247EE">
            <w:pPr>
              <w:pStyle w:val="ExhibitText"/>
              <w:jc w:val="right"/>
              <w:rPr>
                <w:color w:val="000000"/>
                <w:sz w:val="18"/>
                <w:szCs w:val="18"/>
                <w:lang w:val="en-GB"/>
              </w:rPr>
            </w:pPr>
            <w:r w:rsidRPr="00D40D30">
              <w:rPr>
                <w:color w:val="000000"/>
                <w:sz w:val="18"/>
                <w:szCs w:val="18"/>
                <w:lang w:val="en-GB"/>
              </w:rPr>
              <w:t>1.21</w:t>
            </w:r>
          </w:p>
        </w:tc>
        <w:tc>
          <w:tcPr>
            <w:tcW w:w="1170" w:type="dxa"/>
            <w:tcBorders>
              <w:top w:val="single" w:sz="4" w:space="0" w:color="000000"/>
              <w:left w:val="single" w:sz="4" w:space="0" w:color="000000"/>
              <w:bottom w:val="single" w:sz="4" w:space="0" w:color="000000"/>
              <w:right w:val="single" w:sz="4" w:space="0" w:color="000000"/>
            </w:tcBorders>
            <w:vAlign w:val="center"/>
          </w:tcPr>
          <w:p w14:paraId="7FC1E20E" w14:textId="3FD99F45" w:rsidR="005247EE" w:rsidRPr="00D40D30" w:rsidRDefault="005247EE" w:rsidP="005247EE">
            <w:pPr>
              <w:pStyle w:val="ExhibitText"/>
              <w:jc w:val="right"/>
              <w:rPr>
                <w:color w:val="000000"/>
                <w:sz w:val="18"/>
                <w:szCs w:val="18"/>
                <w:lang w:val="en-GB"/>
              </w:rPr>
            </w:pPr>
            <w:r w:rsidRPr="00D40D30">
              <w:rPr>
                <w:color w:val="000000"/>
                <w:sz w:val="18"/>
                <w:szCs w:val="18"/>
                <w:lang w:val="en-GB"/>
              </w:rPr>
              <w:t>0.15</w:t>
            </w:r>
          </w:p>
        </w:tc>
      </w:tr>
    </w:tbl>
    <w:p w14:paraId="36768CD1" w14:textId="77777777" w:rsidR="00D40D30" w:rsidRDefault="00D40D30" w:rsidP="00C55DA9">
      <w:pPr>
        <w:pStyle w:val="BodyTextMain"/>
        <w:rPr>
          <w:rFonts w:ascii="Arial" w:eastAsia="Calibri" w:hAnsi="Arial" w:cs="Arial"/>
          <w:sz w:val="17"/>
          <w:szCs w:val="17"/>
          <w:lang w:val="en-GB"/>
        </w:rPr>
      </w:pPr>
    </w:p>
    <w:p w14:paraId="67CEFBDD" w14:textId="770B79A4" w:rsidR="00D40D30" w:rsidRPr="00C55DA9" w:rsidRDefault="00D40D30" w:rsidP="00C55DA9">
      <w:pPr>
        <w:pStyle w:val="BodyTextMain"/>
        <w:rPr>
          <w:rFonts w:ascii="Arial" w:eastAsia="Calibri" w:hAnsi="Arial" w:cs="Arial"/>
          <w:sz w:val="17"/>
          <w:szCs w:val="17"/>
          <w:lang w:val="en-GB"/>
        </w:rPr>
      </w:pPr>
      <w:r w:rsidRPr="00C55DA9">
        <w:rPr>
          <w:rFonts w:ascii="Arial" w:eastAsia="Calibri" w:hAnsi="Arial" w:cs="Arial"/>
          <w:sz w:val="17"/>
          <w:szCs w:val="17"/>
          <w:lang w:val="en-GB"/>
        </w:rPr>
        <w:t xml:space="preserve">Source: Company </w:t>
      </w:r>
      <w:r>
        <w:rPr>
          <w:rFonts w:ascii="Arial" w:eastAsia="Calibri" w:hAnsi="Arial" w:cs="Arial"/>
          <w:sz w:val="17"/>
          <w:szCs w:val="17"/>
          <w:lang w:val="en-GB"/>
        </w:rPr>
        <w:t>d</w:t>
      </w:r>
      <w:r w:rsidRPr="00C55DA9">
        <w:rPr>
          <w:rFonts w:ascii="Arial" w:eastAsia="Calibri" w:hAnsi="Arial" w:cs="Arial"/>
          <w:sz w:val="17"/>
          <w:szCs w:val="17"/>
          <w:lang w:val="en-GB"/>
        </w:rPr>
        <w:t>ocuments.</w:t>
      </w:r>
    </w:p>
    <w:p w14:paraId="6321D4F3" w14:textId="350B67C5" w:rsidR="002A6F75" w:rsidRPr="00640417" w:rsidRDefault="004E5586" w:rsidP="001D1405">
      <w:pPr>
        <w:pStyle w:val="ExhibitHeading"/>
        <w:keepNext/>
        <w:rPr>
          <w:rFonts w:eastAsia="Calibri"/>
          <w:lang w:val="en-GB"/>
        </w:rPr>
      </w:pPr>
      <w:r w:rsidRPr="00640417">
        <w:rPr>
          <w:rFonts w:eastAsia="Calibri"/>
          <w:lang w:val="en-GB"/>
        </w:rPr>
        <w:lastRenderedPageBreak/>
        <w:t>Exhibit 6</w:t>
      </w:r>
      <w:r w:rsidR="00F36BF2" w:rsidRPr="00640417">
        <w:rPr>
          <w:rFonts w:eastAsia="Calibri"/>
          <w:lang w:val="en-GB"/>
        </w:rPr>
        <w:t xml:space="preserve">: </w:t>
      </w:r>
      <w:r w:rsidR="00536D28">
        <w:rPr>
          <w:rFonts w:eastAsia="Calibri"/>
          <w:lang w:val="en-GB"/>
        </w:rPr>
        <w:t xml:space="preserve">bartos </w:t>
      </w:r>
      <w:r w:rsidRPr="00640417">
        <w:rPr>
          <w:rFonts w:eastAsia="Calibri"/>
          <w:lang w:val="en-GB"/>
        </w:rPr>
        <w:t>ORGANIZATION</w:t>
      </w:r>
      <w:r w:rsidR="00E768D4">
        <w:rPr>
          <w:rFonts w:eastAsia="Calibri"/>
          <w:lang w:val="en-GB"/>
        </w:rPr>
        <w:t>al</w:t>
      </w:r>
      <w:r w:rsidRPr="00640417">
        <w:rPr>
          <w:rFonts w:eastAsia="Calibri"/>
          <w:lang w:val="en-GB"/>
        </w:rPr>
        <w:t xml:space="preserve"> STRUCTURE</w:t>
      </w:r>
    </w:p>
    <w:p w14:paraId="7B54B2A1" w14:textId="77777777" w:rsidR="00F36BF2" w:rsidRPr="00373A5F" w:rsidRDefault="00F36BF2" w:rsidP="001D1405">
      <w:pPr>
        <w:pStyle w:val="ExhibitText"/>
        <w:keepNext/>
        <w:rPr>
          <w:rFonts w:eastAsia="Calibri"/>
          <w:sz w:val="16"/>
          <w:szCs w:val="16"/>
          <w:lang w:val="en-GB"/>
        </w:rPr>
      </w:pPr>
    </w:p>
    <w:p w14:paraId="7B55B854" w14:textId="3A804703" w:rsidR="004E5586" w:rsidRPr="00640417" w:rsidRDefault="00220246" w:rsidP="001D1405">
      <w:pPr>
        <w:keepNext/>
        <w:spacing w:after="160"/>
        <w:jc w:val="center"/>
        <w:rPr>
          <w:rFonts w:eastAsia="Calibri"/>
          <w:b/>
          <w:sz w:val="22"/>
          <w:lang w:val="en-GB"/>
        </w:rPr>
      </w:pPr>
      <w:r w:rsidRPr="00220246">
        <w:rPr>
          <w:noProof/>
        </w:rPr>
        <w:t xml:space="preserve"> </w:t>
      </w:r>
      <w:r>
        <w:rPr>
          <w:noProof/>
        </w:rPr>
        <w:drawing>
          <wp:inline distT="0" distB="0" distL="0" distR="0" wp14:anchorId="20963B44" wp14:editId="47FD99F2">
            <wp:extent cx="5292580" cy="290413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9796" cy="2913581"/>
                    </a:xfrm>
                    <a:prstGeom prst="rect">
                      <a:avLst/>
                    </a:prstGeom>
                  </pic:spPr>
                </pic:pic>
              </a:graphicData>
            </a:graphic>
          </wp:inline>
        </w:drawing>
      </w:r>
    </w:p>
    <w:p w14:paraId="4DD50982" w14:textId="081457FF" w:rsidR="00EA4387" w:rsidRDefault="00EA4387" w:rsidP="00BA292F">
      <w:pPr>
        <w:pStyle w:val="Footnote"/>
        <w:keepNext/>
        <w:rPr>
          <w:rFonts w:eastAsia="Calibri"/>
          <w:lang w:val="en-GB"/>
        </w:rPr>
      </w:pPr>
      <w:r>
        <w:rPr>
          <w:rFonts w:eastAsia="Calibri"/>
          <w:lang w:val="en-GB"/>
        </w:rPr>
        <w:t>Note: MD = managing director; AGM = assistant general manager; Asso</w:t>
      </w:r>
      <w:r w:rsidR="00D82E1B">
        <w:rPr>
          <w:rFonts w:eastAsia="Calibri"/>
          <w:lang w:val="en-GB"/>
        </w:rPr>
        <w:t>c</w:t>
      </w:r>
      <w:r>
        <w:rPr>
          <w:rFonts w:eastAsia="Calibri"/>
          <w:lang w:val="en-GB"/>
        </w:rPr>
        <w:t>. Manager = associate manager.</w:t>
      </w:r>
    </w:p>
    <w:p w14:paraId="2886C774" w14:textId="01A50045" w:rsidR="004E5586" w:rsidRPr="00640417" w:rsidRDefault="004E5586" w:rsidP="00BA292F">
      <w:pPr>
        <w:pStyle w:val="Footnote"/>
        <w:keepNext/>
        <w:rPr>
          <w:rFonts w:eastAsia="Calibri"/>
          <w:lang w:val="en-GB"/>
        </w:rPr>
      </w:pPr>
      <w:r w:rsidRPr="00640417">
        <w:rPr>
          <w:rFonts w:eastAsia="Calibri"/>
          <w:lang w:val="en-GB"/>
        </w:rPr>
        <w:t xml:space="preserve">Source: Company </w:t>
      </w:r>
      <w:r w:rsidR="00E768D4">
        <w:rPr>
          <w:rFonts w:eastAsia="Calibri"/>
          <w:lang w:val="en-GB"/>
        </w:rPr>
        <w:t>d</w:t>
      </w:r>
      <w:r w:rsidR="00DE2F4C">
        <w:rPr>
          <w:rFonts w:eastAsia="Calibri"/>
          <w:lang w:val="en-GB"/>
        </w:rPr>
        <w:t>ocuments.</w:t>
      </w:r>
    </w:p>
    <w:p w14:paraId="559E6B08" w14:textId="77777777" w:rsidR="00F36BF2" w:rsidRPr="00373A5F" w:rsidRDefault="00F36BF2" w:rsidP="001D1405">
      <w:pPr>
        <w:pStyle w:val="ExhibitText"/>
        <w:rPr>
          <w:rFonts w:eastAsia="Calibri"/>
          <w:sz w:val="16"/>
          <w:szCs w:val="16"/>
          <w:lang w:val="en-GB"/>
        </w:rPr>
      </w:pPr>
    </w:p>
    <w:p w14:paraId="7D050CB5" w14:textId="77777777" w:rsidR="00D40D30" w:rsidRPr="00373A5F" w:rsidRDefault="00D40D30" w:rsidP="001D1405">
      <w:pPr>
        <w:pStyle w:val="ExhibitText"/>
        <w:rPr>
          <w:rFonts w:eastAsia="Calibri"/>
          <w:sz w:val="16"/>
          <w:szCs w:val="16"/>
          <w:lang w:val="en-GB"/>
        </w:rPr>
      </w:pPr>
    </w:p>
    <w:p w14:paraId="08A08DBC" w14:textId="0C899D18" w:rsidR="004E5586" w:rsidRPr="00640417" w:rsidRDefault="0071618E" w:rsidP="001D1405">
      <w:pPr>
        <w:pStyle w:val="ExhibitHeading"/>
        <w:rPr>
          <w:rFonts w:eastAsia="Calibri"/>
          <w:lang w:val="en-GB"/>
        </w:rPr>
      </w:pPr>
      <w:r w:rsidRPr="00640417">
        <w:rPr>
          <w:rFonts w:eastAsia="Calibri"/>
          <w:lang w:val="en-GB"/>
        </w:rPr>
        <w:t>E</w:t>
      </w:r>
      <w:r w:rsidR="001101F1">
        <w:rPr>
          <w:rFonts w:eastAsia="Calibri"/>
          <w:lang w:val="en-GB"/>
        </w:rPr>
        <w:t>XHIBIT</w:t>
      </w:r>
      <w:r w:rsidRPr="00640417">
        <w:rPr>
          <w:rFonts w:eastAsia="Calibri"/>
          <w:lang w:val="en-GB"/>
        </w:rPr>
        <w:t xml:space="preserve"> 7</w:t>
      </w:r>
      <w:r w:rsidR="00F36BF2" w:rsidRPr="00640417">
        <w:rPr>
          <w:rFonts w:eastAsia="Calibri"/>
          <w:lang w:val="en-GB"/>
        </w:rPr>
        <w:t>:</w:t>
      </w:r>
      <w:r w:rsidR="001101F1">
        <w:rPr>
          <w:rFonts w:eastAsia="Calibri"/>
          <w:lang w:val="en-GB"/>
        </w:rPr>
        <w:t xml:space="preserve"> BARTOS </w:t>
      </w:r>
      <w:r w:rsidR="004E5586" w:rsidRPr="00640417">
        <w:rPr>
          <w:rFonts w:eastAsia="Calibri"/>
          <w:lang w:val="en-GB"/>
        </w:rPr>
        <w:t>CORE VALUES AND GUIDING PRINCIPLES</w:t>
      </w:r>
    </w:p>
    <w:p w14:paraId="126A1AE0" w14:textId="07E4405D" w:rsidR="00F36BF2" w:rsidRPr="00373A5F" w:rsidRDefault="00F36BF2" w:rsidP="00A03932">
      <w:pPr>
        <w:pStyle w:val="ExhibitHeading"/>
        <w:rPr>
          <w:rFonts w:eastAsia="Calibri"/>
          <w:sz w:val="16"/>
          <w:szCs w:val="16"/>
          <w:lang w:val="en-GB"/>
        </w:rPr>
      </w:pPr>
    </w:p>
    <w:p w14:paraId="0B95B1FC" w14:textId="4F90DB7F" w:rsidR="004E5586" w:rsidRPr="00640417" w:rsidRDefault="004E5586" w:rsidP="001D1405">
      <w:pPr>
        <w:pStyle w:val="ExhibitNumber"/>
        <w:rPr>
          <w:rFonts w:eastAsia="Calibri"/>
          <w:lang w:val="en-GB"/>
        </w:rPr>
      </w:pPr>
      <w:r w:rsidRPr="00640417">
        <w:rPr>
          <w:rFonts w:eastAsia="Calibri"/>
          <w:lang w:val="en-GB"/>
        </w:rPr>
        <w:t>Core Values</w:t>
      </w:r>
    </w:p>
    <w:p w14:paraId="08D9C347" w14:textId="77777777" w:rsidR="00F36BF2" w:rsidRPr="00373A5F" w:rsidRDefault="00F36BF2" w:rsidP="001D1405">
      <w:pPr>
        <w:pStyle w:val="ExhibitText"/>
        <w:rPr>
          <w:rFonts w:eastAsia="Calibri"/>
          <w:sz w:val="16"/>
          <w:szCs w:val="16"/>
          <w:lang w:val="en-GB"/>
        </w:rPr>
      </w:pPr>
    </w:p>
    <w:tbl>
      <w:tblPr>
        <w:tblStyle w:val="TableGrid1"/>
        <w:tblW w:w="5634" w:type="dxa"/>
        <w:jc w:val="center"/>
        <w:tblLayout w:type="fixed"/>
        <w:tblLook w:val="04A0" w:firstRow="1" w:lastRow="0" w:firstColumn="1" w:lastColumn="0" w:noHBand="0" w:noVBand="1"/>
      </w:tblPr>
      <w:tblGrid>
        <w:gridCol w:w="347"/>
        <w:gridCol w:w="2281"/>
        <w:gridCol w:w="540"/>
        <w:gridCol w:w="2466"/>
      </w:tblGrid>
      <w:tr w:rsidR="004E5586" w:rsidRPr="00640417" w14:paraId="6900397E" w14:textId="77777777" w:rsidTr="00A03932">
        <w:trPr>
          <w:trHeight w:val="264"/>
          <w:jc w:val="center"/>
        </w:trPr>
        <w:tc>
          <w:tcPr>
            <w:tcW w:w="347" w:type="dxa"/>
          </w:tcPr>
          <w:p w14:paraId="25252D26" w14:textId="77777777" w:rsidR="004E5586" w:rsidRPr="00A03932" w:rsidRDefault="004E5586" w:rsidP="00A03932">
            <w:pPr>
              <w:pStyle w:val="ExhibitText"/>
              <w:spacing w:before="60" w:after="60"/>
              <w:jc w:val="center"/>
              <w:rPr>
                <w:rFonts w:eastAsia="SimSun"/>
                <w:lang w:val="en-GB"/>
              </w:rPr>
            </w:pPr>
            <w:r w:rsidRPr="00A03932">
              <w:rPr>
                <w:rFonts w:eastAsia="SimSun"/>
                <w:lang w:val="en-GB"/>
              </w:rPr>
              <w:t>1</w:t>
            </w:r>
          </w:p>
        </w:tc>
        <w:tc>
          <w:tcPr>
            <w:tcW w:w="2281" w:type="dxa"/>
          </w:tcPr>
          <w:p w14:paraId="1E41C0AE" w14:textId="77777777" w:rsidR="004E5586" w:rsidRPr="001101F1" w:rsidRDefault="004E5586" w:rsidP="00A03932">
            <w:pPr>
              <w:pStyle w:val="ExhibitText"/>
              <w:spacing w:before="60" w:after="60"/>
              <w:rPr>
                <w:rFonts w:eastAsia="SimSun"/>
                <w:lang w:val="en-GB"/>
              </w:rPr>
            </w:pPr>
            <w:r w:rsidRPr="001101F1">
              <w:rPr>
                <w:rFonts w:eastAsia="SimSun"/>
                <w:shd w:val="clear" w:color="auto" w:fill="FFFFFF"/>
                <w:lang w:val="en-GB"/>
              </w:rPr>
              <w:t>Integrity</w:t>
            </w:r>
          </w:p>
        </w:tc>
        <w:tc>
          <w:tcPr>
            <w:tcW w:w="540" w:type="dxa"/>
          </w:tcPr>
          <w:p w14:paraId="5B899DB0" w14:textId="77777777" w:rsidR="004E5586" w:rsidRPr="00A03932" w:rsidRDefault="004E5586" w:rsidP="00A03932">
            <w:pPr>
              <w:pStyle w:val="ExhibitText"/>
              <w:spacing w:before="60" w:after="60"/>
              <w:jc w:val="center"/>
              <w:rPr>
                <w:rFonts w:eastAsia="SimSun"/>
                <w:shd w:val="clear" w:color="auto" w:fill="FFFFFF"/>
                <w:lang w:val="en-GB"/>
              </w:rPr>
            </w:pPr>
            <w:r w:rsidRPr="00A03932">
              <w:rPr>
                <w:rFonts w:eastAsia="SimSun"/>
                <w:lang w:val="en-GB"/>
              </w:rPr>
              <w:t>4</w:t>
            </w:r>
          </w:p>
        </w:tc>
        <w:tc>
          <w:tcPr>
            <w:tcW w:w="2466" w:type="dxa"/>
          </w:tcPr>
          <w:p w14:paraId="497357E8" w14:textId="77777777" w:rsidR="004E5586" w:rsidRPr="00640417" w:rsidRDefault="004E5586" w:rsidP="00A03932">
            <w:pPr>
              <w:pStyle w:val="ExhibitText"/>
              <w:spacing w:before="60" w:after="60"/>
              <w:rPr>
                <w:rFonts w:eastAsia="SimSun"/>
                <w:lang w:val="en-GB"/>
              </w:rPr>
            </w:pPr>
            <w:r w:rsidRPr="00640417">
              <w:rPr>
                <w:rFonts w:eastAsia="SimSun"/>
                <w:shd w:val="clear" w:color="auto" w:fill="FFFFFF"/>
                <w:lang w:val="en-GB"/>
              </w:rPr>
              <w:t>Dynamic Thinking</w:t>
            </w:r>
          </w:p>
        </w:tc>
      </w:tr>
      <w:tr w:rsidR="004E5586" w:rsidRPr="00640417" w14:paraId="5894E93C" w14:textId="77777777" w:rsidTr="00A03932">
        <w:trPr>
          <w:trHeight w:val="264"/>
          <w:jc w:val="center"/>
        </w:trPr>
        <w:tc>
          <w:tcPr>
            <w:tcW w:w="347" w:type="dxa"/>
          </w:tcPr>
          <w:p w14:paraId="48AA8B49" w14:textId="77777777" w:rsidR="004E5586" w:rsidRPr="00A03932" w:rsidRDefault="004E5586" w:rsidP="00A03932">
            <w:pPr>
              <w:pStyle w:val="ExhibitText"/>
              <w:spacing w:before="60" w:after="60"/>
              <w:jc w:val="center"/>
              <w:rPr>
                <w:rFonts w:eastAsia="SimSun"/>
                <w:lang w:val="en-GB"/>
              </w:rPr>
            </w:pPr>
            <w:r w:rsidRPr="00A03932">
              <w:rPr>
                <w:rFonts w:eastAsia="SimSun"/>
                <w:lang w:val="en-GB"/>
              </w:rPr>
              <w:t>2</w:t>
            </w:r>
          </w:p>
        </w:tc>
        <w:tc>
          <w:tcPr>
            <w:tcW w:w="2281" w:type="dxa"/>
          </w:tcPr>
          <w:p w14:paraId="51AE5AAB" w14:textId="77777777" w:rsidR="004E5586" w:rsidRPr="001101F1" w:rsidRDefault="004E5586" w:rsidP="00A03932">
            <w:pPr>
              <w:pStyle w:val="ExhibitText"/>
              <w:spacing w:before="60" w:after="60"/>
              <w:rPr>
                <w:rFonts w:eastAsia="SimSun"/>
                <w:lang w:val="en-GB"/>
              </w:rPr>
            </w:pPr>
            <w:r w:rsidRPr="001101F1">
              <w:rPr>
                <w:rFonts w:eastAsia="SimSun"/>
                <w:shd w:val="clear" w:color="auto" w:fill="FFFFFF"/>
                <w:lang w:val="en-GB"/>
              </w:rPr>
              <w:t>Respect for Individual</w:t>
            </w:r>
          </w:p>
        </w:tc>
        <w:tc>
          <w:tcPr>
            <w:tcW w:w="540" w:type="dxa"/>
          </w:tcPr>
          <w:p w14:paraId="28D92239" w14:textId="77777777" w:rsidR="004E5586" w:rsidRPr="00A03932" w:rsidRDefault="004E5586" w:rsidP="00A03932">
            <w:pPr>
              <w:pStyle w:val="ExhibitText"/>
              <w:spacing w:before="60" w:after="60"/>
              <w:jc w:val="center"/>
              <w:rPr>
                <w:rFonts w:eastAsia="SimSun"/>
                <w:shd w:val="clear" w:color="auto" w:fill="FFFFFF"/>
                <w:lang w:val="en-GB"/>
              </w:rPr>
            </w:pPr>
            <w:r w:rsidRPr="00A03932">
              <w:rPr>
                <w:rFonts w:eastAsia="SimSun"/>
                <w:lang w:val="en-GB"/>
              </w:rPr>
              <w:t>5</w:t>
            </w:r>
          </w:p>
        </w:tc>
        <w:tc>
          <w:tcPr>
            <w:tcW w:w="2466" w:type="dxa"/>
          </w:tcPr>
          <w:p w14:paraId="2D029EDA" w14:textId="165C672E" w:rsidR="004E5586" w:rsidRPr="00640417" w:rsidRDefault="004E5586" w:rsidP="00A03932">
            <w:pPr>
              <w:pStyle w:val="ExhibitText"/>
              <w:spacing w:before="60" w:after="60"/>
              <w:rPr>
                <w:rFonts w:eastAsia="SimSun"/>
                <w:lang w:val="en-GB"/>
              </w:rPr>
            </w:pPr>
            <w:r w:rsidRPr="00640417">
              <w:rPr>
                <w:rFonts w:eastAsia="SimSun"/>
                <w:shd w:val="clear" w:color="auto" w:fill="FFFFFF"/>
                <w:lang w:val="en-GB"/>
              </w:rPr>
              <w:t xml:space="preserve">Creativity </w:t>
            </w:r>
            <w:r w:rsidR="001101F1">
              <w:rPr>
                <w:rFonts w:eastAsia="SimSun"/>
                <w:shd w:val="clear" w:color="auto" w:fill="FFFFFF"/>
                <w:lang w:val="en-GB"/>
              </w:rPr>
              <w:t>and</w:t>
            </w:r>
            <w:r w:rsidRPr="00640417">
              <w:rPr>
                <w:rFonts w:eastAsia="SimSun"/>
                <w:shd w:val="clear" w:color="auto" w:fill="FFFFFF"/>
                <w:lang w:val="en-GB"/>
              </w:rPr>
              <w:t xml:space="preserve"> Innovation</w:t>
            </w:r>
          </w:p>
        </w:tc>
      </w:tr>
      <w:tr w:rsidR="004E5586" w:rsidRPr="00640417" w14:paraId="7B5BE294" w14:textId="77777777" w:rsidTr="00A03932">
        <w:trPr>
          <w:trHeight w:val="264"/>
          <w:jc w:val="center"/>
        </w:trPr>
        <w:tc>
          <w:tcPr>
            <w:tcW w:w="347" w:type="dxa"/>
          </w:tcPr>
          <w:p w14:paraId="63C48D0B" w14:textId="77777777" w:rsidR="004E5586" w:rsidRPr="00A03932" w:rsidRDefault="004E5586" w:rsidP="00A03932">
            <w:pPr>
              <w:pStyle w:val="ExhibitText"/>
              <w:spacing w:before="60" w:after="60"/>
              <w:jc w:val="center"/>
              <w:rPr>
                <w:rFonts w:eastAsia="SimSun"/>
                <w:lang w:val="en-GB"/>
              </w:rPr>
            </w:pPr>
            <w:r w:rsidRPr="00A03932">
              <w:rPr>
                <w:rFonts w:eastAsia="SimSun"/>
                <w:lang w:val="en-GB"/>
              </w:rPr>
              <w:t>3</w:t>
            </w:r>
          </w:p>
        </w:tc>
        <w:tc>
          <w:tcPr>
            <w:tcW w:w="2281" w:type="dxa"/>
          </w:tcPr>
          <w:p w14:paraId="0663CE91" w14:textId="77777777" w:rsidR="004E5586" w:rsidRPr="001101F1" w:rsidRDefault="004E5586" w:rsidP="00A03932">
            <w:pPr>
              <w:pStyle w:val="ExhibitText"/>
              <w:spacing w:before="60" w:after="60"/>
              <w:rPr>
                <w:rFonts w:eastAsia="SimSun"/>
                <w:lang w:val="en-GB"/>
              </w:rPr>
            </w:pPr>
            <w:r w:rsidRPr="001101F1">
              <w:rPr>
                <w:rFonts w:eastAsia="SimSun"/>
                <w:shd w:val="clear" w:color="auto" w:fill="FFFFFF"/>
                <w:lang w:val="en-GB"/>
              </w:rPr>
              <w:t>Meritocracy</w:t>
            </w:r>
          </w:p>
        </w:tc>
        <w:tc>
          <w:tcPr>
            <w:tcW w:w="540" w:type="dxa"/>
          </w:tcPr>
          <w:p w14:paraId="3DF855E9" w14:textId="77777777" w:rsidR="004E5586" w:rsidRPr="00A03932" w:rsidRDefault="004E5586" w:rsidP="00A03932">
            <w:pPr>
              <w:pStyle w:val="ExhibitText"/>
              <w:spacing w:before="60" w:after="60"/>
              <w:jc w:val="center"/>
              <w:rPr>
                <w:rFonts w:eastAsia="SimSun"/>
                <w:shd w:val="clear" w:color="auto" w:fill="FFFFFF"/>
                <w:lang w:val="en-GB"/>
              </w:rPr>
            </w:pPr>
            <w:r w:rsidRPr="00A03932">
              <w:rPr>
                <w:rFonts w:eastAsia="SimSun"/>
                <w:lang w:val="en-GB"/>
              </w:rPr>
              <w:t>6</w:t>
            </w:r>
          </w:p>
        </w:tc>
        <w:tc>
          <w:tcPr>
            <w:tcW w:w="2466" w:type="dxa"/>
          </w:tcPr>
          <w:p w14:paraId="7B049F30" w14:textId="77777777" w:rsidR="004E5586" w:rsidRPr="00640417" w:rsidRDefault="004E5586" w:rsidP="00A03932">
            <w:pPr>
              <w:pStyle w:val="ExhibitText"/>
              <w:spacing w:before="60" w:after="60"/>
              <w:rPr>
                <w:rFonts w:eastAsia="SimSun"/>
                <w:lang w:val="en-GB"/>
              </w:rPr>
            </w:pPr>
            <w:r w:rsidRPr="00640417">
              <w:rPr>
                <w:rFonts w:eastAsia="SimSun"/>
                <w:shd w:val="clear" w:color="auto" w:fill="FFFFFF"/>
                <w:lang w:val="en-GB"/>
              </w:rPr>
              <w:t>Social Responsibility</w:t>
            </w:r>
          </w:p>
        </w:tc>
      </w:tr>
    </w:tbl>
    <w:p w14:paraId="0F104892" w14:textId="77777777" w:rsidR="00F36BF2" w:rsidRPr="00373A5F" w:rsidRDefault="00F36BF2" w:rsidP="001D1405">
      <w:pPr>
        <w:pStyle w:val="BodyTextMain"/>
        <w:rPr>
          <w:rFonts w:eastAsia="Calibri"/>
          <w:sz w:val="16"/>
          <w:szCs w:val="16"/>
          <w:lang w:val="en-GB"/>
        </w:rPr>
      </w:pPr>
    </w:p>
    <w:p w14:paraId="07EC80F6" w14:textId="77777777" w:rsidR="00EA4387" w:rsidRPr="00373A5F" w:rsidRDefault="00EA4387" w:rsidP="001D1405">
      <w:pPr>
        <w:pStyle w:val="BodyTextMain"/>
        <w:rPr>
          <w:rFonts w:eastAsia="Calibri"/>
          <w:sz w:val="16"/>
          <w:szCs w:val="16"/>
          <w:lang w:val="en-GB"/>
        </w:rPr>
      </w:pPr>
    </w:p>
    <w:p w14:paraId="2AFD5597" w14:textId="77777777" w:rsidR="004E5586" w:rsidRPr="00640417" w:rsidRDefault="004E5586" w:rsidP="001D1405">
      <w:pPr>
        <w:pStyle w:val="ExhibitNumber"/>
        <w:rPr>
          <w:rFonts w:eastAsia="Calibri"/>
          <w:lang w:val="en-GB"/>
        </w:rPr>
      </w:pPr>
      <w:r w:rsidRPr="00640417">
        <w:rPr>
          <w:rFonts w:eastAsia="Calibri"/>
          <w:lang w:val="en-GB"/>
        </w:rPr>
        <w:t>Guiding Principles</w:t>
      </w:r>
    </w:p>
    <w:p w14:paraId="53C94F1B" w14:textId="77777777" w:rsidR="00F36BF2" w:rsidRPr="00373A5F" w:rsidRDefault="00F36BF2" w:rsidP="001D1405">
      <w:pPr>
        <w:pStyle w:val="BodyTextMain"/>
        <w:rPr>
          <w:rFonts w:eastAsia="Calibri"/>
          <w:sz w:val="16"/>
          <w:szCs w:val="16"/>
          <w:lang w:val="en-GB"/>
        </w:rPr>
      </w:pPr>
    </w:p>
    <w:tbl>
      <w:tblPr>
        <w:tblStyle w:val="TableGrid1"/>
        <w:tblW w:w="9303" w:type="dxa"/>
        <w:jc w:val="center"/>
        <w:tblLayout w:type="fixed"/>
        <w:tblLook w:val="04A0" w:firstRow="1" w:lastRow="0" w:firstColumn="1" w:lastColumn="0" w:noHBand="0" w:noVBand="1"/>
      </w:tblPr>
      <w:tblGrid>
        <w:gridCol w:w="450"/>
        <w:gridCol w:w="8853"/>
      </w:tblGrid>
      <w:tr w:rsidR="004E5586" w:rsidRPr="00640417" w14:paraId="0A607417" w14:textId="77777777" w:rsidTr="00FB58DA">
        <w:trPr>
          <w:jc w:val="center"/>
        </w:trPr>
        <w:tc>
          <w:tcPr>
            <w:tcW w:w="450" w:type="dxa"/>
          </w:tcPr>
          <w:p w14:paraId="6CECA30F" w14:textId="77777777" w:rsidR="004E5586" w:rsidRPr="00A03932" w:rsidRDefault="004E5586" w:rsidP="00A03932">
            <w:pPr>
              <w:pStyle w:val="ExhibitText"/>
              <w:spacing w:before="60" w:after="60"/>
              <w:jc w:val="center"/>
              <w:rPr>
                <w:rFonts w:eastAsia="SimSun"/>
                <w:shd w:val="clear" w:color="auto" w:fill="FFFFFF"/>
                <w:lang w:val="en-GB"/>
              </w:rPr>
            </w:pPr>
            <w:r w:rsidRPr="00A03932">
              <w:rPr>
                <w:rFonts w:eastAsia="SimSun"/>
                <w:shd w:val="clear" w:color="auto" w:fill="FFFFFF"/>
                <w:lang w:val="en-GB"/>
              </w:rPr>
              <w:t>1</w:t>
            </w:r>
          </w:p>
        </w:tc>
        <w:tc>
          <w:tcPr>
            <w:tcW w:w="8853" w:type="dxa"/>
          </w:tcPr>
          <w:p w14:paraId="4D387800" w14:textId="075890E6" w:rsidR="004E5586" w:rsidRPr="00640417" w:rsidRDefault="004E5586" w:rsidP="00A03932">
            <w:pPr>
              <w:pStyle w:val="ExhibitText"/>
              <w:spacing w:before="60" w:after="60"/>
              <w:jc w:val="left"/>
              <w:rPr>
                <w:rFonts w:eastAsia="SimSun"/>
                <w:shd w:val="clear" w:color="auto" w:fill="FFFFFF"/>
                <w:lang w:val="en-GB"/>
              </w:rPr>
            </w:pPr>
            <w:r w:rsidRPr="00640417">
              <w:rPr>
                <w:rFonts w:eastAsia="SimSun"/>
                <w:b/>
                <w:shd w:val="clear" w:color="auto" w:fill="FFFFFF"/>
                <w:lang w:val="en-GB"/>
              </w:rPr>
              <w:t>Value Creation</w:t>
            </w:r>
            <w:r w:rsidR="00E768D4">
              <w:rPr>
                <w:rFonts w:eastAsia="SimSun"/>
                <w:shd w:val="clear" w:color="auto" w:fill="FFFFFF"/>
                <w:lang w:val="en-GB"/>
              </w:rPr>
              <w:t xml:space="preserve">: </w:t>
            </w:r>
            <w:r w:rsidRPr="00640417">
              <w:rPr>
                <w:rFonts w:eastAsia="SimSun"/>
                <w:shd w:val="clear" w:color="auto" w:fill="FFFFFF"/>
                <w:lang w:val="en-GB"/>
              </w:rPr>
              <w:t>Sustained value creation for all stakeholders</w:t>
            </w:r>
            <w:r w:rsidR="001101F1">
              <w:rPr>
                <w:rFonts w:eastAsia="SimSun"/>
                <w:shd w:val="clear" w:color="auto" w:fill="FFFFFF"/>
                <w:lang w:val="en-GB"/>
              </w:rPr>
              <w:t>:</w:t>
            </w:r>
            <w:r w:rsidRPr="00640417">
              <w:rPr>
                <w:rFonts w:eastAsia="SimSun"/>
                <w:shd w:val="clear" w:color="auto" w:fill="FFFFFF"/>
                <w:lang w:val="en-GB"/>
              </w:rPr>
              <w:t xml:space="preserve"> </w:t>
            </w:r>
            <w:r w:rsidR="001101F1">
              <w:rPr>
                <w:rFonts w:eastAsia="SimSun"/>
                <w:shd w:val="clear" w:color="auto" w:fill="FFFFFF"/>
                <w:lang w:val="en-GB"/>
              </w:rPr>
              <w:t>c</w:t>
            </w:r>
            <w:r w:rsidRPr="00640417">
              <w:rPr>
                <w:rFonts w:eastAsia="SimSun"/>
                <w:shd w:val="clear" w:color="auto" w:fill="FFFFFF"/>
                <w:lang w:val="en-GB"/>
              </w:rPr>
              <w:t xml:space="preserve">ustomer, </w:t>
            </w:r>
            <w:r w:rsidR="001101F1">
              <w:rPr>
                <w:rFonts w:eastAsia="SimSun"/>
                <w:shd w:val="clear" w:color="auto" w:fill="FFFFFF"/>
                <w:lang w:val="en-GB"/>
              </w:rPr>
              <w:t>e</w:t>
            </w:r>
            <w:r w:rsidRPr="00640417">
              <w:rPr>
                <w:rFonts w:eastAsia="SimSun"/>
                <w:shd w:val="clear" w:color="auto" w:fill="FFFFFF"/>
                <w:lang w:val="en-GB"/>
              </w:rPr>
              <w:t xml:space="preserve">mployee, </w:t>
            </w:r>
            <w:r w:rsidR="001101F1">
              <w:rPr>
                <w:rFonts w:eastAsia="SimSun"/>
                <w:shd w:val="clear" w:color="auto" w:fill="FFFFFF"/>
                <w:lang w:val="en-GB"/>
              </w:rPr>
              <w:t>s</w:t>
            </w:r>
            <w:r w:rsidRPr="00640417">
              <w:rPr>
                <w:rFonts w:eastAsia="SimSun"/>
                <w:shd w:val="clear" w:color="auto" w:fill="FFFFFF"/>
                <w:lang w:val="en-GB"/>
              </w:rPr>
              <w:t xml:space="preserve">upplier, </w:t>
            </w:r>
            <w:r w:rsidR="001101F1">
              <w:rPr>
                <w:rFonts w:eastAsia="SimSun"/>
                <w:shd w:val="clear" w:color="auto" w:fill="FFFFFF"/>
                <w:lang w:val="en-GB"/>
              </w:rPr>
              <w:t>s</w:t>
            </w:r>
            <w:r w:rsidRPr="00640417">
              <w:rPr>
                <w:rFonts w:eastAsia="SimSun"/>
                <w:shd w:val="clear" w:color="auto" w:fill="FFFFFF"/>
                <w:lang w:val="en-GB"/>
              </w:rPr>
              <w:t xml:space="preserve">hareholder, </w:t>
            </w:r>
            <w:r w:rsidR="001101F1">
              <w:rPr>
                <w:rFonts w:eastAsia="SimSun"/>
                <w:shd w:val="clear" w:color="auto" w:fill="FFFFFF"/>
                <w:lang w:val="en-GB"/>
              </w:rPr>
              <w:t>s</w:t>
            </w:r>
            <w:r w:rsidRPr="00640417">
              <w:rPr>
                <w:rFonts w:eastAsia="SimSun"/>
                <w:shd w:val="clear" w:color="auto" w:fill="FFFFFF"/>
                <w:lang w:val="en-GB"/>
              </w:rPr>
              <w:t xml:space="preserve">ociety </w:t>
            </w:r>
            <w:r w:rsidR="00905F4D">
              <w:rPr>
                <w:rFonts w:eastAsia="SimSun"/>
                <w:shd w:val="clear" w:color="auto" w:fill="FFFFFF"/>
                <w:lang w:val="en-GB"/>
              </w:rPr>
              <w:t>and</w:t>
            </w:r>
            <w:r w:rsidRPr="00640417">
              <w:rPr>
                <w:rFonts w:eastAsia="SimSun"/>
                <w:shd w:val="clear" w:color="auto" w:fill="FFFFFF"/>
                <w:lang w:val="en-GB"/>
              </w:rPr>
              <w:t xml:space="preserve"> </w:t>
            </w:r>
            <w:r w:rsidR="001101F1">
              <w:rPr>
                <w:rFonts w:eastAsia="SimSun"/>
                <w:shd w:val="clear" w:color="auto" w:fill="FFFFFF"/>
                <w:lang w:val="en-GB"/>
              </w:rPr>
              <w:t>n</w:t>
            </w:r>
            <w:r w:rsidRPr="00640417">
              <w:rPr>
                <w:rFonts w:eastAsia="SimSun"/>
                <w:shd w:val="clear" w:color="auto" w:fill="FFFFFF"/>
                <w:lang w:val="en-GB"/>
              </w:rPr>
              <w:t>ation.</w:t>
            </w:r>
          </w:p>
        </w:tc>
      </w:tr>
      <w:tr w:rsidR="004E5586" w:rsidRPr="00640417" w14:paraId="2E25D2E2" w14:textId="77777777" w:rsidTr="00FB58DA">
        <w:trPr>
          <w:jc w:val="center"/>
        </w:trPr>
        <w:tc>
          <w:tcPr>
            <w:tcW w:w="450" w:type="dxa"/>
          </w:tcPr>
          <w:p w14:paraId="315252E6" w14:textId="77777777" w:rsidR="004E5586" w:rsidRPr="00A03932" w:rsidRDefault="004E5586" w:rsidP="00A03932">
            <w:pPr>
              <w:pStyle w:val="ExhibitText"/>
              <w:spacing w:before="60" w:after="60"/>
              <w:jc w:val="center"/>
              <w:rPr>
                <w:rFonts w:eastAsia="SimSun"/>
                <w:shd w:val="clear" w:color="auto" w:fill="FFFFFF"/>
                <w:lang w:val="en-GB"/>
              </w:rPr>
            </w:pPr>
            <w:r w:rsidRPr="00A03932">
              <w:rPr>
                <w:rFonts w:eastAsia="SimSun"/>
                <w:shd w:val="clear" w:color="auto" w:fill="FFFFFF"/>
                <w:lang w:val="en-GB"/>
              </w:rPr>
              <w:t>2</w:t>
            </w:r>
          </w:p>
        </w:tc>
        <w:tc>
          <w:tcPr>
            <w:tcW w:w="8853" w:type="dxa"/>
          </w:tcPr>
          <w:p w14:paraId="3E431267" w14:textId="14711C4D" w:rsidR="004E5586" w:rsidRPr="00640417" w:rsidRDefault="004E5586" w:rsidP="00A03932">
            <w:pPr>
              <w:pStyle w:val="ExhibitText"/>
              <w:spacing w:before="60" w:after="60"/>
              <w:jc w:val="left"/>
              <w:rPr>
                <w:rFonts w:eastAsia="SimSun"/>
                <w:shd w:val="clear" w:color="auto" w:fill="FFFFFF"/>
                <w:lang w:val="en-GB"/>
              </w:rPr>
            </w:pPr>
            <w:r w:rsidRPr="00640417">
              <w:rPr>
                <w:rFonts w:eastAsia="SimSun"/>
                <w:b/>
                <w:shd w:val="clear" w:color="auto" w:fill="FFFFFF"/>
                <w:lang w:val="en-GB"/>
              </w:rPr>
              <w:t>Transparency</w:t>
            </w:r>
            <w:r w:rsidR="00E768D4">
              <w:rPr>
                <w:rFonts w:eastAsia="SimSun"/>
                <w:shd w:val="clear" w:color="auto" w:fill="FFFFFF"/>
                <w:lang w:val="en-GB"/>
              </w:rPr>
              <w:t xml:space="preserve">: </w:t>
            </w:r>
            <w:r w:rsidRPr="00640417">
              <w:rPr>
                <w:rFonts w:eastAsia="SimSun"/>
                <w:shd w:val="clear" w:color="auto" w:fill="FFFFFF"/>
                <w:lang w:val="en-GB"/>
              </w:rPr>
              <w:t>Conduct all business dealings along transparent lines.</w:t>
            </w:r>
          </w:p>
        </w:tc>
      </w:tr>
      <w:tr w:rsidR="004E5586" w:rsidRPr="00640417" w14:paraId="70DE5ADF" w14:textId="77777777" w:rsidTr="00FB58DA">
        <w:trPr>
          <w:jc w:val="center"/>
        </w:trPr>
        <w:tc>
          <w:tcPr>
            <w:tcW w:w="450" w:type="dxa"/>
          </w:tcPr>
          <w:p w14:paraId="7C17FD4B" w14:textId="77777777" w:rsidR="004E5586" w:rsidRPr="00A03932" w:rsidRDefault="004E5586" w:rsidP="00A03932">
            <w:pPr>
              <w:pStyle w:val="ExhibitText"/>
              <w:spacing w:before="60" w:after="60"/>
              <w:jc w:val="center"/>
              <w:rPr>
                <w:rFonts w:eastAsia="SimSun"/>
                <w:shd w:val="clear" w:color="auto" w:fill="FFFFFF"/>
                <w:lang w:val="en-GB"/>
              </w:rPr>
            </w:pPr>
            <w:r w:rsidRPr="00A03932">
              <w:rPr>
                <w:rFonts w:eastAsia="SimSun"/>
                <w:shd w:val="clear" w:color="auto" w:fill="FFFFFF"/>
                <w:lang w:val="en-GB"/>
              </w:rPr>
              <w:t>3</w:t>
            </w:r>
          </w:p>
        </w:tc>
        <w:tc>
          <w:tcPr>
            <w:tcW w:w="8853" w:type="dxa"/>
          </w:tcPr>
          <w:p w14:paraId="3F5D143E" w14:textId="023B0700" w:rsidR="004E5586" w:rsidRPr="00640417" w:rsidRDefault="004E5586" w:rsidP="00A03932">
            <w:pPr>
              <w:pStyle w:val="ExhibitText"/>
              <w:spacing w:before="60" w:after="60"/>
              <w:jc w:val="left"/>
              <w:rPr>
                <w:rFonts w:eastAsia="SimSun"/>
                <w:shd w:val="clear" w:color="auto" w:fill="FFFFFF"/>
                <w:lang w:val="en-GB"/>
              </w:rPr>
            </w:pPr>
            <w:r w:rsidRPr="00640417">
              <w:rPr>
                <w:rFonts w:eastAsia="SimSun"/>
                <w:b/>
                <w:shd w:val="clear" w:color="auto" w:fill="FFFFFF"/>
                <w:lang w:val="en-GB"/>
              </w:rPr>
              <w:t>Personal</w:t>
            </w:r>
            <w:r w:rsidRPr="00640417">
              <w:rPr>
                <w:rFonts w:eastAsia="SimSun"/>
                <w:shd w:val="clear" w:color="auto" w:fill="FFFFFF"/>
                <w:lang w:val="en-GB"/>
              </w:rPr>
              <w:t xml:space="preserve"> </w:t>
            </w:r>
            <w:r w:rsidRPr="00640417">
              <w:rPr>
                <w:rFonts w:eastAsia="SimSun"/>
                <w:b/>
                <w:shd w:val="clear" w:color="auto" w:fill="FFFFFF"/>
                <w:lang w:val="en-GB"/>
              </w:rPr>
              <w:t>Conduct</w:t>
            </w:r>
            <w:r w:rsidR="00E768D4">
              <w:rPr>
                <w:rFonts w:eastAsia="SimSun"/>
                <w:shd w:val="clear" w:color="auto" w:fill="FFFFFF"/>
                <w:lang w:val="en-GB"/>
              </w:rPr>
              <w:t xml:space="preserve">: </w:t>
            </w:r>
            <w:r w:rsidRPr="00640417">
              <w:rPr>
                <w:rFonts w:eastAsia="SimSun"/>
                <w:shd w:val="clear" w:color="auto" w:fill="FFFFFF"/>
                <w:lang w:val="en-GB"/>
              </w:rPr>
              <w:t>Display high standards of personal and professional conduct.</w:t>
            </w:r>
          </w:p>
        </w:tc>
      </w:tr>
      <w:tr w:rsidR="004E5586" w:rsidRPr="00640417" w14:paraId="5B1248A9" w14:textId="77777777" w:rsidTr="00FB58DA">
        <w:trPr>
          <w:jc w:val="center"/>
        </w:trPr>
        <w:tc>
          <w:tcPr>
            <w:tcW w:w="450" w:type="dxa"/>
          </w:tcPr>
          <w:p w14:paraId="1D5120BD" w14:textId="77777777" w:rsidR="004E5586" w:rsidRPr="00A03932" w:rsidRDefault="004E5586" w:rsidP="00A03932">
            <w:pPr>
              <w:pStyle w:val="ExhibitText"/>
              <w:spacing w:before="60" w:after="60"/>
              <w:jc w:val="center"/>
              <w:rPr>
                <w:rFonts w:eastAsia="SimSun"/>
                <w:shd w:val="clear" w:color="auto" w:fill="FFFFFF"/>
                <w:lang w:val="en-GB"/>
              </w:rPr>
            </w:pPr>
            <w:r w:rsidRPr="00A03932">
              <w:rPr>
                <w:rFonts w:eastAsia="SimSun"/>
                <w:shd w:val="clear" w:color="auto" w:fill="FFFFFF"/>
                <w:lang w:val="en-GB"/>
              </w:rPr>
              <w:t>4</w:t>
            </w:r>
          </w:p>
        </w:tc>
        <w:tc>
          <w:tcPr>
            <w:tcW w:w="8853" w:type="dxa"/>
          </w:tcPr>
          <w:p w14:paraId="4C61B2B9" w14:textId="68196D91" w:rsidR="004E5586" w:rsidRPr="00640417" w:rsidRDefault="004E5586" w:rsidP="00A03932">
            <w:pPr>
              <w:pStyle w:val="ExhibitText"/>
              <w:spacing w:before="60" w:after="60"/>
              <w:jc w:val="left"/>
              <w:rPr>
                <w:rFonts w:eastAsia="SimSun"/>
                <w:shd w:val="clear" w:color="auto" w:fill="FFFFFF"/>
                <w:lang w:val="en-GB"/>
              </w:rPr>
            </w:pPr>
            <w:r w:rsidRPr="00640417">
              <w:rPr>
                <w:rFonts w:eastAsia="SimSun"/>
                <w:b/>
                <w:shd w:val="clear" w:color="auto" w:fill="FFFFFF"/>
                <w:lang w:val="en-GB"/>
              </w:rPr>
              <w:t>Learning</w:t>
            </w:r>
            <w:r w:rsidRPr="00640417">
              <w:rPr>
                <w:rFonts w:eastAsia="SimSun"/>
                <w:shd w:val="clear" w:color="auto" w:fill="FFFFFF"/>
                <w:lang w:val="en-GB"/>
              </w:rPr>
              <w:t xml:space="preserve"> </w:t>
            </w:r>
            <w:r w:rsidR="001101F1">
              <w:rPr>
                <w:rFonts w:eastAsia="SimSun"/>
                <w:b/>
                <w:shd w:val="clear" w:color="auto" w:fill="FFFFFF"/>
                <w:lang w:val="en-GB"/>
              </w:rPr>
              <w:t>and</w:t>
            </w:r>
            <w:r w:rsidRPr="00640417">
              <w:rPr>
                <w:rFonts w:eastAsia="SimSun"/>
                <w:b/>
                <w:shd w:val="clear" w:color="auto" w:fill="FFFFFF"/>
                <w:lang w:val="en-GB"/>
              </w:rPr>
              <w:t xml:space="preserve"> Development</w:t>
            </w:r>
            <w:r w:rsidR="00E768D4">
              <w:rPr>
                <w:rFonts w:eastAsia="SimSun"/>
                <w:shd w:val="clear" w:color="auto" w:fill="FFFFFF"/>
                <w:lang w:val="en-GB"/>
              </w:rPr>
              <w:t xml:space="preserve">: </w:t>
            </w:r>
            <w:r w:rsidRPr="00640417">
              <w:rPr>
                <w:rFonts w:eastAsia="SimSun"/>
                <w:shd w:val="clear" w:color="auto" w:fill="FFFFFF"/>
                <w:lang w:val="en-GB"/>
              </w:rPr>
              <w:t>Foster an environment of learning and excellence</w:t>
            </w:r>
            <w:r w:rsidR="00EA4387">
              <w:rPr>
                <w:rFonts w:eastAsia="SimSun"/>
                <w:shd w:val="clear" w:color="auto" w:fill="FFFFFF"/>
                <w:lang w:val="en-GB"/>
              </w:rPr>
              <w:t>.</w:t>
            </w:r>
          </w:p>
        </w:tc>
      </w:tr>
      <w:tr w:rsidR="004E5586" w:rsidRPr="00640417" w14:paraId="3D525C44" w14:textId="77777777" w:rsidTr="00FB58DA">
        <w:trPr>
          <w:jc w:val="center"/>
        </w:trPr>
        <w:tc>
          <w:tcPr>
            <w:tcW w:w="450" w:type="dxa"/>
          </w:tcPr>
          <w:p w14:paraId="677A52FC" w14:textId="77777777" w:rsidR="004E5586" w:rsidRPr="00A03932" w:rsidRDefault="004E5586" w:rsidP="00A03932">
            <w:pPr>
              <w:pStyle w:val="ExhibitText"/>
              <w:spacing w:before="60" w:after="60"/>
              <w:jc w:val="center"/>
              <w:rPr>
                <w:rFonts w:eastAsia="SimSun"/>
                <w:shd w:val="clear" w:color="auto" w:fill="FFFFFF"/>
                <w:lang w:val="en-GB"/>
              </w:rPr>
            </w:pPr>
            <w:r w:rsidRPr="00A03932">
              <w:rPr>
                <w:rFonts w:eastAsia="SimSun"/>
                <w:shd w:val="clear" w:color="auto" w:fill="FFFFFF"/>
                <w:lang w:val="en-GB"/>
              </w:rPr>
              <w:t>5</w:t>
            </w:r>
          </w:p>
        </w:tc>
        <w:tc>
          <w:tcPr>
            <w:tcW w:w="8853" w:type="dxa"/>
          </w:tcPr>
          <w:p w14:paraId="5ACE7459" w14:textId="323D7541" w:rsidR="004E5586" w:rsidRPr="00640417" w:rsidRDefault="004E5586" w:rsidP="00A03932">
            <w:pPr>
              <w:pStyle w:val="ExhibitText"/>
              <w:spacing w:before="60" w:after="60"/>
              <w:jc w:val="left"/>
              <w:rPr>
                <w:rFonts w:eastAsia="SimSun"/>
                <w:shd w:val="clear" w:color="auto" w:fill="FFFFFF"/>
                <w:lang w:val="en-GB"/>
              </w:rPr>
            </w:pPr>
            <w:r w:rsidRPr="00640417">
              <w:rPr>
                <w:rFonts w:eastAsia="SimSun"/>
                <w:b/>
                <w:shd w:val="clear" w:color="auto" w:fill="FFFFFF"/>
                <w:lang w:val="en-GB"/>
              </w:rPr>
              <w:t>Creativity</w:t>
            </w:r>
            <w:r w:rsidRPr="00640417">
              <w:rPr>
                <w:rFonts w:eastAsia="SimSun"/>
                <w:shd w:val="clear" w:color="auto" w:fill="FFFFFF"/>
                <w:lang w:val="en-GB"/>
              </w:rPr>
              <w:t xml:space="preserve"> </w:t>
            </w:r>
            <w:r w:rsidR="001101F1">
              <w:rPr>
                <w:rFonts w:eastAsia="SimSun"/>
                <w:b/>
                <w:shd w:val="clear" w:color="auto" w:fill="FFFFFF"/>
                <w:lang w:val="en-GB"/>
              </w:rPr>
              <w:t>and</w:t>
            </w:r>
            <w:r w:rsidRPr="00640417">
              <w:rPr>
                <w:rFonts w:eastAsia="SimSun"/>
                <w:b/>
                <w:shd w:val="clear" w:color="auto" w:fill="FFFFFF"/>
                <w:lang w:val="en-GB"/>
              </w:rPr>
              <w:t xml:space="preserve"> Innovation</w:t>
            </w:r>
            <w:r w:rsidR="00E768D4" w:rsidRPr="00A03932">
              <w:rPr>
                <w:rFonts w:eastAsia="SimSun"/>
                <w:shd w:val="clear" w:color="auto" w:fill="FFFFFF"/>
                <w:lang w:val="en-GB"/>
              </w:rPr>
              <w:t>:</w:t>
            </w:r>
            <w:r w:rsidR="00E768D4">
              <w:rPr>
                <w:rFonts w:eastAsia="SimSun"/>
                <w:b/>
                <w:shd w:val="clear" w:color="auto" w:fill="FFFFFF"/>
                <w:lang w:val="en-GB"/>
              </w:rPr>
              <w:t xml:space="preserve"> </w:t>
            </w:r>
            <w:r w:rsidRPr="00640417">
              <w:rPr>
                <w:rFonts w:eastAsia="SimSun"/>
                <w:shd w:val="clear" w:color="auto" w:fill="FFFFFF"/>
                <w:lang w:val="en-GB"/>
              </w:rPr>
              <w:t>Encourage creative experimentation and institutionalize continuous improvement in all aspects of business and performance.</w:t>
            </w:r>
          </w:p>
        </w:tc>
      </w:tr>
      <w:tr w:rsidR="004E5586" w:rsidRPr="00640417" w14:paraId="2F01165C" w14:textId="77777777" w:rsidTr="00FB58DA">
        <w:trPr>
          <w:jc w:val="center"/>
        </w:trPr>
        <w:tc>
          <w:tcPr>
            <w:tcW w:w="450" w:type="dxa"/>
          </w:tcPr>
          <w:p w14:paraId="1BAA5FB1" w14:textId="77777777" w:rsidR="004E5586" w:rsidRPr="00A03932" w:rsidRDefault="004E5586" w:rsidP="00A03932">
            <w:pPr>
              <w:pStyle w:val="ExhibitText"/>
              <w:spacing w:before="60" w:after="60"/>
              <w:jc w:val="center"/>
              <w:rPr>
                <w:rFonts w:eastAsia="SimSun"/>
                <w:shd w:val="clear" w:color="auto" w:fill="FFFFFF"/>
                <w:lang w:val="en-GB"/>
              </w:rPr>
            </w:pPr>
            <w:r w:rsidRPr="00A03932">
              <w:rPr>
                <w:rFonts w:eastAsia="SimSun"/>
                <w:shd w:val="clear" w:color="auto" w:fill="FFFFFF"/>
                <w:lang w:val="en-GB"/>
              </w:rPr>
              <w:t>6</w:t>
            </w:r>
          </w:p>
        </w:tc>
        <w:tc>
          <w:tcPr>
            <w:tcW w:w="8853" w:type="dxa"/>
          </w:tcPr>
          <w:p w14:paraId="7225CB9C" w14:textId="65BB95B6" w:rsidR="004E5586" w:rsidRPr="00640417" w:rsidRDefault="004E5586" w:rsidP="00A03932">
            <w:pPr>
              <w:pStyle w:val="ExhibitText"/>
              <w:spacing w:before="60" w:after="60"/>
              <w:jc w:val="left"/>
              <w:rPr>
                <w:rFonts w:eastAsia="SimSun"/>
                <w:shd w:val="clear" w:color="auto" w:fill="FFFFFF"/>
                <w:lang w:val="en-GB"/>
              </w:rPr>
            </w:pPr>
            <w:r w:rsidRPr="00640417">
              <w:rPr>
                <w:rFonts w:eastAsia="SimSun"/>
                <w:b/>
                <w:shd w:val="clear" w:color="auto" w:fill="FFFFFF"/>
                <w:lang w:val="en-GB"/>
              </w:rPr>
              <w:t>Environment, Safety, and Health</w:t>
            </w:r>
            <w:r w:rsidR="00E768D4">
              <w:rPr>
                <w:rFonts w:eastAsia="SimSun"/>
                <w:shd w:val="clear" w:color="auto" w:fill="FFFFFF"/>
                <w:lang w:val="en-GB"/>
              </w:rPr>
              <w:t xml:space="preserve">: </w:t>
            </w:r>
            <w:r w:rsidRPr="00640417">
              <w:rPr>
                <w:rFonts w:eastAsia="SimSun"/>
                <w:shd w:val="clear" w:color="auto" w:fill="FFFFFF"/>
                <w:lang w:val="en-GB"/>
              </w:rPr>
              <w:t>Manage and protect the safety and health of our people, products, locations, and the environment.</w:t>
            </w:r>
          </w:p>
        </w:tc>
      </w:tr>
      <w:tr w:rsidR="004E5586" w:rsidRPr="00640417" w14:paraId="44DE1139" w14:textId="77777777" w:rsidTr="00FB58DA">
        <w:trPr>
          <w:jc w:val="center"/>
        </w:trPr>
        <w:tc>
          <w:tcPr>
            <w:tcW w:w="450" w:type="dxa"/>
          </w:tcPr>
          <w:p w14:paraId="57C39678" w14:textId="77777777" w:rsidR="004E5586" w:rsidRPr="00A03932" w:rsidRDefault="004E5586" w:rsidP="00A03932">
            <w:pPr>
              <w:pStyle w:val="ExhibitText"/>
              <w:spacing w:before="60" w:after="60"/>
              <w:jc w:val="center"/>
              <w:rPr>
                <w:rFonts w:eastAsia="SimSun"/>
                <w:shd w:val="clear" w:color="auto" w:fill="FFFFFF"/>
                <w:lang w:val="en-GB"/>
              </w:rPr>
            </w:pPr>
            <w:r w:rsidRPr="00A03932">
              <w:rPr>
                <w:rFonts w:eastAsia="SimSun"/>
                <w:shd w:val="clear" w:color="auto" w:fill="FFFFFF"/>
                <w:lang w:val="en-GB"/>
              </w:rPr>
              <w:t>7</w:t>
            </w:r>
          </w:p>
        </w:tc>
        <w:tc>
          <w:tcPr>
            <w:tcW w:w="8853" w:type="dxa"/>
          </w:tcPr>
          <w:p w14:paraId="05706BA3" w14:textId="7A3C93E8" w:rsidR="004E5586" w:rsidRPr="00640417" w:rsidRDefault="004E5586" w:rsidP="00A03932">
            <w:pPr>
              <w:pStyle w:val="ExhibitText"/>
              <w:spacing w:before="60" w:after="60"/>
              <w:jc w:val="left"/>
              <w:rPr>
                <w:rFonts w:eastAsia="SimSun"/>
                <w:shd w:val="clear" w:color="auto" w:fill="FFFFFF"/>
                <w:lang w:val="en-GB"/>
              </w:rPr>
            </w:pPr>
            <w:r w:rsidRPr="00640417">
              <w:rPr>
                <w:rFonts w:eastAsia="SimSun"/>
                <w:b/>
                <w:shd w:val="clear" w:color="auto" w:fill="FFFFFF"/>
                <w:lang w:val="en-GB"/>
              </w:rPr>
              <w:t>Responsible Corporate Citizen</w:t>
            </w:r>
            <w:r w:rsidR="00E768D4">
              <w:rPr>
                <w:rFonts w:eastAsia="SimSun"/>
                <w:shd w:val="clear" w:color="auto" w:fill="FFFFFF"/>
                <w:lang w:val="en-GB"/>
              </w:rPr>
              <w:t xml:space="preserve">: </w:t>
            </w:r>
            <w:r w:rsidRPr="00640417">
              <w:rPr>
                <w:rFonts w:eastAsia="SimSun"/>
                <w:shd w:val="clear" w:color="auto" w:fill="FFFFFF"/>
                <w:lang w:val="en-GB"/>
              </w:rPr>
              <w:t>Enrich the quality of life of the communities we serve.</w:t>
            </w:r>
          </w:p>
        </w:tc>
      </w:tr>
      <w:tr w:rsidR="004E5586" w:rsidRPr="00640417" w14:paraId="2CE9D182" w14:textId="77777777" w:rsidTr="00FB58DA">
        <w:trPr>
          <w:jc w:val="center"/>
        </w:trPr>
        <w:tc>
          <w:tcPr>
            <w:tcW w:w="450" w:type="dxa"/>
          </w:tcPr>
          <w:p w14:paraId="16479CB7" w14:textId="77777777" w:rsidR="004E5586" w:rsidRPr="00A03932" w:rsidRDefault="004E5586" w:rsidP="00A03932">
            <w:pPr>
              <w:pStyle w:val="ExhibitText"/>
              <w:spacing w:before="60" w:after="60"/>
              <w:jc w:val="center"/>
              <w:rPr>
                <w:rFonts w:eastAsia="SimSun"/>
                <w:shd w:val="clear" w:color="auto" w:fill="FFFFFF"/>
                <w:lang w:val="en-GB"/>
              </w:rPr>
            </w:pPr>
            <w:r w:rsidRPr="00A03932">
              <w:rPr>
                <w:rFonts w:eastAsia="SimSun"/>
                <w:shd w:val="clear" w:color="auto" w:fill="FFFFFF"/>
                <w:lang w:val="en-GB"/>
              </w:rPr>
              <w:t>8</w:t>
            </w:r>
          </w:p>
        </w:tc>
        <w:tc>
          <w:tcPr>
            <w:tcW w:w="8853" w:type="dxa"/>
          </w:tcPr>
          <w:p w14:paraId="5453C643" w14:textId="7293BB30" w:rsidR="004E5586" w:rsidRPr="00640417" w:rsidRDefault="004E5586" w:rsidP="00A03932">
            <w:pPr>
              <w:pStyle w:val="ExhibitText"/>
              <w:spacing w:before="60" w:after="60"/>
              <w:jc w:val="left"/>
              <w:rPr>
                <w:rFonts w:eastAsia="SimSun"/>
                <w:shd w:val="clear" w:color="auto" w:fill="FFFFFF"/>
                <w:lang w:val="en-GB"/>
              </w:rPr>
            </w:pPr>
            <w:r w:rsidRPr="00640417">
              <w:rPr>
                <w:rFonts w:eastAsia="SimSun"/>
                <w:b/>
                <w:shd w:val="clear" w:color="auto" w:fill="FFFFFF"/>
                <w:lang w:val="en-GB"/>
              </w:rPr>
              <w:t>Confidentiality</w:t>
            </w:r>
            <w:r w:rsidR="00E768D4">
              <w:rPr>
                <w:rFonts w:eastAsia="SimSun"/>
                <w:shd w:val="clear" w:color="auto" w:fill="FFFFFF"/>
                <w:lang w:val="en-GB"/>
              </w:rPr>
              <w:t xml:space="preserve">: </w:t>
            </w:r>
            <w:r w:rsidRPr="00640417">
              <w:rPr>
                <w:rFonts w:eastAsia="SimSun"/>
                <w:shd w:val="clear" w:color="auto" w:fill="FFFFFF"/>
                <w:lang w:val="en-GB"/>
              </w:rPr>
              <w:t>Respect and ensure confidentiality of all business</w:t>
            </w:r>
            <w:r w:rsidR="00EA4387">
              <w:rPr>
                <w:rFonts w:eastAsia="SimSun"/>
                <w:shd w:val="clear" w:color="auto" w:fill="FFFFFF"/>
                <w:lang w:val="en-GB"/>
              </w:rPr>
              <w:t>-</w:t>
            </w:r>
            <w:r w:rsidRPr="00640417">
              <w:rPr>
                <w:rFonts w:eastAsia="SimSun"/>
                <w:shd w:val="clear" w:color="auto" w:fill="FFFFFF"/>
                <w:lang w:val="en-GB"/>
              </w:rPr>
              <w:t>related information.</w:t>
            </w:r>
          </w:p>
        </w:tc>
      </w:tr>
    </w:tbl>
    <w:p w14:paraId="6707A843" w14:textId="77777777" w:rsidR="00373A5F" w:rsidRDefault="00373A5F" w:rsidP="00373A5F">
      <w:pPr>
        <w:pStyle w:val="Footnote"/>
        <w:rPr>
          <w:rFonts w:eastAsia="Calibri"/>
          <w:lang w:val="en-GB"/>
        </w:rPr>
      </w:pPr>
    </w:p>
    <w:p w14:paraId="0AB067A2" w14:textId="332AD7BD" w:rsidR="00E768D4" w:rsidRPr="00373A5F" w:rsidRDefault="004E5586" w:rsidP="00373A5F">
      <w:pPr>
        <w:pStyle w:val="Footnote"/>
        <w:rPr>
          <w:rFonts w:eastAsia="Calibri"/>
          <w:lang w:val="en-GB"/>
        </w:rPr>
      </w:pPr>
      <w:bookmarkStart w:id="0" w:name="_GoBack"/>
      <w:bookmarkEnd w:id="0"/>
      <w:r w:rsidRPr="00640417">
        <w:rPr>
          <w:rFonts w:eastAsia="Calibri"/>
          <w:lang w:val="en-GB"/>
        </w:rPr>
        <w:t xml:space="preserve">Source: Company </w:t>
      </w:r>
      <w:r w:rsidR="00E768D4">
        <w:rPr>
          <w:rFonts w:eastAsia="Calibri"/>
          <w:lang w:val="en-GB"/>
        </w:rPr>
        <w:t>d</w:t>
      </w:r>
      <w:r w:rsidR="00DE2F4C">
        <w:rPr>
          <w:rFonts w:eastAsia="Calibri"/>
          <w:lang w:val="en-GB"/>
        </w:rPr>
        <w:t>ocuments.</w:t>
      </w:r>
      <w:r w:rsidR="00E768D4">
        <w:rPr>
          <w:rFonts w:eastAsia="Calibri"/>
          <w:lang w:val="en-GB"/>
        </w:rPr>
        <w:br w:type="page"/>
      </w:r>
    </w:p>
    <w:p w14:paraId="25D8F76F" w14:textId="33750D2C" w:rsidR="004E5586" w:rsidRDefault="0071618E" w:rsidP="0071618E">
      <w:pPr>
        <w:pStyle w:val="ExhibitHeading"/>
        <w:keepNext/>
        <w:rPr>
          <w:rFonts w:eastAsia="Calibri"/>
          <w:lang w:val="en-GB"/>
        </w:rPr>
      </w:pPr>
      <w:r w:rsidRPr="00640417">
        <w:rPr>
          <w:rFonts w:eastAsia="Calibri"/>
          <w:lang w:val="en-GB"/>
        </w:rPr>
        <w:lastRenderedPageBreak/>
        <w:t>Exhibit 8</w:t>
      </w:r>
      <w:r w:rsidR="00F36BF2" w:rsidRPr="00640417">
        <w:rPr>
          <w:rFonts w:eastAsia="Calibri"/>
          <w:lang w:val="en-GB"/>
        </w:rPr>
        <w:t xml:space="preserve">: </w:t>
      </w:r>
      <w:r w:rsidR="004E5586" w:rsidRPr="00640417">
        <w:rPr>
          <w:rFonts w:eastAsia="Calibri"/>
          <w:lang w:val="en-GB"/>
        </w:rPr>
        <w:t xml:space="preserve">Import data </w:t>
      </w:r>
      <w:r w:rsidR="006F7E89">
        <w:rPr>
          <w:rFonts w:eastAsia="Calibri"/>
          <w:lang w:val="en-GB"/>
        </w:rPr>
        <w:t xml:space="preserve">for </w:t>
      </w:r>
      <w:r w:rsidR="004E5586" w:rsidRPr="00640417">
        <w:rPr>
          <w:rFonts w:eastAsia="Calibri"/>
          <w:lang w:val="en-GB"/>
        </w:rPr>
        <w:t>Stainless Steel (in M</w:t>
      </w:r>
      <w:r w:rsidR="001103F6">
        <w:rPr>
          <w:rFonts w:eastAsia="Calibri"/>
          <w:lang w:val="en-GB"/>
        </w:rPr>
        <w:t xml:space="preserve">etric </w:t>
      </w:r>
      <w:r w:rsidR="004E5586" w:rsidRPr="00640417">
        <w:rPr>
          <w:rFonts w:eastAsia="Calibri"/>
          <w:lang w:val="en-GB"/>
        </w:rPr>
        <w:t>T</w:t>
      </w:r>
      <w:r w:rsidR="001103F6">
        <w:rPr>
          <w:rFonts w:eastAsia="Calibri"/>
          <w:lang w:val="en-GB"/>
        </w:rPr>
        <w:t>onne</w:t>
      </w:r>
      <w:r w:rsidR="004B39C1">
        <w:rPr>
          <w:rFonts w:eastAsia="Calibri"/>
          <w:lang w:val="en-GB"/>
        </w:rPr>
        <w:t>s</w:t>
      </w:r>
      <w:r w:rsidR="004E5586" w:rsidRPr="00640417">
        <w:rPr>
          <w:rFonts w:eastAsia="Calibri"/>
          <w:lang w:val="en-GB"/>
        </w:rPr>
        <w:t>)</w:t>
      </w:r>
    </w:p>
    <w:p w14:paraId="589E0389" w14:textId="77777777" w:rsidR="007E7676" w:rsidRPr="00640417" w:rsidRDefault="007E7676" w:rsidP="0071618E">
      <w:pPr>
        <w:pStyle w:val="ExhibitHeading"/>
        <w:keepNext/>
        <w:rPr>
          <w:rFonts w:eastAsia="Calibri"/>
          <w:lang w:val="en-GB"/>
        </w:rPr>
      </w:pPr>
    </w:p>
    <w:p w14:paraId="0F992D5A" w14:textId="77777777" w:rsidR="00F36BF2" w:rsidRPr="00640417" w:rsidRDefault="00F36BF2" w:rsidP="0071618E">
      <w:pPr>
        <w:pStyle w:val="BodyTextMain"/>
        <w:keepNext/>
        <w:rPr>
          <w:rFonts w:eastAsia="Calibri"/>
          <w:sz w:val="20"/>
          <w:szCs w:val="20"/>
          <w:lang w:val="en-GB"/>
        </w:rPr>
      </w:pPr>
    </w:p>
    <w:p w14:paraId="44065B40" w14:textId="77777777" w:rsidR="004E5586" w:rsidRPr="00640417" w:rsidRDefault="004E5586" w:rsidP="00BA292F">
      <w:pPr>
        <w:keepNext/>
        <w:spacing w:after="160"/>
        <w:jc w:val="center"/>
        <w:rPr>
          <w:rFonts w:eastAsia="Calibri"/>
          <w:sz w:val="22"/>
          <w:szCs w:val="22"/>
          <w:lang w:val="en-GB"/>
        </w:rPr>
      </w:pPr>
      <w:r w:rsidRPr="00640417">
        <w:rPr>
          <w:rFonts w:eastAsia="Calibri"/>
          <w:noProof/>
          <w:sz w:val="22"/>
          <w:szCs w:val="22"/>
        </w:rPr>
        <w:drawing>
          <wp:inline distT="0" distB="0" distL="114300" distR="114300" wp14:anchorId="5465AD7D" wp14:editId="43D48AA0">
            <wp:extent cx="5838825" cy="3638550"/>
            <wp:effectExtent l="0" t="0" r="9525" b="0"/>
            <wp:docPr id="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2E7747A" w14:textId="77777777" w:rsidR="00583ADB" w:rsidRPr="00640417" w:rsidRDefault="00583ADB" w:rsidP="00583ADB">
      <w:pPr>
        <w:pStyle w:val="BodyTextMain"/>
        <w:rPr>
          <w:rFonts w:eastAsia="Calibri"/>
          <w:sz w:val="20"/>
          <w:szCs w:val="20"/>
          <w:lang w:val="en-GB"/>
        </w:rPr>
      </w:pPr>
    </w:p>
    <w:p w14:paraId="2DC2FEC7" w14:textId="2CB4D92F" w:rsidR="00E81A84" w:rsidRDefault="00E81A84" w:rsidP="00C55DA9">
      <w:pPr>
        <w:pStyle w:val="BodyTextMain"/>
        <w:rPr>
          <w:rFonts w:ascii="Arial" w:eastAsia="Calibri" w:hAnsi="Arial" w:cs="Arial"/>
          <w:sz w:val="17"/>
          <w:szCs w:val="17"/>
          <w:lang w:val="en-GB"/>
        </w:rPr>
      </w:pPr>
      <w:r>
        <w:rPr>
          <w:rFonts w:ascii="Arial" w:eastAsia="Calibri" w:hAnsi="Arial" w:cs="Arial"/>
          <w:sz w:val="17"/>
          <w:szCs w:val="17"/>
          <w:lang w:val="en-GB"/>
        </w:rPr>
        <w:t>Note: 1 metric tonne = 1,000 kilograms</w:t>
      </w:r>
    </w:p>
    <w:p w14:paraId="0E829497" w14:textId="1329B97C" w:rsidR="009952B7" w:rsidRPr="00C55DA9" w:rsidRDefault="004E5586" w:rsidP="00C55DA9">
      <w:pPr>
        <w:pStyle w:val="BodyTextMain"/>
        <w:rPr>
          <w:rFonts w:ascii="Arial" w:eastAsia="Calibri" w:hAnsi="Arial" w:cs="Arial"/>
          <w:sz w:val="17"/>
          <w:szCs w:val="17"/>
          <w:lang w:val="en-GB"/>
        </w:rPr>
      </w:pPr>
      <w:r w:rsidRPr="00C55DA9">
        <w:rPr>
          <w:rFonts w:ascii="Arial" w:eastAsia="Calibri" w:hAnsi="Arial" w:cs="Arial"/>
          <w:sz w:val="17"/>
          <w:szCs w:val="17"/>
          <w:lang w:val="en-GB"/>
        </w:rPr>
        <w:t xml:space="preserve">Source: </w:t>
      </w:r>
      <w:r w:rsidR="009952B7" w:rsidRPr="00C55DA9">
        <w:rPr>
          <w:rFonts w:ascii="Arial" w:eastAsia="Calibri" w:hAnsi="Arial" w:cs="Arial"/>
          <w:sz w:val="17"/>
          <w:szCs w:val="17"/>
          <w:lang w:val="en-GB"/>
        </w:rPr>
        <w:t>Ministry of Steel</w:t>
      </w:r>
      <w:r w:rsidR="001C2DA7">
        <w:rPr>
          <w:rFonts w:ascii="Arial" w:eastAsia="Calibri" w:hAnsi="Arial" w:cs="Arial"/>
          <w:sz w:val="17"/>
          <w:szCs w:val="17"/>
          <w:lang w:val="en-GB"/>
        </w:rPr>
        <w:t xml:space="preserve">, </w:t>
      </w:r>
      <w:r w:rsidR="009952B7" w:rsidRPr="00C55DA9">
        <w:rPr>
          <w:rFonts w:ascii="Arial" w:eastAsia="Calibri" w:hAnsi="Arial" w:cs="Arial"/>
          <w:sz w:val="17"/>
          <w:szCs w:val="17"/>
          <w:lang w:val="en-GB"/>
        </w:rPr>
        <w:t xml:space="preserve">Government of India, </w:t>
      </w:r>
      <w:r w:rsidR="009952B7" w:rsidRPr="00A03932">
        <w:rPr>
          <w:rFonts w:ascii="Arial" w:eastAsia="Calibri" w:hAnsi="Arial" w:cs="Arial"/>
          <w:i/>
          <w:sz w:val="17"/>
          <w:szCs w:val="17"/>
          <w:lang w:val="en-GB"/>
        </w:rPr>
        <w:t xml:space="preserve">Annual Report </w:t>
      </w:r>
      <w:r w:rsidR="001C2DA7" w:rsidRPr="00A03932">
        <w:rPr>
          <w:rFonts w:ascii="Arial" w:eastAsia="Calibri" w:hAnsi="Arial" w:cs="Arial"/>
          <w:i/>
          <w:sz w:val="17"/>
          <w:szCs w:val="17"/>
          <w:lang w:val="en-GB"/>
        </w:rPr>
        <w:t>20</w:t>
      </w:r>
      <w:r w:rsidR="009952B7" w:rsidRPr="00A03932">
        <w:rPr>
          <w:rFonts w:ascii="Arial" w:eastAsia="Calibri" w:hAnsi="Arial" w:cs="Arial"/>
          <w:i/>
          <w:sz w:val="17"/>
          <w:szCs w:val="17"/>
          <w:lang w:val="en-GB"/>
        </w:rPr>
        <w:t>12</w:t>
      </w:r>
      <w:r w:rsidR="001C2DA7" w:rsidRPr="00A03932">
        <w:rPr>
          <w:rFonts w:ascii="Arial" w:eastAsia="Calibri" w:hAnsi="Arial" w:cs="Arial"/>
          <w:i/>
          <w:sz w:val="17"/>
          <w:szCs w:val="17"/>
          <w:lang w:val="en-GB"/>
        </w:rPr>
        <w:t>–</w:t>
      </w:r>
      <w:r w:rsidR="009952B7" w:rsidRPr="00A03932">
        <w:rPr>
          <w:rFonts w:ascii="Arial" w:eastAsia="Calibri" w:hAnsi="Arial" w:cs="Arial"/>
          <w:i/>
          <w:sz w:val="17"/>
          <w:szCs w:val="17"/>
          <w:lang w:val="en-GB"/>
        </w:rPr>
        <w:t>13</w:t>
      </w:r>
      <w:r w:rsidR="009952B7" w:rsidRPr="00C55DA9">
        <w:rPr>
          <w:rFonts w:ascii="Arial" w:eastAsia="Calibri" w:hAnsi="Arial" w:cs="Arial"/>
          <w:sz w:val="17"/>
          <w:szCs w:val="17"/>
          <w:lang w:val="en-GB"/>
        </w:rPr>
        <w:t>, July 2013, accessed December 5, 2017, http://steel.gov.in/sites/default/files/Annual%20Report%20%282012-13%29.pdf; Ministry of Steel</w:t>
      </w:r>
      <w:r w:rsidR="001C2DA7">
        <w:rPr>
          <w:rFonts w:ascii="Arial" w:eastAsia="Calibri" w:hAnsi="Arial" w:cs="Arial"/>
          <w:sz w:val="17"/>
          <w:szCs w:val="17"/>
          <w:lang w:val="en-GB"/>
        </w:rPr>
        <w:t xml:space="preserve">, </w:t>
      </w:r>
      <w:r w:rsidR="009952B7" w:rsidRPr="00C55DA9">
        <w:rPr>
          <w:rFonts w:ascii="Arial" w:eastAsia="Calibri" w:hAnsi="Arial" w:cs="Arial"/>
          <w:sz w:val="17"/>
          <w:szCs w:val="17"/>
          <w:lang w:val="en-GB"/>
        </w:rPr>
        <w:t xml:space="preserve">Government of India, </w:t>
      </w:r>
      <w:r w:rsidR="005247EE">
        <w:rPr>
          <w:rFonts w:ascii="Arial" w:eastAsia="Calibri" w:hAnsi="Arial" w:cs="Arial"/>
          <w:i/>
          <w:sz w:val="17"/>
          <w:szCs w:val="17"/>
          <w:lang w:val="en-GB"/>
        </w:rPr>
        <w:t>Annual Report </w:t>
      </w:r>
      <w:r w:rsidR="00554A36">
        <w:rPr>
          <w:rFonts w:ascii="Arial" w:eastAsia="Calibri" w:hAnsi="Arial" w:cs="Arial"/>
          <w:i/>
          <w:sz w:val="17"/>
          <w:szCs w:val="17"/>
          <w:lang w:val="en-GB"/>
        </w:rPr>
        <w:t>20</w:t>
      </w:r>
      <w:r w:rsidR="009952B7" w:rsidRPr="00A03932">
        <w:rPr>
          <w:rFonts w:ascii="Arial" w:eastAsia="Calibri" w:hAnsi="Arial" w:cs="Arial"/>
          <w:i/>
          <w:sz w:val="17"/>
          <w:szCs w:val="17"/>
          <w:lang w:val="en-GB"/>
        </w:rPr>
        <w:t>13</w:t>
      </w:r>
      <w:r w:rsidR="005247EE">
        <w:rPr>
          <w:rFonts w:ascii="Arial" w:eastAsia="Calibri" w:hAnsi="Arial" w:cs="Arial"/>
          <w:i/>
          <w:sz w:val="17"/>
          <w:szCs w:val="17"/>
          <w:lang w:val="en-GB"/>
        </w:rPr>
        <w:t> </w:t>
      </w:r>
      <w:r w:rsidR="00554A36">
        <w:rPr>
          <w:rFonts w:ascii="Arial" w:eastAsia="Calibri" w:hAnsi="Arial" w:cs="Arial"/>
          <w:i/>
          <w:sz w:val="17"/>
          <w:szCs w:val="17"/>
          <w:lang w:val="en-GB"/>
        </w:rPr>
        <w:t>20</w:t>
      </w:r>
      <w:r w:rsidR="009952B7" w:rsidRPr="00A03932">
        <w:rPr>
          <w:rFonts w:ascii="Arial" w:eastAsia="Calibri" w:hAnsi="Arial" w:cs="Arial"/>
          <w:i/>
          <w:sz w:val="17"/>
          <w:szCs w:val="17"/>
          <w:lang w:val="en-GB"/>
        </w:rPr>
        <w:t>14</w:t>
      </w:r>
      <w:r w:rsidR="005247EE">
        <w:rPr>
          <w:rFonts w:ascii="Arial" w:eastAsia="Calibri" w:hAnsi="Arial" w:cs="Arial"/>
          <w:sz w:val="17"/>
          <w:szCs w:val="17"/>
          <w:lang w:val="en-GB"/>
        </w:rPr>
        <w:t>, July 2014, </w:t>
      </w:r>
      <w:r w:rsidR="009952B7" w:rsidRPr="00C55DA9">
        <w:rPr>
          <w:rFonts w:ascii="Arial" w:eastAsia="Calibri" w:hAnsi="Arial" w:cs="Arial"/>
          <w:sz w:val="17"/>
          <w:szCs w:val="17"/>
          <w:lang w:val="en-GB"/>
        </w:rPr>
        <w:t>accessed</w:t>
      </w:r>
      <w:r w:rsidR="005247EE">
        <w:rPr>
          <w:rFonts w:ascii="Arial" w:eastAsia="Calibri" w:hAnsi="Arial" w:cs="Arial"/>
          <w:sz w:val="17"/>
          <w:szCs w:val="17"/>
          <w:lang w:val="en-GB"/>
        </w:rPr>
        <w:t> December 5, 2017, </w:t>
      </w:r>
      <w:r w:rsidR="009952B7" w:rsidRPr="00C55DA9">
        <w:rPr>
          <w:rFonts w:ascii="Arial" w:eastAsia="Calibri" w:hAnsi="Arial" w:cs="Arial"/>
          <w:sz w:val="17"/>
          <w:szCs w:val="17"/>
          <w:lang w:val="en-GB"/>
        </w:rPr>
        <w:t>http://steel.gov.in/sites/default/files/Annual%20Report%20%28English%29%20%283%29.pdf</w:t>
      </w:r>
      <w:r w:rsidR="00560736" w:rsidRPr="00C55DA9">
        <w:rPr>
          <w:rFonts w:ascii="Arial" w:eastAsia="Calibri" w:hAnsi="Arial" w:cs="Arial"/>
          <w:sz w:val="17"/>
          <w:szCs w:val="17"/>
          <w:lang w:val="en-GB"/>
        </w:rPr>
        <w:t>; Ministry of Steel</w:t>
      </w:r>
      <w:r w:rsidR="001C2DA7">
        <w:rPr>
          <w:rFonts w:ascii="Arial" w:eastAsia="Calibri" w:hAnsi="Arial" w:cs="Arial"/>
          <w:sz w:val="17"/>
          <w:szCs w:val="17"/>
          <w:lang w:val="en-GB"/>
        </w:rPr>
        <w:t xml:space="preserve">, </w:t>
      </w:r>
      <w:r w:rsidR="00560736" w:rsidRPr="00C55DA9">
        <w:rPr>
          <w:rFonts w:ascii="Arial" w:eastAsia="Calibri" w:hAnsi="Arial" w:cs="Arial"/>
          <w:sz w:val="17"/>
          <w:szCs w:val="17"/>
          <w:lang w:val="en-GB"/>
        </w:rPr>
        <w:t xml:space="preserve">Government </w:t>
      </w:r>
      <w:r w:rsidR="009952B7" w:rsidRPr="00C55DA9">
        <w:rPr>
          <w:rFonts w:ascii="Arial" w:eastAsia="Calibri" w:hAnsi="Arial" w:cs="Arial"/>
          <w:sz w:val="17"/>
          <w:szCs w:val="17"/>
          <w:lang w:val="en-GB"/>
        </w:rPr>
        <w:t xml:space="preserve">of India, </w:t>
      </w:r>
      <w:r w:rsidR="009952B7" w:rsidRPr="00A03932">
        <w:rPr>
          <w:rFonts w:ascii="Arial" w:eastAsia="Calibri" w:hAnsi="Arial" w:cs="Arial"/>
          <w:i/>
          <w:sz w:val="17"/>
          <w:szCs w:val="17"/>
          <w:lang w:val="en-GB"/>
        </w:rPr>
        <w:t xml:space="preserve">Annual Report </w:t>
      </w:r>
      <w:r w:rsidR="00554A36">
        <w:rPr>
          <w:rFonts w:ascii="Arial" w:eastAsia="Calibri" w:hAnsi="Arial" w:cs="Arial"/>
          <w:i/>
          <w:sz w:val="17"/>
          <w:szCs w:val="17"/>
          <w:lang w:val="en-GB"/>
        </w:rPr>
        <w:t>20</w:t>
      </w:r>
      <w:r w:rsidR="009952B7" w:rsidRPr="00A03932">
        <w:rPr>
          <w:rFonts w:ascii="Arial" w:eastAsia="Calibri" w:hAnsi="Arial" w:cs="Arial"/>
          <w:i/>
          <w:sz w:val="17"/>
          <w:szCs w:val="17"/>
          <w:lang w:val="en-GB"/>
        </w:rPr>
        <w:t>14</w:t>
      </w:r>
      <w:r w:rsidR="001C2DA7" w:rsidRPr="00A03932">
        <w:rPr>
          <w:rFonts w:ascii="Arial" w:eastAsia="Calibri" w:hAnsi="Arial" w:cs="Arial"/>
          <w:i/>
          <w:sz w:val="17"/>
          <w:szCs w:val="17"/>
          <w:lang w:val="en-GB"/>
        </w:rPr>
        <w:t>–</w:t>
      </w:r>
      <w:r w:rsidR="00554A36">
        <w:rPr>
          <w:rFonts w:ascii="Arial" w:eastAsia="Calibri" w:hAnsi="Arial" w:cs="Arial"/>
          <w:i/>
          <w:sz w:val="17"/>
          <w:szCs w:val="17"/>
          <w:lang w:val="en-GB"/>
        </w:rPr>
        <w:t>20</w:t>
      </w:r>
      <w:r w:rsidR="009952B7" w:rsidRPr="00A03932">
        <w:rPr>
          <w:rFonts w:ascii="Arial" w:eastAsia="Calibri" w:hAnsi="Arial" w:cs="Arial"/>
          <w:i/>
          <w:sz w:val="17"/>
          <w:szCs w:val="17"/>
          <w:lang w:val="en-GB"/>
        </w:rPr>
        <w:t>15,</w:t>
      </w:r>
      <w:r w:rsidR="001C2DA7">
        <w:rPr>
          <w:rFonts w:ascii="Arial" w:eastAsia="Calibri" w:hAnsi="Arial" w:cs="Arial"/>
          <w:sz w:val="17"/>
          <w:szCs w:val="17"/>
          <w:lang w:val="en-GB"/>
        </w:rPr>
        <w:t xml:space="preserve"> </w:t>
      </w:r>
      <w:r w:rsidR="005247EE">
        <w:rPr>
          <w:rFonts w:ascii="Arial" w:eastAsia="Calibri" w:hAnsi="Arial" w:cs="Arial"/>
          <w:sz w:val="17"/>
          <w:szCs w:val="17"/>
          <w:lang w:val="en-GB"/>
        </w:rPr>
        <w:t>July 2015, accessed December 5, 2017, </w:t>
      </w:r>
      <w:r w:rsidR="009952B7" w:rsidRPr="00C55DA9">
        <w:rPr>
          <w:rFonts w:ascii="Arial" w:eastAsia="Calibri" w:hAnsi="Arial" w:cs="Arial"/>
          <w:sz w:val="17"/>
          <w:szCs w:val="17"/>
          <w:lang w:val="en-GB"/>
        </w:rPr>
        <w:t xml:space="preserve">http://steel.gov.in/sites/default/files/Annual%20Report%20%28English%29%282014-2015%29.pdf; Ministry of Steel Government of India, </w:t>
      </w:r>
      <w:r w:rsidR="009952B7" w:rsidRPr="00A03932">
        <w:rPr>
          <w:rFonts w:ascii="Arial" w:eastAsia="Calibri" w:hAnsi="Arial" w:cs="Arial"/>
          <w:i/>
          <w:sz w:val="17"/>
          <w:szCs w:val="17"/>
          <w:lang w:val="en-GB"/>
        </w:rPr>
        <w:t xml:space="preserve">Annual Report </w:t>
      </w:r>
      <w:r w:rsidR="00554A36">
        <w:rPr>
          <w:rFonts w:ascii="Arial" w:eastAsia="Calibri" w:hAnsi="Arial" w:cs="Arial"/>
          <w:i/>
          <w:sz w:val="17"/>
          <w:szCs w:val="17"/>
          <w:lang w:val="en-GB"/>
        </w:rPr>
        <w:t>20</w:t>
      </w:r>
      <w:r w:rsidR="009952B7" w:rsidRPr="00A03932">
        <w:rPr>
          <w:rFonts w:ascii="Arial" w:eastAsia="Calibri" w:hAnsi="Arial" w:cs="Arial"/>
          <w:i/>
          <w:sz w:val="17"/>
          <w:szCs w:val="17"/>
          <w:lang w:val="en-GB"/>
        </w:rPr>
        <w:t>15</w:t>
      </w:r>
      <w:r w:rsidR="001C2DA7" w:rsidRPr="00A03932">
        <w:rPr>
          <w:rFonts w:ascii="Arial" w:eastAsia="Calibri" w:hAnsi="Arial" w:cs="Arial"/>
          <w:i/>
          <w:sz w:val="17"/>
          <w:szCs w:val="17"/>
          <w:lang w:val="en-GB"/>
        </w:rPr>
        <w:t>–</w:t>
      </w:r>
      <w:r w:rsidR="00554A36">
        <w:rPr>
          <w:rFonts w:ascii="Arial" w:eastAsia="Calibri" w:hAnsi="Arial" w:cs="Arial"/>
          <w:i/>
          <w:sz w:val="17"/>
          <w:szCs w:val="17"/>
          <w:lang w:val="en-GB"/>
        </w:rPr>
        <w:t>20</w:t>
      </w:r>
      <w:r w:rsidR="009952B7" w:rsidRPr="00A03932">
        <w:rPr>
          <w:rFonts w:ascii="Arial" w:eastAsia="Calibri" w:hAnsi="Arial" w:cs="Arial"/>
          <w:i/>
          <w:sz w:val="17"/>
          <w:szCs w:val="17"/>
          <w:lang w:val="en-GB"/>
        </w:rPr>
        <w:t>16,</w:t>
      </w:r>
      <w:r w:rsidR="001C2DA7">
        <w:rPr>
          <w:rFonts w:ascii="Arial" w:eastAsia="Calibri" w:hAnsi="Arial" w:cs="Arial"/>
          <w:sz w:val="17"/>
          <w:szCs w:val="17"/>
          <w:lang w:val="en-GB"/>
        </w:rPr>
        <w:t xml:space="preserve"> </w:t>
      </w:r>
      <w:r w:rsidR="009952B7" w:rsidRPr="00C55DA9">
        <w:rPr>
          <w:rFonts w:ascii="Arial" w:eastAsia="Calibri" w:hAnsi="Arial" w:cs="Arial"/>
          <w:sz w:val="17"/>
          <w:szCs w:val="17"/>
          <w:lang w:val="en-GB"/>
        </w:rPr>
        <w:t>July 2016, accessed December 5, 2017, http://steel.gov.in/sites/default/files/Annual%20Report%20%28English%29.pdf</w:t>
      </w:r>
      <w:r w:rsidR="005247C8">
        <w:rPr>
          <w:rFonts w:ascii="Arial" w:eastAsia="Calibri" w:hAnsi="Arial" w:cs="Arial"/>
          <w:sz w:val="17"/>
          <w:szCs w:val="17"/>
          <w:lang w:val="en-GB"/>
        </w:rPr>
        <w:t>.</w:t>
      </w:r>
    </w:p>
    <w:p w14:paraId="06AFFCE2" w14:textId="77777777" w:rsidR="00583ADB" w:rsidRPr="00640417" w:rsidRDefault="00583ADB" w:rsidP="00583ADB">
      <w:pPr>
        <w:pStyle w:val="BodyTextMain"/>
        <w:rPr>
          <w:rFonts w:eastAsia="Calibri"/>
          <w:sz w:val="20"/>
          <w:szCs w:val="20"/>
          <w:lang w:val="en-GB"/>
        </w:rPr>
      </w:pPr>
    </w:p>
    <w:p w14:paraId="2885249F" w14:textId="77777777" w:rsidR="00583ADB" w:rsidRPr="00640417" w:rsidRDefault="00583ADB" w:rsidP="00583ADB">
      <w:pPr>
        <w:pStyle w:val="BodyTextMain"/>
        <w:rPr>
          <w:rFonts w:eastAsia="Calibri"/>
          <w:sz w:val="20"/>
          <w:szCs w:val="20"/>
          <w:lang w:val="en-GB"/>
        </w:rPr>
      </w:pPr>
    </w:p>
    <w:p w14:paraId="14D8B3E7" w14:textId="77777777" w:rsidR="00E768D4" w:rsidRDefault="00E768D4">
      <w:pPr>
        <w:spacing w:after="200" w:line="276" w:lineRule="auto"/>
        <w:rPr>
          <w:rFonts w:ascii="Arial" w:eastAsia="Calibri" w:hAnsi="Arial" w:cs="Arial"/>
          <w:b/>
          <w:caps/>
          <w:lang w:val="en-GB"/>
        </w:rPr>
      </w:pPr>
      <w:r>
        <w:rPr>
          <w:rFonts w:eastAsia="Calibri"/>
          <w:lang w:val="en-GB"/>
        </w:rPr>
        <w:br w:type="page"/>
      </w:r>
    </w:p>
    <w:p w14:paraId="16DABC49" w14:textId="1FA1E7EA" w:rsidR="004E5586" w:rsidRPr="00640417" w:rsidRDefault="0071618E" w:rsidP="0071618E">
      <w:pPr>
        <w:pStyle w:val="ExhibitHeading"/>
        <w:keepNext/>
        <w:rPr>
          <w:rFonts w:eastAsia="Calibri"/>
          <w:lang w:val="en-GB"/>
        </w:rPr>
      </w:pPr>
      <w:r w:rsidRPr="00640417">
        <w:rPr>
          <w:rFonts w:eastAsia="Calibri"/>
          <w:lang w:val="en-GB"/>
        </w:rPr>
        <w:lastRenderedPageBreak/>
        <w:t>Exhibit 9</w:t>
      </w:r>
      <w:r w:rsidR="00583ADB" w:rsidRPr="00640417">
        <w:rPr>
          <w:rFonts w:eastAsia="Calibri"/>
          <w:lang w:val="en-GB"/>
        </w:rPr>
        <w:t xml:space="preserve">: </w:t>
      </w:r>
      <w:r w:rsidR="004E5586" w:rsidRPr="00640417">
        <w:rPr>
          <w:rFonts w:eastAsia="Calibri"/>
          <w:lang w:val="en-GB"/>
        </w:rPr>
        <w:t xml:space="preserve">TOP </w:t>
      </w:r>
      <w:r w:rsidR="00E768D4">
        <w:rPr>
          <w:rFonts w:eastAsia="Calibri"/>
          <w:lang w:val="en-GB"/>
        </w:rPr>
        <w:t>four</w:t>
      </w:r>
      <w:r w:rsidR="004E5586" w:rsidRPr="00640417">
        <w:rPr>
          <w:rFonts w:eastAsia="Calibri"/>
          <w:lang w:val="en-GB"/>
        </w:rPr>
        <w:t xml:space="preserve"> STEEL PRODUCER</w:t>
      </w:r>
      <w:r w:rsidR="00E768D4">
        <w:rPr>
          <w:rFonts w:eastAsia="Calibri"/>
          <w:lang w:val="en-GB"/>
        </w:rPr>
        <w:t>s</w:t>
      </w:r>
      <w:r w:rsidR="004E5586" w:rsidRPr="00640417">
        <w:rPr>
          <w:rFonts w:eastAsia="Calibri"/>
          <w:lang w:val="en-GB"/>
        </w:rPr>
        <w:t xml:space="preserve"> IN</w:t>
      </w:r>
      <w:r w:rsidR="001101F1">
        <w:rPr>
          <w:rFonts w:eastAsia="Calibri"/>
          <w:lang w:val="en-GB"/>
        </w:rPr>
        <w:t xml:space="preserve"> the</w:t>
      </w:r>
      <w:r w:rsidR="004E5586" w:rsidRPr="00640417">
        <w:rPr>
          <w:rFonts w:eastAsia="Calibri"/>
          <w:lang w:val="en-GB"/>
        </w:rPr>
        <w:t xml:space="preserve"> WORLD </w:t>
      </w:r>
    </w:p>
    <w:p w14:paraId="6075EBCC" w14:textId="77777777" w:rsidR="00583ADB" w:rsidRPr="00640417" w:rsidRDefault="00583ADB" w:rsidP="0071618E">
      <w:pPr>
        <w:pStyle w:val="BodyTextMain"/>
        <w:keepNext/>
        <w:rPr>
          <w:rFonts w:eastAsia="Calibri"/>
          <w:sz w:val="20"/>
          <w:szCs w:val="20"/>
          <w:lang w:val="en-GB"/>
        </w:rPr>
      </w:pPr>
    </w:p>
    <w:tbl>
      <w:tblPr>
        <w:tblW w:w="9020" w:type="dxa"/>
        <w:jc w:val="center"/>
        <w:tblLayout w:type="fixed"/>
        <w:tblLook w:val="04A0" w:firstRow="1" w:lastRow="0" w:firstColumn="1" w:lastColumn="0" w:noHBand="0" w:noVBand="1"/>
      </w:tblPr>
      <w:tblGrid>
        <w:gridCol w:w="3330"/>
        <w:gridCol w:w="900"/>
        <w:gridCol w:w="894"/>
        <w:gridCol w:w="974"/>
        <w:gridCol w:w="974"/>
        <w:gridCol w:w="974"/>
        <w:gridCol w:w="974"/>
      </w:tblGrid>
      <w:tr w:rsidR="004E5586" w:rsidRPr="00640417" w14:paraId="170A971F" w14:textId="77777777" w:rsidTr="00FB58DA">
        <w:trPr>
          <w:trHeight w:val="366"/>
          <w:jc w:val="center"/>
        </w:trPr>
        <w:tc>
          <w:tcPr>
            <w:tcW w:w="3330" w:type="dxa"/>
            <w:tcBorders>
              <w:top w:val="single" w:sz="4" w:space="0" w:color="auto"/>
              <w:left w:val="single" w:sz="4" w:space="0" w:color="auto"/>
              <w:bottom w:val="single" w:sz="4" w:space="0" w:color="auto"/>
              <w:right w:val="single" w:sz="4" w:space="0" w:color="auto"/>
            </w:tcBorders>
            <w:shd w:val="clear" w:color="auto" w:fill="auto"/>
            <w:vAlign w:val="bottom"/>
          </w:tcPr>
          <w:p w14:paraId="37097839" w14:textId="77777777" w:rsidR="00E768D4" w:rsidRDefault="004E5586" w:rsidP="00A03932">
            <w:pPr>
              <w:pStyle w:val="ExhibitText"/>
              <w:keepNext/>
              <w:spacing w:before="40" w:after="40"/>
              <w:jc w:val="center"/>
              <w:rPr>
                <w:b/>
                <w:lang w:val="en-GB"/>
              </w:rPr>
            </w:pPr>
            <w:r w:rsidRPr="00640417">
              <w:rPr>
                <w:b/>
                <w:lang w:val="en-GB"/>
              </w:rPr>
              <w:t>Crude Steel Production</w:t>
            </w:r>
            <w:r w:rsidR="00E768D4">
              <w:rPr>
                <w:b/>
                <w:lang w:val="en-GB"/>
              </w:rPr>
              <w:t xml:space="preserve"> </w:t>
            </w:r>
          </w:p>
          <w:p w14:paraId="26E3E28D" w14:textId="214AB8DA" w:rsidR="004E5586" w:rsidRPr="00640417" w:rsidRDefault="004E5586" w:rsidP="00A03932">
            <w:pPr>
              <w:pStyle w:val="ExhibitText"/>
              <w:keepNext/>
              <w:spacing w:before="40" w:after="40"/>
              <w:jc w:val="center"/>
              <w:rPr>
                <w:b/>
                <w:lang w:val="en-GB"/>
              </w:rPr>
            </w:pPr>
            <w:r w:rsidRPr="00640417">
              <w:rPr>
                <w:b/>
                <w:lang w:val="en-GB"/>
              </w:rPr>
              <w:t xml:space="preserve">(in </w:t>
            </w:r>
            <w:r w:rsidR="00B10F4F">
              <w:rPr>
                <w:b/>
                <w:lang w:val="en-GB"/>
              </w:rPr>
              <w:t>million t</w:t>
            </w:r>
            <w:r w:rsidRPr="00640417">
              <w:rPr>
                <w:b/>
                <w:lang w:val="en-GB"/>
              </w:rPr>
              <w:t>onnes)</w:t>
            </w:r>
          </w:p>
        </w:tc>
        <w:tc>
          <w:tcPr>
            <w:tcW w:w="900" w:type="dxa"/>
            <w:tcBorders>
              <w:top w:val="single" w:sz="4" w:space="0" w:color="auto"/>
              <w:left w:val="nil"/>
              <w:bottom w:val="single" w:sz="4" w:space="0" w:color="auto"/>
              <w:right w:val="single" w:sz="4" w:space="0" w:color="auto"/>
            </w:tcBorders>
            <w:shd w:val="clear" w:color="auto" w:fill="auto"/>
            <w:vAlign w:val="bottom"/>
          </w:tcPr>
          <w:p w14:paraId="0F771537" w14:textId="77777777" w:rsidR="004E5586" w:rsidRPr="00640417" w:rsidRDefault="004E5586" w:rsidP="0071618E">
            <w:pPr>
              <w:pStyle w:val="ExhibitText"/>
              <w:keepNext/>
              <w:jc w:val="center"/>
              <w:rPr>
                <w:b/>
                <w:bCs/>
                <w:lang w:val="en-GB"/>
              </w:rPr>
            </w:pPr>
            <w:r w:rsidRPr="00640417">
              <w:rPr>
                <w:b/>
                <w:bCs/>
                <w:lang w:val="en-GB"/>
              </w:rPr>
              <w:t>2010</w:t>
            </w:r>
          </w:p>
        </w:tc>
        <w:tc>
          <w:tcPr>
            <w:tcW w:w="894" w:type="dxa"/>
            <w:tcBorders>
              <w:top w:val="single" w:sz="4" w:space="0" w:color="auto"/>
              <w:left w:val="nil"/>
              <w:bottom w:val="single" w:sz="4" w:space="0" w:color="auto"/>
              <w:right w:val="single" w:sz="4" w:space="0" w:color="auto"/>
            </w:tcBorders>
            <w:shd w:val="clear" w:color="auto" w:fill="auto"/>
            <w:vAlign w:val="bottom"/>
          </w:tcPr>
          <w:p w14:paraId="66759839" w14:textId="77777777" w:rsidR="004E5586" w:rsidRPr="00640417" w:rsidRDefault="004E5586" w:rsidP="0071618E">
            <w:pPr>
              <w:pStyle w:val="ExhibitText"/>
              <w:keepNext/>
              <w:jc w:val="center"/>
              <w:rPr>
                <w:b/>
                <w:bCs/>
                <w:lang w:val="en-GB"/>
              </w:rPr>
            </w:pPr>
            <w:r w:rsidRPr="00640417">
              <w:rPr>
                <w:b/>
                <w:bCs/>
                <w:lang w:val="en-GB"/>
              </w:rPr>
              <w:t>2011</w:t>
            </w:r>
          </w:p>
        </w:tc>
        <w:tc>
          <w:tcPr>
            <w:tcW w:w="974" w:type="dxa"/>
            <w:tcBorders>
              <w:top w:val="single" w:sz="4" w:space="0" w:color="auto"/>
              <w:left w:val="nil"/>
              <w:bottom w:val="single" w:sz="4" w:space="0" w:color="auto"/>
              <w:right w:val="single" w:sz="4" w:space="0" w:color="auto"/>
            </w:tcBorders>
            <w:shd w:val="clear" w:color="auto" w:fill="auto"/>
            <w:vAlign w:val="bottom"/>
          </w:tcPr>
          <w:p w14:paraId="485DBA38" w14:textId="77777777" w:rsidR="004E5586" w:rsidRPr="00640417" w:rsidRDefault="004E5586" w:rsidP="0071618E">
            <w:pPr>
              <w:pStyle w:val="ExhibitText"/>
              <w:keepNext/>
              <w:jc w:val="center"/>
              <w:rPr>
                <w:b/>
                <w:bCs/>
                <w:lang w:val="en-GB"/>
              </w:rPr>
            </w:pPr>
            <w:r w:rsidRPr="00640417">
              <w:rPr>
                <w:b/>
                <w:bCs/>
                <w:lang w:val="en-GB"/>
              </w:rPr>
              <w:t>2012</w:t>
            </w:r>
          </w:p>
        </w:tc>
        <w:tc>
          <w:tcPr>
            <w:tcW w:w="974" w:type="dxa"/>
            <w:tcBorders>
              <w:top w:val="single" w:sz="4" w:space="0" w:color="auto"/>
              <w:left w:val="nil"/>
              <w:bottom w:val="single" w:sz="4" w:space="0" w:color="auto"/>
              <w:right w:val="single" w:sz="4" w:space="0" w:color="auto"/>
            </w:tcBorders>
            <w:shd w:val="clear" w:color="auto" w:fill="auto"/>
            <w:vAlign w:val="bottom"/>
          </w:tcPr>
          <w:p w14:paraId="4EBDC551" w14:textId="77777777" w:rsidR="004E5586" w:rsidRPr="00640417" w:rsidRDefault="004E5586" w:rsidP="0071618E">
            <w:pPr>
              <w:pStyle w:val="ExhibitText"/>
              <w:keepNext/>
              <w:jc w:val="center"/>
              <w:rPr>
                <w:b/>
                <w:bCs/>
                <w:lang w:val="en-GB"/>
              </w:rPr>
            </w:pPr>
            <w:r w:rsidRPr="00640417">
              <w:rPr>
                <w:b/>
                <w:bCs/>
                <w:lang w:val="en-GB"/>
              </w:rPr>
              <w:t>2013</w:t>
            </w:r>
          </w:p>
        </w:tc>
        <w:tc>
          <w:tcPr>
            <w:tcW w:w="974" w:type="dxa"/>
            <w:tcBorders>
              <w:top w:val="single" w:sz="4" w:space="0" w:color="auto"/>
              <w:left w:val="nil"/>
              <w:bottom w:val="single" w:sz="4" w:space="0" w:color="auto"/>
              <w:right w:val="single" w:sz="4" w:space="0" w:color="auto"/>
            </w:tcBorders>
            <w:shd w:val="clear" w:color="auto" w:fill="auto"/>
            <w:vAlign w:val="bottom"/>
          </w:tcPr>
          <w:p w14:paraId="61479F7F" w14:textId="77777777" w:rsidR="004E5586" w:rsidRPr="00640417" w:rsidRDefault="004E5586" w:rsidP="0071618E">
            <w:pPr>
              <w:pStyle w:val="ExhibitText"/>
              <w:keepNext/>
              <w:jc w:val="center"/>
              <w:rPr>
                <w:b/>
                <w:bCs/>
                <w:lang w:val="en-GB"/>
              </w:rPr>
            </w:pPr>
            <w:r w:rsidRPr="00640417">
              <w:rPr>
                <w:b/>
                <w:bCs/>
                <w:lang w:val="en-GB"/>
              </w:rPr>
              <w:t>2014</w:t>
            </w:r>
          </w:p>
        </w:tc>
        <w:tc>
          <w:tcPr>
            <w:tcW w:w="974" w:type="dxa"/>
            <w:tcBorders>
              <w:top w:val="single" w:sz="4" w:space="0" w:color="auto"/>
              <w:left w:val="nil"/>
              <w:bottom w:val="single" w:sz="4" w:space="0" w:color="auto"/>
              <w:right w:val="single" w:sz="4" w:space="0" w:color="auto"/>
            </w:tcBorders>
            <w:shd w:val="clear" w:color="auto" w:fill="auto"/>
            <w:vAlign w:val="bottom"/>
          </w:tcPr>
          <w:p w14:paraId="13BEBAA2" w14:textId="77777777" w:rsidR="004E5586" w:rsidRPr="00640417" w:rsidRDefault="004E5586" w:rsidP="0071618E">
            <w:pPr>
              <w:pStyle w:val="ExhibitText"/>
              <w:keepNext/>
              <w:jc w:val="center"/>
              <w:rPr>
                <w:b/>
                <w:bCs/>
                <w:lang w:val="en-GB"/>
              </w:rPr>
            </w:pPr>
            <w:r w:rsidRPr="00640417">
              <w:rPr>
                <w:b/>
                <w:bCs/>
                <w:lang w:val="en-GB"/>
              </w:rPr>
              <w:t>2015</w:t>
            </w:r>
          </w:p>
        </w:tc>
      </w:tr>
      <w:tr w:rsidR="004E5586" w:rsidRPr="00640417" w14:paraId="6D1BE23B" w14:textId="77777777" w:rsidTr="00FB58DA">
        <w:trPr>
          <w:trHeight w:val="349"/>
          <w:jc w:val="center"/>
        </w:trPr>
        <w:tc>
          <w:tcPr>
            <w:tcW w:w="3330" w:type="dxa"/>
            <w:tcBorders>
              <w:top w:val="nil"/>
              <w:left w:val="single" w:sz="4" w:space="0" w:color="auto"/>
              <w:bottom w:val="single" w:sz="4" w:space="0" w:color="auto"/>
              <w:right w:val="single" w:sz="4" w:space="0" w:color="auto"/>
            </w:tcBorders>
            <w:shd w:val="clear" w:color="auto" w:fill="auto"/>
            <w:vAlign w:val="bottom"/>
          </w:tcPr>
          <w:p w14:paraId="0C543191" w14:textId="77777777" w:rsidR="004E5586" w:rsidRPr="00640417" w:rsidRDefault="004E5586" w:rsidP="0071618E">
            <w:pPr>
              <w:pStyle w:val="ExhibitText"/>
              <w:keepNext/>
              <w:rPr>
                <w:lang w:val="en-GB"/>
              </w:rPr>
            </w:pPr>
            <w:r w:rsidRPr="00640417">
              <w:rPr>
                <w:lang w:val="en-GB"/>
              </w:rPr>
              <w:t>China</w:t>
            </w:r>
          </w:p>
        </w:tc>
        <w:tc>
          <w:tcPr>
            <w:tcW w:w="900" w:type="dxa"/>
            <w:tcBorders>
              <w:top w:val="nil"/>
              <w:left w:val="nil"/>
              <w:bottom w:val="single" w:sz="4" w:space="0" w:color="auto"/>
              <w:right w:val="single" w:sz="4" w:space="0" w:color="auto"/>
            </w:tcBorders>
            <w:shd w:val="clear" w:color="auto" w:fill="auto"/>
            <w:vAlign w:val="bottom"/>
          </w:tcPr>
          <w:p w14:paraId="14FE4F16" w14:textId="7EEB4B91" w:rsidR="004E5586" w:rsidRPr="00640417" w:rsidRDefault="004E5586" w:rsidP="0071618E">
            <w:pPr>
              <w:pStyle w:val="ExhibitText"/>
              <w:keepNext/>
              <w:jc w:val="right"/>
              <w:rPr>
                <w:lang w:val="en-GB"/>
              </w:rPr>
            </w:pPr>
            <w:r w:rsidRPr="00640417">
              <w:rPr>
                <w:lang w:val="en-GB"/>
              </w:rPr>
              <w:t>638</w:t>
            </w:r>
            <w:r w:rsidR="009E6904">
              <w:rPr>
                <w:lang w:val="en-GB"/>
              </w:rPr>
              <w:t>.0</w:t>
            </w:r>
          </w:p>
        </w:tc>
        <w:tc>
          <w:tcPr>
            <w:tcW w:w="894" w:type="dxa"/>
            <w:tcBorders>
              <w:top w:val="nil"/>
              <w:left w:val="nil"/>
              <w:bottom w:val="single" w:sz="4" w:space="0" w:color="auto"/>
              <w:right w:val="single" w:sz="4" w:space="0" w:color="auto"/>
            </w:tcBorders>
            <w:shd w:val="clear" w:color="auto" w:fill="auto"/>
            <w:vAlign w:val="bottom"/>
          </w:tcPr>
          <w:p w14:paraId="7B2CB670" w14:textId="72370B07" w:rsidR="004E5586" w:rsidRPr="00640417" w:rsidRDefault="004E5586" w:rsidP="0071618E">
            <w:pPr>
              <w:pStyle w:val="ExhibitText"/>
              <w:keepNext/>
              <w:jc w:val="right"/>
              <w:rPr>
                <w:lang w:val="en-GB"/>
              </w:rPr>
            </w:pPr>
            <w:r w:rsidRPr="00640417">
              <w:rPr>
                <w:lang w:val="en-GB"/>
              </w:rPr>
              <w:t>701</w:t>
            </w:r>
            <w:r w:rsidR="009E6904">
              <w:rPr>
                <w:lang w:val="en-GB"/>
              </w:rPr>
              <w:t>.0</w:t>
            </w:r>
          </w:p>
        </w:tc>
        <w:tc>
          <w:tcPr>
            <w:tcW w:w="974" w:type="dxa"/>
            <w:tcBorders>
              <w:top w:val="nil"/>
              <w:left w:val="nil"/>
              <w:bottom w:val="single" w:sz="4" w:space="0" w:color="auto"/>
              <w:right w:val="single" w:sz="4" w:space="0" w:color="auto"/>
            </w:tcBorders>
            <w:shd w:val="clear" w:color="auto" w:fill="auto"/>
            <w:vAlign w:val="bottom"/>
          </w:tcPr>
          <w:p w14:paraId="7D5FD068" w14:textId="0B23078C" w:rsidR="004E5586" w:rsidRPr="00640417" w:rsidRDefault="004E5586" w:rsidP="0071618E">
            <w:pPr>
              <w:pStyle w:val="ExhibitText"/>
              <w:keepNext/>
              <w:jc w:val="right"/>
              <w:rPr>
                <w:lang w:val="en-GB"/>
              </w:rPr>
            </w:pPr>
            <w:r w:rsidRPr="00640417">
              <w:rPr>
                <w:lang w:val="en-GB"/>
              </w:rPr>
              <w:t>731</w:t>
            </w:r>
            <w:r w:rsidR="009E6904">
              <w:rPr>
                <w:lang w:val="en-GB"/>
              </w:rPr>
              <w:t>.0</w:t>
            </w:r>
          </w:p>
        </w:tc>
        <w:tc>
          <w:tcPr>
            <w:tcW w:w="974" w:type="dxa"/>
            <w:tcBorders>
              <w:top w:val="nil"/>
              <w:left w:val="nil"/>
              <w:bottom w:val="single" w:sz="4" w:space="0" w:color="auto"/>
              <w:right w:val="single" w:sz="4" w:space="0" w:color="auto"/>
            </w:tcBorders>
            <w:shd w:val="clear" w:color="auto" w:fill="auto"/>
            <w:vAlign w:val="bottom"/>
          </w:tcPr>
          <w:p w14:paraId="5FCB315F" w14:textId="4AB87FB2" w:rsidR="004E5586" w:rsidRPr="00640417" w:rsidRDefault="004E5586" w:rsidP="0071618E">
            <w:pPr>
              <w:pStyle w:val="ExhibitText"/>
              <w:keepNext/>
              <w:jc w:val="right"/>
              <w:rPr>
                <w:lang w:val="en-GB"/>
              </w:rPr>
            </w:pPr>
            <w:r w:rsidRPr="00640417">
              <w:rPr>
                <w:lang w:val="en-GB"/>
              </w:rPr>
              <w:t>822</w:t>
            </w:r>
            <w:r w:rsidR="009E6904">
              <w:rPr>
                <w:lang w:val="en-GB"/>
              </w:rPr>
              <w:t>.0</w:t>
            </w:r>
          </w:p>
        </w:tc>
        <w:tc>
          <w:tcPr>
            <w:tcW w:w="974" w:type="dxa"/>
            <w:tcBorders>
              <w:top w:val="nil"/>
              <w:left w:val="nil"/>
              <w:bottom w:val="single" w:sz="4" w:space="0" w:color="auto"/>
              <w:right w:val="single" w:sz="4" w:space="0" w:color="auto"/>
            </w:tcBorders>
            <w:shd w:val="clear" w:color="auto" w:fill="auto"/>
            <w:vAlign w:val="bottom"/>
          </w:tcPr>
          <w:p w14:paraId="1131F2A4" w14:textId="77777777" w:rsidR="004E5586" w:rsidRPr="00640417" w:rsidRDefault="004E5586" w:rsidP="0071618E">
            <w:pPr>
              <w:pStyle w:val="ExhibitText"/>
              <w:keepNext/>
              <w:jc w:val="right"/>
              <w:rPr>
                <w:lang w:val="en-GB"/>
              </w:rPr>
            </w:pPr>
            <w:r w:rsidRPr="00640417">
              <w:rPr>
                <w:lang w:val="en-GB"/>
              </w:rPr>
              <w:t>822.7</w:t>
            </w:r>
          </w:p>
        </w:tc>
        <w:tc>
          <w:tcPr>
            <w:tcW w:w="974" w:type="dxa"/>
            <w:tcBorders>
              <w:top w:val="nil"/>
              <w:left w:val="nil"/>
              <w:bottom w:val="single" w:sz="4" w:space="0" w:color="auto"/>
              <w:right w:val="single" w:sz="4" w:space="0" w:color="auto"/>
            </w:tcBorders>
            <w:shd w:val="clear" w:color="auto" w:fill="auto"/>
            <w:vAlign w:val="bottom"/>
          </w:tcPr>
          <w:p w14:paraId="44362AFC" w14:textId="77777777" w:rsidR="004E5586" w:rsidRPr="00640417" w:rsidRDefault="004E5586" w:rsidP="0071618E">
            <w:pPr>
              <w:pStyle w:val="ExhibitText"/>
              <w:keepNext/>
              <w:jc w:val="right"/>
              <w:rPr>
                <w:lang w:val="en-GB"/>
              </w:rPr>
            </w:pPr>
            <w:r w:rsidRPr="00640417">
              <w:rPr>
                <w:lang w:val="en-GB"/>
              </w:rPr>
              <w:t>803.8</w:t>
            </w:r>
          </w:p>
        </w:tc>
      </w:tr>
      <w:tr w:rsidR="004E5586" w:rsidRPr="00640417" w14:paraId="588F3635" w14:textId="77777777" w:rsidTr="00FB58DA">
        <w:trPr>
          <w:trHeight w:val="349"/>
          <w:jc w:val="center"/>
        </w:trPr>
        <w:tc>
          <w:tcPr>
            <w:tcW w:w="3330" w:type="dxa"/>
            <w:tcBorders>
              <w:top w:val="nil"/>
              <w:left w:val="single" w:sz="4" w:space="0" w:color="auto"/>
              <w:bottom w:val="single" w:sz="4" w:space="0" w:color="auto"/>
              <w:right w:val="single" w:sz="4" w:space="0" w:color="auto"/>
            </w:tcBorders>
            <w:shd w:val="clear" w:color="auto" w:fill="auto"/>
            <w:vAlign w:val="bottom"/>
          </w:tcPr>
          <w:p w14:paraId="61C2E5B8" w14:textId="77777777" w:rsidR="004E5586" w:rsidRPr="00640417" w:rsidRDefault="004E5586" w:rsidP="0071618E">
            <w:pPr>
              <w:pStyle w:val="ExhibitText"/>
              <w:keepNext/>
              <w:rPr>
                <w:lang w:val="en-GB"/>
              </w:rPr>
            </w:pPr>
            <w:r w:rsidRPr="00640417">
              <w:rPr>
                <w:lang w:val="en-GB"/>
              </w:rPr>
              <w:t>Japan</w:t>
            </w:r>
          </w:p>
        </w:tc>
        <w:tc>
          <w:tcPr>
            <w:tcW w:w="900" w:type="dxa"/>
            <w:tcBorders>
              <w:top w:val="nil"/>
              <w:left w:val="nil"/>
              <w:bottom w:val="single" w:sz="4" w:space="0" w:color="auto"/>
              <w:right w:val="single" w:sz="4" w:space="0" w:color="auto"/>
            </w:tcBorders>
            <w:shd w:val="clear" w:color="auto" w:fill="auto"/>
            <w:vAlign w:val="bottom"/>
          </w:tcPr>
          <w:p w14:paraId="0CF3C074" w14:textId="23BF0532" w:rsidR="004E5586" w:rsidRPr="00640417" w:rsidRDefault="004E5586" w:rsidP="0071618E">
            <w:pPr>
              <w:pStyle w:val="ExhibitText"/>
              <w:keepNext/>
              <w:jc w:val="right"/>
              <w:rPr>
                <w:lang w:val="en-GB"/>
              </w:rPr>
            </w:pPr>
            <w:r w:rsidRPr="00640417">
              <w:rPr>
                <w:lang w:val="en-GB"/>
              </w:rPr>
              <w:t>109</w:t>
            </w:r>
            <w:r w:rsidR="009E6904">
              <w:rPr>
                <w:lang w:val="en-GB"/>
              </w:rPr>
              <w:t>.0</w:t>
            </w:r>
          </w:p>
        </w:tc>
        <w:tc>
          <w:tcPr>
            <w:tcW w:w="894" w:type="dxa"/>
            <w:tcBorders>
              <w:top w:val="nil"/>
              <w:left w:val="nil"/>
              <w:bottom w:val="single" w:sz="4" w:space="0" w:color="auto"/>
              <w:right w:val="single" w:sz="4" w:space="0" w:color="auto"/>
            </w:tcBorders>
            <w:shd w:val="clear" w:color="auto" w:fill="auto"/>
            <w:vAlign w:val="bottom"/>
          </w:tcPr>
          <w:p w14:paraId="7E2AD83C" w14:textId="44AF10C4" w:rsidR="004E5586" w:rsidRPr="00640417" w:rsidRDefault="004E5586" w:rsidP="0071618E">
            <w:pPr>
              <w:pStyle w:val="ExhibitText"/>
              <w:keepNext/>
              <w:jc w:val="right"/>
              <w:rPr>
                <w:lang w:val="en-GB"/>
              </w:rPr>
            </w:pPr>
            <w:r w:rsidRPr="00640417">
              <w:rPr>
                <w:lang w:val="en-GB"/>
              </w:rPr>
              <w:t>107</w:t>
            </w:r>
            <w:r w:rsidR="009E6904">
              <w:rPr>
                <w:lang w:val="en-GB"/>
              </w:rPr>
              <w:t>.0</w:t>
            </w:r>
          </w:p>
        </w:tc>
        <w:tc>
          <w:tcPr>
            <w:tcW w:w="974" w:type="dxa"/>
            <w:tcBorders>
              <w:top w:val="nil"/>
              <w:left w:val="nil"/>
              <w:bottom w:val="single" w:sz="4" w:space="0" w:color="auto"/>
              <w:right w:val="single" w:sz="4" w:space="0" w:color="auto"/>
            </w:tcBorders>
            <w:shd w:val="clear" w:color="auto" w:fill="auto"/>
            <w:vAlign w:val="bottom"/>
          </w:tcPr>
          <w:p w14:paraId="4CB67B8B" w14:textId="59E53F41" w:rsidR="004E5586" w:rsidRPr="00640417" w:rsidRDefault="004E5586" w:rsidP="0071618E">
            <w:pPr>
              <w:pStyle w:val="ExhibitText"/>
              <w:keepNext/>
              <w:jc w:val="right"/>
              <w:rPr>
                <w:lang w:val="en-GB"/>
              </w:rPr>
            </w:pPr>
            <w:r w:rsidRPr="00640417">
              <w:rPr>
                <w:lang w:val="en-GB"/>
              </w:rPr>
              <w:t>110</w:t>
            </w:r>
            <w:r w:rsidR="009E6904">
              <w:rPr>
                <w:lang w:val="en-GB"/>
              </w:rPr>
              <w:t>.0</w:t>
            </w:r>
          </w:p>
        </w:tc>
        <w:tc>
          <w:tcPr>
            <w:tcW w:w="974" w:type="dxa"/>
            <w:tcBorders>
              <w:top w:val="nil"/>
              <w:left w:val="nil"/>
              <w:bottom w:val="single" w:sz="4" w:space="0" w:color="auto"/>
              <w:right w:val="single" w:sz="4" w:space="0" w:color="auto"/>
            </w:tcBorders>
            <w:shd w:val="clear" w:color="auto" w:fill="auto"/>
            <w:vAlign w:val="bottom"/>
          </w:tcPr>
          <w:p w14:paraId="0FAE662E" w14:textId="77777777" w:rsidR="004E5586" w:rsidRPr="00640417" w:rsidRDefault="004E5586" w:rsidP="0071618E">
            <w:pPr>
              <w:pStyle w:val="ExhibitText"/>
              <w:keepNext/>
              <w:jc w:val="right"/>
              <w:rPr>
                <w:lang w:val="en-GB"/>
              </w:rPr>
            </w:pPr>
            <w:r w:rsidRPr="00640417">
              <w:rPr>
                <w:lang w:val="en-GB"/>
              </w:rPr>
              <w:t>110.6</w:t>
            </w:r>
          </w:p>
        </w:tc>
        <w:tc>
          <w:tcPr>
            <w:tcW w:w="974" w:type="dxa"/>
            <w:tcBorders>
              <w:top w:val="nil"/>
              <w:left w:val="nil"/>
              <w:bottom w:val="single" w:sz="4" w:space="0" w:color="auto"/>
              <w:right w:val="single" w:sz="4" w:space="0" w:color="auto"/>
            </w:tcBorders>
            <w:shd w:val="clear" w:color="auto" w:fill="auto"/>
            <w:vAlign w:val="bottom"/>
          </w:tcPr>
          <w:p w14:paraId="3092AEA8" w14:textId="77777777" w:rsidR="004E5586" w:rsidRPr="00640417" w:rsidRDefault="004E5586" w:rsidP="0071618E">
            <w:pPr>
              <w:pStyle w:val="ExhibitText"/>
              <w:keepNext/>
              <w:jc w:val="right"/>
              <w:rPr>
                <w:lang w:val="en-GB"/>
              </w:rPr>
            </w:pPr>
            <w:r w:rsidRPr="00640417">
              <w:rPr>
                <w:lang w:val="en-GB"/>
              </w:rPr>
              <w:t>110.7</w:t>
            </w:r>
          </w:p>
        </w:tc>
        <w:tc>
          <w:tcPr>
            <w:tcW w:w="974" w:type="dxa"/>
            <w:tcBorders>
              <w:top w:val="nil"/>
              <w:left w:val="nil"/>
              <w:bottom w:val="single" w:sz="4" w:space="0" w:color="auto"/>
              <w:right w:val="single" w:sz="4" w:space="0" w:color="auto"/>
            </w:tcBorders>
            <w:shd w:val="clear" w:color="auto" w:fill="auto"/>
            <w:vAlign w:val="bottom"/>
          </w:tcPr>
          <w:p w14:paraId="06432280" w14:textId="77777777" w:rsidR="004E5586" w:rsidRPr="00640417" w:rsidRDefault="004E5586" w:rsidP="0071618E">
            <w:pPr>
              <w:pStyle w:val="ExhibitText"/>
              <w:keepNext/>
              <w:jc w:val="right"/>
              <w:rPr>
                <w:lang w:val="en-GB"/>
              </w:rPr>
            </w:pPr>
            <w:r w:rsidRPr="00640417">
              <w:rPr>
                <w:lang w:val="en-GB"/>
              </w:rPr>
              <w:t>105.2</w:t>
            </w:r>
          </w:p>
        </w:tc>
      </w:tr>
      <w:tr w:rsidR="004E5586" w:rsidRPr="00640417" w14:paraId="34F9C39C" w14:textId="77777777" w:rsidTr="00FB58DA">
        <w:trPr>
          <w:trHeight w:val="349"/>
          <w:jc w:val="center"/>
        </w:trPr>
        <w:tc>
          <w:tcPr>
            <w:tcW w:w="3330" w:type="dxa"/>
            <w:tcBorders>
              <w:top w:val="nil"/>
              <w:left w:val="single" w:sz="4" w:space="0" w:color="auto"/>
              <w:bottom w:val="single" w:sz="4" w:space="0" w:color="auto"/>
              <w:right w:val="single" w:sz="4" w:space="0" w:color="auto"/>
            </w:tcBorders>
            <w:shd w:val="clear" w:color="auto" w:fill="auto"/>
            <w:vAlign w:val="bottom"/>
          </w:tcPr>
          <w:p w14:paraId="091F6174" w14:textId="77777777" w:rsidR="004E5586" w:rsidRPr="00640417" w:rsidRDefault="004E5586" w:rsidP="0071618E">
            <w:pPr>
              <w:pStyle w:val="ExhibitText"/>
              <w:keepNext/>
              <w:rPr>
                <w:lang w:val="en-GB"/>
              </w:rPr>
            </w:pPr>
            <w:r w:rsidRPr="00640417">
              <w:rPr>
                <w:lang w:val="en-GB"/>
              </w:rPr>
              <w:t>India</w:t>
            </w:r>
          </w:p>
        </w:tc>
        <w:tc>
          <w:tcPr>
            <w:tcW w:w="900" w:type="dxa"/>
            <w:tcBorders>
              <w:top w:val="nil"/>
              <w:left w:val="nil"/>
              <w:bottom w:val="single" w:sz="4" w:space="0" w:color="auto"/>
              <w:right w:val="single" w:sz="4" w:space="0" w:color="auto"/>
            </w:tcBorders>
            <w:shd w:val="clear" w:color="auto" w:fill="auto"/>
            <w:vAlign w:val="bottom"/>
          </w:tcPr>
          <w:p w14:paraId="13EA5C96" w14:textId="77777777" w:rsidR="004E5586" w:rsidRPr="00640417" w:rsidRDefault="004E5586" w:rsidP="0071618E">
            <w:pPr>
              <w:pStyle w:val="ExhibitText"/>
              <w:keepNext/>
              <w:jc w:val="right"/>
              <w:rPr>
                <w:lang w:val="en-GB"/>
              </w:rPr>
            </w:pPr>
            <w:r w:rsidRPr="00640417">
              <w:rPr>
                <w:lang w:val="en-GB"/>
              </w:rPr>
              <w:t>68.9</w:t>
            </w:r>
          </w:p>
        </w:tc>
        <w:tc>
          <w:tcPr>
            <w:tcW w:w="894" w:type="dxa"/>
            <w:tcBorders>
              <w:top w:val="nil"/>
              <w:left w:val="nil"/>
              <w:bottom w:val="single" w:sz="4" w:space="0" w:color="auto"/>
              <w:right w:val="single" w:sz="4" w:space="0" w:color="auto"/>
            </w:tcBorders>
            <w:shd w:val="clear" w:color="auto" w:fill="auto"/>
            <w:vAlign w:val="bottom"/>
          </w:tcPr>
          <w:p w14:paraId="20EE97DF" w14:textId="77777777" w:rsidR="004E5586" w:rsidRPr="00640417" w:rsidRDefault="004E5586" w:rsidP="0071618E">
            <w:pPr>
              <w:pStyle w:val="ExhibitText"/>
              <w:keepNext/>
              <w:jc w:val="right"/>
              <w:rPr>
                <w:lang w:val="en-GB"/>
              </w:rPr>
            </w:pPr>
            <w:r w:rsidRPr="00640417">
              <w:rPr>
                <w:lang w:val="en-GB"/>
              </w:rPr>
              <w:t>73.4</w:t>
            </w:r>
          </w:p>
        </w:tc>
        <w:tc>
          <w:tcPr>
            <w:tcW w:w="974" w:type="dxa"/>
            <w:tcBorders>
              <w:top w:val="nil"/>
              <w:left w:val="nil"/>
              <w:bottom w:val="single" w:sz="4" w:space="0" w:color="auto"/>
              <w:right w:val="single" w:sz="4" w:space="0" w:color="auto"/>
            </w:tcBorders>
            <w:shd w:val="clear" w:color="auto" w:fill="auto"/>
            <w:vAlign w:val="bottom"/>
          </w:tcPr>
          <w:p w14:paraId="7C451462" w14:textId="77777777" w:rsidR="004E5586" w:rsidRPr="00640417" w:rsidRDefault="004E5586" w:rsidP="0071618E">
            <w:pPr>
              <w:pStyle w:val="ExhibitText"/>
              <w:keepNext/>
              <w:jc w:val="right"/>
              <w:rPr>
                <w:lang w:val="en-GB"/>
              </w:rPr>
            </w:pPr>
            <w:r w:rsidRPr="00640417">
              <w:rPr>
                <w:lang w:val="en-GB"/>
              </w:rPr>
              <w:t>77.2</w:t>
            </w:r>
          </w:p>
        </w:tc>
        <w:tc>
          <w:tcPr>
            <w:tcW w:w="974" w:type="dxa"/>
            <w:tcBorders>
              <w:top w:val="nil"/>
              <w:left w:val="nil"/>
              <w:bottom w:val="single" w:sz="4" w:space="0" w:color="auto"/>
              <w:right w:val="single" w:sz="4" w:space="0" w:color="auto"/>
            </w:tcBorders>
            <w:shd w:val="clear" w:color="auto" w:fill="auto"/>
            <w:vAlign w:val="bottom"/>
          </w:tcPr>
          <w:p w14:paraId="012BF3A8" w14:textId="77777777" w:rsidR="004E5586" w:rsidRPr="00640417" w:rsidRDefault="004E5586" w:rsidP="0071618E">
            <w:pPr>
              <w:pStyle w:val="ExhibitText"/>
              <w:keepNext/>
              <w:jc w:val="right"/>
              <w:rPr>
                <w:lang w:val="en-GB"/>
              </w:rPr>
            </w:pPr>
            <w:r w:rsidRPr="00640417">
              <w:rPr>
                <w:lang w:val="en-GB"/>
              </w:rPr>
              <w:t>81.3</w:t>
            </w:r>
          </w:p>
        </w:tc>
        <w:tc>
          <w:tcPr>
            <w:tcW w:w="974" w:type="dxa"/>
            <w:tcBorders>
              <w:top w:val="nil"/>
              <w:left w:val="nil"/>
              <w:bottom w:val="single" w:sz="4" w:space="0" w:color="auto"/>
              <w:right w:val="single" w:sz="4" w:space="0" w:color="auto"/>
            </w:tcBorders>
            <w:shd w:val="clear" w:color="auto" w:fill="auto"/>
            <w:vAlign w:val="bottom"/>
          </w:tcPr>
          <w:p w14:paraId="0E2F37D8" w14:textId="77777777" w:rsidR="004E5586" w:rsidRPr="00640417" w:rsidRDefault="004E5586" w:rsidP="0071618E">
            <w:pPr>
              <w:pStyle w:val="ExhibitText"/>
              <w:keepNext/>
              <w:jc w:val="right"/>
              <w:rPr>
                <w:lang w:val="en-GB"/>
              </w:rPr>
            </w:pPr>
            <w:r w:rsidRPr="00640417">
              <w:rPr>
                <w:lang w:val="en-GB"/>
              </w:rPr>
              <w:t>86.5</w:t>
            </w:r>
          </w:p>
        </w:tc>
        <w:tc>
          <w:tcPr>
            <w:tcW w:w="974" w:type="dxa"/>
            <w:tcBorders>
              <w:top w:val="nil"/>
              <w:left w:val="nil"/>
              <w:bottom w:val="single" w:sz="4" w:space="0" w:color="auto"/>
              <w:right w:val="single" w:sz="4" w:space="0" w:color="auto"/>
            </w:tcBorders>
            <w:shd w:val="clear" w:color="auto" w:fill="auto"/>
            <w:vAlign w:val="bottom"/>
          </w:tcPr>
          <w:p w14:paraId="447E1BB5" w14:textId="77777777" w:rsidR="004E5586" w:rsidRPr="00640417" w:rsidRDefault="004E5586" w:rsidP="0071618E">
            <w:pPr>
              <w:pStyle w:val="ExhibitText"/>
              <w:keepNext/>
              <w:jc w:val="right"/>
              <w:rPr>
                <w:lang w:val="en-GB"/>
              </w:rPr>
            </w:pPr>
            <w:r w:rsidRPr="00640417">
              <w:rPr>
                <w:lang w:val="en-GB"/>
              </w:rPr>
              <w:t>89.4</w:t>
            </w:r>
          </w:p>
        </w:tc>
      </w:tr>
      <w:tr w:rsidR="004E5586" w:rsidRPr="00640417" w14:paraId="7F0693D4" w14:textId="77777777" w:rsidTr="00FB58DA">
        <w:trPr>
          <w:trHeight w:val="349"/>
          <w:jc w:val="center"/>
        </w:trPr>
        <w:tc>
          <w:tcPr>
            <w:tcW w:w="3330" w:type="dxa"/>
            <w:tcBorders>
              <w:top w:val="nil"/>
              <w:left w:val="single" w:sz="4" w:space="0" w:color="auto"/>
              <w:bottom w:val="single" w:sz="4" w:space="0" w:color="auto"/>
              <w:right w:val="single" w:sz="4" w:space="0" w:color="auto"/>
            </w:tcBorders>
            <w:shd w:val="clear" w:color="auto" w:fill="auto"/>
            <w:vAlign w:val="bottom"/>
          </w:tcPr>
          <w:p w14:paraId="6CD21987" w14:textId="77777777" w:rsidR="004E5586" w:rsidRPr="00640417" w:rsidRDefault="004E5586" w:rsidP="0071618E">
            <w:pPr>
              <w:pStyle w:val="ExhibitText"/>
              <w:keepNext/>
              <w:rPr>
                <w:lang w:val="en-GB"/>
              </w:rPr>
            </w:pPr>
            <w:r w:rsidRPr="00640417">
              <w:rPr>
                <w:lang w:val="en-GB"/>
              </w:rPr>
              <w:t>United States</w:t>
            </w:r>
          </w:p>
        </w:tc>
        <w:tc>
          <w:tcPr>
            <w:tcW w:w="900" w:type="dxa"/>
            <w:tcBorders>
              <w:top w:val="nil"/>
              <w:left w:val="nil"/>
              <w:bottom w:val="single" w:sz="4" w:space="0" w:color="auto"/>
              <w:right w:val="single" w:sz="4" w:space="0" w:color="auto"/>
            </w:tcBorders>
            <w:shd w:val="clear" w:color="auto" w:fill="auto"/>
            <w:vAlign w:val="bottom"/>
          </w:tcPr>
          <w:p w14:paraId="532A326C" w14:textId="77777777" w:rsidR="004E5586" w:rsidRPr="00640417" w:rsidRDefault="004E5586" w:rsidP="0071618E">
            <w:pPr>
              <w:pStyle w:val="ExhibitText"/>
              <w:keepNext/>
              <w:jc w:val="right"/>
              <w:rPr>
                <w:lang w:val="en-GB"/>
              </w:rPr>
            </w:pPr>
            <w:r w:rsidRPr="00640417">
              <w:rPr>
                <w:lang w:val="en-GB"/>
              </w:rPr>
              <w:t>80.4</w:t>
            </w:r>
          </w:p>
        </w:tc>
        <w:tc>
          <w:tcPr>
            <w:tcW w:w="894" w:type="dxa"/>
            <w:tcBorders>
              <w:top w:val="nil"/>
              <w:left w:val="nil"/>
              <w:bottom w:val="single" w:sz="4" w:space="0" w:color="auto"/>
              <w:right w:val="single" w:sz="4" w:space="0" w:color="auto"/>
            </w:tcBorders>
            <w:shd w:val="clear" w:color="auto" w:fill="auto"/>
            <w:vAlign w:val="bottom"/>
          </w:tcPr>
          <w:p w14:paraId="14DD461C" w14:textId="77777777" w:rsidR="004E5586" w:rsidRPr="00640417" w:rsidRDefault="004E5586" w:rsidP="0071618E">
            <w:pPr>
              <w:pStyle w:val="ExhibitText"/>
              <w:keepNext/>
              <w:jc w:val="right"/>
              <w:rPr>
                <w:lang w:val="en-GB"/>
              </w:rPr>
            </w:pPr>
            <w:r w:rsidRPr="00640417">
              <w:rPr>
                <w:lang w:val="en-GB"/>
              </w:rPr>
              <w:t>86.4</w:t>
            </w:r>
          </w:p>
        </w:tc>
        <w:tc>
          <w:tcPr>
            <w:tcW w:w="974" w:type="dxa"/>
            <w:tcBorders>
              <w:top w:val="nil"/>
              <w:left w:val="nil"/>
              <w:bottom w:val="single" w:sz="4" w:space="0" w:color="auto"/>
              <w:right w:val="single" w:sz="4" w:space="0" w:color="auto"/>
            </w:tcBorders>
            <w:shd w:val="clear" w:color="auto" w:fill="auto"/>
            <w:vAlign w:val="bottom"/>
          </w:tcPr>
          <w:p w14:paraId="07D750BB" w14:textId="77777777" w:rsidR="004E5586" w:rsidRPr="00640417" w:rsidRDefault="004E5586" w:rsidP="0071618E">
            <w:pPr>
              <w:pStyle w:val="ExhibitText"/>
              <w:keepNext/>
              <w:jc w:val="right"/>
              <w:rPr>
                <w:lang w:val="en-GB"/>
              </w:rPr>
            </w:pPr>
            <w:r w:rsidRPr="00640417">
              <w:rPr>
                <w:lang w:val="en-GB"/>
              </w:rPr>
              <w:t>88.7</w:t>
            </w:r>
          </w:p>
        </w:tc>
        <w:tc>
          <w:tcPr>
            <w:tcW w:w="974" w:type="dxa"/>
            <w:tcBorders>
              <w:top w:val="nil"/>
              <w:left w:val="nil"/>
              <w:bottom w:val="single" w:sz="4" w:space="0" w:color="auto"/>
              <w:right w:val="single" w:sz="4" w:space="0" w:color="auto"/>
            </w:tcBorders>
            <w:shd w:val="clear" w:color="auto" w:fill="auto"/>
            <w:vAlign w:val="bottom"/>
          </w:tcPr>
          <w:p w14:paraId="6A40BE05" w14:textId="77777777" w:rsidR="004E5586" w:rsidRPr="00640417" w:rsidRDefault="004E5586" w:rsidP="0071618E">
            <w:pPr>
              <w:pStyle w:val="ExhibitText"/>
              <w:keepNext/>
              <w:jc w:val="right"/>
              <w:rPr>
                <w:lang w:val="en-GB"/>
              </w:rPr>
            </w:pPr>
            <w:r w:rsidRPr="00640417">
              <w:rPr>
                <w:lang w:val="en-GB"/>
              </w:rPr>
              <w:t>86.9</w:t>
            </w:r>
          </w:p>
        </w:tc>
        <w:tc>
          <w:tcPr>
            <w:tcW w:w="974" w:type="dxa"/>
            <w:tcBorders>
              <w:top w:val="nil"/>
              <w:left w:val="nil"/>
              <w:bottom w:val="single" w:sz="4" w:space="0" w:color="auto"/>
              <w:right w:val="single" w:sz="4" w:space="0" w:color="auto"/>
            </w:tcBorders>
            <w:shd w:val="clear" w:color="auto" w:fill="auto"/>
            <w:vAlign w:val="bottom"/>
          </w:tcPr>
          <w:p w14:paraId="50C6A679" w14:textId="77777777" w:rsidR="004E5586" w:rsidRPr="00640417" w:rsidRDefault="004E5586" w:rsidP="0071618E">
            <w:pPr>
              <w:pStyle w:val="ExhibitText"/>
              <w:keepNext/>
              <w:jc w:val="right"/>
              <w:rPr>
                <w:lang w:val="en-GB"/>
              </w:rPr>
            </w:pPr>
            <w:r w:rsidRPr="00640417">
              <w:rPr>
                <w:lang w:val="en-GB"/>
              </w:rPr>
              <w:t>88.2</w:t>
            </w:r>
          </w:p>
        </w:tc>
        <w:tc>
          <w:tcPr>
            <w:tcW w:w="974" w:type="dxa"/>
            <w:tcBorders>
              <w:top w:val="nil"/>
              <w:left w:val="nil"/>
              <w:bottom w:val="single" w:sz="4" w:space="0" w:color="auto"/>
              <w:right w:val="single" w:sz="4" w:space="0" w:color="auto"/>
            </w:tcBorders>
            <w:shd w:val="clear" w:color="auto" w:fill="auto"/>
            <w:vAlign w:val="bottom"/>
          </w:tcPr>
          <w:p w14:paraId="6FED55EF" w14:textId="77777777" w:rsidR="004E5586" w:rsidRPr="00640417" w:rsidRDefault="004E5586" w:rsidP="0071618E">
            <w:pPr>
              <w:pStyle w:val="ExhibitText"/>
              <w:keepNext/>
              <w:jc w:val="right"/>
              <w:rPr>
                <w:lang w:val="en-GB"/>
              </w:rPr>
            </w:pPr>
            <w:r w:rsidRPr="00640417">
              <w:rPr>
                <w:lang w:val="en-GB"/>
              </w:rPr>
              <w:t>78.8</w:t>
            </w:r>
          </w:p>
        </w:tc>
      </w:tr>
      <w:tr w:rsidR="004E5586" w:rsidRPr="00640417" w14:paraId="474F5C8D" w14:textId="77777777" w:rsidTr="00FB58DA">
        <w:trPr>
          <w:trHeight w:val="349"/>
          <w:jc w:val="center"/>
        </w:trPr>
        <w:tc>
          <w:tcPr>
            <w:tcW w:w="3330" w:type="dxa"/>
            <w:tcBorders>
              <w:top w:val="nil"/>
              <w:left w:val="single" w:sz="4" w:space="0" w:color="auto"/>
              <w:bottom w:val="single" w:sz="4" w:space="0" w:color="auto"/>
              <w:right w:val="single" w:sz="4" w:space="0" w:color="auto"/>
            </w:tcBorders>
            <w:shd w:val="clear" w:color="auto" w:fill="auto"/>
            <w:vAlign w:val="bottom"/>
          </w:tcPr>
          <w:p w14:paraId="3A621C55" w14:textId="77777777" w:rsidR="004E5586" w:rsidRPr="00640417" w:rsidRDefault="004E5586" w:rsidP="0071618E">
            <w:pPr>
              <w:pStyle w:val="ExhibitText"/>
              <w:keepNext/>
              <w:rPr>
                <w:b/>
                <w:bCs/>
                <w:lang w:val="en-GB"/>
              </w:rPr>
            </w:pPr>
            <w:r w:rsidRPr="00640417">
              <w:rPr>
                <w:b/>
                <w:bCs/>
                <w:lang w:val="en-GB"/>
              </w:rPr>
              <w:t>World</w:t>
            </w:r>
          </w:p>
        </w:tc>
        <w:tc>
          <w:tcPr>
            <w:tcW w:w="900" w:type="dxa"/>
            <w:tcBorders>
              <w:top w:val="nil"/>
              <w:left w:val="nil"/>
              <w:bottom w:val="single" w:sz="4" w:space="0" w:color="auto"/>
              <w:right w:val="single" w:sz="4" w:space="0" w:color="auto"/>
            </w:tcBorders>
            <w:shd w:val="clear" w:color="auto" w:fill="auto"/>
            <w:vAlign w:val="bottom"/>
          </w:tcPr>
          <w:p w14:paraId="60E5CD82" w14:textId="1DEC6381" w:rsidR="004E5586" w:rsidRPr="00640417" w:rsidRDefault="004E5586" w:rsidP="0071618E">
            <w:pPr>
              <w:pStyle w:val="ExhibitText"/>
              <w:keepNext/>
              <w:jc w:val="right"/>
              <w:rPr>
                <w:b/>
                <w:bCs/>
                <w:lang w:val="en-GB"/>
              </w:rPr>
            </w:pPr>
            <w:r w:rsidRPr="00640417">
              <w:rPr>
                <w:b/>
                <w:bCs/>
                <w:lang w:val="en-GB"/>
              </w:rPr>
              <w:t>1</w:t>
            </w:r>
            <w:r w:rsidR="0071618E" w:rsidRPr="00640417">
              <w:rPr>
                <w:b/>
                <w:bCs/>
                <w:lang w:val="en-GB"/>
              </w:rPr>
              <w:t>,</w:t>
            </w:r>
            <w:r w:rsidRPr="00640417">
              <w:rPr>
                <w:b/>
                <w:bCs/>
                <w:lang w:val="en-GB"/>
              </w:rPr>
              <w:t>433</w:t>
            </w:r>
            <w:r w:rsidR="00891E24">
              <w:rPr>
                <w:b/>
                <w:bCs/>
                <w:lang w:val="en-GB"/>
              </w:rPr>
              <w:t>.0</w:t>
            </w:r>
          </w:p>
        </w:tc>
        <w:tc>
          <w:tcPr>
            <w:tcW w:w="894" w:type="dxa"/>
            <w:tcBorders>
              <w:top w:val="nil"/>
              <w:left w:val="nil"/>
              <w:bottom w:val="single" w:sz="4" w:space="0" w:color="auto"/>
              <w:right w:val="single" w:sz="4" w:space="0" w:color="auto"/>
            </w:tcBorders>
            <w:shd w:val="clear" w:color="auto" w:fill="auto"/>
            <w:vAlign w:val="bottom"/>
          </w:tcPr>
          <w:p w14:paraId="6B09CBE4" w14:textId="10B1FD3F" w:rsidR="004E5586" w:rsidRPr="00640417" w:rsidRDefault="004E5586" w:rsidP="0071618E">
            <w:pPr>
              <w:pStyle w:val="ExhibitText"/>
              <w:keepNext/>
              <w:jc w:val="right"/>
              <w:rPr>
                <w:b/>
                <w:bCs/>
                <w:lang w:val="en-GB"/>
              </w:rPr>
            </w:pPr>
            <w:r w:rsidRPr="00640417">
              <w:rPr>
                <w:b/>
                <w:bCs/>
                <w:lang w:val="en-GB"/>
              </w:rPr>
              <w:t>1</w:t>
            </w:r>
            <w:r w:rsidR="0071618E" w:rsidRPr="00640417">
              <w:rPr>
                <w:b/>
                <w:bCs/>
                <w:lang w:val="en-GB"/>
              </w:rPr>
              <w:t>,</w:t>
            </w:r>
            <w:r w:rsidRPr="00640417">
              <w:rPr>
                <w:b/>
                <w:bCs/>
                <w:lang w:val="en-GB"/>
              </w:rPr>
              <w:t>538</w:t>
            </w:r>
            <w:r w:rsidR="00891E24">
              <w:rPr>
                <w:b/>
                <w:bCs/>
                <w:lang w:val="en-GB"/>
              </w:rPr>
              <w:t>.0</w:t>
            </w:r>
          </w:p>
        </w:tc>
        <w:tc>
          <w:tcPr>
            <w:tcW w:w="974" w:type="dxa"/>
            <w:tcBorders>
              <w:top w:val="nil"/>
              <w:left w:val="nil"/>
              <w:bottom w:val="single" w:sz="4" w:space="0" w:color="auto"/>
              <w:right w:val="single" w:sz="4" w:space="0" w:color="auto"/>
            </w:tcBorders>
            <w:shd w:val="clear" w:color="auto" w:fill="auto"/>
            <w:vAlign w:val="bottom"/>
          </w:tcPr>
          <w:p w14:paraId="71DFD798" w14:textId="174D01E7" w:rsidR="004E5586" w:rsidRPr="00640417" w:rsidRDefault="004E5586" w:rsidP="0071618E">
            <w:pPr>
              <w:pStyle w:val="ExhibitText"/>
              <w:keepNext/>
              <w:jc w:val="right"/>
              <w:rPr>
                <w:b/>
                <w:bCs/>
                <w:lang w:val="en-GB"/>
              </w:rPr>
            </w:pPr>
            <w:r w:rsidRPr="00640417">
              <w:rPr>
                <w:b/>
                <w:bCs/>
                <w:lang w:val="en-GB"/>
              </w:rPr>
              <w:t>1</w:t>
            </w:r>
            <w:r w:rsidR="0071618E" w:rsidRPr="00640417">
              <w:rPr>
                <w:b/>
                <w:bCs/>
                <w:lang w:val="en-GB"/>
              </w:rPr>
              <w:t>,</w:t>
            </w:r>
            <w:r w:rsidRPr="00640417">
              <w:rPr>
                <w:b/>
                <w:bCs/>
                <w:lang w:val="en-GB"/>
              </w:rPr>
              <w:t>560</w:t>
            </w:r>
            <w:r w:rsidR="00891E24">
              <w:rPr>
                <w:b/>
                <w:bCs/>
                <w:lang w:val="en-GB"/>
              </w:rPr>
              <w:t>.0</w:t>
            </w:r>
          </w:p>
        </w:tc>
        <w:tc>
          <w:tcPr>
            <w:tcW w:w="974" w:type="dxa"/>
            <w:tcBorders>
              <w:top w:val="nil"/>
              <w:left w:val="nil"/>
              <w:bottom w:val="single" w:sz="4" w:space="0" w:color="auto"/>
              <w:right w:val="single" w:sz="4" w:space="0" w:color="auto"/>
            </w:tcBorders>
            <w:shd w:val="clear" w:color="auto" w:fill="auto"/>
            <w:vAlign w:val="bottom"/>
          </w:tcPr>
          <w:p w14:paraId="335EE678" w14:textId="004EAE40" w:rsidR="004E5586" w:rsidRPr="00640417" w:rsidRDefault="004E5586" w:rsidP="0071618E">
            <w:pPr>
              <w:pStyle w:val="ExhibitText"/>
              <w:keepNext/>
              <w:jc w:val="right"/>
              <w:rPr>
                <w:b/>
                <w:bCs/>
                <w:lang w:val="en-GB"/>
              </w:rPr>
            </w:pPr>
            <w:r w:rsidRPr="00640417">
              <w:rPr>
                <w:b/>
                <w:bCs/>
                <w:lang w:val="en-GB"/>
              </w:rPr>
              <w:t>1</w:t>
            </w:r>
            <w:r w:rsidR="0071618E" w:rsidRPr="00640417">
              <w:rPr>
                <w:b/>
                <w:bCs/>
                <w:lang w:val="en-GB"/>
              </w:rPr>
              <w:t>,</w:t>
            </w:r>
            <w:r w:rsidRPr="00640417">
              <w:rPr>
                <w:b/>
                <w:bCs/>
                <w:lang w:val="en-GB"/>
              </w:rPr>
              <w:t>650</w:t>
            </w:r>
            <w:r w:rsidR="00891E24">
              <w:rPr>
                <w:b/>
                <w:bCs/>
                <w:lang w:val="en-GB"/>
              </w:rPr>
              <w:t>.0</w:t>
            </w:r>
          </w:p>
        </w:tc>
        <w:tc>
          <w:tcPr>
            <w:tcW w:w="974" w:type="dxa"/>
            <w:tcBorders>
              <w:top w:val="nil"/>
              <w:left w:val="nil"/>
              <w:bottom w:val="single" w:sz="4" w:space="0" w:color="auto"/>
              <w:right w:val="single" w:sz="4" w:space="0" w:color="auto"/>
            </w:tcBorders>
            <w:shd w:val="clear" w:color="auto" w:fill="auto"/>
            <w:vAlign w:val="bottom"/>
          </w:tcPr>
          <w:p w14:paraId="5ABC53FF" w14:textId="657F6A9F" w:rsidR="004E5586" w:rsidRPr="00640417" w:rsidRDefault="004E5586" w:rsidP="0071618E">
            <w:pPr>
              <w:pStyle w:val="ExhibitText"/>
              <w:keepNext/>
              <w:jc w:val="right"/>
              <w:rPr>
                <w:b/>
                <w:bCs/>
                <w:lang w:val="en-GB"/>
              </w:rPr>
            </w:pPr>
            <w:r w:rsidRPr="00640417">
              <w:rPr>
                <w:b/>
                <w:bCs/>
                <w:lang w:val="en-GB"/>
              </w:rPr>
              <w:t>1</w:t>
            </w:r>
            <w:r w:rsidR="0071618E" w:rsidRPr="00640417">
              <w:rPr>
                <w:b/>
                <w:bCs/>
                <w:lang w:val="en-GB"/>
              </w:rPr>
              <w:t>,</w:t>
            </w:r>
            <w:r w:rsidRPr="00640417">
              <w:rPr>
                <w:b/>
                <w:bCs/>
                <w:lang w:val="en-GB"/>
              </w:rPr>
              <w:t>670</w:t>
            </w:r>
            <w:r w:rsidR="00891E24">
              <w:rPr>
                <w:b/>
                <w:bCs/>
                <w:lang w:val="en-GB"/>
              </w:rPr>
              <w:t>.0</w:t>
            </w:r>
          </w:p>
        </w:tc>
        <w:tc>
          <w:tcPr>
            <w:tcW w:w="974" w:type="dxa"/>
            <w:tcBorders>
              <w:top w:val="nil"/>
              <w:left w:val="nil"/>
              <w:bottom w:val="single" w:sz="4" w:space="0" w:color="auto"/>
              <w:right w:val="single" w:sz="4" w:space="0" w:color="auto"/>
            </w:tcBorders>
            <w:shd w:val="clear" w:color="auto" w:fill="auto"/>
            <w:vAlign w:val="bottom"/>
          </w:tcPr>
          <w:p w14:paraId="05EF45A4" w14:textId="642A3765" w:rsidR="004E5586" w:rsidRPr="00640417" w:rsidRDefault="004E5586" w:rsidP="0071618E">
            <w:pPr>
              <w:pStyle w:val="ExhibitText"/>
              <w:keepNext/>
              <w:jc w:val="right"/>
              <w:rPr>
                <w:b/>
                <w:bCs/>
                <w:lang w:val="en-GB"/>
              </w:rPr>
            </w:pPr>
            <w:r w:rsidRPr="00640417">
              <w:rPr>
                <w:b/>
                <w:bCs/>
                <w:lang w:val="en-GB"/>
              </w:rPr>
              <w:t>1</w:t>
            </w:r>
            <w:r w:rsidR="0071618E" w:rsidRPr="00640417">
              <w:rPr>
                <w:b/>
                <w:bCs/>
                <w:lang w:val="en-GB"/>
              </w:rPr>
              <w:t>,</w:t>
            </w:r>
            <w:r w:rsidRPr="00640417">
              <w:rPr>
                <w:b/>
                <w:bCs/>
                <w:lang w:val="en-GB"/>
              </w:rPr>
              <w:t>622</w:t>
            </w:r>
            <w:r w:rsidR="00891E24">
              <w:rPr>
                <w:b/>
                <w:bCs/>
                <w:lang w:val="en-GB"/>
              </w:rPr>
              <w:t>.0</w:t>
            </w:r>
          </w:p>
        </w:tc>
      </w:tr>
    </w:tbl>
    <w:p w14:paraId="23B85830" w14:textId="77777777" w:rsidR="00E768D4" w:rsidRDefault="00E768D4" w:rsidP="00583ADB">
      <w:pPr>
        <w:pStyle w:val="BodyTextMain"/>
        <w:rPr>
          <w:rFonts w:ascii="Arial" w:eastAsia="Calibri" w:hAnsi="Arial" w:cs="Arial"/>
          <w:sz w:val="17"/>
          <w:szCs w:val="17"/>
          <w:lang w:val="en-GB"/>
        </w:rPr>
      </w:pPr>
    </w:p>
    <w:p w14:paraId="4A9E5AFF" w14:textId="55C7AAEF" w:rsidR="00583ADB" w:rsidRPr="0089430C" w:rsidRDefault="005A5536" w:rsidP="0089430C">
      <w:pPr>
        <w:pStyle w:val="Footnote"/>
        <w:rPr>
          <w:rFonts w:eastAsia="Calibri"/>
        </w:rPr>
      </w:pPr>
      <w:r w:rsidRPr="0089430C">
        <w:rPr>
          <w:rFonts w:eastAsia="Calibri"/>
        </w:rPr>
        <w:t>Source:</w:t>
      </w:r>
      <w:r w:rsidR="00F64567" w:rsidRPr="0089430C">
        <w:rPr>
          <w:rFonts w:eastAsia="Calibri"/>
        </w:rPr>
        <w:t xml:space="preserve"> </w:t>
      </w:r>
      <w:r w:rsidRPr="0089430C">
        <w:rPr>
          <w:rFonts w:eastAsia="Calibri"/>
        </w:rPr>
        <w:t xml:space="preserve">“50 </w:t>
      </w:r>
      <w:r w:rsidR="004B39C1">
        <w:rPr>
          <w:rFonts w:eastAsia="Calibri"/>
        </w:rPr>
        <w:t>Y</w:t>
      </w:r>
      <w:r w:rsidRPr="0089430C">
        <w:rPr>
          <w:rFonts w:eastAsia="Calibri"/>
        </w:rPr>
        <w:t>ears of the World Steel Association</w:t>
      </w:r>
      <w:r w:rsidR="008B10E0" w:rsidRPr="0089430C">
        <w:rPr>
          <w:rFonts w:eastAsia="Calibri"/>
        </w:rPr>
        <w:t>,</w:t>
      </w:r>
      <w:r w:rsidRPr="0089430C">
        <w:rPr>
          <w:rFonts w:eastAsia="Calibri"/>
        </w:rPr>
        <w:t>” World</w:t>
      </w:r>
      <w:r w:rsidR="004A2AF6" w:rsidRPr="0089430C">
        <w:rPr>
          <w:rFonts w:eastAsia="Calibri"/>
        </w:rPr>
        <w:t xml:space="preserve"> </w:t>
      </w:r>
      <w:r w:rsidRPr="0089430C">
        <w:rPr>
          <w:rFonts w:eastAsia="Calibri"/>
        </w:rPr>
        <w:t xml:space="preserve">Steel Association, accessed December 5, 2017, </w:t>
      </w:r>
      <w:hyperlink r:id="rId17" w:history="1">
        <w:r w:rsidR="00FF35A6" w:rsidRPr="0089430C">
          <w:rPr>
            <w:rStyle w:val="Hyperlink"/>
            <w:color w:val="auto"/>
            <w:u w:val="none"/>
          </w:rPr>
          <w:t>https://www.worldsteel.org/en/dam/jcr:80fe4bd6-4eff-4690-96e6-534500d35384/50+years+of+worldsteel_EN.pdf</w:t>
        </w:r>
      </w:hyperlink>
      <w:r w:rsidR="004B39C1">
        <w:rPr>
          <w:rStyle w:val="Hyperlink"/>
          <w:color w:val="auto"/>
          <w:u w:val="none"/>
        </w:rPr>
        <w:t>.</w:t>
      </w:r>
      <w:r w:rsidR="00FF35A6" w:rsidRPr="0089430C">
        <w:t xml:space="preserve"> </w:t>
      </w:r>
    </w:p>
    <w:p w14:paraId="6C9ACB6C" w14:textId="77777777" w:rsidR="0071618E" w:rsidRDefault="0071618E" w:rsidP="00583ADB">
      <w:pPr>
        <w:pStyle w:val="BodyTextMain"/>
        <w:rPr>
          <w:rFonts w:eastAsia="Calibri"/>
          <w:sz w:val="20"/>
          <w:szCs w:val="20"/>
          <w:lang w:val="en-GB"/>
        </w:rPr>
      </w:pPr>
    </w:p>
    <w:p w14:paraId="6CD6BBBC" w14:textId="77777777" w:rsidR="00E768D4" w:rsidRPr="00640417" w:rsidRDefault="00E768D4" w:rsidP="00583ADB">
      <w:pPr>
        <w:pStyle w:val="BodyTextMain"/>
        <w:rPr>
          <w:rFonts w:eastAsia="Calibri"/>
          <w:sz w:val="20"/>
          <w:szCs w:val="20"/>
          <w:lang w:val="en-GB"/>
        </w:rPr>
      </w:pPr>
    </w:p>
    <w:tbl>
      <w:tblPr>
        <w:tblW w:w="8010" w:type="dxa"/>
        <w:jc w:val="center"/>
        <w:tblLayout w:type="fixed"/>
        <w:tblLook w:val="04A0" w:firstRow="1" w:lastRow="0" w:firstColumn="1" w:lastColumn="0" w:noHBand="0" w:noVBand="1"/>
      </w:tblPr>
      <w:tblGrid>
        <w:gridCol w:w="3330"/>
        <w:gridCol w:w="900"/>
        <w:gridCol w:w="900"/>
        <w:gridCol w:w="990"/>
        <w:gridCol w:w="990"/>
        <w:gridCol w:w="900"/>
      </w:tblGrid>
      <w:tr w:rsidR="004E5586" w:rsidRPr="00640417" w14:paraId="74C29009" w14:textId="77777777" w:rsidTr="00D075FE">
        <w:trPr>
          <w:trHeight w:val="228"/>
          <w:jc w:val="center"/>
        </w:trPr>
        <w:tc>
          <w:tcPr>
            <w:tcW w:w="3330" w:type="dxa"/>
            <w:tcBorders>
              <w:top w:val="single" w:sz="4" w:space="0" w:color="auto"/>
              <w:left w:val="single" w:sz="4" w:space="0" w:color="auto"/>
              <w:bottom w:val="single" w:sz="4" w:space="0" w:color="auto"/>
              <w:right w:val="single" w:sz="4" w:space="0" w:color="auto"/>
            </w:tcBorders>
            <w:shd w:val="clear" w:color="auto" w:fill="auto"/>
            <w:vAlign w:val="bottom"/>
          </w:tcPr>
          <w:p w14:paraId="52F3E153" w14:textId="77777777" w:rsidR="00E768D4" w:rsidRDefault="004E5586" w:rsidP="00A03932">
            <w:pPr>
              <w:pStyle w:val="ExhibitText"/>
              <w:spacing w:before="40" w:after="40"/>
              <w:jc w:val="center"/>
              <w:rPr>
                <w:b/>
                <w:lang w:val="en-GB"/>
              </w:rPr>
            </w:pPr>
            <w:r w:rsidRPr="00640417">
              <w:rPr>
                <w:b/>
                <w:lang w:val="en-GB"/>
              </w:rPr>
              <w:t>Stainless Steel Production</w:t>
            </w:r>
          </w:p>
          <w:p w14:paraId="38F1B00A" w14:textId="61DF45F7" w:rsidR="004E5586" w:rsidRPr="00640417" w:rsidRDefault="004E5586" w:rsidP="00A03932">
            <w:pPr>
              <w:pStyle w:val="ExhibitText"/>
              <w:spacing w:before="40" w:after="40"/>
              <w:jc w:val="center"/>
              <w:rPr>
                <w:b/>
                <w:lang w:val="en-GB"/>
              </w:rPr>
            </w:pPr>
            <w:r w:rsidRPr="00640417">
              <w:rPr>
                <w:b/>
                <w:lang w:val="en-GB"/>
              </w:rPr>
              <w:t xml:space="preserve">(in </w:t>
            </w:r>
            <w:r w:rsidR="00B10F4F">
              <w:rPr>
                <w:b/>
                <w:lang w:val="en-GB"/>
              </w:rPr>
              <w:t>million</w:t>
            </w:r>
            <w:r w:rsidR="00B10F4F" w:rsidRPr="00640417">
              <w:rPr>
                <w:b/>
                <w:lang w:val="en-GB"/>
              </w:rPr>
              <w:t xml:space="preserve"> </w:t>
            </w:r>
            <w:r w:rsidR="00B10F4F">
              <w:rPr>
                <w:b/>
                <w:lang w:val="en-GB"/>
              </w:rPr>
              <w:t>t</w:t>
            </w:r>
            <w:r w:rsidRPr="00640417">
              <w:rPr>
                <w:b/>
                <w:lang w:val="en-GB"/>
              </w:rPr>
              <w:t>onnes)</w:t>
            </w:r>
          </w:p>
        </w:tc>
        <w:tc>
          <w:tcPr>
            <w:tcW w:w="900" w:type="dxa"/>
            <w:tcBorders>
              <w:top w:val="single" w:sz="4" w:space="0" w:color="auto"/>
              <w:left w:val="nil"/>
              <w:bottom w:val="single" w:sz="4" w:space="0" w:color="auto"/>
              <w:right w:val="single" w:sz="4" w:space="0" w:color="auto"/>
            </w:tcBorders>
            <w:shd w:val="clear" w:color="auto" w:fill="auto"/>
            <w:vAlign w:val="bottom"/>
          </w:tcPr>
          <w:p w14:paraId="2AFB4E45" w14:textId="77777777" w:rsidR="004E5586" w:rsidRPr="00640417" w:rsidRDefault="004E5586" w:rsidP="00A03932">
            <w:pPr>
              <w:pStyle w:val="ExhibitText"/>
              <w:spacing w:before="40" w:after="40"/>
              <w:jc w:val="center"/>
              <w:rPr>
                <w:b/>
                <w:bCs/>
                <w:lang w:val="en-GB"/>
              </w:rPr>
            </w:pPr>
            <w:r w:rsidRPr="00640417">
              <w:rPr>
                <w:b/>
                <w:bCs/>
                <w:lang w:val="en-GB"/>
              </w:rPr>
              <w:t>2010</w:t>
            </w:r>
          </w:p>
        </w:tc>
        <w:tc>
          <w:tcPr>
            <w:tcW w:w="900" w:type="dxa"/>
            <w:tcBorders>
              <w:top w:val="single" w:sz="4" w:space="0" w:color="auto"/>
              <w:left w:val="nil"/>
              <w:bottom w:val="single" w:sz="4" w:space="0" w:color="auto"/>
              <w:right w:val="single" w:sz="4" w:space="0" w:color="auto"/>
            </w:tcBorders>
            <w:shd w:val="clear" w:color="auto" w:fill="auto"/>
            <w:vAlign w:val="bottom"/>
          </w:tcPr>
          <w:p w14:paraId="05F6705B" w14:textId="77777777" w:rsidR="004E5586" w:rsidRPr="00640417" w:rsidRDefault="004E5586" w:rsidP="00A03932">
            <w:pPr>
              <w:pStyle w:val="ExhibitText"/>
              <w:spacing w:before="40" w:after="40"/>
              <w:jc w:val="center"/>
              <w:rPr>
                <w:b/>
                <w:bCs/>
                <w:lang w:val="en-GB"/>
              </w:rPr>
            </w:pPr>
            <w:r w:rsidRPr="00640417">
              <w:rPr>
                <w:b/>
                <w:bCs/>
                <w:lang w:val="en-GB"/>
              </w:rPr>
              <w:t>2011</w:t>
            </w:r>
          </w:p>
        </w:tc>
        <w:tc>
          <w:tcPr>
            <w:tcW w:w="990" w:type="dxa"/>
            <w:tcBorders>
              <w:top w:val="single" w:sz="4" w:space="0" w:color="auto"/>
              <w:left w:val="nil"/>
              <w:bottom w:val="single" w:sz="4" w:space="0" w:color="auto"/>
              <w:right w:val="single" w:sz="4" w:space="0" w:color="auto"/>
            </w:tcBorders>
            <w:shd w:val="clear" w:color="auto" w:fill="auto"/>
            <w:vAlign w:val="bottom"/>
          </w:tcPr>
          <w:p w14:paraId="5A410AE1" w14:textId="77777777" w:rsidR="004E5586" w:rsidRPr="00640417" w:rsidRDefault="004E5586" w:rsidP="00A03932">
            <w:pPr>
              <w:pStyle w:val="ExhibitText"/>
              <w:spacing w:before="40" w:after="40"/>
              <w:jc w:val="center"/>
              <w:rPr>
                <w:b/>
                <w:bCs/>
                <w:lang w:val="en-GB"/>
              </w:rPr>
            </w:pPr>
            <w:r w:rsidRPr="00640417">
              <w:rPr>
                <w:b/>
                <w:bCs/>
                <w:lang w:val="en-GB"/>
              </w:rPr>
              <w:t>2012</w:t>
            </w:r>
          </w:p>
        </w:tc>
        <w:tc>
          <w:tcPr>
            <w:tcW w:w="990" w:type="dxa"/>
            <w:tcBorders>
              <w:top w:val="single" w:sz="4" w:space="0" w:color="auto"/>
              <w:left w:val="nil"/>
              <w:bottom w:val="single" w:sz="4" w:space="0" w:color="auto"/>
              <w:right w:val="single" w:sz="4" w:space="0" w:color="auto"/>
            </w:tcBorders>
            <w:shd w:val="clear" w:color="auto" w:fill="auto"/>
            <w:vAlign w:val="bottom"/>
          </w:tcPr>
          <w:p w14:paraId="0C4B3FF2" w14:textId="77777777" w:rsidR="004E5586" w:rsidRPr="00640417" w:rsidRDefault="004E5586" w:rsidP="00A03932">
            <w:pPr>
              <w:pStyle w:val="ExhibitText"/>
              <w:spacing w:before="40" w:after="40"/>
              <w:jc w:val="center"/>
              <w:rPr>
                <w:b/>
                <w:bCs/>
                <w:lang w:val="en-GB"/>
              </w:rPr>
            </w:pPr>
            <w:r w:rsidRPr="00640417">
              <w:rPr>
                <w:b/>
                <w:bCs/>
                <w:lang w:val="en-GB"/>
              </w:rPr>
              <w:t>2013</w:t>
            </w:r>
          </w:p>
        </w:tc>
        <w:tc>
          <w:tcPr>
            <w:tcW w:w="900" w:type="dxa"/>
            <w:tcBorders>
              <w:top w:val="single" w:sz="4" w:space="0" w:color="auto"/>
              <w:left w:val="nil"/>
              <w:bottom w:val="single" w:sz="4" w:space="0" w:color="auto"/>
              <w:right w:val="single" w:sz="4" w:space="0" w:color="auto"/>
            </w:tcBorders>
            <w:shd w:val="clear" w:color="auto" w:fill="auto"/>
            <w:vAlign w:val="bottom"/>
          </w:tcPr>
          <w:p w14:paraId="3DE0D119" w14:textId="77777777" w:rsidR="004E5586" w:rsidRPr="00640417" w:rsidRDefault="004E5586" w:rsidP="00A03932">
            <w:pPr>
              <w:pStyle w:val="ExhibitText"/>
              <w:spacing w:before="40" w:after="40"/>
              <w:jc w:val="center"/>
              <w:rPr>
                <w:b/>
                <w:bCs/>
                <w:lang w:val="en-GB"/>
              </w:rPr>
            </w:pPr>
            <w:r w:rsidRPr="00640417">
              <w:rPr>
                <w:b/>
                <w:bCs/>
                <w:lang w:val="en-GB"/>
              </w:rPr>
              <w:t>2014</w:t>
            </w:r>
          </w:p>
        </w:tc>
      </w:tr>
      <w:tr w:rsidR="004E5586" w:rsidRPr="00640417" w14:paraId="14E9311C" w14:textId="77777777" w:rsidTr="00D075FE">
        <w:trPr>
          <w:trHeight w:val="228"/>
          <w:jc w:val="center"/>
        </w:trPr>
        <w:tc>
          <w:tcPr>
            <w:tcW w:w="3330" w:type="dxa"/>
            <w:tcBorders>
              <w:top w:val="nil"/>
              <w:left w:val="single" w:sz="4" w:space="0" w:color="auto"/>
              <w:bottom w:val="single" w:sz="4" w:space="0" w:color="auto"/>
              <w:right w:val="single" w:sz="4" w:space="0" w:color="auto"/>
            </w:tcBorders>
            <w:shd w:val="clear" w:color="auto" w:fill="auto"/>
            <w:vAlign w:val="bottom"/>
          </w:tcPr>
          <w:p w14:paraId="671C8EF2" w14:textId="77777777" w:rsidR="004E5586" w:rsidRPr="00640417" w:rsidRDefault="004E5586" w:rsidP="00A03932">
            <w:pPr>
              <w:pStyle w:val="ExhibitText"/>
              <w:spacing w:before="40" w:after="40"/>
              <w:rPr>
                <w:lang w:val="en-GB"/>
              </w:rPr>
            </w:pPr>
            <w:r w:rsidRPr="00640417">
              <w:rPr>
                <w:lang w:val="en-GB"/>
              </w:rPr>
              <w:t>China</w:t>
            </w:r>
          </w:p>
        </w:tc>
        <w:tc>
          <w:tcPr>
            <w:tcW w:w="900" w:type="dxa"/>
            <w:tcBorders>
              <w:top w:val="nil"/>
              <w:left w:val="nil"/>
              <w:bottom w:val="single" w:sz="4" w:space="0" w:color="auto"/>
              <w:right w:val="single" w:sz="4" w:space="0" w:color="auto"/>
            </w:tcBorders>
            <w:shd w:val="clear" w:color="auto" w:fill="auto"/>
            <w:vAlign w:val="bottom"/>
          </w:tcPr>
          <w:p w14:paraId="4DA4C67C" w14:textId="77777777" w:rsidR="004E5586" w:rsidRPr="00640417" w:rsidRDefault="004E5586" w:rsidP="00A03932">
            <w:pPr>
              <w:pStyle w:val="ExhibitText"/>
              <w:spacing w:before="40" w:after="40"/>
              <w:jc w:val="right"/>
              <w:rPr>
                <w:lang w:val="en-GB"/>
              </w:rPr>
            </w:pPr>
            <w:r w:rsidRPr="00640417">
              <w:rPr>
                <w:lang w:val="en-GB"/>
              </w:rPr>
              <w:t>11.2</w:t>
            </w:r>
          </w:p>
        </w:tc>
        <w:tc>
          <w:tcPr>
            <w:tcW w:w="900" w:type="dxa"/>
            <w:tcBorders>
              <w:top w:val="nil"/>
              <w:left w:val="nil"/>
              <w:bottom w:val="single" w:sz="4" w:space="0" w:color="auto"/>
              <w:right w:val="single" w:sz="4" w:space="0" w:color="auto"/>
            </w:tcBorders>
            <w:shd w:val="clear" w:color="auto" w:fill="auto"/>
            <w:vAlign w:val="bottom"/>
          </w:tcPr>
          <w:p w14:paraId="455F6474" w14:textId="2307BCC3" w:rsidR="004E5586" w:rsidRPr="00640417" w:rsidRDefault="004E5586" w:rsidP="00A03932">
            <w:pPr>
              <w:pStyle w:val="ExhibitText"/>
              <w:spacing w:before="40" w:after="40"/>
              <w:jc w:val="right"/>
              <w:rPr>
                <w:lang w:val="en-GB"/>
              </w:rPr>
            </w:pPr>
            <w:r w:rsidRPr="00640417">
              <w:rPr>
                <w:lang w:val="en-GB"/>
              </w:rPr>
              <w:t>14</w:t>
            </w:r>
            <w:r w:rsidR="009E6904">
              <w:rPr>
                <w:lang w:val="en-GB"/>
              </w:rPr>
              <w:t>.0</w:t>
            </w:r>
          </w:p>
        </w:tc>
        <w:tc>
          <w:tcPr>
            <w:tcW w:w="990" w:type="dxa"/>
            <w:tcBorders>
              <w:top w:val="nil"/>
              <w:left w:val="nil"/>
              <w:bottom w:val="single" w:sz="4" w:space="0" w:color="auto"/>
              <w:right w:val="single" w:sz="4" w:space="0" w:color="auto"/>
            </w:tcBorders>
            <w:shd w:val="clear" w:color="auto" w:fill="auto"/>
            <w:vAlign w:val="bottom"/>
          </w:tcPr>
          <w:p w14:paraId="779D9512" w14:textId="7AE14A4C" w:rsidR="004E5586" w:rsidRPr="00640417" w:rsidRDefault="004E5586" w:rsidP="00A03932">
            <w:pPr>
              <w:pStyle w:val="ExhibitText"/>
              <w:spacing w:before="40" w:after="40"/>
              <w:jc w:val="right"/>
              <w:rPr>
                <w:lang w:val="en-GB"/>
              </w:rPr>
            </w:pPr>
            <w:r w:rsidRPr="00640417">
              <w:rPr>
                <w:lang w:val="en-GB"/>
              </w:rPr>
              <w:t>16</w:t>
            </w:r>
            <w:r w:rsidR="009E6904">
              <w:rPr>
                <w:lang w:val="en-GB"/>
              </w:rPr>
              <w:t>.0</w:t>
            </w:r>
          </w:p>
        </w:tc>
        <w:tc>
          <w:tcPr>
            <w:tcW w:w="990" w:type="dxa"/>
            <w:tcBorders>
              <w:top w:val="nil"/>
              <w:left w:val="nil"/>
              <w:bottom w:val="single" w:sz="4" w:space="0" w:color="auto"/>
              <w:right w:val="single" w:sz="4" w:space="0" w:color="auto"/>
            </w:tcBorders>
            <w:shd w:val="clear" w:color="auto" w:fill="auto"/>
            <w:vAlign w:val="bottom"/>
          </w:tcPr>
          <w:p w14:paraId="736CD90F" w14:textId="77777777" w:rsidR="004E5586" w:rsidRPr="00640417" w:rsidRDefault="004E5586" w:rsidP="00A03932">
            <w:pPr>
              <w:pStyle w:val="ExhibitText"/>
              <w:spacing w:before="40" w:after="40"/>
              <w:jc w:val="right"/>
              <w:rPr>
                <w:lang w:val="en-GB"/>
              </w:rPr>
            </w:pPr>
            <w:r w:rsidRPr="00640417">
              <w:rPr>
                <w:lang w:val="en-GB"/>
              </w:rPr>
              <w:t>18.9</w:t>
            </w:r>
          </w:p>
        </w:tc>
        <w:tc>
          <w:tcPr>
            <w:tcW w:w="900" w:type="dxa"/>
            <w:tcBorders>
              <w:top w:val="nil"/>
              <w:left w:val="nil"/>
              <w:bottom w:val="single" w:sz="4" w:space="0" w:color="auto"/>
              <w:right w:val="single" w:sz="4" w:space="0" w:color="auto"/>
            </w:tcBorders>
            <w:shd w:val="clear" w:color="auto" w:fill="auto"/>
            <w:vAlign w:val="bottom"/>
          </w:tcPr>
          <w:p w14:paraId="31D008AA" w14:textId="77777777" w:rsidR="004E5586" w:rsidRPr="00640417" w:rsidRDefault="004E5586" w:rsidP="00A03932">
            <w:pPr>
              <w:pStyle w:val="ExhibitText"/>
              <w:spacing w:before="40" w:after="40"/>
              <w:jc w:val="right"/>
              <w:rPr>
                <w:lang w:val="en-GB"/>
              </w:rPr>
            </w:pPr>
            <w:r w:rsidRPr="00640417">
              <w:rPr>
                <w:lang w:val="en-GB"/>
              </w:rPr>
              <w:t>21.6</w:t>
            </w:r>
          </w:p>
        </w:tc>
      </w:tr>
      <w:tr w:rsidR="004E5586" w:rsidRPr="00640417" w14:paraId="39AA2C14" w14:textId="77777777" w:rsidTr="00D075FE">
        <w:trPr>
          <w:trHeight w:val="228"/>
          <w:jc w:val="center"/>
        </w:trPr>
        <w:tc>
          <w:tcPr>
            <w:tcW w:w="3330" w:type="dxa"/>
            <w:tcBorders>
              <w:top w:val="nil"/>
              <w:left w:val="single" w:sz="4" w:space="0" w:color="auto"/>
              <w:bottom w:val="single" w:sz="4" w:space="0" w:color="auto"/>
              <w:right w:val="single" w:sz="4" w:space="0" w:color="auto"/>
            </w:tcBorders>
            <w:shd w:val="clear" w:color="auto" w:fill="auto"/>
            <w:vAlign w:val="bottom"/>
          </w:tcPr>
          <w:p w14:paraId="510DC05C" w14:textId="77777777" w:rsidR="004E5586" w:rsidRPr="00640417" w:rsidRDefault="004E5586" w:rsidP="00A03932">
            <w:pPr>
              <w:pStyle w:val="ExhibitText"/>
              <w:spacing w:before="40" w:after="40"/>
              <w:rPr>
                <w:lang w:val="en-GB"/>
              </w:rPr>
            </w:pPr>
            <w:r w:rsidRPr="00640417">
              <w:rPr>
                <w:lang w:val="en-GB"/>
              </w:rPr>
              <w:t>Japan</w:t>
            </w:r>
          </w:p>
        </w:tc>
        <w:tc>
          <w:tcPr>
            <w:tcW w:w="900" w:type="dxa"/>
            <w:tcBorders>
              <w:top w:val="nil"/>
              <w:left w:val="nil"/>
              <w:bottom w:val="single" w:sz="4" w:space="0" w:color="auto"/>
              <w:right w:val="single" w:sz="4" w:space="0" w:color="auto"/>
            </w:tcBorders>
            <w:shd w:val="clear" w:color="auto" w:fill="auto"/>
            <w:vAlign w:val="bottom"/>
          </w:tcPr>
          <w:p w14:paraId="17996450" w14:textId="77777777" w:rsidR="004E5586" w:rsidRPr="00640417" w:rsidRDefault="004E5586" w:rsidP="00A03932">
            <w:pPr>
              <w:pStyle w:val="ExhibitText"/>
              <w:spacing w:before="40" w:after="40"/>
              <w:jc w:val="right"/>
              <w:rPr>
                <w:lang w:val="en-GB"/>
              </w:rPr>
            </w:pPr>
            <w:r w:rsidRPr="00640417">
              <w:rPr>
                <w:lang w:val="en-GB"/>
              </w:rPr>
              <w:t>3.4</w:t>
            </w:r>
          </w:p>
        </w:tc>
        <w:tc>
          <w:tcPr>
            <w:tcW w:w="900" w:type="dxa"/>
            <w:tcBorders>
              <w:top w:val="nil"/>
              <w:left w:val="nil"/>
              <w:bottom w:val="single" w:sz="4" w:space="0" w:color="auto"/>
              <w:right w:val="single" w:sz="4" w:space="0" w:color="auto"/>
            </w:tcBorders>
            <w:shd w:val="clear" w:color="auto" w:fill="auto"/>
            <w:vAlign w:val="bottom"/>
          </w:tcPr>
          <w:p w14:paraId="72AA1133" w14:textId="77777777" w:rsidR="004E5586" w:rsidRPr="00640417" w:rsidRDefault="004E5586" w:rsidP="00A03932">
            <w:pPr>
              <w:pStyle w:val="ExhibitText"/>
              <w:spacing w:before="40" w:after="40"/>
              <w:jc w:val="right"/>
              <w:rPr>
                <w:lang w:val="en-GB"/>
              </w:rPr>
            </w:pPr>
            <w:r w:rsidRPr="00640417">
              <w:rPr>
                <w:lang w:val="en-GB"/>
              </w:rPr>
              <w:t>3.2</w:t>
            </w:r>
          </w:p>
        </w:tc>
        <w:tc>
          <w:tcPr>
            <w:tcW w:w="990" w:type="dxa"/>
            <w:tcBorders>
              <w:top w:val="nil"/>
              <w:left w:val="nil"/>
              <w:bottom w:val="single" w:sz="4" w:space="0" w:color="auto"/>
              <w:right w:val="single" w:sz="4" w:space="0" w:color="auto"/>
            </w:tcBorders>
            <w:shd w:val="clear" w:color="auto" w:fill="auto"/>
            <w:vAlign w:val="bottom"/>
          </w:tcPr>
          <w:p w14:paraId="0162BDF4" w14:textId="77777777" w:rsidR="004E5586" w:rsidRPr="00640417" w:rsidRDefault="004E5586" w:rsidP="00A03932">
            <w:pPr>
              <w:pStyle w:val="ExhibitText"/>
              <w:spacing w:before="40" w:after="40"/>
              <w:jc w:val="right"/>
              <w:rPr>
                <w:lang w:val="en-GB"/>
              </w:rPr>
            </w:pPr>
            <w:r w:rsidRPr="00640417">
              <w:rPr>
                <w:lang w:val="en-GB"/>
              </w:rPr>
              <w:t>3.1</w:t>
            </w:r>
          </w:p>
        </w:tc>
        <w:tc>
          <w:tcPr>
            <w:tcW w:w="990" w:type="dxa"/>
            <w:tcBorders>
              <w:top w:val="nil"/>
              <w:left w:val="nil"/>
              <w:bottom w:val="single" w:sz="4" w:space="0" w:color="auto"/>
              <w:right w:val="single" w:sz="4" w:space="0" w:color="auto"/>
            </w:tcBorders>
            <w:shd w:val="clear" w:color="auto" w:fill="auto"/>
            <w:vAlign w:val="bottom"/>
          </w:tcPr>
          <w:p w14:paraId="441DE6D3" w14:textId="77777777" w:rsidR="004E5586" w:rsidRPr="00640417" w:rsidRDefault="004E5586" w:rsidP="00A03932">
            <w:pPr>
              <w:pStyle w:val="ExhibitText"/>
              <w:spacing w:before="40" w:after="40"/>
              <w:jc w:val="right"/>
              <w:rPr>
                <w:lang w:val="en-GB"/>
              </w:rPr>
            </w:pPr>
            <w:r w:rsidRPr="00640417">
              <w:rPr>
                <w:lang w:val="en-GB"/>
              </w:rPr>
              <w:t>3.1</w:t>
            </w:r>
          </w:p>
        </w:tc>
        <w:tc>
          <w:tcPr>
            <w:tcW w:w="900" w:type="dxa"/>
            <w:tcBorders>
              <w:top w:val="nil"/>
              <w:left w:val="nil"/>
              <w:bottom w:val="single" w:sz="4" w:space="0" w:color="auto"/>
              <w:right w:val="single" w:sz="4" w:space="0" w:color="auto"/>
            </w:tcBorders>
            <w:shd w:val="clear" w:color="auto" w:fill="auto"/>
            <w:vAlign w:val="bottom"/>
          </w:tcPr>
          <w:p w14:paraId="4A2CF46F" w14:textId="77777777" w:rsidR="004E5586" w:rsidRPr="00640417" w:rsidRDefault="004E5586" w:rsidP="00A03932">
            <w:pPr>
              <w:pStyle w:val="ExhibitText"/>
              <w:spacing w:before="40" w:after="40"/>
              <w:jc w:val="right"/>
              <w:rPr>
                <w:lang w:val="en-GB"/>
              </w:rPr>
            </w:pPr>
            <w:r w:rsidRPr="00640417">
              <w:rPr>
                <w:lang w:val="en-GB"/>
              </w:rPr>
              <w:t>3.3</w:t>
            </w:r>
          </w:p>
        </w:tc>
      </w:tr>
      <w:tr w:rsidR="004E5586" w:rsidRPr="00640417" w14:paraId="028E2DA1" w14:textId="77777777" w:rsidTr="00D075FE">
        <w:trPr>
          <w:trHeight w:val="228"/>
          <w:jc w:val="center"/>
        </w:trPr>
        <w:tc>
          <w:tcPr>
            <w:tcW w:w="3330" w:type="dxa"/>
            <w:tcBorders>
              <w:top w:val="nil"/>
              <w:left w:val="single" w:sz="4" w:space="0" w:color="auto"/>
              <w:bottom w:val="single" w:sz="4" w:space="0" w:color="auto"/>
              <w:right w:val="single" w:sz="4" w:space="0" w:color="auto"/>
            </w:tcBorders>
            <w:shd w:val="clear" w:color="auto" w:fill="auto"/>
            <w:vAlign w:val="bottom"/>
          </w:tcPr>
          <w:p w14:paraId="5069C85E" w14:textId="77777777" w:rsidR="004E5586" w:rsidRPr="00640417" w:rsidRDefault="004E5586" w:rsidP="00A03932">
            <w:pPr>
              <w:pStyle w:val="ExhibitText"/>
              <w:spacing w:before="40" w:after="40"/>
              <w:rPr>
                <w:lang w:val="en-GB"/>
              </w:rPr>
            </w:pPr>
            <w:r w:rsidRPr="00640417">
              <w:rPr>
                <w:lang w:val="en-GB"/>
              </w:rPr>
              <w:t>India</w:t>
            </w:r>
          </w:p>
        </w:tc>
        <w:tc>
          <w:tcPr>
            <w:tcW w:w="900" w:type="dxa"/>
            <w:tcBorders>
              <w:top w:val="nil"/>
              <w:left w:val="nil"/>
              <w:bottom w:val="single" w:sz="4" w:space="0" w:color="auto"/>
              <w:right w:val="single" w:sz="4" w:space="0" w:color="auto"/>
            </w:tcBorders>
            <w:shd w:val="clear" w:color="auto" w:fill="auto"/>
            <w:vAlign w:val="bottom"/>
          </w:tcPr>
          <w:p w14:paraId="05389478" w14:textId="2FEC2E10" w:rsidR="004E5586" w:rsidRPr="00640417" w:rsidRDefault="004E5586" w:rsidP="00A03932">
            <w:pPr>
              <w:pStyle w:val="ExhibitText"/>
              <w:spacing w:before="40" w:after="40"/>
              <w:jc w:val="right"/>
              <w:rPr>
                <w:lang w:val="en-GB"/>
              </w:rPr>
            </w:pPr>
            <w:r w:rsidRPr="00640417">
              <w:rPr>
                <w:lang w:val="en-GB"/>
              </w:rPr>
              <w:t>2</w:t>
            </w:r>
            <w:r w:rsidR="009E6904">
              <w:rPr>
                <w:lang w:val="en-GB"/>
              </w:rPr>
              <w:t>.0</w:t>
            </w:r>
          </w:p>
        </w:tc>
        <w:tc>
          <w:tcPr>
            <w:tcW w:w="900" w:type="dxa"/>
            <w:tcBorders>
              <w:top w:val="nil"/>
              <w:left w:val="nil"/>
              <w:bottom w:val="single" w:sz="4" w:space="0" w:color="auto"/>
              <w:right w:val="single" w:sz="4" w:space="0" w:color="auto"/>
            </w:tcBorders>
            <w:shd w:val="clear" w:color="auto" w:fill="auto"/>
            <w:vAlign w:val="bottom"/>
          </w:tcPr>
          <w:p w14:paraId="66A47CA9" w14:textId="77777777" w:rsidR="004E5586" w:rsidRPr="00640417" w:rsidRDefault="004E5586" w:rsidP="00A03932">
            <w:pPr>
              <w:pStyle w:val="ExhibitText"/>
              <w:spacing w:before="40" w:after="40"/>
              <w:jc w:val="right"/>
              <w:rPr>
                <w:lang w:val="en-GB"/>
              </w:rPr>
            </w:pPr>
            <w:r w:rsidRPr="00640417">
              <w:rPr>
                <w:lang w:val="en-GB"/>
              </w:rPr>
              <w:t>2.1</w:t>
            </w:r>
          </w:p>
        </w:tc>
        <w:tc>
          <w:tcPr>
            <w:tcW w:w="990" w:type="dxa"/>
            <w:tcBorders>
              <w:top w:val="nil"/>
              <w:left w:val="nil"/>
              <w:bottom w:val="single" w:sz="4" w:space="0" w:color="auto"/>
              <w:right w:val="single" w:sz="4" w:space="0" w:color="auto"/>
            </w:tcBorders>
            <w:shd w:val="clear" w:color="auto" w:fill="auto"/>
            <w:vAlign w:val="bottom"/>
          </w:tcPr>
          <w:p w14:paraId="4F4F3AA8" w14:textId="77777777" w:rsidR="004E5586" w:rsidRPr="00640417" w:rsidRDefault="004E5586" w:rsidP="00A03932">
            <w:pPr>
              <w:pStyle w:val="ExhibitText"/>
              <w:spacing w:before="40" w:after="40"/>
              <w:jc w:val="right"/>
              <w:rPr>
                <w:lang w:val="en-GB"/>
              </w:rPr>
            </w:pPr>
            <w:r w:rsidRPr="00640417">
              <w:rPr>
                <w:lang w:val="en-GB"/>
              </w:rPr>
              <w:t>2.8</w:t>
            </w:r>
          </w:p>
        </w:tc>
        <w:tc>
          <w:tcPr>
            <w:tcW w:w="990" w:type="dxa"/>
            <w:tcBorders>
              <w:top w:val="nil"/>
              <w:left w:val="nil"/>
              <w:bottom w:val="single" w:sz="4" w:space="0" w:color="auto"/>
              <w:right w:val="single" w:sz="4" w:space="0" w:color="auto"/>
            </w:tcBorders>
            <w:shd w:val="clear" w:color="auto" w:fill="auto"/>
            <w:vAlign w:val="bottom"/>
          </w:tcPr>
          <w:p w14:paraId="2D8A2203" w14:textId="77777777" w:rsidR="004E5586" w:rsidRPr="00640417" w:rsidRDefault="004E5586" w:rsidP="00A03932">
            <w:pPr>
              <w:pStyle w:val="ExhibitText"/>
              <w:spacing w:before="40" w:after="40"/>
              <w:jc w:val="right"/>
              <w:rPr>
                <w:lang w:val="en-GB"/>
              </w:rPr>
            </w:pPr>
            <w:r w:rsidRPr="00640417">
              <w:rPr>
                <w:lang w:val="en-GB"/>
              </w:rPr>
              <w:t>2.8</w:t>
            </w:r>
          </w:p>
        </w:tc>
        <w:tc>
          <w:tcPr>
            <w:tcW w:w="900" w:type="dxa"/>
            <w:tcBorders>
              <w:top w:val="nil"/>
              <w:left w:val="nil"/>
              <w:bottom w:val="single" w:sz="4" w:space="0" w:color="auto"/>
              <w:right w:val="single" w:sz="4" w:space="0" w:color="auto"/>
            </w:tcBorders>
            <w:shd w:val="clear" w:color="auto" w:fill="auto"/>
            <w:vAlign w:val="bottom"/>
          </w:tcPr>
          <w:p w14:paraId="2747A4E8" w14:textId="77777777" w:rsidR="004E5586" w:rsidRPr="00640417" w:rsidRDefault="004E5586" w:rsidP="00A03932">
            <w:pPr>
              <w:pStyle w:val="ExhibitText"/>
              <w:spacing w:before="40" w:after="40"/>
              <w:jc w:val="right"/>
              <w:rPr>
                <w:lang w:val="en-GB"/>
              </w:rPr>
            </w:pPr>
            <w:r w:rsidRPr="00640417">
              <w:rPr>
                <w:lang w:val="en-GB"/>
              </w:rPr>
              <w:t>2.8</w:t>
            </w:r>
          </w:p>
        </w:tc>
      </w:tr>
      <w:tr w:rsidR="004E5586" w:rsidRPr="00640417" w14:paraId="445A53F0" w14:textId="77777777" w:rsidTr="00D075FE">
        <w:trPr>
          <w:trHeight w:val="228"/>
          <w:jc w:val="center"/>
        </w:trPr>
        <w:tc>
          <w:tcPr>
            <w:tcW w:w="3330" w:type="dxa"/>
            <w:tcBorders>
              <w:top w:val="nil"/>
              <w:left w:val="single" w:sz="4" w:space="0" w:color="auto"/>
              <w:bottom w:val="single" w:sz="4" w:space="0" w:color="auto"/>
              <w:right w:val="single" w:sz="4" w:space="0" w:color="auto"/>
            </w:tcBorders>
            <w:shd w:val="clear" w:color="auto" w:fill="auto"/>
            <w:vAlign w:val="bottom"/>
          </w:tcPr>
          <w:p w14:paraId="237928B2" w14:textId="77777777" w:rsidR="004E5586" w:rsidRPr="00640417" w:rsidRDefault="004E5586" w:rsidP="00A03932">
            <w:pPr>
              <w:pStyle w:val="ExhibitText"/>
              <w:spacing w:before="40" w:after="40"/>
              <w:rPr>
                <w:lang w:val="en-GB"/>
              </w:rPr>
            </w:pPr>
            <w:r w:rsidRPr="00640417">
              <w:rPr>
                <w:lang w:val="en-GB"/>
              </w:rPr>
              <w:t>United States</w:t>
            </w:r>
          </w:p>
        </w:tc>
        <w:tc>
          <w:tcPr>
            <w:tcW w:w="900" w:type="dxa"/>
            <w:tcBorders>
              <w:top w:val="nil"/>
              <w:left w:val="nil"/>
              <w:bottom w:val="single" w:sz="4" w:space="0" w:color="auto"/>
              <w:right w:val="single" w:sz="4" w:space="0" w:color="auto"/>
            </w:tcBorders>
            <w:shd w:val="clear" w:color="auto" w:fill="auto"/>
            <w:vAlign w:val="bottom"/>
          </w:tcPr>
          <w:p w14:paraId="7A1AF8C6" w14:textId="77777777" w:rsidR="004E5586" w:rsidRPr="00640417" w:rsidRDefault="004E5586" w:rsidP="00A03932">
            <w:pPr>
              <w:pStyle w:val="ExhibitText"/>
              <w:spacing w:before="40" w:after="40"/>
              <w:jc w:val="right"/>
              <w:rPr>
                <w:lang w:val="en-GB"/>
              </w:rPr>
            </w:pPr>
            <w:r w:rsidRPr="00640417">
              <w:rPr>
                <w:lang w:val="en-GB"/>
              </w:rPr>
              <w:t>2.2</w:t>
            </w:r>
          </w:p>
        </w:tc>
        <w:tc>
          <w:tcPr>
            <w:tcW w:w="900" w:type="dxa"/>
            <w:tcBorders>
              <w:top w:val="nil"/>
              <w:left w:val="nil"/>
              <w:bottom w:val="single" w:sz="4" w:space="0" w:color="auto"/>
              <w:right w:val="single" w:sz="4" w:space="0" w:color="auto"/>
            </w:tcBorders>
            <w:shd w:val="clear" w:color="auto" w:fill="auto"/>
            <w:vAlign w:val="bottom"/>
          </w:tcPr>
          <w:p w14:paraId="77C6B90A" w14:textId="12AFD762" w:rsidR="004E5586" w:rsidRPr="00640417" w:rsidRDefault="004E5586" w:rsidP="00A03932">
            <w:pPr>
              <w:pStyle w:val="ExhibitText"/>
              <w:spacing w:before="40" w:after="40"/>
              <w:jc w:val="right"/>
              <w:rPr>
                <w:lang w:val="en-GB"/>
              </w:rPr>
            </w:pPr>
            <w:r w:rsidRPr="00640417">
              <w:rPr>
                <w:lang w:val="en-GB"/>
              </w:rPr>
              <w:t>2</w:t>
            </w:r>
            <w:r w:rsidR="009E6904">
              <w:rPr>
                <w:lang w:val="en-GB"/>
              </w:rPr>
              <w:t>.0</w:t>
            </w:r>
          </w:p>
        </w:tc>
        <w:tc>
          <w:tcPr>
            <w:tcW w:w="990" w:type="dxa"/>
            <w:tcBorders>
              <w:top w:val="nil"/>
              <w:left w:val="nil"/>
              <w:bottom w:val="single" w:sz="4" w:space="0" w:color="auto"/>
              <w:right w:val="single" w:sz="4" w:space="0" w:color="auto"/>
            </w:tcBorders>
            <w:shd w:val="clear" w:color="auto" w:fill="auto"/>
            <w:vAlign w:val="bottom"/>
          </w:tcPr>
          <w:p w14:paraId="1DB5B13E" w14:textId="77777777" w:rsidR="004E5586" w:rsidRPr="00640417" w:rsidRDefault="004E5586" w:rsidP="00A03932">
            <w:pPr>
              <w:pStyle w:val="ExhibitText"/>
              <w:spacing w:before="40" w:after="40"/>
              <w:jc w:val="right"/>
              <w:rPr>
                <w:lang w:val="en-GB"/>
              </w:rPr>
            </w:pPr>
            <w:r w:rsidRPr="00640417">
              <w:rPr>
                <w:lang w:val="en-GB"/>
              </w:rPr>
              <w:t>1.9</w:t>
            </w:r>
          </w:p>
        </w:tc>
        <w:tc>
          <w:tcPr>
            <w:tcW w:w="990" w:type="dxa"/>
            <w:tcBorders>
              <w:top w:val="nil"/>
              <w:left w:val="nil"/>
              <w:bottom w:val="single" w:sz="4" w:space="0" w:color="auto"/>
              <w:right w:val="single" w:sz="4" w:space="0" w:color="auto"/>
            </w:tcBorders>
            <w:shd w:val="clear" w:color="auto" w:fill="auto"/>
            <w:vAlign w:val="bottom"/>
          </w:tcPr>
          <w:p w14:paraId="5E5D4DB2" w14:textId="7EE68D95" w:rsidR="004E5586" w:rsidRPr="00640417" w:rsidRDefault="004E5586" w:rsidP="00A03932">
            <w:pPr>
              <w:pStyle w:val="ExhibitText"/>
              <w:spacing w:before="40" w:after="40"/>
              <w:jc w:val="right"/>
              <w:rPr>
                <w:lang w:val="en-GB"/>
              </w:rPr>
            </w:pPr>
            <w:r w:rsidRPr="00640417">
              <w:rPr>
                <w:lang w:val="en-GB"/>
              </w:rPr>
              <w:t>2</w:t>
            </w:r>
            <w:r w:rsidR="009E6904">
              <w:rPr>
                <w:lang w:val="en-GB"/>
              </w:rPr>
              <w:t>.0</w:t>
            </w:r>
          </w:p>
        </w:tc>
        <w:tc>
          <w:tcPr>
            <w:tcW w:w="900" w:type="dxa"/>
            <w:tcBorders>
              <w:top w:val="nil"/>
              <w:left w:val="nil"/>
              <w:bottom w:val="single" w:sz="4" w:space="0" w:color="auto"/>
              <w:right w:val="single" w:sz="4" w:space="0" w:color="auto"/>
            </w:tcBorders>
            <w:shd w:val="clear" w:color="auto" w:fill="auto"/>
            <w:vAlign w:val="bottom"/>
          </w:tcPr>
          <w:p w14:paraId="3C7A8C04" w14:textId="77777777" w:rsidR="004E5586" w:rsidRPr="00640417" w:rsidRDefault="004E5586" w:rsidP="00A03932">
            <w:pPr>
              <w:pStyle w:val="ExhibitText"/>
              <w:spacing w:before="40" w:after="40"/>
              <w:jc w:val="right"/>
              <w:rPr>
                <w:lang w:val="en-GB"/>
              </w:rPr>
            </w:pPr>
            <w:r w:rsidRPr="00640417">
              <w:rPr>
                <w:lang w:val="en-GB"/>
              </w:rPr>
              <w:t>2.3</w:t>
            </w:r>
          </w:p>
        </w:tc>
      </w:tr>
      <w:tr w:rsidR="004E5586" w:rsidRPr="00640417" w14:paraId="6890912B" w14:textId="77777777" w:rsidTr="00D075FE">
        <w:trPr>
          <w:trHeight w:val="228"/>
          <w:jc w:val="center"/>
        </w:trPr>
        <w:tc>
          <w:tcPr>
            <w:tcW w:w="3330" w:type="dxa"/>
            <w:tcBorders>
              <w:top w:val="nil"/>
              <w:left w:val="single" w:sz="4" w:space="0" w:color="auto"/>
              <w:bottom w:val="single" w:sz="4" w:space="0" w:color="auto"/>
              <w:right w:val="single" w:sz="4" w:space="0" w:color="auto"/>
            </w:tcBorders>
            <w:shd w:val="clear" w:color="auto" w:fill="auto"/>
            <w:vAlign w:val="bottom"/>
          </w:tcPr>
          <w:p w14:paraId="5852F9E6" w14:textId="77777777" w:rsidR="004E5586" w:rsidRPr="00640417" w:rsidRDefault="004E5586" w:rsidP="00A03932">
            <w:pPr>
              <w:pStyle w:val="ExhibitText"/>
              <w:spacing w:before="40" w:after="40"/>
              <w:rPr>
                <w:b/>
                <w:bCs/>
                <w:lang w:val="en-GB"/>
              </w:rPr>
            </w:pPr>
            <w:r w:rsidRPr="00640417">
              <w:rPr>
                <w:b/>
                <w:bCs/>
                <w:lang w:val="en-GB"/>
              </w:rPr>
              <w:t>World</w:t>
            </w:r>
          </w:p>
        </w:tc>
        <w:tc>
          <w:tcPr>
            <w:tcW w:w="900" w:type="dxa"/>
            <w:tcBorders>
              <w:top w:val="nil"/>
              <w:left w:val="nil"/>
              <w:bottom w:val="single" w:sz="4" w:space="0" w:color="auto"/>
              <w:right w:val="single" w:sz="4" w:space="0" w:color="auto"/>
            </w:tcBorders>
            <w:shd w:val="clear" w:color="auto" w:fill="auto"/>
            <w:vAlign w:val="bottom"/>
          </w:tcPr>
          <w:p w14:paraId="0249D2FC" w14:textId="6DD29C2A" w:rsidR="004E5586" w:rsidRPr="00640417" w:rsidRDefault="004E5586" w:rsidP="00A03932">
            <w:pPr>
              <w:pStyle w:val="ExhibitText"/>
              <w:spacing w:before="40" w:after="40"/>
              <w:jc w:val="right"/>
              <w:rPr>
                <w:b/>
                <w:bCs/>
                <w:lang w:val="en-GB"/>
              </w:rPr>
            </w:pPr>
            <w:r w:rsidRPr="00640417">
              <w:rPr>
                <w:b/>
                <w:bCs/>
                <w:lang w:val="en-GB"/>
              </w:rPr>
              <w:t>31</w:t>
            </w:r>
            <w:r w:rsidR="009E6904">
              <w:rPr>
                <w:b/>
                <w:bCs/>
                <w:lang w:val="en-GB"/>
              </w:rPr>
              <w:t>.0</w:t>
            </w:r>
          </w:p>
        </w:tc>
        <w:tc>
          <w:tcPr>
            <w:tcW w:w="900" w:type="dxa"/>
            <w:tcBorders>
              <w:top w:val="nil"/>
              <w:left w:val="nil"/>
              <w:bottom w:val="single" w:sz="4" w:space="0" w:color="auto"/>
              <w:right w:val="single" w:sz="4" w:space="0" w:color="auto"/>
            </w:tcBorders>
            <w:shd w:val="clear" w:color="auto" w:fill="auto"/>
            <w:vAlign w:val="bottom"/>
          </w:tcPr>
          <w:p w14:paraId="652FCCA2" w14:textId="43BDEE05" w:rsidR="004E5586" w:rsidRPr="00640417" w:rsidRDefault="004E5586" w:rsidP="00A03932">
            <w:pPr>
              <w:pStyle w:val="ExhibitText"/>
              <w:spacing w:before="40" w:after="40"/>
              <w:jc w:val="right"/>
              <w:rPr>
                <w:b/>
                <w:bCs/>
                <w:lang w:val="en-GB"/>
              </w:rPr>
            </w:pPr>
            <w:r w:rsidRPr="00640417">
              <w:rPr>
                <w:b/>
                <w:bCs/>
                <w:lang w:val="en-GB"/>
              </w:rPr>
              <w:t>33</w:t>
            </w:r>
            <w:r w:rsidR="009E6904">
              <w:rPr>
                <w:b/>
                <w:bCs/>
                <w:lang w:val="en-GB"/>
              </w:rPr>
              <w:t>.0</w:t>
            </w:r>
          </w:p>
        </w:tc>
        <w:tc>
          <w:tcPr>
            <w:tcW w:w="990" w:type="dxa"/>
            <w:tcBorders>
              <w:top w:val="nil"/>
              <w:left w:val="nil"/>
              <w:bottom w:val="single" w:sz="4" w:space="0" w:color="auto"/>
              <w:right w:val="single" w:sz="4" w:space="0" w:color="auto"/>
            </w:tcBorders>
            <w:shd w:val="clear" w:color="auto" w:fill="auto"/>
            <w:vAlign w:val="bottom"/>
          </w:tcPr>
          <w:p w14:paraId="75CA60CE" w14:textId="77777777" w:rsidR="004E5586" w:rsidRPr="00640417" w:rsidRDefault="004E5586" w:rsidP="00A03932">
            <w:pPr>
              <w:pStyle w:val="ExhibitText"/>
              <w:spacing w:before="40" w:after="40"/>
              <w:jc w:val="right"/>
              <w:rPr>
                <w:b/>
                <w:bCs/>
                <w:lang w:val="en-GB"/>
              </w:rPr>
            </w:pPr>
            <w:r w:rsidRPr="00640417">
              <w:rPr>
                <w:b/>
                <w:bCs/>
                <w:lang w:val="en-GB"/>
              </w:rPr>
              <w:t>35.9</w:t>
            </w:r>
          </w:p>
        </w:tc>
        <w:tc>
          <w:tcPr>
            <w:tcW w:w="990" w:type="dxa"/>
            <w:tcBorders>
              <w:top w:val="nil"/>
              <w:left w:val="nil"/>
              <w:bottom w:val="single" w:sz="4" w:space="0" w:color="auto"/>
              <w:right w:val="single" w:sz="4" w:space="0" w:color="auto"/>
            </w:tcBorders>
            <w:shd w:val="clear" w:color="auto" w:fill="auto"/>
            <w:vAlign w:val="bottom"/>
          </w:tcPr>
          <w:p w14:paraId="6FF0BCA3" w14:textId="68610BE8" w:rsidR="004E5586" w:rsidRPr="00640417" w:rsidRDefault="004E5586" w:rsidP="00A03932">
            <w:pPr>
              <w:pStyle w:val="ExhibitText"/>
              <w:spacing w:before="40" w:after="40"/>
              <w:jc w:val="right"/>
              <w:rPr>
                <w:b/>
                <w:bCs/>
                <w:lang w:val="en-GB"/>
              </w:rPr>
            </w:pPr>
            <w:r w:rsidRPr="00640417">
              <w:rPr>
                <w:b/>
                <w:bCs/>
                <w:lang w:val="en-GB"/>
              </w:rPr>
              <w:t>38</w:t>
            </w:r>
            <w:r w:rsidR="009E6904">
              <w:rPr>
                <w:b/>
                <w:bCs/>
                <w:lang w:val="en-GB"/>
              </w:rPr>
              <w:t>.0</w:t>
            </w:r>
          </w:p>
        </w:tc>
        <w:tc>
          <w:tcPr>
            <w:tcW w:w="900" w:type="dxa"/>
            <w:tcBorders>
              <w:top w:val="nil"/>
              <w:left w:val="nil"/>
              <w:bottom w:val="single" w:sz="4" w:space="0" w:color="auto"/>
              <w:right w:val="single" w:sz="4" w:space="0" w:color="auto"/>
            </w:tcBorders>
            <w:shd w:val="clear" w:color="auto" w:fill="auto"/>
            <w:vAlign w:val="bottom"/>
          </w:tcPr>
          <w:p w14:paraId="0181B886" w14:textId="77777777" w:rsidR="004E5586" w:rsidRPr="00640417" w:rsidRDefault="004E5586" w:rsidP="00A03932">
            <w:pPr>
              <w:pStyle w:val="ExhibitText"/>
              <w:spacing w:before="40" w:after="40"/>
              <w:jc w:val="right"/>
              <w:rPr>
                <w:b/>
                <w:bCs/>
                <w:lang w:val="en-GB"/>
              </w:rPr>
            </w:pPr>
            <w:r w:rsidRPr="00640417">
              <w:rPr>
                <w:b/>
                <w:bCs/>
                <w:lang w:val="en-GB"/>
              </w:rPr>
              <w:t>41.6</w:t>
            </w:r>
          </w:p>
        </w:tc>
      </w:tr>
    </w:tbl>
    <w:p w14:paraId="0D1E0A13" w14:textId="77777777" w:rsidR="00583ADB" w:rsidRPr="00640417" w:rsidRDefault="00583ADB" w:rsidP="00583ADB">
      <w:pPr>
        <w:pStyle w:val="BodyTextMain"/>
        <w:rPr>
          <w:rFonts w:eastAsia="Calibri"/>
          <w:sz w:val="20"/>
          <w:szCs w:val="20"/>
          <w:lang w:val="en-GB"/>
        </w:rPr>
      </w:pPr>
    </w:p>
    <w:p w14:paraId="2D30C00B" w14:textId="0D6E7BA7" w:rsidR="00583ADB" w:rsidRPr="00C55DA9" w:rsidRDefault="004E5586" w:rsidP="00C55DA9">
      <w:pPr>
        <w:pStyle w:val="BodyTextMain"/>
        <w:rPr>
          <w:rFonts w:ascii="Arial" w:eastAsia="Calibri" w:hAnsi="Arial" w:cs="Arial"/>
          <w:sz w:val="17"/>
          <w:szCs w:val="17"/>
          <w:lang w:val="en-GB"/>
        </w:rPr>
      </w:pPr>
      <w:r w:rsidRPr="00C55DA9">
        <w:rPr>
          <w:rFonts w:ascii="Arial" w:eastAsia="Calibri" w:hAnsi="Arial" w:cs="Arial"/>
          <w:sz w:val="17"/>
          <w:szCs w:val="17"/>
          <w:lang w:val="en-GB"/>
        </w:rPr>
        <w:t>Source:</w:t>
      </w:r>
      <w:r w:rsidR="004A6AB7" w:rsidRPr="00C55DA9">
        <w:rPr>
          <w:rFonts w:ascii="Arial" w:eastAsia="Calibri" w:hAnsi="Arial" w:cs="Arial"/>
          <w:sz w:val="17"/>
          <w:szCs w:val="17"/>
          <w:lang w:val="en-GB"/>
        </w:rPr>
        <w:t xml:space="preserve"> “Stainless Steel in Figures 2017,” International Stainless Steel Forum, accessed December 5, 2017, www.worldstainless.org/statistics</w:t>
      </w:r>
      <w:r w:rsidR="00E768D4">
        <w:rPr>
          <w:rFonts w:ascii="Arial" w:eastAsia="Calibri" w:hAnsi="Arial" w:cs="Arial"/>
          <w:sz w:val="17"/>
          <w:szCs w:val="17"/>
          <w:lang w:val="en-GB"/>
        </w:rPr>
        <w:t>.</w:t>
      </w:r>
    </w:p>
    <w:p w14:paraId="42442ED4" w14:textId="77777777" w:rsidR="00583ADB" w:rsidRDefault="00583ADB" w:rsidP="00583ADB">
      <w:pPr>
        <w:pStyle w:val="BodyTextMain"/>
        <w:rPr>
          <w:rFonts w:eastAsia="Calibri"/>
          <w:sz w:val="20"/>
          <w:szCs w:val="20"/>
          <w:lang w:val="en-GB"/>
        </w:rPr>
      </w:pPr>
    </w:p>
    <w:p w14:paraId="45BBD52E" w14:textId="77777777" w:rsidR="00E768D4" w:rsidRDefault="00E768D4" w:rsidP="00583ADB">
      <w:pPr>
        <w:pStyle w:val="BodyTextMain"/>
        <w:rPr>
          <w:rFonts w:eastAsia="Calibri"/>
          <w:sz w:val="20"/>
          <w:szCs w:val="20"/>
          <w:lang w:val="en-GB"/>
        </w:rPr>
      </w:pPr>
    </w:p>
    <w:p w14:paraId="48264055" w14:textId="7AC94600" w:rsidR="0013128E" w:rsidRPr="00640417" w:rsidRDefault="0013128E" w:rsidP="0013128E">
      <w:pPr>
        <w:pStyle w:val="ExhibitHeading"/>
        <w:keepNext/>
        <w:rPr>
          <w:rFonts w:eastAsia="Calibri"/>
          <w:lang w:val="en-GB"/>
        </w:rPr>
      </w:pPr>
      <w:r w:rsidRPr="00640417">
        <w:rPr>
          <w:rFonts w:eastAsia="Calibri"/>
          <w:lang w:val="en-GB"/>
        </w:rPr>
        <w:t>Exhibit 1</w:t>
      </w:r>
      <w:r w:rsidR="008361B0">
        <w:rPr>
          <w:rFonts w:eastAsia="Calibri"/>
          <w:lang w:val="en-GB"/>
        </w:rPr>
        <w:t>0</w:t>
      </w:r>
      <w:r w:rsidRPr="00640417">
        <w:rPr>
          <w:rFonts w:eastAsia="Calibri"/>
          <w:lang w:val="en-GB"/>
        </w:rPr>
        <w:t>: TREND IN STOCK SHARE PRICE</w:t>
      </w:r>
      <w:r w:rsidR="00E768D4">
        <w:rPr>
          <w:rFonts w:eastAsia="Calibri"/>
          <w:lang w:val="en-GB"/>
        </w:rPr>
        <w:t xml:space="preserve"> (in</w:t>
      </w:r>
      <w:r w:rsidR="00A23EE3">
        <w:rPr>
          <w:rFonts w:eastAsia="Calibri"/>
          <w:lang w:val="en-GB"/>
        </w:rPr>
        <w:t xml:space="preserve"> </w:t>
      </w:r>
      <w:r w:rsidR="00A23EE3" w:rsidRPr="00A23EE3">
        <w:rPr>
          <w:lang w:val="en-GB"/>
        </w:rPr>
        <w:t>₹</w:t>
      </w:r>
      <w:r w:rsidR="00A23EE3">
        <w:rPr>
          <w:lang w:val="en-GB"/>
        </w:rPr>
        <w:t>)</w:t>
      </w:r>
    </w:p>
    <w:p w14:paraId="7E7EDF68" w14:textId="77777777" w:rsidR="0013128E" w:rsidRPr="00640417" w:rsidRDefault="0013128E" w:rsidP="0013128E">
      <w:pPr>
        <w:pStyle w:val="ExhibitHeading"/>
        <w:keepNext/>
        <w:rPr>
          <w:rFonts w:eastAsia="Calibri"/>
          <w:lang w:val="en-GB"/>
        </w:rPr>
      </w:pPr>
    </w:p>
    <w:tbl>
      <w:tblPr>
        <w:tblW w:w="8550" w:type="dxa"/>
        <w:jc w:val="center"/>
        <w:tblLayout w:type="fixed"/>
        <w:tblLook w:val="04A0" w:firstRow="1" w:lastRow="0" w:firstColumn="1" w:lastColumn="0" w:noHBand="0" w:noVBand="1"/>
      </w:tblPr>
      <w:tblGrid>
        <w:gridCol w:w="682"/>
        <w:gridCol w:w="1388"/>
        <w:gridCol w:w="1530"/>
        <w:gridCol w:w="1530"/>
        <w:gridCol w:w="1440"/>
        <w:gridCol w:w="1980"/>
      </w:tblGrid>
      <w:tr w:rsidR="0013128E" w:rsidRPr="00640417" w14:paraId="377915B9" w14:textId="77777777" w:rsidTr="00FB58DA">
        <w:trPr>
          <w:trHeight w:val="434"/>
          <w:jc w:val="center"/>
        </w:trPr>
        <w:tc>
          <w:tcPr>
            <w:tcW w:w="682" w:type="dxa"/>
            <w:tcBorders>
              <w:top w:val="single" w:sz="8" w:space="0" w:color="auto"/>
              <w:left w:val="single" w:sz="8" w:space="0" w:color="auto"/>
              <w:bottom w:val="single" w:sz="8" w:space="0" w:color="auto"/>
              <w:right w:val="single" w:sz="8" w:space="0" w:color="auto"/>
            </w:tcBorders>
            <w:shd w:val="clear" w:color="auto" w:fill="auto"/>
            <w:vAlign w:val="center"/>
          </w:tcPr>
          <w:p w14:paraId="644D9383" w14:textId="77777777" w:rsidR="0013128E" w:rsidRPr="00640417" w:rsidRDefault="0013128E" w:rsidP="00F52E6C">
            <w:pPr>
              <w:pStyle w:val="ExhibitText"/>
              <w:keepNext/>
              <w:jc w:val="center"/>
              <w:rPr>
                <w:b/>
                <w:lang w:val="en-GB"/>
              </w:rPr>
            </w:pPr>
            <w:r w:rsidRPr="00640417">
              <w:rPr>
                <w:b/>
                <w:lang w:val="en-GB"/>
              </w:rPr>
              <w:t>Year</w:t>
            </w:r>
          </w:p>
        </w:tc>
        <w:tc>
          <w:tcPr>
            <w:tcW w:w="1388" w:type="dxa"/>
            <w:tcBorders>
              <w:top w:val="single" w:sz="8" w:space="0" w:color="auto"/>
              <w:left w:val="nil"/>
              <w:bottom w:val="single" w:sz="8" w:space="0" w:color="auto"/>
              <w:right w:val="single" w:sz="8" w:space="0" w:color="auto"/>
            </w:tcBorders>
            <w:shd w:val="clear" w:color="auto" w:fill="auto"/>
            <w:vAlign w:val="center"/>
          </w:tcPr>
          <w:p w14:paraId="7EA94474" w14:textId="2D39069E" w:rsidR="0013128E" w:rsidRPr="00640417" w:rsidRDefault="0013128E" w:rsidP="001101F1">
            <w:pPr>
              <w:pStyle w:val="ExhibitText"/>
              <w:keepNext/>
              <w:jc w:val="center"/>
              <w:rPr>
                <w:b/>
                <w:lang w:val="en-GB"/>
              </w:rPr>
            </w:pPr>
            <w:r w:rsidRPr="00640417">
              <w:rPr>
                <w:b/>
                <w:lang w:val="en-GB"/>
              </w:rPr>
              <w:t>Open Price</w:t>
            </w:r>
          </w:p>
        </w:tc>
        <w:tc>
          <w:tcPr>
            <w:tcW w:w="1530" w:type="dxa"/>
            <w:tcBorders>
              <w:top w:val="single" w:sz="8" w:space="0" w:color="auto"/>
              <w:left w:val="nil"/>
              <w:bottom w:val="single" w:sz="8" w:space="0" w:color="auto"/>
              <w:right w:val="single" w:sz="8" w:space="0" w:color="auto"/>
            </w:tcBorders>
            <w:shd w:val="clear" w:color="auto" w:fill="auto"/>
            <w:vAlign w:val="center"/>
          </w:tcPr>
          <w:p w14:paraId="1C76CEFA" w14:textId="697A5C30" w:rsidR="0013128E" w:rsidRPr="00640417" w:rsidRDefault="0013128E" w:rsidP="001101F1">
            <w:pPr>
              <w:pStyle w:val="ExhibitText"/>
              <w:keepNext/>
              <w:jc w:val="center"/>
              <w:rPr>
                <w:b/>
                <w:lang w:val="en-GB"/>
              </w:rPr>
            </w:pPr>
            <w:r w:rsidRPr="00640417">
              <w:rPr>
                <w:b/>
                <w:lang w:val="en-GB"/>
              </w:rPr>
              <w:t>High Price</w:t>
            </w:r>
          </w:p>
        </w:tc>
        <w:tc>
          <w:tcPr>
            <w:tcW w:w="1530" w:type="dxa"/>
            <w:tcBorders>
              <w:top w:val="single" w:sz="8" w:space="0" w:color="auto"/>
              <w:left w:val="nil"/>
              <w:bottom w:val="single" w:sz="8" w:space="0" w:color="auto"/>
              <w:right w:val="single" w:sz="8" w:space="0" w:color="auto"/>
            </w:tcBorders>
            <w:shd w:val="clear" w:color="auto" w:fill="auto"/>
            <w:vAlign w:val="center"/>
          </w:tcPr>
          <w:p w14:paraId="34C7DD49" w14:textId="20157F93" w:rsidR="0013128E" w:rsidRPr="00640417" w:rsidRDefault="0013128E" w:rsidP="001101F1">
            <w:pPr>
              <w:pStyle w:val="ExhibitText"/>
              <w:keepNext/>
              <w:jc w:val="center"/>
              <w:rPr>
                <w:b/>
                <w:lang w:val="en-GB"/>
              </w:rPr>
            </w:pPr>
            <w:r w:rsidRPr="00640417">
              <w:rPr>
                <w:b/>
                <w:lang w:val="en-GB"/>
              </w:rPr>
              <w:t>Low Price</w:t>
            </w:r>
          </w:p>
        </w:tc>
        <w:tc>
          <w:tcPr>
            <w:tcW w:w="1440" w:type="dxa"/>
            <w:tcBorders>
              <w:top w:val="single" w:sz="8" w:space="0" w:color="auto"/>
              <w:left w:val="nil"/>
              <w:bottom w:val="single" w:sz="8" w:space="0" w:color="auto"/>
              <w:right w:val="single" w:sz="8" w:space="0" w:color="auto"/>
            </w:tcBorders>
            <w:shd w:val="clear" w:color="auto" w:fill="auto"/>
            <w:vAlign w:val="center"/>
          </w:tcPr>
          <w:p w14:paraId="59CB44E2" w14:textId="197DBB28" w:rsidR="0013128E" w:rsidRPr="00640417" w:rsidRDefault="0013128E" w:rsidP="001101F1">
            <w:pPr>
              <w:pStyle w:val="ExhibitText"/>
              <w:keepNext/>
              <w:jc w:val="center"/>
              <w:rPr>
                <w:b/>
                <w:lang w:val="en-GB"/>
              </w:rPr>
            </w:pPr>
            <w:r w:rsidRPr="00640417">
              <w:rPr>
                <w:b/>
                <w:lang w:val="en-GB"/>
              </w:rPr>
              <w:t>Close Price</w:t>
            </w:r>
          </w:p>
        </w:tc>
        <w:tc>
          <w:tcPr>
            <w:tcW w:w="1980" w:type="dxa"/>
            <w:tcBorders>
              <w:top w:val="single" w:sz="8" w:space="0" w:color="auto"/>
              <w:left w:val="nil"/>
              <w:bottom w:val="single" w:sz="8" w:space="0" w:color="auto"/>
              <w:right w:val="single" w:sz="8" w:space="0" w:color="auto"/>
            </w:tcBorders>
            <w:shd w:val="clear" w:color="auto" w:fill="auto"/>
            <w:vAlign w:val="center"/>
          </w:tcPr>
          <w:p w14:paraId="661E6798" w14:textId="0781AC2D" w:rsidR="0013128E" w:rsidRPr="00640417" w:rsidRDefault="0013128E" w:rsidP="00F52E6C">
            <w:pPr>
              <w:pStyle w:val="ExhibitText"/>
              <w:keepNext/>
              <w:jc w:val="center"/>
              <w:rPr>
                <w:b/>
                <w:lang w:val="en-GB"/>
              </w:rPr>
            </w:pPr>
            <w:r w:rsidRPr="00640417">
              <w:rPr>
                <w:b/>
                <w:lang w:val="en-GB"/>
              </w:rPr>
              <w:t>N</w:t>
            </w:r>
            <w:r w:rsidR="00E768D4">
              <w:rPr>
                <w:b/>
                <w:lang w:val="en-GB"/>
              </w:rPr>
              <w:t>umber</w:t>
            </w:r>
            <w:r w:rsidRPr="00640417">
              <w:rPr>
                <w:b/>
                <w:lang w:val="en-GB"/>
              </w:rPr>
              <w:t xml:space="preserve"> of Trades</w:t>
            </w:r>
          </w:p>
        </w:tc>
      </w:tr>
      <w:tr w:rsidR="0013128E" w:rsidRPr="00640417" w14:paraId="02FCEEB8" w14:textId="77777777" w:rsidTr="00FB58DA">
        <w:trPr>
          <w:trHeight w:val="446"/>
          <w:jc w:val="center"/>
        </w:trPr>
        <w:tc>
          <w:tcPr>
            <w:tcW w:w="682" w:type="dxa"/>
            <w:tcBorders>
              <w:top w:val="nil"/>
              <w:left w:val="single" w:sz="8" w:space="0" w:color="auto"/>
              <w:bottom w:val="single" w:sz="8" w:space="0" w:color="auto"/>
              <w:right w:val="single" w:sz="8" w:space="0" w:color="auto"/>
            </w:tcBorders>
            <w:shd w:val="clear" w:color="auto" w:fill="auto"/>
            <w:vAlign w:val="center"/>
          </w:tcPr>
          <w:p w14:paraId="3B433C70" w14:textId="77777777" w:rsidR="0013128E" w:rsidRPr="00640417" w:rsidRDefault="0013128E" w:rsidP="00F52E6C">
            <w:pPr>
              <w:pStyle w:val="ExhibitText"/>
              <w:keepNext/>
              <w:rPr>
                <w:lang w:val="en-GB"/>
              </w:rPr>
            </w:pPr>
            <w:r w:rsidRPr="00640417">
              <w:rPr>
                <w:lang w:val="en-GB"/>
              </w:rPr>
              <w:t>2010</w:t>
            </w:r>
          </w:p>
        </w:tc>
        <w:tc>
          <w:tcPr>
            <w:tcW w:w="1388" w:type="dxa"/>
            <w:tcBorders>
              <w:top w:val="nil"/>
              <w:left w:val="nil"/>
              <w:bottom w:val="single" w:sz="8" w:space="0" w:color="auto"/>
              <w:right w:val="single" w:sz="8" w:space="0" w:color="auto"/>
            </w:tcBorders>
            <w:shd w:val="clear" w:color="auto" w:fill="auto"/>
            <w:vAlign w:val="center"/>
          </w:tcPr>
          <w:p w14:paraId="1D72738D" w14:textId="77777777" w:rsidR="0013128E" w:rsidRPr="00640417" w:rsidRDefault="0013128E" w:rsidP="00F52E6C">
            <w:pPr>
              <w:pStyle w:val="ExhibitText"/>
              <w:keepNext/>
              <w:jc w:val="right"/>
              <w:rPr>
                <w:lang w:val="en-GB"/>
              </w:rPr>
            </w:pPr>
            <w:r w:rsidRPr="00640417">
              <w:rPr>
                <w:lang w:val="en-GB"/>
              </w:rPr>
              <w:t>149.63</w:t>
            </w:r>
          </w:p>
        </w:tc>
        <w:tc>
          <w:tcPr>
            <w:tcW w:w="1530" w:type="dxa"/>
            <w:tcBorders>
              <w:top w:val="nil"/>
              <w:left w:val="nil"/>
              <w:bottom w:val="single" w:sz="8" w:space="0" w:color="auto"/>
              <w:right w:val="single" w:sz="8" w:space="0" w:color="auto"/>
            </w:tcBorders>
            <w:shd w:val="clear" w:color="auto" w:fill="auto"/>
            <w:vAlign w:val="center"/>
          </w:tcPr>
          <w:p w14:paraId="4AC79A0D" w14:textId="77777777" w:rsidR="0013128E" w:rsidRPr="00640417" w:rsidRDefault="0013128E" w:rsidP="00F52E6C">
            <w:pPr>
              <w:pStyle w:val="ExhibitText"/>
              <w:keepNext/>
              <w:jc w:val="right"/>
              <w:rPr>
                <w:lang w:val="en-GB"/>
              </w:rPr>
            </w:pPr>
            <w:r w:rsidRPr="00640417">
              <w:rPr>
                <w:lang w:val="en-GB"/>
              </w:rPr>
              <w:t>162.59</w:t>
            </w:r>
          </w:p>
        </w:tc>
        <w:tc>
          <w:tcPr>
            <w:tcW w:w="1530" w:type="dxa"/>
            <w:tcBorders>
              <w:top w:val="nil"/>
              <w:left w:val="nil"/>
              <w:bottom w:val="single" w:sz="8" w:space="0" w:color="auto"/>
              <w:right w:val="single" w:sz="8" w:space="0" w:color="auto"/>
            </w:tcBorders>
            <w:shd w:val="clear" w:color="auto" w:fill="auto"/>
            <w:vAlign w:val="center"/>
          </w:tcPr>
          <w:p w14:paraId="666DB68B" w14:textId="77777777" w:rsidR="0013128E" w:rsidRPr="00640417" w:rsidRDefault="0013128E" w:rsidP="00F52E6C">
            <w:pPr>
              <w:pStyle w:val="ExhibitText"/>
              <w:keepNext/>
              <w:jc w:val="right"/>
              <w:rPr>
                <w:lang w:val="en-GB"/>
              </w:rPr>
            </w:pPr>
            <w:r w:rsidRPr="00640417">
              <w:rPr>
                <w:lang w:val="en-GB"/>
              </w:rPr>
              <w:t>116.75</w:t>
            </w:r>
          </w:p>
        </w:tc>
        <w:tc>
          <w:tcPr>
            <w:tcW w:w="1440" w:type="dxa"/>
            <w:tcBorders>
              <w:top w:val="nil"/>
              <w:left w:val="nil"/>
              <w:bottom w:val="single" w:sz="8" w:space="0" w:color="auto"/>
              <w:right w:val="single" w:sz="8" w:space="0" w:color="auto"/>
            </w:tcBorders>
            <w:shd w:val="clear" w:color="auto" w:fill="auto"/>
            <w:vAlign w:val="center"/>
          </w:tcPr>
          <w:p w14:paraId="1A00D9D3" w14:textId="77777777" w:rsidR="0013128E" w:rsidRPr="00640417" w:rsidRDefault="0013128E" w:rsidP="00F52E6C">
            <w:pPr>
              <w:pStyle w:val="ExhibitText"/>
              <w:keepNext/>
              <w:jc w:val="right"/>
              <w:rPr>
                <w:lang w:val="en-GB"/>
              </w:rPr>
            </w:pPr>
            <w:r w:rsidRPr="00640417">
              <w:rPr>
                <w:lang w:val="en-GB"/>
              </w:rPr>
              <w:t>129.95</w:t>
            </w:r>
          </w:p>
        </w:tc>
        <w:tc>
          <w:tcPr>
            <w:tcW w:w="1980" w:type="dxa"/>
            <w:tcBorders>
              <w:top w:val="nil"/>
              <w:left w:val="nil"/>
              <w:bottom w:val="single" w:sz="8" w:space="0" w:color="auto"/>
              <w:right w:val="single" w:sz="8" w:space="0" w:color="auto"/>
            </w:tcBorders>
            <w:shd w:val="clear" w:color="auto" w:fill="auto"/>
            <w:vAlign w:val="center"/>
          </w:tcPr>
          <w:p w14:paraId="2DB139A3" w14:textId="77777777" w:rsidR="0013128E" w:rsidRPr="00640417" w:rsidRDefault="0013128E" w:rsidP="00F52E6C">
            <w:pPr>
              <w:pStyle w:val="ExhibitText"/>
              <w:keepNext/>
              <w:jc w:val="right"/>
              <w:rPr>
                <w:lang w:val="en-GB"/>
              </w:rPr>
            </w:pPr>
            <w:r w:rsidRPr="00640417">
              <w:rPr>
                <w:lang w:val="en-GB"/>
              </w:rPr>
              <w:t>327,364</w:t>
            </w:r>
          </w:p>
        </w:tc>
      </w:tr>
      <w:tr w:rsidR="0013128E" w:rsidRPr="00640417" w14:paraId="31753686" w14:textId="77777777" w:rsidTr="00FB58DA">
        <w:trPr>
          <w:trHeight w:val="446"/>
          <w:jc w:val="center"/>
        </w:trPr>
        <w:tc>
          <w:tcPr>
            <w:tcW w:w="682" w:type="dxa"/>
            <w:tcBorders>
              <w:top w:val="nil"/>
              <w:left w:val="single" w:sz="8" w:space="0" w:color="auto"/>
              <w:bottom w:val="single" w:sz="8" w:space="0" w:color="auto"/>
              <w:right w:val="single" w:sz="8" w:space="0" w:color="auto"/>
            </w:tcBorders>
            <w:shd w:val="clear" w:color="auto" w:fill="auto"/>
            <w:vAlign w:val="center"/>
          </w:tcPr>
          <w:p w14:paraId="3C5ECDC7" w14:textId="77777777" w:rsidR="0013128E" w:rsidRPr="00640417" w:rsidRDefault="0013128E" w:rsidP="00F52E6C">
            <w:pPr>
              <w:pStyle w:val="ExhibitText"/>
              <w:keepNext/>
              <w:rPr>
                <w:lang w:val="en-GB"/>
              </w:rPr>
            </w:pPr>
            <w:r w:rsidRPr="00640417">
              <w:rPr>
                <w:lang w:val="en-GB"/>
              </w:rPr>
              <w:t>2011</w:t>
            </w:r>
          </w:p>
        </w:tc>
        <w:tc>
          <w:tcPr>
            <w:tcW w:w="1388" w:type="dxa"/>
            <w:tcBorders>
              <w:top w:val="nil"/>
              <w:left w:val="nil"/>
              <w:bottom w:val="single" w:sz="8" w:space="0" w:color="auto"/>
              <w:right w:val="single" w:sz="8" w:space="0" w:color="auto"/>
            </w:tcBorders>
            <w:shd w:val="clear" w:color="auto" w:fill="auto"/>
            <w:vAlign w:val="center"/>
          </w:tcPr>
          <w:p w14:paraId="1C092955" w14:textId="77777777" w:rsidR="0013128E" w:rsidRPr="00640417" w:rsidRDefault="0013128E" w:rsidP="00F52E6C">
            <w:pPr>
              <w:pStyle w:val="ExhibitText"/>
              <w:keepNext/>
              <w:jc w:val="right"/>
              <w:rPr>
                <w:lang w:val="en-GB"/>
              </w:rPr>
            </w:pPr>
            <w:r w:rsidRPr="00640417">
              <w:rPr>
                <w:lang w:val="en-GB"/>
              </w:rPr>
              <w:t>131.93</w:t>
            </w:r>
          </w:p>
        </w:tc>
        <w:tc>
          <w:tcPr>
            <w:tcW w:w="1530" w:type="dxa"/>
            <w:tcBorders>
              <w:top w:val="nil"/>
              <w:left w:val="nil"/>
              <w:bottom w:val="single" w:sz="8" w:space="0" w:color="auto"/>
              <w:right w:val="single" w:sz="8" w:space="0" w:color="auto"/>
            </w:tcBorders>
            <w:shd w:val="clear" w:color="auto" w:fill="auto"/>
            <w:vAlign w:val="center"/>
          </w:tcPr>
          <w:p w14:paraId="26836AC9" w14:textId="77777777" w:rsidR="0013128E" w:rsidRPr="00640417" w:rsidRDefault="0013128E" w:rsidP="00F52E6C">
            <w:pPr>
              <w:pStyle w:val="ExhibitText"/>
              <w:keepNext/>
              <w:jc w:val="right"/>
              <w:rPr>
                <w:lang w:val="en-GB"/>
              </w:rPr>
            </w:pPr>
            <w:r w:rsidRPr="00640417">
              <w:rPr>
                <w:lang w:val="en-GB"/>
              </w:rPr>
              <w:t>135.65</w:t>
            </w:r>
          </w:p>
        </w:tc>
        <w:tc>
          <w:tcPr>
            <w:tcW w:w="1530" w:type="dxa"/>
            <w:tcBorders>
              <w:top w:val="nil"/>
              <w:left w:val="nil"/>
              <w:bottom w:val="single" w:sz="8" w:space="0" w:color="auto"/>
              <w:right w:val="single" w:sz="8" w:space="0" w:color="auto"/>
            </w:tcBorders>
            <w:shd w:val="clear" w:color="auto" w:fill="auto"/>
            <w:vAlign w:val="center"/>
          </w:tcPr>
          <w:p w14:paraId="1AA470BF" w14:textId="77777777" w:rsidR="0013128E" w:rsidRPr="00640417" w:rsidRDefault="0013128E" w:rsidP="00F52E6C">
            <w:pPr>
              <w:pStyle w:val="ExhibitText"/>
              <w:keepNext/>
              <w:jc w:val="right"/>
              <w:rPr>
                <w:lang w:val="en-GB"/>
              </w:rPr>
            </w:pPr>
            <w:r w:rsidRPr="00640417">
              <w:rPr>
                <w:lang w:val="en-GB"/>
              </w:rPr>
              <w:t>79.25</w:t>
            </w:r>
          </w:p>
        </w:tc>
        <w:tc>
          <w:tcPr>
            <w:tcW w:w="1440" w:type="dxa"/>
            <w:tcBorders>
              <w:top w:val="nil"/>
              <w:left w:val="nil"/>
              <w:bottom w:val="single" w:sz="8" w:space="0" w:color="auto"/>
              <w:right w:val="single" w:sz="8" w:space="0" w:color="auto"/>
            </w:tcBorders>
            <w:shd w:val="clear" w:color="auto" w:fill="auto"/>
            <w:vAlign w:val="center"/>
          </w:tcPr>
          <w:p w14:paraId="31860D0E" w14:textId="77777777" w:rsidR="0013128E" w:rsidRPr="00640417" w:rsidRDefault="0013128E" w:rsidP="00F52E6C">
            <w:pPr>
              <w:pStyle w:val="ExhibitText"/>
              <w:keepNext/>
              <w:jc w:val="right"/>
              <w:rPr>
                <w:lang w:val="en-GB"/>
              </w:rPr>
            </w:pPr>
            <w:r w:rsidRPr="00640417">
              <w:rPr>
                <w:lang w:val="en-GB"/>
              </w:rPr>
              <w:t>87.11</w:t>
            </w:r>
          </w:p>
        </w:tc>
        <w:tc>
          <w:tcPr>
            <w:tcW w:w="1980" w:type="dxa"/>
            <w:tcBorders>
              <w:top w:val="nil"/>
              <w:left w:val="nil"/>
              <w:bottom w:val="single" w:sz="8" w:space="0" w:color="auto"/>
              <w:right w:val="single" w:sz="8" w:space="0" w:color="auto"/>
            </w:tcBorders>
            <w:shd w:val="clear" w:color="auto" w:fill="auto"/>
            <w:vAlign w:val="center"/>
          </w:tcPr>
          <w:p w14:paraId="7EAF985D" w14:textId="77777777" w:rsidR="0013128E" w:rsidRPr="00640417" w:rsidRDefault="0013128E" w:rsidP="00F52E6C">
            <w:pPr>
              <w:pStyle w:val="ExhibitText"/>
              <w:keepNext/>
              <w:jc w:val="right"/>
              <w:rPr>
                <w:lang w:val="en-GB"/>
              </w:rPr>
            </w:pPr>
            <w:r w:rsidRPr="00640417">
              <w:rPr>
                <w:lang w:val="en-GB"/>
              </w:rPr>
              <w:t>110,111</w:t>
            </w:r>
          </w:p>
        </w:tc>
      </w:tr>
      <w:tr w:rsidR="0013128E" w:rsidRPr="00640417" w14:paraId="0F93418D" w14:textId="77777777" w:rsidTr="00FB58DA">
        <w:trPr>
          <w:trHeight w:val="446"/>
          <w:jc w:val="center"/>
        </w:trPr>
        <w:tc>
          <w:tcPr>
            <w:tcW w:w="682" w:type="dxa"/>
            <w:tcBorders>
              <w:top w:val="nil"/>
              <w:left w:val="single" w:sz="8" w:space="0" w:color="auto"/>
              <w:bottom w:val="single" w:sz="8" w:space="0" w:color="auto"/>
              <w:right w:val="single" w:sz="8" w:space="0" w:color="auto"/>
            </w:tcBorders>
            <w:shd w:val="clear" w:color="auto" w:fill="auto"/>
            <w:vAlign w:val="center"/>
          </w:tcPr>
          <w:p w14:paraId="78B98D91" w14:textId="77777777" w:rsidR="0013128E" w:rsidRPr="00640417" w:rsidRDefault="0013128E" w:rsidP="00F52E6C">
            <w:pPr>
              <w:pStyle w:val="ExhibitText"/>
              <w:keepNext/>
              <w:rPr>
                <w:lang w:val="en-GB"/>
              </w:rPr>
            </w:pPr>
            <w:r w:rsidRPr="00640417">
              <w:rPr>
                <w:lang w:val="en-GB"/>
              </w:rPr>
              <w:t>2012</w:t>
            </w:r>
          </w:p>
        </w:tc>
        <w:tc>
          <w:tcPr>
            <w:tcW w:w="1388" w:type="dxa"/>
            <w:tcBorders>
              <w:top w:val="nil"/>
              <w:left w:val="nil"/>
              <w:bottom w:val="single" w:sz="8" w:space="0" w:color="auto"/>
              <w:right w:val="single" w:sz="8" w:space="0" w:color="auto"/>
            </w:tcBorders>
            <w:shd w:val="clear" w:color="auto" w:fill="auto"/>
            <w:vAlign w:val="center"/>
          </w:tcPr>
          <w:p w14:paraId="0178DA2F" w14:textId="77777777" w:rsidR="0013128E" w:rsidRPr="00640417" w:rsidRDefault="0013128E" w:rsidP="00F52E6C">
            <w:pPr>
              <w:pStyle w:val="ExhibitText"/>
              <w:keepNext/>
              <w:jc w:val="right"/>
              <w:rPr>
                <w:lang w:val="en-GB"/>
              </w:rPr>
            </w:pPr>
            <w:r w:rsidRPr="00640417">
              <w:rPr>
                <w:lang w:val="en-GB"/>
              </w:rPr>
              <w:t>86.39</w:t>
            </w:r>
          </w:p>
        </w:tc>
        <w:tc>
          <w:tcPr>
            <w:tcW w:w="1530" w:type="dxa"/>
            <w:tcBorders>
              <w:top w:val="nil"/>
              <w:left w:val="nil"/>
              <w:bottom w:val="single" w:sz="8" w:space="0" w:color="auto"/>
              <w:right w:val="single" w:sz="8" w:space="0" w:color="auto"/>
            </w:tcBorders>
            <w:shd w:val="clear" w:color="auto" w:fill="auto"/>
            <w:vAlign w:val="center"/>
          </w:tcPr>
          <w:p w14:paraId="1456DCC6" w14:textId="77777777" w:rsidR="0013128E" w:rsidRPr="00640417" w:rsidRDefault="0013128E" w:rsidP="00F52E6C">
            <w:pPr>
              <w:pStyle w:val="ExhibitText"/>
              <w:keepNext/>
              <w:jc w:val="right"/>
              <w:rPr>
                <w:lang w:val="en-GB"/>
              </w:rPr>
            </w:pPr>
            <w:r w:rsidRPr="00640417">
              <w:rPr>
                <w:lang w:val="en-GB"/>
              </w:rPr>
              <w:t>106.43</w:t>
            </w:r>
          </w:p>
        </w:tc>
        <w:tc>
          <w:tcPr>
            <w:tcW w:w="1530" w:type="dxa"/>
            <w:tcBorders>
              <w:top w:val="nil"/>
              <w:left w:val="nil"/>
              <w:bottom w:val="single" w:sz="8" w:space="0" w:color="auto"/>
              <w:right w:val="single" w:sz="8" w:space="0" w:color="auto"/>
            </w:tcBorders>
            <w:shd w:val="clear" w:color="auto" w:fill="auto"/>
            <w:vAlign w:val="center"/>
          </w:tcPr>
          <w:p w14:paraId="63604509" w14:textId="77777777" w:rsidR="0013128E" w:rsidRPr="00640417" w:rsidRDefault="0013128E" w:rsidP="00F52E6C">
            <w:pPr>
              <w:pStyle w:val="ExhibitText"/>
              <w:keepNext/>
              <w:jc w:val="right"/>
              <w:rPr>
                <w:lang w:val="en-GB"/>
              </w:rPr>
            </w:pPr>
            <w:r w:rsidRPr="00640417">
              <w:rPr>
                <w:lang w:val="en-GB"/>
              </w:rPr>
              <w:t>66.47</w:t>
            </w:r>
          </w:p>
        </w:tc>
        <w:tc>
          <w:tcPr>
            <w:tcW w:w="1440" w:type="dxa"/>
            <w:tcBorders>
              <w:top w:val="nil"/>
              <w:left w:val="nil"/>
              <w:bottom w:val="single" w:sz="8" w:space="0" w:color="auto"/>
              <w:right w:val="single" w:sz="8" w:space="0" w:color="auto"/>
            </w:tcBorders>
            <w:shd w:val="clear" w:color="auto" w:fill="auto"/>
            <w:vAlign w:val="center"/>
          </w:tcPr>
          <w:p w14:paraId="7F455CF2" w14:textId="77777777" w:rsidR="0013128E" w:rsidRPr="00640417" w:rsidRDefault="0013128E" w:rsidP="00F52E6C">
            <w:pPr>
              <w:pStyle w:val="ExhibitText"/>
              <w:keepNext/>
              <w:jc w:val="right"/>
              <w:rPr>
                <w:lang w:val="en-GB"/>
              </w:rPr>
            </w:pPr>
            <w:r w:rsidRPr="00640417">
              <w:rPr>
                <w:lang w:val="en-GB"/>
              </w:rPr>
              <w:t>85.19</w:t>
            </w:r>
          </w:p>
        </w:tc>
        <w:tc>
          <w:tcPr>
            <w:tcW w:w="1980" w:type="dxa"/>
            <w:tcBorders>
              <w:top w:val="nil"/>
              <w:left w:val="nil"/>
              <w:bottom w:val="single" w:sz="8" w:space="0" w:color="auto"/>
              <w:right w:val="single" w:sz="8" w:space="0" w:color="auto"/>
            </w:tcBorders>
            <w:shd w:val="clear" w:color="auto" w:fill="auto"/>
            <w:vAlign w:val="center"/>
          </w:tcPr>
          <w:p w14:paraId="230B9D03" w14:textId="77777777" w:rsidR="0013128E" w:rsidRPr="00640417" w:rsidRDefault="0013128E" w:rsidP="00F52E6C">
            <w:pPr>
              <w:pStyle w:val="ExhibitText"/>
              <w:keepNext/>
              <w:jc w:val="right"/>
              <w:rPr>
                <w:lang w:val="en-GB"/>
              </w:rPr>
            </w:pPr>
            <w:r w:rsidRPr="00640417">
              <w:rPr>
                <w:lang w:val="en-GB"/>
              </w:rPr>
              <w:t>150,393</w:t>
            </w:r>
          </w:p>
        </w:tc>
      </w:tr>
      <w:tr w:rsidR="0013128E" w:rsidRPr="00640417" w14:paraId="6CE2F0D8" w14:textId="77777777" w:rsidTr="00FB58DA">
        <w:trPr>
          <w:trHeight w:val="446"/>
          <w:jc w:val="center"/>
        </w:trPr>
        <w:tc>
          <w:tcPr>
            <w:tcW w:w="682" w:type="dxa"/>
            <w:tcBorders>
              <w:top w:val="nil"/>
              <w:left w:val="single" w:sz="8" w:space="0" w:color="auto"/>
              <w:bottom w:val="single" w:sz="8" w:space="0" w:color="auto"/>
              <w:right w:val="single" w:sz="8" w:space="0" w:color="auto"/>
            </w:tcBorders>
            <w:shd w:val="clear" w:color="auto" w:fill="auto"/>
            <w:vAlign w:val="center"/>
          </w:tcPr>
          <w:p w14:paraId="1F468050" w14:textId="77777777" w:rsidR="0013128E" w:rsidRPr="00640417" w:rsidRDefault="0013128E" w:rsidP="00F52E6C">
            <w:pPr>
              <w:pStyle w:val="ExhibitText"/>
              <w:keepNext/>
              <w:rPr>
                <w:lang w:val="en-GB"/>
              </w:rPr>
            </w:pPr>
            <w:r w:rsidRPr="00640417">
              <w:rPr>
                <w:lang w:val="en-GB"/>
              </w:rPr>
              <w:t>2013</w:t>
            </w:r>
          </w:p>
        </w:tc>
        <w:tc>
          <w:tcPr>
            <w:tcW w:w="1388" w:type="dxa"/>
            <w:tcBorders>
              <w:top w:val="nil"/>
              <w:left w:val="nil"/>
              <w:bottom w:val="single" w:sz="8" w:space="0" w:color="auto"/>
              <w:right w:val="single" w:sz="8" w:space="0" w:color="auto"/>
            </w:tcBorders>
            <w:shd w:val="clear" w:color="auto" w:fill="auto"/>
            <w:vAlign w:val="center"/>
          </w:tcPr>
          <w:p w14:paraId="6EB5387A" w14:textId="77777777" w:rsidR="0013128E" w:rsidRPr="00640417" w:rsidRDefault="0013128E" w:rsidP="00F52E6C">
            <w:pPr>
              <w:pStyle w:val="ExhibitText"/>
              <w:keepNext/>
              <w:jc w:val="right"/>
              <w:rPr>
                <w:lang w:val="en-GB"/>
              </w:rPr>
            </w:pPr>
            <w:r w:rsidRPr="00640417">
              <w:rPr>
                <w:lang w:val="en-GB"/>
              </w:rPr>
              <w:t>86.45</w:t>
            </w:r>
          </w:p>
        </w:tc>
        <w:tc>
          <w:tcPr>
            <w:tcW w:w="1530" w:type="dxa"/>
            <w:tcBorders>
              <w:top w:val="nil"/>
              <w:left w:val="nil"/>
              <w:bottom w:val="single" w:sz="8" w:space="0" w:color="auto"/>
              <w:right w:val="single" w:sz="8" w:space="0" w:color="auto"/>
            </w:tcBorders>
            <w:shd w:val="clear" w:color="auto" w:fill="auto"/>
            <w:vAlign w:val="center"/>
          </w:tcPr>
          <w:p w14:paraId="3944A219" w14:textId="77777777" w:rsidR="0013128E" w:rsidRPr="00640417" w:rsidRDefault="0013128E" w:rsidP="00F52E6C">
            <w:pPr>
              <w:pStyle w:val="ExhibitText"/>
              <w:keepNext/>
              <w:jc w:val="right"/>
              <w:rPr>
                <w:lang w:val="en-GB"/>
              </w:rPr>
            </w:pPr>
            <w:r w:rsidRPr="00640417">
              <w:rPr>
                <w:lang w:val="en-GB"/>
              </w:rPr>
              <w:t>95.27</w:t>
            </w:r>
          </w:p>
        </w:tc>
        <w:tc>
          <w:tcPr>
            <w:tcW w:w="1530" w:type="dxa"/>
            <w:tcBorders>
              <w:top w:val="nil"/>
              <w:left w:val="nil"/>
              <w:bottom w:val="single" w:sz="8" w:space="0" w:color="auto"/>
              <w:right w:val="single" w:sz="8" w:space="0" w:color="auto"/>
            </w:tcBorders>
            <w:shd w:val="clear" w:color="auto" w:fill="auto"/>
            <w:vAlign w:val="center"/>
          </w:tcPr>
          <w:p w14:paraId="190B63A3" w14:textId="77777777" w:rsidR="0013128E" w:rsidRPr="00640417" w:rsidRDefault="0013128E" w:rsidP="00F52E6C">
            <w:pPr>
              <w:pStyle w:val="ExhibitText"/>
              <w:keepNext/>
              <w:jc w:val="right"/>
              <w:rPr>
                <w:lang w:val="en-GB"/>
              </w:rPr>
            </w:pPr>
            <w:r w:rsidRPr="00640417">
              <w:rPr>
                <w:lang w:val="en-GB"/>
              </w:rPr>
              <w:t>42.12</w:t>
            </w:r>
          </w:p>
        </w:tc>
        <w:tc>
          <w:tcPr>
            <w:tcW w:w="1440" w:type="dxa"/>
            <w:tcBorders>
              <w:top w:val="nil"/>
              <w:left w:val="nil"/>
              <w:bottom w:val="single" w:sz="8" w:space="0" w:color="auto"/>
              <w:right w:val="single" w:sz="8" w:space="0" w:color="auto"/>
            </w:tcBorders>
            <w:shd w:val="clear" w:color="auto" w:fill="auto"/>
            <w:vAlign w:val="center"/>
          </w:tcPr>
          <w:p w14:paraId="64FA33C9" w14:textId="77777777" w:rsidR="0013128E" w:rsidRPr="00640417" w:rsidRDefault="0013128E" w:rsidP="00F52E6C">
            <w:pPr>
              <w:pStyle w:val="ExhibitText"/>
              <w:keepNext/>
              <w:jc w:val="right"/>
              <w:rPr>
                <w:lang w:val="en-GB"/>
              </w:rPr>
            </w:pPr>
            <w:r w:rsidRPr="00640417">
              <w:rPr>
                <w:lang w:val="en-GB"/>
              </w:rPr>
              <w:t>45.00</w:t>
            </w:r>
          </w:p>
        </w:tc>
        <w:tc>
          <w:tcPr>
            <w:tcW w:w="1980" w:type="dxa"/>
            <w:tcBorders>
              <w:top w:val="nil"/>
              <w:left w:val="nil"/>
              <w:bottom w:val="single" w:sz="8" w:space="0" w:color="auto"/>
              <w:right w:val="single" w:sz="8" w:space="0" w:color="auto"/>
            </w:tcBorders>
            <w:shd w:val="clear" w:color="auto" w:fill="auto"/>
            <w:vAlign w:val="center"/>
          </w:tcPr>
          <w:p w14:paraId="6DA1A279" w14:textId="77777777" w:rsidR="0013128E" w:rsidRPr="00640417" w:rsidRDefault="0013128E" w:rsidP="00F52E6C">
            <w:pPr>
              <w:pStyle w:val="ExhibitText"/>
              <w:keepNext/>
              <w:jc w:val="right"/>
              <w:rPr>
                <w:lang w:val="en-GB"/>
              </w:rPr>
            </w:pPr>
            <w:r w:rsidRPr="00640417">
              <w:rPr>
                <w:lang w:val="en-GB"/>
              </w:rPr>
              <w:t>284,489</w:t>
            </w:r>
          </w:p>
        </w:tc>
      </w:tr>
      <w:tr w:rsidR="0013128E" w:rsidRPr="00640417" w14:paraId="7C06C75C" w14:textId="77777777" w:rsidTr="00FB58DA">
        <w:trPr>
          <w:trHeight w:val="446"/>
          <w:jc w:val="center"/>
        </w:trPr>
        <w:tc>
          <w:tcPr>
            <w:tcW w:w="682" w:type="dxa"/>
            <w:tcBorders>
              <w:top w:val="nil"/>
              <w:left w:val="single" w:sz="8" w:space="0" w:color="auto"/>
              <w:bottom w:val="single" w:sz="8" w:space="0" w:color="auto"/>
              <w:right w:val="single" w:sz="8" w:space="0" w:color="auto"/>
            </w:tcBorders>
            <w:shd w:val="clear" w:color="auto" w:fill="auto"/>
            <w:vAlign w:val="center"/>
          </w:tcPr>
          <w:p w14:paraId="593E7618" w14:textId="77777777" w:rsidR="0013128E" w:rsidRPr="00640417" w:rsidRDefault="0013128E" w:rsidP="00F52E6C">
            <w:pPr>
              <w:pStyle w:val="ExhibitText"/>
              <w:keepNext/>
              <w:rPr>
                <w:lang w:val="en-GB"/>
              </w:rPr>
            </w:pPr>
            <w:r w:rsidRPr="00640417">
              <w:rPr>
                <w:lang w:val="en-GB"/>
              </w:rPr>
              <w:t>2014</w:t>
            </w:r>
          </w:p>
        </w:tc>
        <w:tc>
          <w:tcPr>
            <w:tcW w:w="1388" w:type="dxa"/>
            <w:tcBorders>
              <w:top w:val="nil"/>
              <w:left w:val="nil"/>
              <w:bottom w:val="single" w:sz="8" w:space="0" w:color="auto"/>
              <w:right w:val="single" w:sz="8" w:space="0" w:color="auto"/>
            </w:tcBorders>
            <w:shd w:val="clear" w:color="auto" w:fill="auto"/>
            <w:vAlign w:val="center"/>
          </w:tcPr>
          <w:p w14:paraId="4C4558A6" w14:textId="77777777" w:rsidR="0013128E" w:rsidRPr="00640417" w:rsidRDefault="0013128E" w:rsidP="00F52E6C">
            <w:pPr>
              <w:pStyle w:val="ExhibitText"/>
              <w:keepNext/>
              <w:jc w:val="right"/>
              <w:rPr>
                <w:lang w:val="en-GB"/>
              </w:rPr>
            </w:pPr>
            <w:r w:rsidRPr="00640417">
              <w:rPr>
                <w:lang w:val="en-GB"/>
              </w:rPr>
              <w:t>45.00</w:t>
            </w:r>
          </w:p>
        </w:tc>
        <w:tc>
          <w:tcPr>
            <w:tcW w:w="1530" w:type="dxa"/>
            <w:tcBorders>
              <w:top w:val="nil"/>
              <w:left w:val="nil"/>
              <w:bottom w:val="single" w:sz="8" w:space="0" w:color="auto"/>
              <w:right w:val="single" w:sz="8" w:space="0" w:color="auto"/>
            </w:tcBorders>
            <w:shd w:val="clear" w:color="auto" w:fill="auto"/>
            <w:vAlign w:val="center"/>
          </w:tcPr>
          <w:p w14:paraId="1B66C1A8" w14:textId="77777777" w:rsidR="0013128E" w:rsidRPr="00640417" w:rsidRDefault="0013128E" w:rsidP="00F52E6C">
            <w:pPr>
              <w:pStyle w:val="ExhibitText"/>
              <w:keepNext/>
              <w:jc w:val="right"/>
              <w:rPr>
                <w:lang w:val="en-GB"/>
              </w:rPr>
            </w:pPr>
            <w:r w:rsidRPr="00640417">
              <w:rPr>
                <w:lang w:val="en-GB"/>
              </w:rPr>
              <w:t>77.27</w:t>
            </w:r>
          </w:p>
        </w:tc>
        <w:tc>
          <w:tcPr>
            <w:tcW w:w="1530" w:type="dxa"/>
            <w:tcBorders>
              <w:top w:val="nil"/>
              <w:left w:val="nil"/>
              <w:bottom w:val="single" w:sz="8" w:space="0" w:color="auto"/>
              <w:right w:val="single" w:sz="8" w:space="0" w:color="auto"/>
            </w:tcBorders>
            <w:shd w:val="clear" w:color="auto" w:fill="auto"/>
            <w:vAlign w:val="center"/>
          </w:tcPr>
          <w:p w14:paraId="50200C58" w14:textId="77777777" w:rsidR="0013128E" w:rsidRPr="00640417" w:rsidRDefault="0013128E" w:rsidP="00F52E6C">
            <w:pPr>
              <w:pStyle w:val="ExhibitText"/>
              <w:keepNext/>
              <w:jc w:val="right"/>
              <w:rPr>
                <w:lang w:val="en-GB"/>
              </w:rPr>
            </w:pPr>
            <w:r w:rsidRPr="00640417">
              <w:rPr>
                <w:lang w:val="en-GB"/>
              </w:rPr>
              <w:t>34.20</w:t>
            </w:r>
          </w:p>
        </w:tc>
        <w:tc>
          <w:tcPr>
            <w:tcW w:w="1440" w:type="dxa"/>
            <w:tcBorders>
              <w:top w:val="nil"/>
              <w:left w:val="nil"/>
              <w:bottom w:val="single" w:sz="8" w:space="0" w:color="auto"/>
              <w:right w:val="single" w:sz="8" w:space="0" w:color="auto"/>
            </w:tcBorders>
            <w:shd w:val="clear" w:color="auto" w:fill="auto"/>
            <w:vAlign w:val="center"/>
          </w:tcPr>
          <w:p w14:paraId="78865C4A" w14:textId="77777777" w:rsidR="0013128E" w:rsidRPr="00640417" w:rsidRDefault="0013128E" w:rsidP="00F52E6C">
            <w:pPr>
              <w:pStyle w:val="ExhibitText"/>
              <w:keepNext/>
              <w:jc w:val="right"/>
              <w:rPr>
                <w:lang w:val="en-GB"/>
              </w:rPr>
            </w:pPr>
            <w:r w:rsidRPr="00640417">
              <w:rPr>
                <w:lang w:val="en-GB"/>
              </w:rPr>
              <w:t>51.84</w:t>
            </w:r>
          </w:p>
        </w:tc>
        <w:tc>
          <w:tcPr>
            <w:tcW w:w="1980" w:type="dxa"/>
            <w:tcBorders>
              <w:top w:val="nil"/>
              <w:left w:val="nil"/>
              <w:bottom w:val="single" w:sz="8" w:space="0" w:color="auto"/>
              <w:right w:val="single" w:sz="8" w:space="0" w:color="auto"/>
            </w:tcBorders>
            <w:shd w:val="clear" w:color="auto" w:fill="auto"/>
            <w:vAlign w:val="center"/>
          </w:tcPr>
          <w:p w14:paraId="558F784B" w14:textId="77777777" w:rsidR="0013128E" w:rsidRPr="00640417" w:rsidRDefault="0013128E" w:rsidP="00F52E6C">
            <w:pPr>
              <w:pStyle w:val="ExhibitText"/>
              <w:keepNext/>
              <w:jc w:val="right"/>
              <w:rPr>
                <w:lang w:val="en-GB"/>
              </w:rPr>
            </w:pPr>
            <w:r w:rsidRPr="00640417">
              <w:rPr>
                <w:lang w:val="en-GB"/>
              </w:rPr>
              <w:t>408,206</w:t>
            </w:r>
          </w:p>
        </w:tc>
      </w:tr>
    </w:tbl>
    <w:p w14:paraId="2B1B06C4" w14:textId="77777777" w:rsidR="0013128E" w:rsidRPr="00640417" w:rsidRDefault="0013128E" w:rsidP="0013128E">
      <w:pPr>
        <w:pStyle w:val="BodyTextMain"/>
        <w:keepNext/>
        <w:rPr>
          <w:rFonts w:eastAsia="Calibri"/>
          <w:sz w:val="20"/>
          <w:szCs w:val="20"/>
          <w:lang w:val="en-GB"/>
        </w:rPr>
      </w:pPr>
    </w:p>
    <w:p w14:paraId="46DF47DF" w14:textId="67F56D7C" w:rsidR="0013128E" w:rsidRPr="00C55DA9" w:rsidRDefault="0013128E" w:rsidP="00C55DA9">
      <w:pPr>
        <w:pStyle w:val="BodyTextMain"/>
        <w:rPr>
          <w:rFonts w:ascii="Arial" w:eastAsia="Calibri" w:hAnsi="Arial" w:cs="Arial"/>
          <w:sz w:val="17"/>
          <w:szCs w:val="17"/>
          <w:lang w:val="en-GB"/>
        </w:rPr>
      </w:pPr>
      <w:r w:rsidRPr="00C55DA9">
        <w:rPr>
          <w:rFonts w:ascii="Arial" w:eastAsia="Calibri" w:hAnsi="Arial" w:cs="Arial"/>
          <w:sz w:val="17"/>
          <w:szCs w:val="17"/>
          <w:lang w:val="en-GB"/>
        </w:rPr>
        <w:t>Source:</w:t>
      </w:r>
      <w:r w:rsidR="009E6904">
        <w:rPr>
          <w:rFonts w:ascii="Arial" w:eastAsia="Calibri" w:hAnsi="Arial" w:cs="Arial"/>
          <w:sz w:val="17"/>
          <w:szCs w:val="17"/>
          <w:lang w:val="en-GB"/>
        </w:rPr>
        <w:t xml:space="preserve"> </w:t>
      </w:r>
      <w:r w:rsidRPr="00C55DA9">
        <w:rPr>
          <w:rFonts w:ascii="Arial" w:eastAsia="Calibri" w:hAnsi="Arial" w:cs="Arial"/>
          <w:sz w:val="17"/>
          <w:szCs w:val="17"/>
          <w:lang w:val="en-GB"/>
        </w:rPr>
        <w:t xml:space="preserve">“Stock </w:t>
      </w:r>
      <w:r w:rsidR="00891E24">
        <w:rPr>
          <w:rFonts w:ascii="Arial" w:eastAsia="Calibri" w:hAnsi="Arial" w:cs="Arial"/>
          <w:sz w:val="17"/>
          <w:szCs w:val="17"/>
          <w:lang w:val="en-GB"/>
        </w:rPr>
        <w:t>P</w:t>
      </w:r>
      <w:r w:rsidRPr="00C55DA9">
        <w:rPr>
          <w:rFonts w:ascii="Arial" w:eastAsia="Calibri" w:hAnsi="Arial" w:cs="Arial"/>
          <w:sz w:val="17"/>
          <w:szCs w:val="17"/>
          <w:lang w:val="en-GB"/>
        </w:rPr>
        <w:t xml:space="preserve">rices of </w:t>
      </w:r>
      <w:r w:rsidR="00891E24">
        <w:rPr>
          <w:rFonts w:ascii="Arial" w:eastAsia="Calibri" w:hAnsi="Arial" w:cs="Arial"/>
          <w:sz w:val="17"/>
          <w:szCs w:val="17"/>
          <w:lang w:val="en-GB"/>
        </w:rPr>
        <w:t>S</w:t>
      </w:r>
      <w:r w:rsidRPr="00C55DA9">
        <w:rPr>
          <w:rFonts w:ascii="Arial" w:eastAsia="Calibri" w:hAnsi="Arial" w:cs="Arial"/>
          <w:sz w:val="17"/>
          <w:szCs w:val="17"/>
          <w:lang w:val="en-GB"/>
        </w:rPr>
        <w:t xml:space="preserve">hares,” </w:t>
      </w:r>
      <w:r w:rsidR="00C92C12">
        <w:rPr>
          <w:rFonts w:ascii="Arial" w:eastAsia="Calibri" w:hAnsi="Arial" w:cs="Arial"/>
          <w:sz w:val="17"/>
          <w:szCs w:val="17"/>
          <w:lang w:val="en-GB"/>
        </w:rPr>
        <w:t>BSE India, accessed September 26</w:t>
      </w:r>
      <w:r w:rsidRPr="00C55DA9">
        <w:rPr>
          <w:rFonts w:ascii="Arial" w:eastAsia="Calibri" w:hAnsi="Arial" w:cs="Arial"/>
          <w:sz w:val="17"/>
          <w:szCs w:val="17"/>
          <w:lang w:val="en-GB"/>
        </w:rPr>
        <w:t>, 201</w:t>
      </w:r>
      <w:r w:rsidR="00C92C12">
        <w:rPr>
          <w:rFonts w:ascii="Arial" w:eastAsia="Calibri" w:hAnsi="Arial" w:cs="Arial"/>
          <w:sz w:val="17"/>
          <w:szCs w:val="17"/>
          <w:lang w:val="en-GB"/>
        </w:rPr>
        <w:t>5</w:t>
      </w:r>
      <w:r w:rsidR="00B8784D">
        <w:rPr>
          <w:rFonts w:ascii="Arial" w:eastAsia="Calibri" w:hAnsi="Arial" w:cs="Arial"/>
          <w:sz w:val="17"/>
          <w:szCs w:val="17"/>
          <w:lang w:val="en-GB"/>
        </w:rPr>
        <w:t xml:space="preserve">, </w:t>
      </w:r>
      <w:r w:rsidR="00B8784D" w:rsidRPr="00B8784D">
        <w:rPr>
          <w:rFonts w:ascii="Arial" w:eastAsia="Calibri" w:hAnsi="Arial" w:cs="Arial"/>
          <w:sz w:val="17"/>
          <w:szCs w:val="17"/>
          <w:lang w:val="en-GB"/>
        </w:rPr>
        <w:t>www.bseindia.com/</w:t>
      </w:r>
      <w:r w:rsidR="00550919">
        <w:rPr>
          <w:rFonts w:ascii="Arial" w:eastAsia="Calibri" w:hAnsi="Arial" w:cs="Arial"/>
          <w:sz w:val="17"/>
          <w:szCs w:val="17"/>
          <w:lang w:val="en-GB"/>
        </w:rPr>
        <w:t>.</w:t>
      </w:r>
    </w:p>
    <w:p w14:paraId="6D649EA0" w14:textId="77777777" w:rsidR="0013128E" w:rsidRPr="00C55DA9" w:rsidRDefault="0013128E" w:rsidP="00583ADB">
      <w:pPr>
        <w:pStyle w:val="BodyTextMain"/>
        <w:rPr>
          <w:rFonts w:ascii="Arial" w:eastAsia="Calibri" w:hAnsi="Arial" w:cs="Arial"/>
          <w:sz w:val="17"/>
          <w:szCs w:val="17"/>
          <w:lang w:val="en-GB"/>
        </w:rPr>
      </w:pPr>
    </w:p>
    <w:p w14:paraId="0CA78525" w14:textId="77777777" w:rsidR="0003378A" w:rsidRPr="00640417" w:rsidRDefault="0003378A" w:rsidP="00583ADB">
      <w:pPr>
        <w:pStyle w:val="BodyTextMain"/>
        <w:rPr>
          <w:rFonts w:eastAsia="Calibri"/>
          <w:sz w:val="20"/>
          <w:szCs w:val="20"/>
          <w:lang w:val="en-GB"/>
        </w:rPr>
      </w:pPr>
    </w:p>
    <w:sectPr w:rsidR="0003378A" w:rsidRPr="00640417" w:rsidSect="00915A39">
      <w:headerReference w:type="default" r:id="rId18"/>
      <w:endnotePr>
        <w:numFmt w:val="decimal"/>
      </w:endnotePr>
      <w:pgSz w:w="12240" w:h="15840"/>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B4316E" w14:textId="77777777" w:rsidR="00C96680" w:rsidRDefault="00C96680" w:rsidP="00D75295">
      <w:r>
        <w:separator/>
      </w:r>
    </w:p>
  </w:endnote>
  <w:endnote w:type="continuationSeparator" w:id="0">
    <w:p w14:paraId="7B09AB50" w14:textId="77777777" w:rsidR="00C96680" w:rsidRDefault="00C96680"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IN-Ligh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041A17" w14:textId="77777777" w:rsidR="00C96680" w:rsidRDefault="00C96680" w:rsidP="00D75295">
      <w:r>
        <w:separator/>
      </w:r>
    </w:p>
  </w:footnote>
  <w:footnote w:type="continuationSeparator" w:id="0">
    <w:p w14:paraId="686E5DFF" w14:textId="77777777" w:rsidR="00C96680" w:rsidRDefault="00C96680" w:rsidP="00D75295">
      <w:r>
        <w:continuationSeparator/>
      </w:r>
    </w:p>
  </w:footnote>
  <w:footnote w:id="1">
    <w:p w14:paraId="47AF2B76" w14:textId="794F465B" w:rsidR="00C96680" w:rsidRPr="000C2441" w:rsidRDefault="00C96680">
      <w:pPr>
        <w:pStyle w:val="FootnoteText"/>
        <w:rPr>
          <w:rStyle w:val="FootnoteChar"/>
        </w:rPr>
      </w:pPr>
      <w:r>
        <w:rPr>
          <w:rStyle w:val="FootnoteReference"/>
        </w:rPr>
        <w:footnoteRef/>
      </w:r>
      <w:r>
        <w:t xml:space="preserve"> </w:t>
      </w:r>
      <w:r w:rsidRPr="000C2441">
        <w:rPr>
          <w:rStyle w:val="FootnoteChar"/>
        </w:rPr>
        <w:t xml:space="preserve">₹ = INR = Indian </w:t>
      </w:r>
      <w:r>
        <w:rPr>
          <w:rStyle w:val="FootnoteChar"/>
        </w:rPr>
        <w:t>r</w:t>
      </w:r>
      <w:r w:rsidRPr="000C2441">
        <w:rPr>
          <w:rStyle w:val="FootnoteChar"/>
        </w:rPr>
        <w:t>upee; ₹1 = US$0.02 on March 31, 2015.</w:t>
      </w:r>
    </w:p>
  </w:footnote>
  <w:footnote w:id="2">
    <w:p w14:paraId="2201A126" w14:textId="632DC127" w:rsidR="00C96680" w:rsidRDefault="00C96680" w:rsidP="00C96680">
      <w:pPr>
        <w:pStyle w:val="Footnote"/>
      </w:pPr>
      <w:r>
        <w:rPr>
          <w:rStyle w:val="FootnoteReference"/>
        </w:rPr>
        <w:footnoteRef/>
      </w:r>
      <w:r>
        <w:t xml:space="preserve"> All currency amounts are in US$ unless otherwise specified.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98D4B8" w14:textId="651AF785" w:rsidR="00C96680" w:rsidRDefault="00C96680"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73A5F">
      <w:rPr>
        <w:rFonts w:ascii="Arial" w:hAnsi="Arial"/>
        <w:b/>
        <w:noProof/>
      </w:rPr>
      <w:t>9</w:t>
    </w:r>
    <w:r>
      <w:rPr>
        <w:rFonts w:ascii="Arial" w:hAnsi="Arial"/>
        <w:b/>
      </w:rPr>
      <w:fldChar w:fldCharType="end"/>
    </w:r>
    <w:r>
      <w:rPr>
        <w:rFonts w:ascii="Arial" w:hAnsi="Arial"/>
        <w:b/>
      </w:rPr>
      <w:tab/>
      <w:t>9B18M023</w:t>
    </w:r>
  </w:p>
  <w:p w14:paraId="0525909B" w14:textId="77777777" w:rsidR="00C96680" w:rsidRPr="00C92CC4" w:rsidRDefault="00C96680">
    <w:pPr>
      <w:pStyle w:val="Header"/>
      <w:rPr>
        <w:sz w:val="18"/>
        <w:szCs w:val="18"/>
      </w:rPr>
    </w:pPr>
  </w:p>
  <w:p w14:paraId="0D294428" w14:textId="77777777" w:rsidR="00C96680" w:rsidRPr="00C92CC4" w:rsidRDefault="00C96680">
    <w:pPr>
      <w:pStyle w:val="Header"/>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5F5C1" w14:textId="35F71AA6" w:rsidR="00C96680" w:rsidRDefault="00C96680" w:rsidP="00915A39">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73A5F">
      <w:rPr>
        <w:rFonts w:ascii="Arial" w:hAnsi="Arial"/>
        <w:b/>
        <w:noProof/>
      </w:rPr>
      <w:t>10</w:t>
    </w:r>
    <w:r>
      <w:rPr>
        <w:rFonts w:ascii="Arial" w:hAnsi="Arial"/>
        <w:b/>
      </w:rPr>
      <w:fldChar w:fldCharType="end"/>
    </w:r>
    <w:r>
      <w:rPr>
        <w:rFonts w:ascii="Arial" w:hAnsi="Arial"/>
        <w:b/>
      </w:rPr>
      <w:tab/>
      <w:t>9B18M023</w:t>
    </w:r>
  </w:p>
  <w:p w14:paraId="46F1D437" w14:textId="77777777" w:rsidR="00C96680" w:rsidRPr="00C92CC4" w:rsidRDefault="00C96680" w:rsidP="00915A39">
    <w:pPr>
      <w:pStyle w:val="Header"/>
      <w:tabs>
        <w:tab w:val="clear" w:pos="4680"/>
        <w:tab w:val="clear" w:pos="9360"/>
        <w:tab w:val="right" w:pos="12960"/>
      </w:tabs>
      <w:rPr>
        <w:sz w:val="18"/>
        <w:szCs w:val="18"/>
      </w:rPr>
    </w:pPr>
  </w:p>
  <w:p w14:paraId="4667196C" w14:textId="77777777" w:rsidR="00C96680" w:rsidRPr="00C92CC4" w:rsidRDefault="00C96680" w:rsidP="00915A39">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D1762" w14:textId="3F72CB5D" w:rsidR="00C96680" w:rsidRDefault="00C96680" w:rsidP="00915A39">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73A5F">
      <w:rPr>
        <w:rFonts w:ascii="Arial" w:hAnsi="Arial"/>
        <w:b/>
        <w:noProof/>
      </w:rPr>
      <w:t>16</w:t>
    </w:r>
    <w:r>
      <w:rPr>
        <w:rFonts w:ascii="Arial" w:hAnsi="Arial"/>
        <w:b/>
      </w:rPr>
      <w:fldChar w:fldCharType="end"/>
    </w:r>
    <w:r>
      <w:rPr>
        <w:rFonts w:ascii="Arial" w:hAnsi="Arial"/>
        <w:b/>
      </w:rPr>
      <w:tab/>
      <w:t>9B18M023</w:t>
    </w:r>
  </w:p>
  <w:p w14:paraId="6AA6F3F1" w14:textId="77777777" w:rsidR="00C96680" w:rsidRPr="00C92CC4" w:rsidRDefault="00C96680" w:rsidP="00915A39">
    <w:pPr>
      <w:pStyle w:val="Header"/>
      <w:tabs>
        <w:tab w:val="clear" w:pos="4680"/>
      </w:tabs>
      <w:rPr>
        <w:sz w:val="18"/>
        <w:szCs w:val="18"/>
      </w:rPr>
    </w:pPr>
  </w:p>
  <w:p w14:paraId="21E9607C" w14:textId="77777777" w:rsidR="00C96680" w:rsidRPr="00C92CC4" w:rsidRDefault="00C96680" w:rsidP="00915A39">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0306E"/>
    <w:rsid w:val="00004735"/>
    <w:rsid w:val="00010CCF"/>
    <w:rsid w:val="00011ADF"/>
    <w:rsid w:val="00013360"/>
    <w:rsid w:val="00013F75"/>
    <w:rsid w:val="00016561"/>
    <w:rsid w:val="00017EF0"/>
    <w:rsid w:val="000216CE"/>
    <w:rsid w:val="00025DC7"/>
    <w:rsid w:val="00026486"/>
    <w:rsid w:val="0003101F"/>
    <w:rsid w:val="0003378A"/>
    <w:rsid w:val="00035260"/>
    <w:rsid w:val="00040892"/>
    <w:rsid w:val="00044ECC"/>
    <w:rsid w:val="000531D3"/>
    <w:rsid w:val="000549F8"/>
    <w:rsid w:val="0005646B"/>
    <w:rsid w:val="00060F45"/>
    <w:rsid w:val="00066108"/>
    <w:rsid w:val="000679B7"/>
    <w:rsid w:val="0008102D"/>
    <w:rsid w:val="000849C3"/>
    <w:rsid w:val="00094C0E"/>
    <w:rsid w:val="000A5A0B"/>
    <w:rsid w:val="000A727F"/>
    <w:rsid w:val="000C2441"/>
    <w:rsid w:val="000C3215"/>
    <w:rsid w:val="000C3537"/>
    <w:rsid w:val="000C5ACB"/>
    <w:rsid w:val="000D3976"/>
    <w:rsid w:val="000E36FA"/>
    <w:rsid w:val="000E7349"/>
    <w:rsid w:val="000F05A8"/>
    <w:rsid w:val="000F0C22"/>
    <w:rsid w:val="000F28D7"/>
    <w:rsid w:val="000F6B09"/>
    <w:rsid w:val="000F6FDC"/>
    <w:rsid w:val="00104567"/>
    <w:rsid w:val="001101F1"/>
    <w:rsid w:val="001103F6"/>
    <w:rsid w:val="00113928"/>
    <w:rsid w:val="00115A25"/>
    <w:rsid w:val="001211C9"/>
    <w:rsid w:val="0012311B"/>
    <w:rsid w:val="00125730"/>
    <w:rsid w:val="0012732D"/>
    <w:rsid w:val="0013128E"/>
    <w:rsid w:val="001431FE"/>
    <w:rsid w:val="001466E0"/>
    <w:rsid w:val="00150D27"/>
    <w:rsid w:val="001517B8"/>
    <w:rsid w:val="00154FC9"/>
    <w:rsid w:val="00155C23"/>
    <w:rsid w:val="00161DC1"/>
    <w:rsid w:val="0016348D"/>
    <w:rsid w:val="00166E8C"/>
    <w:rsid w:val="001673BA"/>
    <w:rsid w:val="0019241A"/>
    <w:rsid w:val="00192FD2"/>
    <w:rsid w:val="0019721A"/>
    <w:rsid w:val="001A428C"/>
    <w:rsid w:val="001A5335"/>
    <w:rsid w:val="001A752D"/>
    <w:rsid w:val="001B0495"/>
    <w:rsid w:val="001B12BA"/>
    <w:rsid w:val="001B55C0"/>
    <w:rsid w:val="001B75A6"/>
    <w:rsid w:val="001C2DA7"/>
    <w:rsid w:val="001C5237"/>
    <w:rsid w:val="001D1405"/>
    <w:rsid w:val="001D1766"/>
    <w:rsid w:val="001D1C89"/>
    <w:rsid w:val="001D308A"/>
    <w:rsid w:val="001D5CA9"/>
    <w:rsid w:val="001E5803"/>
    <w:rsid w:val="001F5E43"/>
    <w:rsid w:val="00203AA1"/>
    <w:rsid w:val="00204257"/>
    <w:rsid w:val="00204B98"/>
    <w:rsid w:val="00211C4D"/>
    <w:rsid w:val="00212059"/>
    <w:rsid w:val="00213E98"/>
    <w:rsid w:val="00217F83"/>
    <w:rsid w:val="00220246"/>
    <w:rsid w:val="00227A24"/>
    <w:rsid w:val="0023335B"/>
    <w:rsid w:val="002340CF"/>
    <w:rsid w:val="00234C27"/>
    <w:rsid w:val="00240BEF"/>
    <w:rsid w:val="00241CD0"/>
    <w:rsid w:val="00242455"/>
    <w:rsid w:val="002432C8"/>
    <w:rsid w:val="002479C3"/>
    <w:rsid w:val="00270637"/>
    <w:rsid w:val="0028008B"/>
    <w:rsid w:val="002808BC"/>
    <w:rsid w:val="0028098F"/>
    <w:rsid w:val="00294982"/>
    <w:rsid w:val="002A40EE"/>
    <w:rsid w:val="002A6F75"/>
    <w:rsid w:val="002C2ADC"/>
    <w:rsid w:val="002C363C"/>
    <w:rsid w:val="002C3A0D"/>
    <w:rsid w:val="002C3D8F"/>
    <w:rsid w:val="002C5E60"/>
    <w:rsid w:val="002D59D5"/>
    <w:rsid w:val="002E069F"/>
    <w:rsid w:val="002E32F0"/>
    <w:rsid w:val="002E5B32"/>
    <w:rsid w:val="002E689D"/>
    <w:rsid w:val="002F2DBB"/>
    <w:rsid w:val="002F2E33"/>
    <w:rsid w:val="002F460C"/>
    <w:rsid w:val="002F48D6"/>
    <w:rsid w:val="003002E3"/>
    <w:rsid w:val="00314FF1"/>
    <w:rsid w:val="00326D86"/>
    <w:rsid w:val="003350C5"/>
    <w:rsid w:val="00343565"/>
    <w:rsid w:val="00347AA8"/>
    <w:rsid w:val="00354899"/>
    <w:rsid w:val="00355FD6"/>
    <w:rsid w:val="00361C8E"/>
    <w:rsid w:val="00364A5C"/>
    <w:rsid w:val="003727FD"/>
    <w:rsid w:val="00373A5F"/>
    <w:rsid w:val="00373FB1"/>
    <w:rsid w:val="0037536D"/>
    <w:rsid w:val="00383E98"/>
    <w:rsid w:val="00384397"/>
    <w:rsid w:val="00385797"/>
    <w:rsid w:val="00386E97"/>
    <w:rsid w:val="003906E0"/>
    <w:rsid w:val="003A08A3"/>
    <w:rsid w:val="003B30D8"/>
    <w:rsid w:val="003B7EF2"/>
    <w:rsid w:val="003C3FA4"/>
    <w:rsid w:val="003D0C1C"/>
    <w:rsid w:val="003D302F"/>
    <w:rsid w:val="003D30C3"/>
    <w:rsid w:val="003E093D"/>
    <w:rsid w:val="003E62EB"/>
    <w:rsid w:val="003F1F4F"/>
    <w:rsid w:val="003F2B0C"/>
    <w:rsid w:val="003F625F"/>
    <w:rsid w:val="003F7C1D"/>
    <w:rsid w:val="00411CBF"/>
    <w:rsid w:val="00414B74"/>
    <w:rsid w:val="004221E4"/>
    <w:rsid w:val="00425495"/>
    <w:rsid w:val="00427D2C"/>
    <w:rsid w:val="0043099A"/>
    <w:rsid w:val="004316A2"/>
    <w:rsid w:val="00436AE1"/>
    <w:rsid w:val="0044256F"/>
    <w:rsid w:val="00443051"/>
    <w:rsid w:val="004436B8"/>
    <w:rsid w:val="004516EB"/>
    <w:rsid w:val="00455256"/>
    <w:rsid w:val="00455F84"/>
    <w:rsid w:val="0045605C"/>
    <w:rsid w:val="00456074"/>
    <w:rsid w:val="00456B83"/>
    <w:rsid w:val="0045742E"/>
    <w:rsid w:val="0046275E"/>
    <w:rsid w:val="00462C17"/>
    <w:rsid w:val="00471088"/>
    <w:rsid w:val="00476412"/>
    <w:rsid w:val="00476D77"/>
    <w:rsid w:val="00480D56"/>
    <w:rsid w:val="00483AF9"/>
    <w:rsid w:val="00493546"/>
    <w:rsid w:val="004A24BF"/>
    <w:rsid w:val="004A2ABE"/>
    <w:rsid w:val="004A2AF6"/>
    <w:rsid w:val="004A417F"/>
    <w:rsid w:val="004A6AB7"/>
    <w:rsid w:val="004B1CCB"/>
    <w:rsid w:val="004B39C1"/>
    <w:rsid w:val="004B7EB9"/>
    <w:rsid w:val="004C4B47"/>
    <w:rsid w:val="004C4FEE"/>
    <w:rsid w:val="004D0443"/>
    <w:rsid w:val="004D73A5"/>
    <w:rsid w:val="004E5586"/>
    <w:rsid w:val="004F479E"/>
    <w:rsid w:val="00501482"/>
    <w:rsid w:val="0050342F"/>
    <w:rsid w:val="00510B0E"/>
    <w:rsid w:val="0052428C"/>
    <w:rsid w:val="005247C8"/>
    <w:rsid w:val="005247EE"/>
    <w:rsid w:val="00532CF5"/>
    <w:rsid w:val="00532D2C"/>
    <w:rsid w:val="0053698A"/>
    <w:rsid w:val="00536D28"/>
    <w:rsid w:val="00542D69"/>
    <w:rsid w:val="00546AB0"/>
    <w:rsid w:val="00550919"/>
    <w:rsid w:val="005528CB"/>
    <w:rsid w:val="00554A36"/>
    <w:rsid w:val="00554CA7"/>
    <w:rsid w:val="00560736"/>
    <w:rsid w:val="00562AFC"/>
    <w:rsid w:val="00566771"/>
    <w:rsid w:val="00566951"/>
    <w:rsid w:val="00581E2E"/>
    <w:rsid w:val="00583ADB"/>
    <w:rsid w:val="00583CB0"/>
    <w:rsid w:val="00584F15"/>
    <w:rsid w:val="005A3CB6"/>
    <w:rsid w:val="005A5536"/>
    <w:rsid w:val="005B31DB"/>
    <w:rsid w:val="005B46EE"/>
    <w:rsid w:val="005B6F89"/>
    <w:rsid w:val="005B7574"/>
    <w:rsid w:val="005C1B8C"/>
    <w:rsid w:val="005E115D"/>
    <w:rsid w:val="005F1E3F"/>
    <w:rsid w:val="00610711"/>
    <w:rsid w:val="006163F7"/>
    <w:rsid w:val="0061734D"/>
    <w:rsid w:val="00623330"/>
    <w:rsid w:val="006233B6"/>
    <w:rsid w:val="00625A0C"/>
    <w:rsid w:val="00627CF1"/>
    <w:rsid w:val="00640417"/>
    <w:rsid w:val="006427BB"/>
    <w:rsid w:val="0064573F"/>
    <w:rsid w:val="00652606"/>
    <w:rsid w:val="00660EEA"/>
    <w:rsid w:val="00662EDF"/>
    <w:rsid w:val="006635E1"/>
    <w:rsid w:val="00666EB5"/>
    <w:rsid w:val="006778B1"/>
    <w:rsid w:val="00682754"/>
    <w:rsid w:val="00683BA8"/>
    <w:rsid w:val="00684A07"/>
    <w:rsid w:val="006973C5"/>
    <w:rsid w:val="006A01F8"/>
    <w:rsid w:val="006A1262"/>
    <w:rsid w:val="006A34F8"/>
    <w:rsid w:val="006A58A9"/>
    <w:rsid w:val="006A606D"/>
    <w:rsid w:val="006B0A12"/>
    <w:rsid w:val="006B23FA"/>
    <w:rsid w:val="006B6150"/>
    <w:rsid w:val="006B7F7A"/>
    <w:rsid w:val="006C0371"/>
    <w:rsid w:val="006C08B6"/>
    <w:rsid w:val="006C0B1A"/>
    <w:rsid w:val="006C4384"/>
    <w:rsid w:val="006C6065"/>
    <w:rsid w:val="006C7F9F"/>
    <w:rsid w:val="006D1D33"/>
    <w:rsid w:val="006D69A7"/>
    <w:rsid w:val="006D724A"/>
    <w:rsid w:val="006E02F4"/>
    <w:rsid w:val="006E2885"/>
    <w:rsid w:val="006E2F6D"/>
    <w:rsid w:val="006E58F6"/>
    <w:rsid w:val="006E77E1"/>
    <w:rsid w:val="006F131D"/>
    <w:rsid w:val="006F1814"/>
    <w:rsid w:val="006F51B7"/>
    <w:rsid w:val="006F7E89"/>
    <w:rsid w:val="00707032"/>
    <w:rsid w:val="007077E1"/>
    <w:rsid w:val="007138B6"/>
    <w:rsid w:val="007140CC"/>
    <w:rsid w:val="00715743"/>
    <w:rsid w:val="0071618E"/>
    <w:rsid w:val="00716703"/>
    <w:rsid w:val="007222F6"/>
    <w:rsid w:val="00730B03"/>
    <w:rsid w:val="00747AAA"/>
    <w:rsid w:val="007506A5"/>
    <w:rsid w:val="00752BCD"/>
    <w:rsid w:val="007645B1"/>
    <w:rsid w:val="00766DA1"/>
    <w:rsid w:val="007707BB"/>
    <w:rsid w:val="00776E24"/>
    <w:rsid w:val="00777A4B"/>
    <w:rsid w:val="00781326"/>
    <w:rsid w:val="00781686"/>
    <w:rsid w:val="00783DA3"/>
    <w:rsid w:val="007866A6"/>
    <w:rsid w:val="007867B4"/>
    <w:rsid w:val="007971A2"/>
    <w:rsid w:val="007A130D"/>
    <w:rsid w:val="007A2E51"/>
    <w:rsid w:val="007B3968"/>
    <w:rsid w:val="007B542E"/>
    <w:rsid w:val="007B5C44"/>
    <w:rsid w:val="007B6455"/>
    <w:rsid w:val="007C6E80"/>
    <w:rsid w:val="007C76C3"/>
    <w:rsid w:val="007D4102"/>
    <w:rsid w:val="007D6E9F"/>
    <w:rsid w:val="007E01BA"/>
    <w:rsid w:val="007E099D"/>
    <w:rsid w:val="007E0E7B"/>
    <w:rsid w:val="007E1E21"/>
    <w:rsid w:val="007E5921"/>
    <w:rsid w:val="007E7676"/>
    <w:rsid w:val="007F328C"/>
    <w:rsid w:val="007F51FC"/>
    <w:rsid w:val="00801648"/>
    <w:rsid w:val="0080539B"/>
    <w:rsid w:val="0081003C"/>
    <w:rsid w:val="00817A10"/>
    <w:rsid w:val="00821FFC"/>
    <w:rsid w:val="0082708F"/>
    <w:rsid w:val="008271CA"/>
    <w:rsid w:val="008361B0"/>
    <w:rsid w:val="0083640E"/>
    <w:rsid w:val="00837F3E"/>
    <w:rsid w:val="00840FFC"/>
    <w:rsid w:val="00841BF6"/>
    <w:rsid w:val="0084264D"/>
    <w:rsid w:val="008467D5"/>
    <w:rsid w:val="00851C64"/>
    <w:rsid w:val="00852E11"/>
    <w:rsid w:val="00854168"/>
    <w:rsid w:val="00856D9F"/>
    <w:rsid w:val="008575B3"/>
    <w:rsid w:val="008625C7"/>
    <w:rsid w:val="00862FD2"/>
    <w:rsid w:val="00866F6D"/>
    <w:rsid w:val="00870179"/>
    <w:rsid w:val="0087486E"/>
    <w:rsid w:val="0088236E"/>
    <w:rsid w:val="008841A5"/>
    <w:rsid w:val="00891E24"/>
    <w:rsid w:val="0089430C"/>
    <w:rsid w:val="00896920"/>
    <w:rsid w:val="008A4DC4"/>
    <w:rsid w:val="008A637F"/>
    <w:rsid w:val="008B10E0"/>
    <w:rsid w:val="008B60EF"/>
    <w:rsid w:val="008C61E6"/>
    <w:rsid w:val="008D2338"/>
    <w:rsid w:val="008D2BD1"/>
    <w:rsid w:val="008D653D"/>
    <w:rsid w:val="008E3528"/>
    <w:rsid w:val="008E52AD"/>
    <w:rsid w:val="008E672C"/>
    <w:rsid w:val="008E69B9"/>
    <w:rsid w:val="008F150C"/>
    <w:rsid w:val="008F6149"/>
    <w:rsid w:val="00902867"/>
    <w:rsid w:val="00905F4D"/>
    <w:rsid w:val="009067A4"/>
    <w:rsid w:val="0090722E"/>
    <w:rsid w:val="00912A61"/>
    <w:rsid w:val="00913AE3"/>
    <w:rsid w:val="00915A39"/>
    <w:rsid w:val="0092184F"/>
    <w:rsid w:val="009256F1"/>
    <w:rsid w:val="009340DB"/>
    <w:rsid w:val="00935F82"/>
    <w:rsid w:val="00937D62"/>
    <w:rsid w:val="00944C2F"/>
    <w:rsid w:val="00945BD1"/>
    <w:rsid w:val="00945BF9"/>
    <w:rsid w:val="00947773"/>
    <w:rsid w:val="009545F7"/>
    <w:rsid w:val="009574BA"/>
    <w:rsid w:val="009615D2"/>
    <w:rsid w:val="00972498"/>
    <w:rsid w:val="00974CC6"/>
    <w:rsid w:val="00976AD4"/>
    <w:rsid w:val="00982FC0"/>
    <w:rsid w:val="00984DA7"/>
    <w:rsid w:val="00986EE5"/>
    <w:rsid w:val="00993444"/>
    <w:rsid w:val="00993D4F"/>
    <w:rsid w:val="009952B7"/>
    <w:rsid w:val="009967EB"/>
    <w:rsid w:val="009A0868"/>
    <w:rsid w:val="009A312F"/>
    <w:rsid w:val="009A3D83"/>
    <w:rsid w:val="009A5348"/>
    <w:rsid w:val="009A67BB"/>
    <w:rsid w:val="009A6AA4"/>
    <w:rsid w:val="009A7882"/>
    <w:rsid w:val="009B09AD"/>
    <w:rsid w:val="009B0F87"/>
    <w:rsid w:val="009B604C"/>
    <w:rsid w:val="009B6E71"/>
    <w:rsid w:val="009C76D5"/>
    <w:rsid w:val="009D3ADC"/>
    <w:rsid w:val="009D6767"/>
    <w:rsid w:val="009D784F"/>
    <w:rsid w:val="009E5F7C"/>
    <w:rsid w:val="009E61D0"/>
    <w:rsid w:val="009E6904"/>
    <w:rsid w:val="009E744D"/>
    <w:rsid w:val="009F76FC"/>
    <w:rsid w:val="009F7AA4"/>
    <w:rsid w:val="00A02A70"/>
    <w:rsid w:val="00A0313F"/>
    <w:rsid w:val="00A03142"/>
    <w:rsid w:val="00A03932"/>
    <w:rsid w:val="00A04387"/>
    <w:rsid w:val="00A140BA"/>
    <w:rsid w:val="00A17803"/>
    <w:rsid w:val="00A179EB"/>
    <w:rsid w:val="00A234AD"/>
    <w:rsid w:val="00A23EE3"/>
    <w:rsid w:val="00A2406A"/>
    <w:rsid w:val="00A26AF4"/>
    <w:rsid w:val="00A352E9"/>
    <w:rsid w:val="00A43C59"/>
    <w:rsid w:val="00A46CF6"/>
    <w:rsid w:val="00A51E5C"/>
    <w:rsid w:val="00A52CA6"/>
    <w:rsid w:val="00A54D8A"/>
    <w:rsid w:val="00A559DB"/>
    <w:rsid w:val="00A61AB3"/>
    <w:rsid w:val="00A65342"/>
    <w:rsid w:val="00A66BB9"/>
    <w:rsid w:val="00A7003E"/>
    <w:rsid w:val="00A73135"/>
    <w:rsid w:val="00A82B04"/>
    <w:rsid w:val="00A83A48"/>
    <w:rsid w:val="00A96363"/>
    <w:rsid w:val="00AA76C8"/>
    <w:rsid w:val="00AB36A1"/>
    <w:rsid w:val="00AB398B"/>
    <w:rsid w:val="00AB593E"/>
    <w:rsid w:val="00AB6978"/>
    <w:rsid w:val="00AC274B"/>
    <w:rsid w:val="00AC5613"/>
    <w:rsid w:val="00AC5FAB"/>
    <w:rsid w:val="00AD0AE6"/>
    <w:rsid w:val="00AD3A31"/>
    <w:rsid w:val="00AD7452"/>
    <w:rsid w:val="00AE55C7"/>
    <w:rsid w:val="00AF35FC"/>
    <w:rsid w:val="00AF4EEA"/>
    <w:rsid w:val="00B01688"/>
    <w:rsid w:val="00B03639"/>
    <w:rsid w:val="00B0652A"/>
    <w:rsid w:val="00B07034"/>
    <w:rsid w:val="00B10A0B"/>
    <w:rsid w:val="00B10F4F"/>
    <w:rsid w:val="00B150A8"/>
    <w:rsid w:val="00B275A9"/>
    <w:rsid w:val="00B3757D"/>
    <w:rsid w:val="00B40937"/>
    <w:rsid w:val="00B423EF"/>
    <w:rsid w:val="00B42FCE"/>
    <w:rsid w:val="00B453DE"/>
    <w:rsid w:val="00B459A2"/>
    <w:rsid w:val="00B4742F"/>
    <w:rsid w:val="00B56675"/>
    <w:rsid w:val="00B576AF"/>
    <w:rsid w:val="00B620EA"/>
    <w:rsid w:val="00B64DD3"/>
    <w:rsid w:val="00B660DB"/>
    <w:rsid w:val="00B77F57"/>
    <w:rsid w:val="00B84AFC"/>
    <w:rsid w:val="00B856D1"/>
    <w:rsid w:val="00B8784D"/>
    <w:rsid w:val="00B901F9"/>
    <w:rsid w:val="00B91A2F"/>
    <w:rsid w:val="00B9288C"/>
    <w:rsid w:val="00B9558E"/>
    <w:rsid w:val="00BA140D"/>
    <w:rsid w:val="00BA1C29"/>
    <w:rsid w:val="00BA2631"/>
    <w:rsid w:val="00BA292F"/>
    <w:rsid w:val="00BA30D8"/>
    <w:rsid w:val="00BB02C2"/>
    <w:rsid w:val="00BB3712"/>
    <w:rsid w:val="00BB5805"/>
    <w:rsid w:val="00BB6DBA"/>
    <w:rsid w:val="00BC1A9C"/>
    <w:rsid w:val="00BD6EFB"/>
    <w:rsid w:val="00BE0220"/>
    <w:rsid w:val="00BE73E5"/>
    <w:rsid w:val="00BF2A7D"/>
    <w:rsid w:val="00BF52E7"/>
    <w:rsid w:val="00BF7D2C"/>
    <w:rsid w:val="00C03DBD"/>
    <w:rsid w:val="00C109BE"/>
    <w:rsid w:val="00C1263B"/>
    <w:rsid w:val="00C15BE2"/>
    <w:rsid w:val="00C16982"/>
    <w:rsid w:val="00C17260"/>
    <w:rsid w:val="00C22219"/>
    <w:rsid w:val="00C24C54"/>
    <w:rsid w:val="00C3447F"/>
    <w:rsid w:val="00C420AF"/>
    <w:rsid w:val="00C46668"/>
    <w:rsid w:val="00C478D3"/>
    <w:rsid w:val="00C513E2"/>
    <w:rsid w:val="00C5291A"/>
    <w:rsid w:val="00C54DEC"/>
    <w:rsid w:val="00C55DA9"/>
    <w:rsid w:val="00C57FFB"/>
    <w:rsid w:val="00C757EB"/>
    <w:rsid w:val="00C7764E"/>
    <w:rsid w:val="00C81491"/>
    <w:rsid w:val="00C81676"/>
    <w:rsid w:val="00C85248"/>
    <w:rsid w:val="00C87ED0"/>
    <w:rsid w:val="00C92C12"/>
    <w:rsid w:val="00C92CC4"/>
    <w:rsid w:val="00C94F53"/>
    <w:rsid w:val="00C96680"/>
    <w:rsid w:val="00CA0AFB"/>
    <w:rsid w:val="00CA25D2"/>
    <w:rsid w:val="00CA2CE1"/>
    <w:rsid w:val="00CA2F1E"/>
    <w:rsid w:val="00CA3976"/>
    <w:rsid w:val="00CA757B"/>
    <w:rsid w:val="00CB6066"/>
    <w:rsid w:val="00CC1787"/>
    <w:rsid w:val="00CC182C"/>
    <w:rsid w:val="00CC1B96"/>
    <w:rsid w:val="00CC5A93"/>
    <w:rsid w:val="00CD0824"/>
    <w:rsid w:val="00CD0C1E"/>
    <w:rsid w:val="00CD2908"/>
    <w:rsid w:val="00CE1C0F"/>
    <w:rsid w:val="00CE279C"/>
    <w:rsid w:val="00CE4B24"/>
    <w:rsid w:val="00D03A82"/>
    <w:rsid w:val="00D054DE"/>
    <w:rsid w:val="00D06F40"/>
    <w:rsid w:val="00D075FE"/>
    <w:rsid w:val="00D10B8D"/>
    <w:rsid w:val="00D125FD"/>
    <w:rsid w:val="00D15344"/>
    <w:rsid w:val="00D21F4E"/>
    <w:rsid w:val="00D2450C"/>
    <w:rsid w:val="00D24D5F"/>
    <w:rsid w:val="00D26929"/>
    <w:rsid w:val="00D31BEC"/>
    <w:rsid w:val="00D40503"/>
    <w:rsid w:val="00D40D30"/>
    <w:rsid w:val="00D414BB"/>
    <w:rsid w:val="00D41E53"/>
    <w:rsid w:val="00D46EDB"/>
    <w:rsid w:val="00D54F7B"/>
    <w:rsid w:val="00D63150"/>
    <w:rsid w:val="00D631C2"/>
    <w:rsid w:val="00D64A32"/>
    <w:rsid w:val="00D64EFC"/>
    <w:rsid w:val="00D664CA"/>
    <w:rsid w:val="00D719D1"/>
    <w:rsid w:val="00D71DE7"/>
    <w:rsid w:val="00D75295"/>
    <w:rsid w:val="00D76CE9"/>
    <w:rsid w:val="00D77D8C"/>
    <w:rsid w:val="00D82E1B"/>
    <w:rsid w:val="00D8536A"/>
    <w:rsid w:val="00D920E8"/>
    <w:rsid w:val="00D94649"/>
    <w:rsid w:val="00D95E89"/>
    <w:rsid w:val="00D97F12"/>
    <w:rsid w:val="00DA4031"/>
    <w:rsid w:val="00DB1DC1"/>
    <w:rsid w:val="00DB3D6E"/>
    <w:rsid w:val="00DB42E7"/>
    <w:rsid w:val="00DB6E07"/>
    <w:rsid w:val="00DD06A6"/>
    <w:rsid w:val="00DE2F4C"/>
    <w:rsid w:val="00DE34B1"/>
    <w:rsid w:val="00DE4850"/>
    <w:rsid w:val="00DE6BC4"/>
    <w:rsid w:val="00DE7080"/>
    <w:rsid w:val="00DF10A6"/>
    <w:rsid w:val="00DF32C2"/>
    <w:rsid w:val="00DF6CB2"/>
    <w:rsid w:val="00E10216"/>
    <w:rsid w:val="00E10A9F"/>
    <w:rsid w:val="00E126E4"/>
    <w:rsid w:val="00E23E2D"/>
    <w:rsid w:val="00E24F37"/>
    <w:rsid w:val="00E25C6C"/>
    <w:rsid w:val="00E30295"/>
    <w:rsid w:val="00E33D25"/>
    <w:rsid w:val="00E36548"/>
    <w:rsid w:val="00E36F75"/>
    <w:rsid w:val="00E431B1"/>
    <w:rsid w:val="00E43747"/>
    <w:rsid w:val="00E44F13"/>
    <w:rsid w:val="00E471A7"/>
    <w:rsid w:val="00E55096"/>
    <w:rsid w:val="00E568E7"/>
    <w:rsid w:val="00E56CCA"/>
    <w:rsid w:val="00E635CF"/>
    <w:rsid w:val="00E63E2B"/>
    <w:rsid w:val="00E6473B"/>
    <w:rsid w:val="00E66276"/>
    <w:rsid w:val="00E67A01"/>
    <w:rsid w:val="00E70897"/>
    <w:rsid w:val="00E768D4"/>
    <w:rsid w:val="00E81A84"/>
    <w:rsid w:val="00E90C41"/>
    <w:rsid w:val="00E94288"/>
    <w:rsid w:val="00EA11F3"/>
    <w:rsid w:val="00EA4387"/>
    <w:rsid w:val="00EB12C9"/>
    <w:rsid w:val="00EB2C36"/>
    <w:rsid w:val="00EB4075"/>
    <w:rsid w:val="00EB44D7"/>
    <w:rsid w:val="00EB456D"/>
    <w:rsid w:val="00EB5410"/>
    <w:rsid w:val="00EB5523"/>
    <w:rsid w:val="00EB5726"/>
    <w:rsid w:val="00EC6E0A"/>
    <w:rsid w:val="00ED1A56"/>
    <w:rsid w:val="00ED2040"/>
    <w:rsid w:val="00ED3838"/>
    <w:rsid w:val="00ED4E18"/>
    <w:rsid w:val="00EE1F37"/>
    <w:rsid w:val="00EE23AC"/>
    <w:rsid w:val="00EE4F91"/>
    <w:rsid w:val="00EF28E0"/>
    <w:rsid w:val="00F0017E"/>
    <w:rsid w:val="00F0035A"/>
    <w:rsid w:val="00F0159C"/>
    <w:rsid w:val="00F033B2"/>
    <w:rsid w:val="00F07B82"/>
    <w:rsid w:val="00F1008D"/>
    <w:rsid w:val="00F105B7"/>
    <w:rsid w:val="00F12BAE"/>
    <w:rsid w:val="00F1670C"/>
    <w:rsid w:val="00F1731C"/>
    <w:rsid w:val="00F17A21"/>
    <w:rsid w:val="00F20145"/>
    <w:rsid w:val="00F2639B"/>
    <w:rsid w:val="00F3130C"/>
    <w:rsid w:val="00F33B93"/>
    <w:rsid w:val="00F347B2"/>
    <w:rsid w:val="00F36BF2"/>
    <w:rsid w:val="00F37B3D"/>
    <w:rsid w:val="00F40BE8"/>
    <w:rsid w:val="00F43C50"/>
    <w:rsid w:val="00F46680"/>
    <w:rsid w:val="00F50E91"/>
    <w:rsid w:val="00F52D13"/>
    <w:rsid w:val="00F52E6C"/>
    <w:rsid w:val="00F57D29"/>
    <w:rsid w:val="00F64567"/>
    <w:rsid w:val="00F67168"/>
    <w:rsid w:val="00F67E2E"/>
    <w:rsid w:val="00F850F2"/>
    <w:rsid w:val="00F87BF4"/>
    <w:rsid w:val="00F92A99"/>
    <w:rsid w:val="00F96201"/>
    <w:rsid w:val="00FA1A69"/>
    <w:rsid w:val="00FA2503"/>
    <w:rsid w:val="00FB58DA"/>
    <w:rsid w:val="00FC0AAD"/>
    <w:rsid w:val="00FC30E9"/>
    <w:rsid w:val="00FC54DB"/>
    <w:rsid w:val="00FC7116"/>
    <w:rsid w:val="00FD0B18"/>
    <w:rsid w:val="00FD0F82"/>
    <w:rsid w:val="00FD11EF"/>
    <w:rsid w:val="00FE12B0"/>
    <w:rsid w:val="00FE25B3"/>
    <w:rsid w:val="00FE3530"/>
    <w:rsid w:val="00FE714F"/>
    <w:rsid w:val="00FF05E8"/>
    <w:rsid w:val="00FF3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0B53AC3"/>
  <w15:docId w15:val="{5A0B4108-A3F5-44F7-9CE0-E9105D4D0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table" w:customStyle="1" w:styleId="TableGrid1">
    <w:name w:val="Table Grid1"/>
    <w:basedOn w:val="TableNormal"/>
    <w:next w:val="TableGrid"/>
    <w:uiPriority w:val="39"/>
    <w:qFormat/>
    <w:rsid w:val="004E5586"/>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5A5536"/>
    <w:rPr>
      <w:rFonts w:ascii="DIN-Light" w:hAnsi="DIN-Light" w:hint="default"/>
      <w:b w:val="0"/>
      <w:bCs w:val="0"/>
      <w:i w:val="0"/>
      <w:iCs w:val="0"/>
      <w:color w:val="231F2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worldsteel.org/en/dam/jcr:80fe4bd6-4eff-4690-96e6-534500d35384/50+years+of+worldsteel_EN.pdf"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iveycase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H:\case\Import%20data%20Tota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Total Import in Metric Tonne</a:t>
            </a:r>
          </a:p>
        </c:rich>
      </c:tx>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3202054562456798E-2"/>
          <c:y val="0.20387457876913651"/>
          <c:w val="0.94494891464747166"/>
          <c:h val="0.51025233687894278"/>
        </c:manualLayout>
      </c:layout>
      <c:barChart>
        <c:barDir val="col"/>
        <c:grouping val="clustered"/>
        <c:varyColors val="0"/>
        <c:ser>
          <c:idx val="0"/>
          <c:order val="0"/>
          <c:tx>
            <c:strRef>
              <c:f>'[Import data Total.xlsx]Sheet1'!$B$1</c:f>
              <c:strCache>
                <c:ptCount val="1"/>
                <c:pt idx="0">
                  <c:v>Total FY 12-13</c:v>
                </c:pt>
              </c:strCache>
            </c:strRef>
          </c:tx>
          <c:spPr>
            <a:solidFill>
              <a:schemeClr val="dk1">
                <a:tint val="88500"/>
              </a:schemeClr>
            </a:solidFill>
            <a:ln>
              <a:noFill/>
            </a:ln>
            <a:effectLst/>
          </c:spPr>
          <c:invertIfNegative val="0"/>
          <c:dLbls>
            <c:numFmt formatCode="#,##0" sourceLinked="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eparator>. </c:separator>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[Book5]Sheet1!$A$2:$A$12</c:f>
              <c:strCache>
                <c:ptCount val="11"/>
                <c:pt idx="0">
                  <c:v>CHINA</c:v>
                </c:pt>
                <c:pt idx="1">
                  <c:v>EU</c:v>
                </c:pt>
                <c:pt idx="2">
                  <c:v>JAPAN</c:v>
                </c:pt>
                <c:pt idx="3">
                  <c:v>KOREA</c:v>
                </c:pt>
                <c:pt idx="4">
                  <c:v>MALAYSIA</c:v>
                </c:pt>
                <c:pt idx="5">
                  <c:v>MEXICO</c:v>
                </c:pt>
                <c:pt idx="6">
                  <c:v>Others</c:v>
                </c:pt>
                <c:pt idx="7">
                  <c:v>SOUTH AFRICA</c:v>
                </c:pt>
                <c:pt idx="8">
                  <c:v>TAIWAN</c:v>
                </c:pt>
                <c:pt idx="9">
                  <c:v>USA</c:v>
                </c:pt>
                <c:pt idx="10">
                  <c:v>VIETNAM</c:v>
                </c:pt>
              </c:strCache>
            </c:strRef>
          </c:cat>
          <c:val>
            <c:numRef>
              <c:f>[Book5]Sheet1!$B$2:$B$12</c:f>
              <c:numCache>
                <c:formatCode>0_ </c:formatCode>
                <c:ptCount val="11"/>
                <c:pt idx="0">
                  <c:v>7409.3615010000003</c:v>
                </c:pt>
                <c:pt idx="1">
                  <c:v>4519.3999808250001</c:v>
                </c:pt>
                <c:pt idx="2">
                  <c:v>3201.3599266666702</c:v>
                </c:pt>
                <c:pt idx="3">
                  <c:v>4312.4880330833303</c:v>
                </c:pt>
                <c:pt idx="4">
                  <c:v>1630.3360001666699</c:v>
                </c:pt>
                <c:pt idx="5">
                  <c:v>696.56383333333304</c:v>
                </c:pt>
                <c:pt idx="6">
                  <c:v>1430.7784136666701</c:v>
                </c:pt>
                <c:pt idx="7">
                  <c:v>706.23783382500005</c:v>
                </c:pt>
                <c:pt idx="8">
                  <c:v>398.68738374999998</c:v>
                </c:pt>
                <c:pt idx="9">
                  <c:v>1182.2666837116701</c:v>
                </c:pt>
                <c:pt idx="10">
                  <c:v>506.01254082416699</c:v>
                </c:pt>
              </c:numCache>
            </c:numRef>
          </c:val>
        </c:ser>
        <c:ser>
          <c:idx val="1"/>
          <c:order val="1"/>
          <c:tx>
            <c:strRef>
              <c:f>'[Import data Total.xlsx]Sheet1'!$C$1</c:f>
              <c:strCache>
                <c:ptCount val="1"/>
                <c:pt idx="0">
                  <c:v>Total FY 13-14</c:v>
                </c:pt>
              </c:strCache>
            </c:strRef>
          </c:tx>
          <c:spPr>
            <a:solidFill>
              <a:schemeClr val="dk1">
                <a:tint val="55000"/>
              </a:schemeClr>
            </a:solidFill>
            <a:ln>
              <a:noFill/>
            </a:ln>
            <a:effectLst/>
          </c:spPr>
          <c:invertIfNegative val="0"/>
          <c:dLbls>
            <c:numFmt formatCode="#,##0" sourceLinked="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[Book5]Sheet1!$A$2:$A$12</c:f>
              <c:strCache>
                <c:ptCount val="11"/>
                <c:pt idx="0">
                  <c:v>CHINA</c:v>
                </c:pt>
                <c:pt idx="1">
                  <c:v>EU</c:v>
                </c:pt>
                <c:pt idx="2">
                  <c:v>JAPAN</c:v>
                </c:pt>
                <c:pt idx="3">
                  <c:v>KOREA</c:v>
                </c:pt>
                <c:pt idx="4">
                  <c:v>MALAYSIA</c:v>
                </c:pt>
                <c:pt idx="5">
                  <c:v>MEXICO</c:v>
                </c:pt>
                <c:pt idx="6">
                  <c:v>Others</c:v>
                </c:pt>
                <c:pt idx="7">
                  <c:v>SOUTH AFRICA</c:v>
                </c:pt>
                <c:pt idx="8">
                  <c:v>TAIWAN</c:v>
                </c:pt>
                <c:pt idx="9">
                  <c:v>USA</c:v>
                </c:pt>
                <c:pt idx="10">
                  <c:v>VIETNAM</c:v>
                </c:pt>
              </c:strCache>
            </c:strRef>
          </c:cat>
          <c:val>
            <c:numRef>
              <c:f>[Book5]Sheet1!$C$2:$C$12</c:f>
              <c:numCache>
                <c:formatCode>0_ </c:formatCode>
                <c:ptCount val="11"/>
                <c:pt idx="0">
                  <c:v>9447.0887720466708</c:v>
                </c:pt>
                <c:pt idx="1">
                  <c:v>4306.5694901500001</c:v>
                </c:pt>
                <c:pt idx="2">
                  <c:v>2997.8497550000002</c:v>
                </c:pt>
                <c:pt idx="3">
                  <c:v>3231.0070224999999</c:v>
                </c:pt>
                <c:pt idx="4">
                  <c:v>996.70219166666698</c:v>
                </c:pt>
                <c:pt idx="5">
                  <c:v>789.37291666666704</c:v>
                </c:pt>
                <c:pt idx="6">
                  <c:v>1022.2039724666701</c:v>
                </c:pt>
                <c:pt idx="7">
                  <c:v>661.96989916666701</c:v>
                </c:pt>
                <c:pt idx="8">
                  <c:v>370.75165833333301</c:v>
                </c:pt>
                <c:pt idx="9">
                  <c:v>1463.8228866249999</c:v>
                </c:pt>
                <c:pt idx="10">
                  <c:v>318.1651</c:v>
                </c:pt>
              </c:numCache>
            </c:numRef>
          </c:val>
        </c:ser>
        <c:ser>
          <c:idx val="2"/>
          <c:order val="2"/>
          <c:tx>
            <c:strRef>
              <c:f>'[Import data Total.xlsx]Sheet1'!$D$1</c:f>
              <c:strCache>
                <c:ptCount val="1"/>
                <c:pt idx="0">
                  <c:v>Total FY 14-15</c:v>
                </c:pt>
              </c:strCache>
            </c:strRef>
          </c:tx>
          <c:spPr>
            <a:solidFill>
              <a:schemeClr val="dk1">
                <a:tint val="75000"/>
              </a:schemeClr>
            </a:solidFill>
            <a:ln>
              <a:noFill/>
            </a:ln>
            <a:effectLst/>
          </c:spPr>
          <c:invertIfNegative val="0"/>
          <c:dLbls>
            <c:numFmt formatCode="#,##0" sourceLinked="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[Book5]Sheet1!$A$2:$A$12</c:f>
              <c:strCache>
                <c:ptCount val="11"/>
                <c:pt idx="0">
                  <c:v>CHINA</c:v>
                </c:pt>
                <c:pt idx="1">
                  <c:v>EU</c:v>
                </c:pt>
                <c:pt idx="2">
                  <c:v>JAPAN</c:v>
                </c:pt>
                <c:pt idx="3">
                  <c:v>KOREA</c:v>
                </c:pt>
                <c:pt idx="4">
                  <c:v>MALAYSIA</c:v>
                </c:pt>
                <c:pt idx="5">
                  <c:v>MEXICO</c:v>
                </c:pt>
                <c:pt idx="6">
                  <c:v>Others</c:v>
                </c:pt>
                <c:pt idx="7">
                  <c:v>SOUTH AFRICA</c:v>
                </c:pt>
                <c:pt idx="8">
                  <c:v>TAIWAN</c:v>
                </c:pt>
                <c:pt idx="9">
                  <c:v>USA</c:v>
                </c:pt>
                <c:pt idx="10">
                  <c:v>VIETNAM</c:v>
                </c:pt>
              </c:strCache>
            </c:strRef>
          </c:cat>
          <c:val>
            <c:numRef>
              <c:f>[Book5]Sheet1!$D$2:$D$12</c:f>
              <c:numCache>
                <c:formatCode>0_ </c:formatCode>
                <c:ptCount val="11"/>
                <c:pt idx="0">
                  <c:v>18413.623814516701</c:v>
                </c:pt>
                <c:pt idx="1">
                  <c:v>3561.0262952925</c:v>
                </c:pt>
                <c:pt idx="2">
                  <c:v>3634.2526666666699</c:v>
                </c:pt>
                <c:pt idx="3">
                  <c:v>2957.61654841667</c:v>
                </c:pt>
                <c:pt idx="4">
                  <c:v>2247.23899958333</c:v>
                </c:pt>
                <c:pt idx="5">
                  <c:v>1086.2434166666701</c:v>
                </c:pt>
                <c:pt idx="6">
                  <c:v>1037.41606158333</c:v>
                </c:pt>
                <c:pt idx="7">
                  <c:v>856.60058241666695</c:v>
                </c:pt>
                <c:pt idx="8">
                  <c:v>585.52076666666699</c:v>
                </c:pt>
                <c:pt idx="9">
                  <c:v>813.60771033333299</c:v>
                </c:pt>
                <c:pt idx="10">
                  <c:v>455.88983250000001</c:v>
                </c:pt>
              </c:numCache>
            </c:numRef>
          </c:val>
        </c:ser>
        <c:ser>
          <c:idx val="3"/>
          <c:order val="3"/>
          <c:tx>
            <c:strRef>
              <c:f>'[Import data Total.xlsx]Sheet1'!$E$1</c:f>
              <c:strCache>
                <c:ptCount val="1"/>
                <c:pt idx="0">
                  <c:v>Total FY 15-16</c:v>
                </c:pt>
              </c:strCache>
            </c:strRef>
          </c:tx>
          <c:spPr>
            <a:solidFill>
              <a:schemeClr val="dk1">
                <a:tint val="98500"/>
              </a:schemeClr>
            </a:solidFill>
            <a:ln>
              <a:noFill/>
            </a:ln>
            <a:effectLst/>
          </c:spPr>
          <c:invertIfNegative val="0"/>
          <c:dLbls>
            <c:numFmt formatCode="#,##0" sourceLinked="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[Book5]Sheet1!$A$2:$A$12</c:f>
              <c:strCache>
                <c:ptCount val="11"/>
                <c:pt idx="0">
                  <c:v>CHINA</c:v>
                </c:pt>
                <c:pt idx="1">
                  <c:v>EU</c:v>
                </c:pt>
                <c:pt idx="2">
                  <c:v>JAPAN</c:v>
                </c:pt>
                <c:pt idx="3">
                  <c:v>KOREA</c:v>
                </c:pt>
                <c:pt idx="4">
                  <c:v>MALAYSIA</c:v>
                </c:pt>
                <c:pt idx="5">
                  <c:v>MEXICO</c:v>
                </c:pt>
                <c:pt idx="6">
                  <c:v>Others</c:v>
                </c:pt>
                <c:pt idx="7">
                  <c:v>SOUTH AFRICA</c:v>
                </c:pt>
                <c:pt idx="8">
                  <c:v>TAIWAN</c:v>
                </c:pt>
                <c:pt idx="9">
                  <c:v>USA</c:v>
                </c:pt>
                <c:pt idx="10">
                  <c:v>VIETNAM</c:v>
                </c:pt>
              </c:strCache>
            </c:strRef>
          </c:cat>
          <c:val>
            <c:numRef>
              <c:f>[Book5]Sheet1!$E$2:$E$12</c:f>
              <c:numCache>
                <c:formatCode>0_ </c:formatCode>
                <c:ptCount val="11"/>
                <c:pt idx="0">
                  <c:v>20508.182054818299</c:v>
                </c:pt>
                <c:pt idx="1">
                  <c:v>3008.7828361666702</c:v>
                </c:pt>
                <c:pt idx="2">
                  <c:v>3738.61712491667</c:v>
                </c:pt>
                <c:pt idx="3">
                  <c:v>2904.1114958333301</c:v>
                </c:pt>
                <c:pt idx="4">
                  <c:v>2405.0947500000002</c:v>
                </c:pt>
                <c:pt idx="5">
                  <c:v>945.06799999999998</c:v>
                </c:pt>
                <c:pt idx="6">
                  <c:v>1151.0277191666701</c:v>
                </c:pt>
                <c:pt idx="7">
                  <c:v>714.48291666666705</c:v>
                </c:pt>
                <c:pt idx="8">
                  <c:v>1381.1002966666699</c:v>
                </c:pt>
                <c:pt idx="9">
                  <c:v>1281.09760072417</c:v>
                </c:pt>
                <c:pt idx="10">
                  <c:v>105.40349999999999</c:v>
                </c:pt>
              </c:numCache>
            </c:numRef>
          </c:val>
        </c:ser>
        <c:dLbls>
          <c:dLblPos val="outEnd"/>
          <c:showLegendKey val="0"/>
          <c:showVal val="1"/>
          <c:showCatName val="0"/>
          <c:showSerName val="0"/>
          <c:showPercent val="0"/>
          <c:showBubbleSize val="0"/>
        </c:dLbls>
        <c:gapWidth val="444"/>
        <c:overlap val="-90"/>
        <c:axId val="160984632"/>
        <c:axId val="160985024"/>
      </c:barChart>
      <c:catAx>
        <c:axId val="1609846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3000000" spcFirstLastPara="1" vertOverflow="ellipsis"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60985024"/>
        <c:crosses val="autoZero"/>
        <c:auto val="1"/>
        <c:lblAlgn val="ctr"/>
        <c:lblOffset val="100"/>
        <c:noMultiLvlLbl val="0"/>
      </c:catAx>
      <c:valAx>
        <c:axId val="160985024"/>
        <c:scaling>
          <c:orientation val="minMax"/>
        </c:scaling>
        <c:delete val="1"/>
        <c:axPos val="l"/>
        <c:numFmt formatCode="0_ " sourceLinked="1"/>
        <c:majorTickMark val="none"/>
        <c:minorTickMark val="none"/>
        <c:tickLblPos val="nextTo"/>
        <c:crossAx val="160984632"/>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80666F-A770-48FD-9139-3D47B11A5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16</Pages>
  <Words>6131</Words>
  <Characters>34951</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Martinali, Sara</cp:lastModifiedBy>
  <cp:revision>4</cp:revision>
  <cp:lastPrinted>2018-01-13T01:14:00Z</cp:lastPrinted>
  <dcterms:created xsi:type="dcterms:W3CDTF">2018-02-05T18:55:00Z</dcterms:created>
  <dcterms:modified xsi:type="dcterms:W3CDTF">2018-02-06T20:39:00Z</dcterms:modified>
</cp:coreProperties>
</file>