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605"/>
      </w:tblGrid>
      <w:tr w:rsidR="00106144" w14:paraId="1BD06E09" w14:textId="77777777" w:rsidTr="007B3DBA">
        <w:tc>
          <w:tcPr>
            <w:tcW w:w="4788" w:type="dxa"/>
          </w:tcPr>
          <w:p w14:paraId="12ED2FEA" w14:textId="77777777" w:rsidR="00106144" w:rsidRDefault="00106144" w:rsidP="007B3DBA">
            <w:pPr>
              <w:tabs>
                <w:tab w:val="left" w:pos="-1440"/>
                <w:tab w:val="left" w:pos="-720"/>
                <w:tab w:val="left" w:pos="1"/>
              </w:tabs>
              <w:jc w:val="both"/>
              <w:rPr>
                <w:rFonts w:ascii="Arial" w:hAnsi="Arial"/>
                <w:b/>
                <w:sz w:val="24"/>
              </w:rPr>
            </w:pPr>
            <w:r w:rsidRPr="00521B55">
              <w:rPr>
                <w:rFonts w:ascii="Arial" w:hAnsi="Arial"/>
                <w:b/>
                <w:noProof/>
                <w:sz w:val="24"/>
              </w:rPr>
              <w:drawing>
                <wp:inline distT="0" distB="0" distL="0" distR="0" wp14:anchorId="261A131E" wp14:editId="515C3ECD">
                  <wp:extent cx="2613804" cy="55124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3053D99F" w14:textId="77777777" w:rsidR="00106144" w:rsidRDefault="00106144" w:rsidP="007B3DBA">
            <w:pPr>
              <w:tabs>
                <w:tab w:val="left" w:pos="-1440"/>
                <w:tab w:val="left" w:pos="-720"/>
                <w:tab w:val="left" w:pos="1"/>
              </w:tabs>
              <w:jc w:val="both"/>
              <w:rPr>
                <w:rFonts w:ascii="Arial" w:hAnsi="Arial"/>
                <w:b/>
                <w:sz w:val="24"/>
              </w:rPr>
            </w:pPr>
            <w:r>
              <w:rPr>
                <w:rFonts w:ascii="Arial" w:hAnsi="Arial"/>
                <w:b/>
                <w:noProof/>
                <w:sz w:val="24"/>
              </w:rPr>
              <w:drawing>
                <wp:anchor distT="0" distB="0" distL="114300" distR="114300" simplePos="0" relativeHeight="251660288" behindDoc="1" locked="0" layoutInCell="1" allowOverlap="1" wp14:anchorId="5AE218F2" wp14:editId="2EE3F599">
                  <wp:simplePos x="0" y="0"/>
                  <wp:positionH relativeFrom="column">
                    <wp:posOffset>1651635</wp:posOffset>
                  </wp:positionH>
                  <wp:positionV relativeFrom="paragraph">
                    <wp:posOffset>20320</wp:posOffset>
                  </wp:positionV>
                  <wp:extent cx="1304290" cy="548640"/>
                  <wp:effectExtent l="0" t="0" r="0" b="3810"/>
                  <wp:wrapTight wrapText="bothSides">
                    <wp:wrapPolygon edited="0">
                      <wp:start x="0" y="0"/>
                      <wp:lineTo x="0" y="21000"/>
                      <wp:lineTo x="21137" y="21000"/>
                      <wp:lineTo x="21137" y="0"/>
                      <wp:lineTo x="0" y="0"/>
                    </wp:wrapPolygon>
                  </wp:wrapTight>
                  <wp:docPr id="5" name="Picture 5" descr="logo_gre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6C2BAFB" w14:textId="77777777" w:rsidR="00856D9F" w:rsidRPr="00AA53AD" w:rsidRDefault="00856D9F" w:rsidP="008467D5">
      <w:pPr>
        <w:pBdr>
          <w:bottom w:val="single" w:sz="18" w:space="1" w:color="auto"/>
        </w:pBdr>
        <w:tabs>
          <w:tab w:val="left" w:pos="-1440"/>
          <w:tab w:val="left" w:pos="-720"/>
          <w:tab w:val="left" w:pos="1"/>
        </w:tabs>
        <w:jc w:val="both"/>
        <w:rPr>
          <w:rFonts w:ascii="Arial" w:hAnsi="Arial"/>
          <w:b/>
          <w:sz w:val="2"/>
          <w:szCs w:val="2"/>
          <w:lang w:val="en-GB"/>
        </w:rPr>
      </w:pPr>
    </w:p>
    <w:p w14:paraId="578C2A24" w14:textId="2D3ECD86" w:rsidR="00D75295" w:rsidRPr="006E28CD" w:rsidRDefault="00CA445D" w:rsidP="00F105B7">
      <w:pPr>
        <w:pStyle w:val="ProductNumber"/>
        <w:rPr>
          <w:lang w:val="en-GB"/>
        </w:rPr>
      </w:pPr>
      <w:r>
        <w:rPr>
          <w:lang w:val="en-GB"/>
        </w:rPr>
        <w:t>9B18M028</w:t>
      </w:r>
    </w:p>
    <w:p w14:paraId="373983B1" w14:textId="77777777" w:rsidR="00D75295" w:rsidRPr="006E28CD" w:rsidRDefault="00D75295" w:rsidP="00D75295">
      <w:pPr>
        <w:jc w:val="right"/>
        <w:rPr>
          <w:rFonts w:ascii="Arial" w:hAnsi="Arial"/>
          <w:b/>
          <w:sz w:val="28"/>
          <w:szCs w:val="28"/>
          <w:lang w:val="en-GB"/>
        </w:rPr>
      </w:pPr>
    </w:p>
    <w:p w14:paraId="347DE442" w14:textId="77777777" w:rsidR="00866F6D" w:rsidRPr="006E28CD" w:rsidRDefault="00866F6D" w:rsidP="00D75295">
      <w:pPr>
        <w:jc w:val="right"/>
        <w:rPr>
          <w:rFonts w:ascii="Arial" w:hAnsi="Arial"/>
          <w:b/>
          <w:sz w:val="28"/>
          <w:szCs w:val="28"/>
          <w:lang w:val="en-GB"/>
        </w:rPr>
      </w:pPr>
    </w:p>
    <w:p w14:paraId="5CAA9257" w14:textId="77777777" w:rsidR="00013360" w:rsidRPr="006E28CD" w:rsidRDefault="00CD53A5" w:rsidP="00013360">
      <w:pPr>
        <w:pStyle w:val="CaseTitle"/>
        <w:spacing w:after="0" w:line="240" w:lineRule="auto"/>
        <w:rPr>
          <w:lang w:val="en-GB"/>
        </w:rPr>
      </w:pPr>
      <w:r w:rsidRPr="006E28CD">
        <w:rPr>
          <w:lang w:val="en-GB"/>
        </w:rPr>
        <w:t>IOI’s global challenge: Moving up the palm oil value chain</w:t>
      </w:r>
    </w:p>
    <w:p w14:paraId="16BCEFB2" w14:textId="77777777" w:rsidR="00013360" w:rsidRPr="006E28CD" w:rsidRDefault="00013360" w:rsidP="00013360">
      <w:pPr>
        <w:pStyle w:val="CaseTitle"/>
        <w:spacing w:after="0" w:line="240" w:lineRule="auto"/>
        <w:rPr>
          <w:sz w:val="20"/>
          <w:szCs w:val="20"/>
          <w:lang w:val="en-GB"/>
        </w:rPr>
      </w:pPr>
    </w:p>
    <w:p w14:paraId="79C68E19" w14:textId="77777777" w:rsidR="00013360" w:rsidRPr="006E28CD" w:rsidRDefault="00013360" w:rsidP="00013360">
      <w:pPr>
        <w:pStyle w:val="CaseTitle"/>
        <w:spacing w:after="0" w:line="240" w:lineRule="auto"/>
        <w:rPr>
          <w:sz w:val="20"/>
          <w:szCs w:val="20"/>
          <w:lang w:val="en-GB"/>
        </w:rPr>
      </w:pPr>
    </w:p>
    <w:p w14:paraId="514654E9" w14:textId="6B5C7B51" w:rsidR="00013360" w:rsidRPr="006E28CD" w:rsidRDefault="00CD53A5" w:rsidP="00104567">
      <w:pPr>
        <w:pStyle w:val="StyleCopyrightStatementAfter0ptBottomSinglesolidline1"/>
        <w:rPr>
          <w:lang w:val="en-GB"/>
        </w:rPr>
      </w:pPr>
      <w:r w:rsidRPr="006E28CD">
        <w:rPr>
          <w:lang w:val="en-GB"/>
        </w:rPr>
        <w:t>Marleen Dieleman</w:t>
      </w:r>
      <w:r w:rsidR="007E5921" w:rsidRPr="006E28CD">
        <w:rPr>
          <w:lang w:val="en-GB"/>
        </w:rPr>
        <w:t xml:space="preserve"> wrote this case sol</w:t>
      </w:r>
      <w:r w:rsidR="00D75295" w:rsidRPr="006E28CD">
        <w:rPr>
          <w:lang w:val="en-GB"/>
        </w:rPr>
        <w:t>ely to provide material for class discussion. The author do</w:t>
      </w:r>
      <w:r w:rsidR="00301A00">
        <w:rPr>
          <w:lang w:val="en-GB"/>
        </w:rPr>
        <w:t>es</w:t>
      </w:r>
      <w:r w:rsidR="00D75295" w:rsidRPr="006E28CD">
        <w:rPr>
          <w:lang w:val="en-GB"/>
        </w:rPr>
        <w:t xml:space="preserve"> not intend to illustrate either effective or ineffective handling of a managerial situation. The author may have disguised certain names and other identifying information to protect confidentiality.</w:t>
      </w:r>
    </w:p>
    <w:p w14:paraId="123443FE" w14:textId="77777777" w:rsidR="00013360" w:rsidRPr="006E28CD" w:rsidRDefault="00013360" w:rsidP="00104567">
      <w:pPr>
        <w:pStyle w:val="StyleCopyrightStatementAfter0ptBottomSinglesolidline1"/>
        <w:rPr>
          <w:lang w:val="en-GB"/>
        </w:rPr>
      </w:pPr>
    </w:p>
    <w:p w14:paraId="256C7BC6" w14:textId="52992054" w:rsidR="00AA53AD" w:rsidRDefault="00AA53AD" w:rsidP="00AA53AD">
      <w:pPr>
        <w:jc w:val="both"/>
        <w:rPr>
          <w:rFonts w:ascii="Arial" w:hAnsi="Arial" w:cs="Arial"/>
          <w:i/>
          <w:iCs/>
          <w:sz w:val="16"/>
          <w:szCs w:val="16"/>
          <w:lang w:val="en-CA"/>
        </w:rPr>
      </w:pPr>
      <w:r>
        <w:rPr>
          <w:rFonts w:ascii="Arial" w:hAnsi="Arial" w:cs="Arial"/>
          <w:i/>
          <w:iCs/>
          <w:sz w:val="16"/>
          <w:szCs w:val="16"/>
          <w:lang w:val="en-CA"/>
        </w:rPr>
        <w:t>This publication may not be transmitted, photocopied, digitized</w:t>
      </w:r>
      <w:r w:rsidR="00301A00">
        <w:rPr>
          <w:rFonts w:ascii="Arial" w:hAnsi="Arial" w:cs="Arial"/>
          <w:i/>
          <w:iCs/>
          <w:sz w:val="16"/>
          <w:szCs w:val="16"/>
          <w:lang w:val="en-CA"/>
        </w:rPr>
        <w:t>,</w:t>
      </w:r>
      <w:r>
        <w:rPr>
          <w:rFonts w:ascii="Arial" w:hAnsi="Arial" w:cs="Arial"/>
          <w:i/>
          <w:iCs/>
          <w:sz w:val="16"/>
          <w:szCs w:val="16"/>
          <w:lang w:val="en-CA"/>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4DD51CA4" w14:textId="77777777" w:rsidR="00AA53AD" w:rsidRDefault="00AA53AD" w:rsidP="00AA53AD">
      <w:pPr>
        <w:pStyle w:val="StyleCopyrightStatementAfter0ptBottomSinglesolidline1"/>
        <w:pBdr>
          <w:top w:val="none" w:sz="0" w:space="0" w:color="auto"/>
        </w:pBdr>
      </w:pPr>
    </w:p>
    <w:p w14:paraId="10AE234B" w14:textId="20146D81" w:rsidR="003B7EF2" w:rsidRPr="006E28CD" w:rsidRDefault="00AA53AD" w:rsidP="00AA53AD">
      <w:pPr>
        <w:pStyle w:val="StyleStyleCopyrightStatementAfter0ptBottomSinglesolid"/>
        <w:rPr>
          <w:lang w:val="en-GB"/>
        </w:rPr>
      </w:pPr>
      <w:r>
        <w:t xml:space="preserve">Copyright © 2018, </w:t>
      </w:r>
      <w:r w:rsidR="00106144" w:rsidRPr="004415A3">
        <w:rPr>
          <w:lang w:val="en-CA"/>
        </w:rPr>
        <w:t>National University of Singapore and Ivey School of Business Foundation</w:t>
      </w:r>
      <w:r>
        <w:tab/>
        <w:t>Version: 2018-02-</w:t>
      </w:r>
      <w:r w:rsidR="006C092B">
        <w:t>12</w:t>
      </w:r>
    </w:p>
    <w:p w14:paraId="038CB391" w14:textId="77777777" w:rsidR="003B7EF2" w:rsidRPr="006E28CD" w:rsidRDefault="003B7EF2" w:rsidP="00104567">
      <w:pPr>
        <w:pStyle w:val="StyleCopyrightStatementAfter0ptBottomSinglesolidline1"/>
        <w:rPr>
          <w:rFonts w:ascii="Times New Roman" w:hAnsi="Times New Roman"/>
          <w:sz w:val="20"/>
          <w:lang w:val="en-GB"/>
        </w:rPr>
      </w:pPr>
    </w:p>
    <w:p w14:paraId="47D16172" w14:textId="77777777" w:rsidR="003B7EF2" w:rsidRPr="006E28CD" w:rsidRDefault="003B7EF2" w:rsidP="006B7F7A">
      <w:pPr>
        <w:pStyle w:val="BodyTextMain"/>
        <w:rPr>
          <w:lang w:val="en-GB"/>
        </w:rPr>
      </w:pPr>
    </w:p>
    <w:p w14:paraId="46942CDA" w14:textId="77777777" w:rsidR="00CD53A5" w:rsidRPr="006E28CD" w:rsidRDefault="00CD53A5" w:rsidP="00CD53A5">
      <w:pPr>
        <w:pStyle w:val="Casehead1"/>
        <w:rPr>
          <w:lang w:val="en-GB"/>
        </w:rPr>
      </w:pPr>
      <w:r w:rsidRPr="006E28CD">
        <w:rPr>
          <w:lang w:val="en-GB"/>
        </w:rPr>
        <w:t>Introduction: The global challenge</w:t>
      </w:r>
    </w:p>
    <w:p w14:paraId="3D898A40" w14:textId="77777777" w:rsidR="00CD53A5" w:rsidRPr="00D65FC4" w:rsidRDefault="00CD53A5" w:rsidP="00CD53A5">
      <w:pPr>
        <w:pStyle w:val="BodyTextMain"/>
        <w:rPr>
          <w:sz w:val="20"/>
          <w:lang w:val="en-GB"/>
        </w:rPr>
      </w:pPr>
    </w:p>
    <w:p w14:paraId="60899808" w14:textId="5C1D82B0" w:rsidR="00CD53A5" w:rsidRPr="006E28CD" w:rsidRDefault="00CD53A5" w:rsidP="00CD53A5">
      <w:pPr>
        <w:pStyle w:val="BodyTextMain"/>
        <w:rPr>
          <w:lang w:val="en-GB"/>
        </w:rPr>
      </w:pPr>
      <w:r w:rsidRPr="006E28CD">
        <w:rPr>
          <w:lang w:val="en-GB"/>
        </w:rPr>
        <w:t>In early 2017</w:t>
      </w:r>
      <w:r w:rsidR="00187F5B" w:rsidRPr="006E28CD">
        <w:rPr>
          <w:lang w:val="en-GB"/>
        </w:rPr>
        <w:t>,</w:t>
      </w:r>
      <w:r w:rsidRPr="006E28CD">
        <w:rPr>
          <w:lang w:val="en-GB"/>
        </w:rPr>
        <w:t xml:space="preserve"> </w:t>
      </w:r>
      <w:proofErr w:type="spellStart"/>
      <w:r w:rsidRPr="006E28CD">
        <w:rPr>
          <w:lang w:val="en-GB"/>
        </w:rPr>
        <w:t>Dato</w:t>
      </w:r>
      <w:proofErr w:type="spellEnd"/>
      <w:r w:rsidRPr="006E28CD">
        <w:rPr>
          <w:lang w:val="en-GB"/>
        </w:rPr>
        <w:t xml:space="preserve">’ Lee </w:t>
      </w:r>
      <w:proofErr w:type="spellStart"/>
      <w:r w:rsidRPr="006E28CD">
        <w:rPr>
          <w:lang w:val="en-GB"/>
        </w:rPr>
        <w:t>Yeow</w:t>
      </w:r>
      <w:proofErr w:type="spellEnd"/>
      <w:r w:rsidRPr="006E28CD">
        <w:rPr>
          <w:lang w:val="en-GB"/>
        </w:rPr>
        <w:t xml:space="preserve"> </w:t>
      </w:r>
      <w:proofErr w:type="spellStart"/>
      <w:r w:rsidRPr="006E28CD">
        <w:rPr>
          <w:lang w:val="en-GB"/>
        </w:rPr>
        <w:t>Chor</w:t>
      </w:r>
      <w:proofErr w:type="spellEnd"/>
      <w:r w:rsidRPr="006E28CD">
        <w:rPr>
          <w:lang w:val="en-GB"/>
        </w:rPr>
        <w:t xml:space="preserve"> (Lee), </w:t>
      </w:r>
      <w:r w:rsidR="00ED6BBA" w:rsidRPr="006E28CD">
        <w:rPr>
          <w:lang w:val="en-GB"/>
        </w:rPr>
        <w:t>the chief executive officer (</w:t>
      </w:r>
      <w:r w:rsidRPr="006E28CD">
        <w:rPr>
          <w:lang w:val="en-GB"/>
        </w:rPr>
        <w:t>CEO</w:t>
      </w:r>
      <w:r w:rsidR="00ED6BBA" w:rsidRPr="006E28CD">
        <w:rPr>
          <w:lang w:val="en-GB"/>
        </w:rPr>
        <w:t>)</w:t>
      </w:r>
      <w:r w:rsidRPr="006E28CD">
        <w:rPr>
          <w:lang w:val="en-GB"/>
        </w:rPr>
        <w:t xml:space="preserve"> of IOI Corp</w:t>
      </w:r>
      <w:r w:rsidR="00ED6BBA" w:rsidRPr="006E28CD">
        <w:rPr>
          <w:lang w:val="en-GB"/>
        </w:rPr>
        <w:t xml:space="preserve">oration </w:t>
      </w:r>
      <w:proofErr w:type="spellStart"/>
      <w:r w:rsidR="00ED6BBA" w:rsidRPr="006E28CD">
        <w:rPr>
          <w:lang w:val="en-GB"/>
        </w:rPr>
        <w:t>Berhad</w:t>
      </w:r>
      <w:proofErr w:type="spellEnd"/>
      <w:r w:rsidR="00ED6BBA" w:rsidRPr="006E28CD">
        <w:rPr>
          <w:lang w:val="en-GB"/>
        </w:rPr>
        <w:t xml:space="preserve"> (IOI)</w:t>
      </w:r>
      <w:r w:rsidRPr="006E28CD">
        <w:rPr>
          <w:lang w:val="en-GB"/>
        </w:rPr>
        <w:t xml:space="preserve">, considered his strategic options. The firm founded by his entrepreneurial father had come a long way. Starting with palm plantations in Malaysia, IOI </w:t>
      </w:r>
      <w:r w:rsidR="00ED6BBA" w:rsidRPr="006E28CD">
        <w:rPr>
          <w:lang w:val="en-GB"/>
        </w:rPr>
        <w:t xml:space="preserve">had grown </w:t>
      </w:r>
      <w:r w:rsidRPr="006E28CD">
        <w:rPr>
          <w:lang w:val="en-GB"/>
        </w:rPr>
        <w:t xml:space="preserve">and vertically integrated, </w:t>
      </w:r>
      <w:r w:rsidR="00ED6BBA" w:rsidRPr="006E28CD">
        <w:rPr>
          <w:lang w:val="en-GB"/>
        </w:rPr>
        <w:t>and</w:t>
      </w:r>
      <w:r w:rsidRPr="006E28CD">
        <w:rPr>
          <w:lang w:val="en-GB"/>
        </w:rPr>
        <w:t xml:space="preserve"> it now manufactured ingredients for food and personal care products across Asia, Europe</w:t>
      </w:r>
      <w:r w:rsidR="00ED6BBA" w:rsidRPr="006E28CD">
        <w:rPr>
          <w:lang w:val="en-GB"/>
        </w:rPr>
        <w:t>,</w:t>
      </w:r>
      <w:r w:rsidRPr="006E28CD">
        <w:rPr>
          <w:lang w:val="en-GB"/>
        </w:rPr>
        <w:t xml:space="preserve"> and North America</w:t>
      </w:r>
      <w:r w:rsidR="00ED6BBA" w:rsidRPr="006E28CD">
        <w:rPr>
          <w:lang w:val="en-GB"/>
        </w:rPr>
        <w:t xml:space="preserve"> and had</w:t>
      </w:r>
      <w:r w:rsidRPr="006E28CD">
        <w:rPr>
          <w:lang w:val="en-GB"/>
        </w:rPr>
        <w:t xml:space="preserve"> a market capitalization of US</w:t>
      </w:r>
      <w:r w:rsidR="001F3CD8" w:rsidRPr="006E28CD">
        <w:rPr>
          <w:lang w:val="en-GB"/>
        </w:rPr>
        <w:t>$</w:t>
      </w:r>
      <w:r w:rsidRPr="006E28CD">
        <w:rPr>
          <w:lang w:val="en-GB"/>
        </w:rPr>
        <w:t>6.7 billion in 2017</w:t>
      </w:r>
      <w:r w:rsidR="00ED6BBA" w:rsidRPr="006E28CD">
        <w:rPr>
          <w:lang w:val="en-GB"/>
        </w:rPr>
        <w:t>.</w:t>
      </w:r>
      <w:r w:rsidRPr="006E28CD">
        <w:rPr>
          <w:vertAlign w:val="superscript"/>
          <w:lang w:val="en-GB"/>
        </w:rPr>
        <w:footnoteReference w:id="1"/>
      </w:r>
      <w:r w:rsidRPr="006E28CD">
        <w:rPr>
          <w:lang w:val="en-GB"/>
        </w:rPr>
        <w:t xml:space="preserve"> </w:t>
      </w:r>
    </w:p>
    <w:p w14:paraId="199A627F" w14:textId="77777777" w:rsidR="00CD53A5" w:rsidRPr="00D65FC4" w:rsidRDefault="00CD53A5" w:rsidP="00CD53A5">
      <w:pPr>
        <w:pStyle w:val="BodyTextMain"/>
        <w:rPr>
          <w:sz w:val="20"/>
          <w:lang w:val="en-GB"/>
        </w:rPr>
      </w:pPr>
    </w:p>
    <w:p w14:paraId="52C151B7" w14:textId="3A3DEAC3" w:rsidR="00CD53A5" w:rsidRPr="006E28CD" w:rsidRDefault="00CD53A5" w:rsidP="00CD53A5">
      <w:pPr>
        <w:pStyle w:val="BodyTextMain"/>
        <w:rPr>
          <w:lang w:val="en-GB"/>
        </w:rPr>
      </w:pPr>
      <w:r w:rsidRPr="006E28CD">
        <w:rPr>
          <w:lang w:val="en-GB"/>
        </w:rPr>
        <w:t>Lee, a humble leader with a structured approach, was proud of IOI’s track record (</w:t>
      </w:r>
      <w:r w:rsidR="001F3CD8" w:rsidRPr="006E28CD">
        <w:rPr>
          <w:lang w:val="en-GB"/>
        </w:rPr>
        <w:t xml:space="preserve">see </w:t>
      </w:r>
      <w:r w:rsidRPr="006E28CD">
        <w:rPr>
          <w:lang w:val="en-GB"/>
        </w:rPr>
        <w:t>Exhibit 1)</w:t>
      </w:r>
      <w:r w:rsidR="001F3CD8" w:rsidRPr="006E28CD">
        <w:rPr>
          <w:lang w:val="en-GB"/>
        </w:rPr>
        <w:t>,</w:t>
      </w:r>
      <w:r w:rsidRPr="006E28CD">
        <w:rPr>
          <w:lang w:val="en-GB"/>
        </w:rPr>
        <w:t xml:space="preserve"> and </w:t>
      </w:r>
      <w:r w:rsidR="001F3CD8" w:rsidRPr="006E28CD">
        <w:rPr>
          <w:lang w:val="en-GB"/>
        </w:rPr>
        <w:t xml:space="preserve">he was </w:t>
      </w:r>
      <w:r w:rsidRPr="006E28CD">
        <w:rPr>
          <w:lang w:val="en-GB"/>
        </w:rPr>
        <w:t xml:space="preserve">keen to build a </w:t>
      </w:r>
      <w:r w:rsidR="00854852">
        <w:rPr>
          <w:lang w:val="en-GB"/>
        </w:rPr>
        <w:t>globally</w:t>
      </w:r>
      <w:r w:rsidRPr="006E28CD">
        <w:rPr>
          <w:lang w:val="en-GB"/>
        </w:rPr>
        <w:t xml:space="preserve"> admired</w:t>
      </w:r>
      <w:r w:rsidR="00303B08">
        <w:rPr>
          <w:lang w:val="en-GB"/>
        </w:rPr>
        <w:t>,</w:t>
      </w:r>
      <w:r w:rsidRPr="006E28CD">
        <w:rPr>
          <w:lang w:val="en-GB"/>
        </w:rPr>
        <w:t xml:space="preserve"> Asian family fir</w:t>
      </w:r>
      <w:r w:rsidR="00854852">
        <w:rPr>
          <w:lang w:val="en-GB"/>
        </w:rPr>
        <w:t>m.</w:t>
      </w:r>
      <w:r w:rsidRPr="006E28CD">
        <w:rPr>
          <w:lang w:val="en-GB"/>
        </w:rPr>
        <w:t xml:space="preserve"> </w:t>
      </w:r>
      <w:r w:rsidR="001F3CD8" w:rsidRPr="006E28CD">
        <w:rPr>
          <w:lang w:val="en-GB"/>
        </w:rPr>
        <w:t>R</w:t>
      </w:r>
      <w:r w:rsidRPr="006E28CD">
        <w:rPr>
          <w:lang w:val="en-GB"/>
        </w:rPr>
        <w:t xml:space="preserve">apid expansion into what Lee called a “mini-multinational” </w:t>
      </w:r>
      <w:r w:rsidR="001F3CD8" w:rsidRPr="006E28CD">
        <w:rPr>
          <w:lang w:val="en-GB"/>
        </w:rPr>
        <w:t xml:space="preserve">had </w:t>
      </w:r>
      <w:r w:rsidRPr="006E28CD">
        <w:rPr>
          <w:lang w:val="en-GB"/>
        </w:rPr>
        <w:t xml:space="preserve">placed great demands on IOI and its leadership. </w:t>
      </w:r>
      <w:r w:rsidR="001F3CD8" w:rsidRPr="006E28CD">
        <w:rPr>
          <w:lang w:val="en-GB"/>
        </w:rPr>
        <w:t xml:space="preserve">The company’s </w:t>
      </w:r>
      <w:r w:rsidRPr="006E28CD">
        <w:rPr>
          <w:lang w:val="en-GB"/>
        </w:rPr>
        <w:t xml:space="preserve">specialty oils and fats team, which led most overseas operations and handled IOI’s most innovative products, had just presented an ambitious global growth strategy. </w:t>
      </w:r>
      <w:r w:rsidR="001F3CD8" w:rsidRPr="006E28CD">
        <w:rPr>
          <w:lang w:val="en-GB"/>
        </w:rPr>
        <w:t>However</w:t>
      </w:r>
      <w:r w:rsidRPr="006E28CD">
        <w:rPr>
          <w:lang w:val="en-GB"/>
        </w:rPr>
        <w:t xml:space="preserve">, </w:t>
      </w:r>
      <w:r w:rsidR="001F3CD8" w:rsidRPr="006E28CD">
        <w:rPr>
          <w:lang w:val="en-GB"/>
        </w:rPr>
        <w:t xml:space="preserve">over </w:t>
      </w:r>
      <w:r w:rsidRPr="006E28CD">
        <w:rPr>
          <w:lang w:val="en-GB"/>
        </w:rPr>
        <w:t xml:space="preserve">the past year, </w:t>
      </w:r>
      <w:r w:rsidR="001F3CD8" w:rsidRPr="006E28CD">
        <w:rPr>
          <w:lang w:val="en-GB"/>
        </w:rPr>
        <w:t xml:space="preserve">the company </w:t>
      </w:r>
      <w:r w:rsidRPr="006E28CD">
        <w:rPr>
          <w:lang w:val="en-GB"/>
        </w:rPr>
        <w:t xml:space="preserve">had experienced a serious sustainability crisis </w:t>
      </w:r>
      <w:r w:rsidR="001F3CD8" w:rsidRPr="006E28CD">
        <w:rPr>
          <w:lang w:val="en-GB"/>
        </w:rPr>
        <w:t xml:space="preserve">that had </w:t>
      </w:r>
      <w:r w:rsidRPr="006E28CD">
        <w:rPr>
          <w:lang w:val="en-GB"/>
        </w:rPr>
        <w:t>result</w:t>
      </w:r>
      <w:r w:rsidR="001F3CD8" w:rsidRPr="006E28CD">
        <w:rPr>
          <w:lang w:val="en-GB"/>
        </w:rPr>
        <w:t>ed</w:t>
      </w:r>
      <w:r w:rsidRPr="006E28CD">
        <w:rPr>
          <w:lang w:val="en-GB"/>
        </w:rPr>
        <w:t xml:space="preserve"> in financial and reputational setbacks, </w:t>
      </w:r>
      <w:r w:rsidR="001F3CD8" w:rsidRPr="006E28CD">
        <w:rPr>
          <w:lang w:val="en-GB"/>
        </w:rPr>
        <w:t xml:space="preserve">and this had made Lee </w:t>
      </w:r>
      <w:r w:rsidRPr="006E28CD">
        <w:rPr>
          <w:lang w:val="en-GB"/>
        </w:rPr>
        <w:t xml:space="preserve">more </w:t>
      </w:r>
      <w:r w:rsidR="00994AE8" w:rsidRPr="006E28CD">
        <w:rPr>
          <w:lang w:val="en-GB"/>
        </w:rPr>
        <w:t>cautious</w:t>
      </w:r>
      <w:r w:rsidRPr="006E28CD">
        <w:rPr>
          <w:lang w:val="en-GB"/>
        </w:rPr>
        <w:t xml:space="preserve">. Was the ambitious growth strategy proposed by his team the right thing to do at this moment? </w:t>
      </w:r>
    </w:p>
    <w:p w14:paraId="5D68C06E" w14:textId="77777777" w:rsidR="00CD53A5" w:rsidRPr="00D65FC4" w:rsidRDefault="00CD53A5" w:rsidP="00CD53A5">
      <w:pPr>
        <w:pStyle w:val="BodyTextMain"/>
        <w:rPr>
          <w:sz w:val="20"/>
          <w:lang w:val="en-GB"/>
        </w:rPr>
      </w:pPr>
    </w:p>
    <w:p w14:paraId="16AB2BD5" w14:textId="77777777" w:rsidR="00CD53A5" w:rsidRPr="00D65FC4" w:rsidRDefault="00CD53A5" w:rsidP="00CD53A5">
      <w:pPr>
        <w:pStyle w:val="BodyTextMain"/>
        <w:rPr>
          <w:sz w:val="20"/>
          <w:lang w:val="en-GB"/>
        </w:rPr>
      </w:pPr>
    </w:p>
    <w:p w14:paraId="3FBD451F" w14:textId="77777777" w:rsidR="00CD53A5" w:rsidRPr="006E28CD" w:rsidRDefault="00CD53A5" w:rsidP="00CD53A5">
      <w:pPr>
        <w:pStyle w:val="Casehead1"/>
        <w:rPr>
          <w:lang w:val="en-GB"/>
        </w:rPr>
      </w:pPr>
      <w:r w:rsidRPr="006E28CD">
        <w:rPr>
          <w:lang w:val="en-GB"/>
        </w:rPr>
        <w:t>Legacy: The Lee family</w:t>
      </w:r>
    </w:p>
    <w:p w14:paraId="5B119FAF" w14:textId="77777777" w:rsidR="00CD53A5" w:rsidRPr="00D65FC4" w:rsidRDefault="00CD53A5" w:rsidP="00CD53A5">
      <w:pPr>
        <w:pStyle w:val="BodyTextMain"/>
        <w:rPr>
          <w:sz w:val="20"/>
          <w:lang w:val="en-GB"/>
        </w:rPr>
      </w:pPr>
    </w:p>
    <w:p w14:paraId="0188864A" w14:textId="3EA645E7" w:rsidR="00CD53A5" w:rsidRDefault="00CD53A5" w:rsidP="00CD53A5">
      <w:pPr>
        <w:pStyle w:val="BodyTextMain"/>
        <w:rPr>
          <w:lang w:val="en-GB"/>
        </w:rPr>
      </w:pPr>
      <w:r w:rsidRPr="006E28CD">
        <w:rPr>
          <w:lang w:val="en-GB"/>
        </w:rPr>
        <w:t xml:space="preserve">In 1981, Tan Sri </w:t>
      </w:r>
      <w:proofErr w:type="spellStart"/>
      <w:r w:rsidRPr="006E28CD">
        <w:rPr>
          <w:lang w:val="en-GB"/>
        </w:rPr>
        <w:t>Dato</w:t>
      </w:r>
      <w:proofErr w:type="spellEnd"/>
      <w:r w:rsidRPr="006E28CD">
        <w:rPr>
          <w:lang w:val="en-GB"/>
        </w:rPr>
        <w:t xml:space="preserve">’ Lee </w:t>
      </w:r>
      <w:proofErr w:type="spellStart"/>
      <w:r w:rsidRPr="006E28CD">
        <w:rPr>
          <w:lang w:val="en-GB"/>
        </w:rPr>
        <w:t>Shing</w:t>
      </w:r>
      <w:proofErr w:type="spellEnd"/>
      <w:r w:rsidRPr="006E28CD">
        <w:rPr>
          <w:lang w:val="en-GB"/>
        </w:rPr>
        <w:t xml:space="preserve"> Cheng (Lee </w:t>
      </w:r>
      <w:r w:rsidR="001F3CD8" w:rsidRPr="006E28CD">
        <w:rPr>
          <w:lang w:val="en-GB"/>
        </w:rPr>
        <w:t>Sr</w:t>
      </w:r>
      <w:r w:rsidR="00FE1F57" w:rsidRPr="006E28CD">
        <w:rPr>
          <w:lang w:val="en-GB"/>
        </w:rPr>
        <w:t>.</w:t>
      </w:r>
      <w:r w:rsidRPr="006E28CD">
        <w:rPr>
          <w:lang w:val="en-GB"/>
        </w:rPr>
        <w:t xml:space="preserve">) took over a publicly listed company called Industrial Oxygen Incorporated (IOI) in Malaysia. Lee </w:t>
      </w:r>
      <w:r w:rsidR="00786935" w:rsidRPr="006E28CD">
        <w:rPr>
          <w:lang w:val="en-GB"/>
        </w:rPr>
        <w:t>Sr</w:t>
      </w:r>
      <w:r w:rsidR="00FE1F57" w:rsidRPr="006E28CD">
        <w:rPr>
          <w:lang w:val="en-GB"/>
        </w:rPr>
        <w:t>.</w:t>
      </w:r>
      <w:r w:rsidRPr="006E28CD">
        <w:rPr>
          <w:lang w:val="en-GB"/>
        </w:rPr>
        <w:t xml:space="preserve">, born in 1939, worked as a plantation supervisor at the </w:t>
      </w:r>
      <w:r w:rsidR="00FE1F57" w:rsidRPr="006E28CD">
        <w:rPr>
          <w:lang w:val="en-GB"/>
        </w:rPr>
        <w:t xml:space="preserve">beginning </w:t>
      </w:r>
      <w:r w:rsidRPr="006E28CD">
        <w:rPr>
          <w:lang w:val="en-GB"/>
        </w:rPr>
        <w:t xml:space="preserve">of his career, and he subsequently revamped IOI as a plantation and property company. His younger brother Lee Cheng </w:t>
      </w:r>
      <w:proofErr w:type="spellStart"/>
      <w:r w:rsidRPr="006E28CD">
        <w:rPr>
          <w:lang w:val="en-GB"/>
        </w:rPr>
        <w:t>Leang</w:t>
      </w:r>
      <w:proofErr w:type="spellEnd"/>
      <w:r w:rsidRPr="006E28CD">
        <w:rPr>
          <w:lang w:val="en-GB"/>
        </w:rPr>
        <w:t xml:space="preserve"> joined him. Lee</w:t>
      </w:r>
      <w:r w:rsidR="00FE1F57" w:rsidRPr="006E28CD">
        <w:rPr>
          <w:lang w:val="en-GB"/>
        </w:rPr>
        <w:t>, Lee</w:t>
      </w:r>
      <w:r w:rsidRPr="006E28CD">
        <w:rPr>
          <w:lang w:val="en-GB"/>
        </w:rPr>
        <w:t xml:space="preserve"> </w:t>
      </w:r>
      <w:r w:rsidR="00FE1F57" w:rsidRPr="006E28CD">
        <w:rPr>
          <w:lang w:val="en-GB"/>
        </w:rPr>
        <w:t>Sr.’s</w:t>
      </w:r>
      <w:r w:rsidRPr="006E28CD">
        <w:rPr>
          <w:lang w:val="en-GB"/>
        </w:rPr>
        <w:t xml:space="preserve"> eldest son</w:t>
      </w:r>
      <w:r w:rsidR="00FE1F57" w:rsidRPr="006E28CD">
        <w:rPr>
          <w:lang w:val="en-GB"/>
        </w:rPr>
        <w:t>,</w:t>
      </w:r>
      <w:r w:rsidRPr="006E28CD">
        <w:rPr>
          <w:lang w:val="en-GB"/>
        </w:rPr>
        <w:t xml:space="preserve"> was appointed to the board as an executive director in 1996 after returning from the </w:t>
      </w:r>
      <w:r w:rsidR="00FE1F57" w:rsidRPr="006E28CD">
        <w:rPr>
          <w:lang w:val="en-GB"/>
        </w:rPr>
        <w:t xml:space="preserve">United Kingdom </w:t>
      </w:r>
      <w:r w:rsidRPr="006E28CD">
        <w:rPr>
          <w:lang w:val="en-GB"/>
        </w:rPr>
        <w:t xml:space="preserve">with a law degree, and his younger brother Lee </w:t>
      </w:r>
      <w:proofErr w:type="spellStart"/>
      <w:r w:rsidRPr="006E28CD">
        <w:rPr>
          <w:lang w:val="en-GB"/>
        </w:rPr>
        <w:t>Yeow</w:t>
      </w:r>
      <w:proofErr w:type="spellEnd"/>
      <w:r w:rsidRPr="006E28CD">
        <w:rPr>
          <w:lang w:val="en-GB"/>
        </w:rPr>
        <w:t xml:space="preserve"> Seng followed in 2008. In 2014, Lee became CEO of the palm oil company. His younger brother became the CEO of the property business, which was split off from IOI Corp</w:t>
      </w:r>
      <w:r w:rsidR="00FE1F57" w:rsidRPr="006E28CD">
        <w:rPr>
          <w:lang w:val="en-GB"/>
        </w:rPr>
        <w:t>oration</w:t>
      </w:r>
      <w:r w:rsidRPr="006E28CD">
        <w:rPr>
          <w:lang w:val="en-GB"/>
        </w:rPr>
        <w:t xml:space="preserve">. Lee </w:t>
      </w:r>
      <w:r w:rsidR="00FE1F57" w:rsidRPr="006E28CD">
        <w:rPr>
          <w:lang w:val="en-GB"/>
        </w:rPr>
        <w:t xml:space="preserve">Sr. </w:t>
      </w:r>
      <w:r w:rsidRPr="006E28CD">
        <w:rPr>
          <w:lang w:val="en-GB"/>
        </w:rPr>
        <w:t xml:space="preserve">remained </w:t>
      </w:r>
      <w:r w:rsidR="00FE1F57" w:rsidRPr="006E28CD">
        <w:rPr>
          <w:lang w:val="en-GB"/>
        </w:rPr>
        <w:t xml:space="preserve">as </w:t>
      </w:r>
      <w:r w:rsidR="00AA53AD">
        <w:rPr>
          <w:lang w:val="en-GB"/>
        </w:rPr>
        <w:t>executive chair.</w:t>
      </w:r>
    </w:p>
    <w:p w14:paraId="52B32BDB" w14:textId="77777777" w:rsidR="00AA53AD" w:rsidRPr="006E28CD" w:rsidRDefault="00AA53AD" w:rsidP="00CD53A5">
      <w:pPr>
        <w:pStyle w:val="BodyTextMain"/>
        <w:rPr>
          <w:lang w:val="en-GB"/>
        </w:rPr>
      </w:pPr>
    </w:p>
    <w:p w14:paraId="7133D19D" w14:textId="724F5F46" w:rsidR="00CD53A5" w:rsidRPr="00303B08" w:rsidRDefault="00CD53A5" w:rsidP="00CD53A5">
      <w:pPr>
        <w:pStyle w:val="BodyTextMain"/>
        <w:rPr>
          <w:lang w:val="en-GB"/>
        </w:rPr>
      </w:pPr>
      <w:r w:rsidRPr="00303B08">
        <w:rPr>
          <w:lang w:val="en-GB"/>
        </w:rPr>
        <w:lastRenderedPageBreak/>
        <w:t xml:space="preserve">Lee </w:t>
      </w:r>
      <w:r w:rsidR="00FE1F57" w:rsidRPr="00303B08">
        <w:rPr>
          <w:lang w:val="en-GB"/>
        </w:rPr>
        <w:t xml:space="preserve">Sr. </w:t>
      </w:r>
      <w:r w:rsidRPr="00303B08">
        <w:rPr>
          <w:lang w:val="en-GB"/>
        </w:rPr>
        <w:t>was a hands-on leader involved in all major decisions</w:t>
      </w:r>
      <w:r w:rsidR="00FE1F57" w:rsidRPr="00303B08">
        <w:rPr>
          <w:lang w:val="en-GB"/>
        </w:rPr>
        <w:t xml:space="preserve"> across the corporation</w:t>
      </w:r>
      <w:r w:rsidRPr="00303B08">
        <w:rPr>
          <w:lang w:val="en-GB"/>
        </w:rPr>
        <w:t>, although he personally focused more on the plantation business. He enjoyed getting involved in the details of the plantations</w:t>
      </w:r>
      <w:r w:rsidR="00303B08">
        <w:rPr>
          <w:lang w:val="en-GB"/>
        </w:rPr>
        <w:t>.</w:t>
      </w:r>
      <w:r w:rsidRPr="00303B08">
        <w:rPr>
          <w:lang w:val="en-GB"/>
        </w:rPr>
        <w:t xml:space="preserve"> </w:t>
      </w:r>
      <w:r w:rsidR="00303B08">
        <w:rPr>
          <w:lang w:val="en-GB"/>
        </w:rPr>
        <w:t>H</w:t>
      </w:r>
      <w:r w:rsidR="00FE1F57" w:rsidRPr="00303B08">
        <w:rPr>
          <w:lang w:val="en-GB"/>
        </w:rPr>
        <w:t xml:space="preserve">e </w:t>
      </w:r>
      <w:r w:rsidRPr="00303B08">
        <w:rPr>
          <w:lang w:val="en-GB"/>
        </w:rPr>
        <w:t xml:space="preserve">was close to IOI’s managers on the ground, paying frequent visits to the estates. </w:t>
      </w:r>
      <w:r w:rsidR="00FE1F57" w:rsidRPr="00303B08">
        <w:rPr>
          <w:lang w:val="en-GB"/>
        </w:rPr>
        <w:t xml:space="preserve">His son, </w:t>
      </w:r>
      <w:r w:rsidRPr="00303B08">
        <w:rPr>
          <w:lang w:val="en-GB"/>
        </w:rPr>
        <w:t>Lee</w:t>
      </w:r>
      <w:r w:rsidR="00FE1F57" w:rsidRPr="00303B08">
        <w:rPr>
          <w:lang w:val="en-GB"/>
        </w:rPr>
        <w:t xml:space="preserve">, </w:t>
      </w:r>
      <w:r w:rsidRPr="00303B08">
        <w:rPr>
          <w:lang w:val="en-GB"/>
        </w:rPr>
        <w:t xml:space="preserve">had greater involvement in the palm-based manufacturing business, including the manufacturing facilities outside Malaysia. </w:t>
      </w:r>
    </w:p>
    <w:p w14:paraId="6BFD6673" w14:textId="77777777" w:rsidR="00CD53A5" w:rsidRPr="00D65FC4" w:rsidRDefault="00CD53A5" w:rsidP="00CD53A5">
      <w:pPr>
        <w:pStyle w:val="BodyTextMain"/>
        <w:rPr>
          <w:sz w:val="20"/>
          <w:lang w:val="en-GB"/>
        </w:rPr>
      </w:pPr>
    </w:p>
    <w:p w14:paraId="735031B3" w14:textId="2A54598D" w:rsidR="00CD53A5" w:rsidRPr="006E28CD" w:rsidRDefault="00CD53A5" w:rsidP="00CD53A5">
      <w:pPr>
        <w:pStyle w:val="BodyTextMain"/>
        <w:rPr>
          <w:lang w:val="en-GB"/>
        </w:rPr>
      </w:pPr>
      <w:r w:rsidRPr="006E28CD">
        <w:rPr>
          <w:lang w:val="en-GB"/>
        </w:rPr>
        <w:t>The Lee family controlled nearly half of the shares in IOI Corporation</w:t>
      </w:r>
      <w:r w:rsidR="00FE1F57" w:rsidRPr="006E28CD">
        <w:rPr>
          <w:lang w:val="en-GB"/>
        </w:rPr>
        <w:t xml:space="preserve"> and occupied </w:t>
      </w:r>
      <w:r w:rsidRPr="006E28CD">
        <w:rPr>
          <w:lang w:val="en-GB"/>
        </w:rPr>
        <w:t xml:space="preserve">all executive director roles and a majority of </w:t>
      </w:r>
      <w:r w:rsidR="00FE1F57" w:rsidRPr="006E28CD">
        <w:rPr>
          <w:lang w:val="en-GB"/>
        </w:rPr>
        <w:t xml:space="preserve">the </w:t>
      </w:r>
      <w:r w:rsidRPr="006E28CD">
        <w:rPr>
          <w:lang w:val="en-GB"/>
        </w:rPr>
        <w:t>board seats (</w:t>
      </w:r>
      <w:r w:rsidR="00FE1F57" w:rsidRPr="006E28CD">
        <w:rPr>
          <w:lang w:val="en-GB"/>
        </w:rPr>
        <w:t xml:space="preserve">see </w:t>
      </w:r>
      <w:r w:rsidRPr="006E28CD">
        <w:rPr>
          <w:lang w:val="en-GB"/>
        </w:rPr>
        <w:t>Exhibit 2). As such, the Lee family was able to exercise a strong influence on the culture of IOI. IOI was known for entrepreneurial decisions</w:t>
      </w:r>
      <w:r w:rsidR="00FE1F57" w:rsidRPr="006E28CD">
        <w:rPr>
          <w:lang w:val="en-GB"/>
        </w:rPr>
        <w:t xml:space="preserve"> that resulted </w:t>
      </w:r>
      <w:r w:rsidRPr="006E28CD">
        <w:rPr>
          <w:lang w:val="en-GB"/>
        </w:rPr>
        <w:t>in a proactive growth strategy combin</w:t>
      </w:r>
      <w:r w:rsidR="00340693" w:rsidRPr="006E28CD">
        <w:rPr>
          <w:lang w:val="en-GB"/>
        </w:rPr>
        <w:t>ing</w:t>
      </w:r>
      <w:r w:rsidRPr="006E28CD">
        <w:rPr>
          <w:lang w:val="en-GB"/>
        </w:rPr>
        <w:t xml:space="preserve"> organic growth with acquisitions in new areas.</w:t>
      </w:r>
    </w:p>
    <w:p w14:paraId="668F9DD4" w14:textId="77777777" w:rsidR="00CD53A5" w:rsidRPr="00D65FC4" w:rsidRDefault="00CD53A5" w:rsidP="00CD53A5">
      <w:pPr>
        <w:pStyle w:val="BodyTextMain"/>
        <w:rPr>
          <w:sz w:val="20"/>
          <w:lang w:val="en-GB"/>
        </w:rPr>
      </w:pPr>
    </w:p>
    <w:p w14:paraId="2EA6CD52" w14:textId="153D4E22" w:rsidR="00CD53A5" w:rsidRPr="006E28CD" w:rsidRDefault="00CD53A5" w:rsidP="00CD53A5">
      <w:pPr>
        <w:pStyle w:val="BodyTextMain"/>
        <w:rPr>
          <w:lang w:val="en-GB"/>
        </w:rPr>
      </w:pPr>
      <w:r w:rsidRPr="006E28CD">
        <w:rPr>
          <w:lang w:val="en-GB"/>
        </w:rPr>
        <w:t xml:space="preserve">IOI prioritized efficiency and hands-on leadership, with the family directors closely involved in all aspects of the operations. There was a strong sense of loyalty among senior executives, especially those with longer tenures, who </w:t>
      </w:r>
      <w:r w:rsidR="00B80E76" w:rsidRPr="006E28CD">
        <w:rPr>
          <w:lang w:val="en-GB"/>
        </w:rPr>
        <w:t xml:space="preserve">were </w:t>
      </w:r>
      <w:r w:rsidRPr="006E28CD">
        <w:rPr>
          <w:lang w:val="en-GB"/>
        </w:rPr>
        <w:t xml:space="preserve">very familiar with </w:t>
      </w:r>
      <w:r w:rsidR="00B80E76" w:rsidRPr="006E28CD">
        <w:rPr>
          <w:lang w:val="en-GB"/>
        </w:rPr>
        <w:t xml:space="preserve">members of the Lee family </w:t>
      </w:r>
      <w:r w:rsidRPr="006E28CD">
        <w:rPr>
          <w:lang w:val="en-GB"/>
        </w:rPr>
        <w:t>and had regular discussions with</w:t>
      </w:r>
      <w:r w:rsidR="00B80E76" w:rsidRPr="006E28CD">
        <w:rPr>
          <w:lang w:val="en-GB"/>
        </w:rPr>
        <w:t xml:space="preserve"> them</w:t>
      </w:r>
      <w:r w:rsidRPr="006E28CD">
        <w:rPr>
          <w:lang w:val="en-GB"/>
        </w:rPr>
        <w:t xml:space="preserve">. Like </w:t>
      </w:r>
      <w:r w:rsidR="00B80E76" w:rsidRPr="006E28CD">
        <w:rPr>
          <w:lang w:val="en-GB"/>
        </w:rPr>
        <w:t xml:space="preserve">the leaders of </w:t>
      </w:r>
      <w:r w:rsidRPr="006E28CD">
        <w:rPr>
          <w:lang w:val="en-GB"/>
        </w:rPr>
        <w:t>many family firms, the Lee family focus</w:t>
      </w:r>
      <w:r w:rsidR="00B80E76" w:rsidRPr="006E28CD">
        <w:rPr>
          <w:lang w:val="en-GB"/>
        </w:rPr>
        <w:t>ed</w:t>
      </w:r>
      <w:r w:rsidRPr="006E28CD">
        <w:rPr>
          <w:lang w:val="en-GB"/>
        </w:rPr>
        <w:t xml:space="preserve"> on cost control and led by example. Executives praised the </w:t>
      </w:r>
      <w:r w:rsidR="00B80E76" w:rsidRPr="006E28CD">
        <w:rPr>
          <w:lang w:val="en-GB"/>
        </w:rPr>
        <w:t>chair</w:t>
      </w:r>
      <w:r w:rsidR="00305BAF">
        <w:rPr>
          <w:lang w:val="en-GB"/>
        </w:rPr>
        <w:t>man</w:t>
      </w:r>
      <w:r w:rsidR="00B80E76" w:rsidRPr="006E28CD">
        <w:rPr>
          <w:lang w:val="en-GB"/>
        </w:rPr>
        <w:t xml:space="preserve"> </w:t>
      </w:r>
      <w:r w:rsidRPr="006E28CD">
        <w:rPr>
          <w:lang w:val="en-GB"/>
        </w:rPr>
        <w:t xml:space="preserve">for travelling by car, not helicopter, and </w:t>
      </w:r>
      <w:r w:rsidR="00B80E76" w:rsidRPr="006E28CD">
        <w:rPr>
          <w:lang w:val="en-GB"/>
        </w:rPr>
        <w:t xml:space="preserve">for </w:t>
      </w:r>
      <w:r w:rsidRPr="006E28CD">
        <w:rPr>
          <w:lang w:val="en-GB"/>
        </w:rPr>
        <w:t>spending time on the ground. IOI did not spend on lavish celebrations or high-profile consultants</w:t>
      </w:r>
      <w:r w:rsidR="00994AE8" w:rsidRPr="006E28CD">
        <w:rPr>
          <w:lang w:val="en-GB"/>
        </w:rPr>
        <w:t>,</w:t>
      </w:r>
      <w:r w:rsidRPr="006E28CD">
        <w:rPr>
          <w:lang w:val="en-GB"/>
        </w:rPr>
        <w:t xml:space="preserve"> and </w:t>
      </w:r>
      <w:r w:rsidR="00B80E76" w:rsidRPr="006E28CD">
        <w:rPr>
          <w:lang w:val="en-GB"/>
        </w:rPr>
        <w:t xml:space="preserve">the company was housed </w:t>
      </w:r>
      <w:r w:rsidRPr="006E28CD">
        <w:rPr>
          <w:lang w:val="en-GB"/>
        </w:rPr>
        <w:t xml:space="preserve">in sparsely decorated headquarters. Lean operations became a way of life, and the family was proud of </w:t>
      </w:r>
      <w:r w:rsidR="00B80E76" w:rsidRPr="006E28CD">
        <w:rPr>
          <w:lang w:val="en-GB"/>
        </w:rPr>
        <w:t xml:space="preserve">IOI’s core values and </w:t>
      </w:r>
      <w:r w:rsidRPr="006E28CD">
        <w:rPr>
          <w:lang w:val="en-GB"/>
        </w:rPr>
        <w:t>its excellence in execution (</w:t>
      </w:r>
      <w:r w:rsidR="00B80E76" w:rsidRPr="006E28CD">
        <w:rPr>
          <w:lang w:val="en-GB"/>
        </w:rPr>
        <w:t>see</w:t>
      </w:r>
      <w:r w:rsidRPr="006E28CD">
        <w:rPr>
          <w:lang w:val="en-GB"/>
        </w:rPr>
        <w:t xml:space="preserve"> Exhibit 3).</w:t>
      </w:r>
    </w:p>
    <w:p w14:paraId="501F8D91" w14:textId="77777777" w:rsidR="00CD53A5" w:rsidRPr="00D65FC4" w:rsidRDefault="00CD53A5" w:rsidP="00CD53A5">
      <w:pPr>
        <w:pStyle w:val="BodyTextMain"/>
        <w:rPr>
          <w:sz w:val="20"/>
          <w:lang w:val="en-GB"/>
        </w:rPr>
      </w:pPr>
    </w:p>
    <w:p w14:paraId="6586D827" w14:textId="77777777" w:rsidR="00CD53A5" w:rsidRPr="00D65FC4" w:rsidRDefault="00CD53A5" w:rsidP="00CD53A5">
      <w:pPr>
        <w:pStyle w:val="BodyTextMain"/>
        <w:rPr>
          <w:sz w:val="20"/>
          <w:lang w:val="en-GB"/>
        </w:rPr>
      </w:pPr>
    </w:p>
    <w:p w14:paraId="011F4044" w14:textId="77777777" w:rsidR="00CD53A5" w:rsidRPr="006E28CD" w:rsidRDefault="00CD53A5" w:rsidP="00CD53A5">
      <w:pPr>
        <w:pStyle w:val="Casehead1"/>
        <w:rPr>
          <w:lang w:val="en-GB"/>
        </w:rPr>
      </w:pPr>
      <w:r w:rsidRPr="006E28CD">
        <w:rPr>
          <w:lang w:val="en-GB"/>
        </w:rPr>
        <w:t>Palm oil: The industry</w:t>
      </w:r>
    </w:p>
    <w:p w14:paraId="26F119FE" w14:textId="77777777" w:rsidR="00CD53A5" w:rsidRPr="00D65FC4" w:rsidRDefault="00CD53A5" w:rsidP="00CD53A5">
      <w:pPr>
        <w:pStyle w:val="BodyTextMain"/>
        <w:rPr>
          <w:sz w:val="20"/>
          <w:lang w:val="en-GB"/>
        </w:rPr>
      </w:pPr>
    </w:p>
    <w:p w14:paraId="0A7EDBFA" w14:textId="1013380B" w:rsidR="00CD53A5" w:rsidRPr="00FE73D0" w:rsidRDefault="00CD53A5" w:rsidP="00CD53A5">
      <w:pPr>
        <w:pStyle w:val="BodyTextMain"/>
        <w:rPr>
          <w:spacing w:val="-2"/>
          <w:lang w:val="en-GB"/>
        </w:rPr>
      </w:pPr>
      <w:r w:rsidRPr="00FE73D0">
        <w:rPr>
          <w:spacing w:val="-2"/>
          <w:lang w:val="en-GB"/>
        </w:rPr>
        <w:t xml:space="preserve">Oil palm </w:t>
      </w:r>
      <w:r w:rsidR="00994AE8" w:rsidRPr="00FE73D0">
        <w:rPr>
          <w:spacing w:val="-2"/>
          <w:lang w:val="en-GB"/>
        </w:rPr>
        <w:t xml:space="preserve">thrived </w:t>
      </w:r>
      <w:r w:rsidRPr="00FE73D0">
        <w:rPr>
          <w:spacing w:val="-2"/>
          <w:lang w:val="en-GB"/>
        </w:rPr>
        <w:t>only in certain tropical areas</w:t>
      </w:r>
      <w:r w:rsidR="00313A8E" w:rsidRPr="00FE73D0">
        <w:rPr>
          <w:spacing w:val="-2"/>
          <w:lang w:val="en-GB"/>
        </w:rPr>
        <w:t>;</w:t>
      </w:r>
      <w:r w:rsidRPr="00FE73D0">
        <w:rPr>
          <w:spacing w:val="-2"/>
          <w:lang w:val="en-GB"/>
        </w:rPr>
        <w:t xml:space="preserve"> the bulk of the </w:t>
      </w:r>
      <w:r w:rsidR="00B80E76" w:rsidRPr="00FE73D0">
        <w:rPr>
          <w:spacing w:val="-2"/>
          <w:lang w:val="en-GB"/>
        </w:rPr>
        <w:t xml:space="preserve">world’s </w:t>
      </w:r>
      <w:r w:rsidRPr="00FE73D0">
        <w:rPr>
          <w:spacing w:val="-2"/>
          <w:lang w:val="en-GB"/>
        </w:rPr>
        <w:t xml:space="preserve">palm oil plantations </w:t>
      </w:r>
      <w:r w:rsidR="00994AE8" w:rsidRPr="00FE73D0">
        <w:rPr>
          <w:spacing w:val="-2"/>
          <w:lang w:val="en-GB"/>
        </w:rPr>
        <w:t xml:space="preserve">were </w:t>
      </w:r>
      <w:r w:rsidRPr="00FE73D0">
        <w:rPr>
          <w:spacing w:val="-2"/>
          <w:lang w:val="en-GB"/>
        </w:rPr>
        <w:t xml:space="preserve">in Indonesia and Malaysia. After harvesting, the product </w:t>
      </w:r>
      <w:r w:rsidR="00994AE8" w:rsidRPr="00FE73D0">
        <w:rPr>
          <w:spacing w:val="-2"/>
          <w:lang w:val="en-GB"/>
        </w:rPr>
        <w:t>wa</w:t>
      </w:r>
      <w:r w:rsidR="00B80E76" w:rsidRPr="00FE73D0">
        <w:rPr>
          <w:spacing w:val="-2"/>
          <w:lang w:val="en-GB"/>
        </w:rPr>
        <w:t>s</w:t>
      </w:r>
      <w:r w:rsidRPr="00FE73D0">
        <w:rPr>
          <w:spacing w:val="-2"/>
          <w:lang w:val="en-GB"/>
        </w:rPr>
        <w:t xml:space="preserve"> </w:t>
      </w:r>
      <w:r w:rsidR="00B80E76" w:rsidRPr="00FE73D0">
        <w:rPr>
          <w:spacing w:val="-2"/>
          <w:lang w:val="en-GB"/>
        </w:rPr>
        <w:t xml:space="preserve">milled </w:t>
      </w:r>
      <w:r w:rsidRPr="00FE73D0">
        <w:rPr>
          <w:spacing w:val="-2"/>
          <w:lang w:val="en-GB"/>
        </w:rPr>
        <w:t xml:space="preserve">and </w:t>
      </w:r>
      <w:r w:rsidR="00B80E76" w:rsidRPr="00FE73D0">
        <w:rPr>
          <w:spacing w:val="-2"/>
          <w:lang w:val="en-GB"/>
        </w:rPr>
        <w:t>refined to produce</w:t>
      </w:r>
      <w:r w:rsidRPr="00FE73D0">
        <w:rPr>
          <w:spacing w:val="-2"/>
          <w:lang w:val="en-GB"/>
        </w:rPr>
        <w:t xml:space="preserve"> crude palm oil, which </w:t>
      </w:r>
      <w:r w:rsidR="00994AE8" w:rsidRPr="00FE73D0">
        <w:rPr>
          <w:spacing w:val="-2"/>
          <w:lang w:val="en-GB"/>
        </w:rPr>
        <w:t xml:space="preserve">was </w:t>
      </w:r>
      <w:r w:rsidRPr="00FE73D0">
        <w:rPr>
          <w:spacing w:val="-2"/>
          <w:lang w:val="en-GB"/>
        </w:rPr>
        <w:t xml:space="preserve">one of the world’s largest agricultural commodities. Further processing </w:t>
      </w:r>
      <w:r w:rsidR="00994AE8" w:rsidRPr="00FE73D0">
        <w:rPr>
          <w:spacing w:val="-2"/>
          <w:lang w:val="en-GB"/>
        </w:rPr>
        <w:t>prepared the oil for</w:t>
      </w:r>
      <w:r w:rsidRPr="00FE73D0">
        <w:rPr>
          <w:spacing w:val="-2"/>
          <w:lang w:val="en-GB"/>
        </w:rPr>
        <w:t xml:space="preserve"> three applications: vegetable oil </w:t>
      </w:r>
      <w:r w:rsidR="00994AE8" w:rsidRPr="00FE73D0">
        <w:rPr>
          <w:spacing w:val="-2"/>
          <w:lang w:val="en-GB"/>
        </w:rPr>
        <w:t xml:space="preserve">(specialty oils and fats) </w:t>
      </w:r>
      <w:r w:rsidRPr="00FE73D0">
        <w:rPr>
          <w:spacing w:val="-2"/>
          <w:lang w:val="en-GB"/>
        </w:rPr>
        <w:t xml:space="preserve">for the food industry; </w:t>
      </w:r>
      <w:proofErr w:type="spellStart"/>
      <w:r w:rsidR="00994AE8" w:rsidRPr="00FE73D0">
        <w:rPr>
          <w:spacing w:val="-2"/>
          <w:lang w:val="en-GB"/>
        </w:rPr>
        <w:t>oleochemicals</w:t>
      </w:r>
      <w:proofErr w:type="spellEnd"/>
      <w:r w:rsidR="00994AE8" w:rsidRPr="00FE73D0">
        <w:rPr>
          <w:spacing w:val="-2"/>
          <w:lang w:val="en-GB"/>
        </w:rPr>
        <w:t xml:space="preserve"> for </w:t>
      </w:r>
      <w:r w:rsidRPr="00FE73D0">
        <w:rPr>
          <w:spacing w:val="-2"/>
          <w:lang w:val="en-GB"/>
        </w:rPr>
        <w:t>soaps, candles, skin care</w:t>
      </w:r>
      <w:r w:rsidR="00994AE8" w:rsidRPr="00FE73D0">
        <w:rPr>
          <w:spacing w:val="-2"/>
          <w:lang w:val="en-GB"/>
        </w:rPr>
        <w:t>,</w:t>
      </w:r>
      <w:r w:rsidRPr="00FE73D0">
        <w:rPr>
          <w:spacing w:val="-2"/>
          <w:lang w:val="en-GB"/>
        </w:rPr>
        <w:t xml:space="preserve"> </w:t>
      </w:r>
      <w:r w:rsidR="00994AE8" w:rsidRPr="00FE73D0">
        <w:rPr>
          <w:spacing w:val="-2"/>
          <w:lang w:val="en-GB"/>
        </w:rPr>
        <w:t xml:space="preserve">and </w:t>
      </w:r>
      <w:r w:rsidRPr="00FE73D0">
        <w:rPr>
          <w:spacing w:val="-2"/>
          <w:lang w:val="en-GB"/>
        </w:rPr>
        <w:t>cleaning products; and biodiesel, a substitute for fossil fuel</w:t>
      </w:r>
      <w:r w:rsidR="00994AE8" w:rsidRPr="00FE73D0">
        <w:rPr>
          <w:spacing w:val="-2"/>
          <w:lang w:val="en-GB"/>
        </w:rPr>
        <w:t>s</w:t>
      </w:r>
      <w:r w:rsidRPr="00FE73D0">
        <w:rPr>
          <w:spacing w:val="-2"/>
          <w:lang w:val="en-GB"/>
        </w:rPr>
        <w:t>. The key customers for the first two applications were large fast-moving consumer goods companies (FMCGs) such as Nestl</w:t>
      </w:r>
      <w:r w:rsidR="00994AE8" w:rsidRPr="00FE73D0">
        <w:rPr>
          <w:spacing w:val="-2"/>
          <w:lang w:val="en-GB"/>
        </w:rPr>
        <w:t>é SA</w:t>
      </w:r>
      <w:r w:rsidR="009110C2" w:rsidRPr="00FE73D0">
        <w:rPr>
          <w:spacing w:val="-2"/>
          <w:lang w:val="en-GB"/>
        </w:rPr>
        <w:t xml:space="preserve"> (Nestlé)</w:t>
      </w:r>
      <w:r w:rsidRPr="00FE73D0">
        <w:rPr>
          <w:spacing w:val="-2"/>
          <w:lang w:val="en-GB"/>
        </w:rPr>
        <w:t>, Unilever</w:t>
      </w:r>
      <w:r w:rsidR="00B80E76" w:rsidRPr="00FE73D0">
        <w:rPr>
          <w:spacing w:val="-2"/>
          <w:lang w:val="en-GB"/>
        </w:rPr>
        <w:t>,</w:t>
      </w:r>
      <w:r w:rsidRPr="00FE73D0">
        <w:rPr>
          <w:spacing w:val="-2"/>
          <w:lang w:val="en-GB"/>
        </w:rPr>
        <w:t xml:space="preserve"> and </w:t>
      </w:r>
      <w:r w:rsidR="00994AE8" w:rsidRPr="00FE73D0">
        <w:rPr>
          <w:spacing w:val="-2"/>
          <w:lang w:val="en-GB"/>
        </w:rPr>
        <w:t xml:space="preserve">the </w:t>
      </w:r>
      <w:r w:rsidRPr="00FE73D0">
        <w:rPr>
          <w:spacing w:val="-2"/>
          <w:lang w:val="en-GB"/>
        </w:rPr>
        <w:t>Procter &amp; Gamble</w:t>
      </w:r>
      <w:r w:rsidR="00994AE8" w:rsidRPr="00FE73D0">
        <w:rPr>
          <w:spacing w:val="-2"/>
          <w:lang w:val="en-GB"/>
        </w:rPr>
        <w:t xml:space="preserve"> Company;</w:t>
      </w:r>
      <w:r w:rsidRPr="00FE73D0">
        <w:rPr>
          <w:spacing w:val="-2"/>
          <w:lang w:val="en-GB"/>
        </w:rPr>
        <w:t xml:space="preserve"> their manufacturing was often located close to consumer markets. </w:t>
      </w:r>
    </w:p>
    <w:p w14:paraId="3FC9B55D" w14:textId="77777777" w:rsidR="00CD53A5" w:rsidRPr="00303B08" w:rsidRDefault="00CD53A5" w:rsidP="00CD53A5">
      <w:pPr>
        <w:pStyle w:val="BodyTextMain"/>
        <w:rPr>
          <w:sz w:val="20"/>
          <w:lang w:val="en-GB"/>
        </w:rPr>
      </w:pPr>
    </w:p>
    <w:p w14:paraId="383F8112" w14:textId="4C59CAA6" w:rsidR="00CD53A5" w:rsidRPr="006E28CD" w:rsidRDefault="00CD53A5" w:rsidP="00CD53A5">
      <w:pPr>
        <w:pStyle w:val="BodyTextMain"/>
        <w:rPr>
          <w:lang w:val="en-GB"/>
        </w:rPr>
      </w:pPr>
      <w:r w:rsidRPr="006E28CD">
        <w:rPr>
          <w:lang w:val="en-GB"/>
        </w:rPr>
        <w:t xml:space="preserve">Global demand for palm oil rose steadily as the world’s population increased, </w:t>
      </w:r>
      <w:r w:rsidR="00994AE8" w:rsidRPr="006E28CD">
        <w:rPr>
          <w:lang w:val="en-GB"/>
        </w:rPr>
        <w:t xml:space="preserve">and this </w:t>
      </w:r>
      <w:r w:rsidRPr="006E28CD">
        <w:rPr>
          <w:lang w:val="en-GB"/>
        </w:rPr>
        <w:t xml:space="preserve">in turn drove rapid expansion in plantations. It </w:t>
      </w:r>
      <w:r w:rsidR="00994AE8" w:rsidRPr="006E28CD">
        <w:rPr>
          <w:lang w:val="en-GB"/>
        </w:rPr>
        <w:t>took four to five</w:t>
      </w:r>
      <w:r w:rsidRPr="006E28CD">
        <w:rPr>
          <w:lang w:val="en-GB"/>
        </w:rPr>
        <w:t xml:space="preserve"> years for palm trees to mature</w:t>
      </w:r>
      <w:r w:rsidR="00994AE8" w:rsidRPr="006E28CD">
        <w:rPr>
          <w:lang w:val="en-GB"/>
        </w:rPr>
        <w:t>,</w:t>
      </w:r>
      <w:r w:rsidRPr="006E28CD">
        <w:rPr>
          <w:lang w:val="en-GB"/>
        </w:rPr>
        <w:t xml:space="preserve"> so </w:t>
      </w:r>
      <w:r w:rsidR="00301A00">
        <w:rPr>
          <w:lang w:val="en-GB"/>
        </w:rPr>
        <w:t>crude palm oil</w:t>
      </w:r>
      <w:r w:rsidRPr="006E28CD">
        <w:rPr>
          <w:lang w:val="en-GB"/>
        </w:rPr>
        <w:t xml:space="preserve"> output lagged behind planting activity. The Malaysian government </w:t>
      </w:r>
      <w:r w:rsidR="001A3C9F" w:rsidRPr="006E28CD">
        <w:rPr>
          <w:lang w:val="en-GB"/>
        </w:rPr>
        <w:t xml:space="preserve">had </w:t>
      </w:r>
      <w:r w:rsidRPr="006E28CD">
        <w:rPr>
          <w:lang w:val="en-GB"/>
        </w:rPr>
        <w:t xml:space="preserve">supported the palm oil plantation industry in the 1970s and 1980s, particularly in Malaysian Borneo. Since the 1980s, the government </w:t>
      </w:r>
      <w:r w:rsidR="001A3C9F" w:rsidRPr="006E28CD">
        <w:rPr>
          <w:lang w:val="en-GB"/>
        </w:rPr>
        <w:t xml:space="preserve">had </w:t>
      </w:r>
      <w:r w:rsidRPr="006E28CD">
        <w:rPr>
          <w:lang w:val="en-GB"/>
        </w:rPr>
        <w:t>also stimulated investments in the downstream processing industry, stimulating palm oil companies to achieve greater added value. Indonesia followed much later and</w:t>
      </w:r>
      <w:r w:rsidR="001A3C9F" w:rsidRPr="006E28CD">
        <w:rPr>
          <w:lang w:val="en-GB"/>
        </w:rPr>
        <w:t>,</w:t>
      </w:r>
      <w:r w:rsidRPr="006E28CD">
        <w:rPr>
          <w:lang w:val="en-GB"/>
        </w:rPr>
        <w:t xml:space="preserve"> </w:t>
      </w:r>
      <w:r w:rsidR="001A3C9F" w:rsidRPr="006E28CD">
        <w:rPr>
          <w:lang w:val="en-GB"/>
        </w:rPr>
        <w:t xml:space="preserve">due to the lack of available land for expansion in Malaysia, it </w:t>
      </w:r>
      <w:r w:rsidRPr="006E28CD">
        <w:rPr>
          <w:lang w:val="en-GB"/>
        </w:rPr>
        <w:t xml:space="preserve">overtook Malaysia as the world’s largest palm oil producer in 2006. Most large palm oil companies took advantage of land availability and cheaper costs and scaled rapidly in Indonesia. </w:t>
      </w:r>
    </w:p>
    <w:p w14:paraId="77476E3F" w14:textId="77777777" w:rsidR="00CD53A5" w:rsidRPr="00D65FC4" w:rsidRDefault="00CD53A5" w:rsidP="00CD53A5">
      <w:pPr>
        <w:pStyle w:val="BodyTextMain"/>
        <w:rPr>
          <w:sz w:val="20"/>
          <w:lang w:val="en-GB"/>
        </w:rPr>
      </w:pPr>
    </w:p>
    <w:p w14:paraId="660A7132" w14:textId="6C26BC23" w:rsidR="001A3C9F" w:rsidRPr="006E28CD" w:rsidRDefault="00CD53A5" w:rsidP="00CD53A5">
      <w:pPr>
        <w:pStyle w:val="BodyTextMain"/>
        <w:rPr>
          <w:lang w:val="en-GB"/>
        </w:rPr>
      </w:pPr>
      <w:r w:rsidRPr="006E28CD">
        <w:rPr>
          <w:lang w:val="en-GB"/>
        </w:rPr>
        <w:t>The industry</w:t>
      </w:r>
      <w:r w:rsidR="001A3C9F" w:rsidRPr="006E28CD">
        <w:rPr>
          <w:lang w:val="en-GB"/>
        </w:rPr>
        <w:t>, which had been</w:t>
      </w:r>
      <w:r w:rsidRPr="006E28CD">
        <w:rPr>
          <w:lang w:val="en-GB"/>
        </w:rPr>
        <w:t xml:space="preserve"> </w:t>
      </w:r>
      <w:r w:rsidR="001A3C9F" w:rsidRPr="006E28CD">
        <w:rPr>
          <w:lang w:val="en-GB"/>
        </w:rPr>
        <w:t xml:space="preserve">fairly fragmented, </w:t>
      </w:r>
      <w:r w:rsidRPr="006E28CD">
        <w:rPr>
          <w:lang w:val="en-GB"/>
        </w:rPr>
        <w:t xml:space="preserve">evolved towards </w:t>
      </w:r>
      <w:r w:rsidR="001A3C9F" w:rsidRPr="006E28CD">
        <w:rPr>
          <w:lang w:val="en-GB"/>
        </w:rPr>
        <w:t>greater concentration, and</w:t>
      </w:r>
      <w:r w:rsidRPr="006E28CD">
        <w:rPr>
          <w:lang w:val="en-GB"/>
        </w:rPr>
        <w:t xml:space="preserve"> a number of leading players </w:t>
      </w:r>
      <w:r w:rsidR="001A3C9F" w:rsidRPr="006E28CD">
        <w:rPr>
          <w:lang w:val="en-GB"/>
        </w:rPr>
        <w:t xml:space="preserve">that controlled vast plantations emerged in </w:t>
      </w:r>
      <w:r w:rsidRPr="006E28CD">
        <w:rPr>
          <w:lang w:val="en-GB"/>
        </w:rPr>
        <w:t>the 2000s</w:t>
      </w:r>
      <w:r w:rsidR="001A3C9F" w:rsidRPr="006E28CD">
        <w:rPr>
          <w:lang w:val="en-GB"/>
        </w:rPr>
        <w:t>; these</w:t>
      </w:r>
      <w:r w:rsidRPr="006E28CD">
        <w:rPr>
          <w:lang w:val="en-GB"/>
        </w:rPr>
        <w:t xml:space="preserve"> includ</w:t>
      </w:r>
      <w:r w:rsidR="001A3C9F" w:rsidRPr="006E28CD">
        <w:rPr>
          <w:lang w:val="en-GB"/>
        </w:rPr>
        <w:t>ed</w:t>
      </w:r>
      <w:r w:rsidRPr="006E28CD">
        <w:rPr>
          <w:lang w:val="en-GB"/>
        </w:rPr>
        <w:t xml:space="preserve"> Golden </w:t>
      </w:r>
      <w:r w:rsidR="001A3C9F" w:rsidRPr="006E28CD">
        <w:rPr>
          <w:lang w:val="en-GB"/>
        </w:rPr>
        <w:t>Agri-</w:t>
      </w:r>
      <w:r w:rsidRPr="006E28CD">
        <w:rPr>
          <w:lang w:val="en-GB"/>
        </w:rPr>
        <w:t xml:space="preserve">Resources </w:t>
      </w:r>
      <w:r w:rsidR="001A3C9F" w:rsidRPr="006E28CD">
        <w:rPr>
          <w:lang w:val="en-GB"/>
        </w:rPr>
        <w:t xml:space="preserve">Ltd. </w:t>
      </w:r>
      <w:r w:rsidRPr="006E28CD">
        <w:rPr>
          <w:lang w:val="en-GB"/>
        </w:rPr>
        <w:t>(GAR), Wilmar</w:t>
      </w:r>
      <w:r w:rsidR="001A3C9F" w:rsidRPr="006E28CD">
        <w:rPr>
          <w:lang w:val="en-GB"/>
        </w:rPr>
        <w:t xml:space="preserve"> International Ltd. (Wilmar)</w:t>
      </w:r>
      <w:r w:rsidRPr="006E28CD">
        <w:rPr>
          <w:lang w:val="en-GB"/>
        </w:rPr>
        <w:t xml:space="preserve">, </w:t>
      </w:r>
      <w:r w:rsidR="001A3C9F" w:rsidRPr="006E28CD">
        <w:rPr>
          <w:lang w:val="en-GB"/>
        </w:rPr>
        <w:t xml:space="preserve">Kuala Lumpur Kepong </w:t>
      </w:r>
      <w:proofErr w:type="spellStart"/>
      <w:r w:rsidR="001A3C9F" w:rsidRPr="006E28CD">
        <w:rPr>
          <w:lang w:val="en-GB"/>
        </w:rPr>
        <w:t>Berhad</w:t>
      </w:r>
      <w:proofErr w:type="spellEnd"/>
      <w:r w:rsidRPr="006E28CD">
        <w:rPr>
          <w:lang w:val="en-GB"/>
        </w:rPr>
        <w:t>, IOI, Sime Darby</w:t>
      </w:r>
      <w:r w:rsidR="001A3C9F" w:rsidRPr="006E28CD">
        <w:rPr>
          <w:lang w:val="en-GB"/>
        </w:rPr>
        <w:t xml:space="preserve"> </w:t>
      </w:r>
      <w:proofErr w:type="spellStart"/>
      <w:r w:rsidR="001A3C9F" w:rsidRPr="006E28CD">
        <w:rPr>
          <w:lang w:val="en-GB"/>
        </w:rPr>
        <w:t>Berhad</w:t>
      </w:r>
      <w:proofErr w:type="spellEnd"/>
      <w:r w:rsidRPr="006E28CD">
        <w:rPr>
          <w:lang w:val="en-GB"/>
        </w:rPr>
        <w:t xml:space="preserve">, </w:t>
      </w:r>
      <w:r w:rsidR="001A3C9F" w:rsidRPr="006E28CD">
        <w:rPr>
          <w:lang w:val="en-GB"/>
        </w:rPr>
        <w:t xml:space="preserve">Indofood </w:t>
      </w:r>
      <w:proofErr w:type="spellStart"/>
      <w:r w:rsidR="001A3C9F" w:rsidRPr="006E28CD">
        <w:rPr>
          <w:lang w:val="en-GB"/>
        </w:rPr>
        <w:t>Agri</w:t>
      </w:r>
      <w:proofErr w:type="spellEnd"/>
      <w:r w:rsidR="001A3C9F" w:rsidRPr="006E28CD">
        <w:rPr>
          <w:lang w:val="en-GB"/>
        </w:rPr>
        <w:t xml:space="preserve"> Resources Ltd.</w:t>
      </w:r>
      <w:r w:rsidR="00D64A9B">
        <w:rPr>
          <w:lang w:val="en-GB"/>
        </w:rPr>
        <w:t xml:space="preserve"> (Indofood)</w:t>
      </w:r>
      <w:r w:rsidRPr="006E28CD">
        <w:rPr>
          <w:lang w:val="en-GB"/>
        </w:rPr>
        <w:t xml:space="preserve">, </w:t>
      </w:r>
      <w:proofErr w:type="spellStart"/>
      <w:r w:rsidR="001A3C9F" w:rsidRPr="006E28CD">
        <w:rPr>
          <w:lang w:val="en-GB"/>
        </w:rPr>
        <w:t>Felda</w:t>
      </w:r>
      <w:proofErr w:type="spellEnd"/>
      <w:r w:rsidR="001A3C9F" w:rsidRPr="006E28CD">
        <w:rPr>
          <w:lang w:val="en-GB"/>
        </w:rPr>
        <w:t xml:space="preserve"> Global Ventures </w:t>
      </w:r>
      <w:proofErr w:type="spellStart"/>
      <w:r w:rsidR="001A3C9F" w:rsidRPr="006E28CD">
        <w:rPr>
          <w:lang w:val="en-GB"/>
        </w:rPr>
        <w:t>Berhad</w:t>
      </w:r>
      <w:proofErr w:type="spellEnd"/>
      <w:r w:rsidRPr="006E28CD">
        <w:rPr>
          <w:lang w:val="en-GB"/>
        </w:rPr>
        <w:t xml:space="preserve">, and </w:t>
      </w:r>
      <w:r w:rsidR="001A3C9F" w:rsidRPr="006E28CD">
        <w:rPr>
          <w:lang w:val="en-GB"/>
        </w:rPr>
        <w:t xml:space="preserve">PT Astra Agro Lestari </w:t>
      </w:r>
      <w:proofErr w:type="spellStart"/>
      <w:r w:rsidR="001A3C9F" w:rsidRPr="006E28CD">
        <w:rPr>
          <w:lang w:val="en-GB"/>
        </w:rPr>
        <w:t>Tbk</w:t>
      </w:r>
      <w:proofErr w:type="spellEnd"/>
      <w:r w:rsidRPr="006E28CD">
        <w:rPr>
          <w:lang w:val="en-GB"/>
        </w:rPr>
        <w:t>. Consolidation, industry growth</w:t>
      </w:r>
      <w:r w:rsidR="001A3C9F" w:rsidRPr="006E28CD">
        <w:rPr>
          <w:lang w:val="en-GB"/>
        </w:rPr>
        <w:t>,</w:t>
      </w:r>
      <w:r w:rsidRPr="006E28CD">
        <w:rPr>
          <w:lang w:val="en-GB"/>
        </w:rPr>
        <w:t xml:space="preserve"> and high prices meant the key players had sufficient capital and motivation to invest further in downstream industries. This trend started in Asia, but palm plantation companies increasingly invested in refineries and manufacturing plants close to end markets, including Europe, </w:t>
      </w:r>
      <w:r w:rsidR="001A3C9F" w:rsidRPr="006E28CD">
        <w:rPr>
          <w:lang w:val="en-GB"/>
        </w:rPr>
        <w:t xml:space="preserve">the United States, </w:t>
      </w:r>
      <w:r w:rsidRPr="006E28CD">
        <w:rPr>
          <w:lang w:val="en-GB"/>
        </w:rPr>
        <w:t>and China.</w:t>
      </w:r>
    </w:p>
    <w:p w14:paraId="0A5D5782" w14:textId="010F18B3" w:rsidR="00CD53A5" w:rsidRPr="00D65FC4" w:rsidRDefault="00CD53A5" w:rsidP="00CD53A5">
      <w:pPr>
        <w:pStyle w:val="BodyTextMain"/>
        <w:rPr>
          <w:sz w:val="20"/>
          <w:lang w:val="en-GB"/>
        </w:rPr>
      </w:pPr>
    </w:p>
    <w:p w14:paraId="39F2CA01" w14:textId="6CAAB941" w:rsidR="00CD53A5" w:rsidRPr="00D65FC4" w:rsidRDefault="00CD53A5" w:rsidP="00CD53A5">
      <w:pPr>
        <w:pStyle w:val="BodyTextMain"/>
        <w:rPr>
          <w:spacing w:val="-2"/>
          <w:lang w:val="en-GB"/>
        </w:rPr>
      </w:pPr>
      <w:r w:rsidRPr="00D65FC4">
        <w:rPr>
          <w:spacing w:val="-2"/>
          <w:lang w:val="en-GB"/>
        </w:rPr>
        <w:lastRenderedPageBreak/>
        <w:t xml:space="preserve">The frantic expansion of plantations, in particular in Indonesia, drew criticism from </w:t>
      </w:r>
      <w:r w:rsidR="001A3C9F" w:rsidRPr="00D65FC4">
        <w:rPr>
          <w:spacing w:val="-2"/>
          <w:lang w:val="en-GB"/>
        </w:rPr>
        <w:t>no</w:t>
      </w:r>
      <w:r w:rsidR="0071003E" w:rsidRPr="00D65FC4">
        <w:rPr>
          <w:spacing w:val="-2"/>
          <w:lang w:val="en-GB"/>
        </w:rPr>
        <w:t>n</w:t>
      </w:r>
      <w:r w:rsidRPr="00D65FC4">
        <w:rPr>
          <w:spacing w:val="-2"/>
          <w:lang w:val="en-GB"/>
        </w:rPr>
        <w:t>-</w:t>
      </w:r>
      <w:r w:rsidR="0071003E" w:rsidRPr="00D65FC4">
        <w:rPr>
          <w:spacing w:val="-2"/>
          <w:lang w:val="en-GB"/>
        </w:rPr>
        <w:t xml:space="preserve">governmental </w:t>
      </w:r>
      <w:r w:rsidR="001A3C9F" w:rsidRPr="00D65FC4">
        <w:rPr>
          <w:spacing w:val="-2"/>
          <w:lang w:val="en-GB"/>
        </w:rPr>
        <w:t xml:space="preserve">organizations </w:t>
      </w:r>
      <w:r w:rsidRPr="00D65FC4">
        <w:rPr>
          <w:spacing w:val="-2"/>
          <w:lang w:val="en-GB"/>
        </w:rPr>
        <w:t>(NGOs), which associated the leading companies with forest clearance, peat land fires</w:t>
      </w:r>
      <w:r w:rsidR="0071003E" w:rsidRPr="00D65FC4">
        <w:rPr>
          <w:spacing w:val="-2"/>
          <w:lang w:val="en-GB"/>
        </w:rPr>
        <w:t xml:space="preserve"> that caused a </w:t>
      </w:r>
      <w:r w:rsidRPr="00D65FC4">
        <w:rPr>
          <w:spacing w:val="-2"/>
          <w:lang w:val="en-GB"/>
        </w:rPr>
        <w:t xml:space="preserve">periodic haze across Southeast Asia, and the destruction of animal habitats. All relevant industry stakeholders jointly established the Roundtable of Sustainable Palm Oil (RSPO) in 2004, </w:t>
      </w:r>
      <w:r w:rsidR="0071003E" w:rsidRPr="00D65FC4">
        <w:rPr>
          <w:spacing w:val="-2"/>
          <w:lang w:val="en-GB"/>
        </w:rPr>
        <w:t xml:space="preserve">and this organization </w:t>
      </w:r>
      <w:r w:rsidRPr="00D65FC4">
        <w:rPr>
          <w:spacing w:val="-2"/>
          <w:lang w:val="en-GB"/>
        </w:rPr>
        <w:t xml:space="preserve">set standards and initiated the certification of plantations. IOI was one of the founding members. </w:t>
      </w:r>
    </w:p>
    <w:p w14:paraId="323C4F8C" w14:textId="77777777" w:rsidR="00CD53A5" w:rsidRPr="00D65FC4" w:rsidRDefault="00CD53A5" w:rsidP="00CD53A5">
      <w:pPr>
        <w:pStyle w:val="BodyTextMain"/>
        <w:rPr>
          <w:sz w:val="20"/>
          <w:lang w:val="en-GB"/>
        </w:rPr>
      </w:pPr>
    </w:p>
    <w:p w14:paraId="4EC476C4" w14:textId="2A3CF309" w:rsidR="00CD53A5" w:rsidRPr="00D65FC4" w:rsidRDefault="00CD53A5" w:rsidP="00CD53A5">
      <w:pPr>
        <w:pStyle w:val="BodyTextMain"/>
        <w:rPr>
          <w:lang w:val="en-GB"/>
        </w:rPr>
      </w:pPr>
      <w:r w:rsidRPr="00D65FC4">
        <w:rPr>
          <w:lang w:val="en-GB"/>
        </w:rPr>
        <w:t xml:space="preserve">Despite this, NGOs exposed various cases of violations, </w:t>
      </w:r>
      <w:r w:rsidR="0071003E" w:rsidRPr="00D65FC4">
        <w:rPr>
          <w:lang w:val="en-GB"/>
        </w:rPr>
        <w:t>and this led</w:t>
      </w:r>
      <w:r w:rsidRPr="00D65FC4">
        <w:rPr>
          <w:lang w:val="en-GB"/>
        </w:rPr>
        <w:t xml:space="preserve"> the ultimate clients (</w:t>
      </w:r>
      <w:r w:rsidR="0071003E" w:rsidRPr="00D65FC4">
        <w:rPr>
          <w:lang w:val="en-GB"/>
        </w:rPr>
        <w:t>for example,</w:t>
      </w:r>
      <w:r w:rsidRPr="00D65FC4">
        <w:rPr>
          <w:lang w:val="en-GB"/>
        </w:rPr>
        <w:t xml:space="preserve"> Unilever</w:t>
      </w:r>
      <w:r w:rsidR="0071003E" w:rsidRPr="00D65FC4">
        <w:rPr>
          <w:lang w:val="en-GB"/>
        </w:rPr>
        <w:t xml:space="preserve"> and </w:t>
      </w:r>
      <w:r w:rsidRPr="00D65FC4">
        <w:rPr>
          <w:lang w:val="en-GB"/>
        </w:rPr>
        <w:t>Nestl</w:t>
      </w:r>
      <w:r w:rsidR="0071003E" w:rsidRPr="00D65FC4">
        <w:rPr>
          <w:lang w:val="en-GB"/>
        </w:rPr>
        <w:t>é</w:t>
      </w:r>
      <w:r w:rsidRPr="00D65FC4">
        <w:rPr>
          <w:lang w:val="en-GB"/>
        </w:rPr>
        <w:t xml:space="preserve">) </w:t>
      </w:r>
      <w:r w:rsidR="0071003E" w:rsidRPr="00D65FC4">
        <w:rPr>
          <w:lang w:val="en-GB"/>
        </w:rPr>
        <w:t xml:space="preserve">to </w:t>
      </w:r>
      <w:r w:rsidRPr="00D65FC4">
        <w:rPr>
          <w:lang w:val="en-GB"/>
        </w:rPr>
        <w:t xml:space="preserve">suspend </w:t>
      </w:r>
      <w:r w:rsidR="0071003E" w:rsidRPr="00D65FC4">
        <w:rPr>
          <w:lang w:val="en-GB"/>
        </w:rPr>
        <w:t xml:space="preserve">their </w:t>
      </w:r>
      <w:r w:rsidRPr="00D65FC4">
        <w:rPr>
          <w:lang w:val="en-GB"/>
        </w:rPr>
        <w:t>purchasing. Activist NGOs such as Greenpeace raised public awareness, particular</w:t>
      </w:r>
      <w:r w:rsidR="0071003E" w:rsidRPr="00D65FC4">
        <w:rPr>
          <w:lang w:val="en-GB"/>
        </w:rPr>
        <w:t>ly</w:t>
      </w:r>
      <w:r w:rsidRPr="00D65FC4">
        <w:rPr>
          <w:lang w:val="en-GB"/>
        </w:rPr>
        <w:t xml:space="preserve"> in developed markets like </w:t>
      </w:r>
      <w:r w:rsidR="0071003E" w:rsidRPr="00D65FC4">
        <w:rPr>
          <w:lang w:val="en-GB"/>
        </w:rPr>
        <w:t xml:space="preserve">Europe </w:t>
      </w:r>
      <w:r w:rsidRPr="00D65FC4">
        <w:rPr>
          <w:lang w:val="en-GB"/>
        </w:rPr>
        <w:t xml:space="preserve">and </w:t>
      </w:r>
      <w:r w:rsidR="0071003E" w:rsidRPr="00D65FC4">
        <w:rPr>
          <w:lang w:val="en-GB"/>
        </w:rPr>
        <w:t>the United States</w:t>
      </w:r>
      <w:r w:rsidRPr="00D65FC4">
        <w:rPr>
          <w:lang w:val="en-GB"/>
        </w:rPr>
        <w:t xml:space="preserve">, about the side effects of large-scale palm oil cultivation. Due to such pressures, most palm oil companies stepped up their sustainability programs, disclosures, and engagement with stakeholders and </w:t>
      </w:r>
      <w:r w:rsidR="0071003E" w:rsidRPr="00D65FC4">
        <w:rPr>
          <w:lang w:val="en-GB"/>
        </w:rPr>
        <w:t xml:space="preserve">the </w:t>
      </w:r>
      <w:r w:rsidRPr="00D65FC4">
        <w:rPr>
          <w:lang w:val="en-GB"/>
        </w:rPr>
        <w:t xml:space="preserve">media. </w:t>
      </w:r>
      <w:r w:rsidR="0071003E" w:rsidRPr="00D65FC4">
        <w:rPr>
          <w:lang w:val="en-GB"/>
        </w:rPr>
        <w:t>M</w:t>
      </w:r>
      <w:r w:rsidRPr="00D65FC4">
        <w:rPr>
          <w:lang w:val="en-GB"/>
        </w:rPr>
        <w:t xml:space="preserve">ost large players </w:t>
      </w:r>
      <w:r w:rsidR="0071003E" w:rsidRPr="00D65FC4">
        <w:rPr>
          <w:lang w:val="en-GB"/>
        </w:rPr>
        <w:t xml:space="preserve">also </w:t>
      </w:r>
      <w:r w:rsidRPr="00D65FC4">
        <w:rPr>
          <w:lang w:val="en-GB"/>
        </w:rPr>
        <w:t xml:space="preserve">focused on sales to large emerging markets, where the demand growth was greatest and risks associated with sustainability </w:t>
      </w:r>
      <w:r w:rsidR="0071003E" w:rsidRPr="00D65FC4">
        <w:rPr>
          <w:lang w:val="en-GB"/>
        </w:rPr>
        <w:t xml:space="preserve">were </w:t>
      </w:r>
      <w:r w:rsidRPr="00D65FC4">
        <w:rPr>
          <w:lang w:val="en-GB"/>
        </w:rPr>
        <w:t>lowest.</w:t>
      </w:r>
    </w:p>
    <w:p w14:paraId="620D0CED" w14:textId="77777777" w:rsidR="00CD53A5" w:rsidRPr="00D65FC4" w:rsidRDefault="00CD53A5" w:rsidP="00CD53A5">
      <w:pPr>
        <w:pStyle w:val="BodyTextMain"/>
        <w:rPr>
          <w:sz w:val="20"/>
          <w:lang w:val="en-GB"/>
        </w:rPr>
      </w:pPr>
    </w:p>
    <w:p w14:paraId="29B5C421" w14:textId="77777777" w:rsidR="00CD53A5" w:rsidRPr="00D65FC4" w:rsidRDefault="00CD53A5" w:rsidP="00CD53A5">
      <w:pPr>
        <w:pStyle w:val="BodyTextMain"/>
        <w:rPr>
          <w:sz w:val="20"/>
          <w:lang w:val="en-GB"/>
        </w:rPr>
      </w:pPr>
    </w:p>
    <w:p w14:paraId="3D31EC46" w14:textId="77777777" w:rsidR="00CD53A5" w:rsidRPr="006E28CD" w:rsidRDefault="00CD53A5" w:rsidP="00CD53A5">
      <w:pPr>
        <w:pStyle w:val="Casehead1"/>
        <w:rPr>
          <w:lang w:val="en-GB"/>
        </w:rPr>
      </w:pPr>
      <w:r w:rsidRPr="006E28CD">
        <w:rPr>
          <w:lang w:val="en-GB"/>
        </w:rPr>
        <w:t>IOI: The business</w:t>
      </w:r>
    </w:p>
    <w:p w14:paraId="3F41FB71" w14:textId="77777777" w:rsidR="00CD53A5" w:rsidRPr="00D65FC4" w:rsidRDefault="00CD53A5" w:rsidP="00CD53A5">
      <w:pPr>
        <w:pStyle w:val="BodyTextMain"/>
        <w:rPr>
          <w:sz w:val="20"/>
          <w:lang w:val="en-GB"/>
        </w:rPr>
      </w:pPr>
    </w:p>
    <w:p w14:paraId="3698E378" w14:textId="213B5525" w:rsidR="00CD53A5" w:rsidRPr="006E28CD" w:rsidRDefault="00CD53A5" w:rsidP="00CD53A5">
      <w:pPr>
        <w:pStyle w:val="BodyTextMain"/>
        <w:rPr>
          <w:lang w:val="en-GB"/>
        </w:rPr>
      </w:pPr>
      <w:r w:rsidRPr="006E28CD">
        <w:rPr>
          <w:lang w:val="en-GB"/>
        </w:rPr>
        <w:t xml:space="preserve">The timing of IOI’s entry into palm plantations in the 1980s was fortunate: the industry </w:t>
      </w:r>
      <w:r w:rsidR="00D9768C" w:rsidRPr="006E28CD">
        <w:rPr>
          <w:lang w:val="en-GB"/>
        </w:rPr>
        <w:t xml:space="preserve">was receiving </w:t>
      </w:r>
      <w:r w:rsidRPr="006E28CD">
        <w:rPr>
          <w:lang w:val="en-GB"/>
        </w:rPr>
        <w:t xml:space="preserve">government </w:t>
      </w:r>
      <w:r w:rsidR="00D9768C" w:rsidRPr="006E28CD">
        <w:rPr>
          <w:lang w:val="en-GB"/>
        </w:rPr>
        <w:t xml:space="preserve">support, </w:t>
      </w:r>
      <w:r w:rsidRPr="006E28CD">
        <w:rPr>
          <w:lang w:val="en-GB"/>
        </w:rPr>
        <w:t xml:space="preserve">and demand was growing. Most of IOI’s plantations were in Malaysian Borneo. Due to </w:t>
      </w:r>
      <w:r w:rsidR="00D9768C" w:rsidRPr="006E28CD">
        <w:rPr>
          <w:lang w:val="en-GB"/>
        </w:rPr>
        <w:t xml:space="preserve">its </w:t>
      </w:r>
      <w:r w:rsidRPr="006E28CD">
        <w:rPr>
          <w:lang w:val="en-GB"/>
        </w:rPr>
        <w:t>focus on efficiency and hands-on management, IOI had high yields, making it very competitive.</w:t>
      </w:r>
      <w:r w:rsidR="00D9768C" w:rsidRPr="006E28CD">
        <w:rPr>
          <w:lang w:val="en-GB"/>
        </w:rPr>
        <w:t xml:space="preserve"> </w:t>
      </w:r>
      <w:r w:rsidRPr="006E28CD">
        <w:rPr>
          <w:lang w:val="en-GB"/>
        </w:rPr>
        <w:t xml:space="preserve">Despite being a relative latecomer in plantations, IOI was able to join the ranks of the world’s largest palm oil companies with two growth strategies: </w:t>
      </w:r>
      <w:r w:rsidR="00D9768C" w:rsidRPr="006E28CD">
        <w:rPr>
          <w:lang w:val="en-GB"/>
        </w:rPr>
        <w:t>mergers and acquisitions</w:t>
      </w:r>
      <w:r w:rsidR="00D64A9B">
        <w:rPr>
          <w:lang w:val="en-GB"/>
        </w:rPr>
        <w:t>,</w:t>
      </w:r>
      <w:r w:rsidRPr="006E28CD">
        <w:rPr>
          <w:lang w:val="en-GB"/>
        </w:rPr>
        <w:t xml:space="preserve"> and organic growth. However, since the 2000s, some of its competitors, particular</w:t>
      </w:r>
      <w:r w:rsidR="00D9768C" w:rsidRPr="006E28CD">
        <w:rPr>
          <w:lang w:val="en-GB"/>
        </w:rPr>
        <w:t>ly</w:t>
      </w:r>
      <w:r w:rsidRPr="006E28CD">
        <w:rPr>
          <w:lang w:val="en-GB"/>
        </w:rPr>
        <w:t xml:space="preserve"> Indonesia</w:t>
      </w:r>
      <w:r w:rsidR="00D9768C" w:rsidRPr="006E28CD">
        <w:rPr>
          <w:lang w:val="en-GB"/>
        </w:rPr>
        <w:t>n competitors such as</w:t>
      </w:r>
      <w:r w:rsidRPr="006E28CD">
        <w:rPr>
          <w:lang w:val="en-GB"/>
        </w:rPr>
        <w:t xml:space="preserve"> Wilmar and GAR, were far more aggressive in expanding their plantations (see Exhibit 4). </w:t>
      </w:r>
    </w:p>
    <w:p w14:paraId="225B45B1" w14:textId="77777777" w:rsidR="00CD53A5" w:rsidRPr="00D65FC4" w:rsidRDefault="00CD53A5" w:rsidP="00CD53A5">
      <w:pPr>
        <w:pStyle w:val="BodyTextMain"/>
        <w:rPr>
          <w:sz w:val="20"/>
          <w:lang w:val="en-GB"/>
        </w:rPr>
      </w:pPr>
    </w:p>
    <w:p w14:paraId="228D5BA3" w14:textId="643BA180" w:rsidR="00CD53A5" w:rsidRPr="006E28CD" w:rsidRDefault="00CD53A5" w:rsidP="00CD53A5">
      <w:pPr>
        <w:pStyle w:val="BodyTextMain"/>
        <w:rPr>
          <w:lang w:val="en-GB"/>
        </w:rPr>
      </w:pPr>
      <w:r w:rsidRPr="006E28CD">
        <w:rPr>
          <w:lang w:val="en-GB"/>
        </w:rPr>
        <w:t>IOI only reluctantly and belatedly moved into Indonesian plantations</w:t>
      </w:r>
      <w:r w:rsidR="00D9768C" w:rsidRPr="006E28CD">
        <w:rPr>
          <w:lang w:val="en-GB"/>
        </w:rPr>
        <w:t>;</w:t>
      </w:r>
      <w:r w:rsidRPr="006E28CD">
        <w:rPr>
          <w:lang w:val="en-GB"/>
        </w:rPr>
        <w:t xml:space="preserve"> according to one IOI executive, </w:t>
      </w:r>
      <w:r w:rsidR="00D9768C" w:rsidRPr="006E28CD">
        <w:rPr>
          <w:lang w:val="en-GB"/>
        </w:rPr>
        <w:t xml:space="preserve">it was </w:t>
      </w:r>
      <w:r w:rsidRPr="006E28CD">
        <w:rPr>
          <w:lang w:val="en-GB"/>
        </w:rPr>
        <w:t>“the last one</w:t>
      </w:r>
      <w:r w:rsidR="00D9768C" w:rsidRPr="006E28CD">
        <w:rPr>
          <w:lang w:val="en-GB"/>
        </w:rPr>
        <w:t>.</w:t>
      </w:r>
      <w:r w:rsidRPr="006E28CD">
        <w:rPr>
          <w:lang w:val="en-GB"/>
        </w:rPr>
        <w:t xml:space="preserve">” </w:t>
      </w:r>
      <w:r w:rsidR="00D9768C" w:rsidRPr="006E28CD">
        <w:rPr>
          <w:lang w:val="en-GB"/>
        </w:rPr>
        <w:t xml:space="preserve">The company </w:t>
      </w:r>
      <w:r w:rsidRPr="006E28CD">
        <w:rPr>
          <w:lang w:val="en-GB"/>
        </w:rPr>
        <w:t xml:space="preserve">established some plantation estates in Indonesia and took a substantial minority stake in an Indonesian plantation company. Overall, IOI fell back to </w:t>
      </w:r>
      <w:r w:rsidR="00D9768C" w:rsidRPr="006E28CD">
        <w:rPr>
          <w:lang w:val="en-GB"/>
        </w:rPr>
        <w:t xml:space="preserve">ninth </w:t>
      </w:r>
      <w:r w:rsidRPr="006E28CD">
        <w:rPr>
          <w:lang w:val="en-GB"/>
        </w:rPr>
        <w:t xml:space="preserve">place globally in terms of planted area, although it ranked </w:t>
      </w:r>
      <w:r w:rsidR="00D9768C" w:rsidRPr="006E28CD">
        <w:rPr>
          <w:lang w:val="en-GB"/>
        </w:rPr>
        <w:t>third</w:t>
      </w:r>
      <w:r w:rsidR="00CD2DF4" w:rsidRPr="006E28CD">
        <w:rPr>
          <w:lang w:val="en-GB"/>
        </w:rPr>
        <w:t xml:space="preserve"> </w:t>
      </w:r>
      <w:r w:rsidRPr="006E28CD">
        <w:rPr>
          <w:lang w:val="en-GB"/>
        </w:rPr>
        <w:t>in terms of market capitalization.</w:t>
      </w:r>
      <w:r w:rsidRPr="006E28CD">
        <w:rPr>
          <w:vertAlign w:val="superscript"/>
          <w:lang w:val="en-GB"/>
        </w:rPr>
        <w:footnoteReference w:id="2"/>
      </w:r>
      <w:r w:rsidRPr="006E28CD">
        <w:rPr>
          <w:lang w:val="en-GB"/>
        </w:rPr>
        <w:t xml:space="preserve"> An IOI executive said that </w:t>
      </w:r>
      <w:r w:rsidR="00D9768C" w:rsidRPr="006E28CD">
        <w:rPr>
          <w:lang w:val="en-GB"/>
        </w:rPr>
        <w:t>the company was</w:t>
      </w:r>
      <w:r w:rsidRPr="006E28CD">
        <w:rPr>
          <w:lang w:val="en-GB"/>
        </w:rPr>
        <w:t xml:space="preserve"> “not scared of Indonesian rivals, but also ‘</w:t>
      </w:r>
      <w:r w:rsidR="00FE73D0">
        <w:rPr>
          <w:lang w:val="en-GB"/>
        </w:rPr>
        <w:t>not</w:t>
      </w:r>
      <w:r w:rsidR="00B42E98">
        <w:rPr>
          <w:lang w:val="en-GB"/>
        </w:rPr>
        <w:t xml:space="preserve"> </w:t>
      </w:r>
      <w:proofErr w:type="spellStart"/>
      <w:r w:rsidR="00B42E98">
        <w:rPr>
          <w:lang w:val="en-GB"/>
        </w:rPr>
        <w:t>not</w:t>
      </w:r>
      <w:proofErr w:type="spellEnd"/>
      <w:r w:rsidRPr="006E28CD">
        <w:rPr>
          <w:lang w:val="en-GB"/>
        </w:rPr>
        <w:t xml:space="preserve"> scared</w:t>
      </w:r>
      <w:r w:rsidR="00D64A9B">
        <w:rPr>
          <w:lang w:val="en-GB"/>
        </w:rPr>
        <w:t>.</w:t>
      </w:r>
      <w:r w:rsidRPr="006E28CD">
        <w:rPr>
          <w:lang w:val="en-GB"/>
        </w:rPr>
        <w:t>’”</w:t>
      </w:r>
    </w:p>
    <w:p w14:paraId="240148DE" w14:textId="77777777" w:rsidR="00CD53A5" w:rsidRPr="00D65FC4" w:rsidRDefault="00CD53A5" w:rsidP="00CD53A5">
      <w:pPr>
        <w:pStyle w:val="BodyTextMain"/>
        <w:rPr>
          <w:sz w:val="20"/>
          <w:lang w:val="en-GB"/>
        </w:rPr>
      </w:pPr>
    </w:p>
    <w:p w14:paraId="60553F84" w14:textId="7C3E24DC" w:rsidR="00CD53A5" w:rsidRPr="00303B08" w:rsidRDefault="00CD53A5" w:rsidP="00CD53A5">
      <w:pPr>
        <w:pStyle w:val="BodyTextMain"/>
        <w:rPr>
          <w:spacing w:val="-2"/>
          <w:lang w:val="en-GB"/>
        </w:rPr>
      </w:pPr>
      <w:r w:rsidRPr="00303B08">
        <w:rPr>
          <w:spacing w:val="-2"/>
          <w:lang w:val="en-GB"/>
        </w:rPr>
        <w:t>As large players expand</w:t>
      </w:r>
      <w:r w:rsidR="00CD2DF4" w:rsidRPr="00303B08">
        <w:rPr>
          <w:spacing w:val="-2"/>
          <w:lang w:val="en-GB"/>
        </w:rPr>
        <w:t>ed</w:t>
      </w:r>
      <w:r w:rsidRPr="00303B08">
        <w:rPr>
          <w:spacing w:val="-2"/>
          <w:lang w:val="en-GB"/>
        </w:rPr>
        <w:t xml:space="preserve">, they also moved further downstream into specialty fats, </w:t>
      </w:r>
      <w:proofErr w:type="spellStart"/>
      <w:r w:rsidRPr="00303B08">
        <w:rPr>
          <w:spacing w:val="-2"/>
          <w:lang w:val="en-GB"/>
        </w:rPr>
        <w:t>oleochemicals</w:t>
      </w:r>
      <w:proofErr w:type="spellEnd"/>
      <w:r w:rsidRPr="00303B08">
        <w:rPr>
          <w:spacing w:val="-2"/>
          <w:lang w:val="en-GB"/>
        </w:rPr>
        <w:t xml:space="preserve"> (i.e.</w:t>
      </w:r>
      <w:r w:rsidR="00FC685B" w:rsidRPr="00303B08">
        <w:rPr>
          <w:spacing w:val="-2"/>
          <w:lang w:val="en-GB"/>
        </w:rPr>
        <w:t>,</w:t>
      </w:r>
      <w:r w:rsidRPr="00303B08">
        <w:rPr>
          <w:spacing w:val="-2"/>
          <w:lang w:val="en-GB"/>
        </w:rPr>
        <w:t xml:space="preserve"> resource-based manufacturing)</w:t>
      </w:r>
      <w:r w:rsidR="00CD2DF4" w:rsidRPr="00303B08">
        <w:rPr>
          <w:spacing w:val="-2"/>
          <w:lang w:val="en-GB"/>
        </w:rPr>
        <w:t>,</w:t>
      </w:r>
      <w:r w:rsidRPr="00303B08">
        <w:rPr>
          <w:spacing w:val="-2"/>
          <w:lang w:val="en-GB"/>
        </w:rPr>
        <w:t xml:space="preserve"> and biodiesel. Some local players, including </w:t>
      </w:r>
      <w:r w:rsidR="00CD2DF4" w:rsidRPr="00303B08">
        <w:rPr>
          <w:spacing w:val="-2"/>
          <w:lang w:val="en-GB"/>
        </w:rPr>
        <w:t>Indo</w:t>
      </w:r>
      <w:r w:rsidR="00854852" w:rsidRPr="00303B08">
        <w:rPr>
          <w:spacing w:val="-2"/>
          <w:lang w:val="en-GB"/>
        </w:rPr>
        <w:t>food</w:t>
      </w:r>
      <w:r w:rsidR="00CD2DF4" w:rsidRPr="00303B08">
        <w:rPr>
          <w:spacing w:val="-2"/>
          <w:lang w:val="en-GB"/>
        </w:rPr>
        <w:t xml:space="preserve"> </w:t>
      </w:r>
      <w:r w:rsidRPr="00303B08">
        <w:rPr>
          <w:spacing w:val="-2"/>
          <w:lang w:val="en-GB"/>
        </w:rPr>
        <w:t xml:space="preserve">from Indonesia, also had consumer goods businesses </w:t>
      </w:r>
      <w:r w:rsidR="00CD2DF4" w:rsidRPr="00303B08">
        <w:rPr>
          <w:spacing w:val="-2"/>
          <w:lang w:val="en-GB"/>
        </w:rPr>
        <w:t xml:space="preserve">that competed </w:t>
      </w:r>
      <w:r w:rsidRPr="00303B08">
        <w:rPr>
          <w:spacing w:val="-2"/>
          <w:lang w:val="en-GB"/>
        </w:rPr>
        <w:t>with the global FMCGs</w:t>
      </w:r>
      <w:r w:rsidR="00CD2DF4" w:rsidRPr="00303B08">
        <w:rPr>
          <w:spacing w:val="-2"/>
          <w:lang w:val="en-GB"/>
        </w:rPr>
        <w:t xml:space="preserve">; </w:t>
      </w:r>
      <w:r w:rsidRPr="00303B08">
        <w:rPr>
          <w:spacing w:val="-2"/>
          <w:lang w:val="en-GB"/>
        </w:rPr>
        <w:t>but most</w:t>
      </w:r>
      <w:r w:rsidR="00CD2DF4" w:rsidRPr="00303B08">
        <w:rPr>
          <w:spacing w:val="-2"/>
          <w:lang w:val="en-GB"/>
        </w:rPr>
        <w:t>, including IOI,</w:t>
      </w:r>
      <w:r w:rsidRPr="00303B08">
        <w:rPr>
          <w:spacing w:val="-2"/>
          <w:lang w:val="en-GB"/>
        </w:rPr>
        <w:t xml:space="preserve"> focused on </w:t>
      </w:r>
      <w:r w:rsidR="00CD2DF4" w:rsidRPr="00303B08">
        <w:rPr>
          <w:spacing w:val="-2"/>
          <w:lang w:val="en-GB"/>
        </w:rPr>
        <w:t>business-to-</w:t>
      </w:r>
      <w:r w:rsidRPr="00303B08">
        <w:rPr>
          <w:spacing w:val="-2"/>
          <w:lang w:val="en-GB"/>
        </w:rPr>
        <w:t>business</w:t>
      </w:r>
      <w:r w:rsidR="00CD2DF4" w:rsidRPr="00303B08">
        <w:rPr>
          <w:spacing w:val="-2"/>
          <w:lang w:val="en-GB"/>
        </w:rPr>
        <w:t xml:space="preserve"> sales</w:t>
      </w:r>
      <w:r w:rsidRPr="00303B08">
        <w:rPr>
          <w:spacing w:val="-2"/>
          <w:lang w:val="en-GB"/>
        </w:rPr>
        <w:t xml:space="preserve">. </w:t>
      </w:r>
      <w:r w:rsidR="00CD2DF4" w:rsidRPr="00303B08">
        <w:rPr>
          <w:spacing w:val="-2"/>
          <w:lang w:val="en-GB"/>
        </w:rPr>
        <w:t xml:space="preserve">IOI made a significant move </w:t>
      </w:r>
      <w:r w:rsidRPr="00303B08">
        <w:rPr>
          <w:spacing w:val="-2"/>
          <w:lang w:val="en-GB"/>
        </w:rPr>
        <w:t>into resource-based manufacturing in 1997</w:t>
      </w:r>
      <w:r w:rsidR="00CD2DF4" w:rsidRPr="00303B08">
        <w:rPr>
          <w:spacing w:val="-2"/>
          <w:lang w:val="en-GB"/>
        </w:rPr>
        <w:t>, when i</w:t>
      </w:r>
      <w:r w:rsidRPr="00303B08">
        <w:rPr>
          <w:spacing w:val="-2"/>
          <w:lang w:val="en-GB"/>
        </w:rPr>
        <w:t xml:space="preserve">t acquired </w:t>
      </w:r>
      <w:proofErr w:type="spellStart"/>
      <w:r w:rsidRPr="00303B08">
        <w:rPr>
          <w:spacing w:val="-2"/>
          <w:lang w:val="en-GB"/>
        </w:rPr>
        <w:t>Palmco</w:t>
      </w:r>
      <w:proofErr w:type="spellEnd"/>
      <w:r w:rsidR="007828A7" w:rsidRPr="00303B08">
        <w:rPr>
          <w:spacing w:val="-2"/>
          <w:lang w:val="en-GB"/>
        </w:rPr>
        <w:t xml:space="preserve"> Holdings</w:t>
      </w:r>
      <w:r w:rsidRPr="00303B08">
        <w:rPr>
          <w:spacing w:val="-2"/>
          <w:lang w:val="en-GB"/>
        </w:rPr>
        <w:t xml:space="preserve">, a pioneer in </w:t>
      </w:r>
      <w:proofErr w:type="spellStart"/>
      <w:r w:rsidRPr="00303B08">
        <w:rPr>
          <w:spacing w:val="-2"/>
          <w:lang w:val="en-GB"/>
        </w:rPr>
        <w:t>oleochemical</w:t>
      </w:r>
      <w:proofErr w:type="spellEnd"/>
      <w:r w:rsidRPr="00303B08">
        <w:rPr>
          <w:spacing w:val="-2"/>
          <w:lang w:val="en-GB"/>
        </w:rPr>
        <w:t xml:space="preserve"> manufacturing in Malaysia. Later, in 2002, it acquired </w:t>
      </w:r>
      <w:proofErr w:type="spellStart"/>
      <w:r w:rsidRPr="00303B08">
        <w:rPr>
          <w:spacing w:val="-2"/>
          <w:lang w:val="en-GB"/>
        </w:rPr>
        <w:t>Loders</w:t>
      </w:r>
      <w:proofErr w:type="spellEnd"/>
      <w:r w:rsidRPr="00303B08">
        <w:rPr>
          <w:spacing w:val="-2"/>
          <w:lang w:val="en-GB"/>
        </w:rPr>
        <w:t xml:space="preserve"> </w:t>
      </w:r>
      <w:proofErr w:type="spellStart"/>
      <w:r w:rsidRPr="00303B08">
        <w:rPr>
          <w:spacing w:val="-2"/>
          <w:lang w:val="en-GB"/>
        </w:rPr>
        <w:t>Croklaan</w:t>
      </w:r>
      <w:proofErr w:type="spellEnd"/>
      <w:r w:rsidRPr="00303B08">
        <w:rPr>
          <w:spacing w:val="-2"/>
          <w:lang w:val="en-GB"/>
        </w:rPr>
        <w:t xml:space="preserve">, formerly part of Unilever, a specialty fats manufacturer with substantial </w:t>
      </w:r>
      <w:r w:rsidR="007828A7" w:rsidRPr="00303B08">
        <w:rPr>
          <w:spacing w:val="-2"/>
          <w:lang w:val="en-GB"/>
        </w:rPr>
        <w:t>research and development (</w:t>
      </w:r>
      <w:r w:rsidRPr="00303B08">
        <w:rPr>
          <w:spacing w:val="-2"/>
          <w:lang w:val="en-GB"/>
        </w:rPr>
        <w:t>R&amp;D</w:t>
      </w:r>
      <w:r w:rsidR="007828A7" w:rsidRPr="00303B08">
        <w:rPr>
          <w:spacing w:val="-2"/>
          <w:lang w:val="en-GB"/>
        </w:rPr>
        <w:t>)</w:t>
      </w:r>
      <w:r w:rsidRPr="00303B08">
        <w:rPr>
          <w:spacing w:val="-2"/>
          <w:lang w:val="en-GB"/>
        </w:rPr>
        <w:t xml:space="preserve"> capacity </w:t>
      </w:r>
      <w:r w:rsidR="00627D34" w:rsidRPr="00303B08">
        <w:rPr>
          <w:spacing w:val="-2"/>
          <w:lang w:val="en-GB"/>
        </w:rPr>
        <w:t>in the</w:t>
      </w:r>
      <w:r w:rsidRPr="00303B08">
        <w:rPr>
          <w:spacing w:val="-2"/>
          <w:lang w:val="en-GB"/>
        </w:rPr>
        <w:t xml:space="preserve"> </w:t>
      </w:r>
      <w:r w:rsidR="007828A7" w:rsidRPr="00303B08">
        <w:rPr>
          <w:spacing w:val="-2"/>
          <w:lang w:val="en-GB"/>
        </w:rPr>
        <w:t xml:space="preserve">European Union </w:t>
      </w:r>
      <w:r w:rsidRPr="00303B08">
        <w:rPr>
          <w:spacing w:val="-2"/>
          <w:lang w:val="en-GB"/>
        </w:rPr>
        <w:t xml:space="preserve">and </w:t>
      </w:r>
      <w:r w:rsidR="007828A7" w:rsidRPr="00303B08">
        <w:rPr>
          <w:spacing w:val="-2"/>
          <w:lang w:val="en-GB"/>
        </w:rPr>
        <w:t>the United States.</w:t>
      </w:r>
      <w:r w:rsidRPr="00303B08">
        <w:rPr>
          <w:spacing w:val="-2"/>
          <w:lang w:val="en-GB"/>
        </w:rPr>
        <w:t xml:space="preserve"> Th</w:t>
      </w:r>
      <w:r w:rsidR="00D64A9B">
        <w:rPr>
          <w:spacing w:val="-2"/>
          <w:lang w:val="en-GB"/>
        </w:rPr>
        <w:t>ose</w:t>
      </w:r>
      <w:r w:rsidRPr="00303B08">
        <w:rPr>
          <w:spacing w:val="-2"/>
          <w:lang w:val="en-GB"/>
        </w:rPr>
        <w:t xml:space="preserve"> two regions </w:t>
      </w:r>
      <w:r w:rsidR="007828A7" w:rsidRPr="00303B08">
        <w:rPr>
          <w:spacing w:val="-2"/>
          <w:lang w:val="en-GB"/>
        </w:rPr>
        <w:t>accounted for</w:t>
      </w:r>
      <w:r w:rsidRPr="00303B08">
        <w:rPr>
          <w:spacing w:val="-2"/>
          <w:lang w:val="en-GB"/>
        </w:rPr>
        <w:t xml:space="preserve"> 15</w:t>
      </w:r>
      <w:r w:rsidR="007828A7" w:rsidRPr="00303B08">
        <w:rPr>
          <w:spacing w:val="-2"/>
          <w:lang w:val="en-GB"/>
        </w:rPr>
        <w:t xml:space="preserve"> per cent </w:t>
      </w:r>
      <w:r w:rsidRPr="00303B08">
        <w:rPr>
          <w:spacing w:val="-2"/>
          <w:lang w:val="en-GB"/>
        </w:rPr>
        <w:t xml:space="preserve">of IOI’s total assets after the acquisition. This </w:t>
      </w:r>
      <w:r w:rsidR="007828A7" w:rsidRPr="00303B08">
        <w:rPr>
          <w:spacing w:val="-2"/>
          <w:lang w:val="en-GB"/>
        </w:rPr>
        <w:t xml:space="preserve">simultaneously </w:t>
      </w:r>
      <w:r w:rsidRPr="00303B08">
        <w:rPr>
          <w:spacing w:val="-2"/>
          <w:lang w:val="en-GB"/>
        </w:rPr>
        <w:t xml:space="preserve">turned the family-run IOI into a “mini-multinational” </w:t>
      </w:r>
      <w:r w:rsidR="007828A7" w:rsidRPr="00303B08">
        <w:rPr>
          <w:spacing w:val="-2"/>
          <w:lang w:val="en-GB"/>
        </w:rPr>
        <w:t>and the f</w:t>
      </w:r>
      <w:r w:rsidR="00D64A9B">
        <w:rPr>
          <w:spacing w:val="-2"/>
          <w:lang w:val="en-GB"/>
        </w:rPr>
        <w:t>ront-</w:t>
      </w:r>
      <w:r w:rsidR="007828A7" w:rsidRPr="00303B08">
        <w:rPr>
          <w:spacing w:val="-2"/>
          <w:lang w:val="en-GB"/>
        </w:rPr>
        <w:t xml:space="preserve">runner </w:t>
      </w:r>
      <w:r w:rsidRPr="00303B08">
        <w:rPr>
          <w:spacing w:val="-2"/>
          <w:lang w:val="en-GB"/>
        </w:rPr>
        <w:t xml:space="preserve">among palm oil players </w:t>
      </w:r>
      <w:r w:rsidR="007828A7" w:rsidRPr="00303B08">
        <w:rPr>
          <w:spacing w:val="-2"/>
          <w:lang w:val="en-GB"/>
        </w:rPr>
        <w:t>in these developed markets</w:t>
      </w:r>
      <w:r w:rsidRPr="00303B08">
        <w:rPr>
          <w:spacing w:val="-2"/>
          <w:lang w:val="en-GB"/>
        </w:rPr>
        <w:t xml:space="preserve">. </w:t>
      </w:r>
    </w:p>
    <w:p w14:paraId="4172A71C" w14:textId="77777777" w:rsidR="00CD53A5" w:rsidRPr="00D65FC4" w:rsidRDefault="00CD53A5" w:rsidP="00CD53A5">
      <w:pPr>
        <w:pStyle w:val="BodyTextMain"/>
        <w:rPr>
          <w:sz w:val="20"/>
          <w:lang w:val="en-GB"/>
        </w:rPr>
      </w:pPr>
    </w:p>
    <w:p w14:paraId="6681B62F" w14:textId="77777777" w:rsidR="00CD53A5" w:rsidRPr="00D65FC4" w:rsidRDefault="00CD53A5" w:rsidP="00CD53A5">
      <w:pPr>
        <w:pStyle w:val="BodyTextMain"/>
        <w:rPr>
          <w:sz w:val="20"/>
          <w:lang w:val="en-GB"/>
        </w:rPr>
      </w:pPr>
    </w:p>
    <w:p w14:paraId="19372130" w14:textId="795BD415" w:rsidR="00CD53A5" w:rsidRPr="006E28CD" w:rsidRDefault="00CD53A5" w:rsidP="00CD53A5">
      <w:pPr>
        <w:pStyle w:val="Casehead1"/>
        <w:rPr>
          <w:lang w:val="en-GB"/>
        </w:rPr>
      </w:pPr>
      <w:r w:rsidRPr="006E28CD">
        <w:rPr>
          <w:lang w:val="en-GB"/>
        </w:rPr>
        <w:t>IOI Loders Croklaan: The mini-multinational</w:t>
      </w:r>
    </w:p>
    <w:p w14:paraId="7300E86E" w14:textId="77777777" w:rsidR="00CD53A5" w:rsidRPr="00D65FC4" w:rsidRDefault="00CD53A5" w:rsidP="00CD53A5">
      <w:pPr>
        <w:pStyle w:val="BodyTextMain"/>
        <w:rPr>
          <w:sz w:val="20"/>
          <w:lang w:val="en-GB"/>
        </w:rPr>
      </w:pPr>
    </w:p>
    <w:p w14:paraId="108096AF" w14:textId="35774F69" w:rsidR="00CD53A5" w:rsidRPr="006E28CD" w:rsidRDefault="00CD53A5" w:rsidP="00714B74">
      <w:pPr>
        <w:pStyle w:val="BodyTextMain"/>
        <w:rPr>
          <w:lang w:val="en-GB"/>
        </w:rPr>
      </w:pPr>
      <w:r w:rsidRPr="006E28CD">
        <w:rPr>
          <w:lang w:val="en-GB"/>
        </w:rPr>
        <w:t>The integration of the former Unilever division</w:t>
      </w:r>
      <w:r w:rsidR="002952C4" w:rsidRPr="006E28CD">
        <w:rPr>
          <w:lang w:val="en-GB"/>
        </w:rPr>
        <w:t xml:space="preserve">, </w:t>
      </w:r>
      <w:proofErr w:type="spellStart"/>
      <w:r w:rsidR="002952C4" w:rsidRPr="006E28CD">
        <w:rPr>
          <w:lang w:val="en-GB"/>
        </w:rPr>
        <w:t>Loders</w:t>
      </w:r>
      <w:proofErr w:type="spellEnd"/>
      <w:r w:rsidR="002952C4" w:rsidRPr="006E28CD">
        <w:rPr>
          <w:lang w:val="en-GB"/>
        </w:rPr>
        <w:t xml:space="preserve"> </w:t>
      </w:r>
      <w:proofErr w:type="spellStart"/>
      <w:r w:rsidR="002952C4" w:rsidRPr="006E28CD">
        <w:rPr>
          <w:lang w:val="en-GB"/>
        </w:rPr>
        <w:t>Croklaan</w:t>
      </w:r>
      <w:proofErr w:type="spellEnd"/>
      <w:r w:rsidR="002952C4" w:rsidRPr="006E28CD">
        <w:rPr>
          <w:lang w:val="en-GB"/>
        </w:rPr>
        <w:t xml:space="preserve">, </w:t>
      </w:r>
      <w:r w:rsidRPr="006E28CD">
        <w:rPr>
          <w:lang w:val="en-GB"/>
        </w:rPr>
        <w:t xml:space="preserve">into IOI posed </w:t>
      </w:r>
      <w:r w:rsidR="002952C4" w:rsidRPr="006E28CD">
        <w:rPr>
          <w:lang w:val="en-GB"/>
        </w:rPr>
        <w:t xml:space="preserve">both </w:t>
      </w:r>
      <w:r w:rsidRPr="006E28CD">
        <w:rPr>
          <w:lang w:val="en-GB"/>
        </w:rPr>
        <w:t xml:space="preserve">challenges and opportunities. Personalized hands-on monitoring became more challenging with so many new overseas employees, </w:t>
      </w:r>
      <w:r w:rsidR="002952C4" w:rsidRPr="006E28CD">
        <w:rPr>
          <w:lang w:val="en-GB"/>
        </w:rPr>
        <w:t xml:space="preserve">including </w:t>
      </w:r>
      <w:r w:rsidRPr="006E28CD">
        <w:rPr>
          <w:lang w:val="en-GB"/>
        </w:rPr>
        <w:t>chemists with PhDs</w:t>
      </w:r>
      <w:r w:rsidR="002952C4" w:rsidRPr="006E28CD">
        <w:rPr>
          <w:lang w:val="en-GB"/>
        </w:rPr>
        <w:t>, who were</w:t>
      </w:r>
      <w:r w:rsidRPr="006E28CD">
        <w:rPr>
          <w:lang w:val="en-GB"/>
        </w:rPr>
        <w:t xml:space="preserve"> turning out patents. IOI needed to take into account the leaders’ constraints in terms of time and knowledge. Lee experimented with various approaches that could </w:t>
      </w:r>
      <w:proofErr w:type="spellStart"/>
      <w:r w:rsidRPr="006E28CD">
        <w:rPr>
          <w:lang w:val="en-GB"/>
        </w:rPr>
        <w:t>instill</w:t>
      </w:r>
      <w:proofErr w:type="spellEnd"/>
      <w:r w:rsidRPr="006E28CD">
        <w:rPr>
          <w:lang w:val="en-GB"/>
        </w:rPr>
        <w:t xml:space="preserve"> the distinct IOI culture of hands-on operational excellence, loyalty, and speed in decision</w:t>
      </w:r>
      <w:r w:rsidR="00313A8E">
        <w:rPr>
          <w:lang w:val="en-GB"/>
        </w:rPr>
        <w:t xml:space="preserve"> </w:t>
      </w:r>
      <w:r w:rsidR="00313A8E">
        <w:rPr>
          <w:lang w:val="en-GB"/>
        </w:rPr>
        <w:lastRenderedPageBreak/>
        <w:t>m</w:t>
      </w:r>
      <w:r w:rsidRPr="006E28CD">
        <w:rPr>
          <w:lang w:val="en-GB"/>
        </w:rPr>
        <w:t xml:space="preserve">aking, while also giving substantial autonomy to executives in the different markets. His approach worked. </w:t>
      </w:r>
      <w:r w:rsidR="00714B74" w:rsidRPr="006E28CD">
        <w:rPr>
          <w:lang w:val="en-GB"/>
        </w:rPr>
        <w:t>O</w:t>
      </w:r>
      <w:r w:rsidRPr="006E28CD">
        <w:rPr>
          <w:lang w:val="en-GB"/>
        </w:rPr>
        <w:t>ne executive</w:t>
      </w:r>
      <w:r w:rsidR="00714B74" w:rsidRPr="006E28CD">
        <w:rPr>
          <w:lang w:val="en-GB"/>
        </w:rPr>
        <w:t>,</w:t>
      </w:r>
      <w:r w:rsidRPr="006E28CD">
        <w:rPr>
          <w:lang w:val="en-GB"/>
        </w:rPr>
        <w:t xml:space="preserve"> </w:t>
      </w:r>
      <w:r w:rsidR="00714B74" w:rsidRPr="006E28CD">
        <w:rPr>
          <w:lang w:val="en-GB"/>
        </w:rPr>
        <w:t xml:space="preserve">IOI </w:t>
      </w:r>
      <w:proofErr w:type="spellStart"/>
      <w:r w:rsidR="00714B74" w:rsidRPr="006E28CD">
        <w:rPr>
          <w:lang w:val="en-GB"/>
        </w:rPr>
        <w:t>Loders</w:t>
      </w:r>
      <w:proofErr w:type="spellEnd"/>
      <w:r w:rsidR="00714B74" w:rsidRPr="006E28CD">
        <w:rPr>
          <w:lang w:val="en-GB"/>
        </w:rPr>
        <w:t xml:space="preserve"> </w:t>
      </w:r>
      <w:proofErr w:type="spellStart"/>
      <w:r w:rsidR="00714B74" w:rsidRPr="006E28CD">
        <w:rPr>
          <w:lang w:val="en-GB"/>
        </w:rPr>
        <w:t>Croklaan’s</w:t>
      </w:r>
      <w:proofErr w:type="spellEnd"/>
      <w:r w:rsidR="00714B74" w:rsidRPr="006E28CD">
        <w:rPr>
          <w:lang w:val="en-GB"/>
        </w:rPr>
        <w:t xml:space="preserve"> Chief Business Development Officer Manuel </w:t>
      </w:r>
      <w:proofErr w:type="spellStart"/>
      <w:r w:rsidR="00714B74" w:rsidRPr="006E28CD">
        <w:rPr>
          <w:lang w:val="en-GB"/>
        </w:rPr>
        <w:t>Laborde</w:t>
      </w:r>
      <w:proofErr w:type="spellEnd"/>
      <w:r w:rsidR="00714B74" w:rsidRPr="006E28CD">
        <w:rPr>
          <w:lang w:val="en-GB"/>
        </w:rPr>
        <w:t xml:space="preserve">, </w:t>
      </w:r>
      <w:r w:rsidRPr="006E28CD">
        <w:rPr>
          <w:lang w:val="en-GB"/>
        </w:rPr>
        <w:t xml:space="preserve">compared the Unilever and IOI parentage: </w:t>
      </w:r>
      <w:r w:rsidR="00714B74" w:rsidRPr="006E28CD">
        <w:rPr>
          <w:lang w:val="en-GB"/>
        </w:rPr>
        <w:t>“</w:t>
      </w:r>
      <w:r w:rsidRPr="006E28CD">
        <w:rPr>
          <w:lang w:val="en-GB"/>
        </w:rPr>
        <w:t>IOI very quickly came in and set the tone of accountability, hands-on management</w:t>
      </w:r>
      <w:r w:rsidR="00313A8E">
        <w:rPr>
          <w:lang w:val="en-GB"/>
        </w:rPr>
        <w:t>,</w:t>
      </w:r>
      <w:r w:rsidRPr="006E28CD">
        <w:rPr>
          <w:lang w:val="en-GB"/>
        </w:rPr>
        <w:t xml:space="preserve"> and excellence</w:t>
      </w:r>
      <w:r w:rsidR="00313A8E">
        <w:rPr>
          <w:lang w:val="en-GB"/>
        </w:rPr>
        <w:t>—</w:t>
      </w:r>
      <w:r w:rsidRPr="006E28CD">
        <w:rPr>
          <w:lang w:val="en-GB"/>
        </w:rPr>
        <w:t>results oriented. It was a change, but a welcome change to move faster. Most of the things that were accomplished were very impressive.</w:t>
      </w:r>
      <w:r w:rsidR="00714B74" w:rsidRPr="006E28CD">
        <w:rPr>
          <w:lang w:val="en-GB"/>
        </w:rPr>
        <w:t>”</w:t>
      </w:r>
    </w:p>
    <w:p w14:paraId="4FB75CE7" w14:textId="77777777" w:rsidR="00CD53A5" w:rsidRPr="00D65FC4" w:rsidRDefault="00CD53A5" w:rsidP="003D6CF7">
      <w:pPr>
        <w:pStyle w:val="BodyTextMain"/>
        <w:jc w:val="left"/>
        <w:rPr>
          <w:i/>
          <w:sz w:val="20"/>
          <w:lang w:val="en-GB"/>
        </w:rPr>
      </w:pPr>
    </w:p>
    <w:p w14:paraId="4873F2D1" w14:textId="77190381" w:rsidR="00CD53A5" w:rsidRPr="006E28CD" w:rsidRDefault="00CD53A5" w:rsidP="00CD53A5">
      <w:pPr>
        <w:pStyle w:val="BodyTextMain"/>
        <w:rPr>
          <w:lang w:val="en-GB"/>
        </w:rPr>
      </w:pPr>
      <w:r w:rsidRPr="006E28CD">
        <w:rPr>
          <w:lang w:val="en-GB"/>
        </w:rPr>
        <w:t xml:space="preserve">Subsequently, the Lee family expanded aggressively in Europe and North America by increasing capacity. The </w:t>
      </w:r>
      <w:r w:rsidR="00714B74" w:rsidRPr="006E28CD">
        <w:rPr>
          <w:lang w:val="en-GB"/>
        </w:rPr>
        <w:t xml:space="preserve">2017 </w:t>
      </w:r>
      <w:r w:rsidRPr="006E28CD">
        <w:rPr>
          <w:lang w:val="en-GB"/>
        </w:rPr>
        <w:t>annual report showed that approximately half of IOI’s revenues were derived from developed markets, far more than its competitors</w:t>
      </w:r>
      <w:r w:rsidR="009861CA">
        <w:rPr>
          <w:lang w:val="en-GB"/>
        </w:rPr>
        <w:t>’ revenues</w:t>
      </w:r>
      <w:r w:rsidRPr="006E28CD">
        <w:rPr>
          <w:lang w:val="en-GB"/>
        </w:rPr>
        <w:t xml:space="preserve">. Competitors also invested in developed markets, but </w:t>
      </w:r>
      <w:r w:rsidR="00B20791" w:rsidRPr="006E28CD">
        <w:rPr>
          <w:lang w:val="en-GB"/>
        </w:rPr>
        <w:t xml:space="preserve">they </w:t>
      </w:r>
      <w:r w:rsidRPr="006E28CD">
        <w:rPr>
          <w:lang w:val="en-GB"/>
        </w:rPr>
        <w:t xml:space="preserve">focused much more on </w:t>
      </w:r>
      <w:r w:rsidR="00B20791" w:rsidRPr="006E28CD">
        <w:rPr>
          <w:lang w:val="en-GB"/>
        </w:rPr>
        <w:t xml:space="preserve">expansions to </w:t>
      </w:r>
      <w:r w:rsidRPr="006E28CD">
        <w:rPr>
          <w:lang w:val="en-GB"/>
        </w:rPr>
        <w:t xml:space="preserve">their plantations and manufacturing plants in emerging markets, </w:t>
      </w:r>
      <w:r w:rsidR="00B20791" w:rsidRPr="006E28CD">
        <w:rPr>
          <w:lang w:val="en-GB"/>
        </w:rPr>
        <w:t>which had</w:t>
      </w:r>
      <w:r w:rsidRPr="006E28CD">
        <w:rPr>
          <w:lang w:val="en-GB"/>
        </w:rPr>
        <w:t xml:space="preserve"> greater volume and growth. IOI did not move into biodiesel. </w:t>
      </w:r>
    </w:p>
    <w:p w14:paraId="23372128" w14:textId="77777777" w:rsidR="00CD53A5" w:rsidRPr="00D65FC4" w:rsidRDefault="00CD53A5" w:rsidP="00CD53A5">
      <w:pPr>
        <w:pStyle w:val="BodyTextMain"/>
        <w:rPr>
          <w:sz w:val="20"/>
          <w:lang w:val="en-GB"/>
        </w:rPr>
      </w:pPr>
    </w:p>
    <w:p w14:paraId="14FFBE38" w14:textId="77830939" w:rsidR="00CD53A5" w:rsidRPr="006E28CD" w:rsidRDefault="00B20791" w:rsidP="00CD53A5">
      <w:pPr>
        <w:pStyle w:val="BodyTextMain"/>
        <w:rPr>
          <w:lang w:val="en-GB"/>
        </w:rPr>
      </w:pPr>
      <w:r w:rsidRPr="006E28CD">
        <w:rPr>
          <w:lang w:val="en-GB"/>
        </w:rPr>
        <w:t>T</w:t>
      </w:r>
      <w:r w:rsidR="00CD53A5" w:rsidRPr="006E28CD">
        <w:rPr>
          <w:lang w:val="en-GB"/>
        </w:rPr>
        <w:t>hese bold actions</w:t>
      </w:r>
      <w:r w:rsidRPr="006E28CD">
        <w:rPr>
          <w:lang w:val="en-GB"/>
        </w:rPr>
        <w:t xml:space="preserve"> provided </w:t>
      </w:r>
      <w:r w:rsidR="00CD53A5" w:rsidRPr="006E28CD">
        <w:rPr>
          <w:lang w:val="en-GB"/>
        </w:rPr>
        <w:t xml:space="preserve">IOI </w:t>
      </w:r>
      <w:r w:rsidRPr="006E28CD">
        <w:rPr>
          <w:lang w:val="en-GB"/>
        </w:rPr>
        <w:t>with an</w:t>
      </w:r>
      <w:r w:rsidR="00CD53A5" w:rsidRPr="006E28CD">
        <w:rPr>
          <w:lang w:val="en-GB"/>
        </w:rPr>
        <w:t xml:space="preserve"> opportunity to stand out by positioning itself strategically with a sustainable, efficient</w:t>
      </w:r>
      <w:r w:rsidR="006E28CD" w:rsidRPr="006E28CD">
        <w:rPr>
          <w:lang w:val="en-GB"/>
        </w:rPr>
        <w:t>,</w:t>
      </w:r>
      <w:r w:rsidR="00CD53A5" w:rsidRPr="006E28CD">
        <w:rPr>
          <w:lang w:val="en-GB"/>
        </w:rPr>
        <w:t xml:space="preserve"> and fully integrated supply chain, particularly in developed markets. The integrated approach was designed to generate higher margins and reduce volatility</w:t>
      </w:r>
      <w:r w:rsidRPr="006E28CD">
        <w:rPr>
          <w:lang w:val="en-GB"/>
        </w:rPr>
        <w:t xml:space="preserve">, </w:t>
      </w:r>
      <w:r w:rsidR="00CD53A5" w:rsidRPr="006E28CD">
        <w:rPr>
          <w:lang w:val="en-GB"/>
        </w:rPr>
        <w:t xml:space="preserve">and the stock of patents acquired </w:t>
      </w:r>
      <w:r w:rsidRPr="006E28CD">
        <w:rPr>
          <w:lang w:val="en-GB"/>
        </w:rPr>
        <w:t>through</w:t>
      </w:r>
      <w:r w:rsidR="00CD53A5" w:rsidRPr="006E28CD">
        <w:rPr>
          <w:lang w:val="en-GB"/>
        </w:rPr>
        <w:t xml:space="preserve"> IOI </w:t>
      </w:r>
      <w:proofErr w:type="spellStart"/>
      <w:r w:rsidR="00CD53A5" w:rsidRPr="006E28CD">
        <w:rPr>
          <w:lang w:val="en-GB"/>
        </w:rPr>
        <w:t>Loders</w:t>
      </w:r>
      <w:proofErr w:type="spellEnd"/>
      <w:r w:rsidR="00CD53A5" w:rsidRPr="006E28CD">
        <w:rPr>
          <w:lang w:val="en-GB"/>
        </w:rPr>
        <w:t xml:space="preserve"> </w:t>
      </w:r>
      <w:proofErr w:type="spellStart"/>
      <w:r w:rsidR="00CD53A5" w:rsidRPr="006E28CD">
        <w:rPr>
          <w:lang w:val="en-GB"/>
        </w:rPr>
        <w:t>Croklaan</w:t>
      </w:r>
      <w:proofErr w:type="spellEnd"/>
      <w:r w:rsidR="00CD53A5" w:rsidRPr="006E28CD">
        <w:rPr>
          <w:lang w:val="en-GB"/>
        </w:rPr>
        <w:t xml:space="preserve"> provided a springboard to more innovative products with greater value added. </w:t>
      </w:r>
    </w:p>
    <w:p w14:paraId="32313725" w14:textId="77777777" w:rsidR="00CD53A5" w:rsidRPr="00D65FC4" w:rsidRDefault="00CD53A5" w:rsidP="00CD53A5">
      <w:pPr>
        <w:pStyle w:val="BodyTextMain"/>
        <w:rPr>
          <w:sz w:val="20"/>
          <w:lang w:val="en-GB"/>
        </w:rPr>
      </w:pPr>
    </w:p>
    <w:p w14:paraId="251D6740" w14:textId="5B500871" w:rsidR="00CD53A5" w:rsidRPr="00D65FC4" w:rsidRDefault="00CD53A5" w:rsidP="00CD53A5">
      <w:pPr>
        <w:pStyle w:val="BodyTextMain"/>
        <w:rPr>
          <w:spacing w:val="-2"/>
          <w:lang w:val="en-GB"/>
        </w:rPr>
      </w:pPr>
      <w:r w:rsidRPr="00D65FC4">
        <w:rPr>
          <w:spacing w:val="-2"/>
          <w:lang w:val="en-GB"/>
        </w:rPr>
        <w:t xml:space="preserve">Plantation companies, as commodity players, were typically focused on cost and </w:t>
      </w:r>
      <w:r w:rsidR="00B20791" w:rsidRPr="00D65FC4">
        <w:rPr>
          <w:spacing w:val="-2"/>
          <w:lang w:val="en-GB"/>
        </w:rPr>
        <w:t xml:space="preserve">were </w:t>
      </w:r>
      <w:r w:rsidRPr="00D65FC4">
        <w:rPr>
          <w:spacing w:val="-2"/>
          <w:lang w:val="en-GB"/>
        </w:rPr>
        <w:t>not known for innovation. They tended to have low R&amp;D spending</w:t>
      </w:r>
      <w:r w:rsidR="00B20791" w:rsidRPr="00D65FC4">
        <w:rPr>
          <w:spacing w:val="-2"/>
          <w:lang w:val="en-GB"/>
        </w:rPr>
        <w:t>,</w:t>
      </w:r>
      <w:r w:rsidRPr="00D65FC4">
        <w:rPr>
          <w:spacing w:val="-2"/>
          <w:lang w:val="en-GB"/>
        </w:rPr>
        <w:t xml:space="preserve"> and IOI was no exception</w:t>
      </w:r>
      <w:r w:rsidR="00B20791" w:rsidRPr="00D65FC4">
        <w:rPr>
          <w:spacing w:val="-2"/>
          <w:lang w:val="en-GB"/>
        </w:rPr>
        <w:t xml:space="preserve">: it </w:t>
      </w:r>
      <w:r w:rsidRPr="00D65FC4">
        <w:rPr>
          <w:spacing w:val="-2"/>
          <w:lang w:val="en-GB"/>
        </w:rPr>
        <w:t xml:space="preserve">initially </w:t>
      </w:r>
      <w:r w:rsidR="00B20791" w:rsidRPr="00D65FC4">
        <w:rPr>
          <w:spacing w:val="-2"/>
          <w:lang w:val="en-GB"/>
        </w:rPr>
        <w:t xml:space="preserve">innovated </w:t>
      </w:r>
      <w:r w:rsidRPr="00D65FC4">
        <w:rPr>
          <w:spacing w:val="-2"/>
          <w:lang w:val="en-GB"/>
        </w:rPr>
        <w:t xml:space="preserve">mostly in terms of efficiency gains. </w:t>
      </w:r>
      <w:r w:rsidR="00B20791" w:rsidRPr="00D65FC4">
        <w:rPr>
          <w:spacing w:val="-2"/>
          <w:lang w:val="en-GB"/>
        </w:rPr>
        <w:t>However</w:t>
      </w:r>
      <w:r w:rsidRPr="00D65FC4">
        <w:rPr>
          <w:spacing w:val="-2"/>
          <w:lang w:val="en-GB"/>
        </w:rPr>
        <w:t xml:space="preserve">, with this new integrated supply chain approach, IOI </w:t>
      </w:r>
      <w:r w:rsidR="00B20791" w:rsidRPr="00D65FC4">
        <w:rPr>
          <w:spacing w:val="-2"/>
          <w:lang w:val="en-GB"/>
        </w:rPr>
        <w:t xml:space="preserve">increasingly </w:t>
      </w:r>
      <w:r w:rsidRPr="00D65FC4">
        <w:rPr>
          <w:spacing w:val="-2"/>
          <w:lang w:val="en-GB"/>
        </w:rPr>
        <w:t>sold to FMCGs with a customer-</w:t>
      </w:r>
      <w:r w:rsidR="00B20791" w:rsidRPr="00D65FC4">
        <w:rPr>
          <w:spacing w:val="-2"/>
          <w:lang w:val="en-GB"/>
        </w:rPr>
        <w:t xml:space="preserve">centred </w:t>
      </w:r>
      <w:r w:rsidRPr="00D65FC4">
        <w:rPr>
          <w:spacing w:val="-2"/>
          <w:lang w:val="en-GB"/>
        </w:rPr>
        <w:t>approach and innovative new products, manufacturing processes</w:t>
      </w:r>
      <w:r w:rsidR="00B20791" w:rsidRPr="00D65FC4">
        <w:rPr>
          <w:spacing w:val="-2"/>
          <w:lang w:val="en-GB"/>
        </w:rPr>
        <w:t>,</w:t>
      </w:r>
      <w:r w:rsidRPr="00D65FC4">
        <w:rPr>
          <w:spacing w:val="-2"/>
          <w:lang w:val="en-GB"/>
        </w:rPr>
        <w:t xml:space="preserve"> and applications. The acquisition of IOI </w:t>
      </w:r>
      <w:proofErr w:type="spellStart"/>
      <w:r w:rsidRPr="00D65FC4">
        <w:rPr>
          <w:spacing w:val="-2"/>
          <w:lang w:val="en-GB"/>
        </w:rPr>
        <w:t>Loders</w:t>
      </w:r>
      <w:proofErr w:type="spellEnd"/>
      <w:r w:rsidRPr="00D65FC4">
        <w:rPr>
          <w:spacing w:val="-2"/>
          <w:lang w:val="en-GB"/>
        </w:rPr>
        <w:t xml:space="preserve"> </w:t>
      </w:r>
      <w:proofErr w:type="spellStart"/>
      <w:r w:rsidRPr="00D65FC4">
        <w:rPr>
          <w:spacing w:val="-2"/>
          <w:lang w:val="en-GB"/>
        </w:rPr>
        <w:t>Croklaan’s</w:t>
      </w:r>
      <w:proofErr w:type="spellEnd"/>
      <w:r w:rsidRPr="00D65FC4">
        <w:rPr>
          <w:spacing w:val="-2"/>
          <w:lang w:val="en-GB"/>
        </w:rPr>
        <w:t xml:space="preserve"> R&amp;D capability helped propel IOI into a new league. </w:t>
      </w:r>
    </w:p>
    <w:p w14:paraId="740ECFCC" w14:textId="77777777" w:rsidR="00CD53A5" w:rsidRPr="00D65FC4" w:rsidRDefault="00CD53A5" w:rsidP="00CD53A5">
      <w:pPr>
        <w:pStyle w:val="BodyTextMain"/>
        <w:rPr>
          <w:sz w:val="20"/>
          <w:lang w:val="en-GB"/>
        </w:rPr>
      </w:pPr>
    </w:p>
    <w:p w14:paraId="7746C53C" w14:textId="77777777" w:rsidR="00CD53A5" w:rsidRPr="00D65FC4" w:rsidRDefault="00CD53A5" w:rsidP="00CD53A5">
      <w:pPr>
        <w:pStyle w:val="BodyTextMain"/>
        <w:rPr>
          <w:sz w:val="20"/>
          <w:lang w:val="en-GB"/>
        </w:rPr>
      </w:pPr>
    </w:p>
    <w:p w14:paraId="71098003" w14:textId="77777777" w:rsidR="00CD53A5" w:rsidRPr="006E28CD" w:rsidRDefault="00CD53A5" w:rsidP="00CD53A5">
      <w:pPr>
        <w:pStyle w:val="Casehead1"/>
        <w:rPr>
          <w:lang w:val="en-GB"/>
        </w:rPr>
      </w:pPr>
      <w:r w:rsidRPr="006E28CD">
        <w:rPr>
          <w:lang w:val="en-GB"/>
        </w:rPr>
        <w:t>Specialty fats: The growth strategy</w:t>
      </w:r>
    </w:p>
    <w:p w14:paraId="1480DE9D" w14:textId="77777777" w:rsidR="00CD53A5" w:rsidRPr="00D65FC4" w:rsidRDefault="00CD53A5" w:rsidP="00CD53A5">
      <w:pPr>
        <w:pStyle w:val="BodyTextMain"/>
        <w:rPr>
          <w:sz w:val="20"/>
          <w:lang w:val="en-GB"/>
        </w:rPr>
      </w:pPr>
    </w:p>
    <w:p w14:paraId="2EE8F9B0" w14:textId="1350E4FC" w:rsidR="00CD53A5" w:rsidRPr="006E28CD" w:rsidRDefault="00CD53A5" w:rsidP="00CD53A5">
      <w:pPr>
        <w:pStyle w:val="BodyTextMain"/>
        <w:rPr>
          <w:lang w:val="en-GB"/>
        </w:rPr>
      </w:pPr>
      <w:r w:rsidRPr="006E28CD">
        <w:rPr>
          <w:lang w:val="en-GB"/>
        </w:rPr>
        <w:t>In 2013</w:t>
      </w:r>
      <w:r w:rsidR="00B20791" w:rsidRPr="006E28CD">
        <w:rPr>
          <w:lang w:val="en-GB"/>
        </w:rPr>
        <w:t>,</w:t>
      </w:r>
      <w:r w:rsidRPr="006E28CD">
        <w:rPr>
          <w:lang w:val="en-GB"/>
        </w:rPr>
        <w:t xml:space="preserve"> Lee appointed Julian Veitch as CEO </w:t>
      </w:r>
      <w:r w:rsidR="00B20791" w:rsidRPr="006E28CD">
        <w:rPr>
          <w:lang w:val="en-GB"/>
        </w:rPr>
        <w:t>of</w:t>
      </w:r>
      <w:r w:rsidRPr="006E28CD">
        <w:rPr>
          <w:lang w:val="en-GB"/>
        </w:rPr>
        <w:t xml:space="preserve"> IOI </w:t>
      </w:r>
      <w:proofErr w:type="spellStart"/>
      <w:r w:rsidRPr="006E28CD">
        <w:rPr>
          <w:lang w:val="en-GB"/>
        </w:rPr>
        <w:t>Loders</w:t>
      </w:r>
      <w:proofErr w:type="spellEnd"/>
      <w:r w:rsidRPr="006E28CD">
        <w:rPr>
          <w:lang w:val="en-GB"/>
        </w:rPr>
        <w:t xml:space="preserve"> </w:t>
      </w:r>
      <w:proofErr w:type="spellStart"/>
      <w:r w:rsidRPr="006E28CD">
        <w:rPr>
          <w:lang w:val="en-GB"/>
        </w:rPr>
        <w:t>Croklaan</w:t>
      </w:r>
      <w:proofErr w:type="spellEnd"/>
      <w:r w:rsidRPr="006E28CD">
        <w:rPr>
          <w:lang w:val="en-GB"/>
        </w:rPr>
        <w:t xml:space="preserve">, the former Unilever division. He was supported by </w:t>
      </w:r>
      <w:r w:rsidR="00B20791" w:rsidRPr="006E28CD">
        <w:rPr>
          <w:lang w:val="en-GB"/>
        </w:rPr>
        <w:t xml:space="preserve">chief operating officers </w:t>
      </w:r>
      <w:r w:rsidRPr="006E28CD">
        <w:rPr>
          <w:lang w:val="en-GB"/>
        </w:rPr>
        <w:t xml:space="preserve">for </w:t>
      </w:r>
      <w:r w:rsidR="00B20791" w:rsidRPr="006E28CD">
        <w:rPr>
          <w:lang w:val="en-GB"/>
        </w:rPr>
        <w:t>the three</w:t>
      </w:r>
      <w:r w:rsidRPr="006E28CD">
        <w:rPr>
          <w:lang w:val="en-GB"/>
        </w:rPr>
        <w:t xml:space="preserve"> region</w:t>
      </w:r>
      <w:r w:rsidR="00B20791" w:rsidRPr="006E28CD">
        <w:rPr>
          <w:lang w:val="en-GB"/>
        </w:rPr>
        <w:t xml:space="preserve">s of Europe, the United States, </w:t>
      </w:r>
      <w:r w:rsidRPr="006E28CD">
        <w:rPr>
          <w:lang w:val="en-GB"/>
        </w:rPr>
        <w:t xml:space="preserve">and Asia. Veitch had recently come up with a bold plan: to double </w:t>
      </w:r>
      <w:r w:rsidR="00B20791" w:rsidRPr="006E28CD">
        <w:rPr>
          <w:lang w:val="en-GB"/>
        </w:rPr>
        <w:t xml:space="preserve">business </w:t>
      </w:r>
      <w:r w:rsidRPr="006E28CD">
        <w:rPr>
          <w:lang w:val="en-GB"/>
        </w:rPr>
        <w:t xml:space="preserve">volume and triple profits by 2025. To achieve this, he focused on accelerating two avenues of growth: </w:t>
      </w:r>
      <w:r w:rsidR="00B20791" w:rsidRPr="006E28CD">
        <w:rPr>
          <w:lang w:val="en-GB"/>
        </w:rPr>
        <w:t xml:space="preserve">(1) </w:t>
      </w:r>
      <w:r w:rsidRPr="006E28CD">
        <w:rPr>
          <w:lang w:val="en-GB"/>
        </w:rPr>
        <w:t xml:space="preserve">creating new products </w:t>
      </w:r>
      <w:r w:rsidR="00B20791" w:rsidRPr="006E28CD">
        <w:rPr>
          <w:lang w:val="en-GB"/>
        </w:rPr>
        <w:t>and</w:t>
      </w:r>
      <w:r w:rsidRPr="006E28CD">
        <w:rPr>
          <w:lang w:val="en-GB"/>
        </w:rPr>
        <w:t xml:space="preserve"> increasing sales of current products in new ways and </w:t>
      </w:r>
      <w:r w:rsidR="00B20791" w:rsidRPr="006E28CD">
        <w:rPr>
          <w:lang w:val="en-GB"/>
        </w:rPr>
        <w:t xml:space="preserve">(2) </w:t>
      </w:r>
      <w:r w:rsidRPr="006E28CD">
        <w:rPr>
          <w:lang w:val="en-GB"/>
        </w:rPr>
        <w:t xml:space="preserve">expanding into new geographical regions to penetrate new markets and gain more customers. </w:t>
      </w:r>
      <w:r w:rsidR="00B20791" w:rsidRPr="006E28CD">
        <w:rPr>
          <w:lang w:val="en-GB"/>
        </w:rPr>
        <w:t>Veitch explained</w:t>
      </w:r>
      <w:r w:rsidR="00313A8E">
        <w:rPr>
          <w:lang w:val="en-GB"/>
        </w:rPr>
        <w:t>:</w:t>
      </w:r>
    </w:p>
    <w:p w14:paraId="3ABFA7CF" w14:textId="77777777" w:rsidR="00CD53A5" w:rsidRPr="00D65FC4" w:rsidRDefault="00CD53A5" w:rsidP="00CD53A5">
      <w:pPr>
        <w:pStyle w:val="BodyTextMain"/>
        <w:rPr>
          <w:i/>
          <w:sz w:val="20"/>
          <w:lang w:val="en-GB"/>
        </w:rPr>
      </w:pPr>
    </w:p>
    <w:p w14:paraId="659585FD" w14:textId="07C35354" w:rsidR="00CD53A5" w:rsidRPr="006E28CD" w:rsidRDefault="00CD53A5" w:rsidP="00CD53A5">
      <w:pPr>
        <w:pStyle w:val="BodyTextMain"/>
        <w:ind w:left="720"/>
        <w:rPr>
          <w:lang w:val="en-GB"/>
        </w:rPr>
      </w:pPr>
      <w:r w:rsidRPr="006E28CD">
        <w:rPr>
          <w:lang w:val="en-GB"/>
        </w:rPr>
        <w:t xml:space="preserve">Our go-to-market strategy is to focus on customer intimacy. It is in line with our three pillars: </w:t>
      </w:r>
      <w:r w:rsidR="00B20791" w:rsidRPr="006E28CD">
        <w:rPr>
          <w:lang w:val="en-GB"/>
        </w:rPr>
        <w:t>innovation</w:t>
      </w:r>
      <w:r w:rsidRPr="006E28CD">
        <w:rPr>
          <w:lang w:val="en-GB"/>
        </w:rPr>
        <w:t xml:space="preserve">, sustainability, and going the extra mile. The latter encompasses customer intimacy and requires flexibility in operations and transparency in the way the relationship is conducted. </w:t>
      </w:r>
      <w:r w:rsidR="00B20791" w:rsidRPr="006E28CD">
        <w:rPr>
          <w:lang w:val="en-GB"/>
        </w:rPr>
        <w:t xml:space="preserve">. . </w:t>
      </w:r>
      <w:r w:rsidRPr="006E28CD">
        <w:rPr>
          <w:lang w:val="en-GB"/>
        </w:rPr>
        <w:t xml:space="preserve">. It is a strategy to lock yourself in with the customers. </w:t>
      </w:r>
    </w:p>
    <w:p w14:paraId="34423A4A" w14:textId="77777777" w:rsidR="00CD53A5" w:rsidRPr="00D65FC4" w:rsidRDefault="00CD53A5" w:rsidP="00CD53A5">
      <w:pPr>
        <w:pStyle w:val="BodyTextMain"/>
        <w:rPr>
          <w:sz w:val="20"/>
          <w:lang w:val="en-GB"/>
        </w:rPr>
      </w:pPr>
    </w:p>
    <w:p w14:paraId="2517BCC9" w14:textId="2D88104B" w:rsidR="00CD53A5" w:rsidRPr="006E28CD" w:rsidRDefault="00CD53A5" w:rsidP="003D6CF7">
      <w:pPr>
        <w:pStyle w:val="BodyTextMain"/>
        <w:rPr>
          <w:lang w:val="en-GB"/>
        </w:rPr>
      </w:pPr>
      <w:r w:rsidRPr="006E28CD">
        <w:rPr>
          <w:lang w:val="en-GB"/>
        </w:rPr>
        <w:t xml:space="preserve">In terms of new products, IOI </w:t>
      </w:r>
      <w:proofErr w:type="spellStart"/>
      <w:r w:rsidRPr="006E28CD">
        <w:rPr>
          <w:lang w:val="en-GB"/>
        </w:rPr>
        <w:t>Loders</w:t>
      </w:r>
      <w:proofErr w:type="spellEnd"/>
      <w:r w:rsidRPr="006E28CD">
        <w:rPr>
          <w:lang w:val="en-GB"/>
        </w:rPr>
        <w:t xml:space="preserve"> </w:t>
      </w:r>
      <w:proofErr w:type="spellStart"/>
      <w:r w:rsidRPr="006E28CD">
        <w:rPr>
          <w:lang w:val="en-GB"/>
        </w:rPr>
        <w:t>Croklaan</w:t>
      </w:r>
      <w:proofErr w:type="spellEnd"/>
      <w:r w:rsidRPr="006E28CD">
        <w:rPr>
          <w:lang w:val="en-GB"/>
        </w:rPr>
        <w:t xml:space="preserve"> submitted over </w:t>
      </w:r>
      <w:r w:rsidR="00ED7B65">
        <w:rPr>
          <w:lang w:val="en-GB"/>
        </w:rPr>
        <w:t>2</w:t>
      </w:r>
      <w:r w:rsidR="00B20791" w:rsidRPr="006E28CD">
        <w:rPr>
          <w:lang w:val="en-GB"/>
        </w:rPr>
        <w:t>00</w:t>
      </w:r>
      <w:r w:rsidRPr="006E28CD">
        <w:rPr>
          <w:lang w:val="en-GB"/>
        </w:rPr>
        <w:t xml:space="preserve"> patent applications </w:t>
      </w:r>
      <w:r w:rsidR="00ED7B65">
        <w:rPr>
          <w:lang w:val="en-GB"/>
        </w:rPr>
        <w:t>since IOI took control of the company</w:t>
      </w:r>
      <w:r w:rsidRPr="006E28CD">
        <w:rPr>
          <w:lang w:val="en-GB"/>
        </w:rPr>
        <w:t xml:space="preserve"> (</w:t>
      </w:r>
      <w:r w:rsidR="008D4D25" w:rsidRPr="006E28CD">
        <w:rPr>
          <w:lang w:val="en-GB"/>
        </w:rPr>
        <w:t xml:space="preserve">see </w:t>
      </w:r>
      <w:r w:rsidRPr="006E28CD">
        <w:rPr>
          <w:lang w:val="en-GB"/>
        </w:rPr>
        <w:t xml:space="preserve">Exhibit </w:t>
      </w:r>
      <w:r w:rsidR="005238D0" w:rsidRPr="006E28CD">
        <w:rPr>
          <w:lang w:val="en-GB"/>
        </w:rPr>
        <w:t>5</w:t>
      </w:r>
      <w:r w:rsidRPr="006E28CD">
        <w:rPr>
          <w:lang w:val="en-GB"/>
        </w:rPr>
        <w:t xml:space="preserve">). Its scientists developed new </w:t>
      </w:r>
      <w:r w:rsidR="008D4D25" w:rsidRPr="006E28CD">
        <w:rPr>
          <w:lang w:val="en-GB"/>
        </w:rPr>
        <w:t xml:space="preserve">applications for </w:t>
      </w:r>
      <w:r w:rsidRPr="006E28CD">
        <w:rPr>
          <w:lang w:val="en-GB"/>
        </w:rPr>
        <w:t xml:space="preserve">fats that resulted in new products, </w:t>
      </w:r>
      <w:r w:rsidR="008D4D25" w:rsidRPr="006E28CD">
        <w:rPr>
          <w:lang w:val="en-GB"/>
        </w:rPr>
        <w:t xml:space="preserve">and this </w:t>
      </w:r>
      <w:r w:rsidRPr="006E28CD">
        <w:rPr>
          <w:lang w:val="en-GB"/>
        </w:rPr>
        <w:t>in turn drove new investments for IOI, something executives referred to as “push innovation</w:t>
      </w:r>
      <w:r w:rsidR="008D4D25" w:rsidRPr="006E28CD">
        <w:rPr>
          <w:lang w:val="en-GB"/>
        </w:rPr>
        <w:t>.</w:t>
      </w:r>
      <w:r w:rsidRPr="006E28CD">
        <w:rPr>
          <w:lang w:val="en-GB"/>
        </w:rPr>
        <w:t xml:space="preserve">” For instance, </w:t>
      </w:r>
      <w:proofErr w:type="spellStart"/>
      <w:r w:rsidRPr="006E28CD">
        <w:rPr>
          <w:lang w:val="en-GB"/>
        </w:rPr>
        <w:t>Loders</w:t>
      </w:r>
      <w:proofErr w:type="spellEnd"/>
      <w:r w:rsidRPr="006E28CD">
        <w:rPr>
          <w:lang w:val="en-GB"/>
        </w:rPr>
        <w:t xml:space="preserve"> </w:t>
      </w:r>
      <w:proofErr w:type="spellStart"/>
      <w:r w:rsidRPr="006E28CD">
        <w:rPr>
          <w:lang w:val="en-GB"/>
        </w:rPr>
        <w:t>Croklaan</w:t>
      </w:r>
      <w:proofErr w:type="spellEnd"/>
      <w:r w:rsidRPr="006E28CD">
        <w:rPr>
          <w:lang w:val="en-GB"/>
        </w:rPr>
        <w:t xml:space="preserve"> </w:t>
      </w:r>
      <w:r w:rsidR="0020647E">
        <w:rPr>
          <w:lang w:val="en-GB"/>
        </w:rPr>
        <w:t xml:space="preserve">had </w:t>
      </w:r>
      <w:r w:rsidRPr="006E28CD">
        <w:rPr>
          <w:lang w:val="en-GB"/>
        </w:rPr>
        <w:t xml:space="preserve">invented a fat blend that </w:t>
      </w:r>
      <w:r w:rsidR="008D4D25" w:rsidRPr="006E28CD">
        <w:rPr>
          <w:lang w:val="en-GB"/>
        </w:rPr>
        <w:t xml:space="preserve">mimicked </w:t>
      </w:r>
      <w:r w:rsidRPr="006E28CD">
        <w:rPr>
          <w:lang w:val="en-GB"/>
        </w:rPr>
        <w:t>human milk fat</w:t>
      </w:r>
      <w:r w:rsidR="008D4D25" w:rsidRPr="006E28CD">
        <w:rPr>
          <w:lang w:val="en-GB"/>
        </w:rPr>
        <w:t xml:space="preserve">; this had </w:t>
      </w:r>
      <w:r w:rsidRPr="006E28CD">
        <w:rPr>
          <w:lang w:val="en-GB"/>
        </w:rPr>
        <w:t>received 17 patents by 2013</w:t>
      </w:r>
      <w:r w:rsidR="008D4D25" w:rsidRPr="006E28CD">
        <w:rPr>
          <w:lang w:val="en-GB"/>
        </w:rPr>
        <w:t>.</w:t>
      </w:r>
      <w:r w:rsidRPr="006E28CD">
        <w:rPr>
          <w:vertAlign w:val="superscript"/>
          <w:lang w:val="en-GB"/>
        </w:rPr>
        <w:footnoteReference w:id="3"/>
      </w:r>
      <w:r w:rsidRPr="006E28CD">
        <w:rPr>
          <w:lang w:val="en-GB"/>
        </w:rPr>
        <w:t xml:space="preserve"> </w:t>
      </w:r>
      <w:r w:rsidR="008D4D25" w:rsidRPr="006E28CD">
        <w:rPr>
          <w:lang w:val="en-GB"/>
        </w:rPr>
        <w:t xml:space="preserve">The company </w:t>
      </w:r>
      <w:r w:rsidRPr="006E28CD">
        <w:rPr>
          <w:lang w:val="en-GB"/>
        </w:rPr>
        <w:t xml:space="preserve">turned </w:t>
      </w:r>
      <w:r w:rsidR="008D4D25" w:rsidRPr="006E28CD">
        <w:rPr>
          <w:lang w:val="en-GB"/>
        </w:rPr>
        <w:t xml:space="preserve">this </w:t>
      </w:r>
      <w:r w:rsidRPr="006E28CD">
        <w:rPr>
          <w:lang w:val="en-GB"/>
        </w:rPr>
        <w:t xml:space="preserve">into a product branded </w:t>
      </w:r>
      <w:proofErr w:type="spellStart"/>
      <w:r w:rsidRPr="006E28CD">
        <w:rPr>
          <w:lang w:val="en-GB"/>
        </w:rPr>
        <w:t>Betapol</w:t>
      </w:r>
      <w:proofErr w:type="spellEnd"/>
      <w:r w:rsidRPr="006E28CD">
        <w:rPr>
          <w:lang w:val="en-GB"/>
        </w:rPr>
        <w:t xml:space="preserve">. IOI saw potential in infant formula for lactose-intolerant babies, and Lee perceived the Chinese market as particularly attractive. The innovation was initially driven from Europe, but IOI later moved </w:t>
      </w:r>
      <w:r w:rsidR="008D4D25" w:rsidRPr="006E28CD">
        <w:rPr>
          <w:lang w:val="en-GB"/>
        </w:rPr>
        <w:t xml:space="preserve">the production to Malaysia </w:t>
      </w:r>
      <w:r w:rsidRPr="006E28CD">
        <w:rPr>
          <w:lang w:val="en-GB"/>
        </w:rPr>
        <w:t xml:space="preserve">and scaled </w:t>
      </w:r>
      <w:r w:rsidR="008D4D25" w:rsidRPr="006E28CD">
        <w:rPr>
          <w:lang w:val="en-GB"/>
        </w:rPr>
        <w:t xml:space="preserve">it </w:t>
      </w:r>
      <w:r w:rsidRPr="006E28CD">
        <w:rPr>
          <w:lang w:val="en-GB"/>
        </w:rPr>
        <w:t xml:space="preserve">to improve cost efficiency. It also constructed a </w:t>
      </w:r>
      <w:r w:rsidR="008D4D25" w:rsidRPr="006E28CD">
        <w:rPr>
          <w:lang w:val="en-GB"/>
        </w:rPr>
        <w:t>US$</w:t>
      </w:r>
      <w:r w:rsidRPr="006E28CD">
        <w:rPr>
          <w:lang w:val="en-GB"/>
        </w:rPr>
        <w:t>65 million manufacturing plant in Xiamen, China</w:t>
      </w:r>
      <w:r w:rsidR="008D4D25" w:rsidRPr="006E28CD">
        <w:rPr>
          <w:lang w:val="en-GB"/>
        </w:rPr>
        <w:t>, and signed a</w:t>
      </w:r>
      <w:r w:rsidRPr="006E28CD">
        <w:rPr>
          <w:lang w:val="en-GB"/>
        </w:rPr>
        <w:t xml:space="preserve"> joint venture agreement with an Irish </w:t>
      </w:r>
      <w:r w:rsidR="008D4D25" w:rsidRPr="006E28CD">
        <w:rPr>
          <w:lang w:val="en-GB"/>
        </w:rPr>
        <w:t xml:space="preserve">multinational corporation </w:t>
      </w:r>
      <w:r w:rsidRPr="006E28CD">
        <w:rPr>
          <w:lang w:val="en-GB"/>
        </w:rPr>
        <w:t xml:space="preserve">with infant nutrition experience. </w:t>
      </w:r>
      <w:r w:rsidR="008D4D25" w:rsidRPr="006E28CD">
        <w:rPr>
          <w:lang w:val="en-GB"/>
        </w:rPr>
        <w:t>However, i</w:t>
      </w:r>
      <w:r w:rsidRPr="006E28CD">
        <w:rPr>
          <w:lang w:val="en-GB"/>
        </w:rPr>
        <w:t>t t</w:t>
      </w:r>
      <w:r w:rsidR="008D4D25" w:rsidRPr="006E28CD">
        <w:rPr>
          <w:lang w:val="en-GB"/>
        </w:rPr>
        <w:t>ook</w:t>
      </w:r>
      <w:r w:rsidRPr="006E28CD">
        <w:rPr>
          <w:lang w:val="en-GB"/>
        </w:rPr>
        <w:t xml:space="preserve"> a while to get to this stage, </w:t>
      </w:r>
      <w:r w:rsidR="008D4D25" w:rsidRPr="006E28CD">
        <w:rPr>
          <w:lang w:val="en-GB"/>
        </w:rPr>
        <w:t>which</w:t>
      </w:r>
      <w:r w:rsidRPr="006E28CD">
        <w:rPr>
          <w:lang w:val="en-GB"/>
        </w:rPr>
        <w:t xml:space="preserve"> brought the IOI Group into </w:t>
      </w:r>
      <w:r w:rsidRPr="006E28CD">
        <w:rPr>
          <w:lang w:val="en-GB"/>
        </w:rPr>
        <w:lastRenderedPageBreak/>
        <w:t>new territory in terms of products, consumer segments</w:t>
      </w:r>
      <w:r w:rsidR="008D4D25" w:rsidRPr="006E28CD">
        <w:rPr>
          <w:lang w:val="en-GB"/>
        </w:rPr>
        <w:t>,</w:t>
      </w:r>
      <w:r w:rsidRPr="006E28CD">
        <w:rPr>
          <w:lang w:val="en-GB"/>
        </w:rPr>
        <w:t xml:space="preserve"> and geographies. Veitch said</w:t>
      </w:r>
      <w:r w:rsidR="008D4D25" w:rsidRPr="006E28CD">
        <w:rPr>
          <w:lang w:val="en-GB"/>
        </w:rPr>
        <w:t>,</w:t>
      </w:r>
      <w:r w:rsidR="003D6CF7">
        <w:rPr>
          <w:lang w:val="en-GB"/>
        </w:rPr>
        <w:t xml:space="preserve"> “</w:t>
      </w:r>
      <w:r w:rsidRPr="006E28CD">
        <w:rPr>
          <w:lang w:val="en-GB"/>
        </w:rPr>
        <w:t xml:space="preserve">Where we need shareholder approval for a project </w:t>
      </w:r>
      <w:r w:rsidR="008D4D25" w:rsidRPr="006E28CD">
        <w:rPr>
          <w:lang w:val="en-GB"/>
        </w:rPr>
        <w:t>. . .</w:t>
      </w:r>
      <w:r w:rsidRPr="006E28CD">
        <w:rPr>
          <w:lang w:val="en-GB"/>
        </w:rPr>
        <w:t xml:space="preserve"> that is where the traditional family business conservatism is sometimes hard to match with the growth aspirations of the subsidiary. There is a natural conservatism when assessing new market segments and geographies that are less familiar.</w:t>
      </w:r>
      <w:r w:rsidR="003D6CF7">
        <w:rPr>
          <w:lang w:val="en-GB"/>
        </w:rPr>
        <w:t>”</w:t>
      </w:r>
    </w:p>
    <w:p w14:paraId="1AB23A5F" w14:textId="77777777" w:rsidR="00CD53A5" w:rsidRPr="00D65FC4" w:rsidRDefault="00CD53A5" w:rsidP="00CD53A5">
      <w:pPr>
        <w:pStyle w:val="BodyTextMain"/>
        <w:rPr>
          <w:sz w:val="20"/>
          <w:lang w:val="en-GB"/>
        </w:rPr>
      </w:pPr>
    </w:p>
    <w:p w14:paraId="42760FB3" w14:textId="15A8682C" w:rsidR="00CD53A5" w:rsidRPr="006E28CD" w:rsidRDefault="00CD53A5" w:rsidP="00CD53A5">
      <w:pPr>
        <w:pStyle w:val="BodyTextMain"/>
        <w:rPr>
          <w:lang w:val="en-GB"/>
        </w:rPr>
      </w:pPr>
      <w:r w:rsidRPr="006E28CD">
        <w:rPr>
          <w:lang w:val="en-GB"/>
        </w:rPr>
        <w:t xml:space="preserve">IOI </w:t>
      </w:r>
      <w:proofErr w:type="spellStart"/>
      <w:r w:rsidRPr="006E28CD">
        <w:rPr>
          <w:lang w:val="en-GB"/>
        </w:rPr>
        <w:t>Loders</w:t>
      </w:r>
      <w:proofErr w:type="spellEnd"/>
      <w:r w:rsidRPr="006E28CD">
        <w:rPr>
          <w:lang w:val="en-GB"/>
        </w:rPr>
        <w:t xml:space="preserve"> </w:t>
      </w:r>
      <w:proofErr w:type="spellStart"/>
      <w:r w:rsidRPr="006E28CD">
        <w:rPr>
          <w:lang w:val="en-GB"/>
        </w:rPr>
        <w:t>Croklaan</w:t>
      </w:r>
      <w:proofErr w:type="spellEnd"/>
      <w:r w:rsidRPr="006E28CD">
        <w:rPr>
          <w:lang w:val="en-GB"/>
        </w:rPr>
        <w:t xml:space="preserve"> increased its budget for innovation from </w:t>
      </w:r>
      <w:r w:rsidR="008D4D25" w:rsidRPr="006E28CD">
        <w:rPr>
          <w:lang w:val="en-GB"/>
        </w:rPr>
        <w:t>€</w:t>
      </w:r>
      <w:r w:rsidRPr="006E28CD">
        <w:rPr>
          <w:lang w:val="en-GB"/>
        </w:rPr>
        <w:t>3 million</w:t>
      </w:r>
      <w:r w:rsidR="008D4D25" w:rsidRPr="006E28CD">
        <w:rPr>
          <w:rStyle w:val="FootnoteReference"/>
          <w:lang w:val="en-GB"/>
        </w:rPr>
        <w:footnoteReference w:id="4"/>
      </w:r>
      <w:r w:rsidRPr="006E28CD">
        <w:rPr>
          <w:lang w:val="en-GB"/>
        </w:rPr>
        <w:t xml:space="preserve"> in 2011 to </w:t>
      </w:r>
      <w:r w:rsidR="008D4D25" w:rsidRPr="006E28CD">
        <w:rPr>
          <w:lang w:val="en-GB"/>
        </w:rPr>
        <w:t>€</w:t>
      </w:r>
      <w:r w:rsidRPr="006E28CD">
        <w:rPr>
          <w:lang w:val="en-GB"/>
        </w:rPr>
        <w:t>6 million in 2016</w:t>
      </w:r>
      <w:r w:rsidR="008D4D25" w:rsidRPr="006E28CD">
        <w:rPr>
          <w:lang w:val="en-GB"/>
        </w:rPr>
        <w:t>,</w:t>
      </w:r>
      <w:r w:rsidRPr="006E28CD">
        <w:rPr>
          <w:lang w:val="en-GB"/>
        </w:rPr>
        <w:t xml:space="preserve"> and IOI </w:t>
      </w:r>
      <w:proofErr w:type="spellStart"/>
      <w:r w:rsidRPr="006E28CD">
        <w:rPr>
          <w:lang w:val="en-GB"/>
        </w:rPr>
        <w:t>Loders</w:t>
      </w:r>
      <w:proofErr w:type="spellEnd"/>
      <w:r w:rsidRPr="006E28CD">
        <w:rPr>
          <w:lang w:val="en-GB"/>
        </w:rPr>
        <w:t xml:space="preserve"> </w:t>
      </w:r>
      <w:proofErr w:type="spellStart"/>
      <w:r w:rsidRPr="006E28CD">
        <w:rPr>
          <w:lang w:val="en-GB"/>
        </w:rPr>
        <w:t>Croklaan’s</w:t>
      </w:r>
      <w:proofErr w:type="spellEnd"/>
      <w:r w:rsidRPr="006E28CD">
        <w:rPr>
          <w:lang w:val="en-GB"/>
        </w:rPr>
        <w:t xml:space="preserve"> Chief Technology Officer </w:t>
      </w:r>
      <w:proofErr w:type="spellStart"/>
      <w:r w:rsidRPr="006E28CD">
        <w:rPr>
          <w:lang w:val="en-GB"/>
        </w:rPr>
        <w:t>Loek</w:t>
      </w:r>
      <w:proofErr w:type="spellEnd"/>
      <w:r w:rsidRPr="006E28CD">
        <w:rPr>
          <w:lang w:val="en-GB"/>
        </w:rPr>
        <w:t xml:space="preserve"> Favre said</w:t>
      </w:r>
      <w:r w:rsidR="008D4D25" w:rsidRPr="006E28CD">
        <w:rPr>
          <w:lang w:val="en-GB"/>
        </w:rPr>
        <w:t xml:space="preserve">, </w:t>
      </w:r>
      <w:r w:rsidRPr="006E28CD">
        <w:rPr>
          <w:lang w:val="en-GB"/>
        </w:rPr>
        <w:t>“</w:t>
      </w:r>
      <w:r w:rsidRPr="003D6CF7">
        <w:rPr>
          <w:lang w:val="en-GB"/>
        </w:rPr>
        <w:t xml:space="preserve">I praise </w:t>
      </w:r>
      <w:proofErr w:type="spellStart"/>
      <w:r w:rsidRPr="003D6CF7">
        <w:rPr>
          <w:lang w:val="en-GB"/>
        </w:rPr>
        <w:t>Dato</w:t>
      </w:r>
      <w:proofErr w:type="spellEnd"/>
      <w:r w:rsidRPr="003D6CF7">
        <w:rPr>
          <w:lang w:val="en-GB"/>
        </w:rPr>
        <w:t>’ [Lee] for his long-term commitment to innovation.”</w:t>
      </w:r>
      <w:r w:rsidRPr="006E28CD">
        <w:rPr>
          <w:i/>
          <w:lang w:val="en-GB"/>
        </w:rPr>
        <w:t xml:space="preserve"> </w:t>
      </w:r>
      <w:r w:rsidRPr="006E28CD">
        <w:rPr>
          <w:lang w:val="en-GB"/>
        </w:rPr>
        <w:t xml:space="preserve">While the innovative products were long in the making and the patents on which </w:t>
      </w:r>
      <w:r w:rsidR="00D03B42" w:rsidRPr="006E28CD">
        <w:rPr>
          <w:lang w:val="en-GB"/>
        </w:rPr>
        <w:t>they were</w:t>
      </w:r>
      <w:r w:rsidRPr="006E28CD">
        <w:rPr>
          <w:lang w:val="en-GB"/>
        </w:rPr>
        <w:t xml:space="preserve"> based went back many years, the key difference that IOI brought to the table </w:t>
      </w:r>
      <w:r w:rsidR="00D03B42" w:rsidRPr="006E28CD">
        <w:rPr>
          <w:lang w:val="en-GB"/>
        </w:rPr>
        <w:t xml:space="preserve">was </w:t>
      </w:r>
      <w:r w:rsidRPr="006E28CD">
        <w:rPr>
          <w:lang w:val="en-GB"/>
        </w:rPr>
        <w:t xml:space="preserve">how it monetized them. </w:t>
      </w:r>
      <w:proofErr w:type="spellStart"/>
      <w:r w:rsidRPr="006E28CD">
        <w:rPr>
          <w:lang w:val="en-GB"/>
        </w:rPr>
        <w:t>Loders</w:t>
      </w:r>
      <w:proofErr w:type="spellEnd"/>
      <w:r w:rsidRPr="006E28CD">
        <w:rPr>
          <w:lang w:val="en-GB"/>
        </w:rPr>
        <w:t xml:space="preserve"> </w:t>
      </w:r>
      <w:proofErr w:type="spellStart"/>
      <w:r w:rsidRPr="006E28CD">
        <w:rPr>
          <w:lang w:val="en-GB"/>
        </w:rPr>
        <w:t>Croklaan</w:t>
      </w:r>
      <w:proofErr w:type="spellEnd"/>
      <w:r w:rsidRPr="006E28CD">
        <w:rPr>
          <w:lang w:val="en-GB"/>
        </w:rPr>
        <w:t xml:space="preserve"> had the innovation experience and client focus, and IOI provided entrepreneurship and cost discipline. However, coming up with </w:t>
      </w:r>
      <w:r w:rsidR="00D03B42" w:rsidRPr="006E28CD">
        <w:rPr>
          <w:lang w:val="en-GB"/>
        </w:rPr>
        <w:t xml:space="preserve">such innovations </w:t>
      </w:r>
      <w:r w:rsidRPr="006E28CD">
        <w:rPr>
          <w:lang w:val="en-GB"/>
        </w:rPr>
        <w:t xml:space="preserve">and subsequently scaling </w:t>
      </w:r>
      <w:proofErr w:type="gramStart"/>
      <w:r w:rsidR="00D03B42" w:rsidRPr="006E28CD">
        <w:rPr>
          <w:lang w:val="en-GB"/>
        </w:rPr>
        <w:t>them</w:t>
      </w:r>
      <w:proofErr w:type="gramEnd"/>
      <w:r w:rsidR="00D03B42" w:rsidRPr="006E28CD">
        <w:rPr>
          <w:lang w:val="en-GB"/>
        </w:rPr>
        <w:t xml:space="preserve"> </w:t>
      </w:r>
      <w:r w:rsidRPr="006E28CD">
        <w:rPr>
          <w:lang w:val="en-GB"/>
        </w:rPr>
        <w:t>required extensive investments. Lee realized that it would take many such star products to grow IOI. Lee</w:t>
      </w:r>
      <w:r w:rsidR="0020647E">
        <w:rPr>
          <w:lang w:val="en-GB"/>
        </w:rPr>
        <w:t xml:space="preserve"> said</w:t>
      </w:r>
      <w:r w:rsidRPr="006E28CD">
        <w:rPr>
          <w:lang w:val="en-GB"/>
        </w:rPr>
        <w:t xml:space="preserve">, “For this infant formula, it is actually a high margin and growing business, so in that sense it is like our </w:t>
      </w:r>
      <w:r w:rsidR="00D03B42" w:rsidRPr="006E28CD">
        <w:rPr>
          <w:lang w:val="en-GB"/>
        </w:rPr>
        <w:t>‘</w:t>
      </w:r>
      <w:r w:rsidRPr="006E28CD">
        <w:rPr>
          <w:lang w:val="en-GB"/>
        </w:rPr>
        <w:t>star</w:t>
      </w:r>
      <w:r w:rsidR="00D03B42" w:rsidRPr="006E28CD">
        <w:rPr>
          <w:lang w:val="en-GB"/>
        </w:rPr>
        <w:t xml:space="preserve">’ </w:t>
      </w:r>
      <w:r w:rsidRPr="006E28CD">
        <w:rPr>
          <w:lang w:val="en-GB"/>
        </w:rPr>
        <w:t>product</w:t>
      </w:r>
      <w:r w:rsidR="00D03B42" w:rsidRPr="006E28CD">
        <w:rPr>
          <w:lang w:val="en-GB"/>
        </w:rPr>
        <w:t>,</w:t>
      </w:r>
      <w:r w:rsidRPr="006E28CD">
        <w:rPr>
          <w:lang w:val="en-GB"/>
        </w:rPr>
        <w:t xml:space="preserve"> </w:t>
      </w:r>
      <w:r w:rsidR="00D03B42" w:rsidRPr="006E28CD">
        <w:rPr>
          <w:lang w:val="en-GB"/>
        </w:rPr>
        <w:t>b</w:t>
      </w:r>
      <w:r w:rsidRPr="006E28CD">
        <w:rPr>
          <w:lang w:val="en-GB"/>
        </w:rPr>
        <w:t>ut we do not think it can be a mainstream product soon.”</w:t>
      </w:r>
    </w:p>
    <w:p w14:paraId="464520EA" w14:textId="77777777" w:rsidR="00CD53A5" w:rsidRPr="00D65FC4" w:rsidRDefault="00CD53A5" w:rsidP="00CD53A5">
      <w:pPr>
        <w:pStyle w:val="BodyTextMain"/>
        <w:rPr>
          <w:sz w:val="20"/>
          <w:lang w:val="en-GB"/>
        </w:rPr>
      </w:pPr>
    </w:p>
    <w:p w14:paraId="650C9782" w14:textId="78B120A5" w:rsidR="00CD53A5" w:rsidRPr="00AA53AD" w:rsidRDefault="00CD53A5" w:rsidP="00CD53A5">
      <w:pPr>
        <w:pStyle w:val="BodyTextMain"/>
        <w:rPr>
          <w:spacing w:val="-4"/>
          <w:lang w:val="en-GB"/>
        </w:rPr>
      </w:pPr>
      <w:r w:rsidRPr="00AA53AD">
        <w:rPr>
          <w:spacing w:val="-4"/>
          <w:lang w:val="en-GB"/>
        </w:rPr>
        <w:t xml:space="preserve">The second approach to growth </w:t>
      </w:r>
      <w:r w:rsidR="00D03B42" w:rsidRPr="00AA53AD">
        <w:rPr>
          <w:spacing w:val="-4"/>
          <w:lang w:val="en-GB"/>
        </w:rPr>
        <w:t xml:space="preserve">involved </w:t>
      </w:r>
      <w:r w:rsidRPr="00AA53AD">
        <w:rPr>
          <w:spacing w:val="-4"/>
          <w:lang w:val="en-GB"/>
        </w:rPr>
        <w:t>selling more of its existing products. Lee</w:t>
      </w:r>
      <w:r w:rsidR="0020647E">
        <w:rPr>
          <w:spacing w:val="-4"/>
          <w:lang w:val="en-GB"/>
        </w:rPr>
        <w:t xml:space="preserve"> said</w:t>
      </w:r>
      <w:r w:rsidRPr="00AA53AD">
        <w:rPr>
          <w:spacing w:val="-4"/>
          <w:lang w:val="en-GB"/>
        </w:rPr>
        <w:t>, “We always emphasize organic growth in existing plants. For example, in America, we doubled the capacity four or five years ago</w:t>
      </w:r>
      <w:r w:rsidR="00D03B42" w:rsidRPr="00AA53AD">
        <w:rPr>
          <w:spacing w:val="-4"/>
          <w:lang w:val="en-GB"/>
        </w:rPr>
        <w:t>,</w:t>
      </w:r>
      <w:r w:rsidRPr="00AA53AD">
        <w:rPr>
          <w:spacing w:val="-4"/>
          <w:lang w:val="en-GB"/>
        </w:rPr>
        <w:t xml:space="preserve"> and now it is fully utilized. So that is one good example of how we emphasize growth of existing plants.” </w:t>
      </w:r>
    </w:p>
    <w:p w14:paraId="2F1D42A6" w14:textId="77777777" w:rsidR="00CD53A5" w:rsidRPr="00D65FC4" w:rsidRDefault="00CD53A5" w:rsidP="00CD53A5">
      <w:pPr>
        <w:pStyle w:val="BodyTextMain"/>
        <w:rPr>
          <w:sz w:val="20"/>
          <w:lang w:val="en-GB"/>
        </w:rPr>
      </w:pPr>
    </w:p>
    <w:p w14:paraId="2B3D2638" w14:textId="5F95B055" w:rsidR="00CD53A5" w:rsidRPr="00D65FC4" w:rsidRDefault="00CD53A5" w:rsidP="00CD53A5">
      <w:pPr>
        <w:pStyle w:val="BodyTextMain"/>
        <w:rPr>
          <w:i/>
          <w:spacing w:val="-2"/>
          <w:lang w:val="en-GB"/>
        </w:rPr>
      </w:pPr>
      <w:r w:rsidRPr="00D65FC4">
        <w:rPr>
          <w:spacing w:val="-2"/>
          <w:lang w:val="en-GB"/>
        </w:rPr>
        <w:t xml:space="preserve">Veitch also saw an opportunity to leverage IOI </w:t>
      </w:r>
      <w:proofErr w:type="spellStart"/>
      <w:r w:rsidRPr="00D65FC4">
        <w:rPr>
          <w:spacing w:val="-2"/>
          <w:lang w:val="en-GB"/>
        </w:rPr>
        <w:t>Loders</w:t>
      </w:r>
      <w:proofErr w:type="spellEnd"/>
      <w:r w:rsidRPr="00D65FC4">
        <w:rPr>
          <w:spacing w:val="-2"/>
          <w:lang w:val="en-GB"/>
        </w:rPr>
        <w:t xml:space="preserve"> </w:t>
      </w:r>
      <w:proofErr w:type="spellStart"/>
      <w:r w:rsidRPr="00D65FC4">
        <w:rPr>
          <w:spacing w:val="-2"/>
          <w:lang w:val="en-GB"/>
        </w:rPr>
        <w:t>Croklaan’s</w:t>
      </w:r>
      <w:proofErr w:type="spellEnd"/>
      <w:r w:rsidRPr="00D65FC4">
        <w:rPr>
          <w:spacing w:val="-2"/>
          <w:lang w:val="en-GB"/>
        </w:rPr>
        <w:t xml:space="preserve"> expertise in different </w:t>
      </w:r>
      <w:r w:rsidR="00D03B42" w:rsidRPr="00D65FC4">
        <w:rPr>
          <w:spacing w:val="-2"/>
          <w:lang w:val="en-GB"/>
        </w:rPr>
        <w:t xml:space="preserve">geographical locations </w:t>
      </w:r>
      <w:r w:rsidRPr="00D65FC4">
        <w:rPr>
          <w:spacing w:val="-2"/>
          <w:lang w:val="en-GB"/>
        </w:rPr>
        <w:t xml:space="preserve">to grow sales of existing products. Products that sold well in the United States did not in Europe, and there was potential to cross-pollinate across </w:t>
      </w:r>
      <w:r w:rsidR="00D03B42" w:rsidRPr="00D65FC4">
        <w:rPr>
          <w:spacing w:val="-2"/>
          <w:lang w:val="en-GB"/>
        </w:rPr>
        <w:t>regions</w:t>
      </w:r>
      <w:r w:rsidRPr="00D65FC4">
        <w:rPr>
          <w:spacing w:val="-2"/>
          <w:lang w:val="en-GB"/>
        </w:rPr>
        <w:t>.</w:t>
      </w:r>
      <w:r w:rsidR="00D03B42" w:rsidRPr="00D65FC4">
        <w:rPr>
          <w:spacing w:val="-2"/>
          <w:lang w:val="en-GB"/>
        </w:rPr>
        <w:t xml:space="preserve"> </w:t>
      </w:r>
      <w:r w:rsidRPr="00D65FC4">
        <w:rPr>
          <w:spacing w:val="-2"/>
          <w:lang w:val="en-GB"/>
        </w:rPr>
        <w:t xml:space="preserve">For instance, baking products </w:t>
      </w:r>
      <w:r w:rsidR="00D03B42" w:rsidRPr="00D65FC4">
        <w:rPr>
          <w:spacing w:val="-2"/>
          <w:lang w:val="en-GB"/>
        </w:rPr>
        <w:t xml:space="preserve">were </w:t>
      </w:r>
      <w:r w:rsidRPr="00D65FC4">
        <w:rPr>
          <w:spacing w:val="-2"/>
          <w:lang w:val="en-GB"/>
        </w:rPr>
        <w:t>the most important source of profits in the U</w:t>
      </w:r>
      <w:r w:rsidR="00D03B42" w:rsidRPr="00D65FC4">
        <w:rPr>
          <w:spacing w:val="-2"/>
          <w:lang w:val="en-GB"/>
        </w:rPr>
        <w:t>.</w:t>
      </w:r>
      <w:r w:rsidRPr="00D65FC4">
        <w:rPr>
          <w:spacing w:val="-2"/>
          <w:lang w:val="en-GB"/>
        </w:rPr>
        <w:t>S</w:t>
      </w:r>
      <w:r w:rsidR="00D03B42" w:rsidRPr="00D65FC4">
        <w:rPr>
          <w:spacing w:val="-2"/>
          <w:lang w:val="en-GB"/>
        </w:rPr>
        <w:t>.</w:t>
      </w:r>
      <w:r w:rsidRPr="00D65FC4">
        <w:rPr>
          <w:spacing w:val="-2"/>
          <w:lang w:val="en-GB"/>
        </w:rPr>
        <w:t xml:space="preserve"> market, and IOI </w:t>
      </w:r>
      <w:proofErr w:type="spellStart"/>
      <w:r w:rsidRPr="00D65FC4">
        <w:rPr>
          <w:spacing w:val="-2"/>
          <w:lang w:val="en-GB"/>
        </w:rPr>
        <w:t>Loders</w:t>
      </w:r>
      <w:proofErr w:type="spellEnd"/>
      <w:r w:rsidRPr="00D65FC4">
        <w:rPr>
          <w:spacing w:val="-2"/>
          <w:lang w:val="en-GB"/>
        </w:rPr>
        <w:t xml:space="preserve"> </w:t>
      </w:r>
      <w:proofErr w:type="spellStart"/>
      <w:r w:rsidRPr="00D65FC4">
        <w:rPr>
          <w:spacing w:val="-2"/>
          <w:lang w:val="en-GB"/>
        </w:rPr>
        <w:t>Croklaan</w:t>
      </w:r>
      <w:proofErr w:type="spellEnd"/>
      <w:r w:rsidRPr="00D65FC4">
        <w:rPr>
          <w:spacing w:val="-2"/>
          <w:lang w:val="en-GB"/>
        </w:rPr>
        <w:t xml:space="preserve"> had successfully introduced a variety of shortenings </w:t>
      </w:r>
      <w:r w:rsidR="00D03B42" w:rsidRPr="00D65FC4">
        <w:rPr>
          <w:spacing w:val="-2"/>
          <w:lang w:val="en-GB"/>
        </w:rPr>
        <w:t xml:space="preserve">there </w:t>
      </w:r>
      <w:r w:rsidRPr="00D65FC4">
        <w:rPr>
          <w:spacing w:val="-2"/>
          <w:lang w:val="en-GB"/>
        </w:rPr>
        <w:t xml:space="preserve">that effectively improved the mouth-feel of final consumer products such as cakes while delivering improved nutrition by eliminating </w:t>
      </w:r>
      <w:proofErr w:type="gramStart"/>
      <w:r w:rsidRPr="00D65FC4">
        <w:rPr>
          <w:spacing w:val="-2"/>
          <w:lang w:val="en-GB"/>
        </w:rPr>
        <w:t>trans</w:t>
      </w:r>
      <w:proofErr w:type="gramEnd"/>
      <w:r w:rsidR="00D03B42" w:rsidRPr="00D65FC4">
        <w:rPr>
          <w:spacing w:val="-2"/>
          <w:lang w:val="en-GB"/>
        </w:rPr>
        <w:t xml:space="preserve"> </w:t>
      </w:r>
      <w:r w:rsidRPr="00D65FC4">
        <w:rPr>
          <w:spacing w:val="-2"/>
          <w:lang w:val="en-GB"/>
        </w:rPr>
        <w:t xml:space="preserve">fats. </w:t>
      </w:r>
      <w:r w:rsidR="00D03B42" w:rsidRPr="00D65FC4">
        <w:rPr>
          <w:spacing w:val="-2"/>
          <w:lang w:val="en-GB"/>
        </w:rPr>
        <w:t>However</w:t>
      </w:r>
      <w:r w:rsidRPr="00D65FC4">
        <w:rPr>
          <w:spacing w:val="-2"/>
          <w:lang w:val="en-GB"/>
        </w:rPr>
        <w:t xml:space="preserve">, IOI had not succeeded in breaking into the European market with such products on a large scale. This was not only because baking and cooking customs were slightly different in Europe, but also </w:t>
      </w:r>
      <w:r w:rsidR="009110C2" w:rsidRPr="00D65FC4">
        <w:rPr>
          <w:spacing w:val="-2"/>
          <w:lang w:val="en-GB"/>
        </w:rPr>
        <w:t>because</w:t>
      </w:r>
      <w:r w:rsidRPr="00D65FC4">
        <w:rPr>
          <w:spacing w:val="-2"/>
          <w:lang w:val="en-GB"/>
        </w:rPr>
        <w:t xml:space="preserve"> the organization</w:t>
      </w:r>
      <w:r w:rsidR="009110C2" w:rsidRPr="00D65FC4">
        <w:rPr>
          <w:spacing w:val="-2"/>
          <w:lang w:val="en-GB"/>
        </w:rPr>
        <w:t>al</w:t>
      </w:r>
      <w:r w:rsidRPr="00D65FC4">
        <w:rPr>
          <w:spacing w:val="-2"/>
          <w:lang w:val="en-GB"/>
        </w:rPr>
        <w:t xml:space="preserve"> structure of IOI </w:t>
      </w:r>
      <w:proofErr w:type="spellStart"/>
      <w:r w:rsidRPr="00D65FC4">
        <w:rPr>
          <w:spacing w:val="-2"/>
          <w:lang w:val="en-GB"/>
        </w:rPr>
        <w:t>Loders</w:t>
      </w:r>
      <w:proofErr w:type="spellEnd"/>
      <w:r w:rsidRPr="00D65FC4">
        <w:rPr>
          <w:spacing w:val="-2"/>
          <w:lang w:val="en-GB"/>
        </w:rPr>
        <w:t xml:space="preserve"> </w:t>
      </w:r>
      <w:proofErr w:type="spellStart"/>
      <w:r w:rsidRPr="00D65FC4">
        <w:rPr>
          <w:spacing w:val="-2"/>
          <w:lang w:val="en-GB"/>
        </w:rPr>
        <w:t>Croklaan</w:t>
      </w:r>
      <w:proofErr w:type="spellEnd"/>
      <w:r w:rsidRPr="00D65FC4">
        <w:rPr>
          <w:spacing w:val="-2"/>
          <w:lang w:val="en-GB"/>
        </w:rPr>
        <w:t xml:space="preserve"> was decentralized by region. </w:t>
      </w:r>
      <w:r w:rsidR="00AD3435">
        <w:rPr>
          <w:spacing w:val="-2"/>
          <w:lang w:val="en-GB"/>
        </w:rPr>
        <w:t>C</w:t>
      </w:r>
      <w:r w:rsidRPr="00D65FC4">
        <w:rPr>
          <w:spacing w:val="-2"/>
          <w:lang w:val="en-GB"/>
        </w:rPr>
        <w:t>onsequen</w:t>
      </w:r>
      <w:r w:rsidR="00AD3435">
        <w:rPr>
          <w:spacing w:val="-2"/>
          <w:lang w:val="en-GB"/>
        </w:rPr>
        <w:t>tly</w:t>
      </w:r>
      <w:r w:rsidRPr="00D65FC4">
        <w:rPr>
          <w:spacing w:val="-2"/>
          <w:lang w:val="en-GB"/>
        </w:rPr>
        <w:t xml:space="preserve">, there was great adaptation to local demand in both </w:t>
      </w:r>
      <w:r w:rsidR="009110C2" w:rsidRPr="00D65FC4">
        <w:rPr>
          <w:spacing w:val="-2"/>
          <w:lang w:val="en-GB"/>
        </w:rPr>
        <w:t>Europe</w:t>
      </w:r>
      <w:r w:rsidRPr="00D65FC4">
        <w:rPr>
          <w:spacing w:val="-2"/>
          <w:lang w:val="en-GB"/>
        </w:rPr>
        <w:t xml:space="preserve"> and the </w:t>
      </w:r>
      <w:r w:rsidR="009110C2" w:rsidRPr="00D65FC4">
        <w:rPr>
          <w:spacing w:val="-2"/>
          <w:lang w:val="en-GB"/>
        </w:rPr>
        <w:t>United States</w:t>
      </w:r>
      <w:r w:rsidRPr="00D65FC4">
        <w:rPr>
          <w:spacing w:val="-2"/>
          <w:lang w:val="en-GB"/>
        </w:rPr>
        <w:t xml:space="preserve"> but comparatively little effort to push innovations across geographic boundaries. Veitch</w:t>
      </w:r>
      <w:r w:rsidR="00AD3435">
        <w:rPr>
          <w:spacing w:val="-2"/>
          <w:lang w:val="en-GB"/>
        </w:rPr>
        <w:t xml:space="preserve"> said</w:t>
      </w:r>
      <w:r w:rsidRPr="00D65FC4">
        <w:rPr>
          <w:spacing w:val="-2"/>
          <w:lang w:val="en-GB"/>
        </w:rPr>
        <w:t>, “We take knowledge from one region and apply it to another. It sounds easy to do</w:t>
      </w:r>
      <w:r w:rsidR="009110C2" w:rsidRPr="00D65FC4">
        <w:rPr>
          <w:spacing w:val="-2"/>
          <w:lang w:val="en-GB"/>
        </w:rPr>
        <w:t>,</w:t>
      </w:r>
      <w:r w:rsidRPr="00D65FC4">
        <w:rPr>
          <w:spacing w:val="-2"/>
          <w:lang w:val="en-GB"/>
        </w:rPr>
        <w:t xml:space="preserve"> but you will be amazed by how difficult it is in practice and how much investment in time and resources is needed.”</w:t>
      </w:r>
    </w:p>
    <w:p w14:paraId="63F00716" w14:textId="77777777" w:rsidR="00CD53A5" w:rsidRPr="00D65FC4" w:rsidRDefault="00CD53A5" w:rsidP="00CD53A5">
      <w:pPr>
        <w:pStyle w:val="BodyTextMain"/>
        <w:rPr>
          <w:sz w:val="20"/>
          <w:lang w:val="en-GB"/>
        </w:rPr>
      </w:pPr>
    </w:p>
    <w:p w14:paraId="0A4CC18B" w14:textId="77777777" w:rsidR="00CD53A5" w:rsidRPr="00D65FC4" w:rsidRDefault="00CD53A5" w:rsidP="00CD53A5">
      <w:pPr>
        <w:pStyle w:val="BodyTextMain"/>
        <w:rPr>
          <w:sz w:val="20"/>
          <w:lang w:val="en-GB"/>
        </w:rPr>
      </w:pPr>
    </w:p>
    <w:p w14:paraId="3DA9B036" w14:textId="77777777" w:rsidR="00CD53A5" w:rsidRPr="006E28CD" w:rsidRDefault="00CD53A5" w:rsidP="00CD53A5">
      <w:pPr>
        <w:pStyle w:val="Casehead1"/>
        <w:keepNext/>
        <w:rPr>
          <w:lang w:val="en-GB"/>
        </w:rPr>
      </w:pPr>
      <w:r w:rsidRPr="006E28CD">
        <w:rPr>
          <w:lang w:val="en-GB"/>
        </w:rPr>
        <w:t>Sustainability: The test</w:t>
      </w:r>
    </w:p>
    <w:p w14:paraId="31D9E2BB" w14:textId="77777777" w:rsidR="00CD53A5" w:rsidRPr="00D65FC4" w:rsidRDefault="00CD53A5" w:rsidP="00CD53A5">
      <w:pPr>
        <w:pStyle w:val="BodyTextMain"/>
        <w:keepNext/>
        <w:rPr>
          <w:sz w:val="20"/>
          <w:lang w:val="en-GB"/>
        </w:rPr>
      </w:pPr>
    </w:p>
    <w:p w14:paraId="0EDBF4FB" w14:textId="09C57D48" w:rsidR="00CD53A5" w:rsidRPr="00AA53AD" w:rsidRDefault="00CD53A5" w:rsidP="00CD53A5">
      <w:pPr>
        <w:pStyle w:val="BodyTextMain"/>
        <w:keepNext/>
        <w:rPr>
          <w:lang w:val="en-GB"/>
        </w:rPr>
      </w:pPr>
      <w:r w:rsidRPr="00AA53AD">
        <w:rPr>
          <w:lang w:val="en-GB"/>
        </w:rPr>
        <w:t>The period 2015</w:t>
      </w:r>
      <w:r w:rsidR="009110C2" w:rsidRPr="00AA53AD">
        <w:rPr>
          <w:lang w:val="en-GB"/>
        </w:rPr>
        <w:t>–</w:t>
      </w:r>
      <w:r w:rsidRPr="00AA53AD">
        <w:rPr>
          <w:lang w:val="en-GB"/>
        </w:rPr>
        <w:t>2016 proved to be very challenging for IOI. Revenues stagnated, profits all but dried up</w:t>
      </w:r>
      <w:r w:rsidR="009110C2" w:rsidRPr="00AA53AD">
        <w:rPr>
          <w:lang w:val="en-GB"/>
        </w:rPr>
        <w:t>,</w:t>
      </w:r>
      <w:r w:rsidRPr="00AA53AD">
        <w:rPr>
          <w:lang w:val="en-GB"/>
        </w:rPr>
        <w:t xml:space="preserve"> and </w:t>
      </w:r>
      <w:r w:rsidR="009110C2" w:rsidRPr="00AA53AD">
        <w:rPr>
          <w:lang w:val="en-GB"/>
        </w:rPr>
        <w:t xml:space="preserve">the company’s </w:t>
      </w:r>
      <w:r w:rsidRPr="00AA53AD">
        <w:rPr>
          <w:lang w:val="en-GB"/>
        </w:rPr>
        <w:t>leverage increased to one of the highest in the industry. This was due to a combination of factors</w:t>
      </w:r>
      <w:r w:rsidR="009110C2" w:rsidRPr="00AA53AD">
        <w:rPr>
          <w:lang w:val="en-GB"/>
        </w:rPr>
        <w:t>—</w:t>
      </w:r>
      <w:r w:rsidRPr="00AA53AD">
        <w:rPr>
          <w:lang w:val="en-GB"/>
        </w:rPr>
        <w:t xml:space="preserve">including foreign exchange losses on borrowings and </w:t>
      </w:r>
      <w:r w:rsidR="009110C2" w:rsidRPr="00AA53AD">
        <w:rPr>
          <w:lang w:val="en-GB"/>
        </w:rPr>
        <w:t xml:space="preserve">a </w:t>
      </w:r>
      <w:r w:rsidRPr="00AA53AD">
        <w:rPr>
          <w:lang w:val="en-GB"/>
        </w:rPr>
        <w:t>low palm oil yield due to the El Ni</w:t>
      </w:r>
      <w:r w:rsidR="009110C2" w:rsidRPr="00AA53AD">
        <w:rPr>
          <w:lang w:val="en-GB"/>
        </w:rPr>
        <w:t>ñ</w:t>
      </w:r>
      <w:r w:rsidRPr="00AA53AD">
        <w:rPr>
          <w:lang w:val="en-GB"/>
        </w:rPr>
        <w:t>o phenomenon</w:t>
      </w:r>
      <w:r w:rsidR="009110C2" w:rsidRPr="00AA53AD">
        <w:rPr>
          <w:lang w:val="en-GB"/>
        </w:rPr>
        <w:t>—</w:t>
      </w:r>
      <w:r w:rsidRPr="00AA53AD">
        <w:rPr>
          <w:lang w:val="en-GB"/>
        </w:rPr>
        <w:t>but the most notable contributor was a corporate sustainability crisis that shook the company profoundly.</w:t>
      </w:r>
    </w:p>
    <w:p w14:paraId="2751FAE1" w14:textId="77777777" w:rsidR="00CD53A5" w:rsidRPr="00D65FC4" w:rsidRDefault="00CD53A5" w:rsidP="00CD53A5">
      <w:pPr>
        <w:pStyle w:val="BodyTextMain"/>
        <w:keepNext/>
        <w:rPr>
          <w:spacing w:val="-2"/>
          <w:sz w:val="20"/>
          <w:lang w:val="en-GB"/>
        </w:rPr>
      </w:pPr>
    </w:p>
    <w:p w14:paraId="0F125E56" w14:textId="3A3823F5" w:rsidR="00CD53A5" w:rsidRDefault="00CD53A5" w:rsidP="00CD53A5">
      <w:pPr>
        <w:pStyle w:val="BodyTextMain"/>
        <w:rPr>
          <w:lang w:val="en-GB"/>
        </w:rPr>
      </w:pPr>
      <w:r w:rsidRPr="006E28CD">
        <w:rPr>
          <w:lang w:val="en-GB"/>
        </w:rPr>
        <w:t>In April 2016, the RSPO suspended IOI’s sustainability certificates after an NGO lodged complaints over IOI’s practices in one of its few plantations in Indonesia. Earlier complaints had been isolated issues limited to the specific plantation estate involved</w:t>
      </w:r>
      <w:r w:rsidR="009110C2" w:rsidRPr="006E28CD">
        <w:rPr>
          <w:lang w:val="en-GB"/>
        </w:rPr>
        <w:t>, b</w:t>
      </w:r>
      <w:r w:rsidRPr="006E28CD">
        <w:rPr>
          <w:lang w:val="en-GB"/>
        </w:rPr>
        <w:t>ut this time</w:t>
      </w:r>
      <w:r w:rsidR="009110C2" w:rsidRPr="006E28CD">
        <w:rPr>
          <w:lang w:val="en-GB"/>
        </w:rPr>
        <w:t>,</w:t>
      </w:r>
      <w:r w:rsidRPr="006E28CD">
        <w:rPr>
          <w:lang w:val="en-GB"/>
        </w:rPr>
        <w:t xml:space="preserve"> the entire company was suspended and customers</w:t>
      </w:r>
      <w:r w:rsidR="009110C2" w:rsidRPr="006E28CD">
        <w:rPr>
          <w:lang w:val="en-GB"/>
        </w:rPr>
        <w:t>—</w:t>
      </w:r>
      <w:r w:rsidRPr="006E28CD">
        <w:rPr>
          <w:lang w:val="en-GB"/>
        </w:rPr>
        <w:t xml:space="preserve">including Unilever, </w:t>
      </w:r>
      <w:r w:rsidR="009110C2" w:rsidRPr="006E28CD">
        <w:rPr>
          <w:lang w:val="en-GB"/>
        </w:rPr>
        <w:t>Kellogg Company</w:t>
      </w:r>
      <w:r w:rsidRPr="006E28CD">
        <w:rPr>
          <w:lang w:val="en-GB"/>
        </w:rPr>
        <w:t>, Mars</w:t>
      </w:r>
      <w:r w:rsidR="009110C2" w:rsidRPr="006E28CD">
        <w:rPr>
          <w:lang w:val="en-GB"/>
        </w:rPr>
        <w:t xml:space="preserve"> Inc.</w:t>
      </w:r>
      <w:r w:rsidRPr="006E28CD">
        <w:rPr>
          <w:lang w:val="en-GB"/>
        </w:rPr>
        <w:t>, Nestl</w:t>
      </w:r>
      <w:r w:rsidR="009110C2" w:rsidRPr="006E28CD">
        <w:rPr>
          <w:lang w:val="en-GB"/>
        </w:rPr>
        <w:t>é,</w:t>
      </w:r>
      <w:r w:rsidRPr="006E28CD">
        <w:rPr>
          <w:lang w:val="en-GB"/>
        </w:rPr>
        <w:t xml:space="preserve"> and Cargill</w:t>
      </w:r>
      <w:r w:rsidR="009110C2" w:rsidRPr="006E28CD">
        <w:rPr>
          <w:lang w:val="en-GB"/>
        </w:rPr>
        <w:t xml:space="preserve"> Inc.—</w:t>
      </w:r>
      <w:r w:rsidRPr="006E28CD">
        <w:rPr>
          <w:lang w:val="en-GB"/>
        </w:rPr>
        <w:t xml:space="preserve">promptly dropped IOI as a supplier. </w:t>
      </w:r>
      <w:r w:rsidR="009110C2" w:rsidRPr="006E28CD">
        <w:rPr>
          <w:lang w:val="en-GB"/>
        </w:rPr>
        <w:t xml:space="preserve">Ben </w:t>
      </w:r>
      <w:proofErr w:type="spellStart"/>
      <w:r w:rsidR="009110C2" w:rsidRPr="006E28CD">
        <w:rPr>
          <w:lang w:val="en-GB"/>
        </w:rPr>
        <w:t>Vreeburg</w:t>
      </w:r>
      <w:proofErr w:type="spellEnd"/>
      <w:r w:rsidR="009110C2" w:rsidRPr="006E28CD">
        <w:rPr>
          <w:lang w:val="en-GB"/>
        </w:rPr>
        <w:t xml:space="preserve">, head of sustainability for IOI </w:t>
      </w:r>
      <w:proofErr w:type="spellStart"/>
      <w:r w:rsidR="009110C2" w:rsidRPr="006E28CD">
        <w:rPr>
          <w:lang w:val="en-GB"/>
        </w:rPr>
        <w:t>Loders</w:t>
      </w:r>
      <w:proofErr w:type="spellEnd"/>
      <w:r w:rsidR="009110C2" w:rsidRPr="006E28CD">
        <w:rPr>
          <w:lang w:val="en-GB"/>
        </w:rPr>
        <w:t xml:space="preserve"> </w:t>
      </w:r>
      <w:proofErr w:type="spellStart"/>
      <w:r w:rsidR="009110C2" w:rsidRPr="006E28CD">
        <w:rPr>
          <w:lang w:val="en-GB"/>
        </w:rPr>
        <w:t>Croklaan</w:t>
      </w:r>
      <w:proofErr w:type="spellEnd"/>
      <w:r w:rsidR="009110C2" w:rsidRPr="006E28CD">
        <w:rPr>
          <w:lang w:val="en-GB"/>
        </w:rPr>
        <w:t>, explained:</w:t>
      </w:r>
    </w:p>
    <w:p w14:paraId="0BD4847D" w14:textId="77777777" w:rsidR="00AA53AD" w:rsidRPr="006E28CD" w:rsidRDefault="00AA53AD" w:rsidP="00CD53A5">
      <w:pPr>
        <w:pStyle w:val="BodyTextMain"/>
        <w:rPr>
          <w:lang w:val="en-GB"/>
        </w:rPr>
      </w:pPr>
    </w:p>
    <w:p w14:paraId="46F40BBB" w14:textId="1DB24D0C" w:rsidR="00CD53A5" w:rsidRPr="006E28CD" w:rsidRDefault="00CD53A5" w:rsidP="00CD53A5">
      <w:pPr>
        <w:pStyle w:val="BodyTextMain"/>
        <w:ind w:left="720"/>
        <w:rPr>
          <w:lang w:val="en-GB"/>
        </w:rPr>
      </w:pPr>
      <w:r w:rsidRPr="006E28CD">
        <w:rPr>
          <w:lang w:val="en-GB"/>
        </w:rPr>
        <w:lastRenderedPageBreak/>
        <w:t>IOI is a typical plantation company that is managed on costs and yields. But the game has changed. It’s about how you deal with stakeholders</w:t>
      </w:r>
      <w:r w:rsidR="009110C2" w:rsidRPr="006E28CD">
        <w:rPr>
          <w:lang w:val="en-GB"/>
        </w:rPr>
        <w:t>—</w:t>
      </w:r>
      <w:r w:rsidRPr="006E28CD">
        <w:rPr>
          <w:lang w:val="en-GB"/>
        </w:rPr>
        <w:t xml:space="preserve">not just customers and bankers, but also NGOs. The benchmarks for plantations have been raised substantially. Without meeting the sustainability criteria as set by the market the company operates in, the company loses the license to operate. </w:t>
      </w:r>
    </w:p>
    <w:p w14:paraId="1B72DF4D" w14:textId="77777777" w:rsidR="00CD53A5" w:rsidRPr="00D65FC4" w:rsidRDefault="00CD53A5" w:rsidP="00CD53A5">
      <w:pPr>
        <w:pStyle w:val="BodyTextMain"/>
        <w:rPr>
          <w:sz w:val="20"/>
          <w:lang w:val="en-GB"/>
        </w:rPr>
      </w:pPr>
    </w:p>
    <w:p w14:paraId="19BE76E4" w14:textId="7EBD88EB" w:rsidR="00CD53A5" w:rsidRPr="006E28CD" w:rsidRDefault="00CD53A5" w:rsidP="00CD53A5">
      <w:pPr>
        <w:pStyle w:val="BodyTextMain"/>
        <w:rPr>
          <w:lang w:val="en-GB"/>
        </w:rPr>
      </w:pPr>
      <w:r w:rsidRPr="006E28CD">
        <w:rPr>
          <w:lang w:val="en-GB"/>
        </w:rPr>
        <w:t>IOI learned this the hard way. It suffered severe reputational damage and was faced with a corporate crisis. It tried to rectify the problem on the ground and engage with stakeholders, customers</w:t>
      </w:r>
      <w:r w:rsidR="009110C2" w:rsidRPr="006E28CD">
        <w:rPr>
          <w:lang w:val="en-GB"/>
        </w:rPr>
        <w:t>,</w:t>
      </w:r>
      <w:r w:rsidRPr="006E28CD">
        <w:rPr>
          <w:lang w:val="en-GB"/>
        </w:rPr>
        <w:t xml:space="preserve"> and </w:t>
      </w:r>
      <w:r w:rsidR="009110C2" w:rsidRPr="006E28CD">
        <w:rPr>
          <w:lang w:val="en-GB"/>
        </w:rPr>
        <w:t xml:space="preserve">the </w:t>
      </w:r>
      <w:r w:rsidRPr="006E28CD">
        <w:rPr>
          <w:lang w:val="en-GB"/>
        </w:rPr>
        <w:t xml:space="preserve">media to mitigate damage. Its lean approach and focus on efficiency meant the crisis demanded extraordinary time and effort from existing leaders located in different time zones. While IOI </w:t>
      </w:r>
      <w:proofErr w:type="spellStart"/>
      <w:r w:rsidRPr="006E28CD">
        <w:rPr>
          <w:lang w:val="en-GB"/>
        </w:rPr>
        <w:t>Loders</w:t>
      </w:r>
      <w:proofErr w:type="spellEnd"/>
      <w:r w:rsidRPr="006E28CD">
        <w:rPr>
          <w:lang w:val="en-GB"/>
        </w:rPr>
        <w:t xml:space="preserve"> </w:t>
      </w:r>
      <w:proofErr w:type="spellStart"/>
      <w:r w:rsidRPr="006E28CD">
        <w:rPr>
          <w:lang w:val="en-GB"/>
        </w:rPr>
        <w:t>Croklaan</w:t>
      </w:r>
      <w:proofErr w:type="spellEnd"/>
      <w:r w:rsidRPr="006E28CD">
        <w:rPr>
          <w:lang w:val="en-GB"/>
        </w:rPr>
        <w:t xml:space="preserve">, which dealt directly with FMCG clients, had already built </w:t>
      </w:r>
      <w:r w:rsidR="009110C2" w:rsidRPr="006E28CD">
        <w:rPr>
          <w:lang w:val="en-GB"/>
        </w:rPr>
        <w:t xml:space="preserve">the </w:t>
      </w:r>
      <w:r w:rsidRPr="006E28CD">
        <w:rPr>
          <w:lang w:val="en-GB"/>
        </w:rPr>
        <w:t xml:space="preserve">capability to engage with various stakeholders, there was limited capability </w:t>
      </w:r>
      <w:r w:rsidR="009110C2" w:rsidRPr="006E28CD">
        <w:rPr>
          <w:lang w:val="en-GB"/>
        </w:rPr>
        <w:t xml:space="preserve">at IOI </w:t>
      </w:r>
      <w:r w:rsidRPr="006E28CD">
        <w:rPr>
          <w:lang w:val="en-GB"/>
        </w:rPr>
        <w:t>headquarters or in the plantations. The strong focus on cost control meant that IOI had limited slack resources, and Lee had to hire additional permanent staff and external experts.</w:t>
      </w:r>
    </w:p>
    <w:p w14:paraId="3AE3BBEE" w14:textId="77777777" w:rsidR="00CD53A5" w:rsidRPr="00D65FC4" w:rsidRDefault="00CD53A5" w:rsidP="00CD53A5">
      <w:pPr>
        <w:pStyle w:val="BodyTextMain"/>
        <w:rPr>
          <w:sz w:val="20"/>
          <w:lang w:val="en-GB"/>
        </w:rPr>
      </w:pPr>
    </w:p>
    <w:p w14:paraId="4DAD6EA7" w14:textId="2E771EA0" w:rsidR="00CD53A5" w:rsidRPr="006E28CD" w:rsidRDefault="00CD53A5" w:rsidP="00CD53A5">
      <w:pPr>
        <w:pStyle w:val="BodyTextMain"/>
        <w:rPr>
          <w:lang w:val="en-GB"/>
        </w:rPr>
      </w:pPr>
      <w:r w:rsidRPr="006E28CD">
        <w:rPr>
          <w:lang w:val="en-GB"/>
        </w:rPr>
        <w:t xml:space="preserve">As </w:t>
      </w:r>
      <w:r w:rsidR="004F090B" w:rsidRPr="006E28CD">
        <w:rPr>
          <w:lang w:val="en-GB"/>
        </w:rPr>
        <w:t xml:space="preserve">IOI was </w:t>
      </w:r>
      <w:r w:rsidRPr="006E28CD">
        <w:rPr>
          <w:lang w:val="en-GB"/>
        </w:rPr>
        <w:t>the industry player with the greatest exposure to the developed markets</w:t>
      </w:r>
      <w:r w:rsidR="00757D1D">
        <w:rPr>
          <w:lang w:val="en-GB"/>
        </w:rPr>
        <w:t>,</w:t>
      </w:r>
      <w:r w:rsidRPr="006E28CD">
        <w:rPr>
          <w:lang w:val="en-GB"/>
        </w:rPr>
        <w:t xml:space="preserve"> where sustainability awareness was high</w:t>
      </w:r>
      <w:r w:rsidR="00757D1D">
        <w:rPr>
          <w:lang w:val="en-GB"/>
        </w:rPr>
        <w:t>,</w:t>
      </w:r>
      <w:r w:rsidRPr="006E28CD">
        <w:rPr>
          <w:lang w:val="en-GB"/>
        </w:rPr>
        <w:t xml:space="preserve"> and </w:t>
      </w:r>
      <w:r w:rsidR="004F090B" w:rsidRPr="006E28CD">
        <w:rPr>
          <w:lang w:val="en-GB"/>
        </w:rPr>
        <w:t xml:space="preserve">had </w:t>
      </w:r>
      <w:r w:rsidRPr="006E28CD">
        <w:rPr>
          <w:lang w:val="en-GB"/>
        </w:rPr>
        <w:t>tight collaborative relations</w:t>
      </w:r>
      <w:r w:rsidR="00757D1D">
        <w:rPr>
          <w:lang w:val="en-GB"/>
        </w:rPr>
        <w:t>hips</w:t>
      </w:r>
      <w:r w:rsidRPr="006E28CD">
        <w:rPr>
          <w:lang w:val="en-GB"/>
        </w:rPr>
        <w:t xml:space="preserve"> with its large FMCG customers, Lee realized he had to act fast. He first sued the RSPO in an attempt to challenge the decision</w:t>
      </w:r>
      <w:r w:rsidR="004F090B" w:rsidRPr="006E28CD">
        <w:rPr>
          <w:lang w:val="en-GB"/>
        </w:rPr>
        <w:t xml:space="preserve">, </w:t>
      </w:r>
      <w:r w:rsidRPr="006E28CD">
        <w:rPr>
          <w:lang w:val="en-GB"/>
        </w:rPr>
        <w:t xml:space="preserve">but </w:t>
      </w:r>
      <w:r w:rsidR="004F090B" w:rsidRPr="006E28CD">
        <w:rPr>
          <w:lang w:val="en-GB"/>
        </w:rPr>
        <w:t xml:space="preserve">he </w:t>
      </w:r>
      <w:r w:rsidRPr="006E28CD">
        <w:rPr>
          <w:lang w:val="en-GB"/>
        </w:rPr>
        <w:t>later dropped the case and engaged NGOs on the ground</w:t>
      </w:r>
      <w:r w:rsidR="00AD3435">
        <w:rPr>
          <w:lang w:val="en-GB"/>
        </w:rPr>
        <w:t>,</w:t>
      </w:r>
      <w:r w:rsidRPr="006E28CD">
        <w:rPr>
          <w:lang w:val="en-GB"/>
        </w:rPr>
        <w:t xml:space="preserve"> and strengthened procedures in plantations. </w:t>
      </w:r>
      <w:r w:rsidR="004F090B" w:rsidRPr="006E28CD">
        <w:rPr>
          <w:lang w:val="en-GB"/>
        </w:rPr>
        <w:t xml:space="preserve">However, </w:t>
      </w:r>
      <w:r w:rsidRPr="006E28CD">
        <w:rPr>
          <w:lang w:val="en-GB"/>
        </w:rPr>
        <w:t xml:space="preserve">the effects were felt most in the downstream operations in Europe and the </w:t>
      </w:r>
      <w:r w:rsidR="009110C2" w:rsidRPr="006E28CD">
        <w:rPr>
          <w:lang w:val="en-GB"/>
        </w:rPr>
        <w:t>United States</w:t>
      </w:r>
      <w:r w:rsidR="004F090B" w:rsidRPr="006E28CD">
        <w:rPr>
          <w:lang w:val="en-GB"/>
        </w:rPr>
        <w:t xml:space="preserve">. As Lee noted, </w:t>
      </w:r>
    </w:p>
    <w:p w14:paraId="117AEAAA" w14:textId="77777777" w:rsidR="00CD53A5" w:rsidRPr="00D65FC4" w:rsidRDefault="00CD53A5" w:rsidP="00CD53A5">
      <w:pPr>
        <w:pStyle w:val="BodyTextMain"/>
        <w:ind w:left="720"/>
        <w:rPr>
          <w:sz w:val="20"/>
          <w:lang w:val="en-GB"/>
        </w:rPr>
      </w:pPr>
    </w:p>
    <w:p w14:paraId="3389481C" w14:textId="373FD486" w:rsidR="00CD53A5" w:rsidRPr="006E28CD" w:rsidRDefault="00CD53A5" w:rsidP="00CD53A5">
      <w:pPr>
        <w:pStyle w:val="BodyTextMain"/>
        <w:ind w:left="720"/>
        <w:rPr>
          <w:lang w:val="en-GB"/>
        </w:rPr>
      </w:pPr>
      <w:r w:rsidRPr="006E28CD">
        <w:rPr>
          <w:lang w:val="en-GB"/>
        </w:rPr>
        <w:t>With regards to the sustainability side, we took the approach that</w:t>
      </w:r>
      <w:r w:rsidR="004F090B" w:rsidRPr="006E28CD">
        <w:rPr>
          <w:lang w:val="en-GB"/>
        </w:rPr>
        <w:t>,</w:t>
      </w:r>
      <w:r w:rsidRPr="006E28CD">
        <w:rPr>
          <w:lang w:val="en-GB"/>
        </w:rPr>
        <w:t xml:space="preserve"> since they [IOI </w:t>
      </w:r>
      <w:proofErr w:type="spellStart"/>
      <w:r w:rsidRPr="006E28CD">
        <w:rPr>
          <w:lang w:val="en-GB"/>
        </w:rPr>
        <w:t>Loders</w:t>
      </w:r>
      <w:proofErr w:type="spellEnd"/>
      <w:r w:rsidRPr="006E28CD">
        <w:rPr>
          <w:lang w:val="en-GB"/>
        </w:rPr>
        <w:t xml:space="preserve"> </w:t>
      </w:r>
      <w:proofErr w:type="spellStart"/>
      <w:r w:rsidRPr="006E28CD">
        <w:rPr>
          <w:lang w:val="en-GB"/>
        </w:rPr>
        <w:t>Croklaan</w:t>
      </w:r>
      <w:proofErr w:type="spellEnd"/>
      <w:r w:rsidRPr="006E28CD">
        <w:rPr>
          <w:lang w:val="en-GB"/>
        </w:rPr>
        <w:t>] are closest to the customers in Europe, they can do what they need to do when it comes down to sustainability, to make them competitive in the industry. However, this caused a problem</w:t>
      </w:r>
      <w:r w:rsidR="004F090B" w:rsidRPr="006E28CD">
        <w:rPr>
          <w:lang w:val="en-GB"/>
        </w:rPr>
        <w:t>,</w:t>
      </w:r>
      <w:r w:rsidRPr="006E28CD">
        <w:rPr>
          <w:lang w:val="en-GB"/>
        </w:rPr>
        <w:t xml:space="preserve"> which was apparent in April this year. </w:t>
      </w:r>
      <w:r w:rsidR="004F090B" w:rsidRPr="006E28CD">
        <w:rPr>
          <w:lang w:val="en-GB"/>
        </w:rPr>
        <w:t xml:space="preserve">. . . </w:t>
      </w:r>
      <w:r w:rsidRPr="006E28CD">
        <w:rPr>
          <w:lang w:val="en-GB"/>
        </w:rPr>
        <w:t xml:space="preserve">We joined RSPO as a company. So, when RSPO suspended the plantation, they decided to suspend the entire company. </w:t>
      </w:r>
      <w:r w:rsidR="004F090B" w:rsidRPr="006E28CD">
        <w:rPr>
          <w:lang w:val="en-GB"/>
        </w:rPr>
        <w:t xml:space="preserve">. . . </w:t>
      </w:r>
      <w:r w:rsidRPr="006E28CD">
        <w:rPr>
          <w:lang w:val="en-GB"/>
        </w:rPr>
        <w:t>The first lesson that we learn here is that</w:t>
      </w:r>
      <w:r w:rsidR="004F090B" w:rsidRPr="006E28CD">
        <w:rPr>
          <w:lang w:val="en-GB"/>
        </w:rPr>
        <w:t>,</w:t>
      </w:r>
      <w:r w:rsidRPr="006E28CD">
        <w:rPr>
          <w:lang w:val="en-GB"/>
        </w:rPr>
        <w:t xml:space="preserve"> despite how we decentralized and gave more autonomy, in the end we are still one group. A problem in a small portion of our plantation can affect the entire group. </w:t>
      </w:r>
    </w:p>
    <w:p w14:paraId="34A03789" w14:textId="77777777" w:rsidR="00CD53A5" w:rsidRPr="00D65FC4" w:rsidRDefault="00CD53A5" w:rsidP="00CD53A5">
      <w:pPr>
        <w:pStyle w:val="BodyTextMain"/>
        <w:rPr>
          <w:sz w:val="20"/>
          <w:lang w:val="en-GB"/>
        </w:rPr>
      </w:pPr>
    </w:p>
    <w:p w14:paraId="2567D489" w14:textId="6BE06882" w:rsidR="00CD53A5" w:rsidRPr="006E28CD" w:rsidRDefault="00CD53A5" w:rsidP="00CD53A5">
      <w:pPr>
        <w:pStyle w:val="BodyTextMain"/>
        <w:rPr>
          <w:lang w:val="en-GB"/>
        </w:rPr>
      </w:pPr>
      <w:r w:rsidRPr="006E28CD">
        <w:rPr>
          <w:lang w:val="en-GB"/>
        </w:rPr>
        <w:t xml:space="preserve">As the RSPO restored IOI’s certification in August 2016 and </w:t>
      </w:r>
      <w:r w:rsidR="004F090B" w:rsidRPr="006E28CD">
        <w:rPr>
          <w:lang w:val="en-GB"/>
        </w:rPr>
        <w:t xml:space="preserve">the </w:t>
      </w:r>
      <w:r w:rsidRPr="006E28CD">
        <w:rPr>
          <w:lang w:val="en-GB"/>
        </w:rPr>
        <w:t>dust settled, Lee realized he had to reconsider his control structure and approach to growth</w:t>
      </w:r>
      <w:r w:rsidR="004F090B" w:rsidRPr="006E28CD">
        <w:rPr>
          <w:lang w:val="en-GB"/>
        </w:rPr>
        <w:t>—</w:t>
      </w:r>
      <w:r w:rsidRPr="006E28CD">
        <w:rPr>
          <w:lang w:val="en-GB"/>
        </w:rPr>
        <w:t xml:space="preserve">as one transgression in one plantation could lead to activists blocking the factory gates in Europe or the United States. The crisis reinforced the need for board-level coordination </w:t>
      </w:r>
      <w:r w:rsidR="004F090B" w:rsidRPr="006E28CD">
        <w:rPr>
          <w:lang w:val="en-GB"/>
        </w:rPr>
        <w:t xml:space="preserve">in different countries </w:t>
      </w:r>
      <w:r w:rsidRPr="006E28CD">
        <w:rPr>
          <w:lang w:val="en-GB"/>
        </w:rPr>
        <w:t>across the company. Giving autonomy to the different units without an overriding coordination and control mechanism implied inherent risks</w:t>
      </w:r>
      <w:r w:rsidR="004F090B" w:rsidRPr="006E28CD">
        <w:rPr>
          <w:lang w:val="en-GB"/>
        </w:rPr>
        <w:t>; b</w:t>
      </w:r>
      <w:r w:rsidRPr="006E28CD">
        <w:rPr>
          <w:lang w:val="en-GB"/>
        </w:rPr>
        <w:t>ut centralization in the hands of family leaders, as had been possible when IOI was smaller and more focused on plantations, appeared difficult at this stage. The dilemma loomed large and made Lee wonder whether he had a strong enough organizational base to grow from.</w:t>
      </w:r>
    </w:p>
    <w:p w14:paraId="1B515204" w14:textId="77777777" w:rsidR="00CD53A5" w:rsidRPr="00D65FC4" w:rsidRDefault="00CD53A5" w:rsidP="00CD53A5">
      <w:pPr>
        <w:pStyle w:val="BodyTextMain"/>
        <w:rPr>
          <w:sz w:val="20"/>
          <w:lang w:val="en-GB"/>
        </w:rPr>
      </w:pPr>
    </w:p>
    <w:p w14:paraId="08F025AE" w14:textId="77777777" w:rsidR="00D65FC4" w:rsidRPr="00D65FC4" w:rsidRDefault="00D65FC4" w:rsidP="00CD53A5">
      <w:pPr>
        <w:pStyle w:val="BodyTextMain"/>
        <w:rPr>
          <w:sz w:val="20"/>
          <w:lang w:val="en-GB"/>
        </w:rPr>
      </w:pPr>
    </w:p>
    <w:p w14:paraId="19C4352A" w14:textId="77777777" w:rsidR="00CD53A5" w:rsidRPr="006E28CD" w:rsidRDefault="00CD53A5" w:rsidP="00D65FC4">
      <w:pPr>
        <w:pStyle w:val="Casehead1"/>
        <w:keepNext/>
        <w:keepLines/>
        <w:rPr>
          <w:lang w:val="en-GB"/>
        </w:rPr>
      </w:pPr>
      <w:r w:rsidRPr="006E28CD">
        <w:rPr>
          <w:lang w:val="en-GB"/>
        </w:rPr>
        <w:t>Global coordination: The constraints</w:t>
      </w:r>
    </w:p>
    <w:p w14:paraId="173855F4" w14:textId="77777777" w:rsidR="00CD53A5" w:rsidRPr="00D65FC4" w:rsidRDefault="00CD53A5" w:rsidP="00D65FC4">
      <w:pPr>
        <w:pStyle w:val="BodyTextMain"/>
        <w:keepNext/>
        <w:keepLines/>
        <w:rPr>
          <w:sz w:val="20"/>
          <w:lang w:val="en-GB"/>
        </w:rPr>
      </w:pPr>
    </w:p>
    <w:p w14:paraId="25E83E5B" w14:textId="0C9A90E9" w:rsidR="00CD53A5" w:rsidRPr="006E28CD" w:rsidRDefault="00CD53A5" w:rsidP="00CD53A5">
      <w:pPr>
        <w:pStyle w:val="BodyTextMain"/>
        <w:rPr>
          <w:lang w:val="en-GB"/>
        </w:rPr>
      </w:pPr>
      <w:r w:rsidRPr="006E28CD">
        <w:rPr>
          <w:lang w:val="en-GB"/>
        </w:rPr>
        <w:t>Only those companies that stay</w:t>
      </w:r>
      <w:r w:rsidR="00AD3435">
        <w:rPr>
          <w:lang w:val="en-GB"/>
        </w:rPr>
        <w:t>ed</w:t>
      </w:r>
      <w:r w:rsidRPr="006E28CD">
        <w:rPr>
          <w:lang w:val="en-GB"/>
        </w:rPr>
        <w:t xml:space="preserve"> relevant and </w:t>
      </w:r>
      <w:r w:rsidR="00AD3435">
        <w:rPr>
          <w:lang w:val="en-GB"/>
        </w:rPr>
        <w:t>were</w:t>
      </w:r>
      <w:r w:rsidRPr="006E28CD">
        <w:rPr>
          <w:lang w:val="en-GB"/>
        </w:rPr>
        <w:t xml:space="preserve"> willing to invest in new products and business models survive</w:t>
      </w:r>
      <w:r w:rsidR="00AD3435">
        <w:rPr>
          <w:lang w:val="en-GB"/>
        </w:rPr>
        <w:t>d</w:t>
      </w:r>
      <w:r w:rsidRPr="006E28CD">
        <w:rPr>
          <w:lang w:val="en-GB"/>
        </w:rPr>
        <w:t xml:space="preserve">. </w:t>
      </w:r>
      <w:r w:rsidR="004F090B" w:rsidRPr="006E28CD">
        <w:rPr>
          <w:lang w:val="en-GB"/>
        </w:rPr>
        <w:t>However, h</w:t>
      </w:r>
      <w:r w:rsidRPr="006E28CD">
        <w:rPr>
          <w:lang w:val="en-GB"/>
        </w:rPr>
        <w:t xml:space="preserve">is experience with the </w:t>
      </w:r>
      <w:proofErr w:type="spellStart"/>
      <w:r w:rsidRPr="006E28CD">
        <w:rPr>
          <w:lang w:val="en-GB"/>
        </w:rPr>
        <w:t>Betapol</w:t>
      </w:r>
      <w:proofErr w:type="spellEnd"/>
      <w:r w:rsidRPr="006E28CD">
        <w:rPr>
          <w:lang w:val="en-GB"/>
        </w:rPr>
        <w:t xml:space="preserve"> product taught Lee that successful new products would inevitably bring IOI into new territory where the family had </w:t>
      </w:r>
      <w:r w:rsidR="004F090B" w:rsidRPr="006E28CD">
        <w:rPr>
          <w:lang w:val="en-GB"/>
        </w:rPr>
        <w:t xml:space="preserve">little </w:t>
      </w:r>
      <w:r w:rsidRPr="006E28CD">
        <w:rPr>
          <w:lang w:val="en-GB"/>
        </w:rPr>
        <w:t>or no experience and too many innovations would stretch its leadership.</w:t>
      </w:r>
      <w:r w:rsidR="004F090B" w:rsidRPr="006E28CD">
        <w:rPr>
          <w:lang w:val="en-GB"/>
        </w:rPr>
        <w:t xml:space="preserve"> </w:t>
      </w:r>
      <w:r w:rsidRPr="006E28CD">
        <w:rPr>
          <w:lang w:val="en-GB"/>
        </w:rPr>
        <w:t xml:space="preserve">He strongly felt that IOI should be conservative and </w:t>
      </w:r>
      <w:r w:rsidR="004F090B" w:rsidRPr="006E28CD">
        <w:rPr>
          <w:lang w:val="en-GB"/>
        </w:rPr>
        <w:t xml:space="preserve">avoid creating </w:t>
      </w:r>
      <w:r w:rsidRPr="006E28CD">
        <w:rPr>
          <w:lang w:val="en-GB"/>
        </w:rPr>
        <w:t>too big a geographical footprint or go</w:t>
      </w:r>
      <w:r w:rsidR="009D1403" w:rsidRPr="006E28CD">
        <w:rPr>
          <w:lang w:val="en-GB"/>
        </w:rPr>
        <w:t>ing</w:t>
      </w:r>
      <w:r w:rsidRPr="006E28CD">
        <w:rPr>
          <w:lang w:val="en-GB"/>
        </w:rPr>
        <w:t xml:space="preserve"> into too many new areas. It was not easy to keep in touch with the details of all operations, and attention to detail and operational excellence was part and parcel of IOI’s success. To make things worse, several </w:t>
      </w:r>
      <w:r w:rsidR="009D1403" w:rsidRPr="006E28CD">
        <w:rPr>
          <w:lang w:val="en-GB"/>
        </w:rPr>
        <w:t xml:space="preserve">trusted </w:t>
      </w:r>
      <w:r w:rsidRPr="006E28CD">
        <w:rPr>
          <w:lang w:val="en-GB"/>
        </w:rPr>
        <w:t>high-level managers had left IOI</w:t>
      </w:r>
      <w:r w:rsidR="009D1403" w:rsidRPr="006E28CD">
        <w:rPr>
          <w:lang w:val="en-GB"/>
        </w:rPr>
        <w:t xml:space="preserve"> in recent years</w:t>
      </w:r>
      <w:r w:rsidRPr="006E28CD">
        <w:rPr>
          <w:lang w:val="en-GB"/>
        </w:rPr>
        <w:t xml:space="preserve">, including, most recently, the group </w:t>
      </w:r>
      <w:r w:rsidR="009D1403" w:rsidRPr="006E28CD">
        <w:rPr>
          <w:lang w:val="en-GB"/>
        </w:rPr>
        <w:t>chief financial officer</w:t>
      </w:r>
      <w:r w:rsidRPr="006E28CD">
        <w:rPr>
          <w:lang w:val="en-GB"/>
        </w:rPr>
        <w:t xml:space="preserve">. Thus, </w:t>
      </w:r>
      <w:r w:rsidR="00AD3435">
        <w:rPr>
          <w:lang w:val="en-GB"/>
        </w:rPr>
        <w:t xml:space="preserve">the </w:t>
      </w:r>
      <w:r w:rsidRPr="006E28CD">
        <w:rPr>
          <w:lang w:val="en-GB"/>
        </w:rPr>
        <w:t xml:space="preserve">talent available in headquarters was limited. </w:t>
      </w:r>
    </w:p>
    <w:p w14:paraId="59ACFC27" w14:textId="77777777" w:rsidR="00CD53A5" w:rsidRPr="00D65FC4" w:rsidRDefault="00CD53A5" w:rsidP="00CD53A5">
      <w:pPr>
        <w:pStyle w:val="BodyTextMain"/>
        <w:rPr>
          <w:sz w:val="20"/>
          <w:lang w:val="en-GB"/>
        </w:rPr>
      </w:pPr>
    </w:p>
    <w:p w14:paraId="5C524EDD" w14:textId="014E6C7A" w:rsidR="00CD53A5" w:rsidRPr="006E28CD" w:rsidRDefault="00AD3435" w:rsidP="00CD53A5">
      <w:pPr>
        <w:pStyle w:val="BodyTextMain"/>
        <w:rPr>
          <w:lang w:val="en-GB"/>
        </w:rPr>
      </w:pPr>
      <w:r>
        <w:rPr>
          <w:lang w:val="en-GB"/>
        </w:rPr>
        <w:t>C</w:t>
      </w:r>
      <w:r w:rsidR="00CD53A5" w:rsidRPr="006E28CD">
        <w:rPr>
          <w:lang w:val="en-GB"/>
        </w:rPr>
        <w:t xml:space="preserve">oordination between the downstream and upstream operations was </w:t>
      </w:r>
      <w:r>
        <w:rPr>
          <w:lang w:val="en-GB"/>
        </w:rPr>
        <w:t xml:space="preserve">currently </w:t>
      </w:r>
      <w:r w:rsidR="00CD53A5" w:rsidRPr="006E28CD">
        <w:rPr>
          <w:lang w:val="en-GB"/>
        </w:rPr>
        <w:t xml:space="preserve">routed via </w:t>
      </w:r>
      <w:r w:rsidR="009D1403" w:rsidRPr="006E28CD">
        <w:rPr>
          <w:lang w:val="en-GB"/>
        </w:rPr>
        <w:t xml:space="preserve">Lee </w:t>
      </w:r>
      <w:r w:rsidR="00CD53A5" w:rsidRPr="006E28CD">
        <w:rPr>
          <w:lang w:val="en-GB"/>
        </w:rPr>
        <w:t xml:space="preserve">as </w:t>
      </w:r>
      <w:r w:rsidR="009D1403" w:rsidRPr="006E28CD">
        <w:rPr>
          <w:lang w:val="en-GB"/>
        </w:rPr>
        <w:t xml:space="preserve">IOI </w:t>
      </w:r>
      <w:r w:rsidR="00CD53A5" w:rsidRPr="006E28CD">
        <w:rPr>
          <w:lang w:val="en-GB"/>
        </w:rPr>
        <w:t xml:space="preserve">Group CEO, </w:t>
      </w:r>
      <w:r w:rsidR="009D1403" w:rsidRPr="006E28CD">
        <w:rPr>
          <w:lang w:val="en-GB"/>
        </w:rPr>
        <w:t xml:space="preserve">and </w:t>
      </w:r>
      <w:r w:rsidR="00CD53A5" w:rsidRPr="006E28CD">
        <w:rPr>
          <w:lang w:val="en-GB"/>
        </w:rPr>
        <w:t xml:space="preserve">he was the </w:t>
      </w:r>
      <w:r w:rsidR="009D1403" w:rsidRPr="006E28CD">
        <w:rPr>
          <w:lang w:val="en-GB"/>
        </w:rPr>
        <w:t>essential link</w:t>
      </w:r>
      <w:r w:rsidR="00CD53A5" w:rsidRPr="006E28CD">
        <w:rPr>
          <w:lang w:val="en-GB"/>
        </w:rPr>
        <w:t xml:space="preserve"> overseeing all the businesses. A regular global meeting provided an </w:t>
      </w:r>
      <w:r w:rsidR="00CD53A5" w:rsidRPr="006E28CD">
        <w:rPr>
          <w:lang w:val="en-GB"/>
        </w:rPr>
        <w:lastRenderedPageBreak/>
        <w:t>additional communication forum for all top</w:t>
      </w:r>
      <w:r w:rsidR="00BE785C" w:rsidRPr="006E28CD">
        <w:rPr>
          <w:lang w:val="en-GB"/>
        </w:rPr>
        <w:t xml:space="preserve"> </w:t>
      </w:r>
      <w:r w:rsidR="00CD53A5" w:rsidRPr="006E28CD">
        <w:rPr>
          <w:lang w:val="en-GB"/>
        </w:rPr>
        <w:t xml:space="preserve">management, and informal coordination was encouraged, but </w:t>
      </w:r>
      <w:r w:rsidR="00BE785C" w:rsidRPr="006E28CD">
        <w:rPr>
          <w:lang w:val="en-GB"/>
        </w:rPr>
        <w:t xml:space="preserve">it was </w:t>
      </w:r>
      <w:r w:rsidR="00CD53A5" w:rsidRPr="006E28CD">
        <w:rPr>
          <w:lang w:val="en-GB"/>
        </w:rPr>
        <w:t xml:space="preserve">not formalized. Was </w:t>
      </w:r>
      <w:r w:rsidR="00BE785C" w:rsidRPr="006E28CD">
        <w:rPr>
          <w:lang w:val="en-GB"/>
        </w:rPr>
        <w:t xml:space="preserve">this </w:t>
      </w:r>
      <w:r w:rsidR="00CD53A5" w:rsidRPr="006E28CD">
        <w:rPr>
          <w:lang w:val="en-GB"/>
        </w:rPr>
        <w:t>a sufficiently strong basis for growth? Lee</w:t>
      </w:r>
      <w:r>
        <w:rPr>
          <w:lang w:val="en-GB"/>
        </w:rPr>
        <w:t xml:space="preserve"> said</w:t>
      </w:r>
      <w:r w:rsidR="00BE785C" w:rsidRPr="006E28CD">
        <w:rPr>
          <w:lang w:val="en-GB"/>
        </w:rPr>
        <w:t xml:space="preserve">, </w:t>
      </w:r>
    </w:p>
    <w:p w14:paraId="5CA8674C" w14:textId="77777777" w:rsidR="00CD53A5" w:rsidRPr="00D65FC4" w:rsidRDefault="00CD53A5" w:rsidP="00CD53A5">
      <w:pPr>
        <w:pStyle w:val="BodyTextMain"/>
        <w:rPr>
          <w:i/>
          <w:sz w:val="20"/>
          <w:lang w:val="en-GB"/>
        </w:rPr>
      </w:pPr>
    </w:p>
    <w:p w14:paraId="438FC7D8" w14:textId="63683CEC" w:rsidR="00CD53A5" w:rsidRPr="006E28CD" w:rsidRDefault="00CD53A5" w:rsidP="00CD53A5">
      <w:pPr>
        <w:pStyle w:val="BodyTextMain"/>
        <w:ind w:left="720"/>
        <w:rPr>
          <w:lang w:val="en-GB"/>
        </w:rPr>
      </w:pPr>
      <w:r w:rsidRPr="006E28CD">
        <w:rPr>
          <w:lang w:val="en-GB"/>
        </w:rPr>
        <w:t xml:space="preserve">[Segment leaders could] see the connectivity and the commonality and see what has been done in </w:t>
      </w:r>
      <w:r w:rsidR="00BE785C" w:rsidRPr="006E28CD">
        <w:rPr>
          <w:lang w:val="en-GB"/>
        </w:rPr>
        <w:t xml:space="preserve">[the United States] </w:t>
      </w:r>
      <w:r w:rsidRPr="006E28CD">
        <w:rPr>
          <w:lang w:val="en-GB"/>
        </w:rPr>
        <w:t xml:space="preserve">and hence possibly can be done in Europe as well for this kind of product. But then there are also issues locally. </w:t>
      </w:r>
      <w:r w:rsidR="00BE785C" w:rsidRPr="006E28CD">
        <w:rPr>
          <w:lang w:val="en-GB"/>
        </w:rPr>
        <w:t xml:space="preserve">. . . </w:t>
      </w:r>
      <w:r w:rsidRPr="006E28CD">
        <w:rPr>
          <w:lang w:val="en-GB"/>
        </w:rPr>
        <w:t>More consultation needs to be done. So, we have to have both ways</w:t>
      </w:r>
      <w:r w:rsidR="00BE785C" w:rsidRPr="006E28CD">
        <w:rPr>
          <w:lang w:val="en-GB"/>
        </w:rPr>
        <w:t xml:space="preserve">: </w:t>
      </w:r>
      <w:r w:rsidRPr="006E28CD">
        <w:rPr>
          <w:lang w:val="en-GB"/>
        </w:rPr>
        <w:t>global strategies but you need the buy-in from the local [heads] for the execution.</w:t>
      </w:r>
    </w:p>
    <w:p w14:paraId="7DF27F42" w14:textId="7FE227CC" w:rsidR="00CD53A5" w:rsidRPr="00D65FC4" w:rsidRDefault="00CD53A5" w:rsidP="00CD53A5">
      <w:pPr>
        <w:pStyle w:val="BodyTextMain"/>
        <w:rPr>
          <w:sz w:val="20"/>
          <w:lang w:val="en-GB"/>
        </w:rPr>
      </w:pPr>
    </w:p>
    <w:p w14:paraId="5B09065A" w14:textId="427AEB4C" w:rsidR="00CD53A5" w:rsidRPr="006E28CD" w:rsidRDefault="00CD53A5" w:rsidP="00CD53A5">
      <w:pPr>
        <w:pStyle w:val="BodyTextMain"/>
        <w:rPr>
          <w:lang w:val="en-GB"/>
        </w:rPr>
      </w:pPr>
      <w:r w:rsidRPr="006E28CD">
        <w:rPr>
          <w:lang w:val="en-GB"/>
        </w:rPr>
        <w:t xml:space="preserve">Should he perhaps add another layer in the form of a </w:t>
      </w:r>
      <w:r w:rsidR="00BE785C" w:rsidRPr="006E28CD">
        <w:rPr>
          <w:lang w:val="en-GB"/>
        </w:rPr>
        <w:t xml:space="preserve">chief operating officer </w:t>
      </w:r>
      <w:r w:rsidRPr="006E28CD">
        <w:rPr>
          <w:lang w:val="en-GB"/>
        </w:rPr>
        <w:t xml:space="preserve">to improve coordination, or would that increase costs and limit IOI’s excellence in lean execution? </w:t>
      </w:r>
      <w:r w:rsidR="00BE785C" w:rsidRPr="006E28CD">
        <w:rPr>
          <w:lang w:val="en-GB"/>
        </w:rPr>
        <w:t>H</w:t>
      </w:r>
      <w:r w:rsidRPr="006E28CD">
        <w:rPr>
          <w:lang w:val="en-GB"/>
        </w:rPr>
        <w:t>ow would such changes affect other parts of the business</w:t>
      </w:r>
      <w:r w:rsidR="00BE785C" w:rsidRPr="006E28CD">
        <w:rPr>
          <w:lang w:val="en-GB"/>
        </w:rPr>
        <w:t>—</w:t>
      </w:r>
      <w:r w:rsidRPr="006E28CD">
        <w:rPr>
          <w:lang w:val="en-GB"/>
        </w:rPr>
        <w:t>for instance</w:t>
      </w:r>
      <w:r w:rsidR="00BE785C" w:rsidRPr="006E28CD">
        <w:rPr>
          <w:lang w:val="en-GB"/>
        </w:rPr>
        <w:t>,</w:t>
      </w:r>
      <w:r w:rsidRPr="006E28CD">
        <w:rPr>
          <w:lang w:val="en-GB"/>
        </w:rPr>
        <w:t xml:space="preserve"> the </w:t>
      </w:r>
      <w:proofErr w:type="spellStart"/>
      <w:r w:rsidRPr="006E28CD">
        <w:rPr>
          <w:lang w:val="en-GB"/>
        </w:rPr>
        <w:t>oleochemicals</w:t>
      </w:r>
      <w:proofErr w:type="spellEnd"/>
      <w:r w:rsidRPr="006E28CD">
        <w:rPr>
          <w:lang w:val="en-GB"/>
        </w:rPr>
        <w:t>? Veitch wondered, “Does he [Lee] want to create an integrated management structure for the integrated palm oil business? Or will it continue to be managed as a portfolio of interrelated businesses?”</w:t>
      </w:r>
    </w:p>
    <w:p w14:paraId="0445A2CF" w14:textId="77777777" w:rsidR="00CD53A5" w:rsidRPr="00D65FC4" w:rsidRDefault="00CD53A5" w:rsidP="00CD53A5">
      <w:pPr>
        <w:pStyle w:val="BodyTextMain"/>
        <w:rPr>
          <w:sz w:val="20"/>
          <w:lang w:val="en-GB"/>
        </w:rPr>
      </w:pPr>
    </w:p>
    <w:p w14:paraId="7E839931" w14:textId="77777777" w:rsidR="00CD53A5" w:rsidRPr="00D65FC4" w:rsidRDefault="00CD53A5" w:rsidP="00CD53A5">
      <w:pPr>
        <w:pStyle w:val="BodyTextMain"/>
        <w:rPr>
          <w:sz w:val="20"/>
          <w:lang w:val="en-GB"/>
        </w:rPr>
      </w:pPr>
    </w:p>
    <w:p w14:paraId="1998DD45" w14:textId="77777777" w:rsidR="00CD53A5" w:rsidRPr="006E28CD" w:rsidRDefault="00CD53A5" w:rsidP="00CD53A5">
      <w:pPr>
        <w:pStyle w:val="Casehead1"/>
        <w:rPr>
          <w:lang w:val="en-GB"/>
        </w:rPr>
      </w:pPr>
      <w:r w:rsidRPr="006E28CD">
        <w:rPr>
          <w:lang w:val="en-GB"/>
        </w:rPr>
        <w:t>Outstanding Asian family firm: The way forward</w:t>
      </w:r>
    </w:p>
    <w:p w14:paraId="186D6C45" w14:textId="77777777" w:rsidR="00CD53A5" w:rsidRPr="00D65FC4" w:rsidRDefault="00CD53A5" w:rsidP="00CD53A5">
      <w:pPr>
        <w:pStyle w:val="BodyTextMain"/>
        <w:rPr>
          <w:sz w:val="20"/>
          <w:lang w:val="en-GB"/>
        </w:rPr>
      </w:pPr>
    </w:p>
    <w:p w14:paraId="38DF627E" w14:textId="38A438C5" w:rsidR="00CD53A5" w:rsidRPr="006E28CD" w:rsidRDefault="00BE785C" w:rsidP="00CD53A5">
      <w:pPr>
        <w:pStyle w:val="BodyTextMain"/>
        <w:rPr>
          <w:lang w:val="en-GB"/>
        </w:rPr>
      </w:pPr>
      <w:r w:rsidRPr="006E28CD">
        <w:rPr>
          <w:lang w:val="en-GB"/>
        </w:rPr>
        <w:t>Lee had</w:t>
      </w:r>
      <w:r w:rsidR="00CD53A5" w:rsidRPr="006E28CD">
        <w:rPr>
          <w:lang w:val="en-GB"/>
        </w:rPr>
        <w:t xml:space="preserve"> the proposal from the IOI </w:t>
      </w:r>
      <w:proofErr w:type="spellStart"/>
      <w:r w:rsidR="00CD53A5" w:rsidRPr="006E28CD">
        <w:rPr>
          <w:lang w:val="en-GB"/>
        </w:rPr>
        <w:t>Loders</w:t>
      </w:r>
      <w:proofErr w:type="spellEnd"/>
      <w:r w:rsidR="00CD53A5" w:rsidRPr="006E28CD">
        <w:rPr>
          <w:lang w:val="en-GB"/>
        </w:rPr>
        <w:t xml:space="preserve"> </w:t>
      </w:r>
      <w:proofErr w:type="spellStart"/>
      <w:r w:rsidR="00CD53A5" w:rsidRPr="006E28CD">
        <w:rPr>
          <w:lang w:val="en-GB"/>
        </w:rPr>
        <w:t>Croklaan</w:t>
      </w:r>
      <w:proofErr w:type="spellEnd"/>
      <w:r w:rsidR="00CD53A5" w:rsidRPr="006E28CD">
        <w:rPr>
          <w:lang w:val="en-GB"/>
        </w:rPr>
        <w:t xml:space="preserve"> CEO</w:t>
      </w:r>
      <w:r w:rsidRPr="006E28CD">
        <w:rPr>
          <w:lang w:val="en-GB"/>
        </w:rPr>
        <w:t xml:space="preserve"> on his desk</w:t>
      </w:r>
      <w:r w:rsidR="00CD53A5" w:rsidRPr="006E28CD">
        <w:rPr>
          <w:lang w:val="en-GB"/>
        </w:rPr>
        <w:t xml:space="preserve">. Veitch suggested capturing synergies across </w:t>
      </w:r>
      <w:r w:rsidRPr="006E28CD">
        <w:rPr>
          <w:lang w:val="en-GB"/>
        </w:rPr>
        <w:t>Europe, the United States</w:t>
      </w:r>
      <w:r w:rsidR="00CD53A5" w:rsidRPr="006E28CD">
        <w:rPr>
          <w:lang w:val="en-GB"/>
        </w:rPr>
        <w:t xml:space="preserve">, and Asia. He also suggested expanding into new geographies such as Brazil and India by building new plants or through </w:t>
      </w:r>
      <w:r w:rsidR="00D64A9B">
        <w:rPr>
          <w:lang w:val="en-GB"/>
        </w:rPr>
        <w:t>mergers and acquisitions</w:t>
      </w:r>
      <w:r w:rsidR="00CD53A5" w:rsidRPr="006E28CD">
        <w:rPr>
          <w:lang w:val="en-GB"/>
        </w:rPr>
        <w:t>. Investing in both types of growth was necessary to achieve his ambitious targets.</w:t>
      </w:r>
    </w:p>
    <w:p w14:paraId="6CD243ED" w14:textId="77777777" w:rsidR="00CD53A5" w:rsidRPr="00D65FC4" w:rsidRDefault="00CD53A5" w:rsidP="00CD53A5">
      <w:pPr>
        <w:pStyle w:val="BodyTextMain"/>
        <w:rPr>
          <w:sz w:val="20"/>
          <w:lang w:val="en-GB"/>
        </w:rPr>
      </w:pPr>
    </w:p>
    <w:p w14:paraId="5984D83A" w14:textId="4DBB936D" w:rsidR="00CD53A5" w:rsidRPr="006E28CD" w:rsidRDefault="00CD53A5" w:rsidP="00CD53A5">
      <w:pPr>
        <w:pStyle w:val="BodyTextMain"/>
        <w:rPr>
          <w:lang w:val="en-GB"/>
        </w:rPr>
      </w:pPr>
      <w:r w:rsidRPr="006E28CD">
        <w:rPr>
          <w:lang w:val="en-GB"/>
        </w:rPr>
        <w:t xml:space="preserve">Lee realized that the strengths that his family had instilled in IOI, which had made the company so successful, had </w:t>
      </w:r>
      <w:r w:rsidR="00BE785C" w:rsidRPr="006E28CD">
        <w:rPr>
          <w:lang w:val="en-GB"/>
        </w:rPr>
        <w:t xml:space="preserve">their </w:t>
      </w:r>
      <w:r w:rsidRPr="006E28CD">
        <w:rPr>
          <w:lang w:val="en-GB"/>
        </w:rPr>
        <w:t>limitations</w:t>
      </w:r>
      <w:r w:rsidR="00757D1D">
        <w:rPr>
          <w:lang w:val="en-GB"/>
        </w:rPr>
        <w:t>,</w:t>
      </w:r>
      <w:r w:rsidRPr="006E28CD">
        <w:rPr>
          <w:lang w:val="en-GB"/>
        </w:rPr>
        <w:t xml:space="preserve"> too. The question was how to keep the legacy and build additional managerial capability at the same time. He wondered how to create an excellent organization with smooth coordination yet without too much complexity or overhead costs. Expanding into unknown areas involved new risks, as he had </w:t>
      </w:r>
      <w:r w:rsidR="00BE785C" w:rsidRPr="006E28CD">
        <w:rPr>
          <w:lang w:val="en-GB"/>
        </w:rPr>
        <w:t xml:space="preserve">learned through </w:t>
      </w:r>
      <w:r w:rsidRPr="006E28CD">
        <w:rPr>
          <w:lang w:val="en-GB"/>
        </w:rPr>
        <w:t xml:space="preserve">the RSPO suspension. Therefore, he was forced to rethink how fast </w:t>
      </w:r>
      <w:r w:rsidR="00997449" w:rsidRPr="006E28CD">
        <w:rPr>
          <w:lang w:val="en-GB"/>
        </w:rPr>
        <w:t xml:space="preserve">IOI </w:t>
      </w:r>
      <w:r w:rsidRPr="006E28CD">
        <w:rPr>
          <w:lang w:val="en-GB"/>
        </w:rPr>
        <w:t xml:space="preserve">could grow and whether </w:t>
      </w:r>
      <w:r w:rsidR="00997449" w:rsidRPr="006E28CD">
        <w:rPr>
          <w:lang w:val="en-GB"/>
        </w:rPr>
        <w:t xml:space="preserve">it </w:t>
      </w:r>
      <w:r w:rsidRPr="006E28CD">
        <w:rPr>
          <w:lang w:val="en-GB"/>
        </w:rPr>
        <w:t xml:space="preserve">had a solid base to grow from. On the other hand, sustainable long-term growth </w:t>
      </w:r>
      <w:r w:rsidR="00997449" w:rsidRPr="006E28CD">
        <w:rPr>
          <w:lang w:val="en-GB"/>
        </w:rPr>
        <w:t xml:space="preserve">depended </w:t>
      </w:r>
      <w:r w:rsidRPr="006E28CD">
        <w:rPr>
          <w:lang w:val="en-GB"/>
        </w:rPr>
        <w:t>on the ability to renew the organization and to innovate, and his family had a successful entrepreneurial history.</w:t>
      </w:r>
    </w:p>
    <w:p w14:paraId="58681018" w14:textId="77777777" w:rsidR="00CD53A5" w:rsidRPr="00D65FC4" w:rsidRDefault="00CD53A5" w:rsidP="00CD53A5">
      <w:pPr>
        <w:pStyle w:val="BodyTextMain"/>
        <w:rPr>
          <w:sz w:val="20"/>
          <w:lang w:val="en-GB"/>
        </w:rPr>
      </w:pPr>
    </w:p>
    <w:p w14:paraId="2B3E5F8E" w14:textId="42BD6417" w:rsidR="00CD53A5" w:rsidRPr="006E28CD" w:rsidRDefault="00CD53A5" w:rsidP="00CD53A5">
      <w:pPr>
        <w:pStyle w:val="BodyTextMain"/>
        <w:rPr>
          <w:lang w:val="en-GB"/>
        </w:rPr>
      </w:pPr>
      <w:r w:rsidRPr="006E28CD">
        <w:rPr>
          <w:lang w:val="en-GB"/>
        </w:rPr>
        <w:t xml:space="preserve">Should he go ahead with the vision 2025 plan? </w:t>
      </w:r>
      <w:r w:rsidR="00AD3435">
        <w:rPr>
          <w:lang w:val="en-GB"/>
        </w:rPr>
        <w:t>Lee</w:t>
      </w:r>
      <w:r w:rsidRPr="006E28CD">
        <w:rPr>
          <w:lang w:val="en-GB"/>
        </w:rPr>
        <w:t xml:space="preserve"> liked the entrepreneurship that his team displayed</w:t>
      </w:r>
      <w:r w:rsidR="00997449" w:rsidRPr="006E28CD">
        <w:rPr>
          <w:lang w:val="en-GB"/>
        </w:rPr>
        <w:t>, b</w:t>
      </w:r>
      <w:r w:rsidRPr="006E28CD">
        <w:rPr>
          <w:lang w:val="en-GB"/>
        </w:rPr>
        <w:t>ut</w:t>
      </w:r>
      <w:r w:rsidR="00997449" w:rsidRPr="006E28CD">
        <w:rPr>
          <w:lang w:val="en-GB"/>
        </w:rPr>
        <w:t xml:space="preserve"> he wondered if it </w:t>
      </w:r>
      <w:r w:rsidRPr="006E28CD">
        <w:rPr>
          <w:lang w:val="en-GB"/>
        </w:rPr>
        <w:t xml:space="preserve">would involve taking too much risk or take the company too far from what </w:t>
      </w:r>
      <w:r w:rsidR="00997449" w:rsidRPr="006E28CD">
        <w:rPr>
          <w:lang w:val="en-GB"/>
        </w:rPr>
        <w:t xml:space="preserve">had </w:t>
      </w:r>
      <w:r w:rsidRPr="006E28CD">
        <w:rPr>
          <w:lang w:val="en-GB"/>
        </w:rPr>
        <w:t>made it successful in the first place</w:t>
      </w:r>
      <w:r w:rsidR="00997449" w:rsidRPr="006E28CD">
        <w:rPr>
          <w:lang w:val="en-GB"/>
        </w:rPr>
        <w:t xml:space="preserve">. </w:t>
      </w:r>
      <w:r w:rsidR="00AD3435">
        <w:rPr>
          <w:lang w:val="en-GB"/>
        </w:rPr>
        <w:t>He</w:t>
      </w:r>
      <w:r w:rsidRPr="006E28CD">
        <w:rPr>
          <w:lang w:val="en-GB"/>
        </w:rPr>
        <w:t xml:space="preserve"> wondered whether approving the strategy would cause the organization to grow faster than his ability to control it. </w:t>
      </w:r>
      <w:r w:rsidR="00997449" w:rsidRPr="006E28CD">
        <w:rPr>
          <w:lang w:val="en-GB"/>
        </w:rPr>
        <w:t xml:space="preserve">The key question was how </w:t>
      </w:r>
      <w:r w:rsidRPr="006E28CD">
        <w:rPr>
          <w:lang w:val="en-GB"/>
        </w:rPr>
        <w:t xml:space="preserve">to grow IOI and at what speed. </w:t>
      </w:r>
      <w:r w:rsidR="00997449" w:rsidRPr="006E28CD">
        <w:rPr>
          <w:lang w:val="en-GB"/>
        </w:rPr>
        <w:t xml:space="preserve">The answer </w:t>
      </w:r>
      <w:r w:rsidRPr="006E28CD">
        <w:rPr>
          <w:lang w:val="en-GB"/>
        </w:rPr>
        <w:t xml:space="preserve">would determine whether he could reach his goal of </w:t>
      </w:r>
      <w:r w:rsidR="00997449" w:rsidRPr="006E28CD">
        <w:rPr>
          <w:lang w:val="en-GB"/>
        </w:rPr>
        <w:t xml:space="preserve">creating </w:t>
      </w:r>
      <w:r w:rsidRPr="006E28CD">
        <w:rPr>
          <w:lang w:val="en-GB"/>
        </w:rPr>
        <w:t>a widely respected</w:t>
      </w:r>
      <w:r w:rsidR="00997449" w:rsidRPr="006E28CD">
        <w:rPr>
          <w:lang w:val="en-GB"/>
        </w:rPr>
        <w:t>,</w:t>
      </w:r>
      <w:r w:rsidRPr="006E28CD">
        <w:rPr>
          <w:lang w:val="en-GB"/>
        </w:rPr>
        <w:t xml:space="preserve"> family</w:t>
      </w:r>
      <w:r w:rsidR="00997449" w:rsidRPr="006E28CD">
        <w:rPr>
          <w:lang w:val="en-GB"/>
        </w:rPr>
        <w:t>-</w:t>
      </w:r>
      <w:r w:rsidRPr="006E28CD">
        <w:rPr>
          <w:lang w:val="en-GB"/>
        </w:rPr>
        <w:t>owned</w:t>
      </w:r>
      <w:r w:rsidR="00997449" w:rsidRPr="006E28CD">
        <w:rPr>
          <w:lang w:val="en-GB"/>
        </w:rPr>
        <w:t>,</w:t>
      </w:r>
      <w:r w:rsidRPr="006E28CD">
        <w:rPr>
          <w:lang w:val="en-GB"/>
        </w:rPr>
        <w:t xml:space="preserve"> </w:t>
      </w:r>
      <w:r w:rsidR="00997449" w:rsidRPr="006E28CD">
        <w:rPr>
          <w:lang w:val="en-GB"/>
        </w:rPr>
        <w:t xml:space="preserve">Malaysian </w:t>
      </w:r>
      <w:r w:rsidRPr="006E28CD">
        <w:rPr>
          <w:lang w:val="en-GB"/>
        </w:rPr>
        <w:t xml:space="preserve">multinational. Lee knew he had to get it right. He could not allow himself to be derailed from the </w:t>
      </w:r>
      <w:r w:rsidR="00997449" w:rsidRPr="006E28CD">
        <w:rPr>
          <w:lang w:val="en-GB"/>
        </w:rPr>
        <w:t xml:space="preserve">core values and traditions of </w:t>
      </w:r>
      <w:r w:rsidRPr="006E28CD">
        <w:rPr>
          <w:lang w:val="en-GB"/>
        </w:rPr>
        <w:t>IOI. Should he adopt the 2025 vision plan as proposed, reject it, or implement it in a different way?</w:t>
      </w:r>
    </w:p>
    <w:p w14:paraId="12E4A793" w14:textId="77777777" w:rsidR="00CD53A5" w:rsidRPr="006E28CD" w:rsidRDefault="00CD53A5" w:rsidP="00CD53A5">
      <w:pPr>
        <w:pStyle w:val="BodyTextMain"/>
        <w:rPr>
          <w:lang w:val="en-GB"/>
        </w:rPr>
      </w:pPr>
      <w:r w:rsidRPr="006E28CD">
        <w:rPr>
          <w:noProof/>
        </w:rPr>
        <mc:AlternateContent>
          <mc:Choice Requires="wps">
            <w:drawing>
              <wp:anchor distT="45720" distB="45720" distL="114300" distR="114300" simplePos="0" relativeHeight="251658240" behindDoc="0" locked="0" layoutInCell="1" allowOverlap="1" wp14:anchorId="54D569E5" wp14:editId="1A4C4B2A">
                <wp:simplePos x="0" y="0"/>
                <wp:positionH relativeFrom="column">
                  <wp:posOffset>1327785</wp:posOffset>
                </wp:positionH>
                <wp:positionV relativeFrom="paragraph">
                  <wp:posOffset>151434</wp:posOffset>
                </wp:positionV>
                <wp:extent cx="2807335" cy="348615"/>
                <wp:effectExtent l="0" t="0" r="1206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335" cy="348615"/>
                        </a:xfrm>
                        <a:prstGeom prst="rect">
                          <a:avLst/>
                        </a:prstGeom>
                        <a:solidFill>
                          <a:srgbClr val="FFFFFF"/>
                        </a:solidFill>
                        <a:ln w="9525">
                          <a:solidFill>
                            <a:srgbClr val="000000"/>
                          </a:solidFill>
                          <a:miter lim="800000"/>
                          <a:headEnd/>
                          <a:tailEnd/>
                        </a:ln>
                      </wps:spPr>
                      <wps:txbx>
                        <w:txbxContent>
                          <w:p w14:paraId="4F799CF6" w14:textId="77777777" w:rsidR="00FE73D0" w:rsidRDefault="00FE73D0" w:rsidP="00CD53A5">
                            <w:pPr>
                              <w:pStyle w:val="Footnote"/>
                            </w:pPr>
                            <w:r w:rsidRPr="00235D79">
                              <w:t>This case is supported by NUS Business School Case Research Grant under WBS N-311-000-341-</w:t>
                            </w:r>
                            <w:r>
                              <w:t>001.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4D569E5" id="_x0000_t202" coordsize="21600,21600" o:spt="202" path="m,l,21600r21600,l21600,xe">
                <v:stroke joinstyle="miter"/>
                <v:path gradientshapeok="t" o:connecttype="rect"/>
              </v:shapetype>
              <v:shape id="Text Box 2" o:spid="_x0000_s1026" type="#_x0000_t202" style="position:absolute;left:0;text-align:left;margin-left:104.55pt;margin-top:11.9pt;width:221.05pt;height:27.45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">
                <v:textbox style="mso-fit-shape-to-text:t">
                  <w:txbxContent>
                    <w:p w14:paraId="4F799CF6" w14:textId="77777777" w:rsidR="00FE73D0" w:rsidRDefault="00FE73D0" w:rsidP="00CD53A5">
                      <w:pPr>
                        <w:pStyle w:val="Footnote"/>
                      </w:pPr>
                      <w:r w:rsidRPr="00235D79">
                        <w:t>This case is supported by NUS Business School Case Research Grant under WBS N-311-000-341-</w:t>
                      </w:r>
                      <w:r>
                        <w:t>001.</w:t>
                      </w:r>
                    </w:p>
                  </w:txbxContent>
                </v:textbox>
                <w10:wrap type="square"/>
              </v:shape>
            </w:pict>
          </mc:Fallback>
        </mc:AlternateContent>
      </w:r>
    </w:p>
    <w:p w14:paraId="68FD75D6" w14:textId="77777777" w:rsidR="00CD53A5" w:rsidRPr="006E28CD" w:rsidRDefault="00CD53A5" w:rsidP="00CD53A5">
      <w:pPr>
        <w:pStyle w:val="BodyTextMain"/>
        <w:rPr>
          <w:lang w:val="en-GB"/>
        </w:rPr>
      </w:pPr>
    </w:p>
    <w:p w14:paraId="5E9E7EDD" w14:textId="77777777" w:rsidR="00CD53A5" w:rsidRPr="006E28CD" w:rsidRDefault="00CD53A5" w:rsidP="00CD53A5">
      <w:pPr>
        <w:pStyle w:val="BodyTextMain"/>
        <w:rPr>
          <w:lang w:val="en-GB"/>
        </w:rPr>
      </w:pPr>
    </w:p>
    <w:p w14:paraId="0175C240" w14:textId="77777777" w:rsidR="00CD53A5" w:rsidRPr="006E28CD" w:rsidRDefault="00CD53A5" w:rsidP="00CD53A5">
      <w:pPr>
        <w:pStyle w:val="BodyTextMain"/>
        <w:rPr>
          <w:lang w:val="en-GB"/>
        </w:rPr>
      </w:pPr>
    </w:p>
    <w:p w14:paraId="1DA9BC30" w14:textId="77777777" w:rsidR="00CD53A5" w:rsidRPr="006E28CD" w:rsidRDefault="00CD53A5" w:rsidP="00CD53A5">
      <w:pPr>
        <w:pStyle w:val="BodyTextMain"/>
        <w:rPr>
          <w:lang w:val="en-GB"/>
        </w:rPr>
      </w:pPr>
    </w:p>
    <w:p w14:paraId="13A533FD" w14:textId="77777777" w:rsidR="00CD53A5" w:rsidRPr="006E28CD" w:rsidRDefault="00CD53A5">
      <w:pPr>
        <w:spacing w:after="200" w:line="276" w:lineRule="auto"/>
        <w:rPr>
          <w:sz w:val="22"/>
          <w:szCs w:val="22"/>
          <w:lang w:val="en-GB"/>
        </w:rPr>
      </w:pPr>
      <w:r w:rsidRPr="006E28CD">
        <w:rPr>
          <w:lang w:val="en-GB"/>
        </w:rPr>
        <w:br w:type="page"/>
      </w:r>
    </w:p>
    <w:p w14:paraId="43C838E1" w14:textId="59FEA706" w:rsidR="00CD53A5" w:rsidRPr="006E28CD" w:rsidRDefault="00CD53A5" w:rsidP="00CD53A5">
      <w:pPr>
        <w:pStyle w:val="ExhibitHeading"/>
        <w:rPr>
          <w:lang w:val="en-GB"/>
        </w:rPr>
      </w:pPr>
      <w:r w:rsidRPr="006E28CD">
        <w:rPr>
          <w:lang w:val="en-GB"/>
        </w:rPr>
        <w:lastRenderedPageBreak/>
        <w:t xml:space="preserve">Exhibit 1: </w:t>
      </w:r>
      <w:r w:rsidR="00997449" w:rsidRPr="006E28CD">
        <w:rPr>
          <w:lang w:val="en-GB"/>
        </w:rPr>
        <w:t xml:space="preserve">IOI </w:t>
      </w:r>
      <w:r w:rsidRPr="006E28CD">
        <w:rPr>
          <w:lang w:val="en-GB"/>
        </w:rPr>
        <w:t>Financial Summary</w:t>
      </w:r>
    </w:p>
    <w:p w14:paraId="733AE843" w14:textId="77777777" w:rsidR="00CD53A5" w:rsidRPr="006E28CD" w:rsidRDefault="00CD53A5" w:rsidP="00CD53A5">
      <w:pPr>
        <w:pStyle w:val="ExhibitHeading"/>
        <w:rPr>
          <w:lang w:val="en-GB"/>
        </w:rPr>
      </w:pPr>
    </w:p>
    <w:p w14:paraId="35ED56AA" w14:textId="6B8F8563" w:rsidR="003B03D9" w:rsidRPr="006E28CD" w:rsidRDefault="003B03D9" w:rsidP="003B03D9">
      <w:pPr>
        <w:pStyle w:val="Casehead2"/>
        <w:rPr>
          <w:lang w:val="en-GB"/>
        </w:rPr>
      </w:pPr>
      <w:r w:rsidRPr="006E28CD">
        <w:rPr>
          <w:lang w:val="en-GB"/>
        </w:rPr>
        <w:t>Balance Sheet (</w:t>
      </w:r>
      <w:r w:rsidR="00997449" w:rsidRPr="006E28CD">
        <w:rPr>
          <w:lang w:val="en-GB" w:eastAsia="zh-CN"/>
        </w:rPr>
        <w:t xml:space="preserve">in MYR </w:t>
      </w:r>
      <w:r w:rsidRPr="006E28CD">
        <w:rPr>
          <w:lang w:val="en-GB" w:eastAsia="zh-CN"/>
        </w:rPr>
        <w:t>million</w:t>
      </w:r>
      <w:r w:rsidR="00997449" w:rsidRPr="006E28CD">
        <w:rPr>
          <w:lang w:val="en-GB" w:eastAsia="zh-CN"/>
        </w:rPr>
        <w:t>s</w:t>
      </w:r>
      <w:r w:rsidRPr="006E28CD">
        <w:rPr>
          <w:lang w:val="en-GB" w:eastAsia="zh-CN"/>
        </w:rPr>
        <w:t xml:space="preserve"> unless otherwise stated)</w:t>
      </w:r>
    </w:p>
    <w:p w14:paraId="6D228934" w14:textId="77777777" w:rsidR="003B03D9" w:rsidRPr="006E28CD" w:rsidRDefault="003B03D9" w:rsidP="00CD53A5">
      <w:pPr>
        <w:pStyle w:val="ExhibitHeading"/>
        <w:rPr>
          <w:lang w:val="en-GB"/>
        </w:rPr>
      </w:pPr>
    </w:p>
    <w:tbl>
      <w:tblPr>
        <w:tblStyle w:val="TableGrid"/>
        <w:tblW w:w="9360" w:type="dxa"/>
        <w:tblInd w:w="108" w:type="dxa"/>
        <w:tblLayout w:type="fixed"/>
        <w:tblLook w:val="04A0" w:firstRow="1" w:lastRow="0" w:firstColumn="1" w:lastColumn="0" w:noHBand="0" w:noVBand="1"/>
      </w:tblPr>
      <w:tblGrid>
        <w:gridCol w:w="2610"/>
        <w:gridCol w:w="1350"/>
        <w:gridCol w:w="1080"/>
        <w:gridCol w:w="1080"/>
        <w:gridCol w:w="1080"/>
        <w:gridCol w:w="1080"/>
        <w:gridCol w:w="1080"/>
      </w:tblGrid>
      <w:tr w:rsidR="003B03D9" w:rsidRPr="006E28CD" w14:paraId="1828C6FE" w14:textId="77777777" w:rsidTr="003B03D9">
        <w:trPr>
          <w:trHeight w:val="60"/>
        </w:trPr>
        <w:tc>
          <w:tcPr>
            <w:tcW w:w="2610" w:type="dxa"/>
            <w:hideMark/>
          </w:tcPr>
          <w:p w14:paraId="60F67ABD" w14:textId="77777777" w:rsidR="00CD53A5" w:rsidRPr="006E28CD" w:rsidRDefault="00CD53A5" w:rsidP="003B03D9">
            <w:pPr>
              <w:pStyle w:val="ExhibitText"/>
              <w:rPr>
                <w:lang w:val="en-GB"/>
              </w:rPr>
            </w:pPr>
          </w:p>
        </w:tc>
        <w:tc>
          <w:tcPr>
            <w:tcW w:w="1350" w:type="dxa"/>
            <w:hideMark/>
          </w:tcPr>
          <w:p w14:paraId="6ACF7F65" w14:textId="77777777" w:rsidR="00CD53A5" w:rsidRPr="00D65FC4" w:rsidRDefault="00CD53A5" w:rsidP="003B03D9">
            <w:pPr>
              <w:pStyle w:val="ExhibitText"/>
              <w:jc w:val="center"/>
              <w:rPr>
                <w:b/>
                <w:lang w:val="en-GB"/>
              </w:rPr>
            </w:pPr>
            <w:r w:rsidRPr="00D65FC4">
              <w:rPr>
                <w:b/>
                <w:lang w:val="en-GB"/>
              </w:rPr>
              <w:t>2017</w:t>
            </w:r>
          </w:p>
        </w:tc>
        <w:tc>
          <w:tcPr>
            <w:tcW w:w="1080" w:type="dxa"/>
            <w:noWrap/>
            <w:hideMark/>
          </w:tcPr>
          <w:p w14:paraId="3557449F" w14:textId="77777777" w:rsidR="00CD53A5" w:rsidRPr="00D65FC4" w:rsidRDefault="00CD53A5" w:rsidP="003B03D9">
            <w:pPr>
              <w:pStyle w:val="ExhibitText"/>
              <w:jc w:val="center"/>
              <w:rPr>
                <w:b/>
                <w:lang w:val="en-GB"/>
              </w:rPr>
            </w:pPr>
            <w:r w:rsidRPr="00D65FC4">
              <w:rPr>
                <w:b/>
                <w:lang w:val="en-GB"/>
              </w:rPr>
              <w:t>2016</w:t>
            </w:r>
          </w:p>
        </w:tc>
        <w:tc>
          <w:tcPr>
            <w:tcW w:w="1080" w:type="dxa"/>
            <w:noWrap/>
            <w:hideMark/>
          </w:tcPr>
          <w:p w14:paraId="6FF05636" w14:textId="77777777" w:rsidR="00CD53A5" w:rsidRPr="00D65FC4" w:rsidRDefault="00CD53A5" w:rsidP="003B03D9">
            <w:pPr>
              <w:pStyle w:val="ExhibitText"/>
              <w:jc w:val="center"/>
              <w:rPr>
                <w:b/>
                <w:lang w:val="en-GB"/>
              </w:rPr>
            </w:pPr>
            <w:r w:rsidRPr="00D65FC4">
              <w:rPr>
                <w:b/>
                <w:lang w:val="en-GB"/>
              </w:rPr>
              <w:t>2015</w:t>
            </w:r>
          </w:p>
        </w:tc>
        <w:tc>
          <w:tcPr>
            <w:tcW w:w="1080" w:type="dxa"/>
            <w:noWrap/>
            <w:hideMark/>
          </w:tcPr>
          <w:p w14:paraId="72283646" w14:textId="77777777" w:rsidR="00CD53A5" w:rsidRPr="00D65FC4" w:rsidRDefault="00CD53A5" w:rsidP="003B03D9">
            <w:pPr>
              <w:pStyle w:val="ExhibitText"/>
              <w:jc w:val="center"/>
              <w:rPr>
                <w:b/>
                <w:lang w:val="en-GB"/>
              </w:rPr>
            </w:pPr>
            <w:r w:rsidRPr="00D65FC4">
              <w:rPr>
                <w:b/>
                <w:lang w:val="en-GB"/>
              </w:rPr>
              <w:t>2014</w:t>
            </w:r>
          </w:p>
        </w:tc>
        <w:tc>
          <w:tcPr>
            <w:tcW w:w="1080" w:type="dxa"/>
            <w:noWrap/>
            <w:hideMark/>
          </w:tcPr>
          <w:p w14:paraId="0BB7018F" w14:textId="77777777" w:rsidR="00CD53A5" w:rsidRPr="00D65FC4" w:rsidRDefault="00CD53A5" w:rsidP="003B03D9">
            <w:pPr>
              <w:pStyle w:val="ExhibitText"/>
              <w:jc w:val="center"/>
              <w:rPr>
                <w:b/>
                <w:lang w:val="en-GB"/>
              </w:rPr>
            </w:pPr>
            <w:r w:rsidRPr="00D65FC4">
              <w:rPr>
                <w:b/>
                <w:lang w:val="en-GB"/>
              </w:rPr>
              <w:t>2013</w:t>
            </w:r>
          </w:p>
        </w:tc>
        <w:tc>
          <w:tcPr>
            <w:tcW w:w="1080" w:type="dxa"/>
            <w:noWrap/>
            <w:hideMark/>
          </w:tcPr>
          <w:p w14:paraId="06C3949C" w14:textId="77777777" w:rsidR="00CD53A5" w:rsidRPr="00D65FC4" w:rsidRDefault="00CD53A5" w:rsidP="003B03D9">
            <w:pPr>
              <w:pStyle w:val="ExhibitText"/>
              <w:jc w:val="center"/>
              <w:rPr>
                <w:b/>
                <w:lang w:val="en-GB"/>
              </w:rPr>
            </w:pPr>
            <w:r w:rsidRPr="00D65FC4">
              <w:rPr>
                <w:b/>
                <w:lang w:val="en-GB"/>
              </w:rPr>
              <w:t>2012</w:t>
            </w:r>
          </w:p>
        </w:tc>
      </w:tr>
      <w:tr w:rsidR="00CD53A5" w:rsidRPr="006E28CD" w14:paraId="52D797BF" w14:textId="77777777" w:rsidTr="003B03D9">
        <w:trPr>
          <w:trHeight w:val="60"/>
        </w:trPr>
        <w:tc>
          <w:tcPr>
            <w:tcW w:w="9360" w:type="dxa"/>
            <w:gridSpan w:val="7"/>
            <w:noWrap/>
            <w:hideMark/>
          </w:tcPr>
          <w:p w14:paraId="6F66B917" w14:textId="77777777" w:rsidR="00CD53A5" w:rsidRPr="006E28CD" w:rsidRDefault="00CD53A5" w:rsidP="003B03D9">
            <w:pPr>
              <w:pStyle w:val="ExhibitText"/>
              <w:jc w:val="center"/>
              <w:rPr>
                <w:b/>
                <w:lang w:val="en-GB"/>
              </w:rPr>
            </w:pPr>
            <w:r w:rsidRPr="006E28CD">
              <w:rPr>
                <w:b/>
                <w:lang w:val="en-GB"/>
              </w:rPr>
              <w:t>Assets</w:t>
            </w:r>
          </w:p>
        </w:tc>
      </w:tr>
      <w:tr w:rsidR="003B03D9" w:rsidRPr="006E28CD" w14:paraId="2C16476A" w14:textId="77777777" w:rsidTr="003B03D9">
        <w:trPr>
          <w:trHeight w:val="60"/>
        </w:trPr>
        <w:tc>
          <w:tcPr>
            <w:tcW w:w="2610" w:type="dxa"/>
            <w:hideMark/>
          </w:tcPr>
          <w:p w14:paraId="33E565E9" w14:textId="39C60F17" w:rsidR="00CD53A5" w:rsidRPr="006E28CD" w:rsidRDefault="00CD53A5" w:rsidP="00D65FC4">
            <w:pPr>
              <w:pStyle w:val="ExhibitText"/>
              <w:jc w:val="left"/>
              <w:rPr>
                <w:lang w:val="en-GB"/>
              </w:rPr>
            </w:pPr>
            <w:r w:rsidRPr="006E28CD">
              <w:rPr>
                <w:lang w:val="en-GB"/>
              </w:rPr>
              <w:t>Non-</w:t>
            </w:r>
            <w:r w:rsidR="009F3950" w:rsidRPr="006E28CD">
              <w:rPr>
                <w:lang w:val="en-GB"/>
              </w:rPr>
              <w:t>Current Assets</w:t>
            </w:r>
          </w:p>
        </w:tc>
        <w:tc>
          <w:tcPr>
            <w:tcW w:w="1350" w:type="dxa"/>
            <w:hideMark/>
          </w:tcPr>
          <w:p w14:paraId="0283683A" w14:textId="77777777" w:rsidR="00CD53A5" w:rsidRPr="006E28CD" w:rsidRDefault="00CD53A5" w:rsidP="003B03D9">
            <w:pPr>
              <w:pStyle w:val="ExhibitText"/>
              <w:jc w:val="right"/>
              <w:rPr>
                <w:lang w:val="en-GB"/>
              </w:rPr>
            </w:pPr>
            <w:r w:rsidRPr="006E28CD">
              <w:rPr>
                <w:lang w:val="en-GB"/>
              </w:rPr>
              <w:t> </w:t>
            </w:r>
          </w:p>
        </w:tc>
        <w:tc>
          <w:tcPr>
            <w:tcW w:w="1080" w:type="dxa"/>
            <w:noWrap/>
            <w:hideMark/>
          </w:tcPr>
          <w:p w14:paraId="06421E9D" w14:textId="77777777" w:rsidR="00CD53A5" w:rsidRPr="006E28CD" w:rsidRDefault="00CD53A5" w:rsidP="003B03D9">
            <w:pPr>
              <w:pStyle w:val="ExhibitText"/>
              <w:jc w:val="right"/>
              <w:rPr>
                <w:lang w:val="en-GB"/>
              </w:rPr>
            </w:pPr>
            <w:r w:rsidRPr="006E28CD">
              <w:rPr>
                <w:lang w:val="en-GB"/>
              </w:rPr>
              <w:t> </w:t>
            </w:r>
          </w:p>
        </w:tc>
        <w:tc>
          <w:tcPr>
            <w:tcW w:w="1080" w:type="dxa"/>
            <w:noWrap/>
            <w:hideMark/>
          </w:tcPr>
          <w:p w14:paraId="319D2097" w14:textId="77777777" w:rsidR="00CD53A5" w:rsidRPr="006E28CD" w:rsidRDefault="00CD53A5" w:rsidP="003B03D9">
            <w:pPr>
              <w:pStyle w:val="ExhibitText"/>
              <w:jc w:val="right"/>
              <w:rPr>
                <w:lang w:val="en-GB"/>
              </w:rPr>
            </w:pPr>
            <w:r w:rsidRPr="006E28CD">
              <w:rPr>
                <w:lang w:val="en-GB"/>
              </w:rPr>
              <w:t> </w:t>
            </w:r>
          </w:p>
        </w:tc>
        <w:tc>
          <w:tcPr>
            <w:tcW w:w="1080" w:type="dxa"/>
            <w:noWrap/>
            <w:hideMark/>
          </w:tcPr>
          <w:p w14:paraId="73F80A20" w14:textId="77777777" w:rsidR="00CD53A5" w:rsidRPr="006E28CD" w:rsidRDefault="00CD53A5" w:rsidP="003B03D9">
            <w:pPr>
              <w:pStyle w:val="ExhibitText"/>
              <w:jc w:val="right"/>
              <w:rPr>
                <w:lang w:val="en-GB"/>
              </w:rPr>
            </w:pPr>
            <w:r w:rsidRPr="006E28CD">
              <w:rPr>
                <w:lang w:val="en-GB"/>
              </w:rPr>
              <w:t> </w:t>
            </w:r>
          </w:p>
        </w:tc>
        <w:tc>
          <w:tcPr>
            <w:tcW w:w="1080" w:type="dxa"/>
            <w:noWrap/>
            <w:hideMark/>
          </w:tcPr>
          <w:p w14:paraId="0DA950F2" w14:textId="77777777" w:rsidR="00CD53A5" w:rsidRPr="006E28CD" w:rsidRDefault="00CD53A5" w:rsidP="003B03D9">
            <w:pPr>
              <w:pStyle w:val="ExhibitText"/>
              <w:jc w:val="right"/>
              <w:rPr>
                <w:lang w:val="en-GB"/>
              </w:rPr>
            </w:pPr>
            <w:r w:rsidRPr="006E28CD">
              <w:rPr>
                <w:lang w:val="en-GB"/>
              </w:rPr>
              <w:t> </w:t>
            </w:r>
          </w:p>
        </w:tc>
        <w:tc>
          <w:tcPr>
            <w:tcW w:w="1080" w:type="dxa"/>
            <w:noWrap/>
            <w:hideMark/>
          </w:tcPr>
          <w:p w14:paraId="33931195" w14:textId="77777777" w:rsidR="00CD53A5" w:rsidRPr="006E28CD" w:rsidRDefault="00CD53A5" w:rsidP="003B03D9">
            <w:pPr>
              <w:pStyle w:val="ExhibitText"/>
              <w:jc w:val="right"/>
              <w:rPr>
                <w:lang w:val="en-GB"/>
              </w:rPr>
            </w:pPr>
            <w:r w:rsidRPr="006E28CD">
              <w:rPr>
                <w:lang w:val="en-GB"/>
              </w:rPr>
              <w:t> </w:t>
            </w:r>
          </w:p>
        </w:tc>
      </w:tr>
      <w:tr w:rsidR="003B03D9" w:rsidRPr="006E28CD" w14:paraId="44A35B0D" w14:textId="77777777" w:rsidTr="003B03D9">
        <w:trPr>
          <w:trHeight w:val="600"/>
        </w:trPr>
        <w:tc>
          <w:tcPr>
            <w:tcW w:w="2610" w:type="dxa"/>
            <w:hideMark/>
          </w:tcPr>
          <w:p w14:paraId="6DBE6F84" w14:textId="014B5FFC" w:rsidR="00CD53A5" w:rsidRPr="006E28CD" w:rsidRDefault="00CD53A5" w:rsidP="00D65FC4">
            <w:pPr>
              <w:pStyle w:val="ExhibitText"/>
              <w:jc w:val="left"/>
              <w:rPr>
                <w:lang w:val="en-GB"/>
              </w:rPr>
            </w:pPr>
            <w:r w:rsidRPr="006E28CD">
              <w:rPr>
                <w:lang w:val="en-GB"/>
              </w:rPr>
              <w:t xml:space="preserve">Property, </w:t>
            </w:r>
            <w:r w:rsidR="009F3950" w:rsidRPr="006E28CD">
              <w:rPr>
                <w:lang w:val="en-GB"/>
              </w:rPr>
              <w:t>Plant</w:t>
            </w:r>
            <w:r w:rsidR="00810519">
              <w:rPr>
                <w:lang w:val="en-GB"/>
              </w:rPr>
              <w:t>,</w:t>
            </w:r>
            <w:r w:rsidR="009F3950" w:rsidRPr="006E28CD">
              <w:rPr>
                <w:lang w:val="en-GB"/>
              </w:rPr>
              <w:t xml:space="preserve"> </w:t>
            </w:r>
            <w:r w:rsidRPr="006E28CD">
              <w:rPr>
                <w:lang w:val="en-GB"/>
              </w:rPr>
              <w:t xml:space="preserve">and </w:t>
            </w:r>
            <w:r w:rsidR="009F3950" w:rsidRPr="006E28CD">
              <w:rPr>
                <w:lang w:val="en-GB"/>
              </w:rPr>
              <w:t xml:space="preserve">Equipment </w:t>
            </w:r>
            <w:r w:rsidRPr="006E28CD">
              <w:rPr>
                <w:lang w:val="en-GB"/>
              </w:rPr>
              <w:t>(PPE</w:t>
            </w:r>
            <w:r w:rsidR="00997449" w:rsidRPr="006E28CD">
              <w:rPr>
                <w:lang w:val="en-GB"/>
              </w:rPr>
              <w:t xml:space="preserve"> </w:t>
            </w:r>
            <w:r w:rsidRPr="006E28CD">
              <w:rPr>
                <w:lang w:val="en-GB"/>
              </w:rPr>
              <w:t>+</w:t>
            </w:r>
            <w:r w:rsidR="00997449" w:rsidRPr="006E28CD">
              <w:rPr>
                <w:lang w:val="en-GB"/>
              </w:rPr>
              <w:t xml:space="preserve"> </w:t>
            </w:r>
            <w:r w:rsidR="009F3950" w:rsidRPr="006E28CD">
              <w:rPr>
                <w:lang w:val="en-GB"/>
              </w:rPr>
              <w:t>Land Held</w:t>
            </w:r>
            <w:r w:rsidRPr="006E28CD">
              <w:rPr>
                <w:lang w:val="en-GB"/>
              </w:rPr>
              <w:t>)</w:t>
            </w:r>
          </w:p>
        </w:tc>
        <w:tc>
          <w:tcPr>
            <w:tcW w:w="1350" w:type="dxa"/>
            <w:hideMark/>
          </w:tcPr>
          <w:p w14:paraId="3DC91C21" w14:textId="77777777" w:rsidR="00CD53A5" w:rsidRPr="006E28CD" w:rsidRDefault="00CD53A5" w:rsidP="003B03D9">
            <w:pPr>
              <w:pStyle w:val="ExhibitText"/>
              <w:jc w:val="right"/>
              <w:rPr>
                <w:lang w:val="en-GB"/>
              </w:rPr>
            </w:pPr>
            <w:r w:rsidRPr="006E28CD">
              <w:rPr>
                <w:lang w:val="en-GB"/>
              </w:rPr>
              <w:t xml:space="preserve"> 10,086.9</w:t>
            </w:r>
          </w:p>
        </w:tc>
        <w:tc>
          <w:tcPr>
            <w:tcW w:w="1080" w:type="dxa"/>
            <w:noWrap/>
            <w:hideMark/>
          </w:tcPr>
          <w:p w14:paraId="6748FD85" w14:textId="77777777" w:rsidR="00CD53A5" w:rsidRPr="006E28CD" w:rsidRDefault="00CD53A5" w:rsidP="003B03D9">
            <w:pPr>
              <w:pStyle w:val="ExhibitText"/>
              <w:jc w:val="right"/>
              <w:rPr>
                <w:lang w:val="en-GB"/>
              </w:rPr>
            </w:pPr>
            <w:r w:rsidRPr="006E28CD">
              <w:rPr>
                <w:lang w:val="en-GB"/>
              </w:rPr>
              <w:t>9,999.3</w:t>
            </w:r>
          </w:p>
        </w:tc>
        <w:tc>
          <w:tcPr>
            <w:tcW w:w="1080" w:type="dxa"/>
            <w:noWrap/>
            <w:hideMark/>
          </w:tcPr>
          <w:p w14:paraId="7632C7DB" w14:textId="77777777" w:rsidR="00CD53A5" w:rsidRPr="006E28CD" w:rsidRDefault="00CD53A5" w:rsidP="003B03D9">
            <w:pPr>
              <w:pStyle w:val="ExhibitText"/>
              <w:jc w:val="right"/>
              <w:rPr>
                <w:lang w:val="en-GB"/>
              </w:rPr>
            </w:pPr>
            <w:r w:rsidRPr="006E28CD">
              <w:rPr>
                <w:lang w:val="en-GB"/>
              </w:rPr>
              <w:t>6,649.8</w:t>
            </w:r>
          </w:p>
        </w:tc>
        <w:tc>
          <w:tcPr>
            <w:tcW w:w="1080" w:type="dxa"/>
            <w:noWrap/>
            <w:hideMark/>
          </w:tcPr>
          <w:p w14:paraId="152A1605" w14:textId="77777777" w:rsidR="00CD53A5" w:rsidRPr="006E28CD" w:rsidRDefault="00CD53A5" w:rsidP="003B03D9">
            <w:pPr>
              <w:pStyle w:val="ExhibitText"/>
              <w:jc w:val="right"/>
              <w:rPr>
                <w:lang w:val="en-GB"/>
              </w:rPr>
            </w:pPr>
            <w:r w:rsidRPr="006E28CD">
              <w:rPr>
                <w:lang w:val="en-GB"/>
              </w:rPr>
              <w:t>6,410.0</w:t>
            </w:r>
          </w:p>
        </w:tc>
        <w:tc>
          <w:tcPr>
            <w:tcW w:w="1080" w:type="dxa"/>
            <w:noWrap/>
            <w:hideMark/>
          </w:tcPr>
          <w:p w14:paraId="0A9B823B" w14:textId="77777777" w:rsidR="00CD53A5" w:rsidRPr="006E28CD" w:rsidRDefault="00CD53A5" w:rsidP="003B03D9">
            <w:pPr>
              <w:pStyle w:val="ExhibitText"/>
              <w:jc w:val="right"/>
              <w:rPr>
                <w:lang w:val="en-GB"/>
              </w:rPr>
            </w:pPr>
            <w:r w:rsidRPr="006E28CD">
              <w:rPr>
                <w:lang w:val="en-GB"/>
              </w:rPr>
              <w:t>7,772.5</w:t>
            </w:r>
          </w:p>
        </w:tc>
        <w:tc>
          <w:tcPr>
            <w:tcW w:w="1080" w:type="dxa"/>
            <w:noWrap/>
            <w:hideMark/>
          </w:tcPr>
          <w:p w14:paraId="0ADFBEB2" w14:textId="77777777" w:rsidR="00CD53A5" w:rsidRPr="006E28CD" w:rsidRDefault="00CD53A5" w:rsidP="003B03D9">
            <w:pPr>
              <w:pStyle w:val="ExhibitText"/>
              <w:jc w:val="right"/>
              <w:rPr>
                <w:lang w:val="en-GB"/>
              </w:rPr>
            </w:pPr>
            <w:r w:rsidRPr="006E28CD">
              <w:rPr>
                <w:lang w:val="en-GB"/>
              </w:rPr>
              <w:t>7,572.6</w:t>
            </w:r>
          </w:p>
        </w:tc>
      </w:tr>
      <w:tr w:rsidR="003B03D9" w:rsidRPr="006E28CD" w14:paraId="3FCB86FD" w14:textId="77777777" w:rsidTr="003B03D9">
        <w:trPr>
          <w:trHeight w:val="60"/>
        </w:trPr>
        <w:tc>
          <w:tcPr>
            <w:tcW w:w="2610" w:type="dxa"/>
            <w:hideMark/>
          </w:tcPr>
          <w:p w14:paraId="49E8D7E4" w14:textId="6B24ABF0" w:rsidR="00CD53A5" w:rsidRPr="006E28CD" w:rsidRDefault="00CD53A5" w:rsidP="00D65FC4">
            <w:pPr>
              <w:pStyle w:val="ExhibitText"/>
              <w:jc w:val="left"/>
              <w:rPr>
                <w:lang w:val="en-GB"/>
              </w:rPr>
            </w:pPr>
            <w:r w:rsidRPr="006E28CD">
              <w:rPr>
                <w:lang w:val="en-GB"/>
              </w:rPr>
              <w:t xml:space="preserve">Prepaid </w:t>
            </w:r>
            <w:r w:rsidR="009F3950" w:rsidRPr="006E28CD">
              <w:rPr>
                <w:lang w:val="en-GB"/>
              </w:rPr>
              <w:t>Lease Payments</w:t>
            </w:r>
          </w:p>
        </w:tc>
        <w:tc>
          <w:tcPr>
            <w:tcW w:w="1350" w:type="dxa"/>
            <w:noWrap/>
            <w:hideMark/>
          </w:tcPr>
          <w:p w14:paraId="04AF1B53" w14:textId="77777777" w:rsidR="00CD53A5" w:rsidRPr="006E28CD" w:rsidRDefault="00CD53A5" w:rsidP="003B03D9">
            <w:pPr>
              <w:pStyle w:val="ExhibitText"/>
              <w:jc w:val="right"/>
              <w:rPr>
                <w:lang w:val="en-GB"/>
              </w:rPr>
            </w:pPr>
            <w:r w:rsidRPr="006E28CD">
              <w:rPr>
                <w:lang w:val="en-GB"/>
              </w:rPr>
              <w:t xml:space="preserve"> - </w:t>
            </w:r>
          </w:p>
        </w:tc>
        <w:tc>
          <w:tcPr>
            <w:tcW w:w="1080" w:type="dxa"/>
            <w:noWrap/>
            <w:hideMark/>
          </w:tcPr>
          <w:p w14:paraId="4CB7FC4B" w14:textId="77777777" w:rsidR="00CD53A5" w:rsidRPr="006E28CD" w:rsidRDefault="00CD53A5" w:rsidP="003B03D9">
            <w:pPr>
              <w:pStyle w:val="ExhibitText"/>
              <w:jc w:val="right"/>
              <w:rPr>
                <w:lang w:val="en-GB"/>
              </w:rPr>
            </w:pPr>
            <w:r w:rsidRPr="006E28CD">
              <w:rPr>
                <w:lang w:val="en-GB"/>
              </w:rPr>
              <w:t>21.1</w:t>
            </w:r>
          </w:p>
        </w:tc>
        <w:tc>
          <w:tcPr>
            <w:tcW w:w="1080" w:type="dxa"/>
            <w:noWrap/>
            <w:hideMark/>
          </w:tcPr>
          <w:p w14:paraId="4956AB7A" w14:textId="77777777" w:rsidR="00CD53A5" w:rsidRPr="006E28CD" w:rsidRDefault="00CD53A5" w:rsidP="003B03D9">
            <w:pPr>
              <w:pStyle w:val="ExhibitText"/>
              <w:jc w:val="right"/>
              <w:rPr>
                <w:lang w:val="en-GB"/>
              </w:rPr>
            </w:pPr>
            <w:r w:rsidRPr="006E28CD">
              <w:rPr>
                <w:lang w:val="en-GB"/>
              </w:rPr>
              <w:t>32.5</w:t>
            </w:r>
          </w:p>
        </w:tc>
        <w:tc>
          <w:tcPr>
            <w:tcW w:w="1080" w:type="dxa"/>
            <w:noWrap/>
            <w:hideMark/>
          </w:tcPr>
          <w:p w14:paraId="1CFD462F" w14:textId="77777777" w:rsidR="00CD53A5" w:rsidRPr="006E28CD" w:rsidRDefault="00CD53A5" w:rsidP="003B03D9">
            <w:pPr>
              <w:pStyle w:val="ExhibitText"/>
              <w:jc w:val="right"/>
              <w:rPr>
                <w:lang w:val="en-GB"/>
              </w:rPr>
            </w:pPr>
            <w:r w:rsidRPr="006E28CD">
              <w:rPr>
                <w:lang w:val="en-GB"/>
              </w:rPr>
              <w:t>30.1</w:t>
            </w:r>
          </w:p>
        </w:tc>
        <w:tc>
          <w:tcPr>
            <w:tcW w:w="1080" w:type="dxa"/>
            <w:noWrap/>
            <w:hideMark/>
          </w:tcPr>
          <w:p w14:paraId="3B7A2AE7" w14:textId="77777777" w:rsidR="00CD53A5" w:rsidRPr="006E28CD" w:rsidRDefault="00CD53A5" w:rsidP="003B03D9">
            <w:pPr>
              <w:pStyle w:val="ExhibitText"/>
              <w:jc w:val="right"/>
              <w:rPr>
                <w:lang w:val="en-GB"/>
              </w:rPr>
            </w:pPr>
            <w:r w:rsidRPr="006E28CD">
              <w:rPr>
                <w:lang w:val="en-GB"/>
              </w:rPr>
              <w:t>129.2</w:t>
            </w:r>
          </w:p>
        </w:tc>
        <w:tc>
          <w:tcPr>
            <w:tcW w:w="1080" w:type="dxa"/>
            <w:noWrap/>
            <w:hideMark/>
          </w:tcPr>
          <w:p w14:paraId="58CCB1BD" w14:textId="77777777" w:rsidR="00CD53A5" w:rsidRPr="006E28CD" w:rsidRDefault="00CD53A5" w:rsidP="003B03D9">
            <w:pPr>
              <w:pStyle w:val="ExhibitText"/>
              <w:jc w:val="right"/>
              <w:rPr>
                <w:lang w:val="en-GB"/>
              </w:rPr>
            </w:pPr>
            <w:r w:rsidRPr="006E28CD">
              <w:rPr>
                <w:lang w:val="en-GB"/>
              </w:rPr>
              <w:t>29.6</w:t>
            </w:r>
          </w:p>
        </w:tc>
      </w:tr>
      <w:tr w:rsidR="003B03D9" w:rsidRPr="006E28CD" w14:paraId="212F00E0" w14:textId="77777777" w:rsidTr="003B03D9">
        <w:trPr>
          <w:trHeight w:val="60"/>
        </w:trPr>
        <w:tc>
          <w:tcPr>
            <w:tcW w:w="2610" w:type="dxa"/>
            <w:hideMark/>
          </w:tcPr>
          <w:p w14:paraId="7E065DE4" w14:textId="035FFCB5" w:rsidR="00CD53A5" w:rsidRPr="006E28CD" w:rsidRDefault="00CD53A5" w:rsidP="00D65FC4">
            <w:pPr>
              <w:pStyle w:val="ExhibitText"/>
              <w:jc w:val="left"/>
              <w:rPr>
                <w:lang w:val="en-GB"/>
              </w:rPr>
            </w:pPr>
            <w:r w:rsidRPr="006E28CD">
              <w:rPr>
                <w:lang w:val="en-GB"/>
              </w:rPr>
              <w:t>Investment (</w:t>
            </w:r>
            <w:r w:rsidR="009F3950" w:rsidRPr="006E28CD">
              <w:rPr>
                <w:lang w:val="en-GB"/>
              </w:rPr>
              <w:t xml:space="preserve">Properties </w:t>
            </w:r>
            <w:r w:rsidRPr="006E28CD">
              <w:rPr>
                <w:lang w:val="en-GB"/>
              </w:rPr>
              <w:t>+</w:t>
            </w:r>
            <w:r w:rsidR="00997449" w:rsidRPr="006E28CD">
              <w:rPr>
                <w:lang w:val="en-GB"/>
              </w:rPr>
              <w:t xml:space="preserve"> </w:t>
            </w:r>
            <w:r w:rsidR="009F3950" w:rsidRPr="006E28CD">
              <w:rPr>
                <w:lang w:val="en-GB"/>
              </w:rPr>
              <w:t>Associates</w:t>
            </w:r>
            <w:r w:rsidRPr="006E28CD">
              <w:rPr>
                <w:lang w:val="en-GB"/>
              </w:rPr>
              <w:t>)</w:t>
            </w:r>
          </w:p>
        </w:tc>
        <w:tc>
          <w:tcPr>
            <w:tcW w:w="1350" w:type="dxa"/>
            <w:noWrap/>
            <w:hideMark/>
          </w:tcPr>
          <w:p w14:paraId="554CE6B1" w14:textId="77777777" w:rsidR="00CD53A5" w:rsidRPr="006E28CD" w:rsidRDefault="00CD53A5" w:rsidP="003B03D9">
            <w:pPr>
              <w:pStyle w:val="ExhibitText"/>
              <w:jc w:val="right"/>
              <w:rPr>
                <w:lang w:val="en-GB"/>
              </w:rPr>
            </w:pPr>
            <w:r w:rsidRPr="006E28CD">
              <w:rPr>
                <w:lang w:val="en-GB"/>
              </w:rPr>
              <w:t xml:space="preserve"> 1,121.1</w:t>
            </w:r>
          </w:p>
        </w:tc>
        <w:tc>
          <w:tcPr>
            <w:tcW w:w="1080" w:type="dxa"/>
            <w:noWrap/>
            <w:hideMark/>
          </w:tcPr>
          <w:p w14:paraId="023AFFAD" w14:textId="77777777" w:rsidR="00CD53A5" w:rsidRPr="006E28CD" w:rsidRDefault="00CD53A5" w:rsidP="003B03D9">
            <w:pPr>
              <w:pStyle w:val="ExhibitText"/>
              <w:jc w:val="right"/>
              <w:rPr>
                <w:lang w:val="en-GB"/>
              </w:rPr>
            </w:pPr>
            <w:r w:rsidRPr="006E28CD">
              <w:rPr>
                <w:lang w:val="en-GB"/>
              </w:rPr>
              <w:t>944.4</w:t>
            </w:r>
          </w:p>
        </w:tc>
        <w:tc>
          <w:tcPr>
            <w:tcW w:w="1080" w:type="dxa"/>
            <w:noWrap/>
            <w:hideMark/>
          </w:tcPr>
          <w:p w14:paraId="2C6F4E7D" w14:textId="77777777" w:rsidR="00CD53A5" w:rsidRPr="006E28CD" w:rsidRDefault="00CD53A5" w:rsidP="003B03D9">
            <w:pPr>
              <w:pStyle w:val="ExhibitText"/>
              <w:jc w:val="right"/>
              <w:rPr>
                <w:lang w:val="en-GB"/>
              </w:rPr>
            </w:pPr>
            <w:r w:rsidRPr="006E28CD">
              <w:rPr>
                <w:lang w:val="en-GB"/>
              </w:rPr>
              <w:t>946.8</w:t>
            </w:r>
          </w:p>
        </w:tc>
        <w:tc>
          <w:tcPr>
            <w:tcW w:w="1080" w:type="dxa"/>
            <w:noWrap/>
            <w:hideMark/>
          </w:tcPr>
          <w:p w14:paraId="4522E58F" w14:textId="77777777" w:rsidR="00CD53A5" w:rsidRPr="006E28CD" w:rsidRDefault="00CD53A5" w:rsidP="003B03D9">
            <w:pPr>
              <w:pStyle w:val="ExhibitText"/>
              <w:jc w:val="right"/>
              <w:rPr>
                <w:lang w:val="en-GB"/>
              </w:rPr>
            </w:pPr>
            <w:r w:rsidRPr="006E28CD">
              <w:rPr>
                <w:lang w:val="en-GB"/>
              </w:rPr>
              <w:t>895.2</w:t>
            </w:r>
          </w:p>
        </w:tc>
        <w:tc>
          <w:tcPr>
            <w:tcW w:w="1080" w:type="dxa"/>
            <w:noWrap/>
            <w:hideMark/>
          </w:tcPr>
          <w:p w14:paraId="66CD68C0" w14:textId="77777777" w:rsidR="00CD53A5" w:rsidRPr="006E28CD" w:rsidRDefault="00CD53A5" w:rsidP="003B03D9">
            <w:pPr>
              <w:pStyle w:val="ExhibitText"/>
              <w:jc w:val="right"/>
              <w:rPr>
                <w:lang w:val="en-GB"/>
              </w:rPr>
            </w:pPr>
            <w:r w:rsidRPr="006E28CD">
              <w:rPr>
                <w:lang w:val="en-GB"/>
              </w:rPr>
              <w:t>2,820.1</w:t>
            </w:r>
          </w:p>
        </w:tc>
        <w:tc>
          <w:tcPr>
            <w:tcW w:w="1080" w:type="dxa"/>
            <w:noWrap/>
            <w:hideMark/>
          </w:tcPr>
          <w:p w14:paraId="71388ABA" w14:textId="77777777" w:rsidR="00CD53A5" w:rsidRPr="006E28CD" w:rsidRDefault="00CD53A5" w:rsidP="003B03D9">
            <w:pPr>
              <w:pStyle w:val="ExhibitText"/>
              <w:jc w:val="right"/>
              <w:rPr>
                <w:lang w:val="en-GB"/>
              </w:rPr>
            </w:pPr>
            <w:r w:rsidRPr="006E28CD">
              <w:rPr>
                <w:lang w:val="en-GB"/>
              </w:rPr>
              <w:t>2,143.9</w:t>
            </w:r>
          </w:p>
        </w:tc>
      </w:tr>
      <w:tr w:rsidR="003B03D9" w:rsidRPr="006E28CD" w14:paraId="365CA583" w14:textId="77777777" w:rsidTr="003B03D9">
        <w:trPr>
          <w:trHeight w:val="60"/>
        </w:trPr>
        <w:tc>
          <w:tcPr>
            <w:tcW w:w="2610" w:type="dxa"/>
            <w:hideMark/>
          </w:tcPr>
          <w:p w14:paraId="23415C3B" w14:textId="66C44913" w:rsidR="00CD53A5" w:rsidRPr="006E28CD" w:rsidRDefault="00CD53A5" w:rsidP="00D65FC4">
            <w:pPr>
              <w:pStyle w:val="ExhibitText"/>
              <w:jc w:val="left"/>
              <w:rPr>
                <w:lang w:val="en-GB"/>
              </w:rPr>
            </w:pPr>
            <w:r w:rsidRPr="006E28CD">
              <w:rPr>
                <w:lang w:val="en-GB"/>
              </w:rPr>
              <w:t xml:space="preserve">Jointly </w:t>
            </w:r>
            <w:r w:rsidR="009F3950" w:rsidRPr="006E28CD">
              <w:rPr>
                <w:lang w:val="en-GB"/>
              </w:rPr>
              <w:t>Controlled Entities</w:t>
            </w:r>
          </w:p>
        </w:tc>
        <w:tc>
          <w:tcPr>
            <w:tcW w:w="1350" w:type="dxa"/>
            <w:hideMark/>
          </w:tcPr>
          <w:p w14:paraId="1D7C0885" w14:textId="77777777" w:rsidR="00CD53A5" w:rsidRPr="006E28CD" w:rsidRDefault="00CD53A5" w:rsidP="003B03D9">
            <w:pPr>
              <w:pStyle w:val="ExhibitText"/>
              <w:jc w:val="right"/>
              <w:rPr>
                <w:lang w:val="en-GB"/>
              </w:rPr>
            </w:pPr>
            <w:r w:rsidRPr="006E28CD">
              <w:rPr>
                <w:lang w:val="en-GB"/>
              </w:rPr>
              <w:t xml:space="preserve"> - </w:t>
            </w:r>
          </w:p>
        </w:tc>
        <w:tc>
          <w:tcPr>
            <w:tcW w:w="1080" w:type="dxa"/>
            <w:noWrap/>
            <w:hideMark/>
          </w:tcPr>
          <w:p w14:paraId="3A5F9BED" w14:textId="77777777" w:rsidR="00CD53A5" w:rsidRPr="006E28CD" w:rsidRDefault="00CD53A5" w:rsidP="003B03D9">
            <w:pPr>
              <w:pStyle w:val="ExhibitText"/>
              <w:jc w:val="right"/>
              <w:rPr>
                <w:lang w:val="en-GB"/>
              </w:rPr>
            </w:pPr>
            <w:r w:rsidRPr="006E28CD">
              <w:rPr>
                <w:lang w:val="en-GB"/>
              </w:rPr>
              <w:t>31.7</w:t>
            </w:r>
          </w:p>
        </w:tc>
        <w:tc>
          <w:tcPr>
            <w:tcW w:w="1080" w:type="dxa"/>
            <w:noWrap/>
            <w:hideMark/>
          </w:tcPr>
          <w:p w14:paraId="00EDA320" w14:textId="77777777" w:rsidR="00CD53A5" w:rsidRPr="006E28CD" w:rsidRDefault="00CD53A5" w:rsidP="003B03D9">
            <w:pPr>
              <w:pStyle w:val="ExhibitText"/>
              <w:jc w:val="right"/>
              <w:rPr>
                <w:lang w:val="en-GB"/>
              </w:rPr>
            </w:pPr>
            <w:r w:rsidRPr="006E28CD">
              <w:rPr>
                <w:lang w:val="en-GB"/>
              </w:rPr>
              <w:t>35.2</w:t>
            </w:r>
          </w:p>
        </w:tc>
        <w:tc>
          <w:tcPr>
            <w:tcW w:w="1080" w:type="dxa"/>
            <w:noWrap/>
            <w:hideMark/>
          </w:tcPr>
          <w:p w14:paraId="3797B5CD" w14:textId="77777777" w:rsidR="00CD53A5" w:rsidRPr="006E28CD" w:rsidRDefault="00CD53A5" w:rsidP="003B03D9">
            <w:pPr>
              <w:pStyle w:val="ExhibitText"/>
              <w:jc w:val="right"/>
              <w:rPr>
                <w:lang w:val="en-GB"/>
              </w:rPr>
            </w:pPr>
            <w:r w:rsidRPr="006E28CD">
              <w:rPr>
                <w:lang w:val="en-GB"/>
              </w:rPr>
              <w:t>33.0</w:t>
            </w:r>
          </w:p>
        </w:tc>
        <w:tc>
          <w:tcPr>
            <w:tcW w:w="1080" w:type="dxa"/>
            <w:noWrap/>
            <w:hideMark/>
          </w:tcPr>
          <w:p w14:paraId="522655A3" w14:textId="77777777" w:rsidR="00CD53A5" w:rsidRPr="006E28CD" w:rsidRDefault="00CD53A5" w:rsidP="003B03D9">
            <w:pPr>
              <w:pStyle w:val="ExhibitText"/>
              <w:jc w:val="right"/>
              <w:rPr>
                <w:lang w:val="en-GB"/>
              </w:rPr>
            </w:pPr>
            <w:r w:rsidRPr="006E28CD">
              <w:rPr>
                <w:lang w:val="en-GB"/>
              </w:rPr>
              <w:t>3,686.1</w:t>
            </w:r>
          </w:p>
        </w:tc>
        <w:tc>
          <w:tcPr>
            <w:tcW w:w="1080" w:type="dxa"/>
            <w:noWrap/>
            <w:hideMark/>
          </w:tcPr>
          <w:p w14:paraId="23B01D31" w14:textId="77777777" w:rsidR="00CD53A5" w:rsidRPr="006E28CD" w:rsidRDefault="00CD53A5" w:rsidP="003B03D9">
            <w:pPr>
              <w:pStyle w:val="ExhibitText"/>
              <w:jc w:val="right"/>
              <w:rPr>
                <w:lang w:val="en-GB"/>
              </w:rPr>
            </w:pPr>
            <w:r w:rsidRPr="006E28CD">
              <w:rPr>
                <w:lang w:val="en-GB"/>
              </w:rPr>
              <w:t>3,483.1</w:t>
            </w:r>
          </w:p>
        </w:tc>
      </w:tr>
      <w:tr w:rsidR="003B03D9" w:rsidRPr="006E28CD" w14:paraId="51C71151" w14:textId="77777777" w:rsidTr="003B03D9">
        <w:trPr>
          <w:trHeight w:val="60"/>
        </w:trPr>
        <w:tc>
          <w:tcPr>
            <w:tcW w:w="2610" w:type="dxa"/>
            <w:hideMark/>
          </w:tcPr>
          <w:p w14:paraId="1B465BB9" w14:textId="133439B1" w:rsidR="00CD53A5" w:rsidRPr="006E28CD" w:rsidRDefault="00CD53A5" w:rsidP="00D65FC4">
            <w:pPr>
              <w:pStyle w:val="ExhibitText"/>
              <w:jc w:val="left"/>
              <w:rPr>
                <w:lang w:val="en-GB"/>
              </w:rPr>
            </w:pPr>
            <w:r w:rsidRPr="006E28CD">
              <w:rPr>
                <w:lang w:val="en-GB"/>
              </w:rPr>
              <w:t xml:space="preserve">Other </w:t>
            </w:r>
            <w:r w:rsidR="009F3950" w:rsidRPr="006E28CD">
              <w:rPr>
                <w:lang w:val="en-GB"/>
              </w:rPr>
              <w:t>Assets</w:t>
            </w:r>
          </w:p>
        </w:tc>
        <w:tc>
          <w:tcPr>
            <w:tcW w:w="1350" w:type="dxa"/>
            <w:noWrap/>
            <w:hideMark/>
          </w:tcPr>
          <w:p w14:paraId="75398678" w14:textId="77777777" w:rsidR="00CD53A5" w:rsidRPr="006E28CD" w:rsidRDefault="00CD53A5" w:rsidP="003B03D9">
            <w:pPr>
              <w:pStyle w:val="ExhibitText"/>
              <w:jc w:val="right"/>
              <w:rPr>
                <w:lang w:val="en-GB"/>
              </w:rPr>
            </w:pPr>
            <w:r w:rsidRPr="006E28CD">
              <w:rPr>
                <w:lang w:val="en-GB"/>
              </w:rPr>
              <w:t xml:space="preserve"> 781.7</w:t>
            </w:r>
          </w:p>
        </w:tc>
        <w:tc>
          <w:tcPr>
            <w:tcW w:w="1080" w:type="dxa"/>
            <w:noWrap/>
            <w:hideMark/>
          </w:tcPr>
          <w:p w14:paraId="3AE8A7A0" w14:textId="77777777" w:rsidR="00CD53A5" w:rsidRPr="006E28CD" w:rsidRDefault="00CD53A5" w:rsidP="003B03D9">
            <w:pPr>
              <w:pStyle w:val="ExhibitText"/>
              <w:jc w:val="right"/>
              <w:rPr>
                <w:lang w:val="en-GB"/>
              </w:rPr>
            </w:pPr>
            <w:r w:rsidRPr="006E28CD">
              <w:rPr>
                <w:lang w:val="en-GB"/>
              </w:rPr>
              <w:t>708.0</w:t>
            </w:r>
          </w:p>
        </w:tc>
        <w:tc>
          <w:tcPr>
            <w:tcW w:w="1080" w:type="dxa"/>
            <w:noWrap/>
            <w:hideMark/>
          </w:tcPr>
          <w:p w14:paraId="0A736CAF" w14:textId="77777777" w:rsidR="00CD53A5" w:rsidRPr="006E28CD" w:rsidRDefault="00CD53A5" w:rsidP="003B03D9">
            <w:pPr>
              <w:pStyle w:val="ExhibitText"/>
              <w:jc w:val="right"/>
              <w:rPr>
                <w:lang w:val="en-GB"/>
              </w:rPr>
            </w:pPr>
            <w:r w:rsidRPr="006E28CD">
              <w:rPr>
                <w:lang w:val="en-GB"/>
              </w:rPr>
              <w:t>643.5</w:t>
            </w:r>
          </w:p>
        </w:tc>
        <w:tc>
          <w:tcPr>
            <w:tcW w:w="1080" w:type="dxa"/>
            <w:noWrap/>
            <w:hideMark/>
          </w:tcPr>
          <w:p w14:paraId="091D3AF6" w14:textId="77777777" w:rsidR="00CD53A5" w:rsidRPr="006E28CD" w:rsidRDefault="00CD53A5" w:rsidP="003B03D9">
            <w:pPr>
              <w:pStyle w:val="ExhibitText"/>
              <w:jc w:val="right"/>
              <w:rPr>
                <w:lang w:val="en-GB"/>
              </w:rPr>
            </w:pPr>
            <w:r w:rsidRPr="006E28CD">
              <w:rPr>
                <w:lang w:val="en-GB"/>
              </w:rPr>
              <w:t>577.3</w:t>
            </w:r>
          </w:p>
        </w:tc>
        <w:tc>
          <w:tcPr>
            <w:tcW w:w="1080" w:type="dxa"/>
            <w:noWrap/>
            <w:hideMark/>
          </w:tcPr>
          <w:p w14:paraId="416BAA7C" w14:textId="77777777" w:rsidR="00CD53A5" w:rsidRPr="006E28CD" w:rsidRDefault="00CD53A5" w:rsidP="003B03D9">
            <w:pPr>
              <w:pStyle w:val="ExhibitText"/>
              <w:jc w:val="right"/>
              <w:rPr>
                <w:lang w:val="en-GB"/>
              </w:rPr>
            </w:pPr>
            <w:r w:rsidRPr="006E28CD">
              <w:rPr>
                <w:lang w:val="en-GB"/>
              </w:rPr>
              <w:t>647.1</w:t>
            </w:r>
          </w:p>
        </w:tc>
        <w:tc>
          <w:tcPr>
            <w:tcW w:w="1080" w:type="dxa"/>
            <w:noWrap/>
            <w:hideMark/>
          </w:tcPr>
          <w:p w14:paraId="5A783CF3" w14:textId="77777777" w:rsidR="00CD53A5" w:rsidRPr="006E28CD" w:rsidRDefault="00CD53A5" w:rsidP="003B03D9">
            <w:pPr>
              <w:pStyle w:val="ExhibitText"/>
              <w:jc w:val="right"/>
              <w:rPr>
                <w:lang w:val="en-GB"/>
              </w:rPr>
            </w:pPr>
            <w:r w:rsidRPr="006E28CD">
              <w:rPr>
                <w:lang w:val="en-GB"/>
              </w:rPr>
              <w:t>650.1</w:t>
            </w:r>
          </w:p>
        </w:tc>
      </w:tr>
      <w:tr w:rsidR="003B03D9" w:rsidRPr="006E28CD" w14:paraId="0895C24F" w14:textId="77777777" w:rsidTr="003B03D9">
        <w:trPr>
          <w:trHeight w:val="60"/>
        </w:trPr>
        <w:tc>
          <w:tcPr>
            <w:tcW w:w="2610" w:type="dxa"/>
            <w:hideMark/>
          </w:tcPr>
          <w:p w14:paraId="5CF01E80" w14:textId="3118E796" w:rsidR="00CD53A5" w:rsidRPr="006E28CD" w:rsidRDefault="00CD53A5" w:rsidP="00D65FC4">
            <w:pPr>
              <w:pStyle w:val="ExhibitText"/>
              <w:jc w:val="left"/>
              <w:rPr>
                <w:lang w:val="en-GB"/>
              </w:rPr>
            </w:pPr>
            <w:r w:rsidRPr="006E28CD">
              <w:rPr>
                <w:lang w:val="en-GB"/>
              </w:rPr>
              <w:t xml:space="preserve">Total </w:t>
            </w:r>
            <w:r w:rsidR="009F3950" w:rsidRPr="006E28CD">
              <w:rPr>
                <w:lang w:val="en-GB"/>
              </w:rPr>
              <w:t>Non</w:t>
            </w:r>
            <w:r w:rsidRPr="006E28CD">
              <w:rPr>
                <w:lang w:val="en-GB"/>
              </w:rPr>
              <w:t>-</w:t>
            </w:r>
            <w:r w:rsidR="009F3950" w:rsidRPr="006E28CD">
              <w:rPr>
                <w:lang w:val="en-GB"/>
              </w:rPr>
              <w:t>Current Assets</w:t>
            </w:r>
          </w:p>
        </w:tc>
        <w:tc>
          <w:tcPr>
            <w:tcW w:w="1350" w:type="dxa"/>
            <w:hideMark/>
          </w:tcPr>
          <w:p w14:paraId="02CEF8AF" w14:textId="77777777" w:rsidR="00CD53A5" w:rsidRPr="006E28CD" w:rsidRDefault="00CD53A5" w:rsidP="003B03D9">
            <w:pPr>
              <w:pStyle w:val="ExhibitText"/>
              <w:jc w:val="right"/>
              <w:rPr>
                <w:lang w:val="en-GB"/>
              </w:rPr>
            </w:pPr>
            <w:r w:rsidRPr="006E28CD">
              <w:rPr>
                <w:lang w:val="en-GB"/>
              </w:rPr>
              <w:t xml:space="preserve"> 11,989.7</w:t>
            </w:r>
          </w:p>
        </w:tc>
        <w:tc>
          <w:tcPr>
            <w:tcW w:w="1080" w:type="dxa"/>
            <w:noWrap/>
            <w:hideMark/>
          </w:tcPr>
          <w:p w14:paraId="5926FF6E" w14:textId="77777777" w:rsidR="00CD53A5" w:rsidRPr="006E28CD" w:rsidRDefault="00CD53A5" w:rsidP="003B03D9">
            <w:pPr>
              <w:pStyle w:val="ExhibitText"/>
              <w:jc w:val="right"/>
              <w:rPr>
                <w:lang w:val="en-GB"/>
              </w:rPr>
            </w:pPr>
            <w:r w:rsidRPr="006E28CD">
              <w:rPr>
                <w:lang w:val="en-GB"/>
              </w:rPr>
              <w:t>11,704.5</w:t>
            </w:r>
          </w:p>
        </w:tc>
        <w:tc>
          <w:tcPr>
            <w:tcW w:w="1080" w:type="dxa"/>
            <w:noWrap/>
            <w:hideMark/>
          </w:tcPr>
          <w:p w14:paraId="4821FF19" w14:textId="77777777" w:rsidR="00CD53A5" w:rsidRPr="006E28CD" w:rsidRDefault="00CD53A5" w:rsidP="003B03D9">
            <w:pPr>
              <w:pStyle w:val="ExhibitText"/>
              <w:jc w:val="right"/>
              <w:rPr>
                <w:lang w:val="en-GB"/>
              </w:rPr>
            </w:pPr>
            <w:r w:rsidRPr="006E28CD">
              <w:rPr>
                <w:lang w:val="en-GB"/>
              </w:rPr>
              <w:t>8,307.8</w:t>
            </w:r>
          </w:p>
        </w:tc>
        <w:tc>
          <w:tcPr>
            <w:tcW w:w="1080" w:type="dxa"/>
            <w:noWrap/>
            <w:hideMark/>
          </w:tcPr>
          <w:p w14:paraId="5B442E48" w14:textId="77777777" w:rsidR="00CD53A5" w:rsidRPr="006E28CD" w:rsidRDefault="00CD53A5" w:rsidP="003B03D9">
            <w:pPr>
              <w:pStyle w:val="ExhibitText"/>
              <w:jc w:val="right"/>
              <w:rPr>
                <w:lang w:val="en-GB"/>
              </w:rPr>
            </w:pPr>
            <w:r w:rsidRPr="006E28CD">
              <w:rPr>
                <w:lang w:val="en-GB"/>
              </w:rPr>
              <w:t>7,945.6</w:t>
            </w:r>
          </w:p>
        </w:tc>
        <w:tc>
          <w:tcPr>
            <w:tcW w:w="1080" w:type="dxa"/>
            <w:noWrap/>
            <w:hideMark/>
          </w:tcPr>
          <w:p w14:paraId="61B075F1" w14:textId="77777777" w:rsidR="00CD53A5" w:rsidRPr="006E28CD" w:rsidRDefault="00CD53A5" w:rsidP="003B03D9">
            <w:pPr>
              <w:pStyle w:val="ExhibitText"/>
              <w:jc w:val="right"/>
              <w:rPr>
                <w:lang w:val="en-GB"/>
              </w:rPr>
            </w:pPr>
            <w:r w:rsidRPr="006E28CD">
              <w:rPr>
                <w:lang w:val="en-GB"/>
              </w:rPr>
              <w:t>15,055.0</w:t>
            </w:r>
          </w:p>
        </w:tc>
        <w:tc>
          <w:tcPr>
            <w:tcW w:w="1080" w:type="dxa"/>
            <w:noWrap/>
            <w:hideMark/>
          </w:tcPr>
          <w:p w14:paraId="49A98D12" w14:textId="77777777" w:rsidR="00CD53A5" w:rsidRPr="006E28CD" w:rsidRDefault="00CD53A5" w:rsidP="003B03D9">
            <w:pPr>
              <w:pStyle w:val="ExhibitText"/>
              <w:jc w:val="right"/>
              <w:rPr>
                <w:lang w:val="en-GB"/>
              </w:rPr>
            </w:pPr>
            <w:r w:rsidRPr="006E28CD">
              <w:rPr>
                <w:lang w:val="en-GB"/>
              </w:rPr>
              <w:t>13,879.2</w:t>
            </w:r>
          </w:p>
        </w:tc>
      </w:tr>
      <w:tr w:rsidR="003B03D9" w:rsidRPr="006E28CD" w14:paraId="299DF0B8" w14:textId="77777777" w:rsidTr="003B03D9">
        <w:trPr>
          <w:trHeight w:val="60"/>
        </w:trPr>
        <w:tc>
          <w:tcPr>
            <w:tcW w:w="2610" w:type="dxa"/>
            <w:hideMark/>
          </w:tcPr>
          <w:p w14:paraId="744C1136" w14:textId="23792290" w:rsidR="00CD53A5" w:rsidRPr="006E28CD" w:rsidRDefault="00CD53A5" w:rsidP="00D65FC4">
            <w:pPr>
              <w:pStyle w:val="ExhibitText"/>
              <w:jc w:val="left"/>
              <w:rPr>
                <w:lang w:val="en-GB"/>
              </w:rPr>
            </w:pPr>
            <w:r w:rsidRPr="006E28CD">
              <w:rPr>
                <w:lang w:val="en-GB"/>
              </w:rPr>
              <w:t xml:space="preserve">Current </w:t>
            </w:r>
            <w:r w:rsidR="009F3950" w:rsidRPr="006E28CD">
              <w:rPr>
                <w:lang w:val="en-GB"/>
              </w:rPr>
              <w:t>Assets</w:t>
            </w:r>
          </w:p>
        </w:tc>
        <w:tc>
          <w:tcPr>
            <w:tcW w:w="1350" w:type="dxa"/>
            <w:noWrap/>
            <w:hideMark/>
          </w:tcPr>
          <w:p w14:paraId="253D2D85" w14:textId="77777777" w:rsidR="00CD53A5" w:rsidRPr="006E28CD" w:rsidRDefault="00CD53A5" w:rsidP="003B03D9">
            <w:pPr>
              <w:pStyle w:val="ExhibitText"/>
              <w:jc w:val="right"/>
              <w:rPr>
                <w:lang w:val="en-GB"/>
              </w:rPr>
            </w:pPr>
            <w:r w:rsidRPr="006E28CD">
              <w:rPr>
                <w:lang w:val="en-GB"/>
              </w:rPr>
              <w:t xml:space="preserve"> 6,035.0</w:t>
            </w:r>
          </w:p>
        </w:tc>
        <w:tc>
          <w:tcPr>
            <w:tcW w:w="1080" w:type="dxa"/>
            <w:noWrap/>
            <w:hideMark/>
          </w:tcPr>
          <w:p w14:paraId="3708062F" w14:textId="77777777" w:rsidR="00CD53A5" w:rsidRPr="006E28CD" w:rsidRDefault="00CD53A5" w:rsidP="003B03D9">
            <w:pPr>
              <w:pStyle w:val="ExhibitText"/>
              <w:jc w:val="right"/>
              <w:rPr>
                <w:lang w:val="en-GB"/>
              </w:rPr>
            </w:pPr>
            <w:r w:rsidRPr="006E28CD">
              <w:rPr>
                <w:lang w:val="en-GB"/>
              </w:rPr>
              <w:t>5,851.6</w:t>
            </w:r>
          </w:p>
        </w:tc>
        <w:tc>
          <w:tcPr>
            <w:tcW w:w="1080" w:type="dxa"/>
            <w:noWrap/>
            <w:hideMark/>
          </w:tcPr>
          <w:p w14:paraId="49E1FBC3" w14:textId="77777777" w:rsidR="00CD53A5" w:rsidRPr="006E28CD" w:rsidRDefault="00CD53A5" w:rsidP="003B03D9">
            <w:pPr>
              <w:pStyle w:val="ExhibitText"/>
              <w:jc w:val="right"/>
              <w:rPr>
                <w:lang w:val="en-GB"/>
              </w:rPr>
            </w:pPr>
            <w:r w:rsidRPr="006E28CD">
              <w:rPr>
                <w:lang w:val="en-GB"/>
              </w:rPr>
              <w:t>5,126.1</w:t>
            </w:r>
          </w:p>
        </w:tc>
        <w:tc>
          <w:tcPr>
            <w:tcW w:w="1080" w:type="dxa"/>
            <w:noWrap/>
            <w:hideMark/>
          </w:tcPr>
          <w:p w14:paraId="7D8434A3" w14:textId="77777777" w:rsidR="00CD53A5" w:rsidRPr="006E28CD" w:rsidRDefault="00CD53A5" w:rsidP="003B03D9">
            <w:pPr>
              <w:pStyle w:val="ExhibitText"/>
              <w:jc w:val="right"/>
              <w:rPr>
                <w:lang w:val="en-GB"/>
              </w:rPr>
            </w:pPr>
            <w:r w:rsidRPr="006E28CD">
              <w:rPr>
                <w:lang w:val="en-GB"/>
              </w:rPr>
              <w:t>7,386.0</w:t>
            </w:r>
          </w:p>
        </w:tc>
        <w:tc>
          <w:tcPr>
            <w:tcW w:w="1080" w:type="dxa"/>
            <w:noWrap/>
            <w:hideMark/>
          </w:tcPr>
          <w:p w14:paraId="53E45862" w14:textId="77777777" w:rsidR="00CD53A5" w:rsidRPr="006E28CD" w:rsidRDefault="00CD53A5" w:rsidP="003B03D9">
            <w:pPr>
              <w:pStyle w:val="ExhibitText"/>
              <w:jc w:val="right"/>
              <w:rPr>
                <w:lang w:val="en-GB"/>
              </w:rPr>
            </w:pPr>
            <w:r w:rsidRPr="006E28CD">
              <w:rPr>
                <w:lang w:val="en-GB"/>
              </w:rPr>
              <w:t>8,846.7</w:t>
            </w:r>
          </w:p>
        </w:tc>
        <w:tc>
          <w:tcPr>
            <w:tcW w:w="1080" w:type="dxa"/>
            <w:noWrap/>
            <w:hideMark/>
          </w:tcPr>
          <w:p w14:paraId="7A1F9B83" w14:textId="77777777" w:rsidR="00CD53A5" w:rsidRPr="006E28CD" w:rsidRDefault="00CD53A5" w:rsidP="003B03D9">
            <w:pPr>
              <w:pStyle w:val="ExhibitText"/>
              <w:jc w:val="right"/>
              <w:rPr>
                <w:lang w:val="en-GB"/>
              </w:rPr>
            </w:pPr>
            <w:r w:rsidRPr="006E28CD">
              <w:rPr>
                <w:lang w:val="en-GB"/>
              </w:rPr>
              <w:t>9,185.6</w:t>
            </w:r>
          </w:p>
        </w:tc>
      </w:tr>
      <w:tr w:rsidR="003B03D9" w:rsidRPr="006E28CD" w14:paraId="26DFF025" w14:textId="77777777" w:rsidTr="003B03D9">
        <w:trPr>
          <w:trHeight w:val="60"/>
        </w:trPr>
        <w:tc>
          <w:tcPr>
            <w:tcW w:w="2610" w:type="dxa"/>
            <w:hideMark/>
          </w:tcPr>
          <w:p w14:paraId="2B288DB3" w14:textId="77777777" w:rsidR="00CD53A5" w:rsidRPr="006E28CD" w:rsidRDefault="00CD53A5" w:rsidP="00D65FC4">
            <w:pPr>
              <w:pStyle w:val="ExhibitText"/>
              <w:jc w:val="left"/>
              <w:rPr>
                <w:lang w:val="en-GB"/>
              </w:rPr>
            </w:pPr>
            <w:r w:rsidRPr="006E28CD">
              <w:rPr>
                <w:lang w:val="en-GB"/>
              </w:rPr>
              <w:t>Total Assets</w:t>
            </w:r>
          </w:p>
        </w:tc>
        <w:tc>
          <w:tcPr>
            <w:tcW w:w="1350" w:type="dxa"/>
            <w:noWrap/>
            <w:hideMark/>
          </w:tcPr>
          <w:p w14:paraId="4DD0D11C" w14:textId="77777777" w:rsidR="00CD53A5" w:rsidRPr="006E28CD" w:rsidRDefault="00CD53A5" w:rsidP="003B03D9">
            <w:pPr>
              <w:pStyle w:val="ExhibitText"/>
              <w:jc w:val="right"/>
              <w:rPr>
                <w:lang w:val="en-GB"/>
              </w:rPr>
            </w:pPr>
            <w:r w:rsidRPr="006E28CD">
              <w:rPr>
                <w:lang w:val="en-GB"/>
              </w:rPr>
              <w:t xml:space="preserve"> 18,024.7</w:t>
            </w:r>
          </w:p>
        </w:tc>
        <w:tc>
          <w:tcPr>
            <w:tcW w:w="1080" w:type="dxa"/>
            <w:noWrap/>
            <w:hideMark/>
          </w:tcPr>
          <w:p w14:paraId="5EF30B24" w14:textId="77777777" w:rsidR="00CD53A5" w:rsidRPr="006E28CD" w:rsidRDefault="00CD53A5" w:rsidP="003B03D9">
            <w:pPr>
              <w:pStyle w:val="ExhibitText"/>
              <w:jc w:val="right"/>
              <w:rPr>
                <w:lang w:val="en-GB"/>
              </w:rPr>
            </w:pPr>
            <w:r w:rsidRPr="006E28CD">
              <w:rPr>
                <w:lang w:val="en-GB"/>
              </w:rPr>
              <w:t>17,556.1</w:t>
            </w:r>
          </w:p>
        </w:tc>
        <w:tc>
          <w:tcPr>
            <w:tcW w:w="1080" w:type="dxa"/>
            <w:noWrap/>
            <w:hideMark/>
          </w:tcPr>
          <w:p w14:paraId="2CFF5A77" w14:textId="77777777" w:rsidR="00CD53A5" w:rsidRPr="006E28CD" w:rsidRDefault="00CD53A5" w:rsidP="003B03D9">
            <w:pPr>
              <w:pStyle w:val="ExhibitText"/>
              <w:jc w:val="right"/>
              <w:rPr>
                <w:lang w:val="en-GB"/>
              </w:rPr>
            </w:pPr>
            <w:r w:rsidRPr="006E28CD">
              <w:rPr>
                <w:lang w:val="en-GB"/>
              </w:rPr>
              <w:t>13,433.9</w:t>
            </w:r>
          </w:p>
        </w:tc>
        <w:tc>
          <w:tcPr>
            <w:tcW w:w="1080" w:type="dxa"/>
            <w:noWrap/>
            <w:hideMark/>
          </w:tcPr>
          <w:p w14:paraId="5B3E60C5" w14:textId="77777777" w:rsidR="00CD53A5" w:rsidRPr="006E28CD" w:rsidRDefault="00CD53A5" w:rsidP="003B03D9">
            <w:pPr>
              <w:pStyle w:val="ExhibitText"/>
              <w:jc w:val="right"/>
              <w:rPr>
                <w:lang w:val="en-GB"/>
              </w:rPr>
            </w:pPr>
            <w:r w:rsidRPr="006E28CD">
              <w:rPr>
                <w:lang w:val="en-GB"/>
              </w:rPr>
              <w:t>15,331.6</w:t>
            </w:r>
          </w:p>
        </w:tc>
        <w:tc>
          <w:tcPr>
            <w:tcW w:w="1080" w:type="dxa"/>
            <w:noWrap/>
            <w:hideMark/>
          </w:tcPr>
          <w:p w14:paraId="031341BB" w14:textId="77777777" w:rsidR="00CD53A5" w:rsidRPr="006E28CD" w:rsidRDefault="00CD53A5" w:rsidP="003B03D9">
            <w:pPr>
              <w:pStyle w:val="ExhibitText"/>
              <w:jc w:val="right"/>
              <w:rPr>
                <w:lang w:val="en-GB"/>
              </w:rPr>
            </w:pPr>
            <w:r w:rsidRPr="006E28CD">
              <w:rPr>
                <w:lang w:val="en-GB"/>
              </w:rPr>
              <w:t>23,901.7</w:t>
            </w:r>
          </w:p>
        </w:tc>
        <w:tc>
          <w:tcPr>
            <w:tcW w:w="1080" w:type="dxa"/>
            <w:noWrap/>
            <w:hideMark/>
          </w:tcPr>
          <w:p w14:paraId="14CD6672" w14:textId="77777777" w:rsidR="00CD53A5" w:rsidRPr="006E28CD" w:rsidRDefault="00CD53A5" w:rsidP="003B03D9">
            <w:pPr>
              <w:pStyle w:val="ExhibitText"/>
              <w:jc w:val="right"/>
              <w:rPr>
                <w:lang w:val="en-GB"/>
              </w:rPr>
            </w:pPr>
            <w:r w:rsidRPr="006E28CD">
              <w:rPr>
                <w:lang w:val="en-GB"/>
              </w:rPr>
              <w:t>23,064.9</w:t>
            </w:r>
          </w:p>
        </w:tc>
      </w:tr>
    </w:tbl>
    <w:p w14:paraId="780C85EB" w14:textId="77777777" w:rsidR="003B03D9" w:rsidRPr="006E28CD" w:rsidRDefault="003B03D9">
      <w:pPr>
        <w:rPr>
          <w:lang w:val="en-GB"/>
        </w:rPr>
      </w:pPr>
    </w:p>
    <w:tbl>
      <w:tblPr>
        <w:tblStyle w:val="TableGrid"/>
        <w:tblW w:w="9360" w:type="dxa"/>
        <w:tblInd w:w="108" w:type="dxa"/>
        <w:tblLayout w:type="fixed"/>
        <w:tblLook w:val="04A0" w:firstRow="1" w:lastRow="0" w:firstColumn="1" w:lastColumn="0" w:noHBand="0" w:noVBand="1"/>
      </w:tblPr>
      <w:tblGrid>
        <w:gridCol w:w="2610"/>
        <w:gridCol w:w="1350"/>
        <w:gridCol w:w="1080"/>
        <w:gridCol w:w="1080"/>
        <w:gridCol w:w="1080"/>
        <w:gridCol w:w="1080"/>
        <w:gridCol w:w="1080"/>
      </w:tblGrid>
      <w:tr w:rsidR="003B03D9" w:rsidRPr="006E28CD" w14:paraId="5C411EE5" w14:textId="77777777" w:rsidTr="003B03D9">
        <w:trPr>
          <w:trHeight w:val="60"/>
        </w:trPr>
        <w:tc>
          <w:tcPr>
            <w:tcW w:w="9360" w:type="dxa"/>
            <w:gridSpan w:val="7"/>
          </w:tcPr>
          <w:p w14:paraId="137A7758" w14:textId="77777777" w:rsidR="003B03D9" w:rsidRPr="006E28CD" w:rsidRDefault="003B03D9" w:rsidP="003B03D9">
            <w:pPr>
              <w:pStyle w:val="ExhibitText"/>
              <w:jc w:val="center"/>
              <w:rPr>
                <w:b/>
                <w:lang w:val="en-GB"/>
              </w:rPr>
            </w:pPr>
            <w:r w:rsidRPr="006E28CD">
              <w:rPr>
                <w:b/>
                <w:lang w:val="en-GB"/>
              </w:rPr>
              <w:t>Equity and Liabilities</w:t>
            </w:r>
          </w:p>
        </w:tc>
      </w:tr>
      <w:tr w:rsidR="003B03D9" w:rsidRPr="006E28CD" w14:paraId="5A815CC7" w14:textId="77777777" w:rsidTr="003B03D9">
        <w:trPr>
          <w:trHeight w:val="60"/>
        </w:trPr>
        <w:tc>
          <w:tcPr>
            <w:tcW w:w="2610" w:type="dxa"/>
            <w:hideMark/>
          </w:tcPr>
          <w:p w14:paraId="494B0C4F" w14:textId="792FA335" w:rsidR="003B03D9" w:rsidRPr="006E28CD" w:rsidRDefault="003B03D9">
            <w:pPr>
              <w:pStyle w:val="ExhibitText"/>
              <w:jc w:val="left"/>
              <w:rPr>
                <w:lang w:val="en-GB"/>
              </w:rPr>
            </w:pPr>
            <w:r w:rsidRPr="006E28CD">
              <w:rPr>
                <w:lang w:val="en-GB"/>
              </w:rPr>
              <w:t xml:space="preserve">Share </w:t>
            </w:r>
            <w:r w:rsidR="009F3950" w:rsidRPr="006E28CD">
              <w:rPr>
                <w:lang w:val="en-GB"/>
              </w:rPr>
              <w:t>Capital</w:t>
            </w:r>
          </w:p>
        </w:tc>
        <w:tc>
          <w:tcPr>
            <w:tcW w:w="1350" w:type="dxa"/>
            <w:noWrap/>
            <w:hideMark/>
          </w:tcPr>
          <w:p w14:paraId="5F2419B9" w14:textId="77777777" w:rsidR="003B03D9" w:rsidRPr="006E28CD" w:rsidRDefault="003B03D9" w:rsidP="003B03D9">
            <w:pPr>
              <w:pStyle w:val="ExhibitText"/>
              <w:jc w:val="right"/>
              <w:rPr>
                <w:lang w:val="en-GB"/>
              </w:rPr>
            </w:pPr>
            <w:r w:rsidRPr="006E28CD">
              <w:rPr>
                <w:lang w:val="en-GB"/>
              </w:rPr>
              <w:t>783.8</w:t>
            </w:r>
          </w:p>
        </w:tc>
        <w:tc>
          <w:tcPr>
            <w:tcW w:w="1080" w:type="dxa"/>
            <w:noWrap/>
            <w:hideMark/>
          </w:tcPr>
          <w:p w14:paraId="06FBC50C" w14:textId="77777777" w:rsidR="003B03D9" w:rsidRPr="006E28CD" w:rsidRDefault="003B03D9" w:rsidP="003B03D9">
            <w:pPr>
              <w:pStyle w:val="ExhibitText"/>
              <w:jc w:val="right"/>
              <w:rPr>
                <w:lang w:val="en-GB"/>
              </w:rPr>
            </w:pPr>
            <w:r w:rsidRPr="006E28CD">
              <w:rPr>
                <w:lang w:val="en-GB"/>
              </w:rPr>
              <w:t>646.2</w:t>
            </w:r>
          </w:p>
        </w:tc>
        <w:tc>
          <w:tcPr>
            <w:tcW w:w="1080" w:type="dxa"/>
            <w:noWrap/>
            <w:hideMark/>
          </w:tcPr>
          <w:p w14:paraId="03C313FC" w14:textId="77777777" w:rsidR="003B03D9" w:rsidRPr="006E28CD" w:rsidRDefault="003B03D9" w:rsidP="003B03D9">
            <w:pPr>
              <w:pStyle w:val="ExhibitText"/>
              <w:jc w:val="right"/>
              <w:rPr>
                <w:lang w:val="en-GB"/>
              </w:rPr>
            </w:pPr>
            <w:r w:rsidRPr="006E28CD">
              <w:rPr>
                <w:lang w:val="en-GB"/>
              </w:rPr>
              <w:t>645.9</w:t>
            </w:r>
          </w:p>
        </w:tc>
        <w:tc>
          <w:tcPr>
            <w:tcW w:w="1080" w:type="dxa"/>
            <w:noWrap/>
            <w:hideMark/>
          </w:tcPr>
          <w:p w14:paraId="6DE26DFB" w14:textId="77777777" w:rsidR="003B03D9" w:rsidRPr="006E28CD" w:rsidRDefault="003B03D9" w:rsidP="003B03D9">
            <w:pPr>
              <w:pStyle w:val="ExhibitText"/>
              <w:jc w:val="right"/>
              <w:rPr>
                <w:lang w:val="en-GB"/>
              </w:rPr>
            </w:pPr>
            <w:r w:rsidRPr="006E28CD">
              <w:rPr>
                <w:lang w:val="en-GB"/>
              </w:rPr>
              <w:t>645.0</w:t>
            </w:r>
          </w:p>
        </w:tc>
        <w:tc>
          <w:tcPr>
            <w:tcW w:w="1080" w:type="dxa"/>
            <w:noWrap/>
            <w:hideMark/>
          </w:tcPr>
          <w:p w14:paraId="22A2224F" w14:textId="77777777" w:rsidR="003B03D9" w:rsidRPr="006E28CD" w:rsidRDefault="003B03D9" w:rsidP="003B03D9">
            <w:pPr>
              <w:pStyle w:val="ExhibitText"/>
              <w:jc w:val="right"/>
              <w:rPr>
                <w:lang w:val="en-GB"/>
              </w:rPr>
            </w:pPr>
            <w:r w:rsidRPr="006E28CD">
              <w:rPr>
                <w:lang w:val="en-GB"/>
              </w:rPr>
              <w:t>643.4</w:t>
            </w:r>
          </w:p>
        </w:tc>
        <w:tc>
          <w:tcPr>
            <w:tcW w:w="1080" w:type="dxa"/>
            <w:noWrap/>
            <w:hideMark/>
          </w:tcPr>
          <w:p w14:paraId="410AE85F" w14:textId="77777777" w:rsidR="003B03D9" w:rsidRPr="006E28CD" w:rsidRDefault="003B03D9" w:rsidP="003B03D9">
            <w:pPr>
              <w:pStyle w:val="ExhibitText"/>
              <w:jc w:val="right"/>
              <w:rPr>
                <w:lang w:val="en-GB"/>
              </w:rPr>
            </w:pPr>
            <w:r w:rsidRPr="006E28CD">
              <w:rPr>
                <w:lang w:val="en-GB"/>
              </w:rPr>
              <w:t>642.7</w:t>
            </w:r>
          </w:p>
        </w:tc>
      </w:tr>
      <w:tr w:rsidR="003B03D9" w:rsidRPr="006E28CD" w14:paraId="22F49B2A" w14:textId="77777777" w:rsidTr="003B03D9">
        <w:trPr>
          <w:trHeight w:val="60"/>
        </w:trPr>
        <w:tc>
          <w:tcPr>
            <w:tcW w:w="2610" w:type="dxa"/>
            <w:hideMark/>
          </w:tcPr>
          <w:p w14:paraId="2FD11716" w14:textId="77777777" w:rsidR="003B03D9" w:rsidRPr="006E28CD" w:rsidRDefault="003B03D9" w:rsidP="003B03D9">
            <w:pPr>
              <w:pStyle w:val="ExhibitText"/>
              <w:jc w:val="left"/>
              <w:rPr>
                <w:lang w:val="en-GB"/>
              </w:rPr>
            </w:pPr>
            <w:r w:rsidRPr="006E28CD">
              <w:rPr>
                <w:lang w:val="en-GB"/>
              </w:rPr>
              <w:t>Reserves</w:t>
            </w:r>
          </w:p>
        </w:tc>
        <w:tc>
          <w:tcPr>
            <w:tcW w:w="1350" w:type="dxa"/>
            <w:hideMark/>
          </w:tcPr>
          <w:p w14:paraId="036F63D7" w14:textId="77777777" w:rsidR="003B03D9" w:rsidRPr="006E28CD" w:rsidRDefault="003B03D9" w:rsidP="003B03D9">
            <w:pPr>
              <w:pStyle w:val="ExhibitText"/>
              <w:jc w:val="right"/>
              <w:rPr>
                <w:lang w:val="en-GB"/>
              </w:rPr>
            </w:pPr>
            <w:r w:rsidRPr="006E28CD">
              <w:rPr>
                <w:lang w:val="en-GB"/>
              </w:rPr>
              <w:t>6,673.6</w:t>
            </w:r>
          </w:p>
        </w:tc>
        <w:tc>
          <w:tcPr>
            <w:tcW w:w="1080" w:type="dxa"/>
            <w:noWrap/>
            <w:hideMark/>
          </w:tcPr>
          <w:p w14:paraId="6355CF19" w14:textId="77777777" w:rsidR="003B03D9" w:rsidRPr="006E28CD" w:rsidRDefault="003B03D9" w:rsidP="003B03D9">
            <w:pPr>
              <w:pStyle w:val="ExhibitText"/>
              <w:jc w:val="right"/>
              <w:rPr>
                <w:lang w:val="en-GB"/>
              </w:rPr>
            </w:pPr>
            <w:r w:rsidRPr="006E28CD">
              <w:rPr>
                <w:lang w:val="en-GB"/>
              </w:rPr>
              <w:t>6,491.9</w:t>
            </w:r>
          </w:p>
        </w:tc>
        <w:tc>
          <w:tcPr>
            <w:tcW w:w="1080" w:type="dxa"/>
            <w:noWrap/>
            <w:hideMark/>
          </w:tcPr>
          <w:p w14:paraId="6DF6E16C" w14:textId="77777777" w:rsidR="003B03D9" w:rsidRPr="006E28CD" w:rsidRDefault="003B03D9" w:rsidP="003B03D9">
            <w:pPr>
              <w:pStyle w:val="ExhibitText"/>
              <w:jc w:val="right"/>
              <w:rPr>
                <w:lang w:val="en-GB"/>
              </w:rPr>
            </w:pPr>
            <w:r w:rsidRPr="006E28CD">
              <w:rPr>
                <w:lang w:val="en-GB"/>
              </w:rPr>
              <w:t>4,413.2</w:t>
            </w:r>
          </w:p>
        </w:tc>
        <w:tc>
          <w:tcPr>
            <w:tcW w:w="1080" w:type="dxa"/>
            <w:noWrap/>
            <w:hideMark/>
          </w:tcPr>
          <w:p w14:paraId="3332E94A" w14:textId="77777777" w:rsidR="003B03D9" w:rsidRPr="006E28CD" w:rsidRDefault="003B03D9" w:rsidP="003B03D9">
            <w:pPr>
              <w:pStyle w:val="ExhibitText"/>
              <w:jc w:val="right"/>
              <w:rPr>
                <w:lang w:val="en-GB"/>
              </w:rPr>
            </w:pPr>
            <w:r w:rsidRPr="006E28CD">
              <w:rPr>
                <w:lang w:val="en-GB"/>
              </w:rPr>
              <w:t>5,391.8</w:t>
            </w:r>
          </w:p>
        </w:tc>
        <w:tc>
          <w:tcPr>
            <w:tcW w:w="1080" w:type="dxa"/>
            <w:noWrap/>
            <w:hideMark/>
          </w:tcPr>
          <w:p w14:paraId="432C9BDE" w14:textId="77777777" w:rsidR="003B03D9" w:rsidRPr="006E28CD" w:rsidRDefault="003B03D9" w:rsidP="003B03D9">
            <w:pPr>
              <w:pStyle w:val="ExhibitText"/>
              <w:jc w:val="right"/>
              <w:rPr>
                <w:lang w:val="en-GB"/>
              </w:rPr>
            </w:pPr>
            <w:r w:rsidRPr="006E28CD">
              <w:rPr>
                <w:lang w:val="en-GB"/>
              </w:rPr>
              <w:t>13,028.6</w:t>
            </w:r>
          </w:p>
        </w:tc>
        <w:tc>
          <w:tcPr>
            <w:tcW w:w="1080" w:type="dxa"/>
            <w:noWrap/>
            <w:hideMark/>
          </w:tcPr>
          <w:p w14:paraId="21646147" w14:textId="77777777" w:rsidR="003B03D9" w:rsidRPr="006E28CD" w:rsidRDefault="003B03D9" w:rsidP="003B03D9">
            <w:pPr>
              <w:pStyle w:val="ExhibitText"/>
              <w:jc w:val="right"/>
              <w:rPr>
                <w:lang w:val="en-GB"/>
              </w:rPr>
            </w:pPr>
            <w:r w:rsidRPr="006E28CD">
              <w:rPr>
                <w:lang w:val="en-GB"/>
              </w:rPr>
              <w:t>11,985.2</w:t>
            </w:r>
          </w:p>
        </w:tc>
      </w:tr>
      <w:tr w:rsidR="003B03D9" w:rsidRPr="006E28CD" w14:paraId="6F55D137" w14:textId="77777777" w:rsidTr="003B03D9">
        <w:trPr>
          <w:trHeight w:val="300"/>
        </w:trPr>
        <w:tc>
          <w:tcPr>
            <w:tcW w:w="2610" w:type="dxa"/>
            <w:hideMark/>
          </w:tcPr>
          <w:p w14:paraId="1CF160D8" w14:textId="77777777" w:rsidR="003B03D9" w:rsidRPr="006E28CD" w:rsidRDefault="003B03D9" w:rsidP="003B03D9">
            <w:pPr>
              <w:pStyle w:val="ExhibitText"/>
              <w:jc w:val="left"/>
              <w:rPr>
                <w:lang w:val="en-GB"/>
              </w:rPr>
            </w:pPr>
            <w:r w:rsidRPr="006E28CD">
              <w:rPr>
                <w:lang w:val="en-GB"/>
              </w:rPr>
              <w:t>Total Equity and Reserves</w:t>
            </w:r>
          </w:p>
        </w:tc>
        <w:tc>
          <w:tcPr>
            <w:tcW w:w="1350" w:type="dxa"/>
            <w:hideMark/>
          </w:tcPr>
          <w:p w14:paraId="731CF5FD" w14:textId="77777777" w:rsidR="003B03D9" w:rsidRPr="006E28CD" w:rsidRDefault="003B03D9" w:rsidP="003B03D9">
            <w:pPr>
              <w:pStyle w:val="ExhibitText"/>
              <w:jc w:val="right"/>
              <w:rPr>
                <w:lang w:val="en-GB"/>
              </w:rPr>
            </w:pPr>
            <w:r w:rsidRPr="006E28CD">
              <w:rPr>
                <w:lang w:val="en-GB"/>
              </w:rPr>
              <w:t>7,457.4</w:t>
            </w:r>
          </w:p>
        </w:tc>
        <w:tc>
          <w:tcPr>
            <w:tcW w:w="1080" w:type="dxa"/>
            <w:noWrap/>
            <w:hideMark/>
          </w:tcPr>
          <w:p w14:paraId="3915DB9A" w14:textId="77777777" w:rsidR="003B03D9" w:rsidRPr="006E28CD" w:rsidRDefault="003B03D9" w:rsidP="003B03D9">
            <w:pPr>
              <w:pStyle w:val="ExhibitText"/>
              <w:jc w:val="right"/>
              <w:rPr>
                <w:lang w:val="en-GB"/>
              </w:rPr>
            </w:pPr>
            <w:r w:rsidRPr="006E28CD">
              <w:rPr>
                <w:lang w:val="en-GB"/>
              </w:rPr>
              <w:t>7,138.1</w:t>
            </w:r>
          </w:p>
        </w:tc>
        <w:tc>
          <w:tcPr>
            <w:tcW w:w="1080" w:type="dxa"/>
            <w:noWrap/>
            <w:hideMark/>
          </w:tcPr>
          <w:p w14:paraId="169683FB" w14:textId="77777777" w:rsidR="003B03D9" w:rsidRPr="006E28CD" w:rsidRDefault="003B03D9" w:rsidP="003B03D9">
            <w:pPr>
              <w:pStyle w:val="ExhibitText"/>
              <w:jc w:val="right"/>
              <w:rPr>
                <w:lang w:val="en-GB"/>
              </w:rPr>
            </w:pPr>
            <w:r w:rsidRPr="006E28CD">
              <w:rPr>
                <w:lang w:val="en-GB"/>
              </w:rPr>
              <w:t>5,059.1</w:t>
            </w:r>
          </w:p>
        </w:tc>
        <w:tc>
          <w:tcPr>
            <w:tcW w:w="1080" w:type="dxa"/>
            <w:noWrap/>
            <w:hideMark/>
          </w:tcPr>
          <w:p w14:paraId="2751F047" w14:textId="77777777" w:rsidR="003B03D9" w:rsidRPr="006E28CD" w:rsidRDefault="003B03D9" w:rsidP="003B03D9">
            <w:pPr>
              <w:pStyle w:val="ExhibitText"/>
              <w:jc w:val="right"/>
              <w:rPr>
                <w:lang w:val="en-GB"/>
              </w:rPr>
            </w:pPr>
            <w:r w:rsidRPr="006E28CD">
              <w:rPr>
                <w:lang w:val="en-GB"/>
              </w:rPr>
              <w:t>6,036.8</w:t>
            </w:r>
          </w:p>
        </w:tc>
        <w:tc>
          <w:tcPr>
            <w:tcW w:w="1080" w:type="dxa"/>
            <w:noWrap/>
            <w:hideMark/>
          </w:tcPr>
          <w:p w14:paraId="0D7BA133" w14:textId="77777777" w:rsidR="003B03D9" w:rsidRPr="006E28CD" w:rsidRDefault="003B03D9" w:rsidP="003B03D9">
            <w:pPr>
              <w:pStyle w:val="ExhibitText"/>
              <w:jc w:val="right"/>
              <w:rPr>
                <w:lang w:val="en-GB"/>
              </w:rPr>
            </w:pPr>
            <w:r w:rsidRPr="006E28CD">
              <w:rPr>
                <w:lang w:val="en-GB"/>
              </w:rPr>
              <w:t>13,672.0</w:t>
            </w:r>
          </w:p>
        </w:tc>
        <w:tc>
          <w:tcPr>
            <w:tcW w:w="1080" w:type="dxa"/>
            <w:noWrap/>
            <w:hideMark/>
          </w:tcPr>
          <w:p w14:paraId="5AE3C6FD" w14:textId="77777777" w:rsidR="003B03D9" w:rsidRPr="006E28CD" w:rsidRDefault="003B03D9" w:rsidP="003B03D9">
            <w:pPr>
              <w:pStyle w:val="ExhibitText"/>
              <w:jc w:val="right"/>
              <w:rPr>
                <w:lang w:val="en-GB"/>
              </w:rPr>
            </w:pPr>
            <w:r w:rsidRPr="006E28CD">
              <w:rPr>
                <w:lang w:val="en-GB"/>
              </w:rPr>
              <w:t>12,627.9</w:t>
            </w:r>
          </w:p>
        </w:tc>
      </w:tr>
      <w:tr w:rsidR="003B03D9" w:rsidRPr="006E28CD" w14:paraId="3B3C11B9" w14:textId="77777777" w:rsidTr="003B03D9">
        <w:trPr>
          <w:trHeight w:val="60"/>
        </w:trPr>
        <w:tc>
          <w:tcPr>
            <w:tcW w:w="2610" w:type="dxa"/>
            <w:hideMark/>
          </w:tcPr>
          <w:p w14:paraId="4A482E1B" w14:textId="33953199" w:rsidR="003B03D9" w:rsidRPr="006E28CD" w:rsidRDefault="003B03D9">
            <w:pPr>
              <w:pStyle w:val="ExhibitText"/>
              <w:jc w:val="left"/>
              <w:rPr>
                <w:lang w:val="en-GB"/>
              </w:rPr>
            </w:pPr>
            <w:r w:rsidRPr="006E28CD">
              <w:rPr>
                <w:lang w:val="en-GB"/>
              </w:rPr>
              <w:t xml:space="preserve">Minority </w:t>
            </w:r>
            <w:r w:rsidR="009F3950" w:rsidRPr="006E28CD">
              <w:rPr>
                <w:lang w:val="en-GB"/>
              </w:rPr>
              <w:t>Interests</w:t>
            </w:r>
          </w:p>
        </w:tc>
        <w:tc>
          <w:tcPr>
            <w:tcW w:w="1350" w:type="dxa"/>
            <w:hideMark/>
          </w:tcPr>
          <w:p w14:paraId="4E1D96DA" w14:textId="77777777" w:rsidR="003B03D9" w:rsidRPr="006E28CD" w:rsidRDefault="003B03D9" w:rsidP="003B03D9">
            <w:pPr>
              <w:pStyle w:val="ExhibitText"/>
              <w:jc w:val="right"/>
              <w:rPr>
                <w:lang w:val="en-GB"/>
              </w:rPr>
            </w:pPr>
            <w:r w:rsidRPr="006E28CD">
              <w:rPr>
                <w:lang w:val="en-GB"/>
              </w:rPr>
              <w:t>261.3</w:t>
            </w:r>
          </w:p>
        </w:tc>
        <w:tc>
          <w:tcPr>
            <w:tcW w:w="1080" w:type="dxa"/>
            <w:noWrap/>
            <w:hideMark/>
          </w:tcPr>
          <w:p w14:paraId="60310940" w14:textId="77777777" w:rsidR="003B03D9" w:rsidRPr="006E28CD" w:rsidRDefault="003B03D9" w:rsidP="003B03D9">
            <w:pPr>
              <w:pStyle w:val="ExhibitText"/>
              <w:jc w:val="right"/>
              <w:rPr>
                <w:lang w:val="en-GB"/>
              </w:rPr>
            </w:pPr>
            <w:r w:rsidRPr="006E28CD">
              <w:rPr>
                <w:lang w:val="en-GB"/>
              </w:rPr>
              <w:t>278.9</w:t>
            </w:r>
          </w:p>
        </w:tc>
        <w:tc>
          <w:tcPr>
            <w:tcW w:w="1080" w:type="dxa"/>
            <w:noWrap/>
            <w:hideMark/>
          </w:tcPr>
          <w:p w14:paraId="543CD735" w14:textId="77777777" w:rsidR="003B03D9" w:rsidRPr="006E28CD" w:rsidRDefault="003B03D9" w:rsidP="003B03D9">
            <w:pPr>
              <w:pStyle w:val="ExhibitText"/>
              <w:jc w:val="right"/>
              <w:rPr>
                <w:lang w:val="en-GB"/>
              </w:rPr>
            </w:pPr>
            <w:r w:rsidRPr="006E28CD">
              <w:rPr>
                <w:lang w:val="en-GB"/>
              </w:rPr>
              <w:t>189.3</w:t>
            </w:r>
          </w:p>
        </w:tc>
        <w:tc>
          <w:tcPr>
            <w:tcW w:w="1080" w:type="dxa"/>
            <w:noWrap/>
            <w:hideMark/>
          </w:tcPr>
          <w:p w14:paraId="3D18E8DE" w14:textId="77777777" w:rsidR="003B03D9" w:rsidRPr="006E28CD" w:rsidRDefault="003B03D9" w:rsidP="003B03D9">
            <w:pPr>
              <w:pStyle w:val="ExhibitText"/>
              <w:jc w:val="right"/>
              <w:rPr>
                <w:lang w:val="en-GB"/>
              </w:rPr>
            </w:pPr>
            <w:r w:rsidRPr="006E28CD">
              <w:rPr>
                <w:lang w:val="en-GB"/>
              </w:rPr>
              <w:t>196.3</w:t>
            </w:r>
          </w:p>
        </w:tc>
        <w:tc>
          <w:tcPr>
            <w:tcW w:w="1080" w:type="dxa"/>
            <w:noWrap/>
            <w:hideMark/>
          </w:tcPr>
          <w:p w14:paraId="7FAA539A" w14:textId="77777777" w:rsidR="003B03D9" w:rsidRPr="006E28CD" w:rsidRDefault="003B03D9" w:rsidP="003B03D9">
            <w:pPr>
              <w:pStyle w:val="ExhibitText"/>
              <w:jc w:val="right"/>
              <w:rPr>
                <w:lang w:val="en-GB"/>
              </w:rPr>
            </w:pPr>
            <w:r w:rsidRPr="006E28CD">
              <w:rPr>
                <w:lang w:val="en-GB"/>
              </w:rPr>
              <w:t>280.0</w:t>
            </w:r>
          </w:p>
        </w:tc>
        <w:tc>
          <w:tcPr>
            <w:tcW w:w="1080" w:type="dxa"/>
            <w:noWrap/>
            <w:hideMark/>
          </w:tcPr>
          <w:p w14:paraId="44563BAC" w14:textId="77777777" w:rsidR="003B03D9" w:rsidRPr="006E28CD" w:rsidRDefault="003B03D9" w:rsidP="003B03D9">
            <w:pPr>
              <w:pStyle w:val="ExhibitText"/>
              <w:jc w:val="right"/>
              <w:rPr>
                <w:lang w:val="en-GB"/>
              </w:rPr>
            </w:pPr>
            <w:r w:rsidRPr="006E28CD">
              <w:rPr>
                <w:lang w:val="en-GB"/>
              </w:rPr>
              <w:t>288.0</w:t>
            </w:r>
          </w:p>
        </w:tc>
      </w:tr>
      <w:tr w:rsidR="003B03D9" w:rsidRPr="006E28CD" w14:paraId="48362927" w14:textId="77777777" w:rsidTr="003B03D9">
        <w:trPr>
          <w:trHeight w:val="60"/>
        </w:trPr>
        <w:tc>
          <w:tcPr>
            <w:tcW w:w="2610" w:type="dxa"/>
            <w:hideMark/>
          </w:tcPr>
          <w:p w14:paraId="0A80B0B0" w14:textId="77777777" w:rsidR="003B03D9" w:rsidRPr="006E28CD" w:rsidRDefault="003B03D9" w:rsidP="003B03D9">
            <w:pPr>
              <w:pStyle w:val="ExhibitText"/>
              <w:jc w:val="left"/>
              <w:rPr>
                <w:lang w:val="en-GB"/>
              </w:rPr>
            </w:pPr>
            <w:r w:rsidRPr="006E28CD">
              <w:rPr>
                <w:lang w:val="en-GB"/>
              </w:rPr>
              <w:t>Total Equity</w:t>
            </w:r>
          </w:p>
        </w:tc>
        <w:tc>
          <w:tcPr>
            <w:tcW w:w="1350" w:type="dxa"/>
            <w:noWrap/>
            <w:hideMark/>
          </w:tcPr>
          <w:p w14:paraId="0607188C" w14:textId="77777777" w:rsidR="003B03D9" w:rsidRPr="006E28CD" w:rsidRDefault="003B03D9" w:rsidP="003B03D9">
            <w:pPr>
              <w:pStyle w:val="ExhibitText"/>
              <w:jc w:val="right"/>
              <w:rPr>
                <w:lang w:val="en-GB"/>
              </w:rPr>
            </w:pPr>
            <w:r w:rsidRPr="006E28CD">
              <w:rPr>
                <w:lang w:val="en-GB"/>
              </w:rPr>
              <w:t>7,718.7</w:t>
            </w:r>
          </w:p>
        </w:tc>
        <w:tc>
          <w:tcPr>
            <w:tcW w:w="1080" w:type="dxa"/>
            <w:noWrap/>
            <w:hideMark/>
          </w:tcPr>
          <w:p w14:paraId="594566B5" w14:textId="77777777" w:rsidR="003B03D9" w:rsidRPr="006E28CD" w:rsidRDefault="003B03D9" w:rsidP="003B03D9">
            <w:pPr>
              <w:pStyle w:val="ExhibitText"/>
              <w:jc w:val="right"/>
              <w:rPr>
                <w:lang w:val="en-GB"/>
              </w:rPr>
            </w:pPr>
            <w:r w:rsidRPr="006E28CD">
              <w:rPr>
                <w:lang w:val="en-GB"/>
              </w:rPr>
              <w:t>7,417.0</w:t>
            </w:r>
          </w:p>
        </w:tc>
        <w:tc>
          <w:tcPr>
            <w:tcW w:w="1080" w:type="dxa"/>
            <w:noWrap/>
            <w:hideMark/>
          </w:tcPr>
          <w:p w14:paraId="56822244" w14:textId="77777777" w:rsidR="003B03D9" w:rsidRPr="006E28CD" w:rsidRDefault="003B03D9" w:rsidP="003B03D9">
            <w:pPr>
              <w:pStyle w:val="ExhibitText"/>
              <w:jc w:val="right"/>
              <w:rPr>
                <w:lang w:val="en-GB"/>
              </w:rPr>
            </w:pPr>
            <w:r w:rsidRPr="006E28CD">
              <w:rPr>
                <w:lang w:val="en-GB"/>
              </w:rPr>
              <w:t>5,248.4</w:t>
            </w:r>
          </w:p>
        </w:tc>
        <w:tc>
          <w:tcPr>
            <w:tcW w:w="1080" w:type="dxa"/>
            <w:noWrap/>
            <w:hideMark/>
          </w:tcPr>
          <w:p w14:paraId="596975D9" w14:textId="77777777" w:rsidR="003B03D9" w:rsidRPr="006E28CD" w:rsidRDefault="003B03D9" w:rsidP="003B03D9">
            <w:pPr>
              <w:pStyle w:val="ExhibitText"/>
              <w:jc w:val="right"/>
              <w:rPr>
                <w:lang w:val="en-GB"/>
              </w:rPr>
            </w:pPr>
            <w:r w:rsidRPr="006E28CD">
              <w:rPr>
                <w:lang w:val="en-GB"/>
              </w:rPr>
              <w:t>6,233.1</w:t>
            </w:r>
          </w:p>
        </w:tc>
        <w:tc>
          <w:tcPr>
            <w:tcW w:w="1080" w:type="dxa"/>
            <w:noWrap/>
            <w:hideMark/>
          </w:tcPr>
          <w:p w14:paraId="3DDAFC4B" w14:textId="77777777" w:rsidR="003B03D9" w:rsidRPr="006E28CD" w:rsidRDefault="003B03D9" w:rsidP="003B03D9">
            <w:pPr>
              <w:pStyle w:val="ExhibitText"/>
              <w:jc w:val="right"/>
              <w:rPr>
                <w:lang w:val="en-GB"/>
              </w:rPr>
            </w:pPr>
            <w:r w:rsidRPr="006E28CD">
              <w:rPr>
                <w:lang w:val="en-GB"/>
              </w:rPr>
              <w:t>13,952.0</w:t>
            </w:r>
          </w:p>
        </w:tc>
        <w:tc>
          <w:tcPr>
            <w:tcW w:w="1080" w:type="dxa"/>
            <w:noWrap/>
            <w:hideMark/>
          </w:tcPr>
          <w:p w14:paraId="150DA9C2" w14:textId="77777777" w:rsidR="003B03D9" w:rsidRPr="006E28CD" w:rsidRDefault="003B03D9" w:rsidP="003B03D9">
            <w:pPr>
              <w:pStyle w:val="ExhibitText"/>
              <w:jc w:val="right"/>
              <w:rPr>
                <w:lang w:val="en-GB"/>
              </w:rPr>
            </w:pPr>
            <w:r w:rsidRPr="006E28CD">
              <w:rPr>
                <w:lang w:val="en-GB"/>
              </w:rPr>
              <w:t>12,915.9</w:t>
            </w:r>
          </w:p>
        </w:tc>
      </w:tr>
      <w:tr w:rsidR="003B03D9" w:rsidRPr="006E28CD" w14:paraId="1B04F0AA" w14:textId="77777777" w:rsidTr="003B03D9">
        <w:trPr>
          <w:trHeight w:val="60"/>
        </w:trPr>
        <w:tc>
          <w:tcPr>
            <w:tcW w:w="2610" w:type="dxa"/>
            <w:hideMark/>
          </w:tcPr>
          <w:p w14:paraId="60D5A76A" w14:textId="77777777" w:rsidR="003B03D9" w:rsidRPr="006E28CD" w:rsidRDefault="003B03D9" w:rsidP="003B03D9">
            <w:pPr>
              <w:pStyle w:val="ExhibitText"/>
              <w:jc w:val="left"/>
              <w:rPr>
                <w:lang w:val="en-GB"/>
              </w:rPr>
            </w:pPr>
          </w:p>
        </w:tc>
        <w:tc>
          <w:tcPr>
            <w:tcW w:w="1350" w:type="dxa"/>
            <w:hideMark/>
          </w:tcPr>
          <w:p w14:paraId="7F847D13" w14:textId="77777777" w:rsidR="003B03D9" w:rsidRPr="006E28CD" w:rsidRDefault="003B03D9" w:rsidP="003B03D9">
            <w:pPr>
              <w:pStyle w:val="ExhibitText"/>
              <w:jc w:val="right"/>
              <w:rPr>
                <w:lang w:val="en-GB"/>
              </w:rPr>
            </w:pPr>
          </w:p>
        </w:tc>
        <w:tc>
          <w:tcPr>
            <w:tcW w:w="1080" w:type="dxa"/>
            <w:noWrap/>
            <w:hideMark/>
          </w:tcPr>
          <w:p w14:paraId="18BF2D81" w14:textId="77777777" w:rsidR="003B03D9" w:rsidRPr="006E28CD" w:rsidRDefault="003B03D9" w:rsidP="003B03D9">
            <w:pPr>
              <w:pStyle w:val="ExhibitText"/>
              <w:jc w:val="right"/>
              <w:rPr>
                <w:lang w:val="en-GB"/>
              </w:rPr>
            </w:pPr>
          </w:p>
        </w:tc>
        <w:tc>
          <w:tcPr>
            <w:tcW w:w="1080" w:type="dxa"/>
            <w:noWrap/>
            <w:hideMark/>
          </w:tcPr>
          <w:p w14:paraId="79415B0B" w14:textId="77777777" w:rsidR="003B03D9" w:rsidRPr="006E28CD" w:rsidRDefault="003B03D9" w:rsidP="003B03D9">
            <w:pPr>
              <w:pStyle w:val="ExhibitText"/>
              <w:jc w:val="right"/>
              <w:rPr>
                <w:lang w:val="en-GB"/>
              </w:rPr>
            </w:pPr>
          </w:p>
        </w:tc>
        <w:tc>
          <w:tcPr>
            <w:tcW w:w="1080" w:type="dxa"/>
            <w:noWrap/>
            <w:hideMark/>
          </w:tcPr>
          <w:p w14:paraId="5B4EA324" w14:textId="77777777" w:rsidR="003B03D9" w:rsidRPr="006E28CD" w:rsidRDefault="003B03D9" w:rsidP="003B03D9">
            <w:pPr>
              <w:pStyle w:val="ExhibitText"/>
              <w:jc w:val="right"/>
              <w:rPr>
                <w:lang w:val="en-GB"/>
              </w:rPr>
            </w:pPr>
          </w:p>
        </w:tc>
        <w:tc>
          <w:tcPr>
            <w:tcW w:w="1080" w:type="dxa"/>
            <w:noWrap/>
            <w:hideMark/>
          </w:tcPr>
          <w:p w14:paraId="72D57684" w14:textId="77777777" w:rsidR="003B03D9" w:rsidRPr="006E28CD" w:rsidRDefault="003B03D9" w:rsidP="003B03D9">
            <w:pPr>
              <w:pStyle w:val="ExhibitText"/>
              <w:jc w:val="right"/>
              <w:rPr>
                <w:lang w:val="en-GB"/>
              </w:rPr>
            </w:pPr>
          </w:p>
        </w:tc>
        <w:tc>
          <w:tcPr>
            <w:tcW w:w="1080" w:type="dxa"/>
            <w:noWrap/>
            <w:hideMark/>
          </w:tcPr>
          <w:p w14:paraId="02308903" w14:textId="77777777" w:rsidR="003B03D9" w:rsidRPr="006E28CD" w:rsidRDefault="003B03D9" w:rsidP="003B03D9">
            <w:pPr>
              <w:pStyle w:val="ExhibitText"/>
              <w:jc w:val="right"/>
              <w:rPr>
                <w:lang w:val="en-GB"/>
              </w:rPr>
            </w:pPr>
          </w:p>
        </w:tc>
      </w:tr>
      <w:tr w:rsidR="003B03D9" w:rsidRPr="006E28CD" w14:paraId="0824262E" w14:textId="77777777" w:rsidTr="003B03D9">
        <w:trPr>
          <w:trHeight w:val="60"/>
        </w:trPr>
        <w:tc>
          <w:tcPr>
            <w:tcW w:w="2610" w:type="dxa"/>
            <w:hideMark/>
          </w:tcPr>
          <w:p w14:paraId="2791628F" w14:textId="7AAC0844" w:rsidR="003B03D9" w:rsidRPr="006E28CD" w:rsidRDefault="003B03D9">
            <w:pPr>
              <w:pStyle w:val="ExhibitText"/>
              <w:jc w:val="left"/>
              <w:rPr>
                <w:lang w:val="en-GB"/>
              </w:rPr>
            </w:pPr>
            <w:r w:rsidRPr="006E28CD">
              <w:rPr>
                <w:lang w:val="en-GB"/>
              </w:rPr>
              <w:t>Non-</w:t>
            </w:r>
            <w:r w:rsidR="009F3950" w:rsidRPr="006E28CD">
              <w:rPr>
                <w:lang w:val="en-GB"/>
              </w:rPr>
              <w:t>Current Liabilities</w:t>
            </w:r>
          </w:p>
        </w:tc>
        <w:tc>
          <w:tcPr>
            <w:tcW w:w="1350" w:type="dxa"/>
            <w:noWrap/>
            <w:hideMark/>
          </w:tcPr>
          <w:p w14:paraId="0F7EC64B" w14:textId="77777777" w:rsidR="003B03D9" w:rsidRPr="006E28CD" w:rsidRDefault="003B03D9" w:rsidP="003B03D9">
            <w:pPr>
              <w:pStyle w:val="ExhibitText"/>
              <w:jc w:val="right"/>
              <w:rPr>
                <w:lang w:val="en-GB"/>
              </w:rPr>
            </w:pPr>
            <w:r w:rsidRPr="006E28CD">
              <w:rPr>
                <w:lang w:val="en-GB"/>
              </w:rPr>
              <w:t>6,666.4</w:t>
            </w:r>
          </w:p>
        </w:tc>
        <w:tc>
          <w:tcPr>
            <w:tcW w:w="1080" w:type="dxa"/>
            <w:noWrap/>
            <w:hideMark/>
          </w:tcPr>
          <w:p w14:paraId="0D89E385" w14:textId="77777777" w:rsidR="003B03D9" w:rsidRPr="006E28CD" w:rsidRDefault="003B03D9" w:rsidP="003B03D9">
            <w:pPr>
              <w:pStyle w:val="ExhibitText"/>
              <w:jc w:val="right"/>
              <w:rPr>
                <w:lang w:val="en-GB"/>
              </w:rPr>
            </w:pPr>
            <w:r w:rsidRPr="006E28CD">
              <w:rPr>
                <w:lang w:val="en-GB"/>
              </w:rPr>
              <w:t>6,314.7</w:t>
            </w:r>
          </w:p>
        </w:tc>
        <w:tc>
          <w:tcPr>
            <w:tcW w:w="1080" w:type="dxa"/>
            <w:noWrap/>
            <w:hideMark/>
          </w:tcPr>
          <w:p w14:paraId="7DEA2899" w14:textId="77777777" w:rsidR="003B03D9" w:rsidRPr="006E28CD" w:rsidRDefault="003B03D9" w:rsidP="003B03D9">
            <w:pPr>
              <w:pStyle w:val="ExhibitText"/>
              <w:jc w:val="right"/>
              <w:rPr>
                <w:lang w:val="en-GB"/>
              </w:rPr>
            </w:pPr>
            <w:r w:rsidRPr="006E28CD">
              <w:rPr>
                <w:lang w:val="en-GB"/>
              </w:rPr>
              <w:t>6,320.2</w:t>
            </w:r>
          </w:p>
        </w:tc>
        <w:tc>
          <w:tcPr>
            <w:tcW w:w="1080" w:type="dxa"/>
            <w:noWrap/>
            <w:hideMark/>
          </w:tcPr>
          <w:p w14:paraId="1B247A22" w14:textId="77777777" w:rsidR="003B03D9" w:rsidRPr="006E28CD" w:rsidRDefault="003B03D9" w:rsidP="003B03D9">
            <w:pPr>
              <w:pStyle w:val="ExhibitText"/>
              <w:jc w:val="right"/>
              <w:rPr>
                <w:lang w:val="en-GB"/>
              </w:rPr>
            </w:pPr>
            <w:r w:rsidRPr="006E28CD">
              <w:rPr>
                <w:lang w:val="en-GB"/>
              </w:rPr>
              <w:t>5,601.7</w:t>
            </w:r>
          </w:p>
        </w:tc>
        <w:tc>
          <w:tcPr>
            <w:tcW w:w="1080" w:type="dxa"/>
            <w:noWrap/>
            <w:hideMark/>
          </w:tcPr>
          <w:p w14:paraId="616E2A44" w14:textId="77777777" w:rsidR="003B03D9" w:rsidRPr="006E28CD" w:rsidRDefault="003B03D9" w:rsidP="003B03D9">
            <w:pPr>
              <w:pStyle w:val="ExhibitText"/>
              <w:jc w:val="right"/>
              <w:rPr>
                <w:lang w:val="en-GB"/>
              </w:rPr>
            </w:pPr>
            <w:r w:rsidRPr="006E28CD">
              <w:rPr>
                <w:lang w:val="en-GB"/>
              </w:rPr>
              <w:t>8,280.9</w:t>
            </w:r>
          </w:p>
        </w:tc>
        <w:tc>
          <w:tcPr>
            <w:tcW w:w="1080" w:type="dxa"/>
            <w:noWrap/>
            <w:hideMark/>
          </w:tcPr>
          <w:p w14:paraId="5A584A38" w14:textId="77777777" w:rsidR="003B03D9" w:rsidRPr="006E28CD" w:rsidRDefault="003B03D9" w:rsidP="003B03D9">
            <w:pPr>
              <w:pStyle w:val="ExhibitText"/>
              <w:jc w:val="right"/>
              <w:rPr>
                <w:lang w:val="en-GB"/>
              </w:rPr>
            </w:pPr>
            <w:r w:rsidRPr="006E28CD">
              <w:rPr>
                <w:lang w:val="en-GB"/>
              </w:rPr>
              <w:t>7,946.5</w:t>
            </w:r>
          </w:p>
        </w:tc>
      </w:tr>
      <w:tr w:rsidR="003B03D9" w:rsidRPr="006E28CD" w14:paraId="4EAFBCCA" w14:textId="77777777" w:rsidTr="003B03D9">
        <w:trPr>
          <w:trHeight w:val="60"/>
        </w:trPr>
        <w:tc>
          <w:tcPr>
            <w:tcW w:w="2610" w:type="dxa"/>
            <w:hideMark/>
          </w:tcPr>
          <w:p w14:paraId="6DD97266" w14:textId="34C61084" w:rsidR="003B03D9" w:rsidRPr="006E28CD" w:rsidRDefault="003B03D9">
            <w:pPr>
              <w:pStyle w:val="ExhibitText"/>
              <w:jc w:val="left"/>
              <w:rPr>
                <w:lang w:val="en-GB"/>
              </w:rPr>
            </w:pPr>
            <w:r w:rsidRPr="006E28CD">
              <w:rPr>
                <w:lang w:val="en-GB"/>
              </w:rPr>
              <w:t xml:space="preserve">Current </w:t>
            </w:r>
            <w:r w:rsidR="009F3950" w:rsidRPr="006E28CD">
              <w:rPr>
                <w:lang w:val="en-GB"/>
              </w:rPr>
              <w:t>Liabilities</w:t>
            </w:r>
          </w:p>
        </w:tc>
        <w:tc>
          <w:tcPr>
            <w:tcW w:w="1350" w:type="dxa"/>
            <w:noWrap/>
            <w:hideMark/>
          </w:tcPr>
          <w:p w14:paraId="4A069C07" w14:textId="77777777" w:rsidR="003B03D9" w:rsidRPr="006E28CD" w:rsidRDefault="003B03D9" w:rsidP="003B03D9">
            <w:pPr>
              <w:pStyle w:val="ExhibitText"/>
              <w:jc w:val="right"/>
              <w:rPr>
                <w:lang w:val="en-GB"/>
              </w:rPr>
            </w:pPr>
            <w:r w:rsidRPr="006E28CD">
              <w:rPr>
                <w:lang w:val="en-GB"/>
              </w:rPr>
              <w:t>3,639.6</w:t>
            </w:r>
          </w:p>
        </w:tc>
        <w:tc>
          <w:tcPr>
            <w:tcW w:w="1080" w:type="dxa"/>
            <w:noWrap/>
            <w:hideMark/>
          </w:tcPr>
          <w:p w14:paraId="7A9CA4D0" w14:textId="77777777" w:rsidR="003B03D9" w:rsidRPr="006E28CD" w:rsidRDefault="003B03D9" w:rsidP="003B03D9">
            <w:pPr>
              <w:pStyle w:val="ExhibitText"/>
              <w:jc w:val="right"/>
              <w:rPr>
                <w:lang w:val="en-GB"/>
              </w:rPr>
            </w:pPr>
            <w:r w:rsidRPr="006E28CD">
              <w:rPr>
                <w:lang w:val="en-GB"/>
              </w:rPr>
              <w:t>3,824.4</w:t>
            </w:r>
          </w:p>
        </w:tc>
        <w:tc>
          <w:tcPr>
            <w:tcW w:w="1080" w:type="dxa"/>
            <w:noWrap/>
            <w:hideMark/>
          </w:tcPr>
          <w:p w14:paraId="666BAB75" w14:textId="77777777" w:rsidR="003B03D9" w:rsidRPr="006E28CD" w:rsidRDefault="003B03D9" w:rsidP="003B03D9">
            <w:pPr>
              <w:pStyle w:val="ExhibitText"/>
              <w:jc w:val="right"/>
              <w:rPr>
                <w:lang w:val="en-GB"/>
              </w:rPr>
            </w:pPr>
            <w:r w:rsidRPr="006E28CD">
              <w:rPr>
                <w:lang w:val="en-GB"/>
              </w:rPr>
              <w:t>1,865.3</w:t>
            </w:r>
          </w:p>
        </w:tc>
        <w:tc>
          <w:tcPr>
            <w:tcW w:w="1080" w:type="dxa"/>
            <w:noWrap/>
            <w:hideMark/>
          </w:tcPr>
          <w:p w14:paraId="4B9D96EC" w14:textId="77777777" w:rsidR="003B03D9" w:rsidRPr="006E28CD" w:rsidRDefault="003B03D9" w:rsidP="003B03D9">
            <w:pPr>
              <w:pStyle w:val="ExhibitText"/>
              <w:jc w:val="right"/>
              <w:rPr>
                <w:lang w:val="en-GB"/>
              </w:rPr>
            </w:pPr>
            <w:r w:rsidRPr="006E28CD">
              <w:rPr>
                <w:lang w:val="en-GB"/>
              </w:rPr>
              <w:t>3,496.8</w:t>
            </w:r>
          </w:p>
        </w:tc>
        <w:tc>
          <w:tcPr>
            <w:tcW w:w="1080" w:type="dxa"/>
            <w:noWrap/>
            <w:hideMark/>
          </w:tcPr>
          <w:p w14:paraId="77B3B964" w14:textId="77777777" w:rsidR="003B03D9" w:rsidRPr="006E28CD" w:rsidRDefault="003B03D9" w:rsidP="003B03D9">
            <w:pPr>
              <w:pStyle w:val="ExhibitText"/>
              <w:jc w:val="right"/>
              <w:rPr>
                <w:lang w:val="en-GB"/>
              </w:rPr>
            </w:pPr>
            <w:r w:rsidRPr="006E28CD">
              <w:rPr>
                <w:lang w:val="en-GB"/>
              </w:rPr>
              <w:t>1,668.8</w:t>
            </w:r>
          </w:p>
        </w:tc>
        <w:tc>
          <w:tcPr>
            <w:tcW w:w="1080" w:type="dxa"/>
            <w:noWrap/>
            <w:hideMark/>
          </w:tcPr>
          <w:p w14:paraId="44DC337B" w14:textId="77777777" w:rsidR="003B03D9" w:rsidRPr="006E28CD" w:rsidRDefault="003B03D9" w:rsidP="003B03D9">
            <w:pPr>
              <w:pStyle w:val="ExhibitText"/>
              <w:jc w:val="right"/>
              <w:rPr>
                <w:lang w:val="en-GB"/>
              </w:rPr>
            </w:pPr>
            <w:r w:rsidRPr="006E28CD">
              <w:rPr>
                <w:lang w:val="en-GB"/>
              </w:rPr>
              <w:t>2,202.5</w:t>
            </w:r>
          </w:p>
        </w:tc>
      </w:tr>
      <w:tr w:rsidR="003B03D9" w:rsidRPr="006E28CD" w14:paraId="5692EE3D" w14:textId="77777777" w:rsidTr="003B03D9">
        <w:trPr>
          <w:trHeight w:val="60"/>
        </w:trPr>
        <w:tc>
          <w:tcPr>
            <w:tcW w:w="2610" w:type="dxa"/>
            <w:hideMark/>
          </w:tcPr>
          <w:p w14:paraId="46EA79AF" w14:textId="77777777" w:rsidR="003B03D9" w:rsidRPr="006E28CD" w:rsidRDefault="003B03D9" w:rsidP="003B03D9">
            <w:pPr>
              <w:pStyle w:val="ExhibitText"/>
              <w:jc w:val="left"/>
              <w:rPr>
                <w:lang w:val="en-GB"/>
              </w:rPr>
            </w:pPr>
            <w:r w:rsidRPr="006E28CD">
              <w:rPr>
                <w:lang w:val="en-GB"/>
              </w:rPr>
              <w:t>Total Liabilities</w:t>
            </w:r>
          </w:p>
        </w:tc>
        <w:tc>
          <w:tcPr>
            <w:tcW w:w="1350" w:type="dxa"/>
            <w:noWrap/>
            <w:hideMark/>
          </w:tcPr>
          <w:p w14:paraId="2C4B026C" w14:textId="77777777" w:rsidR="003B03D9" w:rsidRPr="006E28CD" w:rsidRDefault="003B03D9" w:rsidP="003B03D9">
            <w:pPr>
              <w:pStyle w:val="ExhibitText"/>
              <w:jc w:val="right"/>
              <w:rPr>
                <w:lang w:val="en-GB"/>
              </w:rPr>
            </w:pPr>
            <w:r w:rsidRPr="006E28CD">
              <w:rPr>
                <w:lang w:val="en-GB"/>
              </w:rPr>
              <w:t>10,306.0</w:t>
            </w:r>
          </w:p>
        </w:tc>
        <w:tc>
          <w:tcPr>
            <w:tcW w:w="1080" w:type="dxa"/>
            <w:noWrap/>
            <w:hideMark/>
          </w:tcPr>
          <w:p w14:paraId="54A8A686" w14:textId="77777777" w:rsidR="003B03D9" w:rsidRPr="006E28CD" w:rsidRDefault="003B03D9" w:rsidP="003B03D9">
            <w:pPr>
              <w:pStyle w:val="ExhibitText"/>
              <w:jc w:val="right"/>
              <w:rPr>
                <w:lang w:val="en-GB"/>
              </w:rPr>
            </w:pPr>
            <w:r w:rsidRPr="006E28CD">
              <w:rPr>
                <w:lang w:val="en-GB"/>
              </w:rPr>
              <w:t>10,139.1</w:t>
            </w:r>
          </w:p>
        </w:tc>
        <w:tc>
          <w:tcPr>
            <w:tcW w:w="1080" w:type="dxa"/>
            <w:noWrap/>
            <w:hideMark/>
          </w:tcPr>
          <w:p w14:paraId="650952D8" w14:textId="77777777" w:rsidR="003B03D9" w:rsidRPr="006E28CD" w:rsidRDefault="003B03D9" w:rsidP="003B03D9">
            <w:pPr>
              <w:pStyle w:val="ExhibitText"/>
              <w:jc w:val="right"/>
              <w:rPr>
                <w:lang w:val="en-GB"/>
              </w:rPr>
            </w:pPr>
            <w:r w:rsidRPr="006E28CD">
              <w:rPr>
                <w:lang w:val="en-GB"/>
              </w:rPr>
              <w:t>8,185.5</w:t>
            </w:r>
          </w:p>
        </w:tc>
        <w:tc>
          <w:tcPr>
            <w:tcW w:w="1080" w:type="dxa"/>
            <w:noWrap/>
            <w:hideMark/>
          </w:tcPr>
          <w:p w14:paraId="31BC2573" w14:textId="77777777" w:rsidR="003B03D9" w:rsidRPr="006E28CD" w:rsidRDefault="003B03D9" w:rsidP="003B03D9">
            <w:pPr>
              <w:pStyle w:val="ExhibitText"/>
              <w:jc w:val="right"/>
              <w:rPr>
                <w:lang w:val="en-GB"/>
              </w:rPr>
            </w:pPr>
            <w:r w:rsidRPr="006E28CD">
              <w:rPr>
                <w:lang w:val="en-GB"/>
              </w:rPr>
              <w:t>9,098.5</w:t>
            </w:r>
          </w:p>
        </w:tc>
        <w:tc>
          <w:tcPr>
            <w:tcW w:w="1080" w:type="dxa"/>
            <w:noWrap/>
            <w:hideMark/>
          </w:tcPr>
          <w:p w14:paraId="19F585B8" w14:textId="77777777" w:rsidR="003B03D9" w:rsidRPr="006E28CD" w:rsidRDefault="003B03D9" w:rsidP="003B03D9">
            <w:pPr>
              <w:pStyle w:val="ExhibitText"/>
              <w:jc w:val="right"/>
              <w:rPr>
                <w:lang w:val="en-GB"/>
              </w:rPr>
            </w:pPr>
            <w:r w:rsidRPr="006E28CD">
              <w:rPr>
                <w:lang w:val="en-GB"/>
              </w:rPr>
              <w:t>9,949.7</w:t>
            </w:r>
          </w:p>
        </w:tc>
        <w:tc>
          <w:tcPr>
            <w:tcW w:w="1080" w:type="dxa"/>
            <w:noWrap/>
            <w:hideMark/>
          </w:tcPr>
          <w:p w14:paraId="7B17AE9E" w14:textId="77777777" w:rsidR="003B03D9" w:rsidRPr="006E28CD" w:rsidRDefault="003B03D9" w:rsidP="003B03D9">
            <w:pPr>
              <w:pStyle w:val="ExhibitText"/>
              <w:jc w:val="right"/>
              <w:rPr>
                <w:lang w:val="en-GB"/>
              </w:rPr>
            </w:pPr>
            <w:r w:rsidRPr="006E28CD">
              <w:rPr>
                <w:lang w:val="en-GB"/>
              </w:rPr>
              <w:t>10,149.0</w:t>
            </w:r>
          </w:p>
        </w:tc>
      </w:tr>
      <w:tr w:rsidR="003B03D9" w:rsidRPr="006E28CD" w14:paraId="6596FC90" w14:textId="77777777" w:rsidTr="003B03D9">
        <w:trPr>
          <w:trHeight w:val="60"/>
        </w:trPr>
        <w:tc>
          <w:tcPr>
            <w:tcW w:w="2610" w:type="dxa"/>
            <w:hideMark/>
          </w:tcPr>
          <w:p w14:paraId="5DCA8A54" w14:textId="77777777" w:rsidR="003B03D9" w:rsidRPr="006E28CD" w:rsidRDefault="003B03D9" w:rsidP="003B03D9">
            <w:pPr>
              <w:pStyle w:val="ExhibitText"/>
              <w:jc w:val="left"/>
              <w:rPr>
                <w:lang w:val="en-GB"/>
              </w:rPr>
            </w:pPr>
            <w:r w:rsidRPr="006E28CD">
              <w:rPr>
                <w:lang w:val="en-GB"/>
              </w:rPr>
              <w:t>Total Equity and Liabilities</w:t>
            </w:r>
          </w:p>
        </w:tc>
        <w:tc>
          <w:tcPr>
            <w:tcW w:w="1350" w:type="dxa"/>
            <w:hideMark/>
          </w:tcPr>
          <w:p w14:paraId="3E298F22" w14:textId="77777777" w:rsidR="003B03D9" w:rsidRPr="006E28CD" w:rsidRDefault="003B03D9" w:rsidP="003B03D9">
            <w:pPr>
              <w:pStyle w:val="ExhibitText"/>
              <w:jc w:val="right"/>
              <w:rPr>
                <w:lang w:val="en-GB"/>
              </w:rPr>
            </w:pPr>
            <w:r w:rsidRPr="006E28CD">
              <w:rPr>
                <w:lang w:val="en-GB"/>
              </w:rPr>
              <w:t>18,024.7</w:t>
            </w:r>
          </w:p>
        </w:tc>
        <w:tc>
          <w:tcPr>
            <w:tcW w:w="1080" w:type="dxa"/>
            <w:noWrap/>
            <w:hideMark/>
          </w:tcPr>
          <w:p w14:paraId="5B64E44A" w14:textId="77777777" w:rsidR="003B03D9" w:rsidRPr="006E28CD" w:rsidRDefault="003B03D9" w:rsidP="003B03D9">
            <w:pPr>
              <w:pStyle w:val="ExhibitText"/>
              <w:jc w:val="right"/>
              <w:rPr>
                <w:lang w:val="en-GB"/>
              </w:rPr>
            </w:pPr>
            <w:r w:rsidRPr="006E28CD">
              <w:rPr>
                <w:lang w:val="en-GB"/>
              </w:rPr>
              <w:t>17,556.1</w:t>
            </w:r>
          </w:p>
        </w:tc>
        <w:tc>
          <w:tcPr>
            <w:tcW w:w="1080" w:type="dxa"/>
            <w:noWrap/>
            <w:hideMark/>
          </w:tcPr>
          <w:p w14:paraId="4896DC06" w14:textId="77777777" w:rsidR="003B03D9" w:rsidRPr="006E28CD" w:rsidRDefault="003B03D9" w:rsidP="003B03D9">
            <w:pPr>
              <w:pStyle w:val="ExhibitText"/>
              <w:jc w:val="right"/>
              <w:rPr>
                <w:lang w:val="en-GB"/>
              </w:rPr>
            </w:pPr>
            <w:r w:rsidRPr="006E28CD">
              <w:rPr>
                <w:lang w:val="en-GB"/>
              </w:rPr>
              <w:t>13,433.9</w:t>
            </w:r>
          </w:p>
        </w:tc>
        <w:tc>
          <w:tcPr>
            <w:tcW w:w="1080" w:type="dxa"/>
            <w:noWrap/>
            <w:hideMark/>
          </w:tcPr>
          <w:p w14:paraId="5E83B6A8" w14:textId="77777777" w:rsidR="003B03D9" w:rsidRPr="006E28CD" w:rsidRDefault="003B03D9" w:rsidP="003B03D9">
            <w:pPr>
              <w:pStyle w:val="ExhibitText"/>
              <w:jc w:val="right"/>
              <w:rPr>
                <w:lang w:val="en-GB"/>
              </w:rPr>
            </w:pPr>
            <w:r w:rsidRPr="006E28CD">
              <w:rPr>
                <w:lang w:val="en-GB"/>
              </w:rPr>
              <w:t>15,331.6</w:t>
            </w:r>
          </w:p>
        </w:tc>
        <w:tc>
          <w:tcPr>
            <w:tcW w:w="1080" w:type="dxa"/>
            <w:noWrap/>
            <w:hideMark/>
          </w:tcPr>
          <w:p w14:paraId="7E033B1F" w14:textId="77777777" w:rsidR="003B03D9" w:rsidRPr="006E28CD" w:rsidRDefault="003B03D9" w:rsidP="003B03D9">
            <w:pPr>
              <w:pStyle w:val="ExhibitText"/>
              <w:jc w:val="right"/>
              <w:rPr>
                <w:lang w:val="en-GB"/>
              </w:rPr>
            </w:pPr>
            <w:r w:rsidRPr="006E28CD">
              <w:rPr>
                <w:lang w:val="en-GB"/>
              </w:rPr>
              <w:t>23,901.7</w:t>
            </w:r>
          </w:p>
        </w:tc>
        <w:tc>
          <w:tcPr>
            <w:tcW w:w="1080" w:type="dxa"/>
            <w:noWrap/>
            <w:hideMark/>
          </w:tcPr>
          <w:p w14:paraId="5D000A46" w14:textId="77777777" w:rsidR="003B03D9" w:rsidRPr="006E28CD" w:rsidRDefault="003B03D9" w:rsidP="003B03D9">
            <w:pPr>
              <w:pStyle w:val="ExhibitText"/>
              <w:jc w:val="right"/>
              <w:rPr>
                <w:lang w:val="en-GB"/>
              </w:rPr>
            </w:pPr>
            <w:r w:rsidRPr="006E28CD">
              <w:rPr>
                <w:lang w:val="en-GB"/>
              </w:rPr>
              <w:t>23,064.9</w:t>
            </w:r>
          </w:p>
        </w:tc>
      </w:tr>
    </w:tbl>
    <w:p w14:paraId="6C64180C" w14:textId="77777777" w:rsidR="00CD53A5" w:rsidRPr="006E28CD" w:rsidRDefault="00CD53A5" w:rsidP="00CD53A5">
      <w:pPr>
        <w:pStyle w:val="ExhibitHeading"/>
        <w:rPr>
          <w:lang w:val="en-GB"/>
        </w:rPr>
      </w:pPr>
    </w:p>
    <w:tbl>
      <w:tblPr>
        <w:tblStyle w:val="TableGrid"/>
        <w:tblW w:w="9360" w:type="dxa"/>
        <w:tblInd w:w="108" w:type="dxa"/>
        <w:tblLayout w:type="fixed"/>
        <w:tblLook w:val="04A0" w:firstRow="1" w:lastRow="0" w:firstColumn="1" w:lastColumn="0" w:noHBand="0" w:noVBand="1"/>
      </w:tblPr>
      <w:tblGrid>
        <w:gridCol w:w="2610"/>
        <w:gridCol w:w="1350"/>
        <w:gridCol w:w="1080"/>
        <w:gridCol w:w="1080"/>
        <w:gridCol w:w="1080"/>
        <w:gridCol w:w="1080"/>
        <w:gridCol w:w="1080"/>
      </w:tblGrid>
      <w:tr w:rsidR="003B03D9" w:rsidRPr="006E28CD" w14:paraId="05DACAF3" w14:textId="77777777" w:rsidTr="0081674C">
        <w:trPr>
          <w:trHeight w:val="60"/>
        </w:trPr>
        <w:tc>
          <w:tcPr>
            <w:tcW w:w="9360" w:type="dxa"/>
            <w:gridSpan w:val="7"/>
          </w:tcPr>
          <w:p w14:paraId="56FB683D" w14:textId="77777777" w:rsidR="003B03D9" w:rsidRPr="006E28CD" w:rsidRDefault="003B03D9" w:rsidP="0081674C">
            <w:pPr>
              <w:pStyle w:val="ExhibitText"/>
              <w:jc w:val="center"/>
              <w:rPr>
                <w:b/>
                <w:lang w:val="en-GB" w:eastAsia="en-US"/>
              </w:rPr>
            </w:pPr>
            <w:r w:rsidRPr="006E28CD">
              <w:rPr>
                <w:b/>
                <w:lang w:val="en-GB" w:eastAsia="en-US"/>
              </w:rPr>
              <w:t>Income Statement</w:t>
            </w:r>
          </w:p>
        </w:tc>
      </w:tr>
      <w:tr w:rsidR="003B03D9" w:rsidRPr="006E28CD" w14:paraId="51A48915" w14:textId="77777777" w:rsidTr="0081674C">
        <w:trPr>
          <w:trHeight w:val="60"/>
        </w:trPr>
        <w:tc>
          <w:tcPr>
            <w:tcW w:w="2610" w:type="dxa"/>
            <w:vAlign w:val="center"/>
          </w:tcPr>
          <w:p w14:paraId="35A87723" w14:textId="77777777" w:rsidR="003B03D9" w:rsidRPr="006E28CD" w:rsidRDefault="003B03D9" w:rsidP="00D65FC4">
            <w:pPr>
              <w:pStyle w:val="ExhibitText"/>
              <w:jc w:val="left"/>
              <w:rPr>
                <w:color w:val="000000"/>
                <w:lang w:val="en-GB"/>
              </w:rPr>
            </w:pPr>
            <w:r w:rsidRPr="006E28CD">
              <w:rPr>
                <w:color w:val="000000"/>
                <w:lang w:val="en-GB"/>
              </w:rPr>
              <w:t>Revenue</w:t>
            </w:r>
          </w:p>
        </w:tc>
        <w:tc>
          <w:tcPr>
            <w:tcW w:w="1350" w:type="dxa"/>
            <w:vAlign w:val="center"/>
          </w:tcPr>
          <w:p w14:paraId="1AEF4FA9" w14:textId="77777777" w:rsidR="003B03D9" w:rsidRPr="006E28CD" w:rsidRDefault="003B03D9" w:rsidP="00D65FC4">
            <w:pPr>
              <w:pStyle w:val="ExhibitText"/>
              <w:jc w:val="right"/>
              <w:rPr>
                <w:color w:val="000000"/>
                <w:lang w:val="en-GB"/>
              </w:rPr>
            </w:pPr>
            <w:r w:rsidRPr="006E28CD">
              <w:rPr>
                <w:color w:val="000000"/>
                <w:lang w:val="en-GB"/>
              </w:rPr>
              <w:t>14,127.3</w:t>
            </w:r>
          </w:p>
        </w:tc>
        <w:tc>
          <w:tcPr>
            <w:tcW w:w="1080" w:type="dxa"/>
            <w:noWrap/>
            <w:vAlign w:val="center"/>
          </w:tcPr>
          <w:p w14:paraId="69CFC6FB" w14:textId="77777777" w:rsidR="003B03D9" w:rsidRPr="006E28CD" w:rsidRDefault="003B03D9" w:rsidP="00D65FC4">
            <w:pPr>
              <w:pStyle w:val="ExhibitText"/>
              <w:jc w:val="right"/>
              <w:rPr>
                <w:color w:val="000000"/>
                <w:lang w:val="en-GB"/>
              </w:rPr>
            </w:pPr>
            <w:r w:rsidRPr="006E28CD">
              <w:rPr>
                <w:color w:val="000000"/>
                <w:lang w:val="en-GB"/>
              </w:rPr>
              <w:t>11,739.3</w:t>
            </w:r>
          </w:p>
        </w:tc>
        <w:tc>
          <w:tcPr>
            <w:tcW w:w="1080" w:type="dxa"/>
            <w:noWrap/>
            <w:vAlign w:val="center"/>
          </w:tcPr>
          <w:p w14:paraId="63117B0D" w14:textId="77777777" w:rsidR="003B03D9" w:rsidRPr="006E28CD" w:rsidRDefault="003B03D9" w:rsidP="00D65FC4">
            <w:pPr>
              <w:pStyle w:val="ExhibitText"/>
              <w:jc w:val="right"/>
              <w:rPr>
                <w:color w:val="000000"/>
                <w:lang w:val="en-GB"/>
              </w:rPr>
            </w:pPr>
            <w:r w:rsidRPr="006E28CD">
              <w:rPr>
                <w:color w:val="000000"/>
                <w:lang w:val="en-GB"/>
              </w:rPr>
              <w:t>11,621.0</w:t>
            </w:r>
          </w:p>
        </w:tc>
        <w:tc>
          <w:tcPr>
            <w:tcW w:w="1080" w:type="dxa"/>
            <w:noWrap/>
            <w:vAlign w:val="center"/>
          </w:tcPr>
          <w:p w14:paraId="30AA82D5" w14:textId="77777777" w:rsidR="003B03D9" w:rsidRPr="006E28CD" w:rsidRDefault="003B03D9" w:rsidP="00D65FC4">
            <w:pPr>
              <w:pStyle w:val="ExhibitText"/>
              <w:jc w:val="right"/>
              <w:rPr>
                <w:color w:val="000000"/>
                <w:lang w:val="en-GB"/>
              </w:rPr>
            </w:pPr>
            <w:r w:rsidRPr="006E28CD">
              <w:rPr>
                <w:color w:val="000000"/>
                <w:lang w:val="en-GB"/>
              </w:rPr>
              <w:t>12,664.0</w:t>
            </w:r>
          </w:p>
        </w:tc>
        <w:tc>
          <w:tcPr>
            <w:tcW w:w="1080" w:type="dxa"/>
            <w:noWrap/>
            <w:vAlign w:val="center"/>
          </w:tcPr>
          <w:p w14:paraId="1869E871" w14:textId="77777777" w:rsidR="003B03D9" w:rsidRPr="006E28CD" w:rsidRDefault="003B03D9" w:rsidP="00D65FC4">
            <w:pPr>
              <w:pStyle w:val="ExhibitText"/>
              <w:jc w:val="right"/>
              <w:rPr>
                <w:color w:val="000000"/>
                <w:lang w:val="en-GB"/>
              </w:rPr>
            </w:pPr>
            <w:r w:rsidRPr="006E28CD">
              <w:rPr>
                <w:color w:val="000000"/>
                <w:lang w:val="en-GB"/>
              </w:rPr>
              <w:t>13,516.5</w:t>
            </w:r>
          </w:p>
        </w:tc>
        <w:tc>
          <w:tcPr>
            <w:tcW w:w="1080" w:type="dxa"/>
            <w:noWrap/>
            <w:vAlign w:val="center"/>
          </w:tcPr>
          <w:p w14:paraId="32070055" w14:textId="77777777" w:rsidR="003B03D9" w:rsidRPr="006E28CD" w:rsidRDefault="003B03D9" w:rsidP="00D65FC4">
            <w:pPr>
              <w:pStyle w:val="ExhibitText"/>
              <w:jc w:val="right"/>
              <w:rPr>
                <w:color w:val="000000"/>
                <w:lang w:val="en-GB"/>
              </w:rPr>
            </w:pPr>
            <w:r w:rsidRPr="006E28CD">
              <w:rPr>
                <w:color w:val="000000"/>
                <w:lang w:val="en-GB"/>
              </w:rPr>
              <w:t>15,640.3</w:t>
            </w:r>
          </w:p>
        </w:tc>
      </w:tr>
      <w:tr w:rsidR="003B03D9" w:rsidRPr="006E28CD" w14:paraId="01A585F2" w14:textId="77777777" w:rsidTr="0081674C">
        <w:trPr>
          <w:trHeight w:val="300"/>
        </w:trPr>
        <w:tc>
          <w:tcPr>
            <w:tcW w:w="2610" w:type="dxa"/>
            <w:vAlign w:val="center"/>
          </w:tcPr>
          <w:p w14:paraId="302BBA0E" w14:textId="640DEF25" w:rsidR="003B03D9" w:rsidRPr="006E28CD" w:rsidRDefault="003B03D9">
            <w:pPr>
              <w:pStyle w:val="ExhibitText"/>
              <w:rPr>
                <w:color w:val="000000"/>
                <w:lang w:val="en-GB"/>
              </w:rPr>
            </w:pPr>
            <w:r w:rsidRPr="006E28CD">
              <w:rPr>
                <w:color w:val="000000"/>
                <w:lang w:val="en-GB"/>
              </w:rPr>
              <w:t xml:space="preserve">Profit before </w:t>
            </w:r>
            <w:r w:rsidR="009F3950" w:rsidRPr="006E28CD">
              <w:rPr>
                <w:color w:val="000000"/>
                <w:lang w:val="en-GB"/>
              </w:rPr>
              <w:t xml:space="preserve">Interest </w:t>
            </w:r>
            <w:r w:rsidRPr="006E28CD">
              <w:rPr>
                <w:color w:val="000000"/>
                <w:lang w:val="en-GB"/>
              </w:rPr>
              <w:t xml:space="preserve">and </w:t>
            </w:r>
            <w:r w:rsidR="009F3950" w:rsidRPr="006E28CD">
              <w:rPr>
                <w:color w:val="000000"/>
                <w:lang w:val="en-GB"/>
              </w:rPr>
              <w:t>Taxation</w:t>
            </w:r>
          </w:p>
        </w:tc>
        <w:tc>
          <w:tcPr>
            <w:tcW w:w="1350" w:type="dxa"/>
            <w:vAlign w:val="center"/>
          </w:tcPr>
          <w:p w14:paraId="188D733F" w14:textId="77777777" w:rsidR="003B03D9" w:rsidRPr="006E28CD" w:rsidRDefault="003B03D9" w:rsidP="00D65FC4">
            <w:pPr>
              <w:pStyle w:val="ExhibitText"/>
              <w:jc w:val="right"/>
              <w:rPr>
                <w:color w:val="000000"/>
                <w:lang w:val="en-GB"/>
              </w:rPr>
            </w:pPr>
            <w:r w:rsidRPr="006E28CD">
              <w:rPr>
                <w:color w:val="000000"/>
                <w:lang w:val="en-GB"/>
              </w:rPr>
              <w:t>1,560.2</w:t>
            </w:r>
          </w:p>
        </w:tc>
        <w:tc>
          <w:tcPr>
            <w:tcW w:w="1080" w:type="dxa"/>
            <w:noWrap/>
            <w:vAlign w:val="center"/>
          </w:tcPr>
          <w:p w14:paraId="058AE84B" w14:textId="77777777" w:rsidR="003B03D9" w:rsidRPr="006E28CD" w:rsidRDefault="003B03D9" w:rsidP="00D65FC4">
            <w:pPr>
              <w:pStyle w:val="ExhibitText"/>
              <w:jc w:val="right"/>
              <w:rPr>
                <w:color w:val="000000"/>
                <w:lang w:val="en-GB"/>
              </w:rPr>
            </w:pPr>
            <w:r w:rsidRPr="006E28CD">
              <w:rPr>
                <w:color w:val="000000"/>
                <w:lang w:val="en-GB"/>
              </w:rPr>
              <w:t>1,449.6</w:t>
            </w:r>
          </w:p>
        </w:tc>
        <w:tc>
          <w:tcPr>
            <w:tcW w:w="1080" w:type="dxa"/>
            <w:noWrap/>
            <w:vAlign w:val="center"/>
          </w:tcPr>
          <w:p w14:paraId="3CFE45C3" w14:textId="77777777" w:rsidR="003B03D9" w:rsidRPr="006E28CD" w:rsidRDefault="003B03D9" w:rsidP="00D65FC4">
            <w:pPr>
              <w:pStyle w:val="ExhibitText"/>
              <w:jc w:val="right"/>
              <w:rPr>
                <w:color w:val="000000"/>
                <w:lang w:val="en-GB"/>
              </w:rPr>
            </w:pPr>
            <w:r w:rsidRPr="006E28CD">
              <w:rPr>
                <w:color w:val="000000"/>
                <w:lang w:val="en-GB"/>
              </w:rPr>
              <w:t>1,460.5</w:t>
            </w:r>
          </w:p>
        </w:tc>
        <w:tc>
          <w:tcPr>
            <w:tcW w:w="1080" w:type="dxa"/>
            <w:noWrap/>
            <w:vAlign w:val="center"/>
          </w:tcPr>
          <w:p w14:paraId="01C70C61" w14:textId="77777777" w:rsidR="003B03D9" w:rsidRPr="006E28CD" w:rsidRDefault="003B03D9" w:rsidP="00D65FC4">
            <w:pPr>
              <w:pStyle w:val="ExhibitText"/>
              <w:jc w:val="right"/>
              <w:rPr>
                <w:color w:val="000000"/>
                <w:lang w:val="en-GB"/>
              </w:rPr>
            </w:pPr>
            <w:r w:rsidRPr="006E28CD">
              <w:rPr>
                <w:color w:val="000000"/>
                <w:lang w:val="en-GB"/>
              </w:rPr>
              <w:t>2,276.6</w:t>
            </w:r>
          </w:p>
        </w:tc>
        <w:tc>
          <w:tcPr>
            <w:tcW w:w="1080" w:type="dxa"/>
            <w:noWrap/>
            <w:vAlign w:val="center"/>
          </w:tcPr>
          <w:p w14:paraId="4C32A41A" w14:textId="77777777" w:rsidR="003B03D9" w:rsidRPr="006E28CD" w:rsidRDefault="003B03D9" w:rsidP="00D65FC4">
            <w:pPr>
              <w:pStyle w:val="ExhibitText"/>
              <w:jc w:val="right"/>
              <w:rPr>
                <w:color w:val="000000"/>
                <w:lang w:val="en-GB"/>
              </w:rPr>
            </w:pPr>
            <w:r w:rsidRPr="006E28CD">
              <w:rPr>
                <w:color w:val="000000"/>
                <w:lang w:val="en-GB"/>
              </w:rPr>
              <w:t>2,733.8</w:t>
            </w:r>
          </w:p>
        </w:tc>
        <w:tc>
          <w:tcPr>
            <w:tcW w:w="1080" w:type="dxa"/>
            <w:noWrap/>
            <w:vAlign w:val="center"/>
          </w:tcPr>
          <w:p w14:paraId="4DCE627F" w14:textId="77777777" w:rsidR="003B03D9" w:rsidRPr="006E28CD" w:rsidRDefault="003B03D9" w:rsidP="00D65FC4">
            <w:pPr>
              <w:pStyle w:val="ExhibitText"/>
              <w:jc w:val="right"/>
              <w:rPr>
                <w:color w:val="000000"/>
                <w:lang w:val="en-GB"/>
              </w:rPr>
            </w:pPr>
            <w:r w:rsidRPr="006E28CD">
              <w:rPr>
                <w:color w:val="000000"/>
                <w:lang w:val="en-GB"/>
              </w:rPr>
              <w:t>2,520.3</w:t>
            </w:r>
          </w:p>
        </w:tc>
      </w:tr>
      <w:tr w:rsidR="003B03D9" w:rsidRPr="006E28CD" w14:paraId="4ED28EF7" w14:textId="77777777" w:rsidTr="0081674C">
        <w:trPr>
          <w:trHeight w:val="60"/>
        </w:trPr>
        <w:tc>
          <w:tcPr>
            <w:tcW w:w="2610" w:type="dxa"/>
            <w:vAlign w:val="center"/>
          </w:tcPr>
          <w:p w14:paraId="4610464B" w14:textId="1018E935" w:rsidR="003B03D9" w:rsidRPr="006E28CD" w:rsidRDefault="003B03D9" w:rsidP="00D65FC4">
            <w:pPr>
              <w:pStyle w:val="ExhibitText"/>
              <w:jc w:val="left"/>
              <w:rPr>
                <w:color w:val="000000"/>
                <w:lang w:val="en-GB"/>
              </w:rPr>
            </w:pPr>
            <w:r w:rsidRPr="006E28CD">
              <w:rPr>
                <w:color w:val="000000"/>
                <w:lang w:val="en-GB"/>
              </w:rPr>
              <w:t xml:space="preserve">Net </w:t>
            </w:r>
            <w:r w:rsidR="009F3950" w:rsidRPr="006E28CD">
              <w:rPr>
                <w:color w:val="000000"/>
                <w:lang w:val="en-GB"/>
              </w:rPr>
              <w:t xml:space="preserve">Foreign Currency Translation </w:t>
            </w:r>
            <w:r w:rsidRPr="006E28CD">
              <w:rPr>
                <w:color w:val="000000"/>
                <w:lang w:val="en-GB"/>
              </w:rPr>
              <w:t>(</w:t>
            </w:r>
            <w:r w:rsidR="009F3950" w:rsidRPr="006E28CD">
              <w:rPr>
                <w:color w:val="000000"/>
                <w:lang w:val="en-GB"/>
              </w:rPr>
              <w:t>Loss</w:t>
            </w:r>
            <w:r w:rsidRPr="006E28CD">
              <w:rPr>
                <w:color w:val="000000"/>
                <w:lang w:val="en-GB"/>
              </w:rPr>
              <w:t>)/</w:t>
            </w:r>
            <w:r w:rsidR="009F3950" w:rsidRPr="006E28CD">
              <w:rPr>
                <w:color w:val="000000"/>
                <w:lang w:val="en-GB"/>
              </w:rPr>
              <w:t>Gain</w:t>
            </w:r>
          </w:p>
        </w:tc>
        <w:tc>
          <w:tcPr>
            <w:tcW w:w="1350" w:type="dxa"/>
            <w:vAlign w:val="center"/>
          </w:tcPr>
          <w:p w14:paraId="7965799E" w14:textId="61CDAE82" w:rsidR="003B03D9" w:rsidRPr="006E28CD" w:rsidRDefault="009F3950" w:rsidP="00D65FC4">
            <w:pPr>
              <w:pStyle w:val="ExhibitText"/>
              <w:jc w:val="right"/>
              <w:rPr>
                <w:color w:val="000000"/>
                <w:lang w:val="en-GB"/>
              </w:rPr>
            </w:pPr>
            <w:r w:rsidRPr="006E28CD">
              <w:rPr>
                <w:color w:val="000000"/>
                <w:lang w:val="en-GB"/>
              </w:rPr>
              <w:t>−</w:t>
            </w:r>
            <w:r w:rsidR="003B03D9" w:rsidRPr="006E28CD">
              <w:rPr>
                <w:color w:val="000000"/>
                <w:lang w:val="en-GB"/>
              </w:rPr>
              <w:t>298.8</w:t>
            </w:r>
          </w:p>
        </w:tc>
        <w:tc>
          <w:tcPr>
            <w:tcW w:w="1080" w:type="dxa"/>
            <w:noWrap/>
            <w:vAlign w:val="center"/>
          </w:tcPr>
          <w:p w14:paraId="44F7ADEA" w14:textId="39FAEA5B" w:rsidR="003B03D9" w:rsidRPr="006E28CD" w:rsidRDefault="009F3950" w:rsidP="00D65FC4">
            <w:pPr>
              <w:pStyle w:val="ExhibitText"/>
              <w:jc w:val="right"/>
              <w:rPr>
                <w:color w:val="000000"/>
                <w:lang w:val="en-GB"/>
              </w:rPr>
            </w:pPr>
            <w:r w:rsidRPr="006E28CD">
              <w:rPr>
                <w:color w:val="000000"/>
                <w:lang w:val="en-GB"/>
              </w:rPr>
              <w:t>−</w:t>
            </w:r>
            <w:r w:rsidR="003B03D9" w:rsidRPr="006E28CD">
              <w:rPr>
                <w:color w:val="000000"/>
                <w:lang w:val="en-GB"/>
              </w:rPr>
              <w:t>318.5</w:t>
            </w:r>
          </w:p>
        </w:tc>
        <w:tc>
          <w:tcPr>
            <w:tcW w:w="1080" w:type="dxa"/>
            <w:noWrap/>
            <w:vAlign w:val="center"/>
          </w:tcPr>
          <w:p w14:paraId="6CD7CC3D" w14:textId="3AD507EE" w:rsidR="003B03D9" w:rsidRPr="006E28CD" w:rsidRDefault="009F3950" w:rsidP="00D65FC4">
            <w:pPr>
              <w:pStyle w:val="ExhibitText"/>
              <w:jc w:val="right"/>
              <w:rPr>
                <w:color w:val="000000"/>
                <w:lang w:val="en-GB"/>
              </w:rPr>
            </w:pPr>
            <w:r w:rsidRPr="006E28CD">
              <w:rPr>
                <w:color w:val="000000"/>
                <w:lang w:val="en-GB"/>
              </w:rPr>
              <w:t>−</w:t>
            </w:r>
            <w:r w:rsidR="003B03D9" w:rsidRPr="006E28CD">
              <w:rPr>
                <w:color w:val="000000"/>
                <w:lang w:val="en-GB"/>
              </w:rPr>
              <w:t>735.3</w:t>
            </w:r>
          </w:p>
        </w:tc>
        <w:tc>
          <w:tcPr>
            <w:tcW w:w="1080" w:type="dxa"/>
            <w:noWrap/>
            <w:vAlign w:val="center"/>
          </w:tcPr>
          <w:p w14:paraId="2DC31F05" w14:textId="5CE68F5D" w:rsidR="003B03D9" w:rsidRPr="006E28CD" w:rsidRDefault="009F3950" w:rsidP="00D65FC4">
            <w:pPr>
              <w:pStyle w:val="ExhibitText"/>
              <w:jc w:val="right"/>
              <w:rPr>
                <w:color w:val="000000"/>
                <w:lang w:val="en-GB"/>
              </w:rPr>
            </w:pPr>
            <w:r w:rsidRPr="006E28CD">
              <w:rPr>
                <w:color w:val="000000"/>
                <w:lang w:val="en-GB"/>
              </w:rPr>
              <w:t>−</w:t>
            </w:r>
            <w:r w:rsidR="003B03D9" w:rsidRPr="006E28CD">
              <w:rPr>
                <w:color w:val="000000"/>
                <w:lang w:val="en-GB"/>
              </w:rPr>
              <w:t>22.0</w:t>
            </w:r>
          </w:p>
        </w:tc>
        <w:tc>
          <w:tcPr>
            <w:tcW w:w="1080" w:type="dxa"/>
            <w:noWrap/>
            <w:vAlign w:val="center"/>
          </w:tcPr>
          <w:p w14:paraId="3189DB28" w14:textId="77777777" w:rsidR="003B03D9" w:rsidRPr="006E28CD" w:rsidRDefault="003B03D9" w:rsidP="00D65FC4">
            <w:pPr>
              <w:pStyle w:val="ExhibitText"/>
              <w:jc w:val="right"/>
              <w:rPr>
                <w:color w:val="000000"/>
                <w:lang w:val="en-GB"/>
              </w:rPr>
            </w:pPr>
            <w:r w:rsidRPr="006E28CD">
              <w:rPr>
                <w:color w:val="000000"/>
                <w:lang w:val="en-GB"/>
              </w:rPr>
              <w:t>200.4</w:t>
            </w:r>
          </w:p>
        </w:tc>
        <w:tc>
          <w:tcPr>
            <w:tcW w:w="1080" w:type="dxa"/>
            <w:noWrap/>
            <w:vAlign w:val="center"/>
          </w:tcPr>
          <w:p w14:paraId="10A96D4B" w14:textId="48436CCE" w:rsidR="003B03D9" w:rsidRPr="006E28CD" w:rsidRDefault="009F3950" w:rsidP="00D65FC4">
            <w:pPr>
              <w:pStyle w:val="ExhibitText"/>
              <w:jc w:val="right"/>
              <w:rPr>
                <w:color w:val="000000"/>
                <w:lang w:val="en-GB"/>
              </w:rPr>
            </w:pPr>
            <w:r w:rsidRPr="006E28CD">
              <w:rPr>
                <w:color w:val="000000"/>
                <w:lang w:val="en-GB"/>
              </w:rPr>
              <w:t>−</w:t>
            </w:r>
            <w:r w:rsidR="003B03D9" w:rsidRPr="006E28CD">
              <w:rPr>
                <w:color w:val="000000"/>
                <w:lang w:val="en-GB"/>
              </w:rPr>
              <w:t>290.4</w:t>
            </w:r>
          </w:p>
        </w:tc>
      </w:tr>
      <w:tr w:rsidR="003B03D9" w:rsidRPr="006E28CD" w14:paraId="53A49CD2" w14:textId="77777777" w:rsidTr="0081674C">
        <w:trPr>
          <w:trHeight w:val="60"/>
        </w:trPr>
        <w:tc>
          <w:tcPr>
            <w:tcW w:w="2610" w:type="dxa"/>
            <w:vAlign w:val="center"/>
          </w:tcPr>
          <w:p w14:paraId="7EC386D3" w14:textId="0E328BF7" w:rsidR="003B03D9" w:rsidRPr="006E28CD" w:rsidRDefault="003B03D9" w:rsidP="00D65FC4">
            <w:pPr>
              <w:pStyle w:val="ExhibitText"/>
              <w:jc w:val="left"/>
              <w:rPr>
                <w:color w:val="000000"/>
                <w:lang w:val="en-GB"/>
              </w:rPr>
            </w:pPr>
            <w:r w:rsidRPr="006E28CD">
              <w:rPr>
                <w:color w:val="000000"/>
                <w:lang w:val="en-GB"/>
              </w:rPr>
              <w:t xml:space="preserve">Net </w:t>
            </w:r>
            <w:r w:rsidR="009F3950" w:rsidRPr="006E28CD">
              <w:rPr>
                <w:color w:val="000000"/>
                <w:lang w:val="en-GB"/>
              </w:rPr>
              <w:t>Interest Expenses</w:t>
            </w:r>
          </w:p>
        </w:tc>
        <w:tc>
          <w:tcPr>
            <w:tcW w:w="1350" w:type="dxa"/>
            <w:noWrap/>
            <w:vAlign w:val="center"/>
          </w:tcPr>
          <w:p w14:paraId="2E18387A" w14:textId="07A24C2E" w:rsidR="003B03D9" w:rsidRPr="006E28CD" w:rsidRDefault="009F3950" w:rsidP="00D65FC4">
            <w:pPr>
              <w:pStyle w:val="ExhibitText"/>
              <w:jc w:val="right"/>
              <w:rPr>
                <w:color w:val="000000"/>
                <w:lang w:val="en-GB"/>
              </w:rPr>
            </w:pPr>
            <w:r w:rsidRPr="006E28CD">
              <w:rPr>
                <w:color w:val="000000"/>
                <w:lang w:val="en-GB"/>
              </w:rPr>
              <w:t>−</w:t>
            </w:r>
            <w:r w:rsidR="003B03D9" w:rsidRPr="006E28CD">
              <w:rPr>
                <w:color w:val="000000"/>
                <w:lang w:val="en-GB"/>
              </w:rPr>
              <w:t>174.2</w:t>
            </w:r>
          </w:p>
        </w:tc>
        <w:tc>
          <w:tcPr>
            <w:tcW w:w="1080" w:type="dxa"/>
            <w:noWrap/>
            <w:vAlign w:val="center"/>
          </w:tcPr>
          <w:p w14:paraId="723B627B" w14:textId="603770FE" w:rsidR="003B03D9" w:rsidRPr="006E28CD" w:rsidRDefault="009F3950" w:rsidP="00D65FC4">
            <w:pPr>
              <w:pStyle w:val="ExhibitText"/>
              <w:jc w:val="right"/>
              <w:rPr>
                <w:color w:val="000000"/>
                <w:lang w:val="en-GB"/>
              </w:rPr>
            </w:pPr>
            <w:r w:rsidRPr="006E28CD">
              <w:rPr>
                <w:color w:val="000000"/>
                <w:lang w:val="en-GB"/>
              </w:rPr>
              <w:t>−</w:t>
            </w:r>
            <w:r w:rsidR="003B03D9" w:rsidRPr="006E28CD">
              <w:rPr>
                <w:color w:val="000000"/>
                <w:lang w:val="en-GB"/>
              </w:rPr>
              <w:t>165.3</w:t>
            </w:r>
          </w:p>
        </w:tc>
        <w:tc>
          <w:tcPr>
            <w:tcW w:w="1080" w:type="dxa"/>
            <w:noWrap/>
            <w:vAlign w:val="center"/>
          </w:tcPr>
          <w:p w14:paraId="6B3DF16E" w14:textId="18153316" w:rsidR="003B03D9" w:rsidRPr="006E28CD" w:rsidRDefault="009F3950" w:rsidP="00D65FC4">
            <w:pPr>
              <w:pStyle w:val="ExhibitText"/>
              <w:jc w:val="right"/>
              <w:rPr>
                <w:color w:val="000000"/>
                <w:lang w:val="en-GB"/>
              </w:rPr>
            </w:pPr>
            <w:r w:rsidRPr="006E28CD">
              <w:rPr>
                <w:color w:val="000000"/>
                <w:lang w:val="en-GB"/>
              </w:rPr>
              <w:t>−</w:t>
            </w:r>
            <w:r w:rsidR="003B03D9" w:rsidRPr="006E28CD">
              <w:rPr>
                <w:color w:val="000000"/>
                <w:lang w:val="en-GB"/>
              </w:rPr>
              <w:t>268.2</w:t>
            </w:r>
          </w:p>
        </w:tc>
        <w:tc>
          <w:tcPr>
            <w:tcW w:w="1080" w:type="dxa"/>
            <w:noWrap/>
            <w:vAlign w:val="center"/>
          </w:tcPr>
          <w:p w14:paraId="426406C4" w14:textId="6B1786A5" w:rsidR="003B03D9" w:rsidRPr="006E28CD" w:rsidRDefault="009F3950" w:rsidP="00D65FC4">
            <w:pPr>
              <w:pStyle w:val="ExhibitText"/>
              <w:jc w:val="right"/>
              <w:rPr>
                <w:color w:val="000000"/>
                <w:lang w:val="en-GB"/>
              </w:rPr>
            </w:pPr>
            <w:r w:rsidRPr="006E28CD">
              <w:rPr>
                <w:color w:val="000000"/>
                <w:lang w:val="en-GB"/>
              </w:rPr>
              <w:t>−</w:t>
            </w:r>
            <w:r w:rsidR="003B03D9" w:rsidRPr="006E28CD">
              <w:rPr>
                <w:color w:val="000000"/>
                <w:lang w:val="en-GB"/>
              </w:rPr>
              <w:t>218.3</w:t>
            </w:r>
          </w:p>
        </w:tc>
        <w:tc>
          <w:tcPr>
            <w:tcW w:w="1080" w:type="dxa"/>
            <w:noWrap/>
            <w:vAlign w:val="center"/>
          </w:tcPr>
          <w:p w14:paraId="12646625" w14:textId="7B93188F" w:rsidR="003B03D9" w:rsidRPr="006E28CD" w:rsidRDefault="009F3950" w:rsidP="00D65FC4">
            <w:pPr>
              <w:pStyle w:val="ExhibitText"/>
              <w:jc w:val="right"/>
              <w:rPr>
                <w:color w:val="000000"/>
                <w:lang w:val="en-GB"/>
              </w:rPr>
            </w:pPr>
            <w:r w:rsidRPr="006E28CD">
              <w:rPr>
                <w:color w:val="000000"/>
                <w:lang w:val="en-GB"/>
              </w:rPr>
              <w:t>−</w:t>
            </w:r>
            <w:r w:rsidR="003B03D9" w:rsidRPr="006E28CD">
              <w:rPr>
                <w:color w:val="000000"/>
                <w:lang w:val="en-GB"/>
              </w:rPr>
              <w:t>427.4</w:t>
            </w:r>
          </w:p>
        </w:tc>
        <w:tc>
          <w:tcPr>
            <w:tcW w:w="1080" w:type="dxa"/>
            <w:noWrap/>
            <w:vAlign w:val="center"/>
          </w:tcPr>
          <w:p w14:paraId="30AF6439" w14:textId="77777777" w:rsidR="003B03D9" w:rsidRPr="006E28CD" w:rsidRDefault="003B03D9" w:rsidP="00D65FC4">
            <w:pPr>
              <w:pStyle w:val="ExhibitText"/>
              <w:jc w:val="right"/>
              <w:rPr>
                <w:color w:val="000000"/>
                <w:lang w:val="en-GB"/>
              </w:rPr>
            </w:pPr>
            <w:r w:rsidRPr="006E28CD">
              <w:rPr>
                <w:color w:val="000000"/>
                <w:lang w:val="en-GB"/>
              </w:rPr>
              <w:t>149.1</w:t>
            </w:r>
          </w:p>
        </w:tc>
      </w:tr>
      <w:tr w:rsidR="003B03D9" w:rsidRPr="006E28CD" w14:paraId="3327162F" w14:textId="77777777" w:rsidTr="0081674C">
        <w:trPr>
          <w:trHeight w:val="60"/>
        </w:trPr>
        <w:tc>
          <w:tcPr>
            <w:tcW w:w="2610" w:type="dxa"/>
            <w:vAlign w:val="center"/>
          </w:tcPr>
          <w:p w14:paraId="6D211461" w14:textId="55221D3C" w:rsidR="003B03D9" w:rsidRPr="006E28CD" w:rsidRDefault="003B03D9" w:rsidP="00D65FC4">
            <w:pPr>
              <w:pStyle w:val="ExhibitText"/>
              <w:jc w:val="left"/>
              <w:rPr>
                <w:color w:val="000000"/>
                <w:lang w:val="en-GB"/>
              </w:rPr>
            </w:pPr>
            <w:r w:rsidRPr="006E28CD">
              <w:rPr>
                <w:color w:val="000000"/>
                <w:lang w:val="en-GB"/>
              </w:rPr>
              <w:t xml:space="preserve">Profit before </w:t>
            </w:r>
            <w:r w:rsidR="009F3950" w:rsidRPr="006E28CD">
              <w:rPr>
                <w:color w:val="000000"/>
                <w:lang w:val="en-GB"/>
              </w:rPr>
              <w:t>Taxation</w:t>
            </w:r>
          </w:p>
        </w:tc>
        <w:tc>
          <w:tcPr>
            <w:tcW w:w="1350" w:type="dxa"/>
            <w:vAlign w:val="center"/>
          </w:tcPr>
          <w:p w14:paraId="2917C341" w14:textId="77777777" w:rsidR="003B03D9" w:rsidRPr="006E28CD" w:rsidRDefault="003B03D9" w:rsidP="00D65FC4">
            <w:pPr>
              <w:pStyle w:val="ExhibitText"/>
              <w:jc w:val="right"/>
              <w:rPr>
                <w:color w:val="000000"/>
                <w:lang w:val="en-GB"/>
              </w:rPr>
            </w:pPr>
            <w:r w:rsidRPr="006E28CD">
              <w:rPr>
                <w:color w:val="000000"/>
                <w:lang w:val="en-GB"/>
              </w:rPr>
              <w:t>1,087.2</w:t>
            </w:r>
          </w:p>
        </w:tc>
        <w:tc>
          <w:tcPr>
            <w:tcW w:w="1080" w:type="dxa"/>
            <w:noWrap/>
            <w:vAlign w:val="center"/>
          </w:tcPr>
          <w:p w14:paraId="0FAA4B64" w14:textId="77777777" w:rsidR="003B03D9" w:rsidRPr="006E28CD" w:rsidRDefault="003B03D9" w:rsidP="00D65FC4">
            <w:pPr>
              <w:pStyle w:val="ExhibitText"/>
              <w:jc w:val="right"/>
              <w:rPr>
                <w:color w:val="000000"/>
                <w:lang w:val="en-GB"/>
              </w:rPr>
            </w:pPr>
            <w:r w:rsidRPr="006E28CD">
              <w:rPr>
                <w:color w:val="000000"/>
                <w:lang w:val="en-GB"/>
              </w:rPr>
              <w:t>965.8</w:t>
            </w:r>
          </w:p>
        </w:tc>
        <w:tc>
          <w:tcPr>
            <w:tcW w:w="1080" w:type="dxa"/>
            <w:noWrap/>
            <w:vAlign w:val="center"/>
          </w:tcPr>
          <w:p w14:paraId="131AE657" w14:textId="77777777" w:rsidR="003B03D9" w:rsidRPr="006E28CD" w:rsidRDefault="003B03D9" w:rsidP="00D65FC4">
            <w:pPr>
              <w:pStyle w:val="ExhibitText"/>
              <w:jc w:val="right"/>
              <w:rPr>
                <w:color w:val="000000"/>
                <w:lang w:val="en-GB"/>
              </w:rPr>
            </w:pPr>
            <w:r w:rsidRPr="006E28CD">
              <w:rPr>
                <w:color w:val="000000"/>
                <w:lang w:val="en-GB"/>
              </w:rPr>
              <w:t>457.0</w:t>
            </w:r>
          </w:p>
        </w:tc>
        <w:tc>
          <w:tcPr>
            <w:tcW w:w="1080" w:type="dxa"/>
            <w:noWrap/>
            <w:vAlign w:val="center"/>
          </w:tcPr>
          <w:p w14:paraId="0A035520" w14:textId="77777777" w:rsidR="003B03D9" w:rsidRPr="006E28CD" w:rsidRDefault="003B03D9" w:rsidP="00D65FC4">
            <w:pPr>
              <w:pStyle w:val="ExhibitText"/>
              <w:jc w:val="right"/>
              <w:rPr>
                <w:color w:val="000000"/>
                <w:lang w:val="en-GB"/>
              </w:rPr>
            </w:pPr>
            <w:r w:rsidRPr="006E28CD">
              <w:rPr>
                <w:color w:val="000000"/>
                <w:lang w:val="en-GB"/>
              </w:rPr>
              <w:t>2,036.3</w:t>
            </w:r>
          </w:p>
        </w:tc>
        <w:tc>
          <w:tcPr>
            <w:tcW w:w="1080" w:type="dxa"/>
            <w:noWrap/>
            <w:vAlign w:val="center"/>
          </w:tcPr>
          <w:p w14:paraId="3CE564F9" w14:textId="77777777" w:rsidR="003B03D9" w:rsidRPr="006E28CD" w:rsidRDefault="003B03D9" w:rsidP="00D65FC4">
            <w:pPr>
              <w:pStyle w:val="ExhibitText"/>
              <w:jc w:val="right"/>
              <w:rPr>
                <w:color w:val="000000"/>
                <w:lang w:val="en-GB"/>
              </w:rPr>
            </w:pPr>
            <w:r w:rsidRPr="006E28CD">
              <w:rPr>
                <w:color w:val="000000"/>
                <w:lang w:val="en-GB"/>
              </w:rPr>
              <w:t>2,506.8</w:t>
            </w:r>
          </w:p>
        </w:tc>
        <w:tc>
          <w:tcPr>
            <w:tcW w:w="1080" w:type="dxa"/>
            <w:noWrap/>
            <w:vAlign w:val="center"/>
          </w:tcPr>
          <w:p w14:paraId="475F6EB6" w14:textId="77777777" w:rsidR="003B03D9" w:rsidRPr="006E28CD" w:rsidRDefault="003B03D9" w:rsidP="00D65FC4">
            <w:pPr>
              <w:pStyle w:val="ExhibitText"/>
              <w:jc w:val="right"/>
              <w:rPr>
                <w:color w:val="000000"/>
                <w:lang w:val="en-GB"/>
              </w:rPr>
            </w:pPr>
            <w:r w:rsidRPr="006E28CD">
              <w:rPr>
                <w:color w:val="000000"/>
                <w:lang w:val="en-GB"/>
              </w:rPr>
              <w:t>2,379.0</w:t>
            </w:r>
          </w:p>
        </w:tc>
      </w:tr>
      <w:tr w:rsidR="003B03D9" w:rsidRPr="006E28CD" w14:paraId="31029D4F" w14:textId="77777777" w:rsidTr="0081674C">
        <w:trPr>
          <w:trHeight w:val="60"/>
        </w:trPr>
        <w:tc>
          <w:tcPr>
            <w:tcW w:w="2610" w:type="dxa"/>
            <w:vAlign w:val="center"/>
          </w:tcPr>
          <w:p w14:paraId="7D8AC949" w14:textId="77777777" w:rsidR="003B03D9" w:rsidRPr="006E28CD" w:rsidRDefault="003B03D9" w:rsidP="00D65FC4">
            <w:pPr>
              <w:pStyle w:val="ExhibitText"/>
              <w:jc w:val="left"/>
              <w:rPr>
                <w:color w:val="000000"/>
                <w:lang w:val="en-GB"/>
              </w:rPr>
            </w:pPr>
            <w:r w:rsidRPr="006E28CD">
              <w:rPr>
                <w:color w:val="000000"/>
                <w:lang w:val="en-GB"/>
              </w:rPr>
              <w:t>Taxation</w:t>
            </w:r>
          </w:p>
        </w:tc>
        <w:tc>
          <w:tcPr>
            <w:tcW w:w="1350" w:type="dxa"/>
            <w:noWrap/>
            <w:vAlign w:val="center"/>
          </w:tcPr>
          <w:p w14:paraId="5058E8E9" w14:textId="5CE7BF97" w:rsidR="003B03D9" w:rsidRPr="006E28CD" w:rsidRDefault="009F3950" w:rsidP="00D65FC4">
            <w:pPr>
              <w:pStyle w:val="ExhibitText"/>
              <w:jc w:val="right"/>
              <w:rPr>
                <w:color w:val="000000"/>
                <w:lang w:val="en-GB"/>
              </w:rPr>
            </w:pPr>
            <w:r w:rsidRPr="006E28CD">
              <w:rPr>
                <w:color w:val="000000"/>
                <w:lang w:val="en-GB"/>
              </w:rPr>
              <w:t>−</w:t>
            </w:r>
            <w:r w:rsidR="003B03D9" w:rsidRPr="006E28CD">
              <w:rPr>
                <w:color w:val="000000"/>
                <w:lang w:val="en-GB"/>
              </w:rPr>
              <w:t>331.5</w:t>
            </w:r>
          </w:p>
        </w:tc>
        <w:tc>
          <w:tcPr>
            <w:tcW w:w="1080" w:type="dxa"/>
            <w:noWrap/>
            <w:vAlign w:val="center"/>
          </w:tcPr>
          <w:p w14:paraId="7DEC01FD" w14:textId="461347DA" w:rsidR="003B03D9" w:rsidRPr="006E28CD" w:rsidRDefault="009F3950" w:rsidP="00D65FC4">
            <w:pPr>
              <w:pStyle w:val="ExhibitText"/>
              <w:jc w:val="right"/>
              <w:rPr>
                <w:color w:val="000000"/>
                <w:lang w:val="en-GB"/>
              </w:rPr>
            </w:pPr>
            <w:r w:rsidRPr="006E28CD">
              <w:rPr>
                <w:color w:val="000000"/>
                <w:lang w:val="en-GB"/>
              </w:rPr>
              <w:t>−</w:t>
            </w:r>
            <w:r w:rsidR="003B03D9" w:rsidRPr="006E28CD">
              <w:rPr>
                <w:color w:val="000000"/>
                <w:lang w:val="en-GB"/>
              </w:rPr>
              <w:t>319.5</w:t>
            </w:r>
          </w:p>
        </w:tc>
        <w:tc>
          <w:tcPr>
            <w:tcW w:w="1080" w:type="dxa"/>
            <w:noWrap/>
            <w:vAlign w:val="center"/>
          </w:tcPr>
          <w:p w14:paraId="621554D3" w14:textId="784A5F43" w:rsidR="003B03D9" w:rsidRPr="006E28CD" w:rsidRDefault="009F3950" w:rsidP="00D65FC4">
            <w:pPr>
              <w:pStyle w:val="ExhibitText"/>
              <w:jc w:val="right"/>
              <w:rPr>
                <w:color w:val="000000"/>
                <w:lang w:val="en-GB"/>
              </w:rPr>
            </w:pPr>
            <w:r w:rsidRPr="006E28CD">
              <w:rPr>
                <w:color w:val="000000"/>
                <w:lang w:val="en-GB"/>
              </w:rPr>
              <w:t>−</w:t>
            </w:r>
            <w:r w:rsidR="003B03D9" w:rsidRPr="006E28CD">
              <w:rPr>
                <w:color w:val="000000"/>
                <w:lang w:val="en-GB"/>
              </w:rPr>
              <w:t>284.6</w:t>
            </w:r>
          </w:p>
        </w:tc>
        <w:tc>
          <w:tcPr>
            <w:tcW w:w="1080" w:type="dxa"/>
            <w:noWrap/>
            <w:vAlign w:val="center"/>
          </w:tcPr>
          <w:p w14:paraId="6763FDB0" w14:textId="1983DF3F" w:rsidR="003B03D9" w:rsidRPr="006E28CD" w:rsidRDefault="009F3950" w:rsidP="00D65FC4">
            <w:pPr>
              <w:pStyle w:val="ExhibitText"/>
              <w:jc w:val="right"/>
              <w:rPr>
                <w:color w:val="000000"/>
                <w:lang w:val="en-GB"/>
              </w:rPr>
            </w:pPr>
            <w:r w:rsidRPr="006E28CD">
              <w:rPr>
                <w:color w:val="000000"/>
                <w:lang w:val="en-GB"/>
              </w:rPr>
              <w:t>−</w:t>
            </w:r>
            <w:r w:rsidR="003B03D9" w:rsidRPr="006E28CD">
              <w:rPr>
                <w:color w:val="000000"/>
                <w:lang w:val="en-GB"/>
              </w:rPr>
              <w:t>533.8</w:t>
            </w:r>
          </w:p>
        </w:tc>
        <w:tc>
          <w:tcPr>
            <w:tcW w:w="1080" w:type="dxa"/>
            <w:noWrap/>
            <w:vAlign w:val="center"/>
          </w:tcPr>
          <w:p w14:paraId="02083D61" w14:textId="01A50136" w:rsidR="003B03D9" w:rsidRPr="006E28CD" w:rsidRDefault="009F3950" w:rsidP="00D65FC4">
            <w:pPr>
              <w:pStyle w:val="ExhibitText"/>
              <w:jc w:val="right"/>
              <w:rPr>
                <w:color w:val="000000"/>
                <w:lang w:val="en-GB"/>
              </w:rPr>
            </w:pPr>
            <w:r w:rsidRPr="006E28CD">
              <w:rPr>
                <w:color w:val="000000"/>
                <w:lang w:val="en-GB"/>
              </w:rPr>
              <w:t>−</w:t>
            </w:r>
            <w:r w:rsidR="003B03D9" w:rsidRPr="006E28CD">
              <w:rPr>
                <w:color w:val="000000"/>
                <w:lang w:val="en-GB"/>
              </w:rPr>
              <w:t>512.2</w:t>
            </w:r>
          </w:p>
        </w:tc>
        <w:tc>
          <w:tcPr>
            <w:tcW w:w="1080" w:type="dxa"/>
            <w:noWrap/>
            <w:vAlign w:val="center"/>
          </w:tcPr>
          <w:p w14:paraId="1127700F" w14:textId="60FFC9ED" w:rsidR="003B03D9" w:rsidRPr="006E28CD" w:rsidRDefault="009F3950" w:rsidP="00D65FC4">
            <w:pPr>
              <w:pStyle w:val="ExhibitText"/>
              <w:jc w:val="right"/>
              <w:rPr>
                <w:color w:val="000000"/>
                <w:lang w:val="en-GB"/>
              </w:rPr>
            </w:pPr>
            <w:r w:rsidRPr="006E28CD">
              <w:rPr>
                <w:color w:val="000000"/>
                <w:lang w:val="en-GB"/>
              </w:rPr>
              <w:t>−</w:t>
            </w:r>
            <w:r w:rsidR="003B03D9" w:rsidRPr="006E28CD">
              <w:rPr>
                <w:color w:val="000000"/>
                <w:lang w:val="en-GB"/>
              </w:rPr>
              <w:t>550.4</w:t>
            </w:r>
          </w:p>
        </w:tc>
      </w:tr>
      <w:tr w:rsidR="003B03D9" w:rsidRPr="006E28CD" w14:paraId="32254008" w14:textId="77777777" w:rsidTr="0081674C">
        <w:trPr>
          <w:trHeight w:val="60"/>
        </w:trPr>
        <w:tc>
          <w:tcPr>
            <w:tcW w:w="2610" w:type="dxa"/>
            <w:vAlign w:val="center"/>
          </w:tcPr>
          <w:p w14:paraId="4C59B079" w14:textId="0EB06E53" w:rsidR="003B03D9" w:rsidRPr="006E28CD" w:rsidRDefault="003B03D9" w:rsidP="00D65FC4">
            <w:pPr>
              <w:pStyle w:val="ExhibitText"/>
              <w:jc w:val="left"/>
              <w:rPr>
                <w:color w:val="000000"/>
                <w:lang w:val="en-GB"/>
              </w:rPr>
            </w:pPr>
            <w:r w:rsidRPr="006E28CD">
              <w:rPr>
                <w:color w:val="000000"/>
                <w:lang w:val="en-GB"/>
              </w:rPr>
              <w:t xml:space="preserve">Profit for the </w:t>
            </w:r>
            <w:r w:rsidR="009F3950" w:rsidRPr="006E28CD">
              <w:rPr>
                <w:color w:val="000000"/>
                <w:lang w:val="en-GB"/>
              </w:rPr>
              <w:t xml:space="preserve">Financial Year </w:t>
            </w:r>
            <w:r w:rsidRPr="006E28CD">
              <w:rPr>
                <w:color w:val="000000"/>
                <w:lang w:val="en-GB"/>
              </w:rPr>
              <w:t xml:space="preserve">from </w:t>
            </w:r>
            <w:r w:rsidR="009F3950" w:rsidRPr="006E28CD">
              <w:rPr>
                <w:color w:val="000000"/>
                <w:lang w:val="en-GB"/>
              </w:rPr>
              <w:t>Continuing Operations</w:t>
            </w:r>
          </w:p>
        </w:tc>
        <w:tc>
          <w:tcPr>
            <w:tcW w:w="1350" w:type="dxa"/>
            <w:noWrap/>
            <w:vAlign w:val="center"/>
          </w:tcPr>
          <w:p w14:paraId="27D3E474" w14:textId="77777777" w:rsidR="003B03D9" w:rsidRPr="006E28CD" w:rsidRDefault="003B03D9" w:rsidP="00D65FC4">
            <w:pPr>
              <w:pStyle w:val="ExhibitText"/>
              <w:jc w:val="right"/>
              <w:rPr>
                <w:color w:val="000000"/>
                <w:lang w:val="en-GB"/>
              </w:rPr>
            </w:pPr>
            <w:r w:rsidRPr="006E28CD">
              <w:rPr>
                <w:color w:val="000000"/>
                <w:lang w:val="en-GB"/>
              </w:rPr>
              <w:t>755.7</w:t>
            </w:r>
          </w:p>
        </w:tc>
        <w:tc>
          <w:tcPr>
            <w:tcW w:w="1080" w:type="dxa"/>
            <w:noWrap/>
            <w:vAlign w:val="center"/>
          </w:tcPr>
          <w:p w14:paraId="06F00F75" w14:textId="77777777" w:rsidR="003B03D9" w:rsidRPr="006E28CD" w:rsidRDefault="003B03D9" w:rsidP="00D65FC4">
            <w:pPr>
              <w:pStyle w:val="ExhibitText"/>
              <w:jc w:val="right"/>
              <w:rPr>
                <w:color w:val="000000"/>
                <w:lang w:val="en-GB"/>
              </w:rPr>
            </w:pPr>
            <w:r w:rsidRPr="006E28CD">
              <w:rPr>
                <w:color w:val="000000"/>
                <w:lang w:val="en-GB"/>
              </w:rPr>
              <w:t>646.3</w:t>
            </w:r>
          </w:p>
        </w:tc>
        <w:tc>
          <w:tcPr>
            <w:tcW w:w="1080" w:type="dxa"/>
            <w:noWrap/>
            <w:vAlign w:val="center"/>
          </w:tcPr>
          <w:p w14:paraId="428DC2C3" w14:textId="77777777" w:rsidR="003B03D9" w:rsidRPr="006E28CD" w:rsidRDefault="003B03D9" w:rsidP="00D65FC4">
            <w:pPr>
              <w:pStyle w:val="ExhibitText"/>
              <w:jc w:val="right"/>
              <w:rPr>
                <w:color w:val="000000"/>
                <w:lang w:val="en-GB"/>
              </w:rPr>
            </w:pPr>
            <w:r w:rsidRPr="006E28CD">
              <w:rPr>
                <w:color w:val="000000"/>
                <w:lang w:val="en-GB"/>
              </w:rPr>
              <w:t>172.4</w:t>
            </w:r>
          </w:p>
        </w:tc>
        <w:tc>
          <w:tcPr>
            <w:tcW w:w="1080" w:type="dxa"/>
            <w:noWrap/>
            <w:vAlign w:val="center"/>
          </w:tcPr>
          <w:p w14:paraId="537582B6" w14:textId="77777777" w:rsidR="003B03D9" w:rsidRPr="006E28CD" w:rsidRDefault="003B03D9" w:rsidP="00D65FC4">
            <w:pPr>
              <w:pStyle w:val="ExhibitText"/>
              <w:jc w:val="right"/>
              <w:rPr>
                <w:color w:val="000000"/>
                <w:lang w:val="en-GB"/>
              </w:rPr>
            </w:pPr>
            <w:r w:rsidRPr="006E28CD">
              <w:rPr>
                <w:color w:val="000000"/>
                <w:lang w:val="en-GB"/>
              </w:rPr>
              <w:t>1,502.5</w:t>
            </w:r>
          </w:p>
        </w:tc>
        <w:tc>
          <w:tcPr>
            <w:tcW w:w="1080" w:type="dxa"/>
            <w:noWrap/>
            <w:vAlign w:val="center"/>
          </w:tcPr>
          <w:p w14:paraId="5E247215" w14:textId="77777777" w:rsidR="003B03D9" w:rsidRPr="006E28CD" w:rsidRDefault="003B03D9" w:rsidP="00D65FC4">
            <w:pPr>
              <w:pStyle w:val="ExhibitText"/>
              <w:jc w:val="right"/>
              <w:rPr>
                <w:color w:val="000000"/>
                <w:lang w:val="en-GB"/>
              </w:rPr>
            </w:pPr>
            <w:r w:rsidRPr="006E28CD">
              <w:rPr>
                <w:color w:val="000000"/>
                <w:lang w:val="en-GB"/>
              </w:rPr>
              <w:t>1,994.6</w:t>
            </w:r>
          </w:p>
        </w:tc>
        <w:tc>
          <w:tcPr>
            <w:tcW w:w="1080" w:type="dxa"/>
            <w:noWrap/>
            <w:vAlign w:val="center"/>
          </w:tcPr>
          <w:p w14:paraId="37397409" w14:textId="77777777" w:rsidR="003B03D9" w:rsidRPr="006E28CD" w:rsidRDefault="003B03D9" w:rsidP="00D65FC4">
            <w:pPr>
              <w:pStyle w:val="ExhibitText"/>
              <w:jc w:val="right"/>
              <w:rPr>
                <w:color w:val="000000"/>
                <w:lang w:val="en-GB"/>
              </w:rPr>
            </w:pPr>
            <w:r w:rsidRPr="006E28CD">
              <w:rPr>
                <w:color w:val="000000"/>
                <w:lang w:val="en-GB"/>
              </w:rPr>
              <w:t>1,828.6</w:t>
            </w:r>
          </w:p>
        </w:tc>
      </w:tr>
      <w:tr w:rsidR="003B03D9" w:rsidRPr="006E28CD" w14:paraId="5600932C" w14:textId="77777777" w:rsidTr="0081674C">
        <w:trPr>
          <w:trHeight w:val="60"/>
        </w:trPr>
        <w:tc>
          <w:tcPr>
            <w:tcW w:w="2610" w:type="dxa"/>
            <w:vAlign w:val="center"/>
          </w:tcPr>
          <w:p w14:paraId="5A1646AD" w14:textId="09B159A6" w:rsidR="003B03D9" w:rsidRPr="006E28CD" w:rsidRDefault="003B03D9" w:rsidP="00D65FC4">
            <w:pPr>
              <w:pStyle w:val="ExhibitText"/>
              <w:jc w:val="left"/>
              <w:rPr>
                <w:color w:val="000000"/>
                <w:lang w:val="en-GB"/>
              </w:rPr>
            </w:pPr>
            <w:r w:rsidRPr="006E28CD">
              <w:rPr>
                <w:color w:val="000000"/>
                <w:lang w:val="en-GB"/>
              </w:rPr>
              <w:t xml:space="preserve">Profit for the </w:t>
            </w:r>
            <w:r w:rsidR="009F3950" w:rsidRPr="006E28CD">
              <w:rPr>
                <w:color w:val="000000"/>
                <w:lang w:val="en-GB"/>
              </w:rPr>
              <w:t xml:space="preserve">Financial Year </w:t>
            </w:r>
            <w:r w:rsidRPr="006E28CD">
              <w:rPr>
                <w:color w:val="000000"/>
                <w:lang w:val="en-GB"/>
              </w:rPr>
              <w:t xml:space="preserve">from </w:t>
            </w:r>
            <w:r w:rsidR="009F3950" w:rsidRPr="006E28CD">
              <w:rPr>
                <w:color w:val="000000"/>
                <w:lang w:val="en-GB"/>
              </w:rPr>
              <w:t>Discontinuing Operations</w:t>
            </w:r>
          </w:p>
        </w:tc>
        <w:tc>
          <w:tcPr>
            <w:tcW w:w="1350" w:type="dxa"/>
            <w:noWrap/>
            <w:vAlign w:val="center"/>
          </w:tcPr>
          <w:p w14:paraId="23A23789" w14:textId="77777777" w:rsidR="003B03D9" w:rsidRPr="006E28CD" w:rsidRDefault="003B03D9" w:rsidP="00D65FC4">
            <w:pPr>
              <w:pStyle w:val="ExhibitText"/>
              <w:jc w:val="right"/>
              <w:rPr>
                <w:color w:val="000000"/>
                <w:lang w:val="en-GB"/>
              </w:rPr>
            </w:pPr>
            <w:r w:rsidRPr="006E28CD">
              <w:rPr>
                <w:color w:val="000000"/>
                <w:lang w:val="en-GB"/>
              </w:rPr>
              <w:t xml:space="preserve"> 10.4 </w:t>
            </w:r>
          </w:p>
        </w:tc>
        <w:tc>
          <w:tcPr>
            <w:tcW w:w="1080" w:type="dxa"/>
            <w:noWrap/>
            <w:vAlign w:val="center"/>
          </w:tcPr>
          <w:p w14:paraId="213950B2" w14:textId="77777777" w:rsidR="003B03D9" w:rsidRPr="006E28CD" w:rsidRDefault="003B03D9" w:rsidP="00D65FC4">
            <w:pPr>
              <w:pStyle w:val="ExhibitText"/>
              <w:jc w:val="right"/>
              <w:rPr>
                <w:color w:val="000000"/>
                <w:lang w:val="en-GB"/>
              </w:rPr>
            </w:pPr>
            <w:r w:rsidRPr="006E28CD">
              <w:rPr>
                <w:color w:val="000000"/>
                <w:lang w:val="en-GB"/>
              </w:rPr>
              <w:t>-</w:t>
            </w:r>
          </w:p>
        </w:tc>
        <w:tc>
          <w:tcPr>
            <w:tcW w:w="1080" w:type="dxa"/>
            <w:noWrap/>
            <w:vAlign w:val="center"/>
          </w:tcPr>
          <w:p w14:paraId="2ED992E8" w14:textId="77777777" w:rsidR="003B03D9" w:rsidRPr="006E28CD" w:rsidRDefault="003B03D9" w:rsidP="00D65FC4">
            <w:pPr>
              <w:pStyle w:val="ExhibitText"/>
              <w:jc w:val="right"/>
              <w:rPr>
                <w:color w:val="000000"/>
                <w:lang w:val="en-GB"/>
              </w:rPr>
            </w:pPr>
            <w:r w:rsidRPr="006E28CD">
              <w:rPr>
                <w:color w:val="000000"/>
                <w:lang w:val="en-GB"/>
              </w:rPr>
              <w:t>-</w:t>
            </w:r>
          </w:p>
        </w:tc>
        <w:tc>
          <w:tcPr>
            <w:tcW w:w="1080" w:type="dxa"/>
            <w:noWrap/>
            <w:vAlign w:val="center"/>
          </w:tcPr>
          <w:p w14:paraId="6BE5AABE" w14:textId="77777777" w:rsidR="003B03D9" w:rsidRPr="006E28CD" w:rsidRDefault="003B03D9" w:rsidP="00D65FC4">
            <w:pPr>
              <w:pStyle w:val="ExhibitText"/>
              <w:jc w:val="right"/>
              <w:rPr>
                <w:color w:val="000000"/>
                <w:lang w:val="en-GB"/>
              </w:rPr>
            </w:pPr>
            <w:r w:rsidRPr="006E28CD">
              <w:rPr>
                <w:color w:val="000000"/>
                <w:lang w:val="en-GB"/>
              </w:rPr>
              <w:t>1,887.2</w:t>
            </w:r>
          </w:p>
        </w:tc>
        <w:tc>
          <w:tcPr>
            <w:tcW w:w="1080" w:type="dxa"/>
            <w:noWrap/>
            <w:vAlign w:val="center"/>
          </w:tcPr>
          <w:p w14:paraId="64D41A68" w14:textId="77777777" w:rsidR="003B03D9" w:rsidRPr="006E28CD" w:rsidRDefault="003B03D9" w:rsidP="00D65FC4">
            <w:pPr>
              <w:pStyle w:val="ExhibitText"/>
              <w:jc w:val="right"/>
              <w:rPr>
                <w:color w:val="000000"/>
                <w:lang w:val="en-GB"/>
              </w:rPr>
            </w:pPr>
            <w:r w:rsidRPr="006E28CD">
              <w:rPr>
                <w:color w:val="000000"/>
                <w:lang w:val="en-GB"/>
              </w:rPr>
              <w:t> </w:t>
            </w:r>
          </w:p>
        </w:tc>
        <w:tc>
          <w:tcPr>
            <w:tcW w:w="1080" w:type="dxa"/>
            <w:noWrap/>
            <w:vAlign w:val="center"/>
          </w:tcPr>
          <w:p w14:paraId="3805EA76" w14:textId="77777777" w:rsidR="003B03D9" w:rsidRPr="006E28CD" w:rsidRDefault="003B03D9" w:rsidP="00D65FC4">
            <w:pPr>
              <w:pStyle w:val="ExhibitText"/>
              <w:jc w:val="right"/>
              <w:rPr>
                <w:color w:val="000000"/>
                <w:lang w:val="en-GB"/>
              </w:rPr>
            </w:pPr>
            <w:r w:rsidRPr="006E28CD">
              <w:rPr>
                <w:color w:val="000000"/>
                <w:lang w:val="en-GB"/>
              </w:rPr>
              <w:t> </w:t>
            </w:r>
          </w:p>
        </w:tc>
      </w:tr>
      <w:tr w:rsidR="003B03D9" w:rsidRPr="006E28CD" w14:paraId="75C96476" w14:textId="77777777" w:rsidTr="0081674C">
        <w:trPr>
          <w:trHeight w:val="60"/>
        </w:trPr>
        <w:tc>
          <w:tcPr>
            <w:tcW w:w="2610" w:type="dxa"/>
            <w:vAlign w:val="center"/>
          </w:tcPr>
          <w:p w14:paraId="6F1AE4CF" w14:textId="7BF924F3" w:rsidR="003B03D9" w:rsidRPr="006E28CD" w:rsidRDefault="003B03D9" w:rsidP="00D65FC4">
            <w:pPr>
              <w:pStyle w:val="ExhibitText"/>
              <w:jc w:val="left"/>
              <w:rPr>
                <w:bCs/>
                <w:color w:val="000000"/>
                <w:lang w:val="en-GB"/>
              </w:rPr>
            </w:pPr>
            <w:r w:rsidRPr="006E28CD">
              <w:rPr>
                <w:bCs/>
                <w:color w:val="000000"/>
                <w:lang w:val="en-GB"/>
              </w:rPr>
              <w:t xml:space="preserve">Profit for the </w:t>
            </w:r>
            <w:r w:rsidR="009F3950" w:rsidRPr="006E28CD">
              <w:rPr>
                <w:bCs/>
                <w:color w:val="000000"/>
                <w:lang w:val="en-GB"/>
              </w:rPr>
              <w:t>Financial Year</w:t>
            </w:r>
          </w:p>
        </w:tc>
        <w:tc>
          <w:tcPr>
            <w:tcW w:w="1350" w:type="dxa"/>
            <w:vAlign w:val="center"/>
          </w:tcPr>
          <w:p w14:paraId="75C8D3A1" w14:textId="77777777" w:rsidR="003B03D9" w:rsidRPr="006E28CD" w:rsidRDefault="003B03D9" w:rsidP="00D65FC4">
            <w:pPr>
              <w:pStyle w:val="ExhibitText"/>
              <w:jc w:val="right"/>
              <w:rPr>
                <w:bCs/>
                <w:color w:val="000000"/>
                <w:lang w:val="en-GB"/>
              </w:rPr>
            </w:pPr>
            <w:r w:rsidRPr="006E28CD">
              <w:rPr>
                <w:bCs/>
                <w:color w:val="000000"/>
                <w:lang w:val="en-GB"/>
              </w:rPr>
              <w:t xml:space="preserve"> 766.1 </w:t>
            </w:r>
          </w:p>
        </w:tc>
        <w:tc>
          <w:tcPr>
            <w:tcW w:w="1080" w:type="dxa"/>
            <w:noWrap/>
            <w:vAlign w:val="center"/>
          </w:tcPr>
          <w:p w14:paraId="346BC033" w14:textId="77777777" w:rsidR="003B03D9" w:rsidRPr="006E28CD" w:rsidRDefault="003B03D9" w:rsidP="00D65FC4">
            <w:pPr>
              <w:pStyle w:val="ExhibitText"/>
              <w:jc w:val="right"/>
              <w:rPr>
                <w:bCs/>
                <w:color w:val="000000"/>
                <w:lang w:val="en-GB"/>
              </w:rPr>
            </w:pPr>
            <w:r w:rsidRPr="006E28CD">
              <w:rPr>
                <w:bCs/>
                <w:color w:val="000000"/>
                <w:lang w:val="en-GB"/>
              </w:rPr>
              <w:t>646.3</w:t>
            </w:r>
          </w:p>
        </w:tc>
        <w:tc>
          <w:tcPr>
            <w:tcW w:w="1080" w:type="dxa"/>
            <w:noWrap/>
            <w:vAlign w:val="center"/>
          </w:tcPr>
          <w:p w14:paraId="24B92FFB" w14:textId="77777777" w:rsidR="003B03D9" w:rsidRPr="006E28CD" w:rsidRDefault="003B03D9" w:rsidP="00D65FC4">
            <w:pPr>
              <w:pStyle w:val="ExhibitText"/>
              <w:jc w:val="right"/>
              <w:rPr>
                <w:bCs/>
                <w:color w:val="000000"/>
                <w:lang w:val="en-GB"/>
              </w:rPr>
            </w:pPr>
            <w:r w:rsidRPr="006E28CD">
              <w:rPr>
                <w:bCs/>
                <w:color w:val="000000"/>
                <w:lang w:val="en-GB"/>
              </w:rPr>
              <w:t>172.4</w:t>
            </w:r>
          </w:p>
        </w:tc>
        <w:tc>
          <w:tcPr>
            <w:tcW w:w="1080" w:type="dxa"/>
            <w:noWrap/>
            <w:vAlign w:val="center"/>
          </w:tcPr>
          <w:p w14:paraId="6F7286A6" w14:textId="77777777" w:rsidR="003B03D9" w:rsidRPr="006E28CD" w:rsidRDefault="003B03D9" w:rsidP="00D65FC4">
            <w:pPr>
              <w:pStyle w:val="ExhibitText"/>
              <w:jc w:val="right"/>
              <w:rPr>
                <w:bCs/>
                <w:color w:val="000000"/>
                <w:lang w:val="en-GB"/>
              </w:rPr>
            </w:pPr>
            <w:r w:rsidRPr="006E28CD">
              <w:rPr>
                <w:bCs/>
                <w:color w:val="000000"/>
                <w:lang w:val="en-GB"/>
              </w:rPr>
              <w:t>3,389.7</w:t>
            </w:r>
          </w:p>
        </w:tc>
        <w:tc>
          <w:tcPr>
            <w:tcW w:w="1080" w:type="dxa"/>
            <w:noWrap/>
            <w:vAlign w:val="center"/>
          </w:tcPr>
          <w:p w14:paraId="17A47FAD" w14:textId="77777777" w:rsidR="003B03D9" w:rsidRPr="006E28CD" w:rsidRDefault="003B03D9" w:rsidP="00D65FC4">
            <w:pPr>
              <w:pStyle w:val="ExhibitText"/>
              <w:jc w:val="right"/>
              <w:rPr>
                <w:bCs/>
                <w:color w:val="000000"/>
                <w:lang w:val="en-GB"/>
              </w:rPr>
            </w:pPr>
            <w:r w:rsidRPr="006E28CD">
              <w:rPr>
                <w:bCs/>
                <w:color w:val="000000"/>
                <w:lang w:val="en-GB"/>
              </w:rPr>
              <w:t>1,994.6</w:t>
            </w:r>
          </w:p>
        </w:tc>
        <w:tc>
          <w:tcPr>
            <w:tcW w:w="1080" w:type="dxa"/>
            <w:noWrap/>
            <w:vAlign w:val="center"/>
          </w:tcPr>
          <w:p w14:paraId="1CC2BC95" w14:textId="77777777" w:rsidR="003B03D9" w:rsidRPr="006E28CD" w:rsidRDefault="003B03D9" w:rsidP="00D65FC4">
            <w:pPr>
              <w:pStyle w:val="ExhibitText"/>
              <w:jc w:val="right"/>
              <w:rPr>
                <w:bCs/>
                <w:color w:val="000000"/>
                <w:lang w:val="en-GB"/>
              </w:rPr>
            </w:pPr>
            <w:r w:rsidRPr="006E28CD">
              <w:rPr>
                <w:bCs/>
                <w:color w:val="000000"/>
                <w:lang w:val="en-GB"/>
              </w:rPr>
              <w:t>1,828.6</w:t>
            </w:r>
          </w:p>
        </w:tc>
      </w:tr>
      <w:tr w:rsidR="003B03D9" w:rsidRPr="006E28CD" w14:paraId="1E1D29C7" w14:textId="77777777" w:rsidTr="0081674C">
        <w:trPr>
          <w:trHeight w:val="60"/>
        </w:trPr>
        <w:tc>
          <w:tcPr>
            <w:tcW w:w="2610" w:type="dxa"/>
            <w:vAlign w:val="center"/>
          </w:tcPr>
          <w:p w14:paraId="4A1FF5E2" w14:textId="77777777" w:rsidR="003B03D9" w:rsidRPr="006E28CD" w:rsidRDefault="003B03D9" w:rsidP="00D65FC4">
            <w:pPr>
              <w:pStyle w:val="ExhibitText"/>
              <w:jc w:val="left"/>
              <w:rPr>
                <w:color w:val="000000"/>
                <w:lang w:val="en-GB"/>
              </w:rPr>
            </w:pPr>
            <w:r w:rsidRPr="006E28CD">
              <w:rPr>
                <w:color w:val="000000"/>
                <w:lang w:val="en-GB"/>
              </w:rPr>
              <w:t>Attribute to:</w:t>
            </w:r>
          </w:p>
        </w:tc>
        <w:tc>
          <w:tcPr>
            <w:tcW w:w="1350" w:type="dxa"/>
            <w:vAlign w:val="center"/>
          </w:tcPr>
          <w:p w14:paraId="4728B20C" w14:textId="77777777" w:rsidR="003B03D9" w:rsidRPr="006E28CD" w:rsidRDefault="003B03D9" w:rsidP="00D65FC4">
            <w:pPr>
              <w:pStyle w:val="ExhibitText"/>
              <w:jc w:val="right"/>
              <w:rPr>
                <w:color w:val="000000"/>
                <w:lang w:val="en-GB"/>
              </w:rPr>
            </w:pPr>
          </w:p>
        </w:tc>
        <w:tc>
          <w:tcPr>
            <w:tcW w:w="1080" w:type="dxa"/>
            <w:noWrap/>
            <w:vAlign w:val="center"/>
          </w:tcPr>
          <w:p w14:paraId="7F43531E" w14:textId="77777777" w:rsidR="003B03D9" w:rsidRPr="006E28CD" w:rsidRDefault="003B03D9" w:rsidP="00D65FC4">
            <w:pPr>
              <w:pStyle w:val="ExhibitText"/>
              <w:jc w:val="right"/>
              <w:rPr>
                <w:lang w:val="en-GB"/>
              </w:rPr>
            </w:pPr>
          </w:p>
        </w:tc>
        <w:tc>
          <w:tcPr>
            <w:tcW w:w="1080" w:type="dxa"/>
            <w:noWrap/>
            <w:vAlign w:val="center"/>
          </w:tcPr>
          <w:p w14:paraId="54D8A128" w14:textId="77777777" w:rsidR="003B03D9" w:rsidRPr="006E28CD" w:rsidRDefault="003B03D9" w:rsidP="00D65FC4">
            <w:pPr>
              <w:pStyle w:val="ExhibitText"/>
              <w:jc w:val="right"/>
              <w:rPr>
                <w:lang w:val="en-GB"/>
              </w:rPr>
            </w:pPr>
          </w:p>
        </w:tc>
        <w:tc>
          <w:tcPr>
            <w:tcW w:w="1080" w:type="dxa"/>
            <w:noWrap/>
            <w:vAlign w:val="center"/>
          </w:tcPr>
          <w:p w14:paraId="15AB4DBB" w14:textId="77777777" w:rsidR="003B03D9" w:rsidRPr="006E28CD" w:rsidRDefault="003B03D9" w:rsidP="00D65FC4">
            <w:pPr>
              <w:pStyle w:val="ExhibitText"/>
              <w:jc w:val="right"/>
              <w:rPr>
                <w:lang w:val="en-GB"/>
              </w:rPr>
            </w:pPr>
          </w:p>
        </w:tc>
        <w:tc>
          <w:tcPr>
            <w:tcW w:w="1080" w:type="dxa"/>
            <w:noWrap/>
            <w:vAlign w:val="center"/>
          </w:tcPr>
          <w:p w14:paraId="67D1BC5F" w14:textId="77777777" w:rsidR="003B03D9" w:rsidRPr="006E28CD" w:rsidRDefault="003B03D9" w:rsidP="00D65FC4">
            <w:pPr>
              <w:pStyle w:val="ExhibitText"/>
              <w:jc w:val="right"/>
              <w:rPr>
                <w:lang w:val="en-GB"/>
              </w:rPr>
            </w:pPr>
          </w:p>
        </w:tc>
        <w:tc>
          <w:tcPr>
            <w:tcW w:w="1080" w:type="dxa"/>
            <w:noWrap/>
            <w:vAlign w:val="center"/>
          </w:tcPr>
          <w:p w14:paraId="7434869D" w14:textId="77777777" w:rsidR="003B03D9" w:rsidRPr="006E28CD" w:rsidRDefault="003B03D9" w:rsidP="00D65FC4">
            <w:pPr>
              <w:pStyle w:val="ExhibitText"/>
              <w:jc w:val="right"/>
              <w:rPr>
                <w:color w:val="000000"/>
                <w:lang w:val="en-GB"/>
              </w:rPr>
            </w:pPr>
            <w:r w:rsidRPr="006E28CD">
              <w:rPr>
                <w:color w:val="000000"/>
                <w:lang w:val="en-GB"/>
              </w:rPr>
              <w:t> </w:t>
            </w:r>
          </w:p>
        </w:tc>
      </w:tr>
      <w:tr w:rsidR="003B03D9" w:rsidRPr="006E28CD" w14:paraId="6F23BA90" w14:textId="77777777" w:rsidTr="0081674C">
        <w:trPr>
          <w:trHeight w:val="60"/>
        </w:trPr>
        <w:tc>
          <w:tcPr>
            <w:tcW w:w="2610" w:type="dxa"/>
            <w:vAlign w:val="center"/>
          </w:tcPr>
          <w:p w14:paraId="5FD86AC4" w14:textId="70E6AA1F" w:rsidR="003B03D9" w:rsidRPr="006E28CD" w:rsidRDefault="003B03D9" w:rsidP="00D65FC4">
            <w:pPr>
              <w:pStyle w:val="ExhibitText"/>
              <w:jc w:val="left"/>
              <w:rPr>
                <w:color w:val="000000"/>
                <w:lang w:val="en-GB"/>
              </w:rPr>
            </w:pPr>
            <w:r w:rsidRPr="006E28CD">
              <w:rPr>
                <w:color w:val="000000"/>
                <w:lang w:val="en-GB"/>
              </w:rPr>
              <w:t xml:space="preserve">Equity </w:t>
            </w:r>
            <w:r w:rsidR="009F3950" w:rsidRPr="006E28CD">
              <w:rPr>
                <w:color w:val="000000"/>
                <w:lang w:val="en-GB"/>
              </w:rPr>
              <w:t xml:space="preserve">Holders </w:t>
            </w:r>
            <w:r w:rsidRPr="006E28CD">
              <w:rPr>
                <w:color w:val="000000"/>
                <w:lang w:val="en-GB"/>
              </w:rPr>
              <w:t xml:space="preserve">of the </w:t>
            </w:r>
            <w:r w:rsidR="009F3950" w:rsidRPr="006E28CD">
              <w:rPr>
                <w:color w:val="000000"/>
                <w:lang w:val="en-GB"/>
              </w:rPr>
              <w:t>Company</w:t>
            </w:r>
          </w:p>
        </w:tc>
        <w:tc>
          <w:tcPr>
            <w:tcW w:w="1350" w:type="dxa"/>
            <w:vAlign w:val="center"/>
          </w:tcPr>
          <w:p w14:paraId="0C84D93E" w14:textId="77777777" w:rsidR="003B03D9" w:rsidRPr="006E28CD" w:rsidRDefault="003B03D9" w:rsidP="00D65FC4">
            <w:pPr>
              <w:pStyle w:val="ExhibitText"/>
              <w:jc w:val="right"/>
              <w:rPr>
                <w:color w:val="000000"/>
                <w:lang w:val="en-GB"/>
              </w:rPr>
            </w:pPr>
            <w:r w:rsidRPr="006E28CD">
              <w:rPr>
                <w:color w:val="000000"/>
                <w:lang w:val="en-GB"/>
              </w:rPr>
              <w:t xml:space="preserve"> 743.2 </w:t>
            </w:r>
          </w:p>
        </w:tc>
        <w:tc>
          <w:tcPr>
            <w:tcW w:w="1080" w:type="dxa"/>
            <w:noWrap/>
            <w:vAlign w:val="center"/>
          </w:tcPr>
          <w:p w14:paraId="5F8ED28C" w14:textId="77777777" w:rsidR="003B03D9" w:rsidRPr="006E28CD" w:rsidRDefault="003B03D9" w:rsidP="00D65FC4">
            <w:pPr>
              <w:pStyle w:val="ExhibitText"/>
              <w:jc w:val="right"/>
              <w:rPr>
                <w:color w:val="000000"/>
                <w:lang w:val="en-GB"/>
              </w:rPr>
            </w:pPr>
            <w:r w:rsidRPr="006E28CD">
              <w:rPr>
                <w:color w:val="000000"/>
                <w:lang w:val="en-GB"/>
              </w:rPr>
              <w:t>629.7</w:t>
            </w:r>
          </w:p>
        </w:tc>
        <w:tc>
          <w:tcPr>
            <w:tcW w:w="1080" w:type="dxa"/>
            <w:noWrap/>
            <w:vAlign w:val="center"/>
          </w:tcPr>
          <w:p w14:paraId="05303974" w14:textId="77777777" w:rsidR="003B03D9" w:rsidRPr="006E28CD" w:rsidRDefault="003B03D9" w:rsidP="00D65FC4">
            <w:pPr>
              <w:pStyle w:val="ExhibitText"/>
              <w:jc w:val="right"/>
              <w:rPr>
                <w:color w:val="000000"/>
                <w:lang w:val="en-GB"/>
              </w:rPr>
            </w:pPr>
            <w:r w:rsidRPr="006E28CD">
              <w:rPr>
                <w:color w:val="000000"/>
                <w:lang w:val="en-GB"/>
              </w:rPr>
              <w:t>168.1</w:t>
            </w:r>
          </w:p>
        </w:tc>
        <w:tc>
          <w:tcPr>
            <w:tcW w:w="1080" w:type="dxa"/>
            <w:noWrap/>
            <w:vAlign w:val="center"/>
          </w:tcPr>
          <w:p w14:paraId="2618BC88" w14:textId="77777777" w:rsidR="003B03D9" w:rsidRPr="006E28CD" w:rsidRDefault="003B03D9" w:rsidP="00D65FC4">
            <w:pPr>
              <w:pStyle w:val="ExhibitText"/>
              <w:jc w:val="right"/>
              <w:rPr>
                <w:color w:val="000000"/>
                <w:lang w:val="en-GB"/>
              </w:rPr>
            </w:pPr>
            <w:r w:rsidRPr="006E28CD">
              <w:rPr>
                <w:color w:val="000000"/>
                <w:lang w:val="en-GB"/>
              </w:rPr>
              <w:t>3,373.0</w:t>
            </w:r>
          </w:p>
        </w:tc>
        <w:tc>
          <w:tcPr>
            <w:tcW w:w="1080" w:type="dxa"/>
            <w:noWrap/>
            <w:vAlign w:val="center"/>
          </w:tcPr>
          <w:p w14:paraId="1E057963" w14:textId="77777777" w:rsidR="003B03D9" w:rsidRPr="006E28CD" w:rsidRDefault="003B03D9" w:rsidP="00D65FC4">
            <w:pPr>
              <w:pStyle w:val="ExhibitText"/>
              <w:jc w:val="right"/>
              <w:rPr>
                <w:color w:val="000000"/>
                <w:lang w:val="en-GB"/>
              </w:rPr>
            </w:pPr>
            <w:r w:rsidRPr="006E28CD">
              <w:rPr>
                <w:color w:val="000000"/>
                <w:lang w:val="en-GB"/>
              </w:rPr>
              <w:t>1,970.1</w:t>
            </w:r>
          </w:p>
        </w:tc>
        <w:tc>
          <w:tcPr>
            <w:tcW w:w="1080" w:type="dxa"/>
            <w:noWrap/>
            <w:vAlign w:val="center"/>
          </w:tcPr>
          <w:p w14:paraId="530E857C" w14:textId="77777777" w:rsidR="003B03D9" w:rsidRPr="006E28CD" w:rsidRDefault="003B03D9" w:rsidP="00D65FC4">
            <w:pPr>
              <w:pStyle w:val="ExhibitText"/>
              <w:jc w:val="right"/>
              <w:rPr>
                <w:color w:val="000000"/>
                <w:lang w:val="en-GB"/>
              </w:rPr>
            </w:pPr>
            <w:r w:rsidRPr="006E28CD">
              <w:rPr>
                <w:color w:val="000000"/>
                <w:lang w:val="en-GB"/>
              </w:rPr>
              <w:t>1,789.4</w:t>
            </w:r>
          </w:p>
        </w:tc>
      </w:tr>
      <w:tr w:rsidR="003B03D9" w:rsidRPr="006E28CD" w14:paraId="6245F938" w14:textId="77777777" w:rsidTr="0081674C">
        <w:trPr>
          <w:trHeight w:val="60"/>
        </w:trPr>
        <w:tc>
          <w:tcPr>
            <w:tcW w:w="2610" w:type="dxa"/>
            <w:vAlign w:val="center"/>
          </w:tcPr>
          <w:p w14:paraId="48B92252" w14:textId="77777777" w:rsidR="003B03D9" w:rsidRPr="006E28CD" w:rsidRDefault="003B03D9" w:rsidP="00D65FC4">
            <w:pPr>
              <w:pStyle w:val="ExhibitText"/>
              <w:jc w:val="left"/>
              <w:rPr>
                <w:color w:val="000000"/>
                <w:lang w:val="en-GB"/>
              </w:rPr>
            </w:pPr>
            <w:r w:rsidRPr="006E28CD">
              <w:rPr>
                <w:color w:val="000000"/>
                <w:lang w:val="en-GB"/>
              </w:rPr>
              <w:t>Minority Interests</w:t>
            </w:r>
          </w:p>
        </w:tc>
        <w:tc>
          <w:tcPr>
            <w:tcW w:w="1350" w:type="dxa"/>
            <w:vAlign w:val="center"/>
          </w:tcPr>
          <w:p w14:paraId="01666EF2" w14:textId="77777777" w:rsidR="003B03D9" w:rsidRPr="006E28CD" w:rsidRDefault="003B03D9" w:rsidP="00D65FC4">
            <w:pPr>
              <w:pStyle w:val="ExhibitText"/>
              <w:jc w:val="right"/>
              <w:rPr>
                <w:color w:val="000000"/>
                <w:lang w:val="en-GB"/>
              </w:rPr>
            </w:pPr>
            <w:r w:rsidRPr="006E28CD">
              <w:rPr>
                <w:color w:val="000000"/>
                <w:lang w:val="en-GB"/>
              </w:rPr>
              <w:t xml:space="preserve"> 22.9 </w:t>
            </w:r>
          </w:p>
        </w:tc>
        <w:tc>
          <w:tcPr>
            <w:tcW w:w="1080" w:type="dxa"/>
            <w:noWrap/>
            <w:vAlign w:val="center"/>
          </w:tcPr>
          <w:p w14:paraId="51BAF482" w14:textId="77777777" w:rsidR="003B03D9" w:rsidRPr="006E28CD" w:rsidRDefault="003B03D9" w:rsidP="00D65FC4">
            <w:pPr>
              <w:pStyle w:val="ExhibitText"/>
              <w:jc w:val="right"/>
              <w:rPr>
                <w:color w:val="000000"/>
                <w:lang w:val="en-GB"/>
              </w:rPr>
            </w:pPr>
            <w:r w:rsidRPr="006E28CD">
              <w:rPr>
                <w:color w:val="000000"/>
                <w:lang w:val="en-GB"/>
              </w:rPr>
              <w:t>16.6</w:t>
            </w:r>
          </w:p>
        </w:tc>
        <w:tc>
          <w:tcPr>
            <w:tcW w:w="1080" w:type="dxa"/>
            <w:noWrap/>
            <w:vAlign w:val="center"/>
          </w:tcPr>
          <w:p w14:paraId="0C42FAB8" w14:textId="77777777" w:rsidR="003B03D9" w:rsidRPr="006E28CD" w:rsidRDefault="003B03D9" w:rsidP="00D65FC4">
            <w:pPr>
              <w:pStyle w:val="ExhibitText"/>
              <w:jc w:val="right"/>
              <w:rPr>
                <w:color w:val="000000"/>
                <w:lang w:val="en-GB"/>
              </w:rPr>
            </w:pPr>
            <w:r w:rsidRPr="006E28CD">
              <w:rPr>
                <w:color w:val="000000"/>
                <w:lang w:val="en-GB"/>
              </w:rPr>
              <w:t>4.3</w:t>
            </w:r>
          </w:p>
        </w:tc>
        <w:tc>
          <w:tcPr>
            <w:tcW w:w="1080" w:type="dxa"/>
            <w:noWrap/>
            <w:vAlign w:val="center"/>
          </w:tcPr>
          <w:p w14:paraId="00991B78" w14:textId="77777777" w:rsidR="003B03D9" w:rsidRPr="006E28CD" w:rsidRDefault="003B03D9" w:rsidP="00D65FC4">
            <w:pPr>
              <w:pStyle w:val="ExhibitText"/>
              <w:jc w:val="right"/>
              <w:rPr>
                <w:color w:val="000000"/>
                <w:lang w:val="en-GB"/>
              </w:rPr>
            </w:pPr>
            <w:r w:rsidRPr="006E28CD">
              <w:rPr>
                <w:color w:val="000000"/>
                <w:lang w:val="en-GB"/>
              </w:rPr>
              <w:t>16.7</w:t>
            </w:r>
          </w:p>
        </w:tc>
        <w:tc>
          <w:tcPr>
            <w:tcW w:w="1080" w:type="dxa"/>
            <w:noWrap/>
            <w:vAlign w:val="center"/>
          </w:tcPr>
          <w:p w14:paraId="0CBF8E08" w14:textId="77777777" w:rsidR="003B03D9" w:rsidRPr="006E28CD" w:rsidRDefault="003B03D9" w:rsidP="00D65FC4">
            <w:pPr>
              <w:pStyle w:val="ExhibitText"/>
              <w:jc w:val="right"/>
              <w:rPr>
                <w:color w:val="000000"/>
                <w:lang w:val="en-GB"/>
              </w:rPr>
            </w:pPr>
            <w:r w:rsidRPr="006E28CD">
              <w:rPr>
                <w:color w:val="000000"/>
                <w:lang w:val="en-GB"/>
              </w:rPr>
              <w:t>24.5</w:t>
            </w:r>
          </w:p>
        </w:tc>
        <w:tc>
          <w:tcPr>
            <w:tcW w:w="1080" w:type="dxa"/>
            <w:noWrap/>
            <w:vAlign w:val="center"/>
          </w:tcPr>
          <w:p w14:paraId="2BB88EAB" w14:textId="77777777" w:rsidR="003B03D9" w:rsidRPr="006E28CD" w:rsidRDefault="003B03D9" w:rsidP="00D65FC4">
            <w:pPr>
              <w:pStyle w:val="ExhibitText"/>
              <w:jc w:val="right"/>
              <w:rPr>
                <w:color w:val="000000"/>
                <w:lang w:val="en-GB"/>
              </w:rPr>
            </w:pPr>
            <w:r w:rsidRPr="006E28CD">
              <w:rPr>
                <w:color w:val="000000"/>
                <w:lang w:val="en-GB"/>
              </w:rPr>
              <w:t>39.2</w:t>
            </w:r>
          </w:p>
        </w:tc>
      </w:tr>
    </w:tbl>
    <w:p w14:paraId="04CE15CE" w14:textId="77777777" w:rsidR="003B03D9" w:rsidRPr="006E28CD" w:rsidRDefault="0081674C" w:rsidP="006C092B">
      <w:pPr>
        <w:pStyle w:val="ExhibitHeading"/>
        <w:keepNext/>
        <w:rPr>
          <w:lang w:val="en-GB"/>
        </w:rPr>
      </w:pPr>
      <w:bookmarkStart w:id="0" w:name="_GoBack"/>
      <w:r w:rsidRPr="006E28CD">
        <w:rPr>
          <w:lang w:val="en-GB"/>
        </w:rPr>
        <w:lastRenderedPageBreak/>
        <w:t>Exhibit 1 (continued)</w:t>
      </w:r>
    </w:p>
    <w:p w14:paraId="712730FC" w14:textId="77777777" w:rsidR="0081674C" w:rsidRPr="006E28CD" w:rsidRDefault="0081674C" w:rsidP="006C092B">
      <w:pPr>
        <w:pStyle w:val="BodyTextMain"/>
        <w:keepNext/>
        <w:rPr>
          <w:lang w:val="en-GB"/>
        </w:rPr>
      </w:pPr>
    </w:p>
    <w:tbl>
      <w:tblPr>
        <w:tblStyle w:val="TableGrid"/>
        <w:tblW w:w="9360" w:type="dxa"/>
        <w:jc w:val="center"/>
        <w:tblLayout w:type="fixed"/>
        <w:tblLook w:val="04A0" w:firstRow="1" w:lastRow="0" w:firstColumn="1" w:lastColumn="0" w:noHBand="0" w:noVBand="1"/>
      </w:tblPr>
      <w:tblGrid>
        <w:gridCol w:w="2610"/>
        <w:gridCol w:w="1350"/>
        <w:gridCol w:w="1080"/>
        <w:gridCol w:w="1080"/>
        <w:gridCol w:w="1080"/>
        <w:gridCol w:w="1080"/>
        <w:gridCol w:w="1080"/>
      </w:tblGrid>
      <w:tr w:rsidR="0081674C" w:rsidRPr="006E28CD" w14:paraId="39A27629" w14:textId="77777777" w:rsidTr="00B42E98">
        <w:trPr>
          <w:trHeight w:val="152"/>
          <w:jc w:val="center"/>
        </w:trPr>
        <w:tc>
          <w:tcPr>
            <w:tcW w:w="2610" w:type="dxa"/>
            <w:hideMark/>
          </w:tcPr>
          <w:p w14:paraId="078F39BF" w14:textId="5497BE14" w:rsidR="0081674C" w:rsidRPr="006E28CD" w:rsidRDefault="0081674C" w:rsidP="006C092B">
            <w:pPr>
              <w:pStyle w:val="ExhibitText"/>
              <w:keepNext/>
              <w:jc w:val="center"/>
              <w:rPr>
                <w:b/>
                <w:lang w:val="en-GB"/>
              </w:rPr>
            </w:pPr>
            <w:r w:rsidRPr="006E28CD">
              <w:rPr>
                <w:b/>
                <w:lang w:val="en-GB"/>
              </w:rPr>
              <w:t xml:space="preserve">Financial </w:t>
            </w:r>
            <w:r w:rsidR="00187F5B" w:rsidRPr="006E28CD">
              <w:rPr>
                <w:b/>
                <w:lang w:val="en-GB"/>
              </w:rPr>
              <w:t>Ratios</w:t>
            </w:r>
          </w:p>
        </w:tc>
        <w:tc>
          <w:tcPr>
            <w:tcW w:w="1350" w:type="dxa"/>
            <w:hideMark/>
          </w:tcPr>
          <w:p w14:paraId="1CA71427" w14:textId="77777777" w:rsidR="0081674C" w:rsidRPr="006E28CD" w:rsidRDefault="0081674C" w:rsidP="006C092B">
            <w:pPr>
              <w:pStyle w:val="ExhibitText"/>
              <w:keepNext/>
              <w:jc w:val="center"/>
              <w:rPr>
                <w:b/>
                <w:lang w:val="en-GB"/>
              </w:rPr>
            </w:pPr>
            <w:r w:rsidRPr="006E28CD">
              <w:rPr>
                <w:b/>
                <w:lang w:val="en-GB"/>
              </w:rPr>
              <w:t>2017</w:t>
            </w:r>
          </w:p>
        </w:tc>
        <w:tc>
          <w:tcPr>
            <w:tcW w:w="1080" w:type="dxa"/>
            <w:noWrap/>
            <w:hideMark/>
          </w:tcPr>
          <w:p w14:paraId="50BCE5BF" w14:textId="77777777" w:rsidR="0081674C" w:rsidRPr="006E28CD" w:rsidRDefault="0081674C" w:rsidP="006C092B">
            <w:pPr>
              <w:pStyle w:val="ExhibitText"/>
              <w:keepNext/>
              <w:jc w:val="center"/>
              <w:rPr>
                <w:b/>
                <w:lang w:val="en-GB"/>
              </w:rPr>
            </w:pPr>
            <w:r w:rsidRPr="006E28CD">
              <w:rPr>
                <w:b/>
                <w:lang w:val="en-GB"/>
              </w:rPr>
              <w:t>2016</w:t>
            </w:r>
          </w:p>
        </w:tc>
        <w:tc>
          <w:tcPr>
            <w:tcW w:w="1080" w:type="dxa"/>
            <w:noWrap/>
            <w:hideMark/>
          </w:tcPr>
          <w:p w14:paraId="79C6B875" w14:textId="77777777" w:rsidR="0081674C" w:rsidRPr="006E28CD" w:rsidRDefault="0081674C" w:rsidP="006C092B">
            <w:pPr>
              <w:pStyle w:val="ExhibitText"/>
              <w:keepNext/>
              <w:jc w:val="center"/>
              <w:rPr>
                <w:b/>
                <w:lang w:val="en-GB"/>
              </w:rPr>
            </w:pPr>
            <w:r w:rsidRPr="006E28CD">
              <w:rPr>
                <w:b/>
                <w:lang w:val="en-GB"/>
              </w:rPr>
              <w:t>2015</w:t>
            </w:r>
          </w:p>
        </w:tc>
        <w:tc>
          <w:tcPr>
            <w:tcW w:w="1080" w:type="dxa"/>
            <w:noWrap/>
            <w:hideMark/>
          </w:tcPr>
          <w:p w14:paraId="579F6C2B" w14:textId="77777777" w:rsidR="0081674C" w:rsidRPr="006E28CD" w:rsidRDefault="0081674C" w:rsidP="006C092B">
            <w:pPr>
              <w:pStyle w:val="ExhibitText"/>
              <w:keepNext/>
              <w:jc w:val="center"/>
              <w:rPr>
                <w:b/>
                <w:lang w:val="en-GB"/>
              </w:rPr>
            </w:pPr>
            <w:r w:rsidRPr="006E28CD">
              <w:rPr>
                <w:b/>
                <w:lang w:val="en-GB"/>
              </w:rPr>
              <w:t>2014</w:t>
            </w:r>
          </w:p>
        </w:tc>
        <w:tc>
          <w:tcPr>
            <w:tcW w:w="1080" w:type="dxa"/>
            <w:noWrap/>
            <w:hideMark/>
          </w:tcPr>
          <w:p w14:paraId="1A059DA4" w14:textId="77777777" w:rsidR="0081674C" w:rsidRPr="006E28CD" w:rsidRDefault="0081674C" w:rsidP="006C092B">
            <w:pPr>
              <w:pStyle w:val="ExhibitText"/>
              <w:keepNext/>
              <w:jc w:val="center"/>
              <w:rPr>
                <w:b/>
                <w:lang w:val="en-GB"/>
              </w:rPr>
            </w:pPr>
            <w:r w:rsidRPr="006E28CD">
              <w:rPr>
                <w:b/>
                <w:lang w:val="en-GB"/>
              </w:rPr>
              <w:t>2013</w:t>
            </w:r>
          </w:p>
        </w:tc>
        <w:tc>
          <w:tcPr>
            <w:tcW w:w="1080" w:type="dxa"/>
            <w:noWrap/>
            <w:hideMark/>
          </w:tcPr>
          <w:p w14:paraId="647D6542" w14:textId="77777777" w:rsidR="0081674C" w:rsidRPr="006E28CD" w:rsidRDefault="0081674C" w:rsidP="006C092B">
            <w:pPr>
              <w:pStyle w:val="ExhibitText"/>
              <w:keepNext/>
              <w:jc w:val="center"/>
              <w:rPr>
                <w:b/>
                <w:lang w:val="en-GB"/>
              </w:rPr>
            </w:pPr>
            <w:r w:rsidRPr="006E28CD">
              <w:rPr>
                <w:b/>
                <w:lang w:val="en-GB"/>
              </w:rPr>
              <w:t>2012</w:t>
            </w:r>
          </w:p>
        </w:tc>
      </w:tr>
      <w:bookmarkEnd w:id="0"/>
      <w:tr w:rsidR="0081674C" w:rsidRPr="006E28CD" w14:paraId="4DBA4892" w14:textId="77777777" w:rsidTr="00B42E98">
        <w:trPr>
          <w:trHeight w:val="300"/>
          <w:jc w:val="center"/>
        </w:trPr>
        <w:tc>
          <w:tcPr>
            <w:tcW w:w="2610" w:type="dxa"/>
            <w:hideMark/>
          </w:tcPr>
          <w:p w14:paraId="289BCCED" w14:textId="433BC010" w:rsidR="0081674C" w:rsidRPr="006E28CD" w:rsidRDefault="0081674C" w:rsidP="00B42E98">
            <w:pPr>
              <w:pStyle w:val="ExhibitText"/>
              <w:jc w:val="left"/>
              <w:rPr>
                <w:lang w:val="en-GB"/>
              </w:rPr>
            </w:pPr>
            <w:r w:rsidRPr="006E28CD">
              <w:rPr>
                <w:lang w:val="en-GB"/>
              </w:rPr>
              <w:t xml:space="preserve">Basic </w:t>
            </w:r>
            <w:r w:rsidR="00187F5B" w:rsidRPr="006E28CD">
              <w:rPr>
                <w:lang w:val="en-GB"/>
              </w:rPr>
              <w:t xml:space="preserve">Earnings </w:t>
            </w:r>
            <w:r w:rsidRPr="006E28CD">
              <w:rPr>
                <w:lang w:val="en-GB"/>
              </w:rPr>
              <w:t xml:space="preserve">per </w:t>
            </w:r>
            <w:r w:rsidR="00187F5B" w:rsidRPr="006E28CD">
              <w:rPr>
                <w:lang w:val="en-GB"/>
              </w:rPr>
              <w:t xml:space="preserve">Share </w:t>
            </w:r>
          </w:p>
        </w:tc>
        <w:tc>
          <w:tcPr>
            <w:tcW w:w="1350" w:type="dxa"/>
            <w:noWrap/>
            <w:vAlign w:val="center"/>
            <w:hideMark/>
          </w:tcPr>
          <w:p w14:paraId="7C116541" w14:textId="77777777" w:rsidR="0081674C" w:rsidRPr="006E28CD" w:rsidRDefault="0081674C" w:rsidP="0081674C">
            <w:pPr>
              <w:pStyle w:val="ExhibitText"/>
              <w:jc w:val="right"/>
              <w:rPr>
                <w:lang w:val="en-GB"/>
              </w:rPr>
            </w:pPr>
            <w:r w:rsidRPr="006E28CD">
              <w:rPr>
                <w:lang w:val="en-GB"/>
              </w:rPr>
              <w:t>11.82</w:t>
            </w:r>
          </w:p>
        </w:tc>
        <w:tc>
          <w:tcPr>
            <w:tcW w:w="1080" w:type="dxa"/>
            <w:noWrap/>
            <w:vAlign w:val="center"/>
            <w:hideMark/>
          </w:tcPr>
          <w:p w14:paraId="4266618E" w14:textId="66E3D85D" w:rsidR="0081674C" w:rsidRPr="006E28CD" w:rsidRDefault="0081674C" w:rsidP="0081674C">
            <w:pPr>
              <w:pStyle w:val="ExhibitText"/>
              <w:jc w:val="right"/>
              <w:rPr>
                <w:lang w:val="en-GB"/>
              </w:rPr>
            </w:pPr>
            <w:r w:rsidRPr="006E28CD">
              <w:rPr>
                <w:lang w:val="en-GB"/>
              </w:rPr>
              <w:t>10.0</w:t>
            </w:r>
            <w:r w:rsidR="009F3950" w:rsidRPr="006E28CD">
              <w:rPr>
                <w:lang w:val="en-GB"/>
              </w:rPr>
              <w:t>0</w:t>
            </w:r>
          </w:p>
        </w:tc>
        <w:tc>
          <w:tcPr>
            <w:tcW w:w="1080" w:type="dxa"/>
            <w:noWrap/>
            <w:vAlign w:val="center"/>
            <w:hideMark/>
          </w:tcPr>
          <w:p w14:paraId="6CB950A3" w14:textId="4DF0497E" w:rsidR="0081674C" w:rsidRPr="006E28CD" w:rsidRDefault="0081674C" w:rsidP="0081674C">
            <w:pPr>
              <w:pStyle w:val="ExhibitText"/>
              <w:jc w:val="right"/>
              <w:rPr>
                <w:lang w:val="en-GB"/>
              </w:rPr>
            </w:pPr>
            <w:r w:rsidRPr="006E28CD">
              <w:rPr>
                <w:lang w:val="en-GB"/>
              </w:rPr>
              <w:t>2.6</w:t>
            </w:r>
            <w:r w:rsidR="009F3950" w:rsidRPr="006E28CD">
              <w:rPr>
                <w:lang w:val="en-GB"/>
              </w:rPr>
              <w:t>0</w:t>
            </w:r>
          </w:p>
        </w:tc>
        <w:tc>
          <w:tcPr>
            <w:tcW w:w="1080" w:type="dxa"/>
            <w:noWrap/>
            <w:vAlign w:val="center"/>
            <w:hideMark/>
          </w:tcPr>
          <w:p w14:paraId="1C576511" w14:textId="16403B38" w:rsidR="0081674C" w:rsidRPr="006E28CD" w:rsidRDefault="0081674C" w:rsidP="0081674C">
            <w:pPr>
              <w:pStyle w:val="ExhibitText"/>
              <w:jc w:val="right"/>
              <w:rPr>
                <w:lang w:val="en-GB"/>
              </w:rPr>
            </w:pPr>
            <w:r w:rsidRPr="006E28CD">
              <w:rPr>
                <w:lang w:val="en-GB"/>
              </w:rPr>
              <w:t>52.9</w:t>
            </w:r>
            <w:r w:rsidR="009F3950" w:rsidRPr="006E28CD">
              <w:rPr>
                <w:lang w:val="en-GB"/>
              </w:rPr>
              <w:t>0</w:t>
            </w:r>
          </w:p>
        </w:tc>
        <w:tc>
          <w:tcPr>
            <w:tcW w:w="1080" w:type="dxa"/>
            <w:noWrap/>
            <w:vAlign w:val="center"/>
            <w:hideMark/>
          </w:tcPr>
          <w:p w14:paraId="5FCD0DB9" w14:textId="392CA205" w:rsidR="0081674C" w:rsidRPr="006E28CD" w:rsidRDefault="0081674C" w:rsidP="0081674C">
            <w:pPr>
              <w:pStyle w:val="ExhibitText"/>
              <w:jc w:val="right"/>
              <w:rPr>
                <w:lang w:val="en-GB"/>
              </w:rPr>
            </w:pPr>
            <w:r w:rsidRPr="006E28CD">
              <w:rPr>
                <w:lang w:val="en-GB"/>
              </w:rPr>
              <w:t>30.8</w:t>
            </w:r>
            <w:r w:rsidR="009F3950" w:rsidRPr="006E28CD">
              <w:rPr>
                <w:lang w:val="en-GB"/>
              </w:rPr>
              <w:t>0</w:t>
            </w:r>
          </w:p>
        </w:tc>
        <w:tc>
          <w:tcPr>
            <w:tcW w:w="1080" w:type="dxa"/>
            <w:noWrap/>
            <w:vAlign w:val="center"/>
            <w:hideMark/>
          </w:tcPr>
          <w:p w14:paraId="58945629" w14:textId="00506905" w:rsidR="0081674C" w:rsidRPr="006E28CD" w:rsidRDefault="0081674C" w:rsidP="0081674C">
            <w:pPr>
              <w:pStyle w:val="ExhibitText"/>
              <w:jc w:val="right"/>
              <w:rPr>
                <w:lang w:val="en-GB"/>
              </w:rPr>
            </w:pPr>
            <w:r w:rsidRPr="006E28CD">
              <w:rPr>
                <w:lang w:val="en-GB"/>
              </w:rPr>
              <w:t>28.0</w:t>
            </w:r>
            <w:r w:rsidR="009F3950" w:rsidRPr="006E28CD">
              <w:rPr>
                <w:lang w:val="en-GB"/>
              </w:rPr>
              <w:t>0</w:t>
            </w:r>
          </w:p>
        </w:tc>
      </w:tr>
      <w:tr w:rsidR="0081674C" w:rsidRPr="006E28CD" w14:paraId="2681ADB3" w14:textId="77777777" w:rsidTr="00B42E98">
        <w:trPr>
          <w:trHeight w:val="300"/>
          <w:jc w:val="center"/>
        </w:trPr>
        <w:tc>
          <w:tcPr>
            <w:tcW w:w="2610" w:type="dxa"/>
            <w:hideMark/>
          </w:tcPr>
          <w:p w14:paraId="7E7EF588" w14:textId="587A296F" w:rsidR="0081674C" w:rsidRPr="006E28CD" w:rsidRDefault="0081674C" w:rsidP="00B42E98">
            <w:pPr>
              <w:pStyle w:val="ExhibitText"/>
              <w:jc w:val="left"/>
              <w:rPr>
                <w:lang w:val="en-GB"/>
              </w:rPr>
            </w:pPr>
            <w:r w:rsidRPr="006E28CD">
              <w:rPr>
                <w:lang w:val="en-GB"/>
              </w:rPr>
              <w:t xml:space="preserve">Gross </w:t>
            </w:r>
            <w:r w:rsidR="00187F5B" w:rsidRPr="006E28CD">
              <w:rPr>
                <w:lang w:val="en-GB"/>
              </w:rPr>
              <w:t xml:space="preserve">Dividend </w:t>
            </w:r>
            <w:r w:rsidRPr="006E28CD">
              <w:rPr>
                <w:lang w:val="en-GB"/>
              </w:rPr>
              <w:t xml:space="preserve">per </w:t>
            </w:r>
            <w:r w:rsidR="00187F5B" w:rsidRPr="006E28CD">
              <w:rPr>
                <w:lang w:val="en-GB"/>
              </w:rPr>
              <w:t xml:space="preserve">Share </w:t>
            </w:r>
          </w:p>
        </w:tc>
        <w:tc>
          <w:tcPr>
            <w:tcW w:w="1350" w:type="dxa"/>
            <w:noWrap/>
            <w:vAlign w:val="center"/>
            <w:hideMark/>
          </w:tcPr>
          <w:p w14:paraId="679E6335" w14:textId="27D99812" w:rsidR="0081674C" w:rsidRPr="006E28CD" w:rsidRDefault="0081674C" w:rsidP="0081674C">
            <w:pPr>
              <w:pStyle w:val="ExhibitText"/>
              <w:jc w:val="right"/>
              <w:rPr>
                <w:lang w:val="en-GB"/>
              </w:rPr>
            </w:pPr>
            <w:r w:rsidRPr="006E28CD">
              <w:rPr>
                <w:lang w:val="en-GB"/>
              </w:rPr>
              <w:t>9.5</w:t>
            </w:r>
            <w:r w:rsidR="009F3950" w:rsidRPr="006E28CD">
              <w:rPr>
                <w:lang w:val="en-GB"/>
              </w:rPr>
              <w:t>0</w:t>
            </w:r>
          </w:p>
        </w:tc>
        <w:tc>
          <w:tcPr>
            <w:tcW w:w="1080" w:type="dxa"/>
            <w:noWrap/>
            <w:vAlign w:val="center"/>
            <w:hideMark/>
          </w:tcPr>
          <w:p w14:paraId="4250CB62" w14:textId="61ABA74E" w:rsidR="0081674C" w:rsidRPr="006E28CD" w:rsidRDefault="0081674C" w:rsidP="0081674C">
            <w:pPr>
              <w:pStyle w:val="ExhibitText"/>
              <w:jc w:val="right"/>
              <w:rPr>
                <w:lang w:val="en-GB"/>
              </w:rPr>
            </w:pPr>
            <w:r w:rsidRPr="006E28CD">
              <w:rPr>
                <w:lang w:val="en-GB"/>
              </w:rPr>
              <w:t>8.0</w:t>
            </w:r>
            <w:r w:rsidR="009F3950" w:rsidRPr="006E28CD">
              <w:rPr>
                <w:lang w:val="en-GB"/>
              </w:rPr>
              <w:t>0</w:t>
            </w:r>
          </w:p>
        </w:tc>
        <w:tc>
          <w:tcPr>
            <w:tcW w:w="1080" w:type="dxa"/>
            <w:noWrap/>
            <w:vAlign w:val="center"/>
            <w:hideMark/>
          </w:tcPr>
          <w:p w14:paraId="3097545B" w14:textId="113E4F7A" w:rsidR="0081674C" w:rsidRPr="006E28CD" w:rsidRDefault="0081674C" w:rsidP="0081674C">
            <w:pPr>
              <w:pStyle w:val="ExhibitText"/>
              <w:jc w:val="right"/>
              <w:rPr>
                <w:lang w:val="en-GB"/>
              </w:rPr>
            </w:pPr>
            <w:r w:rsidRPr="006E28CD">
              <w:rPr>
                <w:lang w:val="en-GB"/>
              </w:rPr>
              <w:t>9.0</w:t>
            </w:r>
            <w:r w:rsidR="009F3950" w:rsidRPr="006E28CD">
              <w:rPr>
                <w:lang w:val="en-GB"/>
              </w:rPr>
              <w:t>0</w:t>
            </w:r>
          </w:p>
        </w:tc>
        <w:tc>
          <w:tcPr>
            <w:tcW w:w="1080" w:type="dxa"/>
            <w:noWrap/>
            <w:vAlign w:val="center"/>
            <w:hideMark/>
          </w:tcPr>
          <w:p w14:paraId="388BF429" w14:textId="1E7BC3A1" w:rsidR="0081674C" w:rsidRPr="006E28CD" w:rsidRDefault="0081674C" w:rsidP="0081674C">
            <w:pPr>
              <w:pStyle w:val="ExhibitText"/>
              <w:jc w:val="right"/>
              <w:rPr>
                <w:lang w:val="en-GB"/>
              </w:rPr>
            </w:pPr>
            <w:r w:rsidRPr="006E28CD">
              <w:rPr>
                <w:lang w:val="en-GB"/>
              </w:rPr>
              <w:t>20.0</w:t>
            </w:r>
            <w:r w:rsidR="009F3950" w:rsidRPr="006E28CD">
              <w:rPr>
                <w:lang w:val="en-GB"/>
              </w:rPr>
              <w:t>0</w:t>
            </w:r>
          </w:p>
        </w:tc>
        <w:tc>
          <w:tcPr>
            <w:tcW w:w="1080" w:type="dxa"/>
            <w:noWrap/>
            <w:vAlign w:val="center"/>
            <w:hideMark/>
          </w:tcPr>
          <w:p w14:paraId="6C229F36" w14:textId="0D0CB5D5" w:rsidR="0081674C" w:rsidRPr="006E28CD" w:rsidRDefault="0081674C" w:rsidP="0081674C">
            <w:pPr>
              <w:pStyle w:val="ExhibitText"/>
              <w:jc w:val="right"/>
              <w:rPr>
                <w:lang w:val="en-GB"/>
              </w:rPr>
            </w:pPr>
            <w:r w:rsidRPr="006E28CD">
              <w:rPr>
                <w:lang w:val="en-GB"/>
              </w:rPr>
              <w:t>15.5</w:t>
            </w:r>
            <w:r w:rsidR="009F3950" w:rsidRPr="006E28CD">
              <w:rPr>
                <w:lang w:val="en-GB"/>
              </w:rPr>
              <w:t>0</w:t>
            </w:r>
          </w:p>
        </w:tc>
        <w:tc>
          <w:tcPr>
            <w:tcW w:w="1080" w:type="dxa"/>
            <w:noWrap/>
            <w:vAlign w:val="center"/>
            <w:hideMark/>
          </w:tcPr>
          <w:p w14:paraId="0742BE0D" w14:textId="3BA864A7" w:rsidR="0081674C" w:rsidRPr="006E28CD" w:rsidRDefault="0081674C" w:rsidP="0081674C">
            <w:pPr>
              <w:pStyle w:val="ExhibitText"/>
              <w:jc w:val="right"/>
              <w:rPr>
                <w:lang w:val="en-GB"/>
              </w:rPr>
            </w:pPr>
            <w:r w:rsidRPr="006E28CD">
              <w:rPr>
                <w:lang w:val="en-GB"/>
              </w:rPr>
              <w:t>15.5</w:t>
            </w:r>
            <w:r w:rsidR="009F3950" w:rsidRPr="006E28CD">
              <w:rPr>
                <w:lang w:val="en-GB"/>
              </w:rPr>
              <w:t>0</w:t>
            </w:r>
          </w:p>
        </w:tc>
      </w:tr>
      <w:tr w:rsidR="0081674C" w:rsidRPr="006E28CD" w14:paraId="042C5CAA" w14:textId="77777777" w:rsidTr="00B42E98">
        <w:trPr>
          <w:trHeight w:val="60"/>
          <w:jc w:val="center"/>
        </w:trPr>
        <w:tc>
          <w:tcPr>
            <w:tcW w:w="2610" w:type="dxa"/>
            <w:hideMark/>
          </w:tcPr>
          <w:p w14:paraId="57F16F9D" w14:textId="563C0E7C" w:rsidR="0081674C" w:rsidRPr="006E28CD" w:rsidRDefault="0081674C" w:rsidP="00B42E98">
            <w:pPr>
              <w:pStyle w:val="ExhibitText"/>
              <w:jc w:val="left"/>
              <w:rPr>
                <w:lang w:val="en-GB"/>
              </w:rPr>
            </w:pPr>
            <w:r w:rsidRPr="006E28CD">
              <w:rPr>
                <w:lang w:val="en-GB"/>
              </w:rPr>
              <w:t xml:space="preserve">Net Assets per </w:t>
            </w:r>
            <w:r w:rsidR="00187F5B" w:rsidRPr="006E28CD">
              <w:rPr>
                <w:lang w:val="en-GB"/>
              </w:rPr>
              <w:t>Share</w:t>
            </w:r>
          </w:p>
        </w:tc>
        <w:tc>
          <w:tcPr>
            <w:tcW w:w="1350" w:type="dxa"/>
            <w:vAlign w:val="center"/>
            <w:hideMark/>
          </w:tcPr>
          <w:p w14:paraId="6453ADBA" w14:textId="155B3D80" w:rsidR="0081674C" w:rsidRPr="006E28CD" w:rsidRDefault="0081674C" w:rsidP="0081674C">
            <w:pPr>
              <w:pStyle w:val="ExhibitText"/>
              <w:jc w:val="right"/>
              <w:rPr>
                <w:lang w:val="en-GB"/>
              </w:rPr>
            </w:pPr>
            <w:r w:rsidRPr="006E28CD">
              <w:rPr>
                <w:lang w:val="en-GB"/>
              </w:rPr>
              <w:t>119.0</w:t>
            </w:r>
            <w:r w:rsidR="009F3950" w:rsidRPr="006E28CD">
              <w:rPr>
                <w:lang w:val="en-GB"/>
              </w:rPr>
              <w:t>0</w:t>
            </w:r>
          </w:p>
        </w:tc>
        <w:tc>
          <w:tcPr>
            <w:tcW w:w="1080" w:type="dxa"/>
            <w:noWrap/>
            <w:vAlign w:val="center"/>
            <w:hideMark/>
          </w:tcPr>
          <w:p w14:paraId="793CB4A6" w14:textId="242E0AA6" w:rsidR="0081674C" w:rsidRPr="006E28CD" w:rsidRDefault="0081674C" w:rsidP="0081674C">
            <w:pPr>
              <w:pStyle w:val="ExhibitText"/>
              <w:jc w:val="right"/>
              <w:rPr>
                <w:lang w:val="en-GB"/>
              </w:rPr>
            </w:pPr>
            <w:r w:rsidRPr="006E28CD">
              <w:rPr>
                <w:lang w:val="en-GB"/>
              </w:rPr>
              <w:t>114.0</w:t>
            </w:r>
            <w:r w:rsidR="009F3950" w:rsidRPr="006E28CD">
              <w:rPr>
                <w:lang w:val="en-GB"/>
              </w:rPr>
              <w:t>0</w:t>
            </w:r>
          </w:p>
        </w:tc>
        <w:tc>
          <w:tcPr>
            <w:tcW w:w="1080" w:type="dxa"/>
            <w:noWrap/>
            <w:vAlign w:val="center"/>
            <w:hideMark/>
          </w:tcPr>
          <w:p w14:paraId="28EB3CB7" w14:textId="578C68FD" w:rsidR="0081674C" w:rsidRPr="006E28CD" w:rsidRDefault="0081674C" w:rsidP="0081674C">
            <w:pPr>
              <w:pStyle w:val="ExhibitText"/>
              <w:jc w:val="right"/>
              <w:rPr>
                <w:lang w:val="en-GB"/>
              </w:rPr>
            </w:pPr>
            <w:r w:rsidRPr="006E28CD">
              <w:rPr>
                <w:lang w:val="en-GB"/>
              </w:rPr>
              <w:t>80.0</w:t>
            </w:r>
            <w:r w:rsidR="009F3950" w:rsidRPr="006E28CD">
              <w:rPr>
                <w:lang w:val="en-GB"/>
              </w:rPr>
              <w:t>0</w:t>
            </w:r>
          </w:p>
        </w:tc>
        <w:tc>
          <w:tcPr>
            <w:tcW w:w="1080" w:type="dxa"/>
            <w:noWrap/>
            <w:vAlign w:val="center"/>
            <w:hideMark/>
          </w:tcPr>
          <w:p w14:paraId="63850E6C" w14:textId="04DB491D" w:rsidR="0081674C" w:rsidRPr="006E28CD" w:rsidRDefault="0081674C" w:rsidP="0081674C">
            <w:pPr>
              <w:pStyle w:val="ExhibitText"/>
              <w:jc w:val="right"/>
              <w:rPr>
                <w:lang w:val="en-GB"/>
              </w:rPr>
            </w:pPr>
            <w:r w:rsidRPr="006E28CD">
              <w:rPr>
                <w:lang w:val="en-GB"/>
              </w:rPr>
              <w:t>95.0</w:t>
            </w:r>
            <w:r w:rsidR="009F3950" w:rsidRPr="006E28CD">
              <w:rPr>
                <w:lang w:val="en-GB"/>
              </w:rPr>
              <w:t>0</w:t>
            </w:r>
          </w:p>
        </w:tc>
        <w:tc>
          <w:tcPr>
            <w:tcW w:w="1080" w:type="dxa"/>
            <w:noWrap/>
            <w:vAlign w:val="center"/>
            <w:hideMark/>
          </w:tcPr>
          <w:p w14:paraId="02872C31" w14:textId="732C4837" w:rsidR="0081674C" w:rsidRPr="006E28CD" w:rsidRDefault="0081674C" w:rsidP="0081674C">
            <w:pPr>
              <w:pStyle w:val="ExhibitText"/>
              <w:jc w:val="right"/>
              <w:rPr>
                <w:lang w:val="en-GB"/>
              </w:rPr>
            </w:pPr>
            <w:r w:rsidRPr="006E28CD">
              <w:rPr>
                <w:lang w:val="en-GB"/>
              </w:rPr>
              <w:t>214.0</w:t>
            </w:r>
            <w:r w:rsidR="009F3950" w:rsidRPr="006E28CD">
              <w:rPr>
                <w:lang w:val="en-GB"/>
              </w:rPr>
              <w:t>0</w:t>
            </w:r>
          </w:p>
        </w:tc>
        <w:tc>
          <w:tcPr>
            <w:tcW w:w="1080" w:type="dxa"/>
            <w:noWrap/>
            <w:vAlign w:val="center"/>
            <w:hideMark/>
          </w:tcPr>
          <w:p w14:paraId="16B6F6F2" w14:textId="462A1DF4" w:rsidR="0081674C" w:rsidRPr="006E28CD" w:rsidRDefault="0081674C" w:rsidP="0081674C">
            <w:pPr>
              <w:pStyle w:val="ExhibitText"/>
              <w:jc w:val="right"/>
              <w:rPr>
                <w:lang w:val="en-GB"/>
              </w:rPr>
            </w:pPr>
            <w:r w:rsidRPr="006E28CD">
              <w:rPr>
                <w:lang w:val="en-GB"/>
              </w:rPr>
              <w:t>197.0</w:t>
            </w:r>
            <w:r w:rsidR="009F3950" w:rsidRPr="006E28CD">
              <w:rPr>
                <w:lang w:val="en-GB"/>
              </w:rPr>
              <w:t>0</w:t>
            </w:r>
          </w:p>
        </w:tc>
      </w:tr>
      <w:tr w:rsidR="0081674C" w:rsidRPr="006E28CD" w14:paraId="00BC4A1A" w14:textId="77777777" w:rsidTr="00B42E98">
        <w:trPr>
          <w:trHeight w:val="300"/>
          <w:jc w:val="center"/>
        </w:trPr>
        <w:tc>
          <w:tcPr>
            <w:tcW w:w="2610" w:type="dxa"/>
            <w:hideMark/>
          </w:tcPr>
          <w:p w14:paraId="34EB9976" w14:textId="0A25F1D0" w:rsidR="0081674C" w:rsidRPr="006E28CD" w:rsidRDefault="0081674C">
            <w:pPr>
              <w:pStyle w:val="ExhibitText"/>
              <w:jc w:val="left"/>
              <w:rPr>
                <w:lang w:val="en-GB"/>
              </w:rPr>
            </w:pPr>
            <w:r w:rsidRPr="006E28CD">
              <w:rPr>
                <w:lang w:val="en-GB"/>
              </w:rPr>
              <w:t xml:space="preserve">Return on </w:t>
            </w:r>
            <w:r w:rsidR="00187F5B" w:rsidRPr="006E28CD">
              <w:rPr>
                <w:lang w:val="en-GB"/>
              </w:rPr>
              <w:t xml:space="preserve">Average Equity </w:t>
            </w:r>
            <w:r w:rsidRPr="006E28CD">
              <w:rPr>
                <w:lang w:val="en-GB"/>
              </w:rPr>
              <w:t>(%)</w:t>
            </w:r>
          </w:p>
        </w:tc>
        <w:tc>
          <w:tcPr>
            <w:tcW w:w="1350" w:type="dxa"/>
            <w:noWrap/>
            <w:vAlign w:val="center"/>
            <w:hideMark/>
          </w:tcPr>
          <w:p w14:paraId="4D6B0415" w14:textId="77777777" w:rsidR="0081674C" w:rsidRPr="006E28CD" w:rsidRDefault="0081674C" w:rsidP="0081674C">
            <w:pPr>
              <w:pStyle w:val="ExhibitText"/>
              <w:jc w:val="right"/>
              <w:rPr>
                <w:lang w:val="en-GB"/>
              </w:rPr>
            </w:pPr>
            <w:r w:rsidRPr="006E28CD">
              <w:rPr>
                <w:lang w:val="en-GB"/>
              </w:rPr>
              <w:t>10.18</w:t>
            </w:r>
          </w:p>
        </w:tc>
        <w:tc>
          <w:tcPr>
            <w:tcW w:w="1080" w:type="dxa"/>
            <w:noWrap/>
            <w:vAlign w:val="center"/>
            <w:hideMark/>
          </w:tcPr>
          <w:p w14:paraId="1D8866A8" w14:textId="31AF110E" w:rsidR="0081674C" w:rsidRPr="006E28CD" w:rsidRDefault="0081674C" w:rsidP="0081674C">
            <w:pPr>
              <w:pStyle w:val="ExhibitText"/>
              <w:jc w:val="right"/>
              <w:rPr>
                <w:lang w:val="en-GB"/>
              </w:rPr>
            </w:pPr>
            <w:r w:rsidRPr="006E28CD">
              <w:rPr>
                <w:lang w:val="en-GB"/>
              </w:rPr>
              <w:t>8.9</w:t>
            </w:r>
            <w:r w:rsidR="009F3950" w:rsidRPr="006E28CD">
              <w:rPr>
                <w:lang w:val="en-GB"/>
              </w:rPr>
              <w:t>0</w:t>
            </w:r>
          </w:p>
        </w:tc>
        <w:tc>
          <w:tcPr>
            <w:tcW w:w="1080" w:type="dxa"/>
            <w:noWrap/>
            <w:vAlign w:val="center"/>
            <w:hideMark/>
          </w:tcPr>
          <w:p w14:paraId="14D70A62" w14:textId="363CDA38" w:rsidR="0081674C" w:rsidRPr="006E28CD" w:rsidRDefault="0081674C" w:rsidP="0081674C">
            <w:pPr>
              <w:pStyle w:val="ExhibitText"/>
              <w:jc w:val="right"/>
              <w:rPr>
                <w:lang w:val="en-GB"/>
              </w:rPr>
            </w:pPr>
            <w:r w:rsidRPr="006E28CD">
              <w:rPr>
                <w:lang w:val="en-GB"/>
              </w:rPr>
              <w:t>3.0</w:t>
            </w:r>
            <w:r w:rsidR="009F3950" w:rsidRPr="006E28CD">
              <w:rPr>
                <w:lang w:val="en-GB"/>
              </w:rPr>
              <w:t>0</w:t>
            </w:r>
          </w:p>
        </w:tc>
        <w:tc>
          <w:tcPr>
            <w:tcW w:w="1080" w:type="dxa"/>
            <w:noWrap/>
            <w:vAlign w:val="center"/>
            <w:hideMark/>
          </w:tcPr>
          <w:p w14:paraId="18B612CB" w14:textId="6B909CFF" w:rsidR="0081674C" w:rsidRPr="006E28CD" w:rsidRDefault="0081674C" w:rsidP="0081674C">
            <w:pPr>
              <w:pStyle w:val="ExhibitText"/>
              <w:jc w:val="right"/>
              <w:rPr>
                <w:lang w:val="en-GB"/>
              </w:rPr>
            </w:pPr>
            <w:r w:rsidRPr="006E28CD">
              <w:rPr>
                <w:lang w:val="en-GB"/>
              </w:rPr>
              <w:t>34.3</w:t>
            </w:r>
            <w:r w:rsidR="009F3950" w:rsidRPr="006E28CD">
              <w:rPr>
                <w:lang w:val="en-GB"/>
              </w:rPr>
              <w:t>0</w:t>
            </w:r>
          </w:p>
        </w:tc>
        <w:tc>
          <w:tcPr>
            <w:tcW w:w="1080" w:type="dxa"/>
            <w:noWrap/>
            <w:vAlign w:val="center"/>
            <w:hideMark/>
          </w:tcPr>
          <w:p w14:paraId="1BFBAA46" w14:textId="78BFDA72" w:rsidR="0081674C" w:rsidRPr="006E28CD" w:rsidRDefault="0081674C" w:rsidP="0081674C">
            <w:pPr>
              <w:pStyle w:val="ExhibitText"/>
              <w:jc w:val="right"/>
              <w:rPr>
                <w:lang w:val="en-GB"/>
              </w:rPr>
            </w:pPr>
            <w:r w:rsidRPr="006E28CD">
              <w:rPr>
                <w:lang w:val="en-GB"/>
              </w:rPr>
              <w:t>15.0</w:t>
            </w:r>
            <w:r w:rsidR="009F3950" w:rsidRPr="006E28CD">
              <w:rPr>
                <w:lang w:val="en-GB"/>
              </w:rPr>
              <w:t>0</w:t>
            </w:r>
          </w:p>
        </w:tc>
        <w:tc>
          <w:tcPr>
            <w:tcW w:w="1080" w:type="dxa"/>
            <w:noWrap/>
            <w:vAlign w:val="center"/>
            <w:hideMark/>
          </w:tcPr>
          <w:p w14:paraId="20BFFF92" w14:textId="58CBF7D3" w:rsidR="0081674C" w:rsidRPr="006E28CD" w:rsidRDefault="0081674C" w:rsidP="0081674C">
            <w:pPr>
              <w:pStyle w:val="ExhibitText"/>
              <w:jc w:val="right"/>
              <w:rPr>
                <w:lang w:val="en-GB"/>
              </w:rPr>
            </w:pPr>
            <w:r w:rsidRPr="006E28CD">
              <w:rPr>
                <w:lang w:val="en-GB"/>
              </w:rPr>
              <w:t>14.5</w:t>
            </w:r>
            <w:r w:rsidR="009F3950" w:rsidRPr="006E28CD">
              <w:rPr>
                <w:lang w:val="en-GB"/>
              </w:rPr>
              <w:t>0</w:t>
            </w:r>
          </w:p>
        </w:tc>
      </w:tr>
      <w:tr w:rsidR="0081674C" w:rsidRPr="006E28CD" w14:paraId="498812E1" w14:textId="77777777" w:rsidTr="00B42E98">
        <w:trPr>
          <w:trHeight w:val="260"/>
          <w:jc w:val="center"/>
        </w:trPr>
        <w:tc>
          <w:tcPr>
            <w:tcW w:w="2610" w:type="dxa"/>
            <w:hideMark/>
          </w:tcPr>
          <w:p w14:paraId="5273748D" w14:textId="1D1C8514" w:rsidR="0081674C" w:rsidRPr="006E28CD" w:rsidRDefault="0081674C">
            <w:pPr>
              <w:pStyle w:val="ExhibitText"/>
              <w:jc w:val="left"/>
              <w:rPr>
                <w:lang w:val="en-GB"/>
              </w:rPr>
            </w:pPr>
            <w:r w:rsidRPr="006E28CD">
              <w:rPr>
                <w:lang w:val="en-GB"/>
              </w:rPr>
              <w:t xml:space="preserve">NOPAT/Average </w:t>
            </w:r>
            <w:r w:rsidR="00187F5B" w:rsidRPr="006E28CD">
              <w:rPr>
                <w:lang w:val="en-GB"/>
              </w:rPr>
              <w:t xml:space="preserve">Capital Employed </w:t>
            </w:r>
            <w:r w:rsidRPr="006E28CD">
              <w:rPr>
                <w:lang w:val="en-GB"/>
              </w:rPr>
              <w:t>(%)</w:t>
            </w:r>
          </w:p>
        </w:tc>
        <w:tc>
          <w:tcPr>
            <w:tcW w:w="1350" w:type="dxa"/>
            <w:noWrap/>
            <w:vAlign w:val="center"/>
            <w:hideMark/>
          </w:tcPr>
          <w:p w14:paraId="324B2C67" w14:textId="77777777" w:rsidR="0081674C" w:rsidRPr="006E28CD" w:rsidRDefault="0081674C" w:rsidP="0081674C">
            <w:pPr>
              <w:pStyle w:val="ExhibitText"/>
              <w:jc w:val="right"/>
              <w:rPr>
                <w:lang w:val="en-GB"/>
              </w:rPr>
            </w:pPr>
            <w:r w:rsidRPr="006E28CD">
              <w:rPr>
                <w:lang w:val="en-GB"/>
              </w:rPr>
              <w:t>5.68</w:t>
            </w:r>
          </w:p>
        </w:tc>
        <w:tc>
          <w:tcPr>
            <w:tcW w:w="1080" w:type="dxa"/>
            <w:noWrap/>
            <w:vAlign w:val="center"/>
            <w:hideMark/>
          </w:tcPr>
          <w:p w14:paraId="08F32EEF" w14:textId="05949F47" w:rsidR="0081674C" w:rsidRPr="006E28CD" w:rsidRDefault="0081674C" w:rsidP="0081674C">
            <w:pPr>
              <w:pStyle w:val="ExhibitText"/>
              <w:jc w:val="right"/>
              <w:rPr>
                <w:lang w:val="en-GB"/>
              </w:rPr>
            </w:pPr>
            <w:r w:rsidRPr="006E28CD">
              <w:rPr>
                <w:lang w:val="en-GB"/>
              </w:rPr>
              <w:t>5.1</w:t>
            </w:r>
            <w:r w:rsidR="009F3950" w:rsidRPr="006E28CD">
              <w:rPr>
                <w:lang w:val="en-GB"/>
              </w:rPr>
              <w:t>0</w:t>
            </w:r>
          </w:p>
        </w:tc>
        <w:tc>
          <w:tcPr>
            <w:tcW w:w="1080" w:type="dxa"/>
            <w:noWrap/>
            <w:vAlign w:val="center"/>
            <w:hideMark/>
          </w:tcPr>
          <w:p w14:paraId="745C2D2F" w14:textId="06A655F9" w:rsidR="0081674C" w:rsidRPr="006E28CD" w:rsidRDefault="0081674C" w:rsidP="0081674C">
            <w:pPr>
              <w:pStyle w:val="ExhibitText"/>
              <w:jc w:val="right"/>
              <w:rPr>
                <w:lang w:val="en-GB"/>
              </w:rPr>
            </w:pPr>
            <w:r w:rsidRPr="006E28CD">
              <w:rPr>
                <w:lang w:val="en-GB"/>
              </w:rPr>
              <w:t>2.9</w:t>
            </w:r>
            <w:r w:rsidR="009F3950" w:rsidRPr="006E28CD">
              <w:rPr>
                <w:lang w:val="en-GB"/>
              </w:rPr>
              <w:t>0</w:t>
            </w:r>
          </w:p>
        </w:tc>
        <w:tc>
          <w:tcPr>
            <w:tcW w:w="1080" w:type="dxa"/>
            <w:noWrap/>
            <w:vAlign w:val="center"/>
            <w:hideMark/>
          </w:tcPr>
          <w:p w14:paraId="0F3E6448" w14:textId="25E3DD12" w:rsidR="0081674C" w:rsidRPr="006E28CD" w:rsidRDefault="0081674C" w:rsidP="0081674C">
            <w:pPr>
              <w:pStyle w:val="ExhibitText"/>
              <w:jc w:val="right"/>
              <w:rPr>
                <w:lang w:val="en-GB"/>
              </w:rPr>
            </w:pPr>
            <w:r w:rsidRPr="006E28CD">
              <w:rPr>
                <w:lang w:val="en-GB"/>
              </w:rPr>
              <w:t>9.3</w:t>
            </w:r>
            <w:r w:rsidR="009F3950" w:rsidRPr="006E28CD">
              <w:rPr>
                <w:lang w:val="en-GB"/>
              </w:rPr>
              <w:t>0</w:t>
            </w:r>
          </w:p>
        </w:tc>
        <w:tc>
          <w:tcPr>
            <w:tcW w:w="1080" w:type="dxa"/>
            <w:noWrap/>
            <w:vAlign w:val="center"/>
            <w:hideMark/>
          </w:tcPr>
          <w:p w14:paraId="6799C98A" w14:textId="631D5E84" w:rsidR="0081674C" w:rsidRPr="006E28CD" w:rsidRDefault="0081674C" w:rsidP="0081674C">
            <w:pPr>
              <w:pStyle w:val="ExhibitText"/>
              <w:jc w:val="right"/>
              <w:rPr>
                <w:lang w:val="en-GB"/>
              </w:rPr>
            </w:pPr>
            <w:r w:rsidRPr="006E28CD">
              <w:rPr>
                <w:lang w:val="en-GB"/>
              </w:rPr>
              <w:t>10.0</w:t>
            </w:r>
            <w:r w:rsidR="009F3950" w:rsidRPr="006E28CD">
              <w:rPr>
                <w:lang w:val="en-GB"/>
              </w:rPr>
              <w:t>0</w:t>
            </w:r>
          </w:p>
        </w:tc>
        <w:tc>
          <w:tcPr>
            <w:tcW w:w="1080" w:type="dxa"/>
            <w:noWrap/>
            <w:vAlign w:val="center"/>
            <w:hideMark/>
          </w:tcPr>
          <w:p w14:paraId="11D5937E" w14:textId="23EF3FDB" w:rsidR="0081674C" w:rsidRPr="006E28CD" w:rsidRDefault="0081674C" w:rsidP="0081674C">
            <w:pPr>
              <w:pStyle w:val="ExhibitText"/>
              <w:jc w:val="right"/>
              <w:rPr>
                <w:lang w:val="en-GB"/>
              </w:rPr>
            </w:pPr>
            <w:r w:rsidRPr="006E28CD">
              <w:rPr>
                <w:lang w:val="en-GB"/>
              </w:rPr>
              <w:t>9.9</w:t>
            </w:r>
            <w:r w:rsidR="009F3950" w:rsidRPr="006E28CD">
              <w:rPr>
                <w:lang w:val="en-GB"/>
              </w:rPr>
              <w:t>0</w:t>
            </w:r>
          </w:p>
        </w:tc>
      </w:tr>
      <w:tr w:rsidR="0081674C" w:rsidRPr="006E28CD" w14:paraId="11D96EA5" w14:textId="77777777" w:rsidTr="00B42E98">
        <w:trPr>
          <w:trHeight w:val="60"/>
          <w:jc w:val="center"/>
        </w:trPr>
        <w:tc>
          <w:tcPr>
            <w:tcW w:w="2610" w:type="dxa"/>
            <w:hideMark/>
          </w:tcPr>
          <w:p w14:paraId="04490DDF" w14:textId="68DB81D3" w:rsidR="0081674C" w:rsidRPr="006E28CD" w:rsidRDefault="0081674C">
            <w:pPr>
              <w:pStyle w:val="ExhibitText"/>
              <w:jc w:val="left"/>
              <w:rPr>
                <w:lang w:val="en-GB"/>
              </w:rPr>
            </w:pPr>
            <w:r w:rsidRPr="006E28CD">
              <w:rPr>
                <w:lang w:val="en-GB"/>
              </w:rPr>
              <w:t xml:space="preserve">Net </w:t>
            </w:r>
            <w:r w:rsidR="00187F5B" w:rsidRPr="006E28CD">
              <w:rPr>
                <w:lang w:val="en-GB"/>
              </w:rPr>
              <w:t>Debt</w:t>
            </w:r>
            <w:r w:rsidRPr="006E28CD">
              <w:rPr>
                <w:lang w:val="en-GB"/>
              </w:rPr>
              <w:t>/Equity (%)</w:t>
            </w:r>
          </w:p>
        </w:tc>
        <w:tc>
          <w:tcPr>
            <w:tcW w:w="1350" w:type="dxa"/>
            <w:noWrap/>
            <w:vAlign w:val="center"/>
            <w:hideMark/>
          </w:tcPr>
          <w:p w14:paraId="01A5C61C" w14:textId="77777777" w:rsidR="0081674C" w:rsidRPr="006E28CD" w:rsidRDefault="0081674C" w:rsidP="0081674C">
            <w:pPr>
              <w:pStyle w:val="ExhibitText"/>
              <w:jc w:val="right"/>
              <w:rPr>
                <w:lang w:val="en-GB"/>
              </w:rPr>
            </w:pPr>
            <w:r w:rsidRPr="006E28CD">
              <w:rPr>
                <w:lang w:val="en-GB"/>
              </w:rPr>
              <w:t>78.07</w:t>
            </w:r>
          </w:p>
        </w:tc>
        <w:tc>
          <w:tcPr>
            <w:tcW w:w="1080" w:type="dxa"/>
            <w:noWrap/>
            <w:vAlign w:val="center"/>
            <w:hideMark/>
          </w:tcPr>
          <w:p w14:paraId="4FADC616" w14:textId="40A49929" w:rsidR="0081674C" w:rsidRPr="006E28CD" w:rsidRDefault="0081674C" w:rsidP="0081674C">
            <w:pPr>
              <w:pStyle w:val="ExhibitText"/>
              <w:jc w:val="right"/>
              <w:rPr>
                <w:lang w:val="en-GB"/>
              </w:rPr>
            </w:pPr>
            <w:r w:rsidRPr="006E28CD">
              <w:rPr>
                <w:lang w:val="en-GB"/>
              </w:rPr>
              <w:t>76.3</w:t>
            </w:r>
            <w:r w:rsidR="009F3950" w:rsidRPr="006E28CD">
              <w:rPr>
                <w:lang w:val="en-GB"/>
              </w:rPr>
              <w:t>0</w:t>
            </w:r>
          </w:p>
        </w:tc>
        <w:tc>
          <w:tcPr>
            <w:tcW w:w="1080" w:type="dxa"/>
            <w:noWrap/>
            <w:vAlign w:val="center"/>
            <w:hideMark/>
          </w:tcPr>
          <w:p w14:paraId="58951062" w14:textId="1A7B48D8" w:rsidR="0081674C" w:rsidRPr="006E28CD" w:rsidRDefault="0081674C" w:rsidP="0081674C">
            <w:pPr>
              <w:pStyle w:val="ExhibitText"/>
              <w:jc w:val="right"/>
              <w:rPr>
                <w:lang w:val="en-GB"/>
              </w:rPr>
            </w:pPr>
            <w:r w:rsidRPr="006E28CD">
              <w:rPr>
                <w:lang w:val="en-GB"/>
              </w:rPr>
              <w:t>96.1</w:t>
            </w:r>
            <w:r w:rsidR="009F3950" w:rsidRPr="006E28CD">
              <w:rPr>
                <w:lang w:val="en-GB"/>
              </w:rPr>
              <w:t>0</w:t>
            </w:r>
          </w:p>
        </w:tc>
        <w:tc>
          <w:tcPr>
            <w:tcW w:w="1080" w:type="dxa"/>
            <w:noWrap/>
            <w:vAlign w:val="center"/>
            <w:hideMark/>
          </w:tcPr>
          <w:p w14:paraId="69A27576" w14:textId="31A4CDE3" w:rsidR="0081674C" w:rsidRPr="006E28CD" w:rsidRDefault="0081674C" w:rsidP="0081674C">
            <w:pPr>
              <w:pStyle w:val="ExhibitText"/>
              <w:jc w:val="right"/>
              <w:rPr>
                <w:lang w:val="en-GB"/>
              </w:rPr>
            </w:pPr>
            <w:r w:rsidRPr="006E28CD">
              <w:rPr>
                <w:lang w:val="en-GB"/>
              </w:rPr>
              <w:t>58.6</w:t>
            </w:r>
            <w:r w:rsidR="009F3950" w:rsidRPr="006E28CD">
              <w:rPr>
                <w:lang w:val="en-GB"/>
              </w:rPr>
              <w:t>0</w:t>
            </w:r>
          </w:p>
        </w:tc>
        <w:tc>
          <w:tcPr>
            <w:tcW w:w="1080" w:type="dxa"/>
            <w:noWrap/>
            <w:vAlign w:val="center"/>
            <w:hideMark/>
          </w:tcPr>
          <w:p w14:paraId="1881255C" w14:textId="1A0C40C4" w:rsidR="0081674C" w:rsidRPr="006E28CD" w:rsidRDefault="0081674C" w:rsidP="0081674C">
            <w:pPr>
              <w:pStyle w:val="ExhibitText"/>
              <w:jc w:val="right"/>
              <w:rPr>
                <w:lang w:val="en-GB"/>
              </w:rPr>
            </w:pPr>
            <w:r w:rsidRPr="006E28CD">
              <w:rPr>
                <w:lang w:val="en-GB"/>
              </w:rPr>
              <w:t>32.3</w:t>
            </w:r>
            <w:r w:rsidR="009F3950" w:rsidRPr="006E28CD">
              <w:rPr>
                <w:lang w:val="en-GB"/>
              </w:rPr>
              <w:t>0</w:t>
            </w:r>
          </w:p>
        </w:tc>
        <w:tc>
          <w:tcPr>
            <w:tcW w:w="1080" w:type="dxa"/>
            <w:noWrap/>
            <w:vAlign w:val="center"/>
            <w:hideMark/>
          </w:tcPr>
          <w:p w14:paraId="2D82E6B5" w14:textId="2C71851C" w:rsidR="0081674C" w:rsidRPr="006E28CD" w:rsidRDefault="0081674C" w:rsidP="0081674C">
            <w:pPr>
              <w:pStyle w:val="ExhibitText"/>
              <w:jc w:val="right"/>
              <w:rPr>
                <w:lang w:val="en-GB"/>
              </w:rPr>
            </w:pPr>
            <w:r w:rsidRPr="006E28CD">
              <w:rPr>
                <w:lang w:val="en-GB"/>
              </w:rPr>
              <w:t>29.8</w:t>
            </w:r>
            <w:r w:rsidR="009F3950" w:rsidRPr="006E28CD">
              <w:rPr>
                <w:lang w:val="en-GB"/>
              </w:rPr>
              <w:t>0</w:t>
            </w:r>
          </w:p>
        </w:tc>
      </w:tr>
    </w:tbl>
    <w:p w14:paraId="5D766EF4" w14:textId="77777777" w:rsidR="0081674C" w:rsidRPr="006E28CD" w:rsidRDefault="0081674C" w:rsidP="0081674C">
      <w:pPr>
        <w:pStyle w:val="BodyTextMain"/>
        <w:rPr>
          <w:lang w:val="en-GB"/>
        </w:rPr>
      </w:pPr>
    </w:p>
    <w:p w14:paraId="184203EB" w14:textId="20F44167" w:rsidR="0081674C" w:rsidRPr="006E28CD" w:rsidRDefault="0081674C" w:rsidP="0081674C">
      <w:pPr>
        <w:pStyle w:val="Footnote"/>
        <w:rPr>
          <w:lang w:val="en-GB"/>
        </w:rPr>
      </w:pPr>
      <w:r w:rsidRPr="006E28CD">
        <w:rPr>
          <w:lang w:val="en-GB"/>
        </w:rPr>
        <w:t>Note</w:t>
      </w:r>
      <w:r w:rsidR="00997449" w:rsidRPr="006E28CD">
        <w:rPr>
          <w:lang w:val="en-GB"/>
        </w:rPr>
        <w:t xml:space="preserve">s: </w:t>
      </w:r>
      <w:r w:rsidR="00407535">
        <w:rPr>
          <w:lang w:val="en-GB"/>
        </w:rPr>
        <w:t>MYR</w:t>
      </w:r>
      <w:r w:rsidR="00997449" w:rsidRPr="006E28CD">
        <w:rPr>
          <w:lang w:val="en-GB"/>
        </w:rPr>
        <w:t xml:space="preserve"> = Malaysian ring</w:t>
      </w:r>
      <w:r w:rsidR="00187F5B" w:rsidRPr="006E28CD">
        <w:rPr>
          <w:lang w:val="en-GB"/>
        </w:rPr>
        <w:t>git; MYR1.00 = US$0.23 as of January 2017;</w:t>
      </w:r>
      <w:r w:rsidRPr="006E28CD">
        <w:rPr>
          <w:lang w:val="en-GB"/>
        </w:rPr>
        <w:t xml:space="preserve"> </w:t>
      </w:r>
      <w:r w:rsidR="00810519">
        <w:rPr>
          <w:lang w:val="en-GB"/>
        </w:rPr>
        <w:t>NOPAT = net operating profit after tax; f</w:t>
      </w:r>
      <w:r w:rsidRPr="006E28CD">
        <w:rPr>
          <w:lang w:val="en-GB"/>
        </w:rPr>
        <w:t xml:space="preserve">igures were obtained from the </w:t>
      </w:r>
      <w:r w:rsidR="00187F5B" w:rsidRPr="006E28CD">
        <w:rPr>
          <w:lang w:val="en-GB"/>
        </w:rPr>
        <w:t xml:space="preserve">annual reports </w:t>
      </w:r>
      <w:r w:rsidRPr="006E28CD">
        <w:rPr>
          <w:lang w:val="en-GB"/>
        </w:rPr>
        <w:t>from respective year</w:t>
      </w:r>
      <w:r w:rsidR="00187F5B" w:rsidRPr="006E28CD">
        <w:rPr>
          <w:lang w:val="en-GB"/>
        </w:rPr>
        <w:t>s</w:t>
      </w:r>
      <w:r w:rsidRPr="006E28CD">
        <w:rPr>
          <w:lang w:val="en-GB"/>
        </w:rPr>
        <w:t xml:space="preserve"> and </w:t>
      </w:r>
      <w:r w:rsidR="00187F5B" w:rsidRPr="006E28CD">
        <w:rPr>
          <w:lang w:val="en-GB"/>
        </w:rPr>
        <w:t xml:space="preserve">were </w:t>
      </w:r>
      <w:r w:rsidRPr="006E28CD">
        <w:rPr>
          <w:lang w:val="en-GB"/>
        </w:rPr>
        <w:t>not restated</w:t>
      </w:r>
      <w:r w:rsidR="00187F5B" w:rsidRPr="006E28CD">
        <w:rPr>
          <w:lang w:val="en-GB"/>
        </w:rPr>
        <w:t xml:space="preserve">; </w:t>
      </w:r>
      <w:r w:rsidRPr="006E28CD">
        <w:rPr>
          <w:lang w:val="en-GB"/>
        </w:rPr>
        <w:t xml:space="preserve">Net </w:t>
      </w:r>
      <w:r w:rsidR="00810519">
        <w:rPr>
          <w:lang w:val="en-GB"/>
        </w:rPr>
        <w:t>F</w:t>
      </w:r>
      <w:r w:rsidRPr="006E28CD">
        <w:rPr>
          <w:lang w:val="en-GB"/>
        </w:rPr>
        <w:t xml:space="preserve">oreign </w:t>
      </w:r>
      <w:r w:rsidR="00810519">
        <w:rPr>
          <w:lang w:val="en-GB"/>
        </w:rPr>
        <w:t>C</w:t>
      </w:r>
      <w:r w:rsidRPr="006E28CD">
        <w:rPr>
          <w:lang w:val="en-GB"/>
        </w:rPr>
        <w:t xml:space="preserve">urrency </w:t>
      </w:r>
      <w:r w:rsidR="00810519">
        <w:rPr>
          <w:lang w:val="en-GB"/>
        </w:rPr>
        <w:t>T</w:t>
      </w:r>
      <w:r w:rsidRPr="006E28CD">
        <w:rPr>
          <w:lang w:val="en-GB"/>
        </w:rPr>
        <w:t xml:space="preserve">ranslation </w:t>
      </w:r>
      <w:r w:rsidR="00810519">
        <w:rPr>
          <w:lang w:val="en-GB"/>
        </w:rPr>
        <w:t>L</w:t>
      </w:r>
      <w:r w:rsidRPr="006E28CD">
        <w:rPr>
          <w:lang w:val="en-GB"/>
        </w:rPr>
        <w:t>oss/</w:t>
      </w:r>
      <w:r w:rsidR="00810519">
        <w:rPr>
          <w:lang w:val="en-GB"/>
        </w:rPr>
        <w:t>G</w:t>
      </w:r>
      <w:r w:rsidRPr="006E28CD">
        <w:rPr>
          <w:lang w:val="en-GB"/>
        </w:rPr>
        <w:t>ain figures for 2012</w:t>
      </w:r>
      <w:r w:rsidR="00997449" w:rsidRPr="006E28CD">
        <w:rPr>
          <w:lang w:val="en-GB"/>
        </w:rPr>
        <w:t>–</w:t>
      </w:r>
      <w:r w:rsidRPr="006E28CD">
        <w:rPr>
          <w:lang w:val="en-GB"/>
        </w:rPr>
        <w:t xml:space="preserve">2014 were obtained from </w:t>
      </w:r>
      <w:r w:rsidR="00187F5B" w:rsidRPr="006E28CD">
        <w:rPr>
          <w:lang w:val="en-GB"/>
        </w:rPr>
        <w:t xml:space="preserve">the 2016 annual report and were </w:t>
      </w:r>
      <w:r w:rsidRPr="006E28CD">
        <w:rPr>
          <w:lang w:val="en-GB"/>
        </w:rPr>
        <w:t>previously categori</w:t>
      </w:r>
      <w:r w:rsidR="00810519">
        <w:rPr>
          <w:lang w:val="en-GB"/>
        </w:rPr>
        <w:t>z</w:t>
      </w:r>
      <w:r w:rsidRPr="006E28CD">
        <w:rPr>
          <w:lang w:val="en-GB"/>
        </w:rPr>
        <w:t xml:space="preserve">ed as </w:t>
      </w:r>
      <w:r w:rsidR="00187F5B" w:rsidRPr="006E28CD">
        <w:rPr>
          <w:lang w:val="en-GB"/>
        </w:rPr>
        <w:t xml:space="preserve">“finance </w:t>
      </w:r>
      <w:r w:rsidRPr="006E28CD">
        <w:rPr>
          <w:lang w:val="en-GB"/>
        </w:rPr>
        <w:t>cost</w:t>
      </w:r>
      <w:r w:rsidR="00810519">
        <w:rPr>
          <w:lang w:val="en-GB"/>
        </w:rPr>
        <w:t>;</w:t>
      </w:r>
      <w:r w:rsidR="00187F5B" w:rsidRPr="006E28CD">
        <w:rPr>
          <w:lang w:val="en-GB"/>
        </w:rPr>
        <w:t>”</w:t>
      </w:r>
      <w:r w:rsidRPr="006E28CD">
        <w:rPr>
          <w:lang w:val="en-GB"/>
        </w:rPr>
        <w:t xml:space="preserve"> </w:t>
      </w:r>
      <w:r w:rsidR="00810519">
        <w:rPr>
          <w:lang w:val="en-GB"/>
        </w:rPr>
        <w:t>i</w:t>
      </w:r>
      <w:r w:rsidRPr="006E28CD">
        <w:rPr>
          <w:lang w:val="en-GB"/>
        </w:rPr>
        <w:t xml:space="preserve">n January 2014, IOI Properties Group </w:t>
      </w:r>
      <w:proofErr w:type="spellStart"/>
      <w:r w:rsidRPr="006E28CD">
        <w:rPr>
          <w:lang w:val="en-GB"/>
        </w:rPr>
        <w:t>Berhad</w:t>
      </w:r>
      <w:proofErr w:type="spellEnd"/>
      <w:r w:rsidRPr="006E28CD">
        <w:rPr>
          <w:lang w:val="en-GB"/>
        </w:rPr>
        <w:t xml:space="preserve">, a core subsidiary of IOI Corporation </w:t>
      </w:r>
      <w:proofErr w:type="spellStart"/>
      <w:r w:rsidRPr="006E28CD">
        <w:rPr>
          <w:lang w:val="en-GB"/>
        </w:rPr>
        <w:t>Berhad</w:t>
      </w:r>
      <w:proofErr w:type="spellEnd"/>
      <w:r w:rsidRPr="006E28CD">
        <w:rPr>
          <w:lang w:val="en-GB"/>
        </w:rPr>
        <w:t>, de</w:t>
      </w:r>
      <w:r w:rsidR="00810519">
        <w:rPr>
          <w:lang w:val="en-GB"/>
        </w:rPr>
        <w:t>-</w:t>
      </w:r>
      <w:r w:rsidRPr="006E28CD">
        <w:rPr>
          <w:lang w:val="en-GB"/>
        </w:rPr>
        <w:t>merged and became a separate listed company.</w:t>
      </w:r>
    </w:p>
    <w:p w14:paraId="2036D2A8" w14:textId="557DC5AA" w:rsidR="0081674C" w:rsidRDefault="00340693" w:rsidP="00AA53AD">
      <w:pPr>
        <w:pStyle w:val="Footnote"/>
        <w:rPr>
          <w:lang w:val="en-GB"/>
        </w:rPr>
      </w:pPr>
      <w:r w:rsidRPr="006E28CD">
        <w:rPr>
          <w:lang w:val="en-GB"/>
        </w:rPr>
        <w:t xml:space="preserve">Source: </w:t>
      </w:r>
      <w:r w:rsidR="00187F5B" w:rsidRPr="006E28CD">
        <w:rPr>
          <w:lang w:val="en-GB"/>
        </w:rPr>
        <w:t xml:space="preserve">Created by </w:t>
      </w:r>
      <w:r w:rsidR="00810519">
        <w:rPr>
          <w:lang w:val="en-GB"/>
        </w:rPr>
        <w:t xml:space="preserve">the </w:t>
      </w:r>
      <w:r w:rsidR="00187F5B" w:rsidRPr="006E28CD">
        <w:rPr>
          <w:lang w:val="en-GB"/>
        </w:rPr>
        <w:t>case author based on company documents.</w:t>
      </w:r>
    </w:p>
    <w:p w14:paraId="775FBBD5" w14:textId="77777777" w:rsidR="00D65FC4" w:rsidRDefault="00D65FC4" w:rsidP="00D65FC4">
      <w:pPr>
        <w:pStyle w:val="BodyTextMain"/>
        <w:rPr>
          <w:lang w:val="en-GB"/>
        </w:rPr>
      </w:pPr>
    </w:p>
    <w:p w14:paraId="30139BD5" w14:textId="77777777" w:rsidR="00AA53AD" w:rsidRPr="006E28CD" w:rsidRDefault="00AA53AD" w:rsidP="00D65FC4">
      <w:pPr>
        <w:pStyle w:val="BodyTextMain"/>
        <w:rPr>
          <w:lang w:val="en-GB"/>
        </w:rPr>
      </w:pPr>
    </w:p>
    <w:p w14:paraId="723C457A" w14:textId="413904AC" w:rsidR="0081674C" w:rsidRPr="006E28CD" w:rsidRDefault="0081674C" w:rsidP="0081674C">
      <w:pPr>
        <w:pStyle w:val="ExhibitHeading"/>
        <w:rPr>
          <w:lang w:val="en-GB"/>
        </w:rPr>
      </w:pPr>
      <w:r w:rsidRPr="006E28CD">
        <w:rPr>
          <w:lang w:val="en-GB"/>
        </w:rPr>
        <w:t>Exhibit 2: IOI Corporation Board and Management Team</w:t>
      </w:r>
    </w:p>
    <w:p w14:paraId="0D426058" w14:textId="77777777" w:rsidR="0081674C" w:rsidRPr="006E28CD" w:rsidRDefault="0081674C" w:rsidP="0081674C">
      <w:pPr>
        <w:pStyle w:val="BodyTextMain"/>
        <w:rPr>
          <w:lang w:val="en-GB"/>
        </w:rPr>
      </w:pPr>
    </w:p>
    <w:p w14:paraId="4676CFBC" w14:textId="77777777" w:rsidR="0081674C" w:rsidRPr="006E28CD" w:rsidRDefault="0081674C" w:rsidP="0081674C">
      <w:pPr>
        <w:pStyle w:val="Casehead2"/>
        <w:rPr>
          <w:lang w:val="en-GB"/>
        </w:rPr>
      </w:pPr>
      <w:r w:rsidRPr="006E28CD">
        <w:rPr>
          <w:lang w:val="en-GB"/>
        </w:rPr>
        <w:t>Board of Directors</w:t>
      </w:r>
    </w:p>
    <w:p w14:paraId="570C28E0" w14:textId="77777777" w:rsidR="0081674C" w:rsidRPr="006E28CD" w:rsidRDefault="0081674C" w:rsidP="0081674C">
      <w:pPr>
        <w:pStyle w:val="Casehead2"/>
        <w:rPr>
          <w:lang w:val="en-GB"/>
        </w:rPr>
      </w:pPr>
    </w:p>
    <w:p w14:paraId="08890174" w14:textId="77777777" w:rsidR="0081674C" w:rsidRPr="006E28CD" w:rsidRDefault="0081674C" w:rsidP="0081674C">
      <w:pPr>
        <w:pStyle w:val="ExhibitText"/>
        <w:rPr>
          <w:lang w:val="en-GB"/>
        </w:rPr>
        <w:sectPr w:rsidR="0081674C" w:rsidRPr="006E28CD" w:rsidSect="00EB5410">
          <w:headerReference w:type="default" r:id="rId12"/>
          <w:endnotePr>
            <w:numFmt w:val="decimal"/>
          </w:endnotePr>
          <w:pgSz w:w="12240" w:h="15840"/>
          <w:pgMar w:top="1080" w:right="1440" w:bottom="1440" w:left="1440" w:header="1080" w:footer="720" w:gutter="0"/>
          <w:cols w:space="720"/>
          <w:titlePg/>
          <w:docGrid w:linePitch="360"/>
        </w:sectPr>
      </w:pPr>
    </w:p>
    <w:p w14:paraId="0B097E15" w14:textId="77777777" w:rsidR="0081674C" w:rsidRPr="006E28CD" w:rsidRDefault="0081674C" w:rsidP="0081674C">
      <w:pPr>
        <w:pStyle w:val="ExhibitText"/>
        <w:rPr>
          <w:lang w:val="en-GB"/>
        </w:rPr>
      </w:pPr>
      <w:r w:rsidRPr="006E28CD">
        <w:rPr>
          <w:lang w:val="en-GB"/>
        </w:rPr>
        <w:t xml:space="preserve">TAN SRI DATO’ LEE SHIN CHENG </w:t>
      </w:r>
    </w:p>
    <w:p w14:paraId="0636B54A" w14:textId="77777777" w:rsidR="0081674C" w:rsidRPr="006E28CD" w:rsidRDefault="0081674C" w:rsidP="0081674C">
      <w:pPr>
        <w:pStyle w:val="ExhibitText"/>
        <w:rPr>
          <w:lang w:val="en-GB"/>
        </w:rPr>
      </w:pPr>
      <w:r w:rsidRPr="006E28CD">
        <w:rPr>
          <w:lang w:val="en-GB"/>
        </w:rPr>
        <w:t xml:space="preserve">Executive Chairman, </w:t>
      </w:r>
    </w:p>
    <w:p w14:paraId="7BD57A32" w14:textId="77777777" w:rsidR="0081674C" w:rsidRPr="006E28CD" w:rsidRDefault="0081674C" w:rsidP="0081674C">
      <w:pPr>
        <w:pStyle w:val="ExhibitText"/>
        <w:rPr>
          <w:lang w:val="en-GB"/>
        </w:rPr>
      </w:pPr>
      <w:r w:rsidRPr="006E28CD">
        <w:rPr>
          <w:lang w:val="en-GB"/>
        </w:rPr>
        <w:t>Malaysian, Age 77, Male</w:t>
      </w:r>
    </w:p>
    <w:p w14:paraId="47BDD7B6" w14:textId="77777777" w:rsidR="0081674C" w:rsidRPr="006E28CD" w:rsidRDefault="0081674C" w:rsidP="0081674C">
      <w:pPr>
        <w:pStyle w:val="ExhibitText"/>
        <w:rPr>
          <w:lang w:val="en-GB"/>
        </w:rPr>
      </w:pPr>
    </w:p>
    <w:p w14:paraId="59092B38" w14:textId="77777777" w:rsidR="0081674C" w:rsidRPr="006E28CD" w:rsidRDefault="0081674C" w:rsidP="0081674C">
      <w:pPr>
        <w:pStyle w:val="ExhibitText"/>
        <w:rPr>
          <w:lang w:val="en-GB"/>
        </w:rPr>
      </w:pPr>
      <w:r w:rsidRPr="006E28CD">
        <w:rPr>
          <w:lang w:val="en-GB"/>
        </w:rPr>
        <w:t xml:space="preserve">DATO’ LEE YEOW CHOR </w:t>
      </w:r>
    </w:p>
    <w:p w14:paraId="4FCBF5D5" w14:textId="77777777" w:rsidR="0081674C" w:rsidRPr="006E28CD" w:rsidRDefault="0081674C" w:rsidP="0081674C">
      <w:pPr>
        <w:pStyle w:val="ExhibitText"/>
        <w:rPr>
          <w:lang w:val="en-GB"/>
        </w:rPr>
      </w:pPr>
      <w:r w:rsidRPr="006E28CD">
        <w:rPr>
          <w:lang w:val="en-GB"/>
        </w:rPr>
        <w:t xml:space="preserve">Chief Executive Officer, </w:t>
      </w:r>
    </w:p>
    <w:p w14:paraId="5EA2DB32" w14:textId="77777777" w:rsidR="0081674C" w:rsidRPr="006E28CD" w:rsidRDefault="0081674C" w:rsidP="0081674C">
      <w:pPr>
        <w:pStyle w:val="ExhibitText"/>
        <w:rPr>
          <w:lang w:val="en-GB"/>
        </w:rPr>
      </w:pPr>
      <w:r w:rsidRPr="006E28CD">
        <w:rPr>
          <w:lang w:val="en-GB"/>
        </w:rPr>
        <w:t>Malaysian, Age 50, Male</w:t>
      </w:r>
    </w:p>
    <w:p w14:paraId="28BFFFCE" w14:textId="77777777" w:rsidR="0081674C" w:rsidRPr="006E28CD" w:rsidRDefault="0081674C" w:rsidP="0081674C">
      <w:pPr>
        <w:pStyle w:val="ExhibitText"/>
        <w:rPr>
          <w:lang w:val="en-GB"/>
        </w:rPr>
      </w:pPr>
    </w:p>
    <w:p w14:paraId="68C5583A" w14:textId="77777777" w:rsidR="0081674C" w:rsidRPr="006E28CD" w:rsidRDefault="0081674C" w:rsidP="0081674C">
      <w:pPr>
        <w:pStyle w:val="ExhibitText"/>
        <w:rPr>
          <w:lang w:val="en-GB"/>
        </w:rPr>
      </w:pPr>
      <w:r w:rsidRPr="006E28CD">
        <w:rPr>
          <w:lang w:val="en-GB"/>
        </w:rPr>
        <w:t>LEE YEOW SENG</w:t>
      </w:r>
    </w:p>
    <w:p w14:paraId="75D69377" w14:textId="77777777" w:rsidR="0081674C" w:rsidRPr="006E28CD" w:rsidRDefault="0081674C" w:rsidP="0081674C">
      <w:pPr>
        <w:pStyle w:val="ExhibitText"/>
        <w:rPr>
          <w:lang w:val="en-GB"/>
        </w:rPr>
      </w:pPr>
      <w:r w:rsidRPr="006E28CD">
        <w:rPr>
          <w:lang w:val="en-GB"/>
        </w:rPr>
        <w:t xml:space="preserve">Non-Independent Non-Executive Director, </w:t>
      </w:r>
    </w:p>
    <w:p w14:paraId="43E439BC" w14:textId="77777777" w:rsidR="0081674C" w:rsidRPr="006E28CD" w:rsidRDefault="0081674C" w:rsidP="0081674C">
      <w:pPr>
        <w:pStyle w:val="ExhibitText"/>
        <w:rPr>
          <w:lang w:val="en-GB"/>
        </w:rPr>
      </w:pPr>
      <w:r w:rsidRPr="006E28CD">
        <w:rPr>
          <w:lang w:val="en-GB"/>
        </w:rPr>
        <w:t>Malaysian, Age 38, Male</w:t>
      </w:r>
    </w:p>
    <w:p w14:paraId="2587C4BB" w14:textId="77777777" w:rsidR="0081674C" w:rsidRPr="006E28CD" w:rsidRDefault="0081674C" w:rsidP="0081674C">
      <w:pPr>
        <w:pStyle w:val="ExhibitText"/>
        <w:rPr>
          <w:lang w:val="en-GB"/>
        </w:rPr>
      </w:pPr>
    </w:p>
    <w:p w14:paraId="6492EED5" w14:textId="77777777" w:rsidR="0081674C" w:rsidRPr="006E28CD" w:rsidRDefault="0081674C" w:rsidP="0081674C">
      <w:pPr>
        <w:pStyle w:val="ExhibitText"/>
        <w:rPr>
          <w:lang w:val="en-GB"/>
        </w:rPr>
      </w:pPr>
      <w:r w:rsidRPr="006E28CD">
        <w:rPr>
          <w:lang w:val="en-GB"/>
        </w:rPr>
        <w:t>LEE CHENG LEANG</w:t>
      </w:r>
    </w:p>
    <w:p w14:paraId="73E1445B" w14:textId="77777777" w:rsidR="0081674C" w:rsidRPr="006E28CD" w:rsidRDefault="0081674C" w:rsidP="0081674C">
      <w:pPr>
        <w:pStyle w:val="ExhibitText"/>
        <w:rPr>
          <w:lang w:val="en-GB"/>
        </w:rPr>
      </w:pPr>
      <w:r w:rsidRPr="006E28CD">
        <w:rPr>
          <w:lang w:val="en-GB"/>
        </w:rPr>
        <w:t xml:space="preserve">Executive Director, </w:t>
      </w:r>
    </w:p>
    <w:p w14:paraId="2408553D" w14:textId="77777777" w:rsidR="0081674C" w:rsidRPr="006E28CD" w:rsidRDefault="0081674C" w:rsidP="0081674C">
      <w:pPr>
        <w:pStyle w:val="ExhibitText"/>
        <w:rPr>
          <w:lang w:val="en-GB"/>
        </w:rPr>
      </w:pPr>
      <w:r w:rsidRPr="006E28CD">
        <w:rPr>
          <w:lang w:val="en-GB"/>
        </w:rPr>
        <w:t>Malaysian, Age 68, Male</w:t>
      </w:r>
    </w:p>
    <w:p w14:paraId="6EBADA80" w14:textId="77777777" w:rsidR="0081674C" w:rsidRPr="006E28CD" w:rsidRDefault="0081674C" w:rsidP="0081674C">
      <w:pPr>
        <w:pStyle w:val="ExhibitText"/>
        <w:rPr>
          <w:lang w:val="en-GB"/>
        </w:rPr>
      </w:pPr>
    </w:p>
    <w:p w14:paraId="115D5C6F" w14:textId="77777777" w:rsidR="0081674C" w:rsidRPr="006E28CD" w:rsidRDefault="0081674C" w:rsidP="0081674C">
      <w:pPr>
        <w:pStyle w:val="ExhibitText"/>
        <w:rPr>
          <w:lang w:val="en-GB"/>
        </w:rPr>
      </w:pPr>
      <w:r w:rsidRPr="006E28CD">
        <w:rPr>
          <w:lang w:val="en-GB"/>
        </w:rPr>
        <w:t xml:space="preserve">TAN SRI PETER CHIN FAH KUI </w:t>
      </w:r>
    </w:p>
    <w:p w14:paraId="45AFD295" w14:textId="77777777" w:rsidR="0081674C" w:rsidRPr="006E28CD" w:rsidRDefault="0081674C" w:rsidP="0081674C">
      <w:pPr>
        <w:pStyle w:val="ExhibitText"/>
        <w:rPr>
          <w:lang w:val="en-GB"/>
        </w:rPr>
      </w:pPr>
      <w:r w:rsidRPr="006E28CD">
        <w:rPr>
          <w:lang w:val="en-GB"/>
        </w:rPr>
        <w:t xml:space="preserve">Senior Independent Non-Executive Director, </w:t>
      </w:r>
    </w:p>
    <w:p w14:paraId="052E8A2E" w14:textId="77777777" w:rsidR="0081674C" w:rsidRPr="006E28CD" w:rsidRDefault="0081674C" w:rsidP="0081674C">
      <w:pPr>
        <w:pStyle w:val="ExhibitText"/>
        <w:rPr>
          <w:lang w:val="en-GB"/>
        </w:rPr>
      </w:pPr>
      <w:r w:rsidRPr="006E28CD">
        <w:rPr>
          <w:lang w:val="en-GB"/>
        </w:rPr>
        <w:t>Malaysian, Age 71, Male</w:t>
      </w:r>
    </w:p>
    <w:p w14:paraId="6577B756" w14:textId="77777777" w:rsidR="0081674C" w:rsidRPr="006E28CD" w:rsidRDefault="0081674C" w:rsidP="0081674C">
      <w:pPr>
        <w:pStyle w:val="ExhibitText"/>
        <w:rPr>
          <w:lang w:val="en-GB"/>
        </w:rPr>
      </w:pPr>
    </w:p>
    <w:p w14:paraId="3CC15A06" w14:textId="77777777" w:rsidR="0081674C" w:rsidRPr="006E28CD" w:rsidRDefault="0081674C" w:rsidP="0081674C">
      <w:pPr>
        <w:pStyle w:val="ExhibitText"/>
        <w:rPr>
          <w:lang w:val="en-GB"/>
        </w:rPr>
      </w:pPr>
      <w:r w:rsidRPr="006E28CD">
        <w:rPr>
          <w:lang w:val="en-GB"/>
        </w:rPr>
        <w:t xml:space="preserve">DATUK KAROWNAKARAN @ KARUNAKARAN A/L RAMASAMY </w:t>
      </w:r>
    </w:p>
    <w:p w14:paraId="60A774B7" w14:textId="77777777" w:rsidR="0081674C" w:rsidRPr="006E28CD" w:rsidRDefault="0081674C" w:rsidP="0081674C">
      <w:pPr>
        <w:pStyle w:val="ExhibitText"/>
        <w:rPr>
          <w:lang w:val="en-GB"/>
        </w:rPr>
      </w:pPr>
      <w:r w:rsidRPr="006E28CD">
        <w:rPr>
          <w:lang w:val="en-GB"/>
        </w:rPr>
        <w:t xml:space="preserve">Independent Non-Executive Director, </w:t>
      </w:r>
    </w:p>
    <w:p w14:paraId="133576D6" w14:textId="77777777" w:rsidR="0081674C" w:rsidRPr="006E28CD" w:rsidRDefault="0081674C" w:rsidP="0081674C">
      <w:pPr>
        <w:pStyle w:val="ExhibitText"/>
        <w:rPr>
          <w:lang w:val="en-GB"/>
        </w:rPr>
      </w:pPr>
      <w:r w:rsidRPr="006E28CD">
        <w:rPr>
          <w:lang w:val="en-GB"/>
        </w:rPr>
        <w:t>Malaysian, Age 66, Male</w:t>
      </w:r>
    </w:p>
    <w:p w14:paraId="051CA7DE" w14:textId="77777777" w:rsidR="0081674C" w:rsidRPr="006E28CD" w:rsidRDefault="0081674C" w:rsidP="0081674C">
      <w:pPr>
        <w:pStyle w:val="ExhibitText"/>
        <w:rPr>
          <w:lang w:val="en-GB"/>
        </w:rPr>
      </w:pPr>
    </w:p>
    <w:p w14:paraId="3760A500" w14:textId="77777777" w:rsidR="0081674C" w:rsidRPr="006E28CD" w:rsidRDefault="0081674C" w:rsidP="0081674C">
      <w:pPr>
        <w:pStyle w:val="ExhibitText"/>
        <w:rPr>
          <w:lang w:val="en-GB"/>
        </w:rPr>
      </w:pPr>
      <w:r w:rsidRPr="006E28CD">
        <w:rPr>
          <w:lang w:val="en-GB"/>
        </w:rPr>
        <w:t>CHEAH TEK KUANG</w:t>
      </w:r>
    </w:p>
    <w:p w14:paraId="11A6B111" w14:textId="77777777" w:rsidR="0081674C" w:rsidRPr="006E28CD" w:rsidRDefault="0081674C" w:rsidP="0081674C">
      <w:pPr>
        <w:pStyle w:val="ExhibitText"/>
        <w:rPr>
          <w:lang w:val="en-GB"/>
        </w:rPr>
      </w:pPr>
      <w:r w:rsidRPr="006E28CD">
        <w:rPr>
          <w:lang w:val="en-GB"/>
        </w:rPr>
        <w:t xml:space="preserve">Independent Non-Executive Director, </w:t>
      </w:r>
    </w:p>
    <w:p w14:paraId="42E39844" w14:textId="77777777" w:rsidR="0081674C" w:rsidRPr="006E28CD" w:rsidRDefault="0081674C" w:rsidP="0081674C">
      <w:pPr>
        <w:pStyle w:val="ExhibitText"/>
        <w:rPr>
          <w:lang w:val="en-GB"/>
        </w:rPr>
      </w:pPr>
      <w:r w:rsidRPr="006E28CD">
        <w:rPr>
          <w:lang w:val="en-GB"/>
        </w:rPr>
        <w:t>Malaysian, Age 69, Male</w:t>
      </w:r>
    </w:p>
    <w:p w14:paraId="3055404C" w14:textId="77777777" w:rsidR="0081674C" w:rsidRPr="006E28CD" w:rsidRDefault="0081674C" w:rsidP="0081674C">
      <w:pPr>
        <w:pStyle w:val="ExhibitText"/>
        <w:rPr>
          <w:lang w:val="en-GB"/>
        </w:rPr>
      </w:pPr>
    </w:p>
    <w:p w14:paraId="5190640C" w14:textId="77777777" w:rsidR="0081674C" w:rsidRPr="006E28CD" w:rsidRDefault="0081674C" w:rsidP="0081674C">
      <w:pPr>
        <w:pStyle w:val="ExhibitText"/>
        <w:rPr>
          <w:lang w:val="en-GB"/>
        </w:rPr>
      </w:pPr>
      <w:r w:rsidRPr="006E28CD">
        <w:rPr>
          <w:lang w:val="en-GB"/>
        </w:rPr>
        <w:t>LIM TUANG OOI</w:t>
      </w:r>
    </w:p>
    <w:p w14:paraId="2B5B024B" w14:textId="5514DBE7" w:rsidR="0081674C" w:rsidRPr="006E28CD" w:rsidRDefault="0081674C" w:rsidP="0081674C">
      <w:pPr>
        <w:pStyle w:val="ExhibitText"/>
        <w:rPr>
          <w:lang w:val="en-GB"/>
        </w:rPr>
      </w:pPr>
      <w:r w:rsidRPr="006E28CD">
        <w:rPr>
          <w:lang w:val="en-GB"/>
        </w:rPr>
        <w:t xml:space="preserve">Non-Independent Non-Executive Director, </w:t>
      </w:r>
    </w:p>
    <w:p w14:paraId="5D73BA3B" w14:textId="77777777" w:rsidR="0081674C" w:rsidRPr="006E28CD" w:rsidRDefault="0081674C" w:rsidP="0081674C">
      <w:pPr>
        <w:pStyle w:val="ExhibitText"/>
        <w:rPr>
          <w:lang w:val="en-GB"/>
        </w:rPr>
      </w:pPr>
      <w:r w:rsidRPr="006E28CD">
        <w:rPr>
          <w:lang w:val="en-GB"/>
        </w:rPr>
        <w:t>Malaysian, Age 54, Male</w:t>
      </w:r>
    </w:p>
    <w:p w14:paraId="3BBC521C" w14:textId="77777777" w:rsidR="0081674C" w:rsidRPr="006E28CD" w:rsidRDefault="0081674C" w:rsidP="0081674C">
      <w:pPr>
        <w:rPr>
          <w:lang w:val="en-GB"/>
        </w:rPr>
        <w:sectPr w:rsidR="0081674C" w:rsidRPr="006E28CD" w:rsidSect="0081674C">
          <w:endnotePr>
            <w:numFmt w:val="decimal"/>
          </w:endnotePr>
          <w:type w:val="continuous"/>
          <w:pgSz w:w="12240" w:h="15840"/>
          <w:pgMar w:top="1080" w:right="1440" w:bottom="1440" w:left="1440" w:header="1080" w:footer="720" w:gutter="0"/>
          <w:cols w:num="2" w:space="720"/>
          <w:titlePg/>
          <w:docGrid w:linePitch="360"/>
        </w:sectPr>
      </w:pPr>
    </w:p>
    <w:p w14:paraId="42A6CC7F" w14:textId="7D20CB41" w:rsidR="0081674C" w:rsidRPr="006E28CD" w:rsidRDefault="0081674C" w:rsidP="0081674C">
      <w:pPr>
        <w:rPr>
          <w:lang w:val="en-GB"/>
        </w:rPr>
      </w:pPr>
    </w:p>
    <w:p w14:paraId="13FFF330" w14:textId="6E2269A2" w:rsidR="0081674C" w:rsidRPr="006E28CD" w:rsidRDefault="0081674C" w:rsidP="0081674C">
      <w:pPr>
        <w:rPr>
          <w:lang w:val="en-GB"/>
        </w:rPr>
      </w:pPr>
    </w:p>
    <w:p w14:paraId="5D21441D" w14:textId="3396D5E9" w:rsidR="0081674C" w:rsidRPr="006E28CD" w:rsidRDefault="0081674C">
      <w:pPr>
        <w:spacing w:after="200" w:line="276" w:lineRule="auto"/>
        <w:rPr>
          <w:rFonts w:ascii="Arial" w:hAnsi="Arial" w:cs="Arial"/>
          <w:b/>
          <w:lang w:val="en-GB"/>
        </w:rPr>
      </w:pPr>
      <w:r w:rsidRPr="006E28CD">
        <w:rPr>
          <w:lang w:val="en-GB"/>
        </w:rPr>
        <w:br w:type="page"/>
      </w:r>
    </w:p>
    <w:p w14:paraId="603EF7E8" w14:textId="560FA7F5" w:rsidR="0081674C" w:rsidRPr="006E28CD" w:rsidRDefault="0081674C" w:rsidP="0081674C">
      <w:pPr>
        <w:pStyle w:val="ExhibitHeading"/>
        <w:rPr>
          <w:lang w:val="en-GB"/>
        </w:rPr>
      </w:pPr>
      <w:r w:rsidRPr="006E28CD">
        <w:rPr>
          <w:lang w:val="en-GB"/>
        </w:rPr>
        <w:lastRenderedPageBreak/>
        <w:t>Exhibit 2 (continued)</w:t>
      </w:r>
    </w:p>
    <w:p w14:paraId="6AB96448" w14:textId="77777777" w:rsidR="00343BFE" w:rsidRPr="006E28CD" w:rsidRDefault="00343BFE" w:rsidP="0081674C">
      <w:pPr>
        <w:pStyle w:val="ExhibitHeading"/>
        <w:rPr>
          <w:lang w:val="en-GB"/>
        </w:rPr>
      </w:pPr>
    </w:p>
    <w:p w14:paraId="654918A9" w14:textId="77777777" w:rsidR="00343BFE" w:rsidRPr="006E28CD" w:rsidRDefault="00343BFE" w:rsidP="00343BFE">
      <w:pPr>
        <w:pStyle w:val="Casehead2"/>
        <w:rPr>
          <w:lang w:val="en-GB"/>
        </w:rPr>
      </w:pPr>
      <w:r w:rsidRPr="006E28CD">
        <w:rPr>
          <w:lang w:val="en-GB"/>
        </w:rPr>
        <w:t>Senior Management Team</w:t>
      </w:r>
    </w:p>
    <w:p w14:paraId="40440AEC" w14:textId="77777777" w:rsidR="00343BFE" w:rsidRPr="006E28CD" w:rsidRDefault="00343BFE" w:rsidP="0081674C">
      <w:pPr>
        <w:pStyle w:val="ExhibitHeading"/>
        <w:rPr>
          <w:lang w:val="en-GB"/>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75"/>
        <w:gridCol w:w="4675"/>
      </w:tblGrid>
      <w:tr w:rsidR="00343BFE" w:rsidRPr="006E28CD" w14:paraId="2133886E" w14:textId="77777777" w:rsidTr="00343BFE">
        <w:tc>
          <w:tcPr>
            <w:tcW w:w="4675" w:type="dxa"/>
          </w:tcPr>
          <w:p w14:paraId="0D63DF6C" w14:textId="6FBF6667" w:rsidR="00343BFE" w:rsidRPr="006E28CD" w:rsidRDefault="00343BFE" w:rsidP="00D65FC4">
            <w:pPr>
              <w:pStyle w:val="ExhibitText"/>
              <w:ind w:left="-108"/>
              <w:rPr>
                <w:lang w:val="en-GB"/>
              </w:rPr>
            </w:pPr>
            <w:r w:rsidRPr="006E28CD">
              <w:rPr>
                <w:lang w:val="en-GB"/>
              </w:rPr>
              <w:t xml:space="preserve">Executive Chairman: Tan Sri </w:t>
            </w:r>
            <w:proofErr w:type="spellStart"/>
            <w:r w:rsidRPr="006E28CD">
              <w:rPr>
                <w:lang w:val="en-GB"/>
              </w:rPr>
              <w:t>Dato</w:t>
            </w:r>
            <w:proofErr w:type="spellEnd"/>
            <w:r w:rsidRPr="006E28CD">
              <w:rPr>
                <w:lang w:val="en-GB"/>
              </w:rPr>
              <w:t>’ Lee Shin Cheng</w:t>
            </w:r>
          </w:p>
          <w:p w14:paraId="4B7EE3FD" w14:textId="77777777" w:rsidR="00343BFE" w:rsidRPr="006E28CD" w:rsidRDefault="00343BFE" w:rsidP="00D65FC4">
            <w:pPr>
              <w:pStyle w:val="ExhibitText"/>
              <w:ind w:left="-108"/>
              <w:rPr>
                <w:lang w:val="en-GB"/>
              </w:rPr>
            </w:pPr>
            <w:r w:rsidRPr="006E28CD">
              <w:rPr>
                <w:lang w:val="en-GB"/>
              </w:rPr>
              <w:t xml:space="preserve">Chief Executive Officer: </w:t>
            </w:r>
            <w:proofErr w:type="spellStart"/>
            <w:r w:rsidRPr="006E28CD">
              <w:rPr>
                <w:lang w:val="en-GB"/>
              </w:rPr>
              <w:t>Dato</w:t>
            </w:r>
            <w:proofErr w:type="spellEnd"/>
            <w:r w:rsidRPr="006E28CD">
              <w:rPr>
                <w:lang w:val="en-GB"/>
              </w:rPr>
              <w:t xml:space="preserve">’ Lee </w:t>
            </w:r>
            <w:proofErr w:type="spellStart"/>
            <w:r w:rsidRPr="006E28CD">
              <w:rPr>
                <w:lang w:val="en-GB"/>
              </w:rPr>
              <w:t>Yeow</w:t>
            </w:r>
            <w:proofErr w:type="spellEnd"/>
            <w:r w:rsidRPr="006E28CD">
              <w:rPr>
                <w:lang w:val="en-GB"/>
              </w:rPr>
              <w:t xml:space="preserve"> </w:t>
            </w:r>
            <w:proofErr w:type="spellStart"/>
            <w:r w:rsidRPr="006E28CD">
              <w:rPr>
                <w:lang w:val="en-GB"/>
              </w:rPr>
              <w:t>Chor</w:t>
            </w:r>
            <w:proofErr w:type="spellEnd"/>
          </w:p>
          <w:p w14:paraId="5DFD2BC3" w14:textId="77777777" w:rsidR="00343BFE" w:rsidRPr="006E28CD" w:rsidRDefault="00343BFE" w:rsidP="00D65FC4">
            <w:pPr>
              <w:pStyle w:val="ExhibitText"/>
              <w:ind w:left="-108"/>
              <w:rPr>
                <w:lang w:val="en-GB"/>
              </w:rPr>
            </w:pPr>
            <w:r w:rsidRPr="006E28CD">
              <w:rPr>
                <w:lang w:val="en-GB"/>
              </w:rPr>
              <w:t xml:space="preserve">Executive Director: Lee Cheng </w:t>
            </w:r>
            <w:proofErr w:type="spellStart"/>
            <w:r w:rsidRPr="006E28CD">
              <w:rPr>
                <w:lang w:val="en-GB"/>
              </w:rPr>
              <w:t>Leang</w:t>
            </w:r>
            <w:proofErr w:type="spellEnd"/>
          </w:p>
          <w:p w14:paraId="5484C349" w14:textId="77777777" w:rsidR="00343BFE" w:rsidRPr="006E28CD" w:rsidRDefault="00343BFE" w:rsidP="00D65FC4">
            <w:pPr>
              <w:pStyle w:val="ExhibitText"/>
              <w:ind w:left="-108"/>
              <w:rPr>
                <w:lang w:val="en-GB"/>
              </w:rPr>
            </w:pPr>
          </w:p>
          <w:p w14:paraId="0444B37F" w14:textId="77777777" w:rsidR="00343BFE" w:rsidRPr="006E28CD" w:rsidRDefault="00343BFE" w:rsidP="00D65FC4">
            <w:pPr>
              <w:pStyle w:val="ExhibitText"/>
              <w:ind w:left="-108"/>
              <w:rPr>
                <w:b/>
                <w:lang w:val="en-GB"/>
              </w:rPr>
            </w:pPr>
            <w:r w:rsidRPr="006E28CD">
              <w:rPr>
                <w:b/>
                <w:lang w:val="en-GB"/>
              </w:rPr>
              <w:t>CORPORATE</w:t>
            </w:r>
          </w:p>
          <w:p w14:paraId="5AA6B8CC" w14:textId="77777777" w:rsidR="00343BFE" w:rsidRPr="006E28CD" w:rsidRDefault="00343BFE" w:rsidP="00D65FC4">
            <w:pPr>
              <w:pStyle w:val="ExhibitText"/>
              <w:ind w:left="-108"/>
              <w:rPr>
                <w:lang w:val="en-GB"/>
              </w:rPr>
            </w:pPr>
            <w:r w:rsidRPr="006E28CD">
              <w:rPr>
                <w:lang w:val="en-GB"/>
              </w:rPr>
              <w:t>Chief Financial Officer: Kevin Wong Tack Wee</w:t>
            </w:r>
          </w:p>
          <w:p w14:paraId="490C43A6" w14:textId="77777777" w:rsidR="00343BFE" w:rsidRPr="006E28CD" w:rsidRDefault="00343BFE" w:rsidP="00D65FC4">
            <w:pPr>
              <w:pStyle w:val="ExhibitText"/>
              <w:ind w:left="-108"/>
              <w:rPr>
                <w:lang w:val="en-GB"/>
              </w:rPr>
            </w:pPr>
            <w:r w:rsidRPr="006E28CD">
              <w:rPr>
                <w:lang w:val="en-GB"/>
              </w:rPr>
              <w:t xml:space="preserve">Group Legal Counsel: Farah </w:t>
            </w:r>
            <w:proofErr w:type="spellStart"/>
            <w:r w:rsidRPr="006E28CD">
              <w:rPr>
                <w:lang w:val="en-GB"/>
              </w:rPr>
              <w:t>Suhanah</w:t>
            </w:r>
            <w:proofErr w:type="spellEnd"/>
            <w:r w:rsidRPr="006E28CD">
              <w:rPr>
                <w:lang w:val="en-GB"/>
              </w:rPr>
              <w:t xml:space="preserve"> Ahmad </w:t>
            </w:r>
            <w:proofErr w:type="spellStart"/>
            <w:r w:rsidRPr="006E28CD">
              <w:rPr>
                <w:lang w:val="en-GB"/>
              </w:rPr>
              <w:t>Sarji</w:t>
            </w:r>
            <w:proofErr w:type="spellEnd"/>
          </w:p>
          <w:p w14:paraId="768C1377" w14:textId="12588ED3" w:rsidR="00343BFE" w:rsidRPr="006E28CD" w:rsidRDefault="00343BFE" w:rsidP="00D65FC4">
            <w:pPr>
              <w:pStyle w:val="ExhibitText"/>
              <w:ind w:left="-108"/>
              <w:rPr>
                <w:lang w:val="en-GB"/>
              </w:rPr>
            </w:pPr>
            <w:r w:rsidRPr="006E28CD">
              <w:rPr>
                <w:lang w:val="en-GB"/>
              </w:rPr>
              <w:t xml:space="preserve">Group Head of Sustainability: </w:t>
            </w:r>
            <w:proofErr w:type="spellStart"/>
            <w:r w:rsidRPr="006E28CD">
              <w:rPr>
                <w:lang w:val="en-GB"/>
              </w:rPr>
              <w:t>Dr</w:t>
            </w:r>
            <w:r w:rsidR="007D0044" w:rsidRPr="006E28CD">
              <w:rPr>
                <w:lang w:val="en-GB"/>
              </w:rPr>
              <w:t>.</w:t>
            </w:r>
            <w:proofErr w:type="spellEnd"/>
            <w:r w:rsidRPr="006E28CD">
              <w:rPr>
                <w:lang w:val="en-GB"/>
              </w:rPr>
              <w:t xml:space="preserve"> </w:t>
            </w:r>
            <w:proofErr w:type="spellStart"/>
            <w:r w:rsidRPr="006E28CD">
              <w:rPr>
                <w:lang w:val="en-GB"/>
              </w:rPr>
              <w:t>Surina</w:t>
            </w:r>
            <w:proofErr w:type="spellEnd"/>
            <w:r w:rsidRPr="006E28CD">
              <w:rPr>
                <w:lang w:val="en-GB"/>
              </w:rPr>
              <w:t xml:space="preserve"> </w:t>
            </w:r>
            <w:proofErr w:type="spellStart"/>
            <w:r w:rsidR="007D0044" w:rsidRPr="006E28CD">
              <w:rPr>
                <w:lang w:val="en-GB"/>
              </w:rPr>
              <w:t>Binti</w:t>
            </w:r>
            <w:proofErr w:type="spellEnd"/>
            <w:r w:rsidR="007D0044" w:rsidRPr="006E28CD">
              <w:rPr>
                <w:lang w:val="en-GB"/>
              </w:rPr>
              <w:t xml:space="preserve"> </w:t>
            </w:r>
            <w:r w:rsidRPr="006E28CD">
              <w:rPr>
                <w:lang w:val="en-GB"/>
              </w:rPr>
              <w:t>Ismail</w:t>
            </w:r>
          </w:p>
          <w:p w14:paraId="76D3A61A" w14:textId="77777777" w:rsidR="00343BFE" w:rsidRPr="006E28CD" w:rsidRDefault="00343BFE" w:rsidP="00D65FC4">
            <w:pPr>
              <w:pStyle w:val="ExhibitText"/>
              <w:ind w:left="-108"/>
              <w:rPr>
                <w:lang w:val="en-GB"/>
              </w:rPr>
            </w:pPr>
            <w:r w:rsidRPr="006E28CD">
              <w:rPr>
                <w:lang w:val="en-GB"/>
              </w:rPr>
              <w:t xml:space="preserve">Chartered Secretary: Vincent Tan </w:t>
            </w:r>
            <w:proofErr w:type="spellStart"/>
            <w:r w:rsidRPr="006E28CD">
              <w:rPr>
                <w:lang w:val="en-GB"/>
              </w:rPr>
              <w:t>Choong</w:t>
            </w:r>
            <w:proofErr w:type="spellEnd"/>
            <w:r w:rsidRPr="006E28CD">
              <w:rPr>
                <w:lang w:val="en-GB"/>
              </w:rPr>
              <w:t xml:space="preserve"> </w:t>
            </w:r>
            <w:proofErr w:type="spellStart"/>
            <w:r w:rsidRPr="006E28CD">
              <w:rPr>
                <w:lang w:val="en-GB"/>
              </w:rPr>
              <w:t>Khiang</w:t>
            </w:r>
            <w:proofErr w:type="spellEnd"/>
          </w:p>
          <w:p w14:paraId="3098269D" w14:textId="77777777" w:rsidR="00343BFE" w:rsidRPr="006E28CD" w:rsidRDefault="00343BFE" w:rsidP="00D65FC4">
            <w:pPr>
              <w:pStyle w:val="ExhibitText"/>
              <w:ind w:left="-108"/>
              <w:rPr>
                <w:lang w:val="en-GB"/>
              </w:rPr>
            </w:pPr>
          </w:p>
          <w:p w14:paraId="580E0F8E" w14:textId="77777777" w:rsidR="00343BFE" w:rsidRPr="006E28CD" w:rsidRDefault="00343BFE" w:rsidP="00D65FC4">
            <w:pPr>
              <w:pStyle w:val="ExhibitText"/>
              <w:ind w:left="-108"/>
              <w:rPr>
                <w:b/>
                <w:lang w:val="en-GB"/>
              </w:rPr>
            </w:pPr>
            <w:r w:rsidRPr="006E28CD">
              <w:rPr>
                <w:b/>
                <w:lang w:val="en-GB"/>
              </w:rPr>
              <w:t>PLANTATION</w:t>
            </w:r>
          </w:p>
          <w:p w14:paraId="2E778F1B" w14:textId="77777777" w:rsidR="00343BFE" w:rsidRPr="006E28CD" w:rsidRDefault="00343BFE" w:rsidP="00D65FC4">
            <w:pPr>
              <w:pStyle w:val="ExhibitText"/>
              <w:ind w:left="-108"/>
              <w:rPr>
                <w:lang w:val="en-GB"/>
              </w:rPr>
            </w:pPr>
            <w:r w:rsidRPr="006E28CD">
              <w:rPr>
                <w:lang w:val="en-GB"/>
              </w:rPr>
              <w:t xml:space="preserve">Senior General Manager: </w:t>
            </w:r>
            <w:proofErr w:type="spellStart"/>
            <w:r w:rsidRPr="006E28CD">
              <w:rPr>
                <w:lang w:val="en-GB"/>
              </w:rPr>
              <w:t>Sudhakaran</w:t>
            </w:r>
            <w:proofErr w:type="spellEnd"/>
            <w:r w:rsidRPr="006E28CD">
              <w:rPr>
                <w:lang w:val="en-GB"/>
              </w:rPr>
              <w:t xml:space="preserve"> a/l </w:t>
            </w:r>
            <w:proofErr w:type="spellStart"/>
            <w:r w:rsidRPr="006E28CD">
              <w:rPr>
                <w:lang w:val="en-GB"/>
              </w:rPr>
              <w:t>Nottath</w:t>
            </w:r>
            <w:proofErr w:type="spellEnd"/>
            <w:r w:rsidRPr="006E28CD">
              <w:rPr>
                <w:lang w:val="en-GB"/>
              </w:rPr>
              <w:t xml:space="preserve"> </w:t>
            </w:r>
            <w:proofErr w:type="spellStart"/>
            <w:r w:rsidRPr="006E28CD">
              <w:rPr>
                <w:lang w:val="en-GB"/>
              </w:rPr>
              <w:t>Bhaskaran</w:t>
            </w:r>
            <w:proofErr w:type="spellEnd"/>
          </w:p>
          <w:p w14:paraId="3BB9D474" w14:textId="77777777" w:rsidR="00343BFE" w:rsidRPr="006E28CD" w:rsidRDefault="00343BFE" w:rsidP="00D65FC4">
            <w:pPr>
              <w:pStyle w:val="ExhibitText"/>
              <w:ind w:left="-108"/>
              <w:rPr>
                <w:lang w:val="en-GB"/>
              </w:rPr>
            </w:pPr>
            <w:r w:rsidRPr="006E28CD">
              <w:rPr>
                <w:lang w:val="en-GB"/>
              </w:rPr>
              <w:t xml:space="preserve">General Manager, </w:t>
            </w:r>
            <w:proofErr w:type="spellStart"/>
            <w:r w:rsidRPr="006E28CD">
              <w:rPr>
                <w:lang w:val="en-GB"/>
              </w:rPr>
              <w:t>Lahad</w:t>
            </w:r>
            <w:proofErr w:type="spellEnd"/>
            <w:r w:rsidRPr="006E28CD">
              <w:rPr>
                <w:lang w:val="en-GB"/>
              </w:rPr>
              <w:t xml:space="preserve"> </w:t>
            </w:r>
            <w:proofErr w:type="spellStart"/>
            <w:r w:rsidRPr="006E28CD">
              <w:rPr>
                <w:lang w:val="en-GB"/>
              </w:rPr>
              <w:t>Datu</w:t>
            </w:r>
            <w:proofErr w:type="spellEnd"/>
            <w:r w:rsidRPr="006E28CD">
              <w:rPr>
                <w:lang w:val="en-GB"/>
              </w:rPr>
              <w:t xml:space="preserve">: </w:t>
            </w:r>
            <w:proofErr w:type="spellStart"/>
            <w:r w:rsidRPr="006E28CD">
              <w:rPr>
                <w:lang w:val="en-GB"/>
              </w:rPr>
              <w:t>Ragupathy</w:t>
            </w:r>
            <w:proofErr w:type="spellEnd"/>
            <w:r w:rsidRPr="006E28CD">
              <w:rPr>
                <w:lang w:val="en-GB"/>
              </w:rPr>
              <w:t xml:space="preserve"> a/l Selvaraj</w:t>
            </w:r>
          </w:p>
          <w:p w14:paraId="63183138" w14:textId="77777777" w:rsidR="00343BFE" w:rsidRPr="006E28CD" w:rsidRDefault="00343BFE" w:rsidP="00D65FC4">
            <w:pPr>
              <w:pStyle w:val="ExhibitText"/>
              <w:ind w:left="-108"/>
              <w:rPr>
                <w:lang w:val="en-GB"/>
              </w:rPr>
            </w:pPr>
            <w:r w:rsidRPr="006E28CD">
              <w:rPr>
                <w:lang w:val="en-GB"/>
              </w:rPr>
              <w:t>General Manager, Indonesia: Goh Hock Sin</w:t>
            </w:r>
          </w:p>
          <w:p w14:paraId="32250B55" w14:textId="77777777" w:rsidR="00343BFE" w:rsidRPr="006E28CD" w:rsidRDefault="00343BFE" w:rsidP="00D65FC4">
            <w:pPr>
              <w:pStyle w:val="ExhibitText"/>
              <w:ind w:left="-108"/>
              <w:rPr>
                <w:b/>
                <w:lang w:val="en-GB"/>
              </w:rPr>
            </w:pPr>
          </w:p>
          <w:p w14:paraId="52309B7D" w14:textId="77777777" w:rsidR="00343BFE" w:rsidRPr="006E28CD" w:rsidRDefault="00343BFE" w:rsidP="00D65FC4">
            <w:pPr>
              <w:pStyle w:val="ExhibitText"/>
              <w:ind w:left="-108"/>
              <w:rPr>
                <w:b/>
                <w:lang w:val="en-GB"/>
              </w:rPr>
            </w:pPr>
            <w:r w:rsidRPr="006E28CD">
              <w:rPr>
                <w:b/>
                <w:lang w:val="en-GB"/>
              </w:rPr>
              <w:t>COMMODITIES MARKETING</w:t>
            </w:r>
          </w:p>
          <w:p w14:paraId="2DC9DB8F" w14:textId="77777777" w:rsidR="00343BFE" w:rsidRPr="006E28CD" w:rsidRDefault="00343BFE" w:rsidP="00D65FC4">
            <w:pPr>
              <w:pStyle w:val="ExhibitText"/>
              <w:ind w:left="-108"/>
              <w:rPr>
                <w:lang w:val="en-GB"/>
              </w:rPr>
            </w:pPr>
            <w:r w:rsidRPr="006E28CD">
              <w:rPr>
                <w:lang w:val="en-GB"/>
              </w:rPr>
              <w:t xml:space="preserve">General Manager, Commodities Marketing: Lim Jit </w:t>
            </w:r>
            <w:proofErr w:type="spellStart"/>
            <w:r w:rsidRPr="006E28CD">
              <w:rPr>
                <w:lang w:val="en-GB"/>
              </w:rPr>
              <w:t>Uei</w:t>
            </w:r>
            <w:proofErr w:type="spellEnd"/>
          </w:p>
        </w:tc>
        <w:tc>
          <w:tcPr>
            <w:tcW w:w="4675" w:type="dxa"/>
          </w:tcPr>
          <w:p w14:paraId="33F8CBED" w14:textId="77777777" w:rsidR="00343BFE" w:rsidRPr="006E28CD" w:rsidRDefault="00343BFE" w:rsidP="009F3950">
            <w:pPr>
              <w:pStyle w:val="ExhibitText"/>
              <w:ind w:left="257"/>
              <w:rPr>
                <w:b/>
                <w:lang w:val="en-GB"/>
              </w:rPr>
            </w:pPr>
            <w:r w:rsidRPr="006E28CD">
              <w:rPr>
                <w:b/>
                <w:lang w:val="en-GB"/>
              </w:rPr>
              <w:t>REFINERY</w:t>
            </w:r>
          </w:p>
          <w:p w14:paraId="6AB407CE" w14:textId="77777777" w:rsidR="00343BFE" w:rsidRPr="006E28CD" w:rsidRDefault="00343BFE" w:rsidP="009F3950">
            <w:pPr>
              <w:pStyle w:val="ExhibitText"/>
              <w:ind w:left="257"/>
              <w:rPr>
                <w:lang w:val="en-GB"/>
              </w:rPr>
            </w:pPr>
            <w:r w:rsidRPr="006E28CD">
              <w:rPr>
                <w:lang w:val="en-GB"/>
              </w:rPr>
              <w:t xml:space="preserve">General Manager: </w:t>
            </w:r>
            <w:proofErr w:type="spellStart"/>
            <w:r w:rsidRPr="006E28CD">
              <w:rPr>
                <w:lang w:val="en-GB"/>
              </w:rPr>
              <w:t>Shyam</w:t>
            </w:r>
            <w:proofErr w:type="spellEnd"/>
            <w:r w:rsidRPr="006E28CD">
              <w:rPr>
                <w:lang w:val="en-GB"/>
              </w:rPr>
              <w:t xml:space="preserve"> a/l M. K. </w:t>
            </w:r>
            <w:proofErr w:type="spellStart"/>
            <w:r w:rsidRPr="006E28CD">
              <w:rPr>
                <w:lang w:val="en-GB"/>
              </w:rPr>
              <w:t>Lakshmanan</w:t>
            </w:r>
            <w:proofErr w:type="spellEnd"/>
          </w:p>
          <w:p w14:paraId="179C5955" w14:textId="77777777" w:rsidR="00343BFE" w:rsidRPr="006E28CD" w:rsidRDefault="00343BFE" w:rsidP="009F3950">
            <w:pPr>
              <w:pStyle w:val="ExhibitText"/>
              <w:ind w:left="257"/>
              <w:rPr>
                <w:lang w:val="en-GB"/>
              </w:rPr>
            </w:pPr>
          </w:p>
          <w:p w14:paraId="641BD024" w14:textId="77777777" w:rsidR="00343BFE" w:rsidRPr="006E28CD" w:rsidRDefault="00343BFE" w:rsidP="009F3950">
            <w:pPr>
              <w:pStyle w:val="ExhibitText"/>
              <w:ind w:left="257"/>
              <w:rPr>
                <w:b/>
                <w:lang w:val="en-GB"/>
              </w:rPr>
            </w:pPr>
            <w:r w:rsidRPr="006E28CD">
              <w:rPr>
                <w:b/>
                <w:lang w:val="en-GB"/>
              </w:rPr>
              <w:t>OLEOCHEMICALS</w:t>
            </w:r>
          </w:p>
          <w:p w14:paraId="1A0CF31C" w14:textId="77777777" w:rsidR="00343BFE" w:rsidRPr="006E28CD" w:rsidRDefault="00343BFE" w:rsidP="009F3950">
            <w:pPr>
              <w:pStyle w:val="ExhibitText"/>
              <w:ind w:left="257"/>
              <w:rPr>
                <w:lang w:val="en-GB"/>
              </w:rPr>
            </w:pPr>
            <w:r w:rsidRPr="006E28CD">
              <w:rPr>
                <w:lang w:val="en-GB"/>
              </w:rPr>
              <w:t>Executive Director: Tan Kean Hua</w:t>
            </w:r>
          </w:p>
          <w:p w14:paraId="7DD74093" w14:textId="77777777" w:rsidR="00343BFE" w:rsidRPr="006E28CD" w:rsidRDefault="00343BFE" w:rsidP="009F3950">
            <w:pPr>
              <w:pStyle w:val="ExhibitText"/>
              <w:ind w:left="257"/>
              <w:rPr>
                <w:lang w:val="en-GB"/>
              </w:rPr>
            </w:pPr>
            <w:r w:rsidRPr="006E28CD">
              <w:rPr>
                <w:lang w:val="en-GB"/>
              </w:rPr>
              <w:t xml:space="preserve">Chief Operating Officer, Johor: </w:t>
            </w:r>
            <w:proofErr w:type="spellStart"/>
            <w:r w:rsidRPr="006E28CD">
              <w:rPr>
                <w:lang w:val="en-GB"/>
              </w:rPr>
              <w:t>Gurdev</w:t>
            </w:r>
            <w:proofErr w:type="spellEnd"/>
            <w:r w:rsidRPr="006E28CD">
              <w:rPr>
                <w:lang w:val="en-GB"/>
              </w:rPr>
              <w:t xml:space="preserve"> Singh a/l </w:t>
            </w:r>
            <w:proofErr w:type="spellStart"/>
            <w:r w:rsidRPr="006E28CD">
              <w:rPr>
                <w:lang w:val="en-GB"/>
              </w:rPr>
              <w:t>Darshan</w:t>
            </w:r>
            <w:proofErr w:type="spellEnd"/>
            <w:r w:rsidRPr="006E28CD">
              <w:rPr>
                <w:lang w:val="en-GB"/>
              </w:rPr>
              <w:t xml:space="preserve"> Singh</w:t>
            </w:r>
          </w:p>
          <w:p w14:paraId="45D54B93" w14:textId="77777777" w:rsidR="00343BFE" w:rsidRPr="006E28CD" w:rsidRDefault="00343BFE" w:rsidP="009F3950">
            <w:pPr>
              <w:pStyle w:val="ExhibitText"/>
              <w:ind w:left="257"/>
              <w:rPr>
                <w:lang w:val="en-GB"/>
              </w:rPr>
            </w:pPr>
            <w:r w:rsidRPr="006E28CD">
              <w:rPr>
                <w:lang w:val="en-GB"/>
              </w:rPr>
              <w:t xml:space="preserve">Chief Operating Officer, Penang: Lai </w:t>
            </w:r>
            <w:proofErr w:type="spellStart"/>
            <w:r w:rsidRPr="006E28CD">
              <w:rPr>
                <w:lang w:val="en-GB"/>
              </w:rPr>
              <w:t>Choon</w:t>
            </w:r>
            <w:proofErr w:type="spellEnd"/>
            <w:r w:rsidRPr="006E28CD">
              <w:rPr>
                <w:lang w:val="en-GB"/>
              </w:rPr>
              <w:t xml:space="preserve"> </w:t>
            </w:r>
            <w:proofErr w:type="spellStart"/>
            <w:r w:rsidRPr="006E28CD">
              <w:rPr>
                <w:lang w:val="en-GB"/>
              </w:rPr>
              <w:t>Wah</w:t>
            </w:r>
            <w:proofErr w:type="spellEnd"/>
          </w:p>
          <w:p w14:paraId="22C13021" w14:textId="77777777" w:rsidR="00343BFE" w:rsidRPr="006E28CD" w:rsidRDefault="00343BFE" w:rsidP="009F3950">
            <w:pPr>
              <w:pStyle w:val="ExhibitText"/>
              <w:ind w:left="257"/>
              <w:rPr>
                <w:lang w:val="en-GB"/>
              </w:rPr>
            </w:pPr>
            <w:r w:rsidRPr="006E28CD">
              <w:rPr>
                <w:lang w:val="en-GB"/>
              </w:rPr>
              <w:t xml:space="preserve">Chief Operating Officer, Germany: Thomas </w:t>
            </w:r>
            <w:proofErr w:type="spellStart"/>
            <w:r w:rsidRPr="006E28CD">
              <w:rPr>
                <w:lang w:val="en-GB"/>
              </w:rPr>
              <w:t>Kummer</w:t>
            </w:r>
            <w:proofErr w:type="spellEnd"/>
          </w:p>
          <w:p w14:paraId="686020C7" w14:textId="77777777" w:rsidR="00343BFE" w:rsidRPr="006E28CD" w:rsidRDefault="00343BFE" w:rsidP="009F3950">
            <w:pPr>
              <w:pStyle w:val="ExhibitText"/>
              <w:ind w:left="257"/>
              <w:rPr>
                <w:lang w:val="en-GB"/>
              </w:rPr>
            </w:pPr>
          </w:p>
          <w:p w14:paraId="4AD65460" w14:textId="77777777" w:rsidR="00343BFE" w:rsidRPr="006E28CD" w:rsidRDefault="00343BFE" w:rsidP="009F3950">
            <w:pPr>
              <w:pStyle w:val="ExhibitText"/>
              <w:ind w:left="257"/>
              <w:rPr>
                <w:b/>
                <w:lang w:val="en-GB"/>
              </w:rPr>
            </w:pPr>
            <w:r w:rsidRPr="006E28CD">
              <w:rPr>
                <w:b/>
                <w:lang w:val="en-GB"/>
              </w:rPr>
              <w:t>SPECIALTY OILS AND FATS</w:t>
            </w:r>
          </w:p>
          <w:p w14:paraId="1B6FB7CD" w14:textId="77777777" w:rsidR="00343BFE" w:rsidRPr="006E28CD" w:rsidRDefault="00343BFE" w:rsidP="009F3950">
            <w:pPr>
              <w:pStyle w:val="ExhibitText"/>
              <w:ind w:left="257"/>
              <w:rPr>
                <w:lang w:val="en-GB"/>
              </w:rPr>
            </w:pPr>
            <w:r w:rsidRPr="006E28CD">
              <w:rPr>
                <w:lang w:val="en-GB"/>
              </w:rPr>
              <w:t>Chief Executive Officer: Julian Veitch</w:t>
            </w:r>
          </w:p>
          <w:p w14:paraId="27EAED8B" w14:textId="77777777" w:rsidR="00343BFE" w:rsidRPr="006E28CD" w:rsidRDefault="00343BFE" w:rsidP="009F3950">
            <w:pPr>
              <w:pStyle w:val="ExhibitText"/>
              <w:ind w:left="257"/>
              <w:rPr>
                <w:lang w:val="en-GB"/>
              </w:rPr>
            </w:pPr>
            <w:r w:rsidRPr="006E28CD">
              <w:rPr>
                <w:lang w:val="en-GB"/>
              </w:rPr>
              <w:t>Chief Operating Officer, Americas: William (Bill) Troy</w:t>
            </w:r>
          </w:p>
          <w:p w14:paraId="7AA7BE91" w14:textId="472D7FEB" w:rsidR="00343BFE" w:rsidRPr="006E28CD" w:rsidRDefault="00343BFE" w:rsidP="009F3950">
            <w:pPr>
              <w:pStyle w:val="ExhibitText"/>
              <w:ind w:left="257"/>
              <w:rPr>
                <w:lang w:val="en-GB"/>
              </w:rPr>
            </w:pPr>
            <w:r w:rsidRPr="006E28CD">
              <w:rPr>
                <w:lang w:val="en-GB"/>
              </w:rPr>
              <w:t xml:space="preserve">Chief Operating Officer, Europe: </w:t>
            </w:r>
            <w:proofErr w:type="spellStart"/>
            <w:r w:rsidRPr="006E28CD">
              <w:rPr>
                <w:lang w:val="en-GB"/>
              </w:rPr>
              <w:t>Dr</w:t>
            </w:r>
            <w:r w:rsidR="00320DA6" w:rsidRPr="006E28CD">
              <w:rPr>
                <w:lang w:val="en-GB"/>
              </w:rPr>
              <w:t>.</w:t>
            </w:r>
            <w:proofErr w:type="spellEnd"/>
            <w:r w:rsidRPr="006E28CD">
              <w:rPr>
                <w:lang w:val="en-GB"/>
              </w:rPr>
              <w:t xml:space="preserve"> </w:t>
            </w:r>
            <w:proofErr w:type="spellStart"/>
            <w:r w:rsidRPr="006E28CD">
              <w:rPr>
                <w:lang w:val="en-GB"/>
              </w:rPr>
              <w:t>Loek</w:t>
            </w:r>
            <w:proofErr w:type="spellEnd"/>
            <w:r w:rsidRPr="006E28CD">
              <w:rPr>
                <w:lang w:val="en-GB"/>
              </w:rPr>
              <w:t xml:space="preserve"> Favre</w:t>
            </w:r>
          </w:p>
          <w:p w14:paraId="1046AF0C" w14:textId="77777777" w:rsidR="00343BFE" w:rsidRPr="006E28CD" w:rsidRDefault="00343BFE" w:rsidP="009F3950">
            <w:pPr>
              <w:pStyle w:val="ExhibitText"/>
              <w:ind w:left="257"/>
              <w:rPr>
                <w:lang w:val="en-GB"/>
              </w:rPr>
            </w:pPr>
            <w:r w:rsidRPr="006E28CD">
              <w:rPr>
                <w:lang w:val="en-GB"/>
              </w:rPr>
              <w:t xml:space="preserve">Chief Operating Officer, Asia: Michael van </w:t>
            </w:r>
            <w:proofErr w:type="spellStart"/>
            <w:r w:rsidRPr="006E28CD">
              <w:rPr>
                <w:lang w:val="en-GB"/>
              </w:rPr>
              <w:t>Sallandt</w:t>
            </w:r>
            <w:proofErr w:type="spellEnd"/>
          </w:p>
          <w:p w14:paraId="02B62845" w14:textId="77777777" w:rsidR="00343BFE" w:rsidRPr="006E28CD" w:rsidRDefault="00343BFE" w:rsidP="0081674C">
            <w:pPr>
              <w:pStyle w:val="ExhibitHeading"/>
              <w:rPr>
                <w:lang w:val="en-GB"/>
              </w:rPr>
            </w:pPr>
          </w:p>
        </w:tc>
      </w:tr>
    </w:tbl>
    <w:p w14:paraId="5105A1A1" w14:textId="77777777" w:rsidR="00847AEE" w:rsidRPr="006E28CD" w:rsidRDefault="00847AEE" w:rsidP="0081674C">
      <w:pPr>
        <w:pStyle w:val="ExhibitHeading"/>
        <w:rPr>
          <w:lang w:val="en-GB"/>
        </w:rPr>
      </w:pPr>
    </w:p>
    <w:p w14:paraId="60167AC6" w14:textId="42020DCE" w:rsidR="00847AEE" w:rsidRPr="006E28CD" w:rsidRDefault="00343BFE" w:rsidP="00343BFE">
      <w:pPr>
        <w:pStyle w:val="Footnote"/>
        <w:rPr>
          <w:lang w:val="en-GB"/>
        </w:rPr>
      </w:pPr>
      <w:r w:rsidRPr="006E28CD">
        <w:rPr>
          <w:lang w:val="en-GB"/>
        </w:rPr>
        <w:t xml:space="preserve">Source: </w:t>
      </w:r>
      <w:r w:rsidR="00F45CF4">
        <w:rPr>
          <w:lang w:val="en-GB"/>
        </w:rPr>
        <w:t>C</w:t>
      </w:r>
      <w:r w:rsidR="00D65FC4" w:rsidRPr="006E28CD">
        <w:rPr>
          <w:lang w:val="en-GB"/>
        </w:rPr>
        <w:t>ompany documents.</w:t>
      </w:r>
    </w:p>
    <w:p w14:paraId="5970DD3D" w14:textId="77777777" w:rsidR="00847AEE" w:rsidRPr="006E28CD" w:rsidRDefault="00847AEE" w:rsidP="00343BFE">
      <w:pPr>
        <w:pStyle w:val="ExhibitText"/>
        <w:rPr>
          <w:lang w:val="en-GB"/>
        </w:rPr>
      </w:pPr>
    </w:p>
    <w:p w14:paraId="59E448CC" w14:textId="77777777" w:rsidR="00343BFE" w:rsidRPr="006E28CD" w:rsidRDefault="00343BFE" w:rsidP="00343BFE">
      <w:pPr>
        <w:pStyle w:val="ExhibitText"/>
        <w:rPr>
          <w:lang w:val="en-GB"/>
        </w:rPr>
      </w:pPr>
    </w:p>
    <w:p w14:paraId="25C99992" w14:textId="5E89670B" w:rsidR="00343BFE" w:rsidRPr="006E28CD" w:rsidRDefault="00343BFE" w:rsidP="00343BFE">
      <w:pPr>
        <w:pStyle w:val="ExhibitHeading"/>
        <w:rPr>
          <w:lang w:val="en-GB"/>
        </w:rPr>
      </w:pPr>
      <w:r w:rsidRPr="006E28CD">
        <w:rPr>
          <w:lang w:val="en-GB"/>
        </w:rPr>
        <w:t>Exhibit 3: IOI Core Values</w:t>
      </w:r>
    </w:p>
    <w:p w14:paraId="42153940" w14:textId="77777777" w:rsidR="00343BFE" w:rsidRPr="006E28CD" w:rsidRDefault="00343BFE" w:rsidP="00343BFE">
      <w:pPr>
        <w:pStyle w:val="BodyTextMain"/>
        <w:rPr>
          <w:lang w:val="en-GB"/>
        </w:rPr>
      </w:pPr>
    </w:p>
    <w:p w14:paraId="43422377" w14:textId="77777777" w:rsidR="00343BFE" w:rsidRPr="006E28CD" w:rsidRDefault="00343BFE" w:rsidP="00343BFE">
      <w:pPr>
        <w:pStyle w:val="ExhibitText"/>
        <w:jc w:val="center"/>
        <w:rPr>
          <w:b/>
          <w:lang w:val="en-GB"/>
        </w:rPr>
      </w:pPr>
      <w:r w:rsidRPr="006E28CD">
        <w:rPr>
          <w:b/>
          <w:lang w:val="en-GB"/>
        </w:rPr>
        <w:t>INTEGRITY</w:t>
      </w:r>
    </w:p>
    <w:p w14:paraId="5B57768D" w14:textId="77777777" w:rsidR="00343BFE" w:rsidRPr="006E28CD" w:rsidRDefault="00343BFE" w:rsidP="00343BFE">
      <w:pPr>
        <w:pStyle w:val="ExhibitText"/>
        <w:jc w:val="center"/>
        <w:rPr>
          <w:lang w:val="en-GB"/>
        </w:rPr>
      </w:pPr>
      <w:proofErr w:type="gramStart"/>
      <w:r w:rsidRPr="006E28CD">
        <w:rPr>
          <w:lang w:val="en-GB"/>
        </w:rPr>
        <w:t>which</w:t>
      </w:r>
      <w:proofErr w:type="gramEnd"/>
      <w:r w:rsidRPr="006E28CD">
        <w:rPr>
          <w:lang w:val="en-GB"/>
        </w:rPr>
        <w:t xml:space="preserve"> is essential and cannot be compromised</w:t>
      </w:r>
    </w:p>
    <w:p w14:paraId="456BF5C2" w14:textId="77777777" w:rsidR="00343BFE" w:rsidRPr="006E28CD" w:rsidRDefault="00343BFE" w:rsidP="00343BFE">
      <w:pPr>
        <w:pStyle w:val="ExhibitText"/>
        <w:jc w:val="center"/>
        <w:rPr>
          <w:lang w:val="en-GB"/>
        </w:rPr>
      </w:pPr>
    </w:p>
    <w:p w14:paraId="59BFFAF4" w14:textId="77777777" w:rsidR="00343BFE" w:rsidRPr="006E28CD" w:rsidRDefault="00343BFE" w:rsidP="00343BFE">
      <w:pPr>
        <w:pStyle w:val="ExhibitText"/>
        <w:jc w:val="center"/>
        <w:rPr>
          <w:b/>
          <w:lang w:val="en-GB"/>
        </w:rPr>
      </w:pPr>
      <w:r w:rsidRPr="006E28CD">
        <w:rPr>
          <w:b/>
          <w:lang w:val="en-GB"/>
        </w:rPr>
        <w:t>COMMITMENT</w:t>
      </w:r>
    </w:p>
    <w:p w14:paraId="350B3690" w14:textId="77777777" w:rsidR="00343BFE" w:rsidRPr="006E28CD" w:rsidRDefault="00343BFE" w:rsidP="00343BFE">
      <w:pPr>
        <w:pStyle w:val="ExhibitText"/>
        <w:jc w:val="center"/>
        <w:rPr>
          <w:lang w:val="en-GB"/>
        </w:rPr>
      </w:pPr>
      <w:proofErr w:type="gramStart"/>
      <w:r w:rsidRPr="006E28CD">
        <w:rPr>
          <w:lang w:val="en-GB"/>
        </w:rPr>
        <w:t>as</w:t>
      </w:r>
      <w:proofErr w:type="gramEnd"/>
      <w:r w:rsidRPr="006E28CD">
        <w:rPr>
          <w:lang w:val="en-GB"/>
        </w:rPr>
        <w:t xml:space="preserve"> we do what we say we will do</w:t>
      </w:r>
    </w:p>
    <w:p w14:paraId="0A38F693" w14:textId="77777777" w:rsidR="00343BFE" w:rsidRPr="006E28CD" w:rsidRDefault="00343BFE" w:rsidP="00343BFE">
      <w:pPr>
        <w:pStyle w:val="ExhibitText"/>
        <w:jc w:val="center"/>
        <w:rPr>
          <w:lang w:val="en-GB"/>
        </w:rPr>
      </w:pPr>
    </w:p>
    <w:p w14:paraId="46582B16" w14:textId="77777777" w:rsidR="00343BFE" w:rsidRPr="006E28CD" w:rsidRDefault="00343BFE" w:rsidP="00343BFE">
      <w:pPr>
        <w:pStyle w:val="ExhibitText"/>
        <w:jc w:val="center"/>
        <w:rPr>
          <w:b/>
          <w:lang w:val="en-GB"/>
        </w:rPr>
      </w:pPr>
      <w:r w:rsidRPr="006E28CD">
        <w:rPr>
          <w:b/>
          <w:lang w:val="en-GB"/>
        </w:rPr>
        <w:t>LOYALTY</w:t>
      </w:r>
    </w:p>
    <w:p w14:paraId="3F79C1FC" w14:textId="77777777" w:rsidR="00343BFE" w:rsidRPr="006E28CD" w:rsidRDefault="00343BFE" w:rsidP="00343BFE">
      <w:pPr>
        <w:pStyle w:val="ExhibitText"/>
        <w:jc w:val="center"/>
        <w:rPr>
          <w:lang w:val="en-GB"/>
        </w:rPr>
      </w:pPr>
      <w:proofErr w:type="gramStart"/>
      <w:r w:rsidRPr="006E28CD">
        <w:rPr>
          <w:lang w:val="en-GB"/>
        </w:rPr>
        <w:t>is</w:t>
      </w:r>
      <w:proofErr w:type="gramEnd"/>
      <w:r w:rsidRPr="006E28CD">
        <w:rPr>
          <w:lang w:val="en-GB"/>
        </w:rPr>
        <w:t xml:space="preserve"> crucial because we are one team sharing one vision</w:t>
      </w:r>
    </w:p>
    <w:p w14:paraId="3D13B5F7" w14:textId="77777777" w:rsidR="00343BFE" w:rsidRPr="006E28CD" w:rsidRDefault="00343BFE" w:rsidP="00343BFE">
      <w:pPr>
        <w:pStyle w:val="ExhibitText"/>
        <w:jc w:val="center"/>
        <w:rPr>
          <w:lang w:val="en-GB"/>
        </w:rPr>
      </w:pPr>
    </w:p>
    <w:p w14:paraId="3838A145" w14:textId="77777777" w:rsidR="00343BFE" w:rsidRPr="006E28CD" w:rsidRDefault="00343BFE" w:rsidP="00343BFE">
      <w:pPr>
        <w:pStyle w:val="ExhibitText"/>
        <w:jc w:val="center"/>
        <w:rPr>
          <w:b/>
          <w:lang w:val="en-GB"/>
        </w:rPr>
      </w:pPr>
      <w:r w:rsidRPr="006E28CD">
        <w:rPr>
          <w:b/>
          <w:lang w:val="en-GB"/>
        </w:rPr>
        <w:t>EXCELLENCE IN EXECUTION</w:t>
      </w:r>
    </w:p>
    <w:p w14:paraId="6F8F940D" w14:textId="77777777" w:rsidR="00343BFE" w:rsidRPr="006E28CD" w:rsidRDefault="00343BFE" w:rsidP="00343BFE">
      <w:pPr>
        <w:pStyle w:val="ExhibitText"/>
        <w:jc w:val="center"/>
        <w:rPr>
          <w:lang w:val="en-GB"/>
        </w:rPr>
      </w:pPr>
      <w:proofErr w:type="gramStart"/>
      <w:r w:rsidRPr="006E28CD">
        <w:rPr>
          <w:lang w:val="en-GB"/>
        </w:rPr>
        <w:t>as</w:t>
      </w:r>
      <w:proofErr w:type="gramEnd"/>
      <w:r w:rsidRPr="006E28CD">
        <w:rPr>
          <w:lang w:val="en-GB"/>
        </w:rPr>
        <w:t xml:space="preserve"> our commitments can only be realised through actions and results</w:t>
      </w:r>
    </w:p>
    <w:p w14:paraId="722FBB91" w14:textId="77777777" w:rsidR="00343BFE" w:rsidRPr="006E28CD" w:rsidRDefault="00343BFE" w:rsidP="00343BFE">
      <w:pPr>
        <w:pStyle w:val="ExhibitText"/>
        <w:jc w:val="center"/>
        <w:rPr>
          <w:lang w:val="en-GB"/>
        </w:rPr>
      </w:pPr>
    </w:p>
    <w:p w14:paraId="2C3BABD4" w14:textId="77777777" w:rsidR="00343BFE" w:rsidRPr="006E28CD" w:rsidRDefault="00343BFE" w:rsidP="00343BFE">
      <w:pPr>
        <w:pStyle w:val="ExhibitText"/>
        <w:jc w:val="center"/>
        <w:rPr>
          <w:b/>
          <w:lang w:val="en-GB"/>
        </w:rPr>
      </w:pPr>
      <w:r w:rsidRPr="006E28CD">
        <w:rPr>
          <w:b/>
          <w:lang w:val="en-GB"/>
        </w:rPr>
        <w:t>SPEED OR TIMELINESS</w:t>
      </w:r>
    </w:p>
    <w:p w14:paraId="083BAB20" w14:textId="77777777" w:rsidR="00343BFE" w:rsidRPr="006E28CD" w:rsidRDefault="00343BFE" w:rsidP="00343BFE">
      <w:pPr>
        <w:pStyle w:val="ExhibitText"/>
        <w:jc w:val="center"/>
        <w:rPr>
          <w:lang w:val="en-GB"/>
        </w:rPr>
      </w:pPr>
      <w:proofErr w:type="gramStart"/>
      <w:r w:rsidRPr="006E28CD">
        <w:rPr>
          <w:lang w:val="en-GB"/>
        </w:rPr>
        <w:t>in</w:t>
      </w:r>
      <w:proofErr w:type="gramEnd"/>
      <w:r w:rsidRPr="006E28CD">
        <w:rPr>
          <w:lang w:val="en-GB"/>
        </w:rPr>
        <w:t xml:space="preserve"> response is important in our ever changing business environment</w:t>
      </w:r>
    </w:p>
    <w:p w14:paraId="7420AC8F" w14:textId="77777777" w:rsidR="00343BFE" w:rsidRPr="006E28CD" w:rsidRDefault="00343BFE" w:rsidP="00343BFE">
      <w:pPr>
        <w:pStyle w:val="ExhibitText"/>
        <w:jc w:val="center"/>
        <w:rPr>
          <w:lang w:val="en-GB"/>
        </w:rPr>
      </w:pPr>
    </w:p>
    <w:p w14:paraId="2488E429" w14:textId="77777777" w:rsidR="00343BFE" w:rsidRPr="006E28CD" w:rsidRDefault="00343BFE" w:rsidP="00343BFE">
      <w:pPr>
        <w:pStyle w:val="ExhibitText"/>
        <w:jc w:val="center"/>
        <w:rPr>
          <w:b/>
          <w:lang w:val="en-GB"/>
        </w:rPr>
      </w:pPr>
      <w:r w:rsidRPr="006E28CD">
        <w:rPr>
          <w:b/>
          <w:lang w:val="en-GB"/>
        </w:rPr>
        <w:t>INNOVATIVENESS</w:t>
      </w:r>
    </w:p>
    <w:p w14:paraId="32A5B643" w14:textId="77777777" w:rsidR="00343BFE" w:rsidRPr="006E28CD" w:rsidRDefault="00343BFE" w:rsidP="00343BFE">
      <w:pPr>
        <w:pStyle w:val="ExhibitText"/>
        <w:jc w:val="center"/>
        <w:rPr>
          <w:lang w:val="en-GB"/>
        </w:rPr>
      </w:pPr>
      <w:proofErr w:type="gramStart"/>
      <w:r w:rsidRPr="006E28CD">
        <w:rPr>
          <w:lang w:val="en-GB"/>
        </w:rPr>
        <w:t>to</w:t>
      </w:r>
      <w:proofErr w:type="gramEnd"/>
      <w:r w:rsidRPr="006E28CD">
        <w:rPr>
          <w:lang w:val="en-GB"/>
        </w:rPr>
        <w:t xml:space="preserve"> provide us additional competitive edge</w:t>
      </w:r>
    </w:p>
    <w:p w14:paraId="1A4DF91D" w14:textId="77777777" w:rsidR="00343BFE" w:rsidRPr="006E28CD" w:rsidRDefault="00343BFE" w:rsidP="00343BFE">
      <w:pPr>
        <w:pStyle w:val="ExhibitText"/>
        <w:jc w:val="center"/>
        <w:rPr>
          <w:lang w:val="en-GB"/>
        </w:rPr>
      </w:pPr>
    </w:p>
    <w:p w14:paraId="3C5AA008" w14:textId="77777777" w:rsidR="00343BFE" w:rsidRPr="006E28CD" w:rsidRDefault="00343BFE" w:rsidP="00343BFE">
      <w:pPr>
        <w:pStyle w:val="ExhibitText"/>
        <w:jc w:val="center"/>
        <w:rPr>
          <w:b/>
          <w:lang w:val="en-GB"/>
        </w:rPr>
      </w:pPr>
      <w:r w:rsidRPr="006E28CD">
        <w:rPr>
          <w:b/>
          <w:lang w:val="en-GB"/>
        </w:rPr>
        <w:t>COST EFFICIENCY</w:t>
      </w:r>
    </w:p>
    <w:p w14:paraId="7BBA2C38" w14:textId="77777777" w:rsidR="00343BFE" w:rsidRPr="006E28CD" w:rsidRDefault="00343BFE" w:rsidP="00343BFE">
      <w:pPr>
        <w:pStyle w:val="ExhibitText"/>
        <w:jc w:val="center"/>
        <w:rPr>
          <w:lang w:val="en-GB"/>
        </w:rPr>
      </w:pPr>
      <w:proofErr w:type="gramStart"/>
      <w:r w:rsidRPr="006E28CD">
        <w:rPr>
          <w:lang w:val="en-GB"/>
        </w:rPr>
        <w:t>is</w:t>
      </w:r>
      <w:proofErr w:type="gramEnd"/>
      <w:r w:rsidRPr="006E28CD">
        <w:rPr>
          <w:lang w:val="en-GB"/>
        </w:rPr>
        <w:t xml:space="preserve"> crucial as we need to remain competitive</w:t>
      </w:r>
    </w:p>
    <w:p w14:paraId="303F4DF7" w14:textId="77777777" w:rsidR="00343BFE" w:rsidRPr="006E28CD" w:rsidRDefault="00343BFE" w:rsidP="00343BFE">
      <w:pPr>
        <w:pStyle w:val="ExhibitText"/>
        <w:jc w:val="center"/>
        <w:rPr>
          <w:lang w:val="en-GB"/>
        </w:rPr>
      </w:pPr>
    </w:p>
    <w:p w14:paraId="079ECCAF" w14:textId="366D06FE" w:rsidR="00343BFE" w:rsidRDefault="00343BFE" w:rsidP="00343BFE">
      <w:pPr>
        <w:pStyle w:val="Footnote"/>
        <w:rPr>
          <w:lang w:val="en-GB"/>
        </w:rPr>
      </w:pPr>
      <w:r w:rsidRPr="006E28CD">
        <w:rPr>
          <w:lang w:val="en-GB"/>
        </w:rPr>
        <w:t>Source:</w:t>
      </w:r>
      <w:r w:rsidR="00F45CF4">
        <w:rPr>
          <w:lang w:val="en-GB"/>
        </w:rPr>
        <w:t xml:space="preserve"> Company documents.</w:t>
      </w:r>
    </w:p>
    <w:p w14:paraId="573F675C" w14:textId="77777777" w:rsidR="00F45CF4" w:rsidRPr="006E28CD" w:rsidRDefault="00F45CF4" w:rsidP="00343BFE">
      <w:pPr>
        <w:pStyle w:val="Footnote"/>
        <w:rPr>
          <w:lang w:val="en-GB"/>
        </w:rPr>
      </w:pPr>
    </w:p>
    <w:p w14:paraId="505AFC87" w14:textId="77777777" w:rsidR="00D65FC4" w:rsidRDefault="00D65FC4" w:rsidP="00343BFE">
      <w:pPr>
        <w:pStyle w:val="ExhibitHeading"/>
        <w:rPr>
          <w:lang w:val="en-GB"/>
        </w:rPr>
      </w:pPr>
    </w:p>
    <w:p w14:paraId="4D969591" w14:textId="77777777" w:rsidR="00D65FC4" w:rsidRDefault="00D65FC4" w:rsidP="00343BFE">
      <w:pPr>
        <w:pStyle w:val="ExhibitHeading"/>
        <w:rPr>
          <w:lang w:val="en-GB"/>
        </w:rPr>
      </w:pPr>
    </w:p>
    <w:p w14:paraId="2A9435F1" w14:textId="77777777" w:rsidR="00343BFE" w:rsidRPr="006E28CD" w:rsidRDefault="00343BFE" w:rsidP="00343BFE">
      <w:pPr>
        <w:pStyle w:val="ExhibitHeading"/>
        <w:rPr>
          <w:lang w:val="en-GB"/>
        </w:rPr>
      </w:pPr>
      <w:r w:rsidRPr="006E28CD">
        <w:rPr>
          <w:lang w:val="en-GB"/>
        </w:rPr>
        <w:lastRenderedPageBreak/>
        <w:t>Exhibit 4: Plantation size of major players</w:t>
      </w:r>
    </w:p>
    <w:p w14:paraId="12E621C4" w14:textId="52612854" w:rsidR="00343BFE" w:rsidRDefault="00343BFE" w:rsidP="00343BFE">
      <w:pPr>
        <w:pStyle w:val="ExhibitHeading"/>
        <w:rPr>
          <w:lang w:val="en-GB"/>
        </w:rPr>
      </w:pPr>
    </w:p>
    <w:p w14:paraId="7092C3BF" w14:textId="5B4292F0" w:rsidR="00AA53AD" w:rsidRDefault="00AA53AD" w:rsidP="00343BFE">
      <w:pPr>
        <w:pStyle w:val="ExhibitHeading"/>
        <w:rPr>
          <w:lang w:val="en-GB"/>
        </w:rPr>
      </w:pPr>
      <w:r>
        <w:rPr>
          <w:noProof/>
        </w:rPr>
        <w:drawing>
          <wp:inline distT="0" distB="0" distL="0" distR="0" wp14:anchorId="240BE85E" wp14:editId="0C002F31">
            <wp:extent cx="5446395" cy="4842344"/>
            <wp:effectExtent l="0" t="0" r="1905"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3C3BC6A" w14:textId="73D4A934" w:rsidR="00343BFE" w:rsidRPr="006E28CD" w:rsidRDefault="00343BFE" w:rsidP="00343BFE">
      <w:pPr>
        <w:pStyle w:val="ExhibitHeading"/>
        <w:rPr>
          <w:lang w:val="en-GB"/>
        </w:rPr>
      </w:pPr>
    </w:p>
    <w:p w14:paraId="518B4DF4" w14:textId="79861FB8" w:rsidR="00810519" w:rsidRDefault="00810519" w:rsidP="00343BFE">
      <w:pPr>
        <w:pStyle w:val="Footnote"/>
        <w:rPr>
          <w:lang w:val="en-GB"/>
        </w:rPr>
      </w:pPr>
      <w:r>
        <w:rPr>
          <w:lang w:val="en-GB"/>
        </w:rPr>
        <w:t xml:space="preserve">Note: </w:t>
      </w:r>
      <w:r w:rsidR="00E07B4F">
        <w:rPr>
          <w:lang w:val="en-GB"/>
        </w:rPr>
        <w:t xml:space="preserve">Wilmar = Wilmar International Ltd.; </w:t>
      </w:r>
      <w:r>
        <w:rPr>
          <w:lang w:val="en-GB"/>
        </w:rPr>
        <w:t xml:space="preserve">GAR = Golden Agri-Resources Ltd.; KLK = </w:t>
      </w:r>
      <w:r w:rsidRPr="006E28CD">
        <w:rPr>
          <w:lang w:val="en-GB"/>
        </w:rPr>
        <w:t xml:space="preserve">Kuala Lumpur Kepong </w:t>
      </w:r>
      <w:proofErr w:type="spellStart"/>
      <w:r w:rsidRPr="006E28CD">
        <w:rPr>
          <w:lang w:val="en-GB"/>
        </w:rPr>
        <w:t>Berhad</w:t>
      </w:r>
      <w:proofErr w:type="spellEnd"/>
      <w:r>
        <w:rPr>
          <w:lang w:val="en-GB"/>
        </w:rPr>
        <w:t xml:space="preserve">; </w:t>
      </w:r>
      <w:r w:rsidR="00E07B4F">
        <w:rPr>
          <w:lang w:val="en-GB"/>
        </w:rPr>
        <w:t xml:space="preserve">Astra Agro Lestari = PT Astra Agro Lestari </w:t>
      </w:r>
      <w:proofErr w:type="spellStart"/>
      <w:r w:rsidR="00E07B4F">
        <w:rPr>
          <w:lang w:val="en-GB"/>
        </w:rPr>
        <w:t>Tbk</w:t>
      </w:r>
      <w:proofErr w:type="spellEnd"/>
    </w:p>
    <w:p w14:paraId="571FD851" w14:textId="234002B0" w:rsidR="00343BFE" w:rsidRPr="006E28CD" w:rsidRDefault="00343BFE" w:rsidP="00343BFE">
      <w:pPr>
        <w:pStyle w:val="Footnote"/>
        <w:rPr>
          <w:lang w:val="en-GB"/>
        </w:rPr>
      </w:pPr>
      <w:r w:rsidRPr="006E28CD">
        <w:rPr>
          <w:lang w:val="en-GB"/>
        </w:rPr>
        <w:t xml:space="preserve">Source: </w:t>
      </w:r>
      <w:r w:rsidR="006B5FAF" w:rsidRPr="006E28CD">
        <w:rPr>
          <w:lang w:val="en-GB"/>
        </w:rPr>
        <w:t xml:space="preserve">Compiled by </w:t>
      </w:r>
      <w:r w:rsidR="00810519">
        <w:rPr>
          <w:lang w:val="en-GB"/>
        </w:rPr>
        <w:t xml:space="preserve">the </w:t>
      </w:r>
      <w:r w:rsidR="006B5FAF" w:rsidRPr="006E28CD">
        <w:rPr>
          <w:lang w:val="en-GB"/>
        </w:rPr>
        <w:t xml:space="preserve">case author based on </w:t>
      </w:r>
      <w:r w:rsidR="00F45CF4">
        <w:rPr>
          <w:lang w:val="en-GB"/>
        </w:rPr>
        <w:t>company documents.</w:t>
      </w:r>
    </w:p>
    <w:p w14:paraId="7CA422F0" w14:textId="77777777" w:rsidR="00AA53AD" w:rsidRDefault="00AA53AD">
      <w:pPr>
        <w:spacing w:after="200" w:line="276" w:lineRule="auto"/>
        <w:rPr>
          <w:rFonts w:ascii="Arial" w:hAnsi="Arial" w:cs="Arial"/>
          <w:b/>
          <w:caps/>
          <w:lang w:val="en-GB"/>
        </w:rPr>
      </w:pPr>
      <w:r>
        <w:rPr>
          <w:lang w:val="en-GB"/>
        </w:rPr>
        <w:br w:type="page"/>
      </w:r>
    </w:p>
    <w:p w14:paraId="04AD29BA" w14:textId="7B4E0F0B" w:rsidR="00343BFE" w:rsidRPr="006E28CD" w:rsidRDefault="00343BFE" w:rsidP="00DF451B">
      <w:pPr>
        <w:pStyle w:val="ExhibitHeading"/>
        <w:rPr>
          <w:lang w:val="en-GB"/>
        </w:rPr>
      </w:pPr>
      <w:r w:rsidRPr="006E28CD">
        <w:rPr>
          <w:lang w:val="en-GB"/>
        </w:rPr>
        <w:lastRenderedPageBreak/>
        <w:t xml:space="preserve">Exhibit </w:t>
      </w:r>
      <w:r w:rsidR="005238D0" w:rsidRPr="006E28CD">
        <w:rPr>
          <w:lang w:val="en-GB"/>
        </w:rPr>
        <w:t>5</w:t>
      </w:r>
      <w:r w:rsidRPr="006E28CD">
        <w:rPr>
          <w:lang w:val="en-GB"/>
        </w:rPr>
        <w:t xml:space="preserve">: IOI Loders Croklaan patent </w:t>
      </w:r>
      <w:r w:rsidR="00675F73" w:rsidRPr="006E28CD">
        <w:rPr>
          <w:lang w:val="en-GB"/>
        </w:rPr>
        <w:t xml:space="preserve">applications </w:t>
      </w:r>
    </w:p>
    <w:p w14:paraId="02268563" w14:textId="77777777" w:rsidR="00343BFE" w:rsidRPr="006E28CD" w:rsidRDefault="00343BFE" w:rsidP="00DF451B">
      <w:pPr>
        <w:pStyle w:val="BodyTextMain"/>
        <w:rPr>
          <w:lang w:val="en-GB"/>
        </w:rPr>
      </w:pPr>
    </w:p>
    <w:p w14:paraId="1AD7DF04" w14:textId="77777777" w:rsidR="00343BFE" w:rsidRPr="006E28CD" w:rsidRDefault="00343BFE" w:rsidP="00343BFE">
      <w:pPr>
        <w:jc w:val="center"/>
        <w:rPr>
          <w:b/>
          <w:sz w:val="28"/>
          <w:szCs w:val="28"/>
          <w:lang w:val="en-GB"/>
        </w:rPr>
      </w:pPr>
      <w:r w:rsidRPr="006E28CD">
        <w:rPr>
          <w:b/>
          <w:noProof/>
          <w:sz w:val="28"/>
          <w:szCs w:val="28"/>
        </w:rPr>
        <w:drawing>
          <wp:inline distT="0" distB="0" distL="0" distR="0" wp14:anchorId="7868AE93" wp14:editId="4159E53C">
            <wp:extent cx="5866403" cy="3637477"/>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_of_applications_by_application_year_1998_to_2015.png"/>
                    <pic:cNvPicPr/>
                  </pic:nvPicPr>
                  <pic:blipFill>
                    <a:blip r:embed="rId14">
                      <a:biLevel thresh="75000"/>
                      <a:extLst>
                        <a:ext uri="{28A0092B-C50C-407E-A947-70E740481C1C}">
                          <a14:useLocalDpi xmlns:a14="http://schemas.microsoft.com/office/drawing/2010/main" val="0"/>
                        </a:ext>
                      </a:extLst>
                    </a:blip>
                    <a:stretch>
                      <a:fillRect/>
                    </a:stretch>
                  </pic:blipFill>
                  <pic:spPr>
                    <a:xfrm>
                      <a:off x="0" y="0"/>
                      <a:ext cx="5887010" cy="3650255"/>
                    </a:xfrm>
                    <a:prstGeom prst="rect">
                      <a:avLst/>
                    </a:prstGeom>
                  </pic:spPr>
                </pic:pic>
              </a:graphicData>
            </a:graphic>
          </wp:inline>
        </w:drawing>
      </w:r>
    </w:p>
    <w:p w14:paraId="66934AD6" w14:textId="77777777" w:rsidR="00DF451B" w:rsidRPr="006E28CD" w:rsidRDefault="00DF451B" w:rsidP="00343BFE">
      <w:pPr>
        <w:jc w:val="both"/>
        <w:rPr>
          <w:i/>
          <w:lang w:val="en-GB"/>
        </w:rPr>
      </w:pPr>
    </w:p>
    <w:p w14:paraId="3BAACEEE" w14:textId="110A9C43" w:rsidR="00343BFE" w:rsidRPr="006E28CD" w:rsidRDefault="00343BFE" w:rsidP="00DF451B">
      <w:pPr>
        <w:pStyle w:val="Footnote"/>
        <w:rPr>
          <w:lang w:val="en-GB"/>
        </w:rPr>
      </w:pPr>
      <w:r w:rsidRPr="006E28CD">
        <w:rPr>
          <w:lang w:val="en-GB"/>
        </w:rPr>
        <w:t xml:space="preserve">Source: </w:t>
      </w:r>
      <w:r w:rsidR="00340693" w:rsidRPr="006E28CD">
        <w:rPr>
          <w:lang w:val="en-GB"/>
        </w:rPr>
        <w:t xml:space="preserve">Company </w:t>
      </w:r>
      <w:r w:rsidR="00F45CF4">
        <w:rPr>
          <w:lang w:val="en-GB"/>
        </w:rPr>
        <w:t>documents</w:t>
      </w:r>
      <w:r w:rsidRPr="006E28CD">
        <w:rPr>
          <w:lang w:val="en-GB"/>
        </w:rPr>
        <w:t>.</w:t>
      </w:r>
    </w:p>
    <w:p w14:paraId="22D15C7A" w14:textId="77777777" w:rsidR="00343BFE" w:rsidRPr="006E28CD" w:rsidRDefault="00343BFE" w:rsidP="00343BFE">
      <w:pPr>
        <w:pStyle w:val="Footnote"/>
        <w:rPr>
          <w:lang w:val="en-GB"/>
        </w:rPr>
      </w:pPr>
    </w:p>
    <w:sectPr w:rsidR="00343BFE" w:rsidRPr="006E28CD" w:rsidSect="0081674C">
      <w:endnotePr>
        <w:numFmt w:val="decimal"/>
      </w:endnotePr>
      <w:type w:val="continuous"/>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3B4E40" w16cid:durableId="1E1424BB"/>
  <w16cid:commentId w16cid:paraId="611D8699" w16cid:durableId="1E1424BC"/>
  <w16cid:commentId w16cid:paraId="2816FC0E" w16cid:durableId="1E1433B1"/>
  <w16cid:commentId w16cid:paraId="7A37A478" w16cid:durableId="1E1424BD"/>
  <w16cid:commentId w16cid:paraId="19E40A13" w16cid:durableId="1E14254E"/>
  <w16cid:commentId w16cid:paraId="43242935" w16cid:durableId="1E1424BE"/>
  <w16cid:commentId w16cid:paraId="030F4684" w16cid:durableId="1E14258F"/>
  <w16cid:commentId w16cid:paraId="4413200C" w16cid:durableId="1E1424BF"/>
  <w16cid:commentId w16cid:paraId="3C6E90B3" w16cid:durableId="1E14498B"/>
  <w16cid:commentId w16cid:paraId="4529F20C" w16cid:durableId="1E142616"/>
  <w16cid:commentId w16cid:paraId="387631B0" w16cid:durableId="1E1424C0"/>
  <w16cid:commentId w16cid:paraId="1BEED4C9" w16cid:durableId="1E14260A"/>
  <w16cid:commentId w16cid:paraId="23003178" w16cid:durableId="1E1424C1"/>
  <w16cid:commentId w16cid:paraId="281FC64D" w16cid:durableId="1E142676"/>
  <w16cid:commentId w16cid:paraId="72F0D07F" w16cid:durableId="1E144A3A"/>
  <w16cid:commentId w16cid:paraId="6CDDF3AB" w16cid:durableId="1E1424C2"/>
  <w16cid:commentId w16cid:paraId="6FBC6E04" w16cid:durableId="1E144C69"/>
  <w16cid:commentId w16cid:paraId="27BACF5D" w16cid:durableId="1E1424C3"/>
  <w16cid:commentId w16cid:paraId="341DBADD" w16cid:durableId="1E144B9A"/>
  <w16cid:commentId w16cid:paraId="39B2A74E" w16cid:durableId="1E1424C4"/>
  <w16cid:commentId w16cid:paraId="3D7932C7" w16cid:durableId="1E144CF9"/>
  <w16cid:commentId w16cid:paraId="39235CF1" w16cid:durableId="1E1424C5"/>
  <w16cid:commentId w16cid:paraId="6CC9FAD0" w16cid:durableId="1E144E74"/>
  <w16cid:commentId w16cid:paraId="2C2DAA9E" w16cid:durableId="1E1424C6"/>
  <w16cid:commentId w16cid:paraId="3B48DF97" w16cid:durableId="1E144E78"/>
  <w16cid:commentId w16cid:paraId="21DD06A5" w16cid:durableId="1E1424C7"/>
  <w16cid:commentId w16cid:paraId="601706CE" w16cid:durableId="1E1424C8"/>
  <w16cid:commentId w16cid:paraId="4A84D856" w16cid:durableId="1E144EB1"/>
  <w16cid:commentId w16cid:paraId="63657DCD" w16cid:durableId="1E1424C9"/>
  <w16cid:commentId w16cid:paraId="337FD21D" w16cid:durableId="1E144F1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2B80D2" w14:textId="77777777" w:rsidR="00FE73D0" w:rsidRDefault="00FE73D0" w:rsidP="00D75295">
      <w:r>
        <w:separator/>
      </w:r>
    </w:p>
  </w:endnote>
  <w:endnote w:type="continuationSeparator" w:id="0">
    <w:p w14:paraId="55702DAD" w14:textId="77777777" w:rsidR="00FE73D0" w:rsidRDefault="00FE73D0"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C64C6" w14:textId="77777777" w:rsidR="00FE73D0" w:rsidRDefault="00FE73D0" w:rsidP="00D75295">
      <w:r>
        <w:separator/>
      </w:r>
    </w:p>
  </w:footnote>
  <w:footnote w:type="continuationSeparator" w:id="0">
    <w:p w14:paraId="2958845A" w14:textId="77777777" w:rsidR="00FE73D0" w:rsidRDefault="00FE73D0" w:rsidP="00D75295">
      <w:r>
        <w:continuationSeparator/>
      </w:r>
    </w:p>
  </w:footnote>
  <w:footnote w:id="1">
    <w:p w14:paraId="263C7463" w14:textId="2DF72E55" w:rsidR="00FE73D0" w:rsidRDefault="00FE73D0" w:rsidP="00CD53A5">
      <w:pPr>
        <w:pStyle w:val="Footnote"/>
      </w:pPr>
      <w:r>
        <w:rPr>
          <w:rStyle w:val="FootnoteReference"/>
        </w:rPr>
        <w:footnoteRef/>
      </w:r>
      <w:r>
        <w:t xml:space="preserve"> “IOI</w:t>
      </w:r>
      <w:proofErr w:type="gramStart"/>
      <w:r>
        <w:t>:MK</w:t>
      </w:r>
      <w:proofErr w:type="gramEnd"/>
      <w:r>
        <w:t xml:space="preserve">, IOI Corp </w:t>
      </w:r>
      <w:proofErr w:type="spellStart"/>
      <w:r>
        <w:t>Bhd</w:t>
      </w:r>
      <w:proofErr w:type="spellEnd"/>
      <w:r>
        <w:t xml:space="preserve">,” Bloomberg Markets, accessed May 29, 2017, </w:t>
      </w:r>
      <w:r w:rsidRPr="00A036DF">
        <w:t>https://www.bloomberg.com/quote/IOI:MK</w:t>
      </w:r>
      <w:r>
        <w:t>.</w:t>
      </w:r>
    </w:p>
  </w:footnote>
  <w:footnote w:id="2">
    <w:p w14:paraId="3FE85EB2" w14:textId="27F7C6BC" w:rsidR="00FE73D0" w:rsidRDefault="00FE73D0" w:rsidP="00CD53A5">
      <w:pPr>
        <w:pStyle w:val="Footnote"/>
      </w:pPr>
      <w:r>
        <w:rPr>
          <w:rStyle w:val="FootnoteReference"/>
        </w:rPr>
        <w:footnoteRef/>
      </w:r>
      <w:r>
        <w:t xml:space="preserve"> “Regional Industry Focus: Plantation Companies,” DBS Group Research Equity, accessed November 10, 2016.</w:t>
      </w:r>
    </w:p>
  </w:footnote>
  <w:footnote w:id="3">
    <w:p w14:paraId="50859AD2" w14:textId="7863F0BF" w:rsidR="00FE73D0" w:rsidRDefault="00FE73D0" w:rsidP="00CD53A5">
      <w:pPr>
        <w:pStyle w:val="Footnote"/>
      </w:pPr>
      <w:r>
        <w:rPr>
          <w:rStyle w:val="FootnoteReference"/>
        </w:rPr>
        <w:footnoteRef/>
      </w:r>
      <w:r>
        <w:t xml:space="preserve"> IOI Corporation </w:t>
      </w:r>
      <w:proofErr w:type="spellStart"/>
      <w:r>
        <w:t>Berhad</w:t>
      </w:r>
      <w:proofErr w:type="spellEnd"/>
      <w:r>
        <w:t xml:space="preserve">, </w:t>
      </w:r>
      <w:r w:rsidRPr="00D65FC4">
        <w:rPr>
          <w:i/>
        </w:rPr>
        <w:t>IOI Group: Expanding Our Reach, Annual Report 2013</w:t>
      </w:r>
      <w:r>
        <w:t xml:space="preserve">, 41, 2013, accessed January 9, 2018, </w:t>
      </w:r>
      <w:r w:rsidRPr="00D03B42">
        <w:t>www.ioigroup.com/Content/IR/PDF/AnnualReport/Corp/2013_AR.pdf</w:t>
      </w:r>
      <w:r>
        <w:t>.</w:t>
      </w:r>
    </w:p>
  </w:footnote>
  <w:footnote w:id="4">
    <w:p w14:paraId="36104918" w14:textId="69B3E311" w:rsidR="00FE73D0" w:rsidRPr="00D65FC4" w:rsidRDefault="00FE73D0" w:rsidP="00D65FC4">
      <w:pPr>
        <w:pStyle w:val="Footnote"/>
        <w:rPr>
          <w:lang w:val="en-CA"/>
        </w:rPr>
      </w:pPr>
      <w:r>
        <w:rPr>
          <w:rStyle w:val="FootnoteReference"/>
        </w:rPr>
        <w:footnoteRef/>
      </w:r>
      <w:r>
        <w:t xml:space="preserve"> </w:t>
      </w:r>
      <w:r>
        <w:rPr>
          <w:lang w:val="en-CA"/>
        </w:rPr>
        <w:t>€ = EUR = euro; €1.00 = US$</w:t>
      </w:r>
      <w:r w:rsidRPr="004E3512">
        <w:rPr>
          <w:lang w:val="en-CA"/>
        </w:rPr>
        <w:t>1.05</w:t>
      </w:r>
      <w:r>
        <w:rPr>
          <w:lang w:val="en-CA"/>
        </w:rPr>
        <w:t xml:space="preserve"> on December 31, 2016.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0EE8B" w14:textId="590D2C5D" w:rsidR="00FE73D0" w:rsidRDefault="00FE73D0"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C092B">
      <w:rPr>
        <w:rFonts w:ascii="Arial" w:hAnsi="Arial"/>
        <w:b/>
        <w:noProof/>
      </w:rPr>
      <w:t>12</w:t>
    </w:r>
    <w:r>
      <w:rPr>
        <w:rFonts w:ascii="Arial" w:hAnsi="Arial"/>
        <w:b/>
      </w:rPr>
      <w:fldChar w:fldCharType="end"/>
    </w:r>
    <w:r>
      <w:rPr>
        <w:rFonts w:ascii="Arial" w:hAnsi="Arial"/>
        <w:b/>
      </w:rPr>
      <w:tab/>
    </w:r>
    <w:r w:rsidR="00CA445D">
      <w:rPr>
        <w:rFonts w:ascii="Arial" w:hAnsi="Arial"/>
        <w:b/>
      </w:rPr>
      <w:t>9B18M028</w:t>
    </w:r>
  </w:p>
  <w:p w14:paraId="6CDC411B" w14:textId="77777777" w:rsidR="00FE73D0" w:rsidRPr="00C92CC4" w:rsidRDefault="00FE73D0">
    <w:pPr>
      <w:pStyle w:val="Header"/>
      <w:rPr>
        <w:sz w:val="18"/>
        <w:szCs w:val="18"/>
      </w:rPr>
    </w:pPr>
  </w:p>
  <w:p w14:paraId="58BA9740" w14:textId="77777777" w:rsidR="00FE73D0" w:rsidRPr="00C92CC4" w:rsidRDefault="00FE73D0">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44ECC"/>
    <w:rsid w:val="000531D3"/>
    <w:rsid w:val="0005646B"/>
    <w:rsid w:val="0007541D"/>
    <w:rsid w:val="0008102D"/>
    <w:rsid w:val="00086000"/>
    <w:rsid w:val="00094C0E"/>
    <w:rsid w:val="000F0C22"/>
    <w:rsid w:val="000F6B09"/>
    <w:rsid w:val="000F6FDC"/>
    <w:rsid w:val="00104567"/>
    <w:rsid w:val="00106144"/>
    <w:rsid w:val="0012732D"/>
    <w:rsid w:val="00154FC9"/>
    <w:rsid w:val="00187F5B"/>
    <w:rsid w:val="0019241A"/>
    <w:rsid w:val="001A3C9F"/>
    <w:rsid w:val="001A5335"/>
    <w:rsid w:val="001A752D"/>
    <w:rsid w:val="001E77BD"/>
    <w:rsid w:val="001F3CD8"/>
    <w:rsid w:val="00203AA1"/>
    <w:rsid w:val="0020647E"/>
    <w:rsid w:val="00213E98"/>
    <w:rsid w:val="00260960"/>
    <w:rsid w:val="002952C4"/>
    <w:rsid w:val="002E32F0"/>
    <w:rsid w:val="002F3345"/>
    <w:rsid w:val="002F460C"/>
    <w:rsid w:val="002F48D6"/>
    <w:rsid w:val="00301A00"/>
    <w:rsid w:val="00303B08"/>
    <w:rsid w:val="00305BAF"/>
    <w:rsid w:val="00313A8E"/>
    <w:rsid w:val="00313DF8"/>
    <w:rsid w:val="00320DA6"/>
    <w:rsid w:val="00340693"/>
    <w:rsid w:val="00343565"/>
    <w:rsid w:val="00343BFE"/>
    <w:rsid w:val="00354899"/>
    <w:rsid w:val="00355FD6"/>
    <w:rsid w:val="00361C8E"/>
    <w:rsid w:val="00364A5C"/>
    <w:rsid w:val="00366268"/>
    <w:rsid w:val="00373FB1"/>
    <w:rsid w:val="003B03D9"/>
    <w:rsid w:val="003B30D8"/>
    <w:rsid w:val="003B7EF2"/>
    <w:rsid w:val="003C3FA4"/>
    <w:rsid w:val="003D6CF7"/>
    <w:rsid w:val="003F2B0C"/>
    <w:rsid w:val="00407535"/>
    <w:rsid w:val="004221E4"/>
    <w:rsid w:val="0044056B"/>
    <w:rsid w:val="00471088"/>
    <w:rsid w:val="00483AF9"/>
    <w:rsid w:val="00484AFD"/>
    <w:rsid w:val="004B1CCB"/>
    <w:rsid w:val="004D73A5"/>
    <w:rsid w:val="004E3512"/>
    <w:rsid w:val="004F090B"/>
    <w:rsid w:val="005238D0"/>
    <w:rsid w:val="00532CF5"/>
    <w:rsid w:val="005528CB"/>
    <w:rsid w:val="00566771"/>
    <w:rsid w:val="00581E2E"/>
    <w:rsid w:val="00584F15"/>
    <w:rsid w:val="005C70B9"/>
    <w:rsid w:val="006163F7"/>
    <w:rsid w:val="00627D34"/>
    <w:rsid w:val="00633ADD"/>
    <w:rsid w:val="00652606"/>
    <w:rsid w:val="006718DC"/>
    <w:rsid w:val="00675F73"/>
    <w:rsid w:val="00676ED2"/>
    <w:rsid w:val="00682754"/>
    <w:rsid w:val="006A58A9"/>
    <w:rsid w:val="006A606D"/>
    <w:rsid w:val="006B5FAF"/>
    <w:rsid w:val="006B7F7A"/>
    <w:rsid w:val="006C0371"/>
    <w:rsid w:val="006C08B6"/>
    <w:rsid w:val="006C092B"/>
    <w:rsid w:val="006C0B1A"/>
    <w:rsid w:val="006C4384"/>
    <w:rsid w:val="006C6065"/>
    <w:rsid w:val="006C6558"/>
    <w:rsid w:val="006C7F9F"/>
    <w:rsid w:val="006E28CD"/>
    <w:rsid w:val="006E2F6D"/>
    <w:rsid w:val="006E58F6"/>
    <w:rsid w:val="006E77E1"/>
    <w:rsid w:val="006F131D"/>
    <w:rsid w:val="0071003E"/>
    <w:rsid w:val="00714B74"/>
    <w:rsid w:val="00736078"/>
    <w:rsid w:val="00745C1E"/>
    <w:rsid w:val="00752BCD"/>
    <w:rsid w:val="00757D1D"/>
    <w:rsid w:val="00766DA1"/>
    <w:rsid w:val="007828A7"/>
    <w:rsid w:val="007866A6"/>
    <w:rsid w:val="00786935"/>
    <w:rsid w:val="007A130D"/>
    <w:rsid w:val="007B61B8"/>
    <w:rsid w:val="007D0044"/>
    <w:rsid w:val="007D4102"/>
    <w:rsid w:val="007E5921"/>
    <w:rsid w:val="007F51FC"/>
    <w:rsid w:val="00810519"/>
    <w:rsid w:val="00815015"/>
    <w:rsid w:val="0081674C"/>
    <w:rsid w:val="00821FFC"/>
    <w:rsid w:val="00824D32"/>
    <w:rsid w:val="008271CA"/>
    <w:rsid w:val="008467D5"/>
    <w:rsid w:val="00847AEE"/>
    <w:rsid w:val="00854852"/>
    <w:rsid w:val="00856D9F"/>
    <w:rsid w:val="008575B3"/>
    <w:rsid w:val="00866F6D"/>
    <w:rsid w:val="00870729"/>
    <w:rsid w:val="00892F21"/>
    <w:rsid w:val="008A4DC4"/>
    <w:rsid w:val="008D4D25"/>
    <w:rsid w:val="009063EC"/>
    <w:rsid w:val="009067A4"/>
    <w:rsid w:val="0090722E"/>
    <w:rsid w:val="009110C2"/>
    <w:rsid w:val="009135F4"/>
    <w:rsid w:val="009340DB"/>
    <w:rsid w:val="009658DE"/>
    <w:rsid w:val="00972498"/>
    <w:rsid w:val="00974CC6"/>
    <w:rsid w:val="00976AD4"/>
    <w:rsid w:val="009861CA"/>
    <w:rsid w:val="00994AE8"/>
    <w:rsid w:val="00997449"/>
    <w:rsid w:val="009A312F"/>
    <w:rsid w:val="009A5348"/>
    <w:rsid w:val="009A67BB"/>
    <w:rsid w:val="009C76D5"/>
    <w:rsid w:val="009D1403"/>
    <w:rsid w:val="009F3950"/>
    <w:rsid w:val="009F7AA4"/>
    <w:rsid w:val="00A559DB"/>
    <w:rsid w:val="00A56D56"/>
    <w:rsid w:val="00AA53AD"/>
    <w:rsid w:val="00AD3435"/>
    <w:rsid w:val="00AF35FC"/>
    <w:rsid w:val="00B03639"/>
    <w:rsid w:val="00B0652A"/>
    <w:rsid w:val="00B20791"/>
    <w:rsid w:val="00B3757D"/>
    <w:rsid w:val="00B40937"/>
    <w:rsid w:val="00B423EF"/>
    <w:rsid w:val="00B42E98"/>
    <w:rsid w:val="00B453DE"/>
    <w:rsid w:val="00B4742F"/>
    <w:rsid w:val="00B80E76"/>
    <w:rsid w:val="00B901F9"/>
    <w:rsid w:val="00B9502C"/>
    <w:rsid w:val="00BC1C04"/>
    <w:rsid w:val="00BD6EFB"/>
    <w:rsid w:val="00BE785C"/>
    <w:rsid w:val="00C15BE2"/>
    <w:rsid w:val="00C22219"/>
    <w:rsid w:val="00C236FA"/>
    <w:rsid w:val="00C3447F"/>
    <w:rsid w:val="00C81491"/>
    <w:rsid w:val="00C81676"/>
    <w:rsid w:val="00C92CC4"/>
    <w:rsid w:val="00CA0AFB"/>
    <w:rsid w:val="00CA2CE1"/>
    <w:rsid w:val="00CA3976"/>
    <w:rsid w:val="00CA445D"/>
    <w:rsid w:val="00CA757B"/>
    <w:rsid w:val="00CC1787"/>
    <w:rsid w:val="00CC182C"/>
    <w:rsid w:val="00CD02B7"/>
    <w:rsid w:val="00CD0824"/>
    <w:rsid w:val="00CD2908"/>
    <w:rsid w:val="00CD2DF4"/>
    <w:rsid w:val="00CD53A5"/>
    <w:rsid w:val="00D03A82"/>
    <w:rsid w:val="00D03B42"/>
    <w:rsid w:val="00D15344"/>
    <w:rsid w:val="00D27641"/>
    <w:rsid w:val="00D31BEC"/>
    <w:rsid w:val="00D63150"/>
    <w:rsid w:val="00D64A32"/>
    <w:rsid w:val="00D64A9B"/>
    <w:rsid w:val="00D64EFC"/>
    <w:rsid w:val="00D65FC4"/>
    <w:rsid w:val="00D75295"/>
    <w:rsid w:val="00D76CE9"/>
    <w:rsid w:val="00D9768C"/>
    <w:rsid w:val="00D97F12"/>
    <w:rsid w:val="00DB42E7"/>
    <w:rsid w:val="00DB5FBA"/>
    <w:rsid w:val="00DF0EB4"/>
    <w:rsid w:val="00DF32C2"/>
    <w:rsid w:val="00DF451B"/>
    <w:rsid w:val="00E07B4F"/>
    <w:rsid w:val="00E471A7"/>
    <w:rsid w:val="00E635CF"/>
    <w:rsid w:val="00EB277D"/>
    <w:rsid w:val="00EB5410"/>
    <w:rsid w:val="00EC3F94"/>
    <w:rsid w:val="00EC6E0A"/>
    <w:rsid w:val="00ED4E18"/>
    <w:rsid w:val="00ED6BBA"/>
    <w:rsid w:val="00ED7B65"/>
    <w:rsid w:val="00EE1F37"/>
    <w:rsid w:val="00F0159C"/>
    <w:rsid w:val="00F105B7"/>
    <w:rsid w:val="00F17A21"/>
    <w:rsid w:val="00F45CF4"/>
    <w:rsid w:val="00F50E91"/>
    <w:rsid w:val="00F57D29"/>
    <w:rsid w:val="00F92A99"/>
    <w:rsid w:val="00F96201"/>
    <w:rsid w:val="00FC30E9"/>
    <w:rsid w:val="00FC685B"/>
    <w:rsid w:val="00FD0B18"/>
    <w:rsid w:val="00FD0F82"/>
    <w:rsid w:val="00FE1F57"/>
    <w:rsid w:val="00FE714F"/>
    <w:rsid w:val="00FE73D0"/>
    <w:rsid w:val="00FF41BC"/>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A6B150C"/>
  <w15:docId w15:val="{EBF235F1-A31B-4691-A0BD-C03DE938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B03D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ases@ivey.ca"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9"/>
    </mc:Choice>
    <mc:Fallback>
      <c:style val="9"/>
    </mc:Fallback>
  </mc:AlternateContent>
  <c:chart>
    <c:autoTitleDeleted val="1"/>
    <c:plotArea>
      <c:layout/>
      <c:lineChart>
        <c:grouping val="standard"/>
        <c:varyColors val="0"/>
        <c:ser>
          <c:idx val="0"/>
          <c:order val="0"/>
          <c:tx>
            <c:strRef>
              <c:f>'Exhibit 4'!$A$9</c:f>
              <c:strCache>
                <c:ptCount val="1"/>
                <c:pt idx="0">
                  <c:v>IOI</c:v>
                </c:pt>
              </c:strCache>
            </c:strRef>
          </c:tx>
          <c:spPr>
            <a:ln w="57150">
              <a:solidFill>
                <a:schemeClr val="tx1"/>
              </a:solidFill>
            </a:ln>
          </c:spPr>
          <c:marker>
            <c:spPr>
              <a:solidFill>
                <a:schemeClr val="tx1"/>
              </a:solidFill>
            </c:spPr>
          </c:marker>
          <c:cat>
            <c:numRef>
              <c:f>'Exhibit 4'!$B$8:$P$8</c:f>
              <c:numCache>
                <c:formatCode>General</c:formatCode>
                <c:ptCount val="15"/>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numCache>
            </c:numRef>
          </c:cat>
          <c:val>
            <c:numRef>
              <c:f>'Exhibit 4'!$B$9:$P$9</c:f>
              <c:numCache>
                <c:formatCode>0</c:formatCode>
                <c:ptCount val="15"/>
                <c:pt idx="0">
                  <c:v>98.864000000000004</c:v>
                </c:pt>
                <c:pt idx="1">
                  <c:v>124.203</c:v>
                </c:pt>
                <c:pt idx="2">
                  <c:v>145.06</c:v>
                </c:pt>
                <c:pt idx="3">
                  <c:v>143.696</c:v>
                </c:pt>
                <c:pt idx="4">
                  <c:v>144.05500000000001</c:v>
                </c:pt>
                <c:pt idx="5">
                  <c:v>148.87100000000001</c:v>
                </c:pt>
                <c:pt idx="6">
                  <c:v>149.44499999999999</c:v>
                </c:pt>
                <c:pt idx="7">
                  <c:v>150.93100000000001</c:v>
                </c:pt>
                <c:pt idx="8">
                  <c:v>154.709</c:v>
                </c:pt>
                <c:pt idx="9">
                  <c:v>157.04499999999999</c:v>
                </c:pt>
                <c:pt idx="10">
                  <c:v>157.75200000000001</c:v>
                </c:pt>
                <c:pt idx="11">
                  <c:v>160.626</c:v>
                </c:pt>
                <c:pt idx="12">
                  <c:v>174.06100000000001</c:v>
                </c:pt>
                <c:pt idx="13">
                  <c:v>178.768</c:v>
                </c:pt>
                <c:pt idx="14">
                  <c:v>179</c:v>
                </c:pt>
              </c:numCache>
            </c:numRef>
          </c:val>
          <c:smooth val="0"/>
        </c:ser>
        <c:ser>
          <c:idx val="1"/>
          <c:order val="1"/>
          <c:tx>
            <c:strRef>
              <c:f>'Exhibit 4'!$A$10</c:f>
              <c:strCache>
                <c:ptCount val="1"/>
                <c:pt idx="0">
                  <c:v>Wilmar</c:v>
                </c:pt>
              </c:strCache>
            </c:strRef>
          </c:tx>
          <c:cat>
            <c:numRef>
              <c:f>'Exhibit 4'!$B$8:$P$8</c:f>
              <c:numCache>
                <c:formatCode>General</c:formatCode>
                <c:ptCount val="15"/>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numCache>
            </c:numRef>
          </c:cat>
          <c:val>
            <c:numRef>
              <c:f>'Exhibit 4'!$B$10:$P$10</c:f>
              <c:numCache>
                <c:formatCode>0</c:formatCode>
                <c:ptCount val="15"/>
                <c:pt idx="0">
                  <c:v>0</c:v>
                </c:pt>
                <c:pt idx="1">
                  <c:v>0</c:v>
                </c:pt>
                <c:pt idx="2">
                  <c:v>0</c:v>
                </c:pt>
                <c:pt idx="3">
                  <c:v>66</c:v>
                </c:pt>
                <c:pt idx="4">
                  <c:v>170</c:v>
                </c:pt>
                <c:pt idx="5">
                  <c:v>230</c:v>
                </c:pt>
                <c:pt idx="6">
                  <c:v>223.25800000000001</c:v>
                </c:pt>
                <c:pt idx="7">
                  <c:v>235.79900000000001</c:v>
                </c:pt>
                <c:pt idx="8">
                  <c:v>248.77600000000001</c:v>
                </c:pt>
                <c:pt idx="9">
                  <c:v>251.40700000000001</c:v>
                </c:pt>
                <c:pt idx="10">
                  <c:v>260.09300000000002</c:v>
                </c:pt>
                <c:pt idx="11">
                  <c:v>245.71199999999999</c:v>
                </c:pt>
                <c:pt idx="12">
                  <c:v>243.56899999999999</c:v>
                </c:pt>
                <c:pt idx="13">
                  <c:v>246.2</c:v>
                </c:pt>
                <c:pt idx="14">
                  <c:v>247</c:v>
                </c:pt>
              </c:numCache>
            </c:numRef>
          </c:val>
          <c:smooth val="0"/>
        </c:ser>
        <c:ser>
          <c:idx val="2"/>
          <c:order val="2"/>
          <c:tx>
            <c:strRef>
              <c:f>'Exhibit 4'!$A$11</c:f>
              <c:strCache>
                <c:ptCount val="1"/>
                <c:pt idx="0">
                  <c:v>GAR</c:v>
                </c:pt>
              </c:strCache>
            </c:strRef>
          </c:tx>
          <c:cat>
            <c:numRef>
              <c:f>'Exhibit 4'!$B$8:$P$8</c:f>
              <c:numCache>
                <c:formatCode>General</c:formatCode>
                <c:ptCount val="15"/>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numCache>
            </c:numRef>
          </c:cat>
          <c:val>
            <c:numRef>
              <c:f>'Exhibit 4'!$B$11:$P$11</c:f>
              <c:numCache>
                <c:formatCode>0</c:formatCode>
                <c:ptCount val="15"/>
                <c:pt idx="0">
                  <c:v>282</c:v>
                </c:pt>
                <c:pt idx="1">
                  <c:v>284</c:v>
                </c:pt>
                <c:pt idx="2">
                  <c:v>287</c:v>
                </c:pt>
                <c:pt idx="3">
                  <c:v>286.714</c:v>
                </c:pt>
                <c:pt idx="4">
                  <c:v>306.85000000000002</c:v>
                </c:pt>
                <c:pt idx="5">
                  <c:v>359.73200000000003</c:v>
                </c:pt>
                <c:pt idx="6">
                  <c:v>392</c:v>
                </c:pt>
                <c:pt idx="7">
                  <c:v>427</c:v>
                </c:pt>
                <c:pt idx="8">
                  <c:v>442.5</c:v>
                </c:pt>
                <c:pt idx="9">
                  <c:v>455.7</c:v>
                </c:pt>
                <c:pt idx="10">
                  <c:v>463.4</c:v>
                </c:pt>
                <c:pt idx="11">
                  <c:v>471.1</c:v>
                </c:pt>
                <c:pt idx="12">
                  <c:v>472.8</c:v>
                </c:pt>
                <c:pt idx="13">
                  <c:v>485.6</c:v>
                </c:pt>
                <c:pt idx="14">
                  <c:v>488</c:v>
                </c:pt>
              </c:numCache>
            </c:numRef>
          </c:val>
          <c:smooth val="0"/>
        </c:ser>
        <c:ser>
          <c:idx val="3"/>
          <c:order val="3"/>
          <c:tx>
            <c:strRef>
              <c:f>'Exhibit 4'!$A$12</c:f>
              <c:strCache>
                <c:ptCount val="1"/>
                <c:pt idx="0">
                  <c:v>KLK</c:v>
                </c:pt>
              </c:strCache>
            </c:strRef>
          </c:tx>
          <c:cat>
            <c:numRef>
              <c:f>'Exhibit 4'!$B$8:$P$8</c:f>
              <c:numCache>
                <c:formatCode>General</c:formatCode>
                <c:ptCount val="15"/>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numCache>
            </c:numRef>
          </c:cat>
          <c:val>
            <c:numRef>
              <c:f>'Exhibit 4'!$B$12:$P$12</c:f>
              <c:numCache>
                <c:formatCode>0</c:formatCode>
                <c:ptCount val="15"/>
                <c:pt idx="0">
                  <c:v>112.949</c:v>
                </c:pt>
                <c:pt idx="1">
                  <c:v>113.78400000000001</c:v>
                </c:pt>
                <c:pt idx="2">
                  <c:v>121.203</c:v>
                </c:pt>
                <c:pt idx="3">
                  <c:v>121.03</c:v>
                </c:pt>
                <c:pt idx="4">
                  <c:v>123.462</c:v>
                </c:pt>
                <c:pt idx="5">
                  <c:v>134.98099999999999</c:v>
                </c:pt>
                <c:pt idx="6">
                  <c:v>150.262</c:v>
                </c:pt>
                <c:pt idx="7">
                  <c:v>170.071</c:v>
                </c:pt>
                <c:pt idx="8">
                  <c:v>180.55099999999999</c:v>
                </c:pt>
                <c:pt idx="9">
                  <c:v>187.084</c:v>
                </c:pt>
                <c:pt idx="10">
                  <c:v>192.42400000000001</c:v>
                </c:pt>
                <c:pt idx="11">
                  <c:v>196.232</c:v>
                </c:pt>
                <c:pt idx="12">
                  <c:v>204.78100000000001</c:v>
                </c:pt>
                <c:pt idx="13">
                  <c:v>209.249</c:v>
                </c:pt>
                <c:pt idx="14">
                  <c:v>212</c:v>
                </c:pt>
              </c:numCache>
            </c:numRef>
          </c:val>
          <c:smooth val="0"/>
        </c:ser>
        <c:ser>
          <c:idx val="4"/>
          <c:order val="4"/>
          <c:tx>
            <c:strRef>
              <c:f>'Exhibit 4'!$A$13</c:f>
              <c:strCache>
                <c:ptCount val="1"/>
                <c:pt idx="0">
                  <c:v>Astra Agro Lestari</c:v>
                </c:pt>
              </c:strCache>
            </c:strRef>
          </c:tx>
          <c:cat>
            <c:numRef>
              <c:f>'Exhibit 4'!$B$8:$P$8</c:f>
              <c:numCache>
                <c:formatCode>General</c:formatCode>
                <c:ptCount val="15"/>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numCache>
            </c:numRef>
          </c:cat>
          <c:val>
            <c:numRef>
              <c:f>'Exhibit 4'!$B$13:$P$13</c:f>
              <c:numCache>
                <c:formatCode>0</c:formatCode>
                <c:ptCount val="15"/>
                <c:pt idx="0">
                  <c:v>0</c:v>
                </c:pt>
                <c:pt idx="1">
                  <c:v>0</c:v>
                </c:pt>
                <c:pt idx="2">
                  <c:v>146.74700000000001</c:v>
                </c:pt>
                <c:pt idx="3">
                  <c:v>152.035</c:v>
                </c:pt>
                <c:pt idx="4">
                  <c:v>163.482</c:v>
                </c:pt>
                <c:pt idx="5">
                  <c:v>182.47</c:v>
                </c:pt>
                <c:pt idx="6">
                  <c:v>194.21700000000001</c:v>
                </c:pt>
                <c:pt idx="7">
                  <c:v>207.30500000000001</c:v>
                </c:pt>
                <c:pt idx="8">
                  <c:v>206.54900000000001</c:v>
                </c:pt>
                <c:pt idx="9">
                  <c:v>207.08699999999999</c:v>
                </c:pt>
                <c:pt idx="10">
                  <c:v>272.99400000000003</c:v>
                </c:pt>
                <c:pt idx="11">
                  <c:v>281.37799999999999</c:v>
                </c:pt>
                <c:pt idx="12">
                  <c:v>297.57900000000001</c:v>
                </c:pt>
                <c:pt idx="13">
                  <c:v>297.86200000000002</c:v>
                </c:pt>
                <c:pt idx="14">
                  <c:v>297</c:v>
                </c:pt>
              </c:numCache>
            </c:numRef>
          </c:val>
          <c:smooth val="0"/>
        </c:ser>
        <c:dLbls>
          <c:showLegendKey val="0"/>
          <c:showVal val="0"/>
          <c:showCatName val="0"/>
          <c:showSerName val="0"/>
          <c:showPercent val="0"/>
          <c:showBubbleSize val="0"/>
        </c:dLbls>
        <c:marker val="1"/>
        <c:smooth val="0"/>
        <c:axId val="355582976"/>
        <c:axId val="355583368"/>
      </c:lineChart>
      <c:catAx>
        <c:axId val="355582976"/>
        <c:scaling>
          <c:orientation val="minMax"/>
        </c:scaling>
        <c:delete val="0"/>
        <c:axPos val="b"/>
        <c:numFmt formatCode="General" sourceLinked="1"/>
        <c:majorTickMark val="none"/>
        <c:minorTickMark val="out"/>
        <c:tickLblPos val="nextTo"/>
        <c:txPr>
          <a:bodyPr rot="-60000000" vert="horz"/>
          <a:lstStyle/>
          <a:p>
            <a:pPr>
              <a:defRPr>
                <a:latin typeface="Arial" panose="020B0604020202020204" pitchFamily="34" charset="0"/>
                <a:cs typeface="Arial" panose="020B0604020202020204" pitchFamily="34" charset="0"/>
              </a:defRPr>
            </a:pPr>
            <a:endParaRPr lang="en-US"/>
          </a:p>
        </c:txPr>
        <c:crossAx val="355583368"/>
        <c:crosses val="autoZero"/>
        <c:auto val="1"/>
        <c:lblAlgn val="ctr"/>
        <c:lblOffset val="100"/>
        <c:noMultiLvlLbl val="0"/>
      </c:catAx>
      <c:valAx>
        <c:axId val="355583368"/>
        <c:scaling>
          <c:orientation val="minMax"/>
        </c:scaling>
        <c:delete val="0"/>
        <c:axPos val="l"/>
        <c:majorGridlines/>
        <c:title>
          <c:tx>
            <c:rich>
              <a:bodyPr rot="-5400000" vert="horz"/>
              <a:lstStyle/>
              <a:p>
                <a:pPr>
                  <a:defRPr>
                    <a:latin typeface="Arial" panose="020B0604020202020204" pitchFamily="34" charset="0"/>
                    <a:cs typeface="Arial" panose="020B0604020202020204" pitchFamily="34" charset="0"/>
                  </a:defRPr>
                </a:pPr>
                <a:r>
                  <a:rPr lang="en-US">
                    <a:latin typeface="Arial" panose="020B0604020202020204" pitchFamily="34" charset="0"/>
                    <a:cs typeface="Arial" panose="020B0604020202020204" pitchFamily="34" charset="0"/>
                  </a:rPr>
                  <a:t>Hectares ('000)</a:t>
                </a:r>
              </a:p>
            </c:rich>
          </c:tx>
          <c:layout/>
          <c:overlay val="0"/>
        </c:title>
        <c:numFmt formatCode="0" sourceLinked="1"/>
        <c:majorTickMark val="out"/>
        <c:minorTickMark val="out"/>
        <c:tickLblPos val="nextTo"/>
        <c:txPr>
          <a:bodyPr rot="-60000000" vert="horz"/>
          <a:lstStyle/>
          <a:p>
            <a:pPr>
              <a:defRPr>
                <a:latin typeface="Arial" panose="020B0604020202020204" pitchFamily="34" charset="0"/>
                <a:cs typeface="Arial" panose="020B0604020202020204" pitchFamily="34" charset="0"/>
              </a:defRPr>
            </a:pPr>
            <a:endParaRPr lang="en-US"/>
          </a:p>
        </c:txPr>
        <c:crossAx val="355582976"/>
        <c:crosses val="autoZero"/>
        <c:crossBetween val="between"/>
      </c:valAx>
    </c:plotArea>
    <c:legend>
      <c:legendPos val="b"/>
      <c:layout/>
      <c:overlay val="0"/>
      <c:txPr>
        <a:bodyPr rot="0" vert="horz"/>
        <a:lstStyle/>
        <a:p>
          <a:pPr>
            <a:defRPr>
              <a:latin typeface="Arial" panose="020B0604020202020204" pitchFamily="34" charset="0"/>
              <a:cs typeface="Arial" panose="020B0604020202020204" pitchFamily="34" charset="0"/>
            </a:defRPr>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32D84F5-FC0F-4F71-8A5C-4CC01B8A0512}">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856E549-F119-402C-8CA0-4B34DDC842D0}">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13351-62DB-4665-912D-30A9108B2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4743</Words>
  <Characters>27039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3</cp:revision>
  <cp:lastPrinted>2011-06-23T13:34:00Z</cp:lastPrinted>
  <dcterms:created xsi:type="dcterms:W3CDTF">2018-02-08T17:36:00Z</dcterms:created>
  <dcterms:modified xsi:type="dcterms:W3CDTF">2018-02-12T18:20:00Z</dcterms:modified>
</cp:coreProperties>
</file>