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9231B" w14:textId="7D6203C6" w:rsidR="008467D5" w:rsidRDefault="000926A8" w:rsidP="00013360">
      <w:pPr>
        <w:tabs>
          <w:tab w:val="left" w:pos="-1440"/>
          <w:tab w:val="left" w:pos="-720"/>
          <w:tab w:val="left" w:pos="1"/>
          <w:tab w:val="right" w:pos="9360"/>
        </w:tabs>
        <w:jc w:val="both"/>
        <w:rPr>
          <w:rFonts w:ascii="Arial" w:hAnsi="Arial"/>
          <w:sz w:val="24"/>
          <w:lang w:eastAsia="zh-CN"/>
        </w:rPr>
      </w:pPr>
      <w:r w:rsidRPr="00A569EA">
        <w:rPr>
          <w:rFonts w:ascii="Arial" w:hAnsi="Arial"/>
          <w:b/>
          <w:noProof/>
          <w:sz w:val="24"/>
        </w:rPr>
        <w:drawing>
          <wp:inline distT="0" distB="0" distL="0" distR="0" wp14:anchorId="3437AD8E" wp14:editId="5709E65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FE6D49F" w14:textId="77777777" w:rsidR="00856D9F" w:rsidRPr="000926A8" w:rsidRDefault="00856D9F" w:rsidP="008467D5">
      <w:pPr>
        <w:pBdr>
          <w:bottom w:val="single" w:sz="18" w:space="1" w:color="auto"/>
        </w:pBdr>
        <w:tabs>
          <w:tab w:val="left" w:pos="-1440"/>
          <w:tab w:val="left" w:pos="-720"/>
          <w:tab w:val="left" w:pos="1"/>
        </w:tabs>
        <w:jc w:val="both"/>
        <w:rPr>
          <w:rFonts w:ascii="Arial" w:hAnsi="Arial"/>
          <w:b/>
          <w:sz w:val="2"/>
          <w:szCs w:val="2"/>
        </w:rPr>
      </w:pPr>
    </w:p>
    <w:p w14:paraId="3577B44D" w14:textId="174CB7D8" w:rsidR="00D75295" w:rsidRDefault="00737977" w:rsidP="00F105B7">
      <w:pPr>
        <w:pStyle w:val="ProductNumber"/>
      </w:pPr>
      <w:r>
        <w:t>9B18M031</w:t>
      </w:r>
    </w:p>
    <w:p w14:paraId="4C4CADF6" w14:textId="77777777" w:rsidR="00D75295" w:rsidRDefault="00D75295" w:rsidP="00D75295">
      <w:pPr>
        <w:jc w:val="right"/>
        <w:rPr>
          <w:rFonts w:ascii="Arial" w:hAnsi="Arial"/>
          <w:b/>
          <w:sz w:val="28"/>
          <w:szCs w:val="28"/>
        </w:rPr>
      </w:pPr>
    </w:p>
    <w:p w14:paraId="34BA94DA" w14:textId="77777777" w:rsidR="00866F6D" w:rsidRDefault="00866F6D" w:rsidP="00D75295">
      <w:pPr>
        <w:jc w:val="right"/>
        <w:rPr>
          <w:rFonts w:ascii="Arial" w:hAnsi="Arial"/>
          <w:b/>
          <w:sz w:val="28"/>
          <w:szCs w:val="28"/>
        </w:rPr>
      </w:pPr>
    </w:p>
    <w:p w14:paraId="74ED4AE8" w14:textId="77777777" w:rsidR="00013360" w:rsidRPr="00361C8E" w:rsidRDefault="009248C3" w:rsidP="00013360">
      <w:pPr>
        <w:pStyle w:val="CaseTitle"/>
        <w:spacing w:after="0" w:line="240" w:lineRule="auto"/>
      </w:pPr>
      <w:r w:rsidRPr="009248C3">
        <w:t>BANRO CORPORATION: RECAPITALIZATION FOR SUSTAINABILITY IN THE CONGO’S GOLD MINING</w:t>
      </w:r>
      <w:r>
        <w:rPr>
          <w:rStyle w:val="EndnoteReference"/>
        </w:rPr>
        <w:endnoteReference w:id="1"/>
      </w:r>
    </w:p>
    <w:p w14:paraId="42A5E148" w14:textId="77777777" w:rsidR="00CA3976" w:rsidRDefault="00CA3976" w:rsidP="00013360">
      <w:pPr>
        <w:pStyle w:val="CaseTitle"/>
        <w:spacing w:after="0" w:line="240" w:lineRule="auto"/>
        <w:rPr>
          <w:sz w:val="20"/>
          <w:szCs w:val="20"/>
        </w:rPr>
      </w:pPr>
    </w:p>
    <w:p w14:paraId="70C065B7" w14:textId="77777777" w:rsidR="00013360" w:rsidRPr="00013360" w:rsidRDefault="00013360" w:rsidP="00013360">
      <w:pPr>
        <w:pStyle w:val="CaseTitle"/>
        <w:spacing w:after="0" w:line="240" w:lineRule="auto"/>
        <w:rPr>
          <w:sz w:val="20"/>
          <w:szCs w:val="20"/>
        </w:rPr>
      </w:pPr>
    </w:p>
    <w:p w14:paraId="200B002A" w14:textId="77777777" w:rsidR="00013360" w:rsidRDefault="009248C3" w:rsidP="00104567">
      <w:pPr>
        <w:pStyle w:val="StyleCopyrightStatementAfter0ptBottomSinglesolidline1"/>
      </w:pPr>
      <w:r w:rsidRPr="003D79D0">
        <w:rPr>
          <w:lang w:val="en-GB" w:eastAsia="zh-CN"/>
        </w:rPr>
        <w:t xml:space="preserve">Wiboon Kittilaksanawong and Kabi Olivier Katabaruka </w:t>
      </w:r>
      <w:r w:rsidR="007E5921">
        <w:t>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61120746" w14:textId="77777777" w:rsidR="00013360" w:rsidRDefault="00013360" w:rsidP="00104567">
      <w:pPr>
        <w:pStyle w:val="StyleCopyrightStatementAfter0ptBottomSinglesolidline1"/>
      </w:pPr>
    </w:p>
    <w:p w14:paraId="34CE7CF0" w14:textId="77777777" w:rsidR="000926A8" w:rsidRPr="00E23AB7" w:rsidRDefault="000926A8" w:rsidP="000926A8">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709BE4E4" w14:textId="77777777" w:rsidR="000926A8" w:rsidRPr="00E23AB7" w:rsidRDefault="000926A8" w:rsidP="000926A8">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C773A37" w14:textId="2C7AB918" w:rsidR="003B7EF2" w:rsidRDefault="000926A8" w:rsidP="000926A8">
      <w:pPr>
        <w:pStyle w:val="StyleStyleCopyrightStatementAfter0ptBottomSinglesolid"/>
      </w:pPr>
      <w:r w:rsidRPr="00E23AB7">
        <w:rPr>
          <w:rFonts w:cs="Arial"/>
          <w:szCs w:val="16"/>
        </w:rPr>
        <w:t>Copyright © 20</w:t>
      </w:r>
      <w:r>
        <w:rPr>
          <w:rFonts w:cs="Arial"/>
          <w:szCs w:val="16"/>
        </w:rPr>
        <w:t>18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Pr>
          <w:rFonts w:cs="Arial"/>
          <w:szCs w:val="16"/>
          <w:lang w:val="en-CA"/>
        </w:rPr>
        <w:tab/>
      </w:r>
      <w:r>
        <w:t>Version: 2018-</w:t>
      </w:r>
      <w:r w:rsidR="0097496B">
        <w:t>03-09</w:t>
      </w:r>
      <w:bookmarkStart w:id="0" w:name="_GoBack"/>
      <w:bookmarkEnd w:id="0"/>
    </w:p>
    <w:p w14:paraId="45011810" w14:textId="77777777" w:rsidR="003B7EF2" w:rsidRDefault="003B7EF2" w:rsidP="00104567">
      <w:pPr>
        <w:pStyle w:val="StyleCopyrightStatementAfter0ptBottomSinglesolidline1"/>
        <w:rPr>
          <w:rFonts w:ascii="Times New Roman" w:hAnsi="Times New Roman"/>
          <w:sz w:val="20"/>
        </w:rPr>
      </w:pPr>
    </w:p>
    <w:p w14:paraId="5604ED9C" w14:textId="77777777" w:rsidR="009248C3" w:rsidRPr="003B7EF2" w:rsidRDefault="009248C3" w:rsidP="00104567">
      <w:pPr>
        <w:pStyle w:val="StyleCopyrightStatementAfter0ptBottomSinglesolidline1"/>
        <w:rPr>
          <w:rFonts w:ascii="Times New Roman" w:hAnsi="Times New Roman"/>
          <w:sz w:val="20"/>
        </w:rPr>
      </w:pPr>
    </w:p>
    <w:p w14:paraId="161C64AC" w14:textId="6D080DB8" w:rsidR="009248C3" w:rsidRPr="0097496B" w:rsidRDefault="009248C3" w:rsidP="0097496B">
      <w:pPr>
        <w:pStyle w:val="BodyTextMain"/>
      </w:pPr>
      <w:r w:rsidRPr="0097496B">
        <w:rPr>
          <w:rFonts w:hint="eastAsia"/>
        </w:rPr>
        <w:t>I</w:t>
      </w:r>
      <w:r w:rsidRPr="0097496B">
        <w:t xml:space="preserve">n January 2017, </w:t>
      </w:r>
      <w:proofErr w:type="spellStart"/>
      <w:r w:rsidRPr="0097496B">
        <w:t>Banro</w:t>
      </w:r>
      <w:proofErr w:type="spellEnd"/>
      <w:r w:rsidRPr="0097496B">
        <w:t xml:space="preserve"> Corporation (</w:t>
      </w:r>
      <w:proofErr w:type="spellStart"/>
      <w:r w:rsidRPr="0097496B">
        <w:t>Banro</w:t>
      </w:r>
      <w:proofErr w:type="spellEnd"/>
      <w:r w:rsidRPr="0097496B">
        <w:t>), a Canadian gold company with wholly</w:t>
      </w:r>
      <w:r w:rsidR="00B53A8D" w:rsidRPr="0097496B">
        <w:t>-</w:t>
      </w:r>
      <w:r w:rsidRPr="0097496B">
        <w:t>owned production and exploration mines in the Democratic Republic of Congo (DRC)</w:t>
      </w:r>
      <w:r w:rsidR="00123604" w:rsidRPr="0097496B">
        <w:t>,</w:t>
      </w:r>
      <w:r w:rsidRPr="0097496B">
        <w:t xml:space="preserve"> underwent recapitalization by refinancing its US$207.5 million</w:t>
      </w:r>
      <w:r w:rsidRPr="0097496B">
        <w:rPr>
          <w:vertAlign w:val="superscript"/>
        </w:rPr>
        <w:endnoteReference w:id="2"/>
      </w:r>
      <w:r w:rsidRPr="0097496B">
        <w:t xml:space="preserve"> of debt to cope with financial distress, and to optimize its operations of mining assets.</w:t>
      </w:r>
      <w:r w:rsidRPr="0097496B">
        <w:rPr>
          <w:vertAlign w:val="superscript"/>
        </w:rPr>
        <w:endnoteReference w:id="3"/>
      </w:r>
      <w:r w:rsidRPr="0097496B">
        <w:t xml:space="preserve"> Unlike </w:t>
      </w:r>
      <w:r w:rsidR="00E67C06" w:rsidRPr="0097496B">
        <w:t xml:space="preserve">in </w:t>
      </w:r>
      <w:r w:rsidRPr="0097496B">
        <w:t xml:space="preserve">the </w:t>
      </w:r>
      <w:r w:rsidR="00E67C06" w:rsidRPr="0097496B">
        <w:t xml:space="preserve">company’s </w:t>
      </w:r>
      <w:r w:rsidRPr="0097496B">
        <w:t>previous structure, the new principal shareholders</w:t>
      </w:r>
      <w:r w:rsidR="00E67C06" w:rsidRPr="0097496B">
        <w:t>—</w:t>
      </w:r>
      <w:r w:rsidRPr="0097496B">
        <w:t xml:space="preserve">the Chinese </w:t>
      </w:r>
      <w:r w:rsidR="00E67C06" w:rsidRPr="0097496B">
        <w:t xml:space="preserve">company </w:t>
      </w:r>
      <w:proofErr w:type="spellStart"/>
      <w:r w:rsidRPr="0097496B">
        <w:t>Baiyin</w:t>
      </w:r>
      <w:proofErr w:type="spellEnd"/>
      <w:r w:rsidRPr="0097496B">
        <w:t xml:space="preserve"> Nonferrous Group Co</w:t>
      </w:r>
      <w:r w:rsidR="00E67C06" w:rsidRPr="0097496B">
        <w:t>.</w:t>
      </w:r>
      <w:r w:rsidRPr="0097496B">
        <w:t xml:space="preserve"> Limited (</w:t>
      </w:r>
      <w:proofErr w:type="spellStart"/>
      <w:r w:rsidRPr="0097496B">
        <w:t>Baiyin</w:t>
      </w:r>
      <w:proofErr w:type="spellEnd"/>
      <w:r w:rsidRPr="0097496B">
        <w:t>), the U.S.-based Gramercy Funds Management LLC (Gramercy), and BlackRock Investment Management (UK) Limited (BlackRock)</w:t>
      </w:r>
      <w:r w:rsidRPr="0097496B">
        <w:rPr>
          <w:vertAlign w:val="superscript"/>
        </w:rPr>
        <w:endnoteReference w:id="4"/>
      </w:r>
      <w:r w:rsidR="00E67C06" w:rsidRPr="0097496B">
        <w:t>—</w:t>
      </w:r>
      <w:r w:rsidR="000017BA" w:rsidRPr="0097496B">
        <w:t xml:space="preserve">held </w:t>
      </w:r>
      <w:r w:rsidR="00683C34" w:rsidRPr="0097496B">
        <w:t xml:space="preserve">a </w:t>
      </w:r>
      <w:r w:rsidRPr="0097496B">
        <w:t>significant</w:t>
      </w:r>
      <w:r w:rsidR="00683C34" w:rsidRPr="0097496B">
        <w:t xml:space="preserve"> number of the common share</w:t>
      </w:r>
      <w:r w:rsidR="00123604" w:rsidRPr="0097496B">
        <w:t>s. C</w:t>
      </w:r>
      <w:r w:rsidR="00683C34" w:rsidRPr="0097496B">
        <w:t>onsequently</w:t>
      </w:r>
      <w:r w:rsidR="00123604" w:rsidRPr="0097496B">
        <w:t>, they</w:t>
      </w:r>
      <w:r w:rsidR="00683C34" w:rsidRPr="0097496B">
        <w:t xml:space="preserve"> </w:t>
      </w:r>
      <w:r w:rsidR="000017BA" w:rsidRPr="0097496B">
        <w:t xml:space="preserve">had </w:t>
      </w:r>
      <w:r w:rsidR="00683C34" w:rsidRPr="0097496B">
        <w:t xml:space="preserve">a significant </w:t>
      </w:r>
      <w:r w:rsidRPr="0097496B">
        <w:t xml:space="preserve">vote on any corporate matters </w:t>
      </w:r>
      <w:r w:rsidR="00683C34" w:rsidRPr="0097496B">
        <w:t xml:space="preserve">coming </w:t>
      </w:r>
      <w:r w:rsidRPr="0097496B">
        <w:t>before</w:t>
      </w:r>
      <w:r w:rsidR="00683C34" w:rsidRPr="0097496B">
        <w:t xml:space="preserve"> a vote of</w:t>
      </w:r>
      <w:r w:rsidRPr="0097496B">
        <w:t xml:space="preserve"> other common shareholders, marking a turnaround for </w:t>
      </w:r>
      <w:proofErr w:type="spellStart"/>
      <w:r w:rsidR="00756880" w:rsidRPr="0097496B">
        <w:t>Banro</w:t>
      </w:r>
      <w:proofErr w:type="spellEnd"/>
      <w:r w:rsidRPr="0097496B">
        <w:t>.</w:t>
      </w:r>
      <w:r w:rsidRPr="0097496B">
        <w:rPr>
          <w:vertAlign w:val="superscript"/>
        </w:rPr>
        <w:endnoteReference w:id="5"/>
      </w:r>
      <w:r w:rsidRPr="0097496B">
        <w:t xml:space="preserve"> Beginning as a small exploration mining company in 1994, </w:t>
      </w:r>
      <w:proofErr w:type="spellStart"/>
      <w:r w:rsidRPr="0097496B">
        <w:t>Banro</w:t>
      </w:r>
      <w:proofErr w:type="spellEnd"/>
      <w:r w:rsidRPr="0097496B">
        <w:t xml:space="preserve"> engaged in the first turnaround in 2007, when the positive assessments of potential gold reserves in its mine allowed it to invest further and move to the production phase, which was additionally incentivized by </w:t>
      </w:r>
      <w:r w:rsidR="00FD0B44" w:rsidRPr="0097496B">
        <w:t>a</w:t>
      </w:r>
      <w:r w:rsidRPr="0097496B">
        <w:t xml:space="preserve"> tax holiday from the DRC government in 2009, and the historical rise of </w:t>
      </w:r>
      <w:r w:rsidR="00756880" w:rsidRPr="0097496B">
        <w:t xml:space="preserve">the price of </w:t>
      </w:r>
      <w:r w:rsidRPr="0097496B">
        <w:t>gold during 2009</w:t>
      </w:r>
      <w:r w:rsidR="00756880" w:rsidRPr="0097496B">
        <w:t>–</w:t>
      </w:r>
      <w:r w:rsidRPr="0097496B">
        <w:t>2012.</w:t>
      </w:r>
      <w:r w:rsidRPr="0097496B">
        <w:rPr>
          <w:vertAlign w:val="superscript"/>
        </w:rPr>
        <w:endnoteReference w:id="6"/>
      </w:r>
      <w:r w:rsidRPr="0097496B">
        <w:t xml:space="preserve"> However, since the commencement of commercial mining in 2009, unexpected social conflicts and operational challenges had led to significantly lower </w:t>
      </w:r>
      <w:r w:rsidR="00756880" w:rsidRPr="0097496B">
        <w:t xml:space="preserve">production </w:t>
      </w:r>
      <w:r w:rsidRPr="0097496B">
        <w:t>than expected</w:t>
      </w:r>
      <w:r w:rsidR="00756880" w:rsidRPr="0097496B">
        <w:t>,</w:t>
      </w:r>
      <w:r w:rsidRPr="0097496B">
        <w:t xml:space="preserve"> with </w:t>
      </w:r>
      <w:r w:rsidR="00756880" w:rsidRPr="0097496B">
        <w:t xml:space="preserve">a </w:t>
      </w:r>
      <w:r w:rsidRPr="0097496B">
        <w:t xml:space="preserve">large cost overrun, while </w:t>
      </w:r>
      <w:r w:rsidR="00756880" w:rsidRPr="0097496B">
        <w:t xml:space="preserve">the price of </w:t>
      </w:r>
      <w:r w:rsidRPr="0097496B">
        <w:t>gold declined sharply from 2012</w:t>
      </w:r>
      <w:r w:rsidR="00F44BEE" w:rsidRPr="0097496B">
        <w:t>.</w:t>
      </w:r>
      <w:r w:rsidRPr="0097496B">
        <w:t xml:space="preserve"> </w:t>
      </w:r>
      <w:r w:rsidR="00F44BEE" w:rsidRPr="0097496B">
        <w:t>A</w:t>
      </w:r>
      <w:r w:rsidRPr="0097496B">
        <w:t xml:space="preserve">s </w:t>
      </w:r>
      <w:r w:rsidR="00F44BEE" w:rsidRPr="0097496B">
        <w:t>a</w:t>
      </w:r>
      <w:r w:rsidRPr="0097496B">
        <w:t xml:space="preserve"> result, the company admitted it was unable to generate sufficient cash flows internally to meet </w:t>
      </w:r>
      <w:r w:rsidR="00F44BEE" w:rsidRPr="0097496B">
        <w:t xml:space="preserve">its </w:t>
      </w:r>
      <w:r w:rsidRPr="0097496B">
        <w:t>debt obligations at the end of 2016.</w:t>
      </w:r>
      <w:r w:rsidRPr="0097496B">
        <w:rPr>
          <w:vertAlign w:val="superscript"/>
        </w:rPr>
        <w:endnoteReference w:id="7"/>
      </w:r>
      <w:r w:rsidRPr="0097496B">
        <w:t xml:space="preserve"> What should </w:t>
      </w:r>
      <w:proofErr w:type="spellStart"/>
      <w:r w:rsidRPr="0097496B">
        <w:t>Banro</w:t>
      </w:r>
      <w:proofErr w:type="spellEnd"/>
      <w:r w:rsidRPr="0097496B">
        <w:t xml:space="preserve"> have done to avoid financial distress? Would the new shareholding structure allow </w:t>
      </w:r>
      <w:proofErr w:type="spellStart"/>
      <w:r w:rsidRPr="0097496B">
        <w:t>Banro</w:t>
      </w:r>
      <w:proofErr w:type="spellEnd"/>
      <w:r w:rsidRPr="0097496B">
        <w:t xml:space="preserve"> to achieve sustainability in its operations in DRC? How should the company move forward in terms of corporate and financing strategy?</w:t>
      </w:r>
    </w:p>
    <w:p w14:paraId="5A4EDCA5" w14:textId="77777777" w:rsidR="009248C3" w:rsidRPr="0097496B" w:rsidRDefault="009248C3" w:rsidP="0097496B">
      <w:pPr>
        <w:pStyle w:val="BodyTextMain"/>
        <w:rPr>
          <w:rFonts w:eastAsia="ヒラギノ明朝 Pro W3"/>
        </w:rPr>
      </w:pPr>
    </w:p>
    <w:p w14:paraId="1E738EB2" w14:textId="77777777" w:rsidR="009248C3" w:rsidRPr="009248C3" w:rsidRDefault="009248C3" w:rsidP="009248C3">
      <w:pPr>
        <w:pStyle w:val="BodyTextMain"/>
        <w:rPr>
          <w:rFonts w:eastAsia="ヒラギノ明朝 Pro W3"/>
          <w:sz w:val="20"/>
          <w:lang w:eastAsia="ja-JP"/>
        </w:rPr>
      </w:pPr>
    </w:p>
    <w:p w14:paraId="5235F397" w14:textId="77777777" w:rsidR="009248C3" w:rsidRPr="009248C3" w:rsidRDefault="009248C3" w:rsidP="009248C3">
      <w:pPr>
        <w:pStyle w:val="Casehead1"/>
        <w:rPr>
          <w:rFonts w:eastAsia="ヒラギノ明朝 Pro W3"/>
          <w:lang w:eastAsia="ja-JP"/>
        </w:rPr>
      </w:pPr>
      <w:r w:rsidRPr="009248C3">
        <w:t>HISTORY AND DEVELOPMENT OF BANRO CORPORATION</w:t>
      </w:r>
      <w:r w:rsidRPr="009248C3">
        <w:rPr>
          <w:vertAlign w:val="superscript"/>
        </w:rPr>
        <w:endnoteReference w:id="8"/>
      </w:r>
    </w:p>
    <w:p w14:paraId="7ACED925" w14:textId="77777777" w:rsidR="009248C3" w:rsidRPr="009248C3" w:rsidRDefault="009248C3" w:rsidP="009248C3">
      <w:pPr>
        <w:pStyle w:val="BodyTextMain"/>
        <w:rPr>
          <w:sz w:val="20"/>
        </w:rPr>
      </w:pPr>
    </w:p>
    <w:p w14:paraId="6C6D52DB" w14:textId="00329604" w:rsidR="009248C3" w:rsidRPr="009248C3" w:rsidRDefault="009248C3" w:rsidP="009248C3">
      <w:pPr>
        <w:pStyle w:val="BodyTextMain"/>
      </w:pPr>
      <w:r w:rsidRPr="009248C3">
        <w:t xml:space="preserve">Banro was founded by Arnold T. Kondrat and incorporated under the </w:t>
      </w:r>
      <w:r w:rsidRPr="007C3731">
        <w:rPr>
          <w:i/>
          <w:iCs/>
        </w:rPr>
        <w:t>Canada Business Corporations Act</w:t>
      </w:r>
      <w:r w:rsidRPr="009248C3">
        <w:t xml:space="preserve"> in 1994. In 1996, the company acquired 72 per cent of shares of a DRC state-owned company, Société Zaïroise Minière et Industrielle du Kivu S.A.R.L. (</w:t>
      </w:r>
      <w:r w:rsidRPr="009248C3">
        <w:rPr>
          <w:bCs/>
        </w:rPr>
        <w:t>SOMINKI</w:t>
      </w:r>
      <w:r w:rsidRPr="009248C3">
        <w:t xml:space="preserve">), while the DRC government held the remaining shares as a participating interest. SOMINKI was a well-established gold and tin mining operator with a long production history in DRC, and </w:t>
      </w:r>
      <w:r w:rsidR="00F44BEE">
        <w:t xml:space="preserve">it </w:t>
      </w:r>
      <w:r w:rsidRPr="009248C3">
        <w:t xml:space="preserve">wholly owned </w:t>
      </w:r>
      <w:r w:rsidR="00F44BEE">
        <w:t>properties in</w:t>
      </w:r>
      <w:r w:rsidRPr="009248C3">
        <w:t xml:space="preserve"> Twangiza, Namoya, Lugushwa, and Kamituga. Th</w:t>
      </w:r>
      <w:r w:rsidR="00F44BEE">
        <w:t>e</w:t>
      </w:r>
      <w:r w:rsidRPr="009248C3">
        <w:t xml:space="preserve"> acquisition allowed Banro to access </w:t>
      </w:r>
      <w:r w:rsidR="00F44BEE">
        <w:t>the</w:t>
      </w:r>
      <w:r w:rsidRPr="009248C3">
        <w:t xml:space="preserve"> valuable geological and exploration data </w:t>
      </w:r>
      <w:r w:rsidR="00F44BEE">
        <w:t>SOMINKI</w:t>
      </w:r>
      <w:r w:rsidRPr="009248C3">
        <w:t xml:space="preserve"> had accumulated since the early 1920s. In 1997, the DRC government ratified a new 25-year (subsequently extended to 30 years) mining convention </w:t>
      </w:r>
      <w:r w:rsidR="00761C46">
        <w:t>between it, Banro, and SOMINKI; it provided for the transfer</w:t>
      </w:r>
      <w:r w:rsidRPr="009248C3">
        <w:t xml:space="preserve"> of </w:t>
      </w:r>
      <w:r w:rsidR="00761C46">
        <w:t>SOMINKI’s</w:t>
      </w:r>
      <w:r w:rsidRPr="009248C3">
        <w:t xml:space="preserve"> mineral assets and real properties to </w:t>
      </w:r>
      <w:r w:rsidR="00D171CB">
        <w:t>a</w:t>
      </w:r>
      <w:r w:rsidRPr="009248C3">
        <w:t xml:space="preserve"> newly</w:t>
      </w:r>
      <w:r w:rsidR="00761C46">
        <w:t>-</w:t>
      </w:r>
      <w:r w:rsidRPr="009248C3">
        <w:t xml:space="preserve">created DRC company, Société </w:t>
      </w:r>
      <w:r w:rsidRPr="009248C3">
        <w:lastRenderedPageBreak/>
        <w:t>Aurifère du Kivu et du Maniema S.A.R.L. (</w:t>
      </w:r>
      <w:r w:rsidRPr="009248C3">
        <w:rPr>
          <w:bCs/>
        </w:rPr>
        <w:t>SAKIMA</w:t>
      </w:r>
      <w:r w:rsidRPr="009248C3">
        <w:t>)</w:t>
      </w:r>
      <w:r w:rsidR="00A655D4">
        <w:t>.</w:t>
      </w:r>
      <w:r w:rsidRPr="009248C3">
        <w:t xml:space="preserve"> </w:t>
      </w:r>
      <w:r w:rsidR="00A655D4">
        <w:t>Ninety-three</w:t>
      </w:r>
      <w:r w:rsidRPr="009248C3">
        <w:t xml:space="preserve"> per cent of SAKIMA’s shares</w:t>
      </w:r>
      <w:r w:rsidR="00A655D4">
        <w:t xml:space="preserve"> were to be held by Banro;</w:t>
      </w:r>
      <w:r w:rsidRPr="009248C3">
        <w:t xml:space="preserve"> the DRC government </w:t>
      </w:r>
      <w:r w:rsidR="00A655D4">
        <w:t xml:space="preserve">would </w:t>
      </w:r>
      <w:r w:rsidRPr="009248C3">
        <w:t>own the remaining shares as a non-dilutive interest.</w:t>
      </w:r>
    </w:p>
    <w:p w14:paraId="3910837C" w14:textId="77777777" w:rsidR="009248C3" w:rsidRPr="009248C3" w:rsidRDefault="009248C3" w:rsidP="009248C3">
      <w:pPr>
        <w:pStyle w:val="BodyTextMain"/>
        <w:rPr>
          <w:sz w:val="20"/>
        </w:rPr>
      </w:pPr>
    </w:p>
    <w:p w14:paraId="4991037D" w14:textId="69032C0D" w:rsidR="009248C3" w:rsidRPr="009248C3" w:rsidRDefault="009248C3" w:rsidP="009248C3">
      <w:pPr>
        <w:pStyle w:val="BodyTextMain"/>
        <w:rPr>
          <w:spacing w:val="-2"/>
        </w:rPr>
      </w:pPr>
      <w:r w:rsidRPr="009248C3">
        <w:rPr>
          <w:spacing w:val="-2"/>
        </w:rPr>
        <w:t>From 1997, Banro pursued an exploration program on the Twangiza property. Unexpectedly</w:t>
      </w:r>
      <w:r w:rsidR="00A655D4">
        <w:rPr>
          <w:spacing w:val="-2"/>
        </w:rPr>
        <w:t xml:space="preserve"> and without warning</w:t>
      </w:r>
      <w:r w:rsidRPr="009248C3">
        <w:rPr>
          <w:spacing w:val="-2"/>
        </w:rPr>
        <w:t xml:space="preserve">, in July 1998, the DRC government issued presidential decrees that resulted in </w:t>
      </w:r>
      <w:r w:rsidR="00A655D4">
        <w:rPr>
          <w:spacing w:val="-2"/>
        </w:rPr>
        <w:t xml:space="preserve">the </w:t>
      </w:r>
      <w:r w:rsidRPr="009248C3">
        <w:rPr>
          <w:spacing w:val="-2"/>
        </w:rPr>
        <w:t>expropriation of Banro</w:t>
      </w:r>
      <w:r w:rsidR="00123604">
        <w:rPr>
          <w:spacing w:val="-2"/>
        </w:rPr>
        <w:t>’</w:t>
      </w:r>
      <w:r w:rsidRPr="009248C3">
        <w:rPr>
          <w:spacing w:val="-2"/>
        </w:rPr>
        <w:t xml:space="preserve">s properties. After a long international arbitrage, in 2002 the DRC government </w:t>
      </w:r>
      <w:r w:rsidR="00B53A8D">
        <w:rPr>
          <w:spacing w:val="-2"/>
        </w:rPr>
        <w:t xml:space="preserve">signed a </w:t>
      </w:r>
      <w:r w:rsidRPr="009248C3">
        <w:rPr>
          <w:spacing w:val="-2"/>
        </w:rPr>
        <w:t>settle</w:t>
      </w:r>
      <w:r w:rsidR="00B53A8D">
        <w:rPr>
          <w:spacing w:val="-2"/>
        </w:rPr>
        <w:t>ment</w:t>
      </w:r>
      <w:r w:rsidRPr="009248C3">
        <w:rPr>
          <w:spacing w:val="-2"/>
        </w:rPr>
        <w:t xml:space="preserve"> agreement</w:t>
      </w:r>
      <w:r w:rsidR="00B53A8D">
        <w:rPr>
          <w:spacing w:val="-2"/>
        </w:rPr>
        <w:t xml:space="preserve"> with Banro</w:t>
      </w:r>
      <w:r w:rsidRPr="009248C3">
        <w:rPr>
          <w:spacing w:val="-2"/>
        </w:rPr>
        <w:t xml:space="preserve">, allowing </w:t>
      </w:r>
      <w:r w:rsidR="00B53A8D">
        <w:rPr>
          <w:spacing w:val="-2"/>
        </w:rPr>
        <w:t>it</w:t>
      </w:r>
      <w:r w:rsidRPr="009248C3">
        <w:rPr>
          <w:spacing w:val="-2"/>
        </w:rPr>
        <w:t xml:space="preserve"> to hold a </w:t>
      </w:r>
      <w:r w:rsidR="00B53A8D">
        <w:rPr>
          <w:spacing w:val="-2"/>
        </w:rPr>
        <w:t>100 per cent</w:t>
      </w:r>
      <w:r w:rsidRPr="009248C3">
        <w:rPr>
          <w:spacing w:val="-2"/>
        </w:rPr>
        <w:t xml:space="preserve"> interest in the Twangiza, Namoya, Lugushwa, and Kamituga properties. In accordance with the </w:t>
      </w:r>
      <w:r w:rsidRPr="009248C3">
        <w:rPr>
          <w:rFonts w:hint="eastAsia"/>
          <w:spacing w:val="-2"/>
          <w:lang w:eastAsia="zh-CN"/>
        </w:rPr>
        <w:t>a</w:t>
      </w:r>
      <w:r w:rsidRPr="009248C3">
        <w:rPr>
          <w:spacing w:val="-2"/>
        </w:rPr>
        <w:t xml:space="preserve">greement, </w:t>
      </w:r>
      <w:r w:rsidRPr="009248C3">
        <w:rPr>
          <w:rFonts w:hint="eastAsia"/>
          <w:spacing w:val="-2"/>
          <w:lang w:eastAsia="zh-CN"/>
        </w:rPr>
        <w:t>Banr</w:t>
      </w:r>
      <w:r w:rsidRPr="009248C3">
        <w:rPr>
          <w:spacing w:val="-2"/>
          <w:lang w:eastAsia="zh-CN"/>
        </w:rPr>
        <w:t>o</w:t>
      </w:r>
      <w:r w:rsidRPr="009248C3">
        <w:rPr>
          <w:spacing w:val="-2"/>
        </w:rPr>
        <w:t xml:space="preserve"> transferred these properties from SAKIMA to its four newly-created, wholly-owned DRC subsidiaries, namely Twangiza Mining S.A., Namoya Mining S.A., Lugushwa Mining S.A., and Kamituga Mining S.A., each of which wholly owned </w:t>
      </w:r>
      <w:r w:rsidR="00B53A8D">
        <w:rPr>
          <w:spacing w:val="-2"/>
        </w:rPr>
        <w:t>its</w:t>
      </w:r>
      <w:r w:rsidRPr="009248C3">
        <w:rPr>
          <w:spacing w:val="-2"/>
        </w:rPr>
        <w:t xml:space="preserve"> respective property. In 2003, Banro re-opened its exploration office in the town of Bukavu in eastern DRC</w:t>
      </w:r>
      <w:r w:rsidR="00B53A8D">
        <w:rPr>
          <w:spacing w:val="-2"/>
        </w:rPr>
        <w:t>,</w:t>
      </w:r>
      <w:r w:rsidRPr="009248C3">
        <w:rPr>
          <w:spacing w:val="-2"/>
        </w:rPr>
        <w:t xml:space="preserve"> and in 2004, it commenced exploration activities, first at Namoya, and then </w:t>
      </w:r>
      <w:r w:rsidR="00FD0B44">
        <w:rPr>
          <w:spacing w:val="-2"/>
        </w:rPr>
        <w:t xml:space="preserve">at </w:t>
      </w:r>
      <w:r w:rsidRPr="009248C3">
        <w:rPr>
          <w:spacing w:val="-2"/>
        </w:rPr>
        <w:t>Lugushwa and Twangiza. In 2005, it was listed on the American Stock Exchange (AMEX)</w:t>
      </w:r>
      <w:r w:rsidRPr="009248C3">
        <w:rPr>
          <w:spacing w:val="-2"/>
          <w:vertAlign w:val="superscript"/>
        </w:rPr>
        <w:endnoteReference w:id="9"/>
      </w:r>
      <w:r w:rsidRPr="009248C3">
        <w:rPr>
          <w:spacing w:val="-2"/>
        </w:rPr>
        <w:t xml:space="preserve"> and the Toronto Stock Exchange (</w:t>
      </w:r>
      <w:r w:rsidRPr="009248C3">
        <w:rPr>
          <w:bCs/>
          <w:spacing w:val="-2"/>
        </w:rPr>
        <w:t>TSX).</w:t>
      </w:r>
    </w:p>
    <w:p w14:paraId="5B3FAB46" w14:textId="77777777" w:rsidR="009248C3" w:rsidRPr="009248C3" w:rsidRDefault="009248C3" w:rsidP="009248C3">
      <w:pPr>
        <w:pStyle w:val="BodyTextMain"/>
        <w:rPr>
          <w:sz w:val="20"/>
        </w:rPr>
      </w:pPr>
    </w:p>
    <w:p w14:paraId="349A869B" w14:textId="77777777" w:rsidR="009248C3" w:rsidRPr="009248C3" w:rsidRDefault="009248C3" w:rsidP="009248C3">
      <w:pPr>
        <w:pStyle w:val="BodyTextMain"/>
        <w:rPr>
          <w:sz w:val="20"/>
        </w:rPr>
      </w:pPr>
    </w:p>
    <w:p w14:paraId="272AAA8C" w14:textId="77777777" w:rsidR="009248C3" w:rsidRPr="009248C3" w:rsidRDefault="009248C3" w:rsidP="009248C3">
      <w:pPr>
        <w:pStyle w:val="Casehead2"/>
      </w:pPr>
      <w:r w:rsidRPr="009248C3">
        <w:t>From Exploration to Production</w:t>
      </w:r>
    </w:p>
    <w:p w14:paraId="2ADD8637" w14:textId="77777777" w:rsidR="009248C3" w:rsidRPr="009248C3" w:rsidRDefault="009248C3" w:rsidP="009248C3">
      <w:pPr>
        <w:pStyle w:val="BodyTextMain"/>
        <w:rPr>
          <w:sz w:val="20"/>
        </w:rPr>
      </w:pPr>
    </w:p>
    <w:p w14:paraId="0F72BF27" w14:textId="39BDE855" w:rsidR="009248C3" w:rsidRPr="001947E0" w:rsidRDefault="009248C3" w:rsidP="009248C3">
      <w:pPr>
        <w:pStyle w:val="BodyTextMain"/>
        <w:rPr>
          <w:spacing w:val="-4"/>
        </w:rPr>
      </w:pPr>
      <w:r w:rsidRPr="001947E0">
        <w:rPr>
          <w:spacing w:val="-4"/>
        </w:rPr>
        <w:t>In 2007, Banro Congo Mining S.A., a wholly</w:t>
      </w:r>
      <w:r w:rsidR="00B53A8D" w:rsidRPr="001947E0">
        <w:rPr>
          <w:spacing w:val="-4"/>
        </w:rPr>
        <w:t>-</w:t>
      </w:r>
      <w:r w:rsidRPr="001947E0">
        <w:rPr>
          <w:spacing w:val="-4"/>
        </w:rPr>
        <w:t xml:space="preserve">owned DRC subsidiary, announced it had acquired </w:t>
      </w:r>
      <w:r w:rsidR="00B53A8D" w:rsidRPr="001947E0">
        <w:rPr>
          <w:spacing w:val="-4"/>
        </w:rPr>
        <w:t>14</w:t>
      </w:r>
      <w:r w:rsidRPr="001947E0">
        <w:rPr>
          <w:spacing w:val="-4"/>
        </w:rPr>
        <w:t xml:space="preserve"> exploration permits, covering areas between and contiguous to its Twangiza, Kamituga, and Lugushwa properties. Th</w:t>
      </w:r>
      <w:r w:rsidR="00B53A8D" w:rsidRPr="001947E0">
        <w:rPr>
          <w:spacing w:val="-4"/>
        </w:rPr>
        <w:t>at</w:t>
      </w:r>
      <w:r w:rsidRPr="001947E0">
        <w:rPr>
          <w:spacing w:val="-4"/>
        </w:rPr>
        <w:t xml:space="preserve"> year also marked a turnaround</w:t>
      </w:r>
      <w:r w:rsidR="00035B58" w:rsidRPr="001947E0">
        <w:rPr>
          <w:spacing w:val="-4"/>
        </w:rPr>
        <w:t xml:space="preserve"> for Banro in terms of its first exploration success</w:t>
      </w:r>
      <w:r w:rsidRPr="001947E0">
        <w:rPr>
          <w:spacing w:val="-4"/>
        </w:rPr>
        <w:t xml:space="preserve"> with the positive preliminary assessments of Twangiza and Namoya properties, which indicated potential total production of 512,000 ounces of gold per year</w:t>
      </w:r>
      <w:r w:rsidR="00CE2381" w:rsidRPr="001947E0">
        <w:rPr>
          <w:spacing w:val="-4"/>
        </w:rPr>
        <w:t>,</w:t>
      </w:r>
      <w:r w:rsidRPr="001947E0">
        <w:rPr>
          <w:spacing w:val="-4"/>
        </w:rPr>
        <w:t xml:space="preserve"> at an average cash cost of $216 per ounce over the first five to seven years of operation</w:t>
      </w:r>
      <w:r w:rsidR="00CE2381" w:rsidRPr="001947E0">
        <w:rPr>
          <w:spacing w:val="-4"/>
        </w:rPr>
        <w:t>;</w:t>
      </w:r>
      <w:r w:rsidRPr="001947E0">
        <w:rPr>
          <w:spacing w:val="-4"/>
        </w:rPr>
        <w:t xml:space="preserve"> </w:t>
      </w:r>
      <w:r w:rsidR="00CE2381" w:rsidRPr="001947E0">
        <w:rPr>
          <w:spacing w:val="-4"/>
        </w:rPr>
        <w:t xml:space="preserve">an </w:t>
      </w:r>
      <w:r w:rsidRPr="001947E0">
        <w:rPr>
          <w:spacing w:val="-4"/>
        </w:rPr>
        <w:t>internal rate of return of 33 per cent and 37 per cent</w:t>
      </w:r>
      <w:r w:rsidR="00CE2381" w:rsidRPr="001947E0">
        <w:rPr>
          <w:spacing w:val="-4"/>
        </w:rPr>
        <w:t>, respectively;</w:t>
      </w:r>
      <w:r w:rsidRPr="001947E0">
        <w:rPr>
          <w:spacing w:val="-4"/>
        </w:rPr>
        <w:t xml:space="preserve"> and payback of 2.7 years and 2.3 years from the start of production</w:t>
      </w:r>
      <w:r w:rsidR="00CE2381" w:rsidRPr="001947E0">
        <w:rPr>
          <w:spacing w:val="-4"/>
        </w:rPr>
        <w:t>,</w:t>
      </w:r>
      <w:r w:rsidRPr="001947E0">
        <w:rPr>
          <w:spacing w:val="-4"/>
        </w:rPr>
        <w:t xml:space="preserve"> respectively.</w:t>
      </w:r>
      <w:r w:rsidRPr="001947E0">
        <w:rPr>
          <w:spacing w:val="-4"/>
          <w:vertAlign w:val="superscript"/>
        </w:rPr>
        <w:endnoteReference w:id="10"/>
      </w:r>
      <w:r w:rsidRPr="001947E0">
        <w:rPr>
          <w:spacing w:val="-4"/>
        </w:rPr>
        <w:t xml:space="preserve"> In recognition of </w:t>
      </w:r>
      <w:r w:rsidR="00CE2381" w:rsidRPr="001947E0">
        <w:rPr>
          <w:spacing w:val="-4"/>
        </w:rPr>
        <w:t xml:space="preserve">the </w:t>
      </w:r>
      <w:r w:rsidRPr="001947E0">
        <w:rPr>
          <w:spacing w:val="-4"/>
        </w:rPr>
        <w:t>investment risks</w:t>
      </w:r>
      <w:r w:rsidR="00CE2381" w:rsidRPr="001947E0">
        <w:rPr>
          <w:spacing w:val="-4"/>
        </w:rPr>
        <w:t>,</w:t>
      </w:r>
      <w:r w:rsidRPr="001947E0">
        <w:rPr>
          <w:spacing w:val="-4"/>
        </w:rPr>
        <w:t xml:space="preserve"> and to incentivize the project development, in 2009 the DRC government ratified a tax holiday for Banro until 2027.</w:t>
      </w:r>
      <w:r w:rsidR="000512F8" w:rsidRPr="001947E0">
        <w:rPr>
          <w:spacing w:val="-4"/>
          <w:vertAlign w:val="superscript"/>
        </w:rPr>
        <w:endnoteReference w:id="11"/>
      </w:r>
      <w:r w:rsidR="000926A8" w:rsidRPr="001947E0">
        <w:rPr>
          <w:spacing w:val="-4"/>
        </w:rPr>
        <w:t xml:space="preserve"> </w:t>
      </w:r>
      <w:r w:rsidRPr="001947E0">
        <w:rPr>
          <w:spacing w:val="-4"/>
        </w:rPr>
        <w:t xml:space="preserve">In return, Banro agreed to enhance its commitments to the DRC government and </w:t>
      </w:r>
      <w:r w:rsidR="00CE2381" w:rsidRPr="001947E0">
        <w:rPr>
          <w:spacing w:val="-4"/>
        </w:rPr>
        <w:t xml:space="preserve">to </w:t>
      </w:r>
      <w:r w:rsidRPr="001947E0">
        <w:rPr>
          <w:spacing w:val="-4"/>
        </w:rPr>
        <w:t xml:space="preserve">local communities, including </w:t>
      </w:r>
      <w:r w:rsidR="00CE2381" w:rsidRPr="001947E0">
        <w:rPr>
          <w:spacing w:val="-4"/>
        </w:rPr>
        <w:t>fund</w:t>
      </w:r>
      <w:r w:rsidR="008A2821" w:rsidRPr="001947E0">
        <w:rPr>
          <w:spacing w:val="-4"/>
        </w:rPr>
        <w:t>ing</w:t>
      </w:r>
      <w:r w:rsidRPr="001947E0">
        <w:rPr>
          <w:spacing w:val="-4"/>
        </w:rPr>
        <w:t xml:space="preserve"> </w:t>
      </w:r>
      <w:r w:rsidR="00CE2381" w:rsidRPr="001947E0">
        <w:rPr>
          <w:spacing w:val="-4"/>
        </w:rPr>
        <w:t xml:space="preserve">the </w:t>
      </w:r>
      <w:r w:rsidRPr="001947E0">
        <w:rPr>
          <w:spacing w:val="-4"/>
        </w:rPr>
        <w:t>build</w:t>
      </w:r>
      <w:r w:rsidR="00CE2381" w:rsidRPr="001947E0">
        <w:rPr>
          <w:spacing w:val="-4"/>
        </w:rPr>
        <w:t>ing of</w:t>
      </w:r>
      <w:r w:rsidRPr="001947E0">
        <w:rPr>
          <w:spacing w:val="-4"/>
        </w:rPr>
        <w:t xml:space="preserve"> local infrastructure such as roads and bridges, schools, and healthcare facilities.</w:t>
      </w:r>
    </w:p>
    <w:p w14:paraId="401C0679" w14:textId="77777777" w:rsidR="009248C3" w:rsidRPr="009248C3" w:rsidRDefault="009248C3" w:rsidP="009248C3">
      <w:pPr>
        <w:pStyle w:val="BodyTextMain"/>
        <w:rPr>
          <w:sz w:val="20"/>
        </w:rPr>
      </w:pPr>
    </w:p>
    <w:p w14:paraId="0E31187E" w14:textId="4586D726" w:rsidR="009248C3" w:rsidRPr="009248C3" w:rsidRDefault="009248C3" w:rsidP="009248C3">
      <w:pPr>
        <w:pStyle w:val="BodyTextMain"/>
      </w:pPr>
      <w:r w:rsidRPr="009248C3">
        <w:t>Banro completed the purchase of a refurbished gold</w:t>
      </w:r>
      <w:r w:rsidR="00123604">
        <w:t xml:space="preserve"> </w:t>
      </w:r>
      <w:r w:rsidRPr="009248C3">
        <w:t xml:space="preserve">processing plant for </w:t>
      </w:r>
      <w:r w:rsidR="00CE2381">
        <w:t xml:space="preserve">the </w:t>
      </w:r>
      <w:r w:rsidRPr="009248C3">
        <w:t xml:space="preserve">Twangiza project in 2009. In 2010, it began construction activities, including upgrading roads to the Twangiza site. The resettlement process, including </w:t>
      </w:r>
      <w:r w:rsidR="000A7363">
        <w:t xml:space="preserve">the </w:t>
      </w:r>
      <w:r w:rsidRPr="009248C3">
        <w:t>construction of houses for local communities</w:t>
      </w:r>
      <w:r w:rsidR="000A7363">
        <w:t>,</w:t>
      </w:r>
      <w:r w:rsidRPr="009248C3">
        <w:t xml:space="preserve"> had begun in 2009. In 2011, Banro announced its first gold production at </w:t>
      </w:r>
      <w:r w:rsidR="000A7363">
        <w:t xml:space="preserve">the </w:t>
      </w:r>
      <w:r w:rsidRPr="009248C3">
        <w:t>Twangiza property</w:t>
      </w:r>
      <w:r w:rsidR="000A7363">
        <w:t>,</w:t>
      </w:r>
      <w:r w:rsidRPr="009248C3">
        <w:t xml:space="preserve"> and commercial mining in 2012. It began construction of the second Namoya gold mine in 2012, with its first gold production </w:t>
      </w:r>
      <w:r w:rsidR="000A7363">
        <w:t xml:space="preserve">there </w:t>
      </w:r>
      <w:r w:rsidRPr="009248C3">
        <w:t xml:space="preserve">in 2013. </w:t>
      </w:r>
      <w:r w:rsidR="000A7363">
        <w:t>C</w:t>
      </w:r>
      <w:r w:rsidRPr="009248C3">
        <w:t>ommercial production was</w:t>
      </w:r>
      <w:r w:rsidR="000A7363">
        <w:t xml:space="preserve"> declared at the Namoya site</w:t>
      </w:r>
      <w:r w:rsidRPr="009248C3">
        <w:t xml:space="preserve"> in 2016</w:t>
      </w:r>
      <w:r w:rsidR="00D171CB">
        <w:t>;</w:t>
      </w:r>
      <w:r w:rsidRPr="009248C3">
        <w:t xml:space="preserve"> </w:t>
      </w:r>
      <w:r w:rsidR="00D171CB">
        <w:t>annual production for that year at both the Namoya and the Twangiza site was</w:t>
      </w:r>
      <w:r w:rsidRPr="009248C3">
        <w:t xml:space="preserve"> 197,691 ounces of gold at a cash cost of $761 per ounce.</w:t>
      </w:r>
      <w:r w:rsidRPr="009248C3">
        <w:rPr>
          <w:vertAlign w:val="superscript"/>
        </w:rPr>
        <w:endnoteReference w:id="12"/>
      </w:r>
    </w:p>
    <w:p w14:paraId="0C8546A9" w14:textId="77777777" w:rsidR="009248C3" w:rsidRPr="009248C3" w:rsidRDefault="009248C3" w:rsidP="009248C3">
      <w:pPr>
        <w:pStyle w:val="BodyTextMain"/>
        <w:rPr>
          <w:sz w:val="20"/>
        </w:rPr>
      </w:pPr>
    </w:p>
    <w:p w14:paraId="6FF46D4D" w14:textId="05D1B7A2" w:rsidR="009248C3" w:rsidRDefault="009248C3" w:rsidP="009248C3">
      <w:pPr>
        <w:pStyle w:val="BodyTextMain"/>
      </w:pPr>
      <w:proofErr w:type="spellStart"/>
      <w:r w:rsidRPr="0097496B">
        <w:t>Banro</w:t>
      </w:r>
      <w:proofErr w:type="spellEnd"/>
      <w:r w:rsidRPr="0097496B">
        <w:t xml:space="preserve"> financed the </w:t>
      </w:r>
      <w:proofErr w:type="spellStart"/>
      <w:r w:rsidRPr="0097496B">
        <w:t>Twangiza</w:t>
      </w:r>
      <w:proofErr w:type="spellEnd"/>
      <w:r w:rsidRPr="0097496B">
        <w:t xml:space="preserve"> project through a series of equities during 2008 and 2011 </w:t>
      </w:r>
      <w:r w:rsidR="007706FC" w:rsidRPr="0097496B">
        <w:t>for</w:t>
      </w:r>
      <w:r w:rsidRPr="0097496B">
        <w:t xml:space="preserve"> total proceeds of $314.5 million.</w:t>
      </w:r>
      <w:r w:rsidRPr="0097496B">
        <w:rPr>
          <w:vertAlign w:val="superscript"/>
        </w:rPr>
        <w:endnoteReference w:id="13"/>
      </w:r>
      <w:r w:rsidRPr="0097496B">
        <w:rPr>
          <w:vertAlign w:val="superscript"/>
        </w:rPr>
        <w:t xml:space="preserve"> </w:t>
      </w:r>
      <w:r w:rsidRPr="0097496B">
        <w:t xml:space="preserve">Unlike </w:t>
      </w:r>
      <w:r w:rsidR="007706FC" w:rsidRPr="0097496B">
        <w:t xml:space="preserve">the </w:t>
      </w:r>
      <w:proofErr w:type="spellStart"/>
      <w:r w:rsidRPr="0097496B">
        <w:t>Twangiza</w:t>
      </w:r>
      <w:proofErr w:type="spellEnd"/>
      <w:r w:rsidRPr="0097496B">
        <w:t xml:space="preserve"> project, </w:t>
      </w:r>
      <w:r w:rsidR="007706FC" w:rsidRPr="0097496B">
        <w:t xml:space="preserve">the </w:t>
      </w:r>
      <w:proofErr w:type="spellStart"/>
      <w:r w:rsidRPr="0097496B">
        <w:t>Namoya</w:t>
      </w:r>
      <w:proofErr w:type="spellEnd"/>
      <w:r w:rsidRPr="0097496B">
        <w:t xml:space="preserve"> project was financed largely by debt.</w:t>
      </w:r>
      <w:r w:rsidRPr="0097496B">
        <w:rPr>
          <w:vertAlign w:val="superscript"/>
        </w:rPr>
        <w:endnoteReference w:id="14"/>
      </w:r>
      <w:r w:rsidRPr="0097496B">
        <w:t xml:space="preserve"> In 2012, the company secured total proceeds</w:t>
      </w:r>
      <w:r w:rsidR="00A062C8" w:rsidRPr="0097496B">
        <w:t xml:space="preserve"> from debt financing</w:t>
      </w:r>
      <w:r w:rsidRPr="0097496B">
        <w:t xml:space="preserve"> of $175 million, </w:t>
      </w:r>
      <w:r w:rsidR="00A062C8" w:rsidRPr="0097496B">
        <w:t xml:space="preserve">which would </w:t>
      </w:r>
      <w:r w:rsidRPr="0097496B">
        <w:t>matur</w:t>
      </w:r>
      <w:r w:rsidR="00A062C8" w:rsidRPr="0097496B">
        <w:t>e</w:t>
      </w:r>
      <w:r w:rsidRPr="0097496B">
        <w:t xml:space="preserve"> in</w:t>
      </w:r>
      <w:r w:rsidRPr="009248C3">
        <w:t xml:space="preserve"> March 2017</w:t>
      </w:r>
      <w:r w:rsidR="002873EA">
        <w:t>,</w:t>
      </w:r>
      <w:r w:rsidR="00A062C8" w:rsidRPr="00A062C8">
        <w:t xml:space="preserve"> </w:t>
      </w:r>
      <w:r w:rsidR="002873EA">
        <w:t xml:space="preserve">to be </w:t>
      </w:r>
      <w:r w:rsidR="00A062C8" w:rsidRPr="00A062C8">
        <w:t xml:space="preserve">used for the development of </w:t>
      </w:r>
      <w:r w:rsidR="00123604">
        <w:t xml:space="preserve">the </w:t>
      </w:r>
      <w:r w:rsidR="00A062C8" w:rsidRPr="00A062C8">
        <w:t>Namoya project, repayment of an existing credit facility</w:t>
      </w:r>
      <w:r w:rsidR="002873EA">
        <w:t>,</w:t>
      </w:r>
      <w:r w:rsidR="00A062C8" w:rsidRPr="00A062C8">
        <w:t xml:space="preserve"> and general corporate purposes</w:t>
      </w:r>
      <w:r w:rsidRPr="009248C3">
        <w:t>.</w:t>
      </w:r>
      <w:r w:rsidR="002873EA">
        <w:rPr>
          <w:rStyle w:val="EndnoteReference"/>
        </w:rPr>
        <w:endnoteReference w:id="15"/>
      </w:r>
      <w:r w:rsidRPr="009248C3">
        <w:t xml:space="preserve"> During 2013 and 2014, it also secured additional short-term loans from several lenders. The </w:t>
      </w:r>
      <w:r w:rsidR="00022A48">
        <w:t>Twangiza and Namoya</w:t>
      </w:r>
      <w:r w:rsidRPr="009248C3">
        <w:t xml:space="preserve"> mines were worth over $600 million. Banro’s total assets at the end of 2016 were estimated to </w:t>
      </w:r>
      <w:r w:rsidR="00022A48">
        <w:t xml:space="preserve">be </w:t>
      </w:r>
      <w:r w:rsidRPr="009248C3">
        <w:t>$898 million</w:t>
      </w:r>
      <w:r w:rsidR="00022A48">
        <w:t>,</w:t>
      </w:r>
      <w:r w:rsidRPr="009248C3">
        <w:t xml:space="preserve"> plus indicated and inferred gold reserves of 7.04 and 5.08 million ounces,</w:t>
      </w:r>
      <w:r w:rsidR="00022A48" w:rsidRPr="00022A48">
        <w:t xml:space="preserve"> </w:t>
      </w:r>
      <w:r w:rsidR="00022A48" w:rsidRPr="009248C3">
        <w:t>respectively</w:t>
      </w:r>
      <w:r w:rsidR="00022A48">
        <w:t>,</w:t>
      </w:r>
      <w:r w:rsidRPr="009248C3">
        <w:t xml:space="preserve"> representing $7.5 billion and $5.4 billion at an average gold price in 2015 of $1,060 per ounce (see Exhibits 1, 2, </w:t>
      </w:r>
      <w:r w:rsidR="00CE2381">
        <w:t>and</w:t>
      </w:r>
      <w:r w:rsidRPr="009248C3">
        <w:t xml:space="preserve"> 3).</w:t>
      </w:r>
      <w:r w:rsidRPr="009248C3">
        <w:rPr>
          <w:vertAlign w:val="superscript"/>
        </w:rPr>
        <w:endnoteReference w:id="16"/>
      </w:r>
    </w:p>
    <w:p w14:paraId="597E84FC" w14:textId="77777777" w:rsidR="00BB1E3A" w:rsidRDefault="00BB1E3A" w:rsidP="009248C3">
      <w:pPr>
        <w:pStyle w:val="BodyTextMain"/>
      </w:pPr>
    </w:p>
    <w:p w14:paraId="65C0AE28" w14:textId="77777777" w:rsidR="00BB1E3A" w:rsidRPr="009248C3" w:rsidRDefault="00BB1E3A" w:rsidP="009248C3">
      <w:pPr>
        <w:pStyle w:val="BodyTextMain"/>
      </w:pPr>
    </w:p>
    <w:p w14:paraId="7BF5F758" w14:textId="77777777" w:rsidR="009248C3" w:rsidRPr="009248C3" w:rsidRDefault="009248C3" w:rsidP="000926A8">
      <w:pPr>
        <w:pStyle w:val="Casehead1"/>
        <w:keepNext/>
      </w:pPr>
      <w:r w:rsidRPr="009248C3">
        <w:lastRenderedPageBreak/>
        <w:t>THE VALUE CHAIN</w:t>
      </w:r>
    </w:p>
    <w:p w14:paraId="261EE361" w14:textId="77777777" w:rsidR="009248C3" w:rsidRPr="009248C3" w:rsidRDefault="009248C3" w:rsidP="000926A8">
      <w:pPr>
        <w:pStyle w:val="BodyTextMain"/>
        <w:keepNext/>
        <w:rPr>
          <w:sz w:val="20"/>
        </w:rPr>
      </w:pPr>
    </w:p>
    <w:p w14:paraId="0A05D62F" w14:textId="77777777" w:rsidR="009248C3" w:rsidRPr="009248C3" w:rsidRDefault="009248C3" w:rsidP="000926A8">
      <w:pPr>
        <w:pStyle w:val="Casehead2"/>
        <w:keepNext/>
      </w:pPr>
      <w:r w:rsidRPr="009248C3">
        <w:t>Suppliers and Customers</w:t>
      </w:r>
    </w:p>
    <w:p w14:paraId="1CF689AA" w14:textId="77777777" w:rsidR="009248C3" w:rsidRPr="009248C3" w:rsidRDefault="009248C3" w:rsidP="009248C3">
      <w:pPr>
        <w:pStyle w:val="BodyTextMain"/>
        <w:rPr>
          <w:sz w:val="20"/>
        </w:rPr>
      </w:pPr>
    </w:p>
    <w:p w14:paraId="390C0843" w14:textId="40A77C63" w:rsidR="009248C3" w:rsidRPr="009248C3" w:rsidRDefault="009248C3" w:rsidP="009248C3">
      <w:pPr>
        <w:pStyle w:val="BodyTextMain"/>
      </w:pPr>
      <w:r w:rsidRPr="009248C3">
        <w:t xml:space="preserve">Banro operated two production gold mines (Twangiza and Namoya) and two advancing gold exploration projects (Lugushwa and Kamituga). </w:t>
      </w:r>
      <w:r w:rsidR="005773C8">
        <w:t>The m</w:t>
      </w:r>
      <w:r w:rsidRPr="009248C3">
        <w:t xml:space="preserve">ain consumables were chemicals, reagents, and spare parts for processing plants and mining equipment. Its chemical </w:t>
      </w:r>
      <w:r w:rsidR="005773C8">
        <w:t xml:space="preserve">suppliers </w:t>
      </w:r>
      <w:r w:rsidRPr="009248C3">
        <w:t xml:space="preserve">were located </w:t>
      </w:r>
      <w:r w:rsidR="005773C8">
        <w:t xml:space="preserve">mainly </w:t>
      </w:r>
      <w:r w:rsidRPr="009248C3">
        <w:t>in South Africa and Asia (</w:t>
      </w:r>
      <w:r w:rsidR="005773C8">
        <w:t>including</w:t>
      </w:r>
      <w:r w:rsidRPr="009248C3">
        <w:t xml:space="preserve"> China, India, and Thailand), </w:t>
      </w:r>
      <w:r w:rsidR="005773C8">
        <w:t>while</w:t>
      </w:r>
      <w:r w:rsidRPr="009248C3">
        <w:t xml:space="preserve"> </w:t>
      </w:r>
      <w:r w:rsidR="005773C8">
        <w:t xml:space="preserve">its spare parts </w:t>
      </w:r>
      <w:r w:rsidRPr="009248C3">
        <w:t xml:space="preserve">suppliers were mainly original equipment manufacturing companies </w:t>
      </w:r>
      <w:r w:rsidR="005773C8">
        <w:t>with</w:t>
      </w:r>
      <w:r w:rsidRPr="009248C3">
        <w:t xml:space="preserve"> distributors located around the world</w:t>
      </w:r>
      <w:r w:rsidR="005773C8">
        <w:t>—f</w:t>
      </w:r>
      <w:r w:rsidRPr="009248C3">
        <w:t xml:space="preserve">ew suppliers were located locally. </w:t>
      </w:r>
      <w:r w:rsidR="005773C8">
        <w:t xml:space="preserve">In Tanzania, </w:t>
      </w:r>
      <w:r w:rsidRPr="009248C3">
        <w:t>Banro had suppliers of chemicals and reagents like lime and cement, which were used at Twangiza and Namoya</w:t>
      </w:r>
      <w:r w:rsidR="002E47DD">
        <w:t>,</w:t>
      </w:r>
      <w:r w:rsidRPr="009248C3">
        <w:t xml:space="preserve"> respectively. Production from </w:t>
      </w:r>
      <w:r w:rsidR="005773C8">
        <w:t xml:space="preserve">the </w:t>
      </w:r>
      <w:r w:rsidRPr="009248C3">
        <w:t>Twangiza and Namoya mines was in the form of doré bars (a semi-pure alloy of gold and silver created at the mining site), which were transported to the capital city of Kinshasa, DRC, and then to a refinery in South Africa for purification. Since there were numerous gold buyers, Banro was not dependent on any one of them.</w:t>
      </w:r>
      <w:r w:rsidRPr="009248C3">
        <w:rPr>
          <w:vertAlign w:val="superscript"/>
        </w:rPr>
        <w:endnoteReference w:id="17"/>
      </w:r>
    </w:p>
    <w:p w14:paraId="1DA5D373" w14:textId="77777777" w:rsidR="009248C3" w:rsidRPr="009248C3" w:rsidRDefault="009248C3" w:rsidP="009248C3">
      <w:pPr>
        <w:pStyle w:val="BodyTextMain"/>
        <w:rPr>
          <w:sz w:val="20"/>
        </w:rPr>
      </w:pPr>
    </w:p>
    <w:p w14:paraId="7DADA5D6" w14:textId="77777777" w:rsidR="009248C3" w:rsidRPr="009248C3" w:rsidRDefault="009248C3" w:rsidP="009248C3">
      <w:pPr>
        <w:pStyle w:val="BodyTextMain"/>
        <w:rPr>
          <w:sz w:val="20"/>
        </w:rPr>
      </w:pPr>
    </w:p>
    <w:p w14:paraId="09BFF264" w14:textId="77777777" w:rsidR="009248C3" w:rsidRPr="009248C3" w:rsidRDefault="009248C3" w:rsidP="009248C3">
      <w:pPr>
        <w:pStyle w:val="Casehead2"/>
      </w:pPr>
      <w:r w:rsidRPr="009248C3">
        <w:t>Production Mines: Twangiza and Namoya</w:t>
      </w:r>
      <w:r w:rsidRPr="009248C3">
        <w:rPr>
          <w:vertAlign w:val="superscript"/>
        </w:rPr>
        <w:endnoteReference w:id="18"/>
      </w:r>
    </w:p>
    <w:p w14:paraId="23C28C52" w14:textId="77777777" w:rsidR="009248C3" w:rsidRPr="009248C3" w:rsidRDefault="009248C3" w:rsidP="009248C3">
      <w:pPr>
        <w:pStyle w:val="BodyTextMain"/>
        <w:rPr>
          <w:sz w:val="20"/>
        </w:rPr>
      </w:pPr>
    </w:p>
    <w:p w14:paraId="798DDCC9" w14:textId="745BB0B6" w:rsidR="009248C3" w:rsidRPr="009248C3" w:rsidRDefault="009248C3" w:rsidP="009248C3">
      <w:pPr>
        <w:pStyle w:val="BodyTextMain"/>
      </w:pPr>
      <w:r w:rsidRPr="009248C3">
        <w:t>The 1,156-square-kilomet</w:t>
      </w:r>
      <w:r w:rsidR="005773C8">
        <w:t>r</w:t>
      </w:r>
      <w:r w:rsidRPr="009248C3">
        <w:t xml:space="preserve">e Twangiza property was located in the </w:t>
      </w:r>
      <w:r w:rsidR="005773C8">
        <w:t xml:space="preserve">province of </w:t>
      </w:r>
      <w:r w:rsidRPr="009248C3">
        <w:t xml:space="preserve">South Kivu, </w:t>
      </w:r>
      <w:r w:rsidR="005773C8">
        <w:t xml:space="preserve">and </w:t>
      </w:r>
      <w:r w:rsidRPr="009248C3">
        <w:t>consist</w:t>
      </w:r>
      <w:r w:rsidR="005773C8">
        <w:t>ed</w:t>
      </w:r>
      <w:r w:rsidRPr="009248C3">
        <w:t xml:space="preserve"> of six exploitation permits, which were held by Banro’s DRC subsidiary. The Namoya project was located in the </w:t>
      </w:r>
      <w:r w:rsidR="005773C8">
        <w:t xml:space="preserve">province of </w:t>
      </w:r>
      <w:r w:rsidRPr="009248C3">
        <w:t>Maniema. Both plants employed conventional open pit mining with free digging and blasting. The Twangiza plant, consisting of a crushing, milling, and carbon-in-leach process, could process 1.7 million ton</w:t>
      </w:r>
      <w:r w:rsidR="00173AE8">
        <w:t>ne</w:t>
      </w:r>
      <w:r w:rsidRPr="009248C3">
        <w:t xml:space="preserve">s per </w:t>
      </w:r>
      <w:r w:rsidR="005773C8">
        <w:t>year</w:t>
      </w:r>
      <w:r w:rsidRPr="009248C3">
        <w:t xml:space="preserve"> of oxide ores. The Namoya hybrid-heap-leach process plant, consisting of a crushing, carbon-in-leach process combined with a gravity-recovery and heap-leach process, could process 2.5 million ton</w:t>
      </w:r>
      <w:r w:rsidR="00173AE8">
        <w:t>ne</w:t>
      </w:r>
      <w:r w:rsidRPr="009248C3">
        <w:t xml:space="preserve">s per </w:t>
      </w:r>
      <w:r w:rsidR="005773C8">
        <w:t>year</w:t>
      </w:r>
      <w:r w:rsidRPr="009248C3">
        <w:t xml:space="preserve"> of easily leachable oxide and transitional ores. Each of these two plants was managed semi-autonomously, with </w:t>
      </w:r>
      <w:r w:rsidR="00123604">
        <w:t>its</w:t>
      </w:r>
      <w:r w:rsidRPr="009248C3">
        <w:t xml:space="preserve"> own managers in the core mining and processing department, and </w:t>
      </w:r>
      <w:r w:rsidR="00754842">
        <w:t xml:space="preserve">with </w:t>
      </w:r>
      <w:r w:rsidRPr="009248C3">
        <w:t>supporting departments, such as human resources, finance, and community relations, reporting to a general manager in charge of production.</w:t>
      </w:r>
    </w:p>
    <w:p w14:paraId="525BF14C" w14:textId="77777777" w:rsidR="009248C3" w:rsidRPr="009248C3" w:rsidRDefault="009248C3" w:rsidP="009248C3">
      <w:pPr>
        <w:pStyle w:val="BodyTextMain"/>
        <w:rPr>
          <w:sz w:val="20"/>
        </w:rPr>
      </w:pPr>
    </w:p>
    <w:p w14:paraId="2C44C834" w14:textId="77777777" w:rsidR="009248C3" w:rsidRPr="009248C3" w:rsidRDefault="009248C3" w:rsidP="009248C3">
      <w:pPr>
        <w:pStyle w:val="BodyTextMain"/>
        <w:rPr>
          <w:sz w:val="20"/>
        </w:rPr>
      </w:pPr>
    </w:p>
    <w:p w14:paraId="65C13354" w14:textId="77777777" w:rsidR="009248C3" w:rsidRPr="009248C3" w:rsidRDefault="009248C3" w:rsidP="009248C3">
      <w:pPr>
        <w:pStyle w:val="Casehead2"/>
      </w:pPr>
      <w:r w:rsidRPr="009248C3">
        <w:t>Exploration Mines: Lugushwa and Kamituga</w:t>
      </w:r>
      <w:r w:rsidRPr="009248C3">
        <w:rPr>
          <w:vertAlign w:val="superscript"/>
        </w:rPr>
        <w:endnoteReference w:id="19"/>
      </w:r>
    </w:p>
    <w:p w14:paraId="3FDAFF72" w14:textId="77777777" w:rsidR="009248C3" w:rsidRPr="009248C3" w:rsidRDefault="009248C3" w:rsidP="009248C3">
      <w:pPr>
        <w:pStyle w:val="BodyTextMain"/>
        <w:rPr>
          <w:sz w:val="20"/>
        </w:rPr>
      </w:pPr>
    </w:p>
    <w:p w14:paraId="4F86A1C3" w14:textId="51148DCD" w:rsidR="009248C3" w:rsidRPr="009248C3" w:rsidRDefault="009248C3" w:rsidP="009248C3">
      <w:pPr>
        <w:pStyle w:val="BodyTextMain"/>
      </w:pPr>
      <w:r w:rsidRPr="009248C3">
        <w:t>The 641-square-kilomet</w:t>
      </w:r>
      <w:r w:rsidR="005773C8">
        <w:t>r</w:t>
      </w:r>
      <w:r w:rsidRPr="009248C3">
        <w:t xml:space="preserve">e Lugushwa property consisted of three exploration permits, which were held by Banro’s DRC subsidiary. Both </w:t>
      </w:r>
      <w:r w:rsidR="00754842">
        <w:t xml:space="preserve">the </w:t>
      </w:r>
      <w:r w:rsidRPr="009248C3">
        <w:t>Lugushwa and Kamituga propert</w:t>
      </w:r>
      <w:r w:rsidR="00754842">
        <w:t>ies</w:t>
      </w:r>
      <w:r w:rsidRPr="009248C3">
        <w:t xml:space="preserve"> were located in South Kivu. Banro had begun exploration work at these two sites </w:t>
      </w:r>
      <w:r w:rsidR="00754842">
        <w:t>in</w:t>
      </w:r>
      <w:r w:rsidRPr="009248C3">
        <w:t xml:space="preserve"> 2005 and 1998</w:t>
      </w:r>
      <w:r w:rsidR="002E47DD">
        <w:t>,</w:t>
      </w:r>
      <w:r w:rsidRPr="009248C3">
        <w:t xml:space="preserve"> respectively. Gold reserves were estimated to be 4.26 </w:t>
      </w:r>
      <w:r w:rsidR="00754842">
        <w:t xml:space="preserve">ounces at Lugushwa </w:t>
      </w:r>
      <w:r w:rsidRPr="009248C3">
        <w:t xml:space="preserve">and 0.92 million ounces </w:t>
      </w:r>
      <w:r w:rsidR="00754842">
        <w:t>at Kamituga</w:t>
      </w:r>
      <w:r w:rsidRPr="009248C3">
        <w:t xml:space="preserve"> (see Exhibit 1). These two and other minor</w:t>
      </w:r>
      <w:r w:rsidR="00754842">
        <w:t>,</w:t>
      </w:r>
      <w:r w:rsidRPr="009248C3">
        <w:t xml:space="preserve"> remote projects were managed by a general manager in charge of exploration.</w:t>
      </w:r>
    </w:p>
    <w:p w14:paraId="7AF89E83" w14:textId="77777777" w:rsidR="009248C3" w:rsidRPr="009248C3" w:rsidRDefault="009248C3" w:rsidP="009248C3">
      <w:pPr>
        <w:pStyle w:val="BodyTextMain"/>
        <w:rPr>
          <w:sz w:val="20"/>
        </w:rPr>
      </w:pPr>
    </w:p>
    <w:p w14:paraId="2EE5FE47" w14:textId="77777777" w:rsidR="009248C3" w:rsidRPr="009248C3" w:rsidRDefault="009248C3" w:rsidP="009248C3">
      <w:pPr>
        <w:pStyle w:val="BodyTextMain"/>
        <w:rPr>
          <w:sz w:val="20"/>
        </w:rPr>
      </w:pPr>
    </w:p>
    <w:p w14:paraId="4858B8D8" w14:textId="77777777" w:rsidR="009248C3" w:rsidRPr="009248C3" w:rsidRDefault="009248C3" w:rsidP="009248C3">
      <w:pPr>
        <w:pStyle w:val="Casehead1"/>
        <w:rPr>
          <w:rFonts w:eastAsia="ヒラギノ明朝 Pro W3"/>
          <w:lang w:eastAsia="ja-JP"/>
        </w:rPr>
      </w:pPr>
      <w:r w:rsidRPr="009248C3">
        <w:t>OPERATIONAL CHALLENGES AND CAUSES</w:t>
      </w:r>
    </w:p>
    <w:p w14:paraId="0EB80226" w14:textId="77777777" w:rsidR="009248C3" w:rsidRPr="009248C3" w:rsidRDefault="009248C3" w:rsidP="009248C3">
      <w:pPr>
        <w:pStyle w:val="BodyTextMain"/>
        <w:rPr>
          <w:sz w:val="20"/>
        </w:rPr>
      </w:pPr>
    </w:p>
    <w:p w14:paraId="443730D0" w14:textId="594427A6" w:rsidR="009248C3" w:rsidRPr="000926A8" w:rsidRDefault="009248C3" w:rsidP="009248C3">
      <w:pPr>
        <w:pStyle w:val="BodyTextMain"/>
        <w:rPr>
          <w:color w:val="000000"/>
          <w:spacing w:val="-2"/>
        </w:rPr>
      </w:pPr>
      <w:r w:rsidRPr="000926A8">
        <w:rPr>
          <w:color w:val="000000"/>
          <w:spacing w:val="-2"/>
        </w:rPr>
        <w:t>Banro had encountered various operational challenges since its first mining development project</w:t>
      </w:r>
      <w:r w:rsidR="00754842" w:rsidRPr="000926A8">
        <w:rPr>
          <w:color w:val="000000"/>
          <w:spacing w:val="-2"/>
        </w:rPr>
        <w:t xml:space="preserve"> at Twangiza.</w:t>
      </w:r>
      <w:r w:rsidRPr="000926A8">
        <w:rPr>
          <w:color w:val="000000"/>
          <w:spacing w:val="-2"/>
        </w:rPr>
        <w:t xml:space="preserve"> Throughputs and recoveries of plants were below design capacities and targets. Besides, the company was short of spare parts for critical components. Also, strip ratios (</w:t>
      </w:r>
      <w:r w:rsidR="00754842" w:rsidRPr="000926A8">
        <w:rPr>
          <w:color w:val="000000"/>
          <w:spacing w:val="-2"/>
        </w:rPr>
        <w:t xml:space="preserve">the </w:t>
      </w:r>
      <w:r w:rsidRPr="000926A8">
        <w:rPr>
          <w:color w:val="000000"/>
          <w:spacing w:val="-2"/>
        </w:rPr>
        <w:t xml:space="preserve">ratio of the volume of waste materials required to be handled to extract a certain amount of valuable ores) were higher than expected. Thus, from the beginning, Banro </w:t>
      </w:r>
      <w:r w:rsidR="00C764A8" w:rsidRPr="000926A8">
        <w:rPr>
          <w:color w:val="000000"/>
          <w:spacing w:val="-2"/>
        </w:rPr>
        <w:t xml:space="preserve">produced </w:t>
      </w:r>
      <w:r w:rsidR="00754842" w:rsidRPr="000926A8">
        <w:rPr>
          <w:color w:val="000000"/>
          <w:spacing w:val="-2"/>
        </w:rPr>
        <w:t>a smaller</w:t>
      </w:r>
      <w:r w:rsidRPr="000926A8">
        <w:rPr>
          <w:color w:val="000000"/>
          <w:spacing w:val="-2"/>
        </w:rPr>
        <w:t xml:space="preserve"> amount of gold than expected. The company had to implement some changes at its processing plants, which increased the capital expenditures.</w:t>
      </w:r>
      <w:r w:rsidRPr="000926A8">
        <w:rPr>
          <w:color w:val="000000"/>
          <w:spacing w:val="-2"/>
          <w:vertAlign w:val="superscript"/>
        </w:rPr>
        <w:endnoteReference w:id="20"/>
      </w:r>
    </w:p>
    <w:p w14:paraId="14588092" w14:textId="77777777" w:rsidR="009248C3" w:rsidRPr="009248C3" w:rsidRDefault="009248C3" w:rsidP="009248C3">
      <w:pPr>
        <w:pStyle w:val="BodyTextMain"/>
        <w:rPr>
          <w:color w:val="000000"/>
          <w:sz w:val="20"/>
        </w:rPr>
      </w:pPr>
    </w:p>
    <w:p w14:paraId="22490ED3" w14:textId="155EFA83" w:rsidR="009248C3" w:rsidRPr="009248C3" w:rsidRDefault="009248C3" w:rsidP="009248C3">
      <w:pPr>
        <w:pStyle w:val="BodyTextMain"/>
        <w:rPr>
          <w:color w:val="000000"/>
          <w:lang w:eastAsia="zh-CN"/>
        </w:rPr>
      </w:pPr>
      <w:r w:rsidRPr="009248C3">
        <w:rPr>
          <w:color w:val="000000"/>
        </w:rPr>
        <w:t>The second development project</w:t>
      </w:r>
      <w:r w:rsidR="00243118">
        <w:rPr>
          <w:color w:val="000000"/>
        </w:rPr>
        <w:t>, at Namoya,</w:t>
      </w:r>
      <w:r w:rsidRPr="009248C3">
        <w:rPr>
          <w:color w:val="000000"/>
        </w:rPr>
        <w:t xml:space="preserve"> had encountered far more problems than the Twangiza project. Banro </w:t>
      </w:r>
      <w:r w:rsidR="00243118">
        <w:rPr>
          <w:color w:val="000000"/>
        </w:rPr>
        <w:t xml:space="preserve">had </w:t>
      </w:r>
      <w:r w:rsidRPr="009248C3">
        <w:rPr>
          <w:color w:val="000000"/>
        </w:rPr>
        <w:t>planned to spend $148.9 million as pre-production capital plus $28.9 million on other major capital expenditures required for production in the following years, beginning January 2016,</w:t>
      </w:r>
      <w:r w:rsidRPr="009248C3">
        <w:rPr>
          <w:color w:val="000000"/>
          <w:vertAlign w:val="superscript"/>
        </w:rPr>
        <w:endnoteReference w:id="21"/>
      </w:r>
      <w:r w:rsidRPr="009248C3">
        <w:rPr>
          <w:color w:val="000000"/>
        </w:rPr>
        <w:t xml:space="preserve"> </w:t>
      </w:r>
      <w:r w:rsidRPr="009248C3">
        <w:rPr>
          <w:color w:val="000000"/>
        </w:rPr>
        <w:lastRenderedPageBreak/>
        <w:t xml:space="preserve">making a total budget of $177.8 million for the Namoya Phase 1 project. As of December 2015, however, capital expenditures </w:t>
      </w:r>
      <w:r w:rsidR="00243118">
        <w:rPr>
          <w:color w:val="000000"/>
        </w:rPr>
        <w:t>for</w:t>
      </w:r>
      <w:r w:rsidRPr="009248C3">
        <w:rPr>
          <w:color w:val="000000"/>
        </w:rPr>
        <w:t xml:space="preserve"> the Namoya Phase 1 Project (referred to as </w:t>
      </w:r>
      <w:r w:rsidR="00243118">
        <w:rPr>
          <w:color w:val="000000"/>
        </w:rPr>
        <w:t xml:space="preserve">a </w:t>
      </w:r>
      <w:r w:rsidRPr="009248C3">
        <w:rPr>
          <w:color w:val="000000"/>
        </w:rPr>
        <w:t xml:space="preserve">mine under construction in the balance sheet) </w:t>
      </w:r>
      <w:r w:rsidR="00243118">
        <w:rPr>
          <w:color w:val="000000"/>
        </w:rPr>
        <w:t xml:space="preserve">were </w:t>
      </w:r>
      <w:r w:rsidRPr="009248C3">
        <w:rPr>
          <w:color w:val="000000"/>
        </w:rPr>
        <w:t xml:space="preserve">indicated </w:t>
      </w:r>
      <w:r w:rsidR="00243118">
        <w:rPr>
          <w:color w:val="000000"/>
        </w:rPr>
        <w:t xml:space="preserve">as </w:t>
      </w:r>
      <w:r w:rsidRPr="009248C3">
        <w:rPr>
          <w:color w:val="000000"/>
        </w:rPr>
        <w:t>$388 million, which represented a cost overrun of $210.2 million (e.g., $388 million less $177.8 million)</w:t>
      </w:r>
      <w:r w:rsidR="00243118">
        <w:rPr>
          <w:color w:val="000000"/>
        </w:rPr>
        <w:t>,</w:t>
      </w:r>
      <w:r w:rsidRPr="009248C3">
        <w:rPr>
          <w:color w:val="000000"/>
        </w:rPr>
        <w:t xml:space="preserve"> or 118 per cent of the original budget (see Exhibit</w:t>
      </w:r>
      <w:r w:rsidR="00243118">
        <w:rPr>
          <w:color w:val="000000"/>
        </w:rPr>
        <w:t>s</w:t>
      </w:r>
      <w:r w:rsidRPr="009248C3">
        <w:rPr>
          <w:color w:val="000000"/>
        </w:rPr>
        <w:t xml:space="preserve"> 2 </w:t>
      </w:r>
      <w:r w:rsidR="00243118">
        <w:rPr>
          <w:color w:val="000000"/>
        </w:rPr>
        <w:t>and</w:t>
      </w:r>
      <w:r w:rsidRPr="009248C3">
        <w:rPr>
          <w:color w:val="000000"/>
        </w:rPr>
        <w:t xml:space="preserve"> 3). </w:t>
      </w:r>
    </w:p>
    <w:p w14:paraId="425741AC" w14:textId="77777777" w:rsidR="000926A8" w:rsidRPr="000926A8" w:rsidRDefault="000926A8" w:rsidP="000926A8">
      <w:pPr>
        <w:pStyle w:val="BodyTextMain"/>
        <w:rPr>
          <w:sz w:val="20"/>
        </w:rPr>
      </w:pPr>
    </w:p>
    <w:p w14:paraId="287F286C" w14:textId="77777777" w:rsidR="000926A8" w:rsidRPr="000926A8" w:rsidRDefault="000926A8" w:rsidP="000926A8">
      <w:pPr>
        <w:pStyle w:val="BodyTextMain"/>
        <w:rPr>
          <w:sz w:val="20"/>
        </w:rPr>
      </w:pPr>
    </w:p>
    <w:p w14:paraId="37C5F2C5" w14:textId="77777777" w:rsidR="009248C3" w:rsidRPr="009248C3" w:rsidRDefault="009248C3" w:rsidP="009248C3">
      <w:pPr>
        <w:pStyle w:val="Casehead2"/>
      </w:pPr>
      <w:r w:rsidRPr="009248C3">
        <w:t>Security Threats</w:t>
      </w:r>
    </w:p>
    <w:p w14:paraId="3FFF3A6C" w14:textId="77777777" w:rsidR="009248C3" w:rsidRPr="009248C3" w:rsidRDefault="009248C3" w:rsidP="009248C3">
      <w:pPr>
        <w:pStyle w:val="BodyTextMain"/>
        <w:rPr>
          <w:sz w:val="20"/>
        </w:rPr>
      </w:pPr>
    </w:p>
    <w:p w14:paraId="3D710652" w14:textId="65A3D391" w:rsidR="009248C3" w:rsidRPr="009248C3" w:rsidRDefault="009248C3" w:rsidP="009248C3">
      <w:pPr>
        <w:pStyle w:val="BodyTextMain"/>
      </w:pPr>
      <w:r w:rsidRPr="009248C3">
        <w:t xml:space="preserve">DRC </w:t>
      </w:r>
      <w:r w:rsidR="00CA38EF">
        <w:t>saw</w:t>
      </w:r>
      <w:r w:rsidRPr="009248C3">
        <w:t xml:space="preserve"> wars and armed conflicts </w:t>
      </w:r>
      <w:r w:rsidR="00CA38EF">
        <w:t>beginning</w:t>
      </w:r>
      <w:r w:rsidRPr="009248C3">
        <w:t xml:space="preserve"> in 1996 and end</w:t>
      </w:r>
      <w:r w:rsidR="00CA38EF">
        <w:t>ing</w:t>
      </w:r>
      <w:r w:rsidRPr="009248C3">
        <w:t xml:space="preserve"> in 2013 with the defeat of the anti-government Congolese Revolutionary Army. However, violence</w:t>
      </w:r>
      <w:r w:rsidR="00CA38EF">
        <w:t>,</w:t>
      </w:r>
      <w:r w:rsidRPr="009248C3">
        <w:t xml:space="preserve"> insecurity</w:t>
      </w:r>
      <w:r w:rsidR="00CA38EF">
        <w:t>,</w:t>
      </w:r>
      <w:r w:rsidRPr="009248C3">
        <w:t xml:space="preserve"> </w:t>
      </w:r>
      <w:r w:rsidR="00CA38EF">
        <w:t>and</w:t>
      </w:r>
      <w:r w:rsidRPr="009248C3">
        <w:t xml:space="preserve"> ongoing conflicts between the DRC army and residual militia groups were still rampant in the eastern part of DRC, where Banro was operating.</w:t>
      </w:r>
      <w:r w:rsidRPr="009248C3">
        <w:rPr>
          <w:vertAlign w:val="superscript"/>
        </w:rPr>
        <w:endnoteReference w:id="22"/>
      </w:r>
      <w:r w:rsidRPr="009248C3">
        <w:t xml:space="preserve"> In May 2017, Banro announced the release of five employees who </w:t>
      </w:r>
      <w:r w:rsidR="00CA38EF">
        <w:t>had been</w:t>
      </w:r>
      <w:r w:rsidRPr="009248C3">
        <w:t xml:space="preserve"> made hostages for blackmail during a series of attacks by armed militias in the first quarter of 2017 at its mines in the DRC.</w:t>
      </w:r>
      <w:r w:rsidRPr="009248C3">
        <w:rPr>
          <w:vertAlign w:val="superscript"/>
        </w:rPr>
        <w:endnoteReference w:id="23"/>
      </w:r>
      <w:r w:rsidRPr="009248C3">
        <w:t xml:space="preserve"> Th</w:t>
      </w:r>
      <w:r w:rsidR="00CA38EF">
        <w:t>is</w:t>
      </w:r>
      <w:r w:rsidRPr="009248C3">
        <w:t xml:space="preserve"> unfortunate event added to the social and political conflicts Banro had been facing since commencing commercial development of its first Twangiza mine in 2009. </w:t>
      </w:r>
    </w:p>
    <w:p w14:paraId="340C3D66" w14:textId="77777777" w:rsidR="009248C3" w:rsidRPr="009248C3" w:rsidRDefault="009248C3" w:rsidP="009248C3">
      <w:pPr>
        <w:pStyle w:val="BodyTextMain"/>
        <w:rPr>
          <w:sz w:val="20"/>
        </w:rPr>
      </w:pPr>
    </w:p>
    <w:p w14:paraId="549C4214" w14:textId="77777777" w:rsidR="009248C3" w:rsidRPr="009248C3" w:rsidRDefault="009248C3" w:rsidP="009248C3">
      <w:pPr>
        <w:pStyle w:val="BodyTextMain"/>
        <w:rPr>
          <w:sz w:val="20"/>
        </w:rPr>
      </w:pPr>
    </w:p>
    <w:p w14:paraId="099FD2CF" w14:textId="77777777" w:rsidR="009248C3" w:rsidRPr="009248C3" w:rsidRDefault="009248C3" w:rsidP="009248C3">
      <w:pPr>
        <w:pStyle w:val="Casehead2"/>
      </w:pPr>
      <w:r w:rsidRPr="009248C3">
        <w:t>Public Infrastructures</w:t>
      </w:r>
    </w:p>
    <w:p w14:paraId="536704FF" w14:textId="77777777" w:rsidR="009248C3" w:rsidRPr="009248C3" w:rsidRDefault="009248C3" w:rsidP="009248C3">
      <w:pPr>
        <w:pStyle w:val="BodyTextMain"/>
        <w:rPr>
          <w:color w:val="000000"/>
          <w:sz w:val="20"/>
        </w:rPr>
      </w:pPr>
    </w:p>
    <w:p w14:paraId="32379483" w14:textId="7AE03660" w:rsidR="009248C3" w:rsidRPr="007C3731" w:rsidRDefault="00CA38EF" w:rsidP="009248C3">
      <w:pPr>
        <w:pStyle w:val="BodyTextMain"/>
        <w:rPr>
          <w:color w:val="000000"/>
          <w:spacing w:val="-2"/>
        </w:rPr>
      </w:pPr>
      <w:r w:rsidRPr="007C3731">
        <w:rPr>
          <w:color w:val="000000"/>
          <w:spacing w:val="-2"/>
        </w:rPr>
        <w:t>The p</w:t>
      </w:r>
      <w:r w:rsidR="009248C3" w:rsidRPr="007C3731">
        <w:rPr>
          <w:color w:val="000000"/>
          <w:spacing w:val="-2"/>
        </w:rPr>
        <w:t xml:space="preserve">oor condition of </w:t>
      </w:r>
      <w:r w:rsidR="00810FEC" w:rsidRPr="007C3731">
        <w:rPr>
          <w:color w:val="000000"/>
          <w:spacing w:val="-2"/>
        </w:rPr>
        <w:t xml:space="preserve">the country’s </w:t>
      </w:r>
      <w:r w:rsidR="009248C3" w:rsidRPr="007C3731">
        <w:rPr>
          <w:color w:val="000000"/>
          <w:spacing w:val="-2"/>
        </w:rPr>
        <w:t xml:space="preserve">infrastructure after years of war and </w:t>
      </w:r>
      <w:r w:rsidR="00FD0B44" w:rsidRPr="007C3731">
        <w:rPr>
          <w:color w:val="000000"/>
          <w:spacing w:val="-2"/>
        </w:rPr>
        <w:t xml:space="preserve">because of </w:t>
      </w:r>
      <w:r w:rsidRPr="007C3731">
        <w:rPr>
          <w:color w:val="000000"/>
          <w:spacing w:val="-2"/>
        </w:rPr>
        <w:t xml:space="preserve">a </w:t>
      </w:r>
      <w:r w:rsidR="009248C3" w:rsidRPr="007C3731">
        <w:rPr>
          <w:color w:val="000000"/>
          <w:spacing w:val="-2"/>
        </w:rPr>
        <w:t xml:space="preserve">lack of investment in DRC posed numerous operational challenges </w:t>
      </w:r>
      <w:r w:rsidRPr="007C3731">
        <w:rPr>
          <w:color w:val="000000"/>
          <w:spacing w:val="-2"/>
        </w:rPr>
        <w:t>for</w:t>
      </w:r>
      <w:r w:rsidR="009248C3" w:rsidRPr="007C3731">
        <w:rPr>
          <w:color w:val="000000"/>
          <w:spacing w:val="-2"/>
        </w:rPr>
        <w:t xml:space="preserve"> foreign companies operating in the country.</w:t>
      </w:r>
      <w:r w:rsidR="009248C3" w:rsidRPr="007C3731">
        <w:rPr>
          <w:color w:val="000000"/>
          <w:spacing w:val="-2"/>
          <w:vertAlign w:val="superscript"/>
        </w:rPr>
        <w:endnoteReference w:id="24"/>
      </w:r>
      <w:r w:rsidR="009248C3" w:rsidRPr="007C3731">
        <w:rPr>
          <w:color w:val="000000"/>
          <w:spacing w:val="-2"/>
        </w:rPr>
        <w:t xml:space="preserve"> With its projects located in remote areas, Banro had to build and continuously maintain sources of power and water, and transportation to support its operations. </w:t>
      </w:r>
      <w:r w:rsidR="00810FEC" w:rsidRPr="007C3731">
        <w:rPr>
          <w:color w:val="000000"/>
          <w:spacing w:val="-2"/>
        </w:rPr>
        <w:t>The t</w:t>
      </w:r>
      <w:r w:rsidR="009248C3" w:rsidRPr="007C3731">
        <w:rPr>
          <w:color w:val="000000"/>
          <w:spacing w:val="-2"/>
        </w:rPr>
        <w:t>ransportation of operational equipment, supplies, and resources into and out of the country was often delayed, which affected the company’s ability to proceed with its mineral projects in a timely manner.</w:t>
      </w:r>
      <w:r w:rsidR="009248C3" w:rsidRPr="007C3731">
        <w:rPr>
          <w:color w:val="000000"/>
          <w:spacing w:val="-2"/>
          <w:vertAlign w:val="superscript"/>
        </w:rPr>
        <w:endnoteReference w:id="25"/>
      </w:r>
      <w:r w:rsidR="009248C3" w:rsidRPr="007C3731">
        <w:rPr>
          <w:color w:val="000000"/>
          <w:spacing w:val="-2"/>
        </w:rPr>
        <w:t xml:space="preserve"> </w:t>
      </w:r>
      <w:r w:rsidR="00810FEC" w:rsidRPr="007C3731">
        <w:rPr>
          <w:color w:val="000000"/>
          <w:spacing w:val="-2"/>
        </w:rPr>
        <w:t>E</w:t>
      </w:r>
      <w:r w:rsidR="009248C3" w:rsidRPr="007C3731">
        <w:rPr>
          <w:color w:val="000000"/>
          <w:spacing w:val="-2"/>
        </w:rPr>
        <w:t xml:space="preserve">lectrical power </w:t>
      </w:r>
      <w:r w:rsidR="00810FEC" w:rsidRPr="007C3731">
        <w:rPr>
          <w:color w:val="000000"/>
          <w:spacing w:val="-2"/>
        </w:rPr>
        <w:t xml:space="preserve">failures </w:t>
      </w:r>
      <w:r w:rsidR="009248C3" w:rsidRPr="007C3731">
        <w:rPr>
          <w:color w:val="000000"/>
          <w:spacing w:val="-2"/>
        </w:rPr>
        <w:t xml:space="preserve">due to shortages of diesel, mechanical parts, and other materials also had a significant effect on the </w:t>
      </w:r>
      <w:r w:rsidR="009248C3" w:rsidRPr="007C3731">
        <w:rPr>
          <w:spacing w:val="-2"/>
        </w:rPr>
        <w:t>company’s operations and financial performance.</w:t>
      </w:r>
      <w:r w:rsidR="009248C3" w:rsidRPr="007C3731">
        <w:rPr>
          <w:spacing w:val="-2"/>
          <w:vertAlign w:val="superscript"/>
        </w:rPr>
        <w:endnoteReference w:id="26"/>
      </w:r>
    </w:p>
    <w:p w14:paraId="19493252" w14:textId="77777777" w:rsidR="009248C3" w:rsidRPr="009248C3" w:rsidRDefault="009248C3" w:rsidP="009248C3">
      <w:pPr>
        <w:pStyle w:val="BodyTextMain"/>
      </w:pPr>
    </w:p>
    <w:p w14:paraId="281C2744" w14:textId="77777777" w:rsidR="009248C3" w:rsidRPr="009248C3" w:rsidRDefault="009248C3" w:rsidP="009248C3">
      <w:pPr>
        <w:pStyle w:val="BodyTextMain"/>
      </w:pPr>
    </w:p>
    <w:p w14:paraId="5B1B2D60" w14:textId="77777777" w:rsidR="009248C3" w:rsidRPr="009248C3" w:rsidRDefault="009248C3" w:rsidP="009248C3">
      <w:pPr>
        <w:pStyle w:val="Casehead2"/>
      </w:pPr>
      <w:r w:rsidRPr="009248C3">
        <w:t>Supporting Industries</w:t>
      </w:r>
    </w:p>
    <w:p w14:paraId="3CA89544" w14:textId="77777777" w:rsidR="009248C3" w:rsidRPr="009248C3" w:rsidRDefault="009248C3" w:rsidP="009248C3">
      <w:pPr>
        <w:pStyle w:val="BodyTextMain"/>
        <w:rPr>
          <w:color w:val="000000"/>
          <w:sz w:val="20"/>
        </w:rPr>
      </w:pPr>
    </w:p>
    <w:p w14:paraId="2A731FEE" w14:textId="516DFC81" w:rsidR="009248C3" w:rsidRPr="00677693" w:rsidRDefault="00C5343B" w:rsidP="009248C3">
      <w:pPr>
        <w:pStyle w:val="BodyTextMain"/>
        <w:rPr>
          <w:spacing w:val="-4"/>
        </w:rPr>
      </w:pPr>
      <w:r w:rsidRPr="00677693">
        <w:rPr>
          <w:color w:val="000000"/>
          <w:spacing w:val="-4"/>
        </w:rPr>
        <w:t>DRC</w:t>
      </w:r>
      <w:r w:rsidR="009248C3" w:rsidRPr="00677693">
        <w:rPr>
          <w:color w:val="000000"/>
          <w:spacing w:val="-4"/>
        </w:rPr>
        <w:t xml:space="preserve"> lacked manufacturers and service providers (including </w:t>
      </w:r>
      <w:r w:rsidR="003C4CDF" w:rsidRPr="00677693">
        <w:rPr>
          <w:color w:val="000000"/>
          <w:spacing w:val="-4"/>
        </w:rPr>
        <w:t>research and development</w:t>
      </w:r>
      <w:r w:rsidR="009248C3" w:rsidRPr="00677693">
        <w:rPr>
          <w:color w:val="000000"/>
          <w:spacing w:val="-4"/>
        </w:rPr>
        <w:t xml:space="preserve">) for supporting machinery, equipment, and consumables. Insecurity and </w:t>
      </w:r>
      <w:r w:rsidRPr="00677693">
        <w:rPr>
          <w:color w:val="000000"/>
          <w:spacing w:val="-4"/>
        </w:rPr>
        <w:t xml:space="preserve">the </w:t>
      </w:r>
      <w:r w:rsidR="009248C3" w:rsidRPr="00677693">
        <w:rPr>
          <w:color w:val="000000"/>
          <w:spacing w:val="-4"/>
        </w:rPr>
        <w:t>poor condition of road network</w:t>
      </w:r>
      <w:r w:rsidRPr="00677693">
        <w:rPr>
          <w:color w:val="000000"/>
          <w:spacing w:val="-4"/>
        </w:rPr>
        <w:t>s</w:t>
      </w:r>
      <w:r w:rsidR="009248C3" w:rsidRPr="00677693">
        <w:rPr>
          <w:color w:val="000000"/>
          <w:spacing w:val="-4"/>
        </w:rPr>
        <w:t xml:space="preserve"> made it difficult and costly for companies operating in remote areas to procure these items and services from the </w:t>
      </w:r>
      <w:r w:rsidRPr="00677693">
        <w:rPr>
          <w:color w:val="000000"/>
          <w:spacing w:val="-4"/>
        </w:rPr>
        <w:t xml:space="preserve">province of </w:t>
      </w:r>
      <w:r w:rsidR="009248C3" w:rsidRPr="00677693">
        <w:rPr>
          <w:color w:val="000000"/>
          <w:spacing w:val="-4"/>
        </w:rPr>
        <w:t>Katanga, where m</w:t>
      </w:r>
      <w:r w:rsidR="009248C3" w:rsidRPr="00677693">
        <w:rPr>
          <w:spacing w:val="-4"/>
        </w:rPr>
        <w:t>ost mining service providers were based</w:t>
      </w:r>
      <w:r w:rsidR="009248C3" w:rsidRPr="00677693">
        <w:rPr>
          <w:color w:val="000000"/>
          <w:spacing w:val="-4"/>
        </w:rPr>
        <w:t>.</w:t>
      </w:r>
      <w:r w:rsidR="009248C3" w:rsidRPr="00677693">
        <w:rPr>
          <w:color w:val="000000"/>
          <w:spacing w:val="-4"/>
          <w:vertAlign w:val="superscript"/>
        </w:rPr>
        <w:endnoteReference w:id="27"/>
      </w:r>
      <w:r w:rsidR="009248C3" w:rsidRPr="00677693">
        <w:rPr>
          <w:spacing w:val="-4"/>
        </w:rPr>
        <w:t xml:space="preserve"> Several times, processing plants were shut down due to </w:t>
      </w:r>
      <w:r w:rsidRPr="00677693">
        <w:rPr>
          <w:spacing w:val="-4"/>
        </w:rPr>
        <w:t>a</w:t>
      </w:r>
      <w:r w:rsidR="009248C3" w:rsidRPr="00677693">
        <w:rPr>
          <w:spacing w:val="-4"/>
        </w:rPr>
        <w:t xml:space="preserve"> lack of critical supplies such as chemicals, fuel, cement, explosives, and spare parts.</w:t>
      </w:r>
      <w:r w:rsidR="009248C3" w:rsidRPr="00677693">
        <w:rPr>
          <w:spacing w:val="-4"/>
          <w:vertAlign w:val="superscript"/>
        </w:rPr>
        <w:endnoteReference w:id="28"/>
      </w:r>
    </w:p>
    <w:p w14:paraId="1D9CB937" w14:textId="77777777" w:rsidR="009248C3" w:rsidRPr="009248C3" w:rsidRDefault="009248C3" w:rsidP="009248C3">
      <w:pPr>
        <w:pStyle w:val="BodyTextMain"/>
        <w:rPr>
          <w:rFonts w:eastAsia="ヒラギノ明朝 Pro W3"/>
          <w:sz w:val="20"/>
          <w:lang w:eastAsia="ja-JP"/>
        </w:rPr>
      </w:pPr>
    </w:p>
    <w:p w14:paraId="207A3EF6" w14:textId="77777777" w:rsidR="009248C3" w:rsidRPr="009248C3" w:rsidRDefault="009248C3" w:rsidP="009248C3">
      <w:pPr>
        <w:pStyle w:val="BodyTextMain"/>
        <w:rPr>
          <w:rFonts w:eastAsia="ヒラギノ明朝 Pro W3"/>
          <w:sz w:val="20"/>
          <w:lang w:eastAsia="ja-JP"/>
        </w:rPr>
      </w:pPr>
    </w:p>
    <w:p w14:paraId="0CCE1DE4" w14:textId="77777777" w:rsidR="009248C3" w:rsidRPr="009248C3" w:rsidRDefault="009248C3" w:rsidP="009248C3">
      <w:pPr>
        <w:pStyle w:val="Casehead1"/>
        <w:rPr>
          <w:rFonts w:eastAsia="ヒラギノ明朝 Pro W3"/>
          <w:lang w:eastAsia="ja-JP"/>
        </w:rPr>
      </w:pPr>
      <w:r w:rsidRPr="009248C3">
        <w:t>THE RECAPITALIZATION</w:t>
      </w:r>
    </w:p>
    <w:p w14:paraId="5A5D61FC" w14:textId="77777777" w:rsidR="009248C3" w:rsidRPr="009248C3" w:rsidRDefault="009248C3" w:rsidP="009248C3">
      <w:pPr>
        <w:pStyle w:val="BodyTextMain"/>
        <w:rPr>
          <w:sz w:val="20"/>
          <w:shd w:val="clear" w:color="auto" w:fill="FFFFFF"/>
        </w:rPr>
      </w:pPr>
    </w:p>
    <w:p w14:paraId="4B84D631" w14:textId="26B1F661" w:rsidR="009248C3" w:rsidRPr="009248C3" w:rsidRDefault="009248C3" w:rsidP="009248C3">
      <w:pPr>
        <w:pStyle w:val="BodyTextMain"/>
        <w:rPr>
          <w:shd w:val="clear" w:color="auto" w:fill="FFFFFF"/>
        </w:rPr>
      </w:pPr>
      <w:r w:rsidRPr="009248C3">
        <w:t>At the end of 2016, Banro recorded a debt-to-asset ratio (financial leverage) of 58 per cent and a working capital ratio (current ratio) of 31 per cent,</w:t>
      </w:r>
      <w:r w:rsidRPr="009248C3">
        <w:rPr>
          <w:vertAlign w:val="superscript"/>
        </w:rPr>
        <w:endnoteReference w:id="29"/>
      </w:r>
      <w:r w:rsidRPr="009248C3">
        <w:t xml:space="preserve"> implying that its current operations </w:t>
      </w:r>
      <w:r w:rsidR="00C5343B">
        <w:t>could</w:t>
      </w:r>
      <w:r w:rsidRPr="009248C3">
        <w:t xml:space="preserve"> be subject to precariousness (see Exhibit</w:t>
      </w:r>
      <w:r w:rsidR="009E4749">
        <w:t>s</w:t>
      </w:r>
      <w:r w:rsidRPr="009248C3">
        <w:t xml:space="preserve"> 3, 4, </w:t>
      </w:r>
      <w:r w:rsidR="009E4749">
        <w:t>and</w:t>
      </w:r>
      <w:r w:rsidRPr="009248C3">
        <w:t xml:space="preserve"> 5). Its share price had continued to drastically deteriorate since 2013, hitting </w:t>
      </w:r>
      <w:r w:rsidR="00887E53">
        <w:t xml:space="preserve">a closing price of </w:t>
      </w:r>
      <w:r w:rsidRPr="009248C3">
        <w:t xml:space="preserve">$0.19 </w:t>
      </w:r>
      <w:r w:rsidR="00887E53">
        <w:t>in</w:t>
      </w:r>
      <w:r w:rsidRPr="009248C3">
        <w:t xml:space="preserve"> 2016</w:t>
      </w:r>
      <w:r w:rsidRPr="009248C3">
        <w:rPr>
          <w:shd w:val="clear" w:color="auto" w:fill="FFFFFF"/>
        </w:rPr>
        <w:t xml:space="preserve"> </w:t>
      </w:r>
      <w:r w:rsidR="00C5343B">
        <w:rPr>
          <w:shd w:val="clear" w:color="auto" w:fill="FFFFFF"/>
        </w:rPr>
        <w:t>on</w:t>
      </w:r>
      <w:r w:rsidRPr="009248C3">
        <w:rPr>
          <w:shd w:val="clear" w:color="auto" w:fill="FFFFFF"/>
        </w:rPr>
        <w:t xml:space="preserve"> the NYSE </w:t>
      </w:r>
      <w:r w:rsidR="003F243A">
        <w:rPr>
          <w:shd w:val="clear" w:color="auto" w:fill="FFFFFF"/>
        </w:rPr>
        <w:t>American</w:t>
      </w:r>
      <w:r w:rsidRPr="009248C3">
        <w:t>,</w:t>
      </w:r>
      <w:r w:rsidRPr="009248C3">
        <w:rPr>
          <w:shd w:val="clear" w:color="auto" w:fill="FFFFFF"/>
        </w:rPr>
        <w:t xml:space="preserve"> with 303,482,336 total outstanding common shares,</w:t>
      </w:r>
      <w:r w:rsidRPr="009248C3">
        <w:rPr>
          <w:shd w:val="clear" w:color="auto" w:fill="FFFFFF"/>
          <w:vertAlign w:val="superscript"/>
        </w:rPr>
        <w:endnoteReference w:id="30"/>
      </w:r>
      <w:r w:rsidRPr="009248C3">
        <w:t xml:space="preserve"> </w:t>
      </w:r>
      <w:r w:rsidR="00887E53">
        <w:t xml:space="preserve">down </w:t>
      </w:r>
      <w:r w:rsidRPr="009248C3">
        <w:t>from almost $5 in 2012 (see Exhibit 6).</w:t>
      </w:r>
      <w:r w:rsidRPr="009248C3">
        <w:rPr>
          <w:shd w:val="clear" w:color="auto" w:fill="FFFFFF"/>
        </w:rPr>
        <w:t xml:space="preserve"> In its </w:t>
      </w:r>
      <w:r w:rsidR="00887E53">
        <w:rPr>
          <w:shd w:val="clear" w:color="auto" w:fill="FFFFFF"/>
        </w:rPr>
        <w:t xml:space="preserve">2016 </w:t>
      </w:r>
      <w:r w:rsidRPr="009248C3">
        <w:rPr>
          <w:shd w:val="clear" w:color="auto" w:fill="FFFFFF"/>
        </w:rPr>
        <w:t xml:space="preserve">annual report, Banro stated it was unable to generate sufficient cash flows internally from operations to meet </w:t>
      </w:r>
      <w:r w:rsidR="00887E53">
        <w:rPr>
          <w:shd w:val="clear" w:color="auto" w:fill="FFFFFF"/>
        </w:rPr>
        <w:t xml:space="preserve">its </w:t>
      </w:r>
      <w:r w:rsidRPr="009248C3">
        <w:rPr>
          <w:shd w:val="clear" w:color="auto" w:fill="FFFFFF"/>
        </w:rPr>
        <w:t>debt obligations, particularly for the notes due in March 2017.</w:t>
      </w:r>
      <w:r w:rsidRPr="009248C3">
        <w:rPr>
          <w:shd w:val="clear" w:color="auto" w:fill="FFFFFF"/>
          <w:vertAlign w:val="superscript"/>
        </w:rPr>
        <w:endnoteReference w:id="31"/>
      </w:r>
      <w:r w:rsidRPr="009248C3">
        <w:rPr>
          <w:shd w:val="clear" w:color="auto" w:fill="FFFFFF"/>
        </w:rPr>
        <w:t xml:space="preserve"> This debt burden also severely limited its alternatives to externally raise additional capital. As such, Banro </w:t>
      </w:r>
      <w:r w:rsidR="00887E53">
        <w:rPr>
          <w:shd w:val="clear" w:color="auto" w:fill="FFFFFF"/>
        </w:rPr>
        <w:t>could</w:t>
      </w:r>
      <w:r w:rsidRPr="009248C3">
        <w:rPr>
          <w:shd w:val="clear" w:color="auto" w:fill="FFFFFF"/>
        </w:rPr>
        <w:t xml:space="preserve"> be forced into bankruptcy on debt default.</w:t>
      </w:r>
    </w:p>
    <w:p w14:paraId="4219E0E1" w14:textId="77777777" w:rsidR="009248C3" w:rsidRPr="009248C3" w:rsidRDefault="009248C3" w:rsidP="009248C3">
      <w:pPr>
        <w:pStyle w:val="BodyTextMain"/>
        <w:rPr>
          <w:shd w:val="clear" w:color="auto" w:fill="FFFFFF"/>
        </w:rPr>
      </w:pPr>
    </w:p>
    <w:p w14:paraId="75D4F1B9" w14:textId="6E63C3C5" w:rsidR="009248C3" w:rsidRPr="009248C3" w:rsidRDefault="009248C3" w:rsidP="009248C3">
      <w:pPr>
        <w:pStyle w:val="BodyTextMain"/>
        <w:rPr>
          <w:shd w:val="clear" w:color="auto" w:fill="FFFFFF"/>
        </w:rPr>
      </w:pPr>
      <w:r w:rsidRPr="009248C3">
        <w:rPr>
          <w:shd w:val="clear" w:color="auto" w:fill="FFFFFF"/>
        </w:rPr>
        <w:t xml:space="preserve">In response to such financial distress, in January 2017 Banro entered an agreement </w:t>
      </w:r>
      <w:r w:rsidR="00887E53">
        <w:rPr>
          <w:shd w:val="clear" w:color="auto" w:fill="FFFFFF"/>
        </w:rPr>
        <w:t xml:space="preserve">with its major stakeholders </w:t>
      </w:r>
      <w:r w:rsidRPr="009248C3">
        <w:rPr>
          <w:shd w:val="clear" w:color="auto" w:fill="FFFFFF"/>
        </w:rPr>
        <w:t xml:space="preserve">for recapitalization, which included refinancing debt of $207.5 million, equitizing the </w:t>
      </w:r>
      <w:r w:rsidR="00D81EDA">
        <w:rPr>
          <w:shd w:val="clear" w:color="auto" w:fill="FFFFFF"/>
        </w:rPr>
        <w:t xml:space="preserve">outstanding </w:t>
      </w:r>
      <w:r w:rsidRPr="009248C3">
        <w:rPr>
          <w:shd w:val="clear" w:color="auto" w:fill="FFFFFF"/>
        </w:rPr>
        <w:t xml:space="preserve">preferred shares, and raising $45 million by a gold forward sale, in order to reduce debt burden, </w:t>
      </w:r>
      <w:r w:rsidRPr="009248C3">
        <w:rPr>
          <w:shd w:val="clear" w:color="auto" w:fill="FFFFFF"/>
        </w:rPr>
        <w:lastRenderedPageBreak/>
        <w:t xml:space="preserve">improve liquidity, and position the company to optimize operations of </w:t>
      </w:r>
      <w:r w:rsidR="00887E53">
        <w:rPr>
          <w:shd w:val="clear" w:color="auto" w:fill="FFFFFF"/>
        </w:rPr>
        <w:t xml:space="preserve">its </w:t>
      </w:r>
      <w:r w:rsidRPr="009248C3">
        <w:rPr>
          <w:shd w:val="clear" w:color="auto" w:fill="FFFFFF"/>
        </w:rPr>
        <w:t>mining assets.</w:t>
      </w:r>
      <w:r w:rsidRPr="009248C3">
        <w:rPr>
          <w:shd w:val="clear" w:color="auto" w:fill="FFFFFF"/>
          <w:vertAlign w:val="superscript"/>
        </w:rPr>
        <w:endnoteReference w:id="32"/>
      </w:r>
      <w:r w:rsidRPr="009248C3">
        <w:rPr>
          <w:shd w:val="clear" w:color="auto" w:fill="FFFFFF"/>
        </w:rPr>
        <w:t xml:space="preserve"> In particular, the agreement involved the refinancing of </w:t>
      </w:r>
      <w:r w:rsidR="00D81EDA">
        <w:rPr>
          <w:shd w:val="clear" w:color="auto" w:fill="FFFFFF"/>
        </w:rPr>
        <w:t xml:space="preserve">the </w:t>
      </w:r>
      <w:r w:rsidRPr="009248C3">
        <w:rPr>
          <w:shd w:val="clear" w:color="auto" w:fill="FFFFFF"/>
        </w:rPr>
        <w:t xml:space="preserve">maturing $175 million senior secured notes and $22.5 million loan with </w:t>
      </w:r>
      <w:r w:rsidR="00D81EDA">
        <w:rPr>
          <w:shd w:val="clear" w:color="auto" w:fill="FFFFFF"/>
        </w:rPr>
        <w:t xml:space="preserve">a </w:t>
      </w:r>
      <w:r w:rsidRPr="009248C3">
        <w:rPr>
          <w:shd w:val="clear" w:color="auto" w:fill="FFFFFF"/>
        </w:rPr>
        <w:t>new four-year</w:t>
      </w:r>
      <w:r w:rsidR="00D81EDA">
        <w:rPr>
          <w:shd w:val="clear" w:color="auto" w:fill="FFFFFF"/>
        </w:rPr>
        <w:t xml:space="preserve"> </w:t>
      </w:r>
      <w:r w:rsidRPr="009248C3">
        <w:rPr>
          <w:shd w:val="clear" w:color="auto" w:fill="FFFFFF"/>
        </w:rPr>
        <w:t>maturity, $197.5 million senior secured notes, and the extension of an existing $10 million loan to mature in March 2020. Upon completion</w:t>
      </w:r>
      <w:r w:rsidR="00D81EDA">
        <w:rPr>
          <w:shd w:val="clear" w:color="auto" w:fill="FFFFFF"/>
        </w:rPr>
        <w:t xml:space="preserve"> of the agreement</w:t>
      </w:r>
      <w:r w:rsidRPr="009248C3">
        <w:rPr>
          <w:shd w:val="clear" w:color="auto" w:fill="FFFFFF"/>
        </w:rPr>
        <w:t>, Baiyin, Gramercy, and BlackRock would own</w:t>
      </w:r>
      <w:r w:rsidR="00D81EDA">
        <w:rPr>
          <w:shd w:val="clear" w:color="auto" w:fill="FFFFFF"/>
        </w:rPr>
        <w:t>,</w:t>
      </w:r>
      <w:r w:rsidRPr="009248C3">
        <w:rPr>
          <w:shd w:val="clear" w:color="auto" w:fill="FFFFFF"/>
        </w:rPr>
        <w:t xml:space="preserve"> respectively</w:t>
      </w:r>
      <w:r w:rsidR="00D81EDA">
        <w:rPr>
          <w:shd w:val="clear" w:color="auto" w:fill="FFFFFF"/>
        </w:rPr>
        <w:t>,</w:t>
      </w:r>
      <w:r w:rsidRPr="009248C3">
        <w:rPr>
          <w:shd w:val="clear" w:color="auto" w:fill="FFFFFF"/>
        </w:rPr>
        <w:t xml:space="preserve"> about 30 per cent, 30 per cent, and 14 per cent of the outstanding common shares.</w:t>
      </w:r>
      <w:r w:rsidRPr="009248C3">
        <w:rPr>
          <w:shd w:val="clear" w:color="auto" w:fill="FFFFFF"/>
          <w:vertAlign w:val="superscript"/>
        </w:rPr>
        <w:endnoteReference w:id="33"/>
      </w:r>
      <w:r w:rsidRPr="009248C3">
        <w:rPr>
          <w:shd w:val="clear" w:color="auto" w:fill="FFFFFF"/>
        </w:rPr>
        <w:t xml:space="preserve"> Unlike the previous shareholding structure, these new principal shareholders </w:t>
      </w:r>
      <w:r w:rsidR="00D81EDA">
        <w:rPr>
          <w:shd w:val="clear" w:color="auto" w:fill="FFFFFF"/>
        </w:rPr>
        <w:t xml:space="preserve">would </w:t>
      </w:r>
      <w:r w:rsidR="00DF39AF" w:rsidRPr="009248C3">
        <w:rPr>
          <w:shd w:val="clear" w:color="auto" w:fill="FFFFFF"/>
        </w:rPr>
        <w:t>h</w:t>
      </w:r>
      <w:r w:rsidR="00DF39AF">
        <w:rPr>
          <w:shd w:val="clear" w:color="auto" w:fill="FFFFFF"/>
        </w:rPr>
        <w:t>old a</w:t>
      </w:r>
      <w:r w:rsidR="00DF39AF" w:rsidRPr="009248C3">
        <w:rPr>
          <w:shd w:val="clear" w:color="auto" w:fill="FFFFFF"/>
        </w:rPr>
        <w:t xml:space="preserve"> </w:t>
      </w:r>
      <w:r w:rsidRPr="009248C3">
        <w:rPr>
          <w:shd w:val="clear" w:color="auto" w:fill="FFFFFF"/>
        </w:rPr>
        <w:t>significant</w:t>
      </w:r>
      <w:r w:rsidR="00DF39AF" w:rsidRPr="00DF39AF">
        <w:rPr>
          <w:sz w:val="20"/>
        </w:rPr>
        <w:t xml:space="preserve"> </w:t>
      </w:r>
      <w:r w:rsidR="00DF39AF" w:rsidRPr="008644A0">
        <w:t>number of the common shares</w:t>
      </w:r>
      <w:r w:rsidRPr="008644A0">
        <w:rPr>
          <w:shd w:val="clear" w:color="auto" w:fill="FFFFFF"/>
        </w:rPr>
        <w:t xml:space="preserve"> </w:t>
      </w:r>
      <w:r w:rsidR="00DF39AF" w:rsidRPr="008644A0">
        <w:rPr>
          <w:shd w:val="clear" w:color="auto" w:fill="FFFFFF"/>
        </w:rPr>
        <w:t xml:space="preserve">and thus a significant </w:t>
      </w:r>
      <w:r w:rsidRPr="008644A0">
        <w:rPr>
          <w:shd w:val="clear" w:color="auto" w:fill="FFFFFF"/>
        </w:rPr>
        <w:t>vote on any</w:t>
      </w:r>
      <w:r w:rsidRPr="009248C3">
        <w:rPr>
          <w:shd w:val="clear" w:color="auto" w:fill="FFFFFF"/>
        </w:rPr>
        <w:t xml:space="preserve"> corporate matters </w:t>
      </w:r>
      <w:r w:rsidR="00DF39AF">
        <w:rPr>
          <w:shd w:val="clear" w:color="auto" w:fill="FFFFFF"/>
        </w:rPr>
        <w:t xml:space="preserve">coming </w:t>
      </w:r>
      <w:r w:rsidRPr="009248C3">
        <w:rPr>
          <w:shd w:val="clear" w:color="auto" w:fill="FFFFFF"/>
        </w:rPr>
        <w:t xml:space="preserve">before </w:t>
      </w:r>
      <w:r w:rsidR="00DF39AF">
        <w:rPr>
          <w:shd w:val="clear" w:color="auto" w:fill="FFFFFF"/>
        </w:rPr>
        <w:t xml:space="preserve">a vote of </w:t>
      </w:r>
      <w:r w:rsidRPr="009248C3">
        <w:rPr>
          <w:shd w:val="clear" w:color="auto" w:fill="FFFFFF"/>
        </w:rPr>
        <w:t>other common shareholders.</w:t>
      </w:r>
      <w:r w:rsidRPr="009248C3">
        <w:rPr>
          <w:shd w:val="clear" w:color="auto" w:fill="FFFFFF"/>
          <w:vertAlign w:val="superscript"/>
        </w:rPr>
        <w:endnoteReference w:id="34"/>
      </w:r>
    </w:p>
    <w:p w14:paraId="054A4C2F" w14:textId="101E25A8" w:rsidR="009248C3" w:rsidRPr="009248C3" w:rsidRDefault="009248C3" w:rsidP="009248C3">
      <w:pPr>
        <w:pStyle w:val="BodyTextMain"/>
        <w:rPr>
          <w:sz w:val="20"/>
        </w:rPr>
      </w:pPr>
    </w:p>
    <w:p w14:paraId="0E5951DD" w14:textId="77777777" w:rsidR="009248C3" w:rsidRPr="009248C3" w:rsidRDefault="009248C3" w:rsidP="009248C3">
      <w:pPr>
        <w:pStyle w:val="BodyTextMain"/>
        <w:rPr>
          <w:sz w:val="20"/>
        </w:rPr>
      </w:pPr>
    </w:p>
    <w:p w14:paraId="13A633E6" w14:textId="77777777" w:rsidR="009248C3" w:rsidRPr="009248C3" w:rsidRDefault="009248C3" w:rsidP="009248C3">
      <w:pPr>
        <w:pStyle w:val="Casehead1"/>
        <w:rPr>
          <w:shd w:val="clear" w:color="auto" w:fill="FFFFFF"/>
        </w:rPr>
      </w:pPr>
      <w:r w:rsidRPr="009248C3">
        <w:rPr>
          <w:shd w:val="clear" w:color="auto" w:fill="FFFFFF"/>
        </w:rPr>
        <w:t>THE CONGO’S MINING INDUSTRY</w:t>
      </w:r>
    </w:p>
    <w:p w14:paraId="6A21C343" w14:textId="77777777" w:rsidR="009248C3" w:rsidRPr="009248C3" w:rsidRDefault="009248C3" w:rsidP="009248C3">
      <w:pPr>
        <w:pStyle w:val="BodyTextMain"/>
        <w:rPr>
          <w:sz w:val="20"/>
          <w:shd w:val="clear" w:color="auto" w:fill="FFFFFF"/>
        </w:rPr>
      </w:pPr>
    </w:p>
    <w:p w14:paraId="2C4CD0D6" w14:textId="5162386E" w:rsidR="009248C3" w:rsidRPr="001947E0" w:rsidRDefault="009248C3" w:rsidP="009248C3">
      <w:pPr>
        <w:pStyle w:val="BodyTextMain"/>
        <w:rPr>
          <w:color w:val="000000"/>
          <w:spacing w:val="-2"/>
        </w:rPr>
      </w:pPr>
      <w:r w:rsidRPr="001947E0">
        <w:rPr>
          <w:spacing w:val="-2"/>
          <w:shd w:val="clear" w:color="auto" w:fill="FFFFFF"/>
        </w:rPr>
        <w:t xml:space="preserve">Mineral resources in DRC were estimated </w:t>
      </w:r>
      <w:r w:rsidR="00330CD6" w:rsidRPr="001947E0">
        <w:rPr>
          <w:spacing w:val="-2"/>
          <w:shd w:val="clear" w:color="auto" w:fill="FFFFFF"/>
        </w:rPr>
        <w:t>at</w:t>
      </w:r>
      <w:r w:rsidRPr="001947E0">
        <w:rPr>
          <w:spacing w:val="-2"/>
          <w:shd w:val="clear" w:color="auto" w:fill="FFFFFF"/>
        </w:rPr>
        <w:t xml:space="preserve"> $24 trillion</w:t>
      </w:r>
      <w:r w:rsidR="00123604">
        <w:rPr>
          <w:spacing w:val="-2"/>
          <w:shd w:val="clear" w:color="auto" w:fill="FFFFFF"/>
        </w:rPr>
        <w:t>.</w:t>
      </w:r>
      <w:r w:rsidRPr="001947E0">
        <w:rPr>
          <w:spacing w:val="-2"/>
          <w:shd w:val="clear" w:color="auto" w:fill="FFFFFF"/>
          <w:vertAlign w:val="superscript"/>
        </w:rPr>
        <w:endnoteReference w:id="35"/>
      </w:r>
      <w:r w:rsidRPr="001947E0">
        <w:rPr>
          <w:spacing w:val="-2"/>
          <w:shd w:val="clear" w:color="auto" w:fill="FFFFFF"/>
        </w:rPr>
        <w:t xml:space="preserve"> </w:t>
      </w:r>
      <w:r w:rsidR="00123604">
        <w:rPr>
          <w:spacing w:val="-2"/>
          <w:shd w:val="clear" w:color="auto" w:fill="FFFFFF"/>
        </w:rPr>
        <w:t xml:space="preserve">They </w:t>
      </w:r>
      <w:r w:rsidRPr="001947E0">
        <w:rPr>
          <w:spacing w:val="-2"/>
          <w:shd w:val="clear" w:color="auto" w:fill="FFFFFF"/>
        </w:rPr>
        <w:t>includ</w:t>
      </w:r>
      <w:r w:rsidR="00D81EDA" w:rsidRPr="001947E0">
        <w:rPr>
          <w:spacing w:val="-2"/>
          <w:shd w:val="clear" w:color="auto" w:fill="FFFFFF"/>
        </w:rPr>
        <w:t>ed</w:t>
      </w:r>
      <w:r w:rsidRPr="001947E0">
        <w:rPr>
          <w:spacing w:val="-2"/>
        </w:rPr>
        <w:t xml:space="preserve"> copper, cobalt, </w:t>
      </w:r>
      <w:r w:rsidR="00330CD6" w:rsidRPr="001947E0">
        <w:rPr>
          <w:spacing w:val="-2"/>
        </w:rPr>
        <w:t>and</w:t>
      </w:r>
      <w:r w:rsidRPr="001947E0">
        <w:rPr>
          <w:spacing w:val="-2"/>
        </w:rPr>
        <w:t xml:space="preserve"> niobium (usually called columbium in the United States), accounting </w:t>
      </w:r>
      <w:r w:rsidR="00330CD6" w:rsidRPr="001947E0">
        <w:rPr>
          <w:spacing w:val="-2"/>
        </w:rPr>
        <w:t xml:space="preserve">for </w:t>
      </w:r>
      <w:r w:rsidRPr="001947E0">
        <w:rPr>
          <w:spacing w:val="-2"/>
        </w:rPr>
        <w:t>about 10 per cent, 34 per cent, and 80 per cent of the world’s reserves</w:t>
      </w:r>
      <w:r w:rsidR="002E47DD" w:rsidRPr="001947E0">
        <w:rPr>
          <w:spacing w:val="-2"/>
        </w:rPr>
        <w:t>,</w:t>
      </w:r>
      <w:r w:rsidRPr="001947E0">
        <w:rPr>
          <w:spacing w:val="-2"/>
        </w:rPr>
        <w:t xml:space="preserve"> respectively.</w:t>
      </w:r>
      <w:r w:rsidRPr="001947E0">
        <w:rPr>
          <w:spacing w:val="-2"/>
          <w:vertAlign w:val="superscript"/>
        </w:rPr>
        <w:endnoteReference w:id="36"/>
      </w:r>
      <w:r w:rsidRPr="001947E0">
        <w:rPr>
          <w:spacing w:val="-2"/>
        </w:rPr>
        <w:t xml:space="preserve"> Copper </w:t>
      </w:r>
      <w:r w:rsidRPr="001947E0">
        <w:rPr>
          <w:rFonts w:hint="eastAsia"/>
          <w:spacing w:val="-2"/>
          <w:lang w:eastAsia="zh-CN"/>
        </w:rPr>
        <w:t>wa</w:t>
      </w:r>
      <w:r w:rsidRPr="001947E0">
        <w:rPr>
          <w:spacing w:val="-2"/>
        </w:rPr>
        <w:t xml:space="preserve">s the country’s most important export mineral, followed by cobalt, gold, diamond, tin, niobium, tantalum, and tungsten. </w:t>
      </w:r>
      <w:r w:rsidR="00330CD6" w:rsidRPr="001947E0">
        <w:rPr>
          <w:spacing w:val="-2"/>
        </w:rPr>
        <w:t>The country’s k</w:t>
      </w:r>
      <w:r w:rsidRPr="001947E0">
        <w:rPr>
          <w:spacing w:val="-2"/>
        </w:rPr>
        <w:t xml:space="preserve">nown mineralization was largely </w:t>
      </w:r>
      <w:r w:rsidR="00330CD6" w:rsidRPr="001947E0">
        <w:rPr>
          <w:spacing w:val="-2"/>
        </w:rPr>
        <w:t xml:space="preserve">contained </w:t>
      </w:r>
      <w:r w:rsidRPr="001947E0">
        <w:rPr>
          <w:spacing w:val="-2"/>
        </w:rPr>
        <w:t>in Katanga, the two Kasaï, Northeast Congo, and Kivu</w:t>
      </w:r>
      <w:r w:rsidR="00330CD6" w:rsidRPr="001947E0">
        <w:rPr>
          <w:spacing w:val="-2"/>
        </w:rPr>
        <w:t>–</w:t>
      </w:r>
      <w:r w:rsidRPr="001947E0">
        <w:rPr>
          <w:spacing w:val="-2"/>
        </w:rPr>
        <w:t xml:space="preserve">Maniema. </w:t>
      </w:r>
      <w:r w:rsidRPr="001947E0">
        <w:rPr>
          <w:color w:val="000000"/>
          <w:spacing w:val="-2"/>
        </w:rPr>
        <w:t xml:space="preserve">According to </w:t>
      </w:r>
      <w:r w:rsidR="00330CD6" w:rsidRPr="001947E0">
        <w:rPr>
          <w:color w:val="000000"/>
          <w:spacing w:val="-2"/>
        </w:rPr>
        <w:t xml:space="preserve">research firm </w:t>
      </w:r>
      <w:r w:rsidRPr="001947E0">
        <w:rPr>
          <w:color w:val="000000"/>
          <w:spacing w:val="-2"/>
        </w:rPr>
        <w:t>BMI Research, DRC remained a choice of destination for mining investments, especially from China, due to low production costs and high-quality deposits of minerals, particularly gold and copper.</w:t>
      </w:r>
      <w:r w:rsidRPr="001947E0">
        <w:rPr>
          <w:color w:val="000000"/>
          <w:spacing w:val="-2"/>
          <w:vertAlign w:val="superscript"/>
        </w:rPr>
        <w:endnoteReference w:id="37"/>
      </w:r>
    </w:p>
    <w:p w14:paraId="19F46003" w14:textId="77777777" w:rsidR="009248C3" w:rsidRPr="009248C3" w:rsidRDefault="009248C3" w:rsidP="009248C3">
      <w:pPr>
        <w:pStyle w:val="BodyTextMain"/>
        <w:rPr>
          <w:sz w:val="20"/>
        </w:rPr>
      </w:pPr>
    </w:p>
    <w:p w14:paraId="4F140464" w14:textId="77777777" w:rsidR="009248C3" w:rsidRPr="009248C3" w:rsidRDefault="009248C3" w:rsidP="009248C3">
      <w:pPr>
        <w:pStyle w:val="BodyTextMain"/>
        <w:rPr>
          <w:sz w:val="20"/>
        </w:rPr>
      </w:pPr>
    </w:p>
    <w:p w14:paraId="4DF95E19" w14:textId="77777777" w:rsidR="009248C3" w:rsidRPr="009248C3" w:rsidRDefault="009248C3" w:rsidP="009248C3">
      <w:pPr>
        <w:pStyle w:val="Casehead2"/>
      </w:pPr>
      <w:r w:rsidRPr="009248C3">
        <w:t>Gold Mining</w:t>
      </w:r>
    </w:p>
    <w:p w14:paraId="729BC2E4" w14:textId="77777777" w:rsidR="009248C3" w:rsidRPr="009248C3" w:rsidRDefault="009248C3" w:rsidP="009248C3">
      <w:pPr>
        <w:pStyle w:val="BodyTextMain"/>
        <w:rPr>
          <w:sz w:val="20"/>
        </w:rPr>
      </w:pPr>
    </w:p>
    <w:p w14:paraId="5C908E8D" w14:textId="51365D6D" w:rsidR="009248C3" w:rsidRPr="001947E0" w:rsidRDefault="009248C3" w:rsidP="009248C3">
      <w:pPr>
        <w:pStyle w:val="BodyTextMain"/>
        <w:rPr>
          <w:spacing w:val="-2"/>
        </w:rPr>
      </w:pPr>
      <w:r w:rsidRPr="001947E0">
        <w:rPr>
          <w:spacing w:val="-2"/>
        </w:rPr>
        <w:t xml:space="preserve">The first gold deposit was discovered at </w:t>
      </w:r>
      <w:r w:rsidR="00BE5F83" w:rsidRPr="001947E0">
        <w:rPr>
          <w:spacing w:val="-2"/>
        </w:rPr>
        <w:t xml:space="preserve">the </w:t>
      </w:r>
      <w:r w:rsidRPr="001947E0">
        <w:rPr>
          <w:spacing w:val="-2"/>
        </w:rPr>
        <w:t xml:space="preserve">Namoya site in Maniema province in 1931. </w:t>
      </w:r>
      <w:r w:rsidR="00BE5F83" w:rsidRPr="001947E0">
        <w:rPr>
          <w:spacing w:val="-2"/>
        </w:rPr>
        <w:t>P</w:t>
      </w:r>
      <w:r w:rsidRPr="001947E0">
        <w:rPr>
          <w:spacing w:val="-2"/>
        </w:rPr>
        <w:t xml:space="preserve">roduction began </w:t>
      </w:r>
      <w:r w:rsidR="00BE5F83" w:rsidRPr="001947E0">
        <w:rPr>
          <w:spacing w:val="-2"/>
        </w:rPr>
        <w:t>that</w:t>
      </w:r>
      <w:r w:rsidRPr="001947E0">
        <w:rPr>
          <w:spacing w:val="-2"/>
        </w:rPr>
        <w:t xml:space="preserve"> same year and continued under alluvial operations until 1947, when the min</w:t>
      </w:r>
      <w:r w:rsidR="00BE5F83" w:rsidRPr="001947E0">
        <w:rPr>
          <w:spacing w:val="-2"/>
        </w:rPr>
        <w:t>e</w:t>
      </w:r>
      <w:r w:rsidRPr="001947E0">
        <w:rPr>
          <w:spacing w:val="-2"/>
        </w:rPr>
        <w:t xml:space="preserve"> was closed. Open pit mining </w:t>
      </w:r>
      <w:r w:rsidR="00BE5F83" w:rsidRPr="001947E0">
        <w:rPr>
          <w:spacing w:val="-2"/>
        </w:rPr>
        <w:t>began</w:t>
      </w:r>
      <w:r w:rsidRPr="001947E0">
        <w:rPr>
          <w:spacing w:val="-2"/>
        </w:rPr>
        <w:t xml:space="preserve"> in 1951 and closed in 1960 </w:t>
      </w:r>
      <w:r w:rsidR="00BE5F83" w:rsidRPr="001947E0">
        <w:rPr>
          <w:spacing w:val="-2"/>
        </w:rPr>
        <w:t>when</w:t>
      </w:r>
      <w:r w:rsidRPr="001947E0">
        <w:rPr>
          <w:spacing w:val="-2"/>
        </w:rPr>
        <w:t xml:space="preserve"> DRC </w:t>
      </w:r>
      <w:r w:rsidR="00BE5F83" w:rsidRPr="001947E0">
        <w:rPr>
          <w:spacing w:val="-2"/>
        </w:rPr>
        <w:t>achieved</w:t>
      </w:r>
      <w:r w:rsidRPr="001947E0">
        <w:rPr>
          <w:spacing w:val="-2"/>
        </w:rPr>
        <w:t xml:space="preserve"> independence</w:t>
      </w:r>
      <w:r w:rsidR="00BE5F83" w:rsidRPr="001947E0">
        <w:rPr>
          <w:spacing w:val="-2"/>
        </w:rPr>
        <w:t>;</w:t>
      </w:r>
      <w:r w:rsidRPr="001947E0">
        <w:rPr>
          <w:spacing w:val="-2"/>
        </w:rPr>
        <w:t xml:space="preserve"> </w:t>
      </w:r>
      <w:r w:rsidR="00BE5F83" w:rsidRPr="001947E0">
        <w:rPr>
          <w:spacing w:val="-2"/>
        </w:rPr>
        <w:t>it was</w:t>
      </w:r>
      <w:r w:rsidRPr="001947E0">
        <w:rPr>
          <w:spacing w:val="-2"/>
        </w:rPr>
        <w:t xml:space="preserve"> estimat</w:t>
      </w:r>
      <w:r w:rsidR="00BE5F83" w:rsidRPr="001947E0">
        <w:rPr>
          <w:spacing w:val="-2"/>
        </w:rPr>
        <w:t>ed</w:t>
      </w:r>
      <w:r w:rsidRPr="001947E0">
        <w:rPr>
          <w:spacing w:val="-2"/>
        </w:rPr>
        <w:t xml:space="preserve"> </w:t>
      </w:r>
      <w:r w:rsidR="00BE5F83" w:rsidRPr="001947E0">
        <w:rPr>
          <w:spacing w:val="-2"/>
        </w:rPr>
        <w:t>that</w:t>
      </w:r>
      <w:r w:rsidRPr="001947E0">
        <w:rPr>
          <w:spacing w:val="-2"/>
        </w:rPr>
        <w:t xml:space="preserve"> 128,000 ounces of gold</w:t>
      </w:r>
      <w:r w:rsidR="00BE5F83" w:rsidRPr="001947E0">
        <w:rPr>
          <w:spacing w:val="-2"/>
        </w:rPr>
        <w:t xml:space="preserve"> had been mined by the time of the mine’s closure</w:t>
      </w:r>
      <w:r w:rsidRPr="001947E0">
        <w:rPr>
          <w:spacing w:val="-2"/>
        </w:rPr>
        <w:t>.</w:t>
      </w:r>
      <w:r w:rsidRPr="001947E0">
        <w:rPr>
          <w:spacing w:val="-2"/>
          <w:vertAlign w:val="superscript"/>
        </w:rPr>
        <w:endnoteReference w:id="38"/>
      </w:r>
      <w:r w:rsidRPr="001947E0">
        <w:rPr>
          <w:spacing w:val="-2"/>
        </w:rPr>
        <w:t xml:space="preserve"> From 1960 until the liberalization of </w:t>
      </w:r>
      <w:r w:rsidR="00BE5F83" w:rsidRPr="001947E0">
        <w:rPr>
          <w:spacing w:val="-2"/>
        </w:rPr>
        <w:t xml:space="preserve">the </w:t>
      </w:r>
      <w:r w:rsidRPr="001947E0">
        <w:rPr>
          <w:spacing w:val="-2"/>
        </w:rPr>
        <w:t xml:space="preserve">mining industry in </w:t>
      </w:r>
      <w:r w:rsidR="00BE5F83" w:rsidRPr="001947E0">
        <w:rPr>
          <w:spacing w:val="-2"/>
        </w:rPr>
        <w:t xml:space="preserve">the </w:t>
      </w:r>
      <w:r w:rsidRPr="001947E0">
        <w:rPr>
          <w:spacing w:val="-2"/>
        </w:rPr>
        <w:t>1980s, only state-owned companies were allowed to carry out mining activities in the country.</w:t>
      </w:r>
      <w:r w:rsidRPr="001947E0">
        <w:rPr>
          <w:spacing w:val="-2"/>
          <w:vertAlign w:val="superscript"/>
        </w:rPr>
        <w:endnoteReference w:id="39"/>
      </w:r>
      <w:r w:rsidRPr="001947E0">
        <w:rPr>
          <w:spacing w:val="-2"/>
        </w:rPr>
        <w:t xml:space="preserve"> </w:t>
      </w:r>
    </w:p>
    <w:p w14:paraId="30B99C74" w14:textId="77777777" w:rsidR="009248C3" w:rsidRPr="009248C3" w:rsidRDefault="009248C3" w:rsidP="009248C3">
      <w:pPr>
        <w:pStyle w:val="BodyTextMain"/>
        <w:rPr>
          <w:sz w:val="20"/>
        </w:rPr>
      </w:pPr>
    </w:p>
    <w:p w14:paraId="5BB3D0D3" w14:textId="2DAAEFAC" w:rsidR="009248C3" w:rsidRPr="0097496B" w:rsidRDefault="009248C3" w:rsidP="0097496B">
      <w:pPr>
        <w:pStyle w:val="BodyTextMain"/>
      </w:pPr>
      <w:r w:rsidRPr="0097496B">
        <w:t xml:space="preserve">In 2017, </w:t>
      </w:r>
      <w:proofErr w:type="spellStart"/>
      <w:r w:rsidRPr="0097496B">
        <w:t>Kibali</w:t>
      </w:r>
      <w:proofErr w:type="spellEnd"/>
      <w:r w:rsidRPr="0097496B">
        <w:t xml:space="preserve"> </w:t>
      </w:r>
      <w:r w:rsidR="00803CD2" w:rsidRPr="0097496B">
        <w:t>Gold Mine</w:t>
      </w:r>
      <w:r w:rsidRPr="0097496B">
        <w:t xml:space="preserve"> and </w:t>
      </w:r>
      <w:proofErr w:type="spellStart"/>
      <w:r w:rsidRPr="0097496B">
        <w:t>Banro</w:t>
      </w:r>
      <w:proofErr w:type="spellEnd"/>
      <w:r w:rsidRPr="0097496B">
        <w:t xml:space="preserve"> were the largest players in the Congolese gold mining industry. Unlike </w:t>
      </w:r>
      <w:proofErr w:type="spellStart"/>
      <w:r w:rsidRPr="0097496B">
        <w:t>Banro</w:t>
      </w:r>
      <w:proofErr w:type="spellEnd"/>
      <w:r w:rsidR="00BE5F83" w:rsidRPr="0097496B">
        <w:t>,</w:t>
      </w:r>
      <w:r w:rsidRPr="0097496B">
        <w:t xml:space="preserve"> whose mines were wholly</w:t>
      </w:r>
      <w:r w:rsidR="00BE5F83" w:rsidRPr="0097496B">
        <w:t xml:space="preserve"> </w:t>
      </w:r>
      <w:r w:rsidRPr="0097496B">
        <w:t xml:space="preserve">owned, </w:t>
      </w:r>
      <w:proofErr w:type="spellStart"/>
      <w:r w:rsidRPr="0097496B">
        <w:t>Kibali</w:t>
      </w:r>
      <w:proofErr w:type="spellEnd"/>
      <w:r w:rsidRPr="0097496B">
        <w:t xml:space="preserve"> </w:t>
      </w:r>
      <w:r w:rsidR="00803CD2" w:rsidRPr="0097496B">
        <w:t>Gold Mine</w:t>
      </w:r>
      <w:r w:rsidRPr="0097496B">
        <w:t>, a $2.5-billion project in the northeast of DRC, was a joint venture between the U</w:t>
      </w:r>
      <w:r w:rsidR="0064458D" w:rsidRPr="0097496B">
        <w:t>.</w:t>
      </w:r>
      <w:r w:rsidRPr="0097496B">
        <w:t>K</w:t>
      </w:r>
      <w:r w:rsidR="0064458D" w:rsidRPr="0097496B">
        <w:t>.</w:t>
      </w:r>
      <w:r w:rsidRPr="0097496B">
        <w:t xml:space="preserve">-based </w:t>
      </w:r>
      <w:proofErr w:type="spellStart"/>
      <w:r w:rsidRPr="0097496B">
        <w:t>Randgold</w:t>
      </w:r>
      <w:proofErr w:type="spellEnd"/>
      <w:r w:rsidRPr="0097496B">
        <w:t xml:space="preserve"> Resources (45 per cent), the South</w:t>
      </w:r>
      <w:r w:rsidR="0064458D" w:rsidRPr="0097496B">
        <w:t xml:space="preserve"> </w:t>
      </w:r>
      <w:r w:rsidRPr="0097496B">
        <w:t xml:space="preserve">Africa-based AngloGold Ashanti (45 per cent), and the Congolese parastatal SOKIMO (10 per cent). Gold reserves at </w:t>
      </w:r>
      <w:proofErr w:type="spellStart"/>
      <w:r w:rsidRPr="0097496B">
        <w:t>Kibali</w:t>
      </w:r>
      <w:proofErr w:type="spellEnd"/>
      <w:r w:rsidRPr="0097496B">
        <w:t xml:space="preserve"> were estimated to be 11.6 million ounces.</w:t>
      </w:r>
      <w:r w:rsidRPr="0097496B">
        <w:rPr>
          <w:vertAlign w:val="superscript"/>
        </w:rPr>
        <w:endnoteReference w:id="40"/>
      </w:r>
      <w:r w:rsidRPr="0097496B">
        <w:t xml:space="preserve"> </w:t>
      </w:r>
      <w:r w:rsidRPr="0097496B">
        <w:rPr>
          <w:rFonts w:eastAsiaTheme="minorHAnsi"/>
        </w:rPr>
        <w:t xml:space="preserve">Other ongoing projects included </w:t>
      </w:r>
      <w:proofErr w:type="spellStart"/>
      <w:r w:rsidRPr="0097496B">
        <w:rPr>
          <w:rFonts w:eastAsiaTheme="minorHAnsi"/>
        </w:rPr>
        <w:t>Mongbwalu</w:t>
      </w:r>
      <w:proofErr w:type="spellEnd"/>
      <w:r w:rsidRPr="0097496B">
        <w:rPr>
          <w:rFonts w:eastAsiaTheme="minorHAnsi"/>
        </w:rPr>
        <w:t xml:space="preserve">, located in the </w:t>
      </w:r>
      <w:proofErr w:type="spellStart"/>
      <w:r w:rsidRPr="0097496B">
        <w:rPr>
          <w:rFonts w:eastAsiaTheme="minorHAnsi"/>
        </w:rPr>
        <w:t>Ituri</w:t>
      </w:r>
      <w:proofErr w:type="spellEnd"/>
      <w:r w:rsidRPr="0097496B">
        <w:rPr>
          <w:rFonts w:eastAsiaTheme="minorHAnsi"/>
        </w:rPr>
        <w:t xml:space="preserve"> Interim Administration</w:t>
      </w:r>
      <w:r w:rsidR="0064458D" w:rsidRPr="0097496B">
        <w:rPr>
          <w:rFonts w:eastAsiaTheme="minorHAnsi"/>
        </w:rPr>
        <w:t>,</w:t>
      </w:r>
      <w:r w:rsidR="00126EB2" w:rsidRPr="0097496B">
        <w:rPr>
          <w:rStyle w:val="EndnoteReference"/>
          <w:rFonts w:eastAsiaTheme="minorHAnsi"/>
        </w:rPr>
        <w:endnoteReference w:id="41"/>
      </w:r>
      <w:r w:rsidRPr="0097496B">
        <w:rPr>
          <w:rFonts w:eastAsiaTheme="minorHAnsi"/>
        </w:rPr>
        <w:t xml:space="preserve"> with </w:t>
      </w:r>
      <w:r w:rsidR="0064458D" w:rsidRPr="0097496B">
        <w:rPr>
          <w:rFonts w:eastAsiaTheme="minorHAnsi"/>
        </w:rPr>
        <w:t xml:space="preserve">an </w:t>
      </w:r>
      <w:r w:rsidRPr="0097496B">
        <w:rPr>
          <w:rFonts w:eastAsiaTheme="minorHAnsi"/>
        </w:rPr>
        <w:t>estimated 2.5 million ounces of contained gold.</w:t>
      </w:r>
      <w:r w:rsidRPr="0097496B">
        <w:rPr>
          <w:rFonts w:eastAsiaTheme="minorHAnsi"/>
          <w:vertAlign w:val="superscript"/>
        </w:rPr>
        <w:endnoteReference w:id="42"/>
      </w:r>
      <w:r w:rsidRPr="0097496B">
        <w:rPr>
          <w:rFonts w:eastAsiaTheme="minorHAnsi"/>
        </w:rPr>
        <w:t xml:space="preserve"> </w:t>
      </w:r>
    </w:p>
    <w:p w14:paraId="1C5F21D2" w14:textId="77777777" w:rsidR="009248C3" w:rsidRPr="009248C3" w:rsidRDefault="009248C3" w:rsidP="009248C3">
      <w:pPr>
        <w:pStyle w:val="BodyTextMain"/>
        <w:rPr>
          <w:rFonts w:eastAsiaTheme="minorHAnsi"/>
          <w:color w:val="000000"/>
          <w:sz w:val="20"/>
        </w:rPr>
      </w:pPr>
    </w:p>
    <w:p w14:paraId="08A12FBD" w14:textId="0FE5A7DE" w:rsidR="009248C3" w:rsidRPr="009248C3" w:rsidRDefault="009248C3" w:rsidP="009248C3">
      <w:pPr>
        <w:pStyle w:val="BodyTextMain"/>
        <w:rPr>
          <w:color w:val="000000"/>
        </w:rPr>
      </w:pPr>
      <w:r w:rsidRPr="009248C3">
        <w:rPr>
          <w:rFonts w:eastAsiaTheme="minorHAnsi"/>
          <w:color w:val="000000"/>
        </w:rPr>
        <w:t xml:space="preserve">According to the Central Bank of Congo, the total gold production in 2015 was about 1,022,103 ounces, </w:t>
      </w:r>
      <w:r w:rsidR="0064458D">
        <w:rPr>
          <w:rFonts w:eastAsiaTheme="minorHAnsi"/>
          <w:color w:val="000000"/>
        </w:rPr>
        <w:t>of which</w:t>
      </w:r>
      <w:r w:rsidRPr="009248C3">
        <w:rPr>
          <w:rFonts w:eastAsiaTheme="minorHAnsi"/>
          <w:color w:val="000000"/>
        </w:rPr>
        <w:t xml:space="preserve"> Kibali Mining and Banro accounted for nearly 63 per cent and 18 per cent</w:t>
      </w:r>
      <w:r w:rsidR="002E47DD">
        <w:rPr>
          <w:rFonts w:eastAsiaTheme="minorHAnsi"/>
          <w:color w:val="000000"/>
        </w:rPr>
        <w:t>,</w:t>
      </w:r>
      <w:r w:rsidRPr="009248C3">
        <w:rPr>
          <w:rFonts w:eastAsiaTheme="minorHAnsi"/>
          <w:color w:val="000000"/>
        </w:rPr>
        <w:t xml:space="preserve"> respectively.</w:t>
      </w:r>
      <w:r w:rsidRPr="009248C3">
        <w:rPr>
          <w:rFonts w:eastAsiaTheme="minorHAnsi"/>
          <w:color w:val="000000"/>
          <w:vertAlign w:val="superscript"/>
        </w:rPr>
        <w:endnoteReference w:id="43"/>
      </w:r>
      <w:r w:rsidRPr="009248C3">
        <w:rPr>
          <w:rFonts w:eastAsiaTheme="minorHAnsi"/>
          <w:color w:val="000000"/>
        </w:rPr>
        <w:t xml:space="preserve"> </w:t>
      </w:r>
      <w:r w:rsidRPr="009248C3">
        <w:rPr>
          <w:color w:val="000000"/>
        </w:rPr>
        <w:t xml:space="preserve">DRC’s largely untapped gold mining sector had increasingly attracted more Chinese investors due to slow growth </w:t>
      </w:r>
      <w:r w:rsidR="0064458D">
        <w:rPr>
          <w:color w:val="000000"/>
        </w:rPr>
        <w:t>in</w:t>
      </w:r>
      <w:r w:rsidRPr="009248C3">
        <w:rPr>
          <w:color w:val="000000"/>
        </w:rPr>
        <w:t xml:space="preserve"> gold production in China, as a result of depleting reserves and rising production costs.</w:t>
      </w:r>
      <w:r w:rsidRPr="009248C3">
        <w:rPr>
          <w:color w:val="000000"/>
          <w:vertAlign w:val="superscript"/>
        </w:rPr>
        <w:endnoteReference w:id="44"/>
      </w:r>
    </w:p>
    <w:p w14:paraId="2AB10CD9" w14:textId="77777777" w:rsidR="009248C3" w:rsidRPr="009248C3" w:rsidRDefault="009248C3" w:rsidP="009248C3">
      <w:pPr>
        <w:pStyle w:val="BodyTextMain"/>
        <w:rPr>
          <w:sz w:val="20"/>
        </w:rPr>
      </w:pPr>
    </w:p>
    <w:p w14:paraId="6546BA98" w14:textId="77777777" w:rsidR="009248C3" w:rsidRPr="009248C3" w:rsidRDefault="009248C3" w:rsidP="009248C3">
      <w:pPr>
        <w:pStyle w:val="BodyTextMain"/>
        <w:rPr>
          <w:sz w:val="20"/>
        </w:rPr>
      </w:pPr>
    </w:p>
    <w:p w14:paraId="65714A49" w14:textId="77777777" w:rsidR="009248C3" w:rsidRPr="009248C3" w:rsidRDefault="009248C3" w:rsidP="000926A8">
      <w:pPr>
        <w:pStyle w:val="Casehead2"/>
        <w:keepNext/>
        <w:rPr>
          <w:color w:val="000000"/>
        </w:rPr>
      </w:pPr>
      <w:r w:rsidRPr="009248C3">
        <w:t>Dominance of Chinese Companies</w:t>
      </w:r>
    </w:p>
    <w:p w14:paraId="463BB008" w14:textId="77777777" w:rsidR="009248C3" w:rsidRPr="009248C3" w:rsidRDefault="009248C3" w:rsidP="000926A8">
      <w:pPr>
        <w:pStyle w:val="BodyTextMain"/>
        <w:keepNext/>
        <w:rPr>
          <w:rFonts w:eastAsiaTheme="minorHAnsi"/>
          <w:sz w:val="20"/>
        </w:rPr>
      </w:pPr>
    </w:p>
    <w:p w14:paraId="7ADCF0C1" w14:textId="748D7448" w:rsidR="009248C3" w:rsidRPr="009248C3" w:rsidRDefault="009248C3" w:rsidP="000926A8">
      <w:pPr>
        <w:pStyle w:val="BodyTextMain"/>
        <w:keepNext/>
        <w:rPr>
          <w:rFonts w:eastAsiaTheme="minorHAnsi"/>
        </w:rPr>
      </w:pPr>
      <w:r w:rsidRPr="009248C3">
        <w:rPr>
          <w:rFonts w:eastAsiaTheme="minorHAnsi"/>
        </w:rPr>
        <w:t>The Forum on China-Africa Cooperation (FOCAC) was an official platform for African and Chinese policy</w:t>
      </w:r>
      <w:r w:rsidR="0064458D">
        <w:rPr>
          <w:rFonts w:eastAsiaTheme="minorHAnsi"/>
        </w:rPr>
        <w:t xml:space="preserve"> </w:t>
      </w:r>
      <w:r w:rsidRPr="009248C3">
        <w:rPr>
          <w:rFonts w:eastAsiaTheme="minorHAnsi"/>
        </w:rPr>
        <w:t>makers to promote</w:t>
      </w:r>
      <w:r w:rsidR="0064458D">
        <w:rPr>
          <w:rFonts w:eastAsiaTheme="minorHAnsi"/>
        </w:rPr>
        <w:t xml:space="preserve"> co-operation—</w:t>
      </w:r>
      <w:r w:rsidRPr="009248C3">
        <w:rPr>
          <w:rFonts w:eastAsiaTheme="minorHAnsi"/>
        </w:rPr>
        <w:t>especially economic co</w:t>
      </w:r>
      <w:r w:rsidR="0064458D">
        <w:rPr>
          <w:rFonts w:eastAsiaTheme="minorHAnsi"/>
        </w:rPr>
        <w:t>-</w:t>
      </w:r>
      <w:r w:rsidRPr="009248C3">
        <w:rPr>
          <w:rFonts w:eastAsiaTheme="minorHAnsi"/>
        </w:rPr>
        <w:t>operation</w:t>
      </w:r>
      <w:r w:rsidR="0064458D">
        <w:rPr>
          <w:rFonts w:eastAsiaTheme="minorHAnsi"/>
        </w:rPr>
        <w:t>—</w:t>
      </w:r>
      <w:r w:rsidRPr="009248C3">
        <w:rPr>
          <w:rFonts w:eastAsiaTheme="minorHAnsi"/>
        </w:rPr>
        <w:t xml:space="preserve">that would mutually benefit the two regions. During the first </w:t>
      </w:r>
      <w:r w:rsidR="0064458D">
        <w:rPr>
          <w:rFonts w:eastAsiaTheme="minorHAnsi"/>
        </w:rPr>
        <w:t xml:space="preserve">FOCAC </w:t>
      </w:r>
      <w:r w:rsidRPr="009248C3">
        <w:rPr>
          <w:rFonts w:eastAsiaTheme="minorHAnsi"/>
        </w:rPr>
        <w:t>meeting in Beijing in 2000,</w:t>
      </w:r>
      <w:r w:rsidRPr="009248C3">
        <w:rPr>
          <w:rFonts w:eastAsiaTheme="minorHAnsi"/>
          <w:vertAlign w:val="superscript"/>
        </w:rPr>
        <w:endnoteReference w:id="45"/>
      </w:r>
      <w:r w:rsidRPr="009248C3">
        <w:rPr>
          <w:rFonts w:eastAsiaTheme="minorHAnsi"/>
        </w:rPr>
        <w:t xml:space="preserve"> China offered African countries a unique economic, political, and security package, including debt relief, peacekeeping</w:t>
      </w:r>
      <w:r w:rsidR="006063A3">
        <w:rPr>
          <w:rFonts w:eastAsiaTheme="minorHAnsi"/>
        </w:rPr>
        <w:t xml:space="preserve"> assistance</w:t>
      </w:r>
      <w:r w:rsidRPr="009248C3">
        <w:rPr>
          <w:rFonts w:eastAsiaTheme="minorHAnsi"/>
        </w:rPr>
        <w:t>, cheap loans, supports in multilateral forums, military deals, and South</w:t>
      </w:r>
      <w:r w:rsidR="005A0624">
        <w:rPr>
          <w:rFonts w:eastAsiaTheme="minorHAnsi"/>
        </w:rPr>
        <w:t>–</w:t>
      </w:r>
      <w:r w:rsidRPr="009248C3">
        <w:rPr>
          <w:rFonts w:eastAsiaTheme="minorHAnsi"/>
        </w:rPr>
        <w:t>South co</w:t>
      </w:r>
      <w:r w:rsidR="005A0624">
        <w:rPr>
          <w:rFonts w:eastAsiaTheme="minorHAnsi"/>
        </w:rPr>
        <w:t>-</w:t>
      </w:r>
      <w:r w:rsidRPr="009248C3">
        <w:rPr>
          <w:rFonts w:eastAsiaTheme="minorHAnsi"/>
        </w:rPr>
        <w:t>operation.</w:t>
      </w:r>
      <w:r w:rsidRPr="009248C3">
        <w:rPr>
          <w:rFonts w:eastAsiaTheme="minorHAnsi"/>
          <w:vertAlign w:val="superscript"/>
        </w:rPr>
        <w:endnoteReference w:id="46"/>
      </w:r>
      <w:r w:rsidRPr="009248C3">
        <w:rPr>
          <w:rFonts w:eastAsiaTheme="minorHAnsi"/>
        </w:rPr>
        <w:t xml:space="preserve"> The relations were </w:t>
      </w:r>
      <w:r w:rsidRPr="009248C3">
        <w:rPr>
          <w:rFonts w:eastAsiaTheme="minorHAnsi"/>
        </w:rPr>
        <w:lastRenderedPageBreak/>
        <w:t xml:space="preserve">enhanced further in 2006 with the China Africa Policy Paper, and </w:t>
      </w:r>
      <w:r w:rsidR="006063A3">
        <w:rPr>
          <w:rFonts w:eastAsiaTheme="minorHAnsi"/>
        </w:rPr>
        <w:t xml:space="preserve">with </w:t>
      </w:r>
      <w:r w:rsidRPr="009248C3">
        <w:rPr>
          <w:rFonts w:eastAsiaTheme="minorHAnsi"/>
        </w:rPr>
        <w:t xml:space="preserve">the </w:t>
      </w:r>
      <w:r w:rsidR="006063A3">
        <w:rPr>
          <w:rFonts w:eastAsiaTheme="minorHAnsi"/>
        </w:rPr>
        <w:t xml:space="preserve">FOCAC </w:t>
      </w:r>
      <w:r w:rsidRPr="009248C3">
        <w:rPr>
          <w:rFonts w:eastAsiaTheme="minorHAnsi"/>
        </w:rPr>
        <w:t>summit hosting heads of Chinese and African states in Beijing.</w:t>
      </w:r>
      <w:r w:rsidRPr="009248C3">
        <w:rPr>
          <w:rFonts w:eastAsiaTheme="minorHAnsi"/>
          <w:vertAlign w:val="superscript"/>
        </w:rPr>
        <w:endnoteReference w:id="47"/>
      </w:r>
      <w:r w:rsidRPr="009248C3">
        <w:rPr>
          <w:rFonts w:eastAsiaTheme="minorHAnsi"/>
        </w:rPr>
        <w:t xml:space="preserve"> </w:t>
      </w:r>
    </w:p>
    <w:p w14:paraId="090D11C1" w14:textId="77777777" w:rsidR="009248C3" w:rsidRPr="009248C3" w:rsidRDefault="009248C3" w:rsidP="009248C3">
      <w:pPr>
        <w:pStyle w:val="BodyTextMain"/>
        <w:rPr>
          <w:rFonts w:eastAsiaTheme="minorHAnsi"/>
          <w:sz w:val="20"/>
        </w:rPr>
      </w:pPr>
    </w:p>
    <w:p w14:paraId="556ED37B" w14:textId="7671D177" w:rsidR="009248C3" w:rsidRPr="009248C3" w:rsidRDefault="009248C3" w:rsidP="009248C3">
      <w:pPr>
        <w:pStyle w:val="BodyTextMain"/>
        <w:rPr>
          <w:rFonts w:eastAsiaTheme="minorHAnsi"/>
        </w:rPr>
      </w:pPr>
      <w:r w:rsidRPr="009248C3">
        <w:rPr>
          <w:rFonts w:eastAsiaTheme="minorHAnsi"/>
        </w:rPr>
        <w:t xml:space="preserve">In 2007, two state-owned Chinese construction companies signed an exchange deal with </w:t>
      </w:r>
      <w:r w:rsidR="006063A3">
        <w:rPr>
          <w:rFonts w:eastAsiaTheme="minorHAnsi"/>
        </w:rPr>
        <w:t>the</w:t>
      </w:r>
      <w:r w:rsidRPr="009248C3">
        <w:rPr>
          <w:rFonts w:eastAsiaTheme="minorHAnsi"/>
        </w:rPr>
        <w:t xml:space="preserve"> DRC</w:t>
      </w:r>
      <w:r w:rsidR="006063A3">
        <w:rPr>
          <w:rFonts w:eastAsiaTheme="minorHAnsi"/>
        </w:rPr>
        <w:t>’s</w:t>
      </w:r>
      <w:r w:rsidRPr="009248C3">
        <w:rPr>
          <w:rFonts w:eastAsiaTheme="minorHAnsi"/>
        </w:rPr>
        <w:t xml:space="preserve"> state copper company.</w:t>
      </w:r>
      <w:r w:rsidRPr="009248C3">
        <w:rPr>
          <w:rFonts w:eastAsiaTheme="minorHAnsi"/>
          <w:vertAlign w:val="superscript"/>
        </w:rPr>
        <w:endnoteReference w:id="48"/>
      </w:r>
      <w:r w:rsidRPr="009248C3">
        <w:rPr>
          <w:rFonts w:eastAsiaTheme="minorHAnsi"/>
        </w:rPr>
        <w:t xml:space="preserve"> The Chinese partners promised to finance $9 billion for </w:t>
      </w:r>
      <w:r w:rsidR="006063A3">
        <w:rPr>
          <w:rFonts w:eastAsiaTheme="minorHAnsi"/>
        </w:rPr>
        <w:t xml:space="preserve">the </w:t>
      </w:r>
      <w:r w:rsidRPr="009248C3">
        <w:rPr>
          <w:rFonts w:eastAsiaTheme="minorHAnsi"/>
        </w:rPr>
        <w:t>nationwide construction of roads, railways, hospitals, schools</w:t>
      </w:r>
      <w:r w:rsidR="006063A3">
        <w:rPr>
          <w:rFonts w:eastAsiaTheme="minorHAnsi"/>
        </w:rPr>
        <w:t xml:space="preserve"> and</w:t>
      </w:r>
      <w:r w:rsidRPr="009248C3">
        <w:rPr>
          <w:rFonts w:eastAsiaTheme="minorHAnsi"/>
        </w:rPr>
        <w:t xml:space="preserve"> dams, </w:t>
      </w:r>
      <w:r w:rsidRPr="007C3731">
        <w:rPr>
          <w:rFonts w:eastAsiaTheme="minorHAnsi"/>
        </w:rPr>
        <w:t>and</w:t>
      </w:r>
      <w:r w:rsidR="006063A3" w:rsidRPr="007C3731">
        <w:rPr>
          <w:rFonts w:eastAsiaTheme="minorHAnsi"/>
        </w:rPr>
        <w:t xml:space="preserve"> for</w:t>
      </w:r>
      <w:r w:rsidRPr="007C3731">
        <w:rPr>
          <w:rFonts w:eastAsiaTheme="minorHAnsi"/>
        </w:rPr>
        <w:t xml:space="preserve"> mine development. In exchange, the Congolese government pledged to provide the Chinese companies up to </w:t>
      </w:r>
      <w:r w:rsidR="00330CD6" w:rsidRPr="007C3731">
        <w:rPr>
          <w:rFonts w:eastAsiaTheme="minorHAnsi"/>
        </w:rPr>
        <w:t>10</w:t>
      </w:r>
      <w:r w:rsidRPr="007C3731">
        <w:rPr>
          <w:rFonts w:eastAsiaTheme="minorHAnsi"/>
        </w:rPr>
        <w:t xml:space="preserve"> million tonnes of copper and hundreds of thousands of tonnes of cobalt from mines in the southeastern province of Katanga. </w:t>
      </w:r>
      <w:r w:rsidR="00330CD6" w:rsidRPr="007C3731">
        <w:rPr>
          <w:rFonts w:eastAsiaTheme="minorHAnsi"/>
        </w:rPr>
        <w:t>R</w:t>
      </w:r>
      <w:r w:rsidRPr="007C3731">
        <w:rPr>
          <w:rFonts w:eastAsiaTheme="minorHAnsi"/>
        </w:rPr>
        <w:t>evenues from the</w:t>
      </w:r>
      <w:r w:rsidR="00330CD6" w:rsidRPr="007C3731">
        <w:rPr>
          <w:rFonts w:eastAsiaTheme="minorHAnsi"/>
        </w:rPr>
        <w:t>se</w:t>
      </w:r>
      <w:r w:rsidRPr="007C3731">
        <w:rPr>
          <w:rFonts w:eastAsiaTheme="minorHAnsi"/>
        </w:rPr>
        <w:t xml:space="preserve"> mines could </w:t>
      </w:r>
      <w:r w:rsidRPr="007C3731">
        <w:rPr>
          <w:rFonts w:eastAsiaTheme="minorHAnsi" w:hint="eastAsia"/>
          <w:lang w:eastAsia="zh-CN"/>
        </w:rPr>
        <w:t>range</w:t>
      </w:r>
      <w:r w:rsidRPr="007C3731">
        <w:rPr>
          <w:rFonts w:eastAsiaTheme="minorHAnsi"/>
        </w:rPr>
        <w:t xml:space="preserve"> between $40 billion and $120 billion. This deal was the largest of its kind, worth more than the Congolese state budget, and had potential to transform the country’s economy. The governments involved praised the deal as being “win</w:t>
      </w:r>
      <w:r w:rsidR="006063A3" w:rsidRPr="007C3731">
        <w:rPr>
          <w:rFonts w:eastAsiaTheme="minorHAnsi"/>
        </w:rPr>
        <w:t>–</w:t>
      </w:r>
      <w:r w:rsidRPr="007C3731">
        <w:rPr>
          <w:rFonts w:eastAsiaTheme="minorHAnsi"/>
        </w:rPr>
        <w:t xml:space="preserve">win” and </w:t>
      </w:r>
      <w:r w:rsidR="006063A3" w:rsidRPr="007C3731">
        <w:rPr>
          <w:rFonts w:eastAsiaTheme="minorHAnsi"/>
        </w:rPr>
        <w:t xml:space="preserve">as </w:t>
      </w:r>
      <w:r w:rsidRPr="007C3731">
        <w:rPr>
          <w:rFonts w:eastAsiaTheme="minorHAnsi"/>
        </w:rPr>
        <w:t>reflecting the Chinese principle of “mutual benefits</w:t>
      </w:r>
      <w:r w:rsidR="006063A3" w:rsidRPr="007C3731">
        <w:rPr>
          <w:rFonts w:eastAsiaTheme="minorHAnsi"/>
        </w:rPr>
        <w:t>.</w:t>
      </w:r>
      <w:r w:rsidRPr="007C3731">
        <w:rPr>
          <w:rFonts w:eastAsiaTheme="minorHAnsi"/>
        </w:rPr>
        <w:t>”</w:t>
      </w:r>
    </w:p>
    <w:p w14:paraId="17B402A2" w14:textId="77777777" w:rsidR="009248C3" w:rsidRPr="009248C3" w:rsidRDefault="009248C3" w:rsidP="009248C3">
      <w:pPr>
        <w:pStyle w:val="BodyTextMain"/>
        <w:rPr>
          <w:rFonts w:eastAsiaTheme="minorHAnsi"/>
          <w:sz w:val="20"/>
        </w:rPr>
      </w:pPr>
    </w:p>
    <w:p w14:paraId="6FD5B85F" w14:textId="7F1114D9" w:rsidR="009248C3" w:rsidRPr="001947E0" w:rsidRDefault="009248C3" w:rsidP="009248C3">
      <w:pPr>
        <w:pStyle w:val="BodyTextMain"/>
        <w:rPr>
          <w:rFonts w:eastAsiaTheme="minorHAnsi"/>
          <w:spacing w:val="-2"/>
        </w:rPr>
      </w:pPr>
      <w:r w:rsidRPr="001947E0">
        <w:rPr>
          <w:rFonts w:eastAsiaTheme="minorHAnsi"/>
          <w:spacing w:val="-2"/>
        </w:rPr>
        <w:t>Chinese investments seemed to be favo</w:t>
      </w:r>
      <w:r w:rsidR="006063A3" w:rsidRPr="001947E0">
        <w:rPr>
          <w:rFonts w:eastAsiaTheme="minorHAnsi"/>
          <w:spacing w:val="-2"/>
        </w:rPr>
        <w:t>u</w:t>
      </w:r>
      <w:r w:rsidRPr="001947E0">
        <w:rPr>
          <w:rFonts w:eastAsiaTheme="minorHAnsi"/>
          <w:spacing w:val="-2"/>
        </w:rPr>
        <w:t>red in the Congolese market</w:t>
      </w:r>
      <w:r w:rsidR="006063A3" w:rsidRPr="001947E0">
        <w:rPr>
          <w:rFonts w:eastAsiaTheme="minorHAnsi"/>
          <w:spacing w:val="-2"/>
        </w:rPr>
        <w:t>,</w:t>
      </w:r>
      <w:r w:rsidRPr="001947E0">
        <w:rPr>
          <w:rFonts w:eastAsiaTheme="minorHAnsi"/>
          <w:spacing w:val="-2"/>
        </w:rPr>
        <w:t xml:space="preserve"> and </w:t>
      </w:r>
      <w:r w:rsidR="006063A3" w:rsidRPr="001947E0">
        <w:rPr>
          <w:rFonts w:eastAsiaTheme="minorHAnsi"/>
          <w:spacing w:val="-2"/>
        </w:rPr>
        <w:t xml:space="preserve">they were </w:t>
      </w:r>
      <w:r w:rsidRPr="001947E0">
        <w:rPr>
          <w:rFonts w:eastAsiaTheme="minorHAnsi"/>
          <w:spacing w:val="-2"/>
        </w:rPr>
        <w:t>thus less exposed to political risk in DRC. In 2012, Chinese companies owned 80 per cent of the mineral processing plants in the resource-rich Katanga province, while over 90 per cent of the province’s minerals was exported to China.</w:t>
      </w:r>
      <w:r w:rsidRPr="001947E0">
        <w:rPr>
          <w:rFonts w:eastAsiaTheme="minorHAnsi"/>
          <w:spacing w:val="-2"/>
          <w:vertAlign w:val="superscript"/>
        </w:rPr>
        <w:endnoteReference w:id="49"/>
      </w:r>
    </w:p>
    <w:p w14:paraId="750F0533" w14:textId="77777777" w:rsidR="009248C3" w:rsidRPr="009248C3" w:rsidRDefault="009248C3" w:rsidP="009248C3">
      <w:pPr>
        <w:pStyle w:val="BodyTextMain"/>
        <w:rPr>
          <w:rFonts w:eastAsiaTheme="minorHAnsi"/>
          <w:sz w:val="20"/>
        </w:rPr>
      </w:pPr>
    </w:p>
    <w:p w14:paraId="5C477CEC" w14:textId="77777777" w:rsidR="009248C3" w:rsidRPr="009248C3" w:rsidRDefault="009248C3" w:rsidP="009248C3">
      <w:pPr>
        <w:pStyle w:val="BodyTextMain"/>
        <w:rPr>
          <w:rFonts w:eastAsiaTheme="minorHAnsi"/>
          <w:sz w:val="20"/>
        </w:rPr>
      </w:pPr>
    </w:p>
    <w:p w14:paraId="3D904C44" w14:textId="77777777" w:rsidR="009248C3" w:rsidRPr="009248C3" w:rsidRDefault="009248C3" w:rsidP="009248C3">
      <w:pPr>
        <w:pStyle w:val="Casehead2"/>
      </w:pPr>
      <w:r w:rsidRPr="009248C3">
        <w:t>Competition</w:t>
      </w:r>
    </w:p>
    <w:p w14:paraId="63CAA112" w14:textId="77777777" w:rsidR="009248C3" w:rsidRPr="009248C3" w:rsidRDefault="009248C3" w:rsidP="009248C3">
      <w:pPr>
        <w:pStyle w:val="BodyTextMain"/>
        <w:rPr>
          <w:sz w:val="20"/>
        </w:rPr>
      </w:pPr>
    </w:p>
    <w:p w14:paraId="6F921D9B" w14:textId="6879A0A3" w:rsidR="009248C3" w:rsidRPr="009248C3" w:rsidRDefault="006063A3" w:rsidP="009248C3">
      <w:pPr>
        <w:pStyle w:val="BodyTextMain"/>
        <w:rPr>
          <w:color w:val="000000"/>
        </w:rPr>
      </w:pPr>
      <w:r>
        <w:rPr>
          <w:color w:val="000000"/>
        </w:rPr>
        <w:t>C</w:t>
      </w:r>
      <w:r w:rsidR="009248C3" w:rsidRPr="009248C3">
        <w:rPr>
          <w:color w:val="000000"/>
        </w:rPr>
        <w:t xml:space="preserve">ompetition in </w:t>
      </w:r>
      <w:r>
        <w:rPr>
          <w:color w:val="000000"/>
        </w:rPr>
        <w:t xml:space="preserve">the </w:t>
      </w:r>
      <w:r w:rsidR="009248C3" w:rsidRPr="009248C3">
        <w:rPr>
          <w:color w:val="000000"/>
        </w:rPr>
        <w:t>mining industry was intense in all phases</w:t>
      </w:r>
      <w:r w:rsidR="00FC16E7">
        <w:rPr>
          <w:color w:val="000000"/>
        </w:rPr>
        <w:t>,</w:t>
      </w:r>
      <w:r w:rsidR="009248C3" w:rsidRPr="009248C3">
        <w:rPr>
          <w:color w:val="000000"/>
        </w:rPr>
        <w:t xml:space="preserve"> from exploration to production. Since the life of </w:t>
      </w:r>
      <w:r>
        <w:rPr>
          <w:color w:val="000000"/>
        </w:rPr>
        <w:t xml:space="preserve">a </w:t>
      </w:r>
      <w:r w:rsidR="009248C3" w:rsidRPr="009248C3">
        <w:rPr>
          <w:color w:val="000000"/>
        </w:rPr>
        <w:t xml:space="preserve">mine was limited, the sustainable growth of the industry relied on the available amount of valuable mineral resources. Companies </w:t>
      </w:r>
      <w:r w:rsidR="00254266">
        <w:rPr>
          <w:color w:val="000000"/>
        </w:rPr>
        <w:t xml:space="preserve">in DRC </w:t>
      </w:r>
      <w:r w:rsidR="009248C3" w:rsidRPr="009248C3">
        <w:rPr>
          <w:color w:val="000000"/>
        </w:rPr>
        <w:t>with greater financial resources and technical ability competed in acquiring properties that potentially held large deposits of gold and other precious metals.</w:t>
      </w:r>
      <w:r w:rsidR="009248C3" w:rsidRPr="009248C3">
        <w:rPr>
          <w:color w:val="000000"/>
          <w:vertAlign w:val="superscript"/>
        </w:rPr>
        <w:endnoteReference w:id="50"/>
      </w:r>
      <w:r w:rsidR="009248C3" w:rsidRPr="009248C3">
        <w:rPr>
          <w:color w:val="000000"/>
        </w:rPr>
        <w:t xml:space="preserve"> Production cost optimization through scale and efficiencies was a critical factor that differentiated </w:t>
      </w:r>
      <w:r w:rsidR="007A6A54" w:rsidRPr="007A6A54">
        <w:rPr>
          <w:sz w:val="20"/>
        </w:rPr>
        <w:t>companies in terms of</w:t>
      </w:r>
      <w:r w:rsidR="007A6A54">
        <w:rPr>
          <w:color w:val="000000"/>
        </w:rPr>
        <w:t xml:space="preserve"> </w:t>
      </w:r>
      <w:r w:rsidR="00254266">
        <w:rPr>
          <w:color w:val="000000"/>
        </w:rPr>
        <w:t xml:space="preserve">the </w:t>
      </w:r>
      <w:r w:rsidR="009248C3" w:rsidRPr="009248C3">
        <w:rPr>
          <w:color w:val="000000"/>
        </w:rPr>
        <w:t>success of mining exploration and production.</w:t>
      </w:r>
      <w:r w:rsidR="009248C3" w:rsidRPr="009248C3">
        <w:rPr>
          <w:color w:val="000000"/>
          <w:vertAlign w:val="superscript"/>
        </w:rPr>
        <w:endnoteReference w:id="51"/>
      </w:r>
    </w:p>
    <w:p w14:paraId="5386BCFE" w14:textId="2F14F8EA" w:rsidR="009248C3" w:rsidRPr="009248C3" w:rsidRDefault="009248C3" w:rsidP="009248C3">
      <w:pPr>
        <w:pStyle w:val="BodyTextMain"/>
        <w:rPr>
          <w:sz w:val="20"/>
        </w:rPr>
      </w:pPr>
    </w:p>
    <w:p w14:paraId="730D3583" w14:textId="77777777" w:rsidR="009248C3" w:rsidRPr="009248C3" w:rsidRDefault="009248C3" w:rsidP="009248C3">
      <w:pPr>
        <w:pStyle w:val="BodyTextMain"/>
        <w:rPr>
          <w:sz w:val="20"/>
        </w:rPr>
      </w:pPr>
    </w:p>
    <w:p w14:paraId="5CCAC93D" w14:textId="425B7A8F" w:rsidR="009248C3" w:rsidRPr="009248C3" w:rsidRDefault="009248C3" w:rsidP="009248C3">
      <w:pPr>
        <w:pStyle w:val="Casehead1"/>
      </w:pPr>
      <w:r w:rsidRPr="009248C3">
        <w:t xml:space="preserve">SOCIAL CONFLICTS AND CORPORATE SOCIAL RESPONSIBILITY </w:t>
      </w:r>
    </w:p>
    <w:p w14:paraId="6A9723AA" w14:textId="77777777" w:rsidR="009248C3" w:rsidRPr="009248C3" w:rsidRDefault="009248C3" w:rsidP="009248C3">
      <w:pPr>
        <w:pStyle w:val="BodyTextMain"/>
        <w:rPr>
          <w:sz w:val="20"/>
        </w:rPr>
      </w:pPr>
    </w:p>
    <w:p w14:paraId="43403049" w14:textId="1D147930" w:rsidR="009248C3" w:rsidRPr="001947E0" w:rsidRDefault="009248C3" w:rsidP="009248C3">
      <w:pPr>
        <w:pStyle w:val="BodyTextMain"/>
        <w:rPr>
          <w:spacing w:val="-2"/>
        </w:rPr>
      </w:pPr>
      <w:r w:rsidRPr="001947E0">
        <w:rPr>
          <w:spacing w:val="-2"/>
        </w:rPr>
        <w:t xml:space="preserve">In DRC, </w:t>
      </w:r>
      <w:r w:rsidR="00FC16E7" w:rsidRPr="001947E0">
        <w:rPr>
          <w:spacing w:val="-2"/>
        </w:rPr>
        <w:t>corporate social responsibility</w:t>
      </w:r>
      <w:r w:rsidRPr="001947E0">
        <w:rPr>
          <w:spacing w:val="-2"/>
        </w:rPr>
        <w:t xml:space="preserve"> and environmental impact assessment were mandatory prior to </w:t>
      </w:r>
      <w:r w:rsidR="00254266" w:rsidRPr="001947E0">
        <w:rPr>
          <w:spacing w:val="-2"/>
        </w:rPr>
        <w:t xml:space="preserve">the </w:t>
      </w:r>
      <w:r w:rsidRPr="001947E0">
        <w:rPr>
          <w:spacing w:val="-2"/>
        </w:rPr>
        <w:t xml:space="preserve">commencement of mining-related activities. As the projects entered the commercial stage, Banro and local communities signed a memorandum of understanding detailing their aspirations about education, health, employment, </w:t>
      </w:r>
      <w:r w:rsidR="006B5278" w:rsidRPr="001947E0">
        <w:rPr>
          <w:spacing w:val="-2"/>
        </w:rPr>
        <w:t xml:space="preserve">and </w:t>
      </w:r>
      <w:r w:rsidRPr="001947E0">
        <w:rPr>
          <w:spacing w:val="-2"/>
        </w:rPr>
        <w:t>infrastructure, and the company’s commitments to fulfill</w:t>
      </w:r>
      <w:r w:rsidR="005E2573" w:rsidRPr="001947E0">
        <w:rPr>
          <w:spacing w:val="-2"/>
        </w:rPr>
        <w:t>ing</w:t>
      </w:r>
      <w:r w:rsidRPr="001947E0">
        <w:rPr>
          <w:spacing w:val="-2"/>
        </w:rPr>
        <w:t xml:space="preserve"> them. Through Banro Foundation, a registered DRC charity, Banro </w:t>
      </w:r>
      <w:r w:rsidR="005E2573" w:rsidRPr="001947E0">
        <w:rPr>
          <w:spacing w:val="-2"/>
        </w:rPr>
        <w:t>donated</w:t>
      </w:r>
      <w:r w:rsidRPr="001947E0">
        <w:rPr>
          <w:spacing w:val="-2"/>
        </w:rPr>
        <w:t xml:space="preserve"> $1 for every ounce of gold produced and 1 per cent of </w:t>
      </w:r>
      <w:r w:rsidR="005E2573" w:rsidRPr="001947E0">
        <w:rPr>
          <w:spacing w:val="-2"/>
        </w:rPr>
        <w:t xml:space="preserve">its </w:t>
      </w:r>
      <w:r w:rsidRPr="001947E0">
        <w:rPr>
          <w:spacing w:val="-2"/>
        </w:rPr>
        <w:t>net profits from gold sales for local community development (see Exhibit 7).</w:t>
      </w:r>
      <w:r w:rsidRPr="001947E0">
        <w:rPr>
          <w:spacing w:val="-2"/>
          <w:vertAlign w:val="superscript"/>
        </w:rPr>
        <w:endnoteReference w:id="52"/>
      </w:r>
      <w:r w:rsidRPr="001947E0">
        <w:rPr>
          <w:spacing w:val="-2"/>
        </w:rPr>
        <w:t xml:space="preserve"> However</w:t>
      </w:r>
      <w:r w:rsidR="005E2573" w:rsidRPr="001947E0">
        <w:rPr>
          <w:spacing w:val="-2"/>
        </w:rPr>
        <w:t>,</w:t>
      </w:r>
      <w:r w:rsidRPr="001947E0">
        <w:rPr>
          <w:spacing w:val="-2"/>
        </w:rPr>
        <w:t xml:space="preserve"> mining operations resulted in changes that often led to social conflicts with </w:t>
      </w:r>
      <w:r w:rsidR="006B5278" w:rsidRPr="001947E0">
        <w:rPr>
          <w:spacing w:val="-2"/>
        </w:rPr>
        <w:t xml:space="preserve">the </w:t>
      </w:r>
      <w:r w:rsidRPr="001947E0">
        <w:rPr>
          <w:spacing w:val="-2"/>
        </w:rPr>
        <w:t>concerned parties.</w:t>
      </w:r>
      <w:r w:rsidRPr="001947E0">
        <w:rPr>
          <w:spacing w:val="-2"/>
          <w:vertAlign w:val="superscript"/>
        </w:rPr>
        <w:endnoteReference w:id="53"/>
      </w:r>
      <w:r w:rsidRPr="001947E0">
        <w:rPr>
          <w:spacing w:val="-2"/>
        </w:rPr>
        <w:t xml:space="preserve"> Since 2009, Banro had faced multiple conflicts with local communities that sometimes resulted in violent demonstrations, property damages, loss of production, and human deaths. These conflicts came from the following major causes.</w:t>
      </w:r>
      <w:r w:rsidRPr="001947E0">
        <w:rPr>
          <w:spacing w:val="-2"/>
          <w:vertAlign w:val="superscript"/>
        </w:rPr>
        <w:endnoteReference w:id="54"/>
      </w:r>
    </w:p>
    <w:p w14:paraId="10894035" w14:textId="77777777" w:rsidR="009248C3" w:rsidRPr="009248C3" w:rsidRDefault="009248C3" w:rsidP="009248C3">
      <w:pPr>
        <w:pStyle w:val="BodyTextMain"/>
        <w:rPr>
          <w:sz w:val="20"/>
        </w:rPr>
      </w:pPr>
    </w:p>
    <w:p w14:paraId="7C70E301" w14:textId="77777777" w:rsidR="009248C3" w:rsidRPr="009248C3" w:rsidRDefault="009248C3" w:rsidP="009248C3">
      <w:pPr>
        <w:pStyle w:val="BodyTextMain"/>
        <w:rPr>
          <w:sz w:val="20"/>
        </w:rPr>
      </w:pPr>
    </w:p>
    <w:p w14:paraId="11C18E95" w14:textId="77777777" w:rsidR="009248C3" w:rsidRPr="009248C3" w:rsidRDefault="009248C3" w:rsidP="000926A8">
      <w:pPr>
        <w:pStyle w:val="Casehead2"/>
        <w:keepNext/>
      </w:pPr>
      <w:r w:rsidRPr="009248C3">
        <w:t xml:space="preserve">Dismantling of Artisanal Mining Activities and Resettlement of Local Households </w:t>
      </w:r>
    </w:p>
    <w:p w14:paraId="4987AF4A" w14:textId="77777777" w:rsidR="009248C3" w:rsidRPr="009248C3" w:rsidRDefault="009248C3" w:rsidP="000926A8">
      <w:pPr>
        <w:pStyle w:val="BodyTextMain"/>
        <w:keepNext/>
        <w:rPr>
          <w:sz w:val="20"/>
        </w:rPr>
      </w:pPr>
    </w:p>
    <w:p w14:paraId="755C7675" w14:textId="782304E0" w:rsidR="009248C3" w:rsidRDefault="009248C3" w:rsidP="000926A8">
      <w:pPr>
        <w:pStyle w:val="BodyTextMain"/>
        <w:keepNext/>
      </w:pPr>
      <w:r w:rsidRPr="009248C3">
        <w:t>Banro’s mining areas were previously occupied by local artisanal miners. The dismantling of their mining pits</w:t>
      </w:r>
      <w:r w:rsidR="00E718F2">
        <w:t xml:space="preserve"> by Banro, even</w:t>
      </w:r>
      <w:r w:rsidRPr="009248C3">
        <w:t xml:space="preserve"> </w:t>
      </w:r>
      <w:r w:rsidR="00E718F2">
        <w:t>with the approval of</w:t>
      </w:r>
      <w:r w:rsidRPr="009248C3">
        <w:t xml:space="preserve"> government officials</w:t>
      </w:r>
      <w:r w:rsidR="00123604">
        <w:t>,</w:t>
      </w:r>
      <w:r w:rsidRPr="009248C3">
        <w:t xml:space="preserve"> was not without resistance and discontent</w:t>
      </w:r>
      <w:r w:rsidR="001D2D8D">
        <w:t>,</w:t>
      </w:r>
      <w:r w:rsidRPr="009248C3">
        <w:t xml:space="preserve"> as artisanal activities in these pits </w:t>
      </w:r>
      <w:r w:rsidR="00E1485F">
        <w:t>was</w:t>
      </w:r>
      <w:r w:rsidRPr="009248C3">
        <w:t xml:space="preserve"> </w:t>
      </w:r>
      <w:r w:rsidR="00A72D5A">
        <w:t xml:space="preserve">for many years </w:t>
      </w:r>
      <w:r w:rsidRPr="009248C3">
        <w:t xml:space="preserve">their main source of revenue. The resettlement of households followed DRC legislation and international practices. Taking place between 2010 and 2012, the resettlement at Twangiza involved the move of 243 households to the new community of Cinjira, located around </w:t>
      </w:r>
      <w:r w:rsidR="00F963C5">
        <w:t>three</w:t>
      </w:r>
      <w:r w:rsidRPr="009248C3">
        <w:t xml:space="preserve"> kilomet</w:t>
      </w:r>
      <w:r w:rsidR="00F963C5">
        <w:t>r</w:t>
      </w:r>
      <w:r w:rsidRPr="009248C3">
        <w:t>es from the mine site. Built by Banro, th</w:t>
      </w:r>
      <w:r w:rsidR="00F64C67">
        <w:t>e</w:t>
      </w:r>
      <w:r w:rsidRPr="009248C3">
        <w:t xml:space="preserve"> community consisted of 261 homes within a strategically designed and clustered township, with a school, two churches, a health cent</w:t>
      </w:r>
      <w:r w:rsidR="00F64C67">
        <w:t>r</w:t>
      </w:r>
      <w:r w:rsidRPr="009248C3">
        <w:t xml:space="preserve">e, and other public amenities. The resettlement of 195 households from Namoya to the new village of Mulanda, located </w:t>
      </w:r>
      <w:r w:rsidRPr="009248C3">
        <w:lastRenderedPageBreak/>
        <w:t xml:space="preserve">about </w:t>
      </w:r>
      <w:r w:rsidR="00F963C5">
        <w:t>five</w:t>
      </w:r>
      <w:r w:rsidRPr="009248C3">
        <w:t xml:space="preserve"> kilomet</w:t>
      </w:r>
      <w:r w:rsidR="00F963C5">
        <w:t>r</w:t>
      </w:r>
      <w:r w:rsidRPr="009248C3">
        <w:t>es from the mine site, was completed in 2013. Such resettlement</w:t>
      </w:r>
      <w:r w:rsidR="00F64C67">
        <w:t>s</w:t>
      </w:r>
      <w:r w:rsidRPr="009248C3">
        <w:t xml:space="preserve"> often resulted in disputes over land use and compensation</w:t>
      </w:r>
      <w:r w:rsidR="00F64C67">
        <w:t>,</w:t>
      </w:r>
      <w:r w:rsidRPr="009248C3">
        <w:t xml:space="preserve"> as </w:t>
      </w:r>
      <w:r w:rsidR="00F64C67">
        <w:t>they</w:t>
      </w:r>
      <w:r w:rsidRPr="009248C3">
        <w:t xml:space="preserve"> significantly affected the course of life of the inhabitants.</w:t>
      </w:r>
    </w:p>
    <w:p w14:paraId="27C07565" w14:textId="77777777" w:rsidR="00803CD2" w:rsidRDefault="00803CD2" w:rsidP="009248C3">
      <w:pPr>
        <w:pStyle w:val="BodyTextMain"/>
      </w:pPr>
    </w:p>
    <w:p w14:paraId="324206D0" w14:textId="77777777" w:rsidR="00803CD2" w:rsidRPr="009248C3" w:rsidRDefault="00803CD2" w:rsidP="009248C3">
      <w:pPr>
        <w:pStyle w:val="BodyTextMain"/>
      </w:pPr>
    </w:p>
    <w:p w14:paraId="5D9EC245" w14:textId="77777777" w:rsidR="009248C3" w:rsidRPr="009248C3" w:rsidRDefault="009248C3" w:rsidP="009248C3">
      <w:pPr>
        <w:pStyle w:val="Casehead2"/>
      </w:pPr>
      <w:r w:rsidRPr="009248C3">
        <w:t>Expectations of Local Communities</w:t>
      </w:r>
    </w:p>
    <w:p w14:paraId="2E8FA942" w14:textId="77777777" w:rsidR="009248C3" w:rsidRPr="009248C3" w:rsidRDefault="009248C3" w:rsidP="009248C3">
      <w:pPr>
        <w:pStyle w:val="BodyTextMain"/>
        <w:rPr>
          <w:sz w:val="20"/>
        </w:rPr>
      </w:pPr>
    </w:p>
    <w:p w14:paraId="585D1ACC" w14:textId="22F0E669" w:rsidR="009248C3" w:rsidRPr="001947E0" w:rsidRDefault="00A63661" w:rsidP="009248C3">
      <w:pPr>
        <w:pStyle w:val="BodyTextMain"/>
        <w:rPr>
          <w:spacing w:val="-2"/>
        </w:rPr>
      </w:pPr>
      <w:r w:rsidRPr="001947E0">
        <w:rPr>
          <w:spacing w:val="-2"/>
        </w:rPr>
        <w:t>The u</w:t>
      </w:r>
      <w:r w:rsidR="009248C3" w:rsidRPr="001947E0">
        <w:rPr>
          <w:spacing w:val="-2"/>
        </w:rPr>
        <w:t>n</w:t>
      </w:r>
      <w:r w:rsidR="00D43A17" w:rsidRPr="001947E0">
        <w:rPr>
          <w:spacing w:val="-2"/>
        </w:rPr>
        <w:t>-</w:t>
      </w:r>
      <w:r w:rsidR="009248C3" w:rsidRPr="001947E0">
        <w:rPr>
          <w:spacing w:val="-2"/>
        </w:rPr>
        <w:t>met demands</w:t>
      </w:r>
      <w:r w:rsidRPr="001947E0">
        <w:rPr>
          <w:spacing w:val="-2"/>
        </w:rPr>
        <w:t xml:space="preserve"> of community members</w:t>
      </w:r>
      <w:r w:rsidR="009248C3" w:rsidRPr="001947E0">
        <w:rPr>
          <w:spacing w:val="-2"/>
        </w:rPr>
        <w:t xml:space="preserve"> were usually </w:t>
      </w:r>
      <w:r w:rsidR="00D43A17" w:rsidRPr="001947E0">
        <w:rPr>
          <w:spacing w:val="-2"/>
        </w:rPr>
        <w:t>the</w:t>
      </w:r>
      <w:r w:rsidR="009248C3" w:rsidRPr="001947E0">
        <w:rPr>
          <w:spacing w:val="-2"/>
        </w:rPr>
        <w:t xml:space="preserve"> result of </w:t>
      </w:r>
      <w:r w:rsidR="00D43A17" w:rsidRPr="001947E0">
        <w:rPr>
          <w:spacing w:val="-2"/>
        </w:rPr>
        <w:t xml:space="preserve">a </w:t>
      </w:r>
      <w:r w:rsidR="009248C3" w:rsidRPr="001947E0">
        <w:rPr>
          <w:spacing w:val="-2"/>
        </w:rPr>
        <w:t>lack</w:t>
      </w:r>
      <w:r w:rsidR="00D43A17" w:rsidRPr="001947E0">
        <w:rPr>
          <w:spacing w:val="-2"/>
        </w:rPr>
        <w:t xml:space="preserve"> of</w:t>
      </w:r>
      <w:r w:rsidR="009248C3" w:rsidRPr="001947E0">
        <w:rPr>
          <w:spacing w:val="-2"/>
        </w:rPr>
        <w:t xml:space="preserve"> communication and engagement between the national and local governments, local communities, and the company.</w:t>
      </w:r>
      <w:r w:rsidR="009248C3" w:rsidRPr="001947E0">
        <w:rPr>
          <w:spacing w:val="-2"/>
          <w:vertAlign w:val="superscript"/>
        </w:rPr>
        <w:endnoteReference w:id="55"/>
      </w:r>
      <w:r w:rsidR="009248C3" w:rsidRPr="001947E0">
        <w:rPr>
          <w:spacing w:val="-2"/>
        </w:rPr>
        <w:t xml:space="preserve"> </w:t>
      </w:r>
      <w:r w:rsidR="009248C3" w:rsidRPr="001947E0">
        <w:rPr>
          <w:spacing w:val="-2"/>
          <w:shd w:val="clear" w:color="auto" w:fill="FFFFFF"/>
        </w:rPr>
        <w:t>Leaders</w:t>
      </w:r>
      <w:r w:rsidR="009248C3" w:rsidRPr="001947E0">
        <w:rPr>
          <w:spacing w:val="-2"/>
        </w:rPr>
        <w:t xml:space="preserve"> and members of c</w:t>
      </w:r>
      <w:r w:rsidR="009248C3" w:rsidRPr="001947E0">
        <w:rPr>
          <w:spacing w:val="-2"/>
          <w:shd w:val="clear" w:color="auto" w:fill="FFFFFF"/>
        </w:rPr>
        <w:t>ommunities sometimes erroneously perceived that the company earned extraordinarily high profits without realizing the high costs of projects.</w:t>
      </w:r>
      <w:r w:rsidR="009248C3" w:rsidRPr="001947E0">
        <w:rPr>
          <w:spacing w:val="-2"/>
        </w:rPr>
        <w:t xml:space="preserve"> They often lacked information about the revenues </w:t>
      </w:r>
      <w:r w:rsidR="00F64C67" w:rsidRPr="001947E0">
        <w:rPr>
          <w:spacing w:val="-2"/>
        </w:rPr>
        <w:t xml:space="preserve">received by </w:t>
      </w:r>
      <w:r w:rsidR="009248C3" w:rsidRPr="001947E0">
        <w:rPr>
          <w:spacing w:val="-2"/>
        </w:rPr>
        <w:t xml:space="preserve">the national and local governments, and </w:t>
      </w:r>
      <w:r w:rsidR="00F64C67" w:rsidRPr="001947E0">
        <w:rPr>
          <w:spacing w:val="-2"/>
        </w:rPr>
        <w:t xml:space="preserve">about </w:t>
      </w:r>
      <w:r w:rsidR="009248C3" w:rsidRPr="001947E0">
        <w:rPr>
          <w:spacing w:val="-2"/>
        </w:rPr>
        <w:t>how these revenues were used to generate benefits.</w:t>
      </w:r>
      <w:r w:rsidR="009248C3" w:rsidRPr="001947E0">
        <w:rPr>
          <w:spacing w:val="-2"/>
          <w:vertAlign w:val="superscript"/>
        </w:rPr>
        <w:endnoteReference w:id="56"/>
      </w:r>
      <w:r w:rsidR="009248C3" w:rsidRPr="001947E0">
        <w:rPr>
          <w:spacing w:val="-2"/>
        </w:rPr>
        <w:t xml:space="preserve"> The impacts and benefits of mining might be shared between several communities near large-scale mines. Social benefits were sometimes slow to materialize due to the need </w:t>
      </w:r>
      <w:r w:rsidR="00A9159D" w:rsidRPr="001947E0">
        <w:rPr>
          <w:spacing w:val="-2"/>
        </w:rPr>
        <w:t>for</w:t>
      </w:r>
      <w:r w:rsidR="009248C3" w:rsidRPr="001947E0">
        <w:rPr>
          <w:spacing w:val="-2"/>
        </w:rPr>
        <w:t xml:space="preserve"> consensus among community leaders.</w:t>
      </w:r>
    </w:p>
    <w:p w14:paraId="06D9EB70" w14:textId="77777777" w:rsidR="009248C3" w:rsidRPr="009248C3" w:rsidRDefault="009248C3" w:rsidP="009248C3">
      <w:pPr>
        <w:pStyle w:val="BodyTextMain"/>
        <w:rPr>
          <w:sz w:val="20"/>
        </w:rPr>
      </w:pPr>
    </w:p>
    <w:p w14:paraId="7129EDAB" w14:textId="77777777" w:rsidR="009248C3" w:rsidRPr="009248C3" w:rsidRDefault="009248C3" w:rsidP="009248C3">
      <w:pPr>
        <w:pStyle w:val="BodyTextMain"/>
        <w:rPr>
          <w:sz w:val="20"/>
        </w:rPr>
      </w:pPr>
    </w:p>
    <w:p w14:paraId="708FABFC" w14:textId="77777777" w:rsidR="009248C3" w:rsidRPr="009248C3" w:rsidRDefault="009248C3" w:rsidP="009248C3">
      <w:pPr>
        <w:pStyle w:val="Casehead1"/>
      </w:pPr>
      <w:r w:rsidRPr="009248C3">
        <w:t>POLITICAL RISK</w:t>
      </w:r>
    </w:p>
    <w:p w14:paraId="52C5CDEB" w14:textId="77777777" w:rsidR="009248C3" w:rsidRPr="0097496B" w:rsidRDefault="009248C3" w:rsidP="0097496B">
      <w:pPr>
        <w:pStyle w:val="BodyTextMain"/>
      </w:pPr>
    </w:p>
    <w:p w14:paraId="09799574" w14:textId="33F4A772" w:rsidR="009248C3" w:rsidRPr="0097496B" w:rsidRDefault="009248C3" w:rsidP="0097496B">
      <w:pPr>
        <w:pStyle w:val="BodyTextMain"/>
      </w:pPr>
      <w:r w:rsidRPr="0097496B">
        <w:t>Joseph Kabila had been the president of DRC since 2001</w:t>
      </w:r>
      <w:r w:rsidR="00971C30" w:rsidRPr="0097496B">
        <w:t>,</w:t>
      </w:r>
      <w:r w:rsidR="00CE6175" w:rsidRPr="0097496B">
        <w:t xml:space="preserve"> </w:t>
      </w:r>
      <w:r w:rsidR="00971C30" w:rsidRPr="0097496B">
        <w:t>taking</w:t>
      </w:r>
      <w:r w:rsidR="00CE6175" w:rsidRPr="0097496B">
        <w:t xml:space="preserve"> office after the death of his father</w:t>
      </w:r>
      <w:r w:rsidR="00123604" w:rsidRPr="0097496B">
        <w:t>. H</w:t>
      </w:r>
      <w:r w:rsidR="00E93D1B" w:rsidRPr="0097496B">
        <w:t xml:space="preserve">e was </w:t>
      </w:r>
      <w:r w:rsidR="00CE6175" w:rsidRPr="0097496B">
        <w:t>then</w:t>
      </w:r>
      <w:r w:rsidRPr="0097496B">
        <w:t xml:space="preserve"> elected </w:t>
      </w:r>
      <w:r w:rsidR="00CE6175" w:rsidRPr="0097496B">
        <w:t xml:space="preserve">president </w:t>
      </w:r>
      <w:r w:rsidRPr="0097496B">
        <w:t xml:space="preserve">in 2006 and </w:t>
      </w:r>
      <w:r w:rsidR="00CE6175" w:rsidRPr="0097496B">
        <w:t xml:space="preserve">re-elected in </w:t>
      </w:r>
      <w:r w:rsidRPr="0097496B">
        <w:t xml:space="preserve">2011. Since assuming power, Kabila had </w:t>
      </w:r>
      <w:r w:rsidR="00E93D1B" w:rsidRPr="0097496B">
        <w:t>had to deal with</w:t>
      </w:r>
      <w:r w:rsidRPr="0097496B">
        <w:t xml:space="preserve"> continuous wars in eastern Congo and internal rebel forces. The signing of </w:t>
      </w:r>
      <w:r w:rsidR="00A9159D" w:rsidRPr="0097496B">
        <w:t xml:space="preserve">the </w:t>
      </w:r>
      <w:r w:rsidRPr="0097496B">
        <w:t>Global and Inclusive Agreement</w:t>
      </w:r>
      <w:r w:rsidR="00A9159D" w:rsidRPr="0097496B">
        <w:t xml:space="preserve"> on Transition</w:t>
      </w:r>
      <w:r w:rsidRPr="0097496B">
        <w:t xml:space="preserve"> in </w:t>
      </w:r>
      <w:r w:rsidR="00A9159D" w:rsidRPr="0097496B">
        <w:t xml:space="preserve">the Democratic Republic of Congo in </w:t>
      </w:r>
      <w:r w:rsidRPr="0097496B">
        <w:t xml:space="preserve">2002, followed by the adoption of a new constitution by referendum in 2005, led the country to </w:t>
      </w:r>
      <w:r w:rsidR="00CE6175" w:rsidRPr="0097496B">
        <w:t xml:space="preserve">the </w:t>
      </w:r>
      <w:r w:rsidRPr="0097496B">
        <w:t>gradual restoration of peace.</w:t>
      </w:r>
      <w:r w:rsidRPr="0097496B">
        <w:rPr>
          <w:vertAlign w:val="superscript"/>
        </w:rPr>
        <w:endnoteReference w:id="57"/>
      </w:r>
      <w:r w:rsidRPr="0097496B">
        <w:t xml:space="preserve"> In February 2006, the Constitution of the DRC was adopted. Both constitutions were effective</w:t>
      </w:r>
      <w:r w:rsidR="00CE6175" w:rsidRPr="0097496B">
        <w:t>, but</w:t>
      </w:r>
      <w:r w:rsidRPr="0097496B">
        <w:t xml:space="preserve"> the transitional constitution was ended on the inauguration of elected officials </w:t>
      </w:r>
      <w:r w:rsidR="00E93D1B" w:rsidRPr="0097496B">
        <w:t>in</w:t>
      </w:r>
      <w:r w:rsidRPr="0097496B">
        <w:t xml:space="preserve"> the July 2006 elections.</w:t>
      </w:r>
      <w:r w:rsidRPr="0097496B">
        <w:rPr>
          <w:vertAlign w:val="superscript"/>
        </w:rPr>
        <w:endnoteReference w:id="58"/>
      </w:r>
      <w:r w:rsidRPr="0097496B">
        <w:rPr>
          <w:vertAlign w:val="superscript"/>
        </w:rPr>
        <w:t xml:space="preserve"> </w:t>
      </w:r>
      <w:r w:rsidRPr="0097496B">
        <w:t xml:space="preserve">The 2006 elections were appreciated by the international community, </w:t>
      </w:r>
      <w:r w:rsidR="00CE6175" w:rsidRPr="0097496B">
        <w:t>but</w:t>
      </w:r>
      <w:r w:rsidRPr="0097496B">
        <w:t xml:space="preserve"> marred by irregularities and deficiencies</w:t>
      </w:r>
      <w:r w:rsidR="00D27421" w:rsidRPr="0097496B">
        <w:t>.</w:t>
      </w:r>
      <w:r w:rsidRPr="0097496B">
        <w:t xml:space="preserve"> </w:t>
      </w:r>
      <w:r w:rsidR="00D27421" w:rsidRPr="0097496B">
        <w:t xml:space="preserve">According to the </w:t>
      </w:r>
      <w:r w:rsidRPr="0097496B">
        <w:t>U.S.-based Carter Center</w:t>
      </w:r>
      <w:r w:rsidR="00D27421" w:rsidRPr="0097496B">
        <w:t>,</w:t>
      </w:r>
      <w:r w:rsidRPr="0097496B">
        <w:t xml:space="preserve"> the 2011 presidential election lacked credibility.</w:t>
      </w:r>
      <w:r w:rsidRPr="0097496B">
        <w:rPr>
          <w:vertAlign w:val="superscript"/>
        </w:rPr>
        <w:endnoteReference w:id="59"/>
      </w:r>
    </w:p>
    <w:p w14:paraId="186737E5" w14:textId="77777777" w:rsidR="009248C3" w:rsidRPr="0097496B" w:rsidRDefault="009248C3" w:rsidP="0097496B">
      <w:pPr>
        <w:pStyle w:val="BodyTextMain"/>
      </w:pPr>
    </w:p>
    <w:p w14:paraId="4AD7FADF" w14:textId="7CE4675C" w:rsidR="009248C3" w:rsidRPr="0097496B" w:rsidRDefault="009248C3" w:rsidP="0097496B">
      <w:pPr>
        <w:pStyle w:val="BodyTextMain"/>
      </w:pPr>
      <w:r w:rsidRPr="0097496B">
        <w:t>Five years later, in response to the U.S. senators who called for sanctions against the DRC government’s failure to organize elections at the end of 2016, the presidential political party</w:t>
      </w:r>
      <w:r w:rsidRPr="0097496B">
        <w:rPr>
          <w:vertAlign w:val="superscript"/>
        </w:rPr>
        <w:endnoteReference w:id="60"/>
      </w:r>
      <w:r w:rsidRPr="0097496B">
        <w:t xml:space="preserve"> stated that the relationships of multinational companies with their government in some Western countries, including Canada, and the conflicts between the DRC government and a major Canadian investor in Congolese mining, First Quantum Minerals Ltd. (First Quantum)</w:t>
      </w:r>
      <w:r w:rsidR="00D27421" w:rsidRPr="0097496B">
        <w:t>,</w:t>
      </w:r>
      <w:r w:rsidRPr="0097496B">
        <w:t xml:space="preserve"> delayed the cancellation of DRC’s debt by the International Monetary Fund and the World Bank in 2010.</w:t>
      </w:r>
      <w:r w:rsidRPr="0097496B">
        <w:rPr>
          <w:vertAlign w:val="superscript"/>
        </w:rPr>
        <w:endnoteReference w:id="61"/>
      </w:r>
      <w:r w:rsidRPr="0097496B">
        <w:rPr>
          <w:vertAlign w:val="superscript"/>
        </w:rPr>
        <w:t xml:space="preserve"> </w:t>
      </w:r>
    </w:p>
    <w:p w14:paraId="5AC01D12" w14:textId="77777777" w:rsidR="009248C3" w:rsidRPr="0097496B" w:rsidRDefault="009248C3" w:rsidP="0097496B">
      <w:pPr>
        <w:pStyle w:val="BodyTextMain"/>
      </w:pPr>
    </w:p>
    <w:p w14:paraId="17281023" w14:textId="103EAA6D" w:rsidR="009248C3" w:rsidRPr="009248C3" w:rsidRDefault="009248C3" w:rsidP="009248C3">
      <w:pPr>
        <w:pStyle w:val="BodyTextMain"/>
      </w:pPr>
      <w:r w:rsidRPr="009248C3">
        <w:t xml:space="preserve">With bountiful natural resources, DRC remained </w:t>
      </w:r>
      <w:r w:rsidR="002A7B8A">
        <w:t>a</w:t>
      </w:r>
      <w:r w:rsidRPr="009248C3">
        <w:t xml:space="preserve"> </w:t>
      </w:r>
      <w:r w:rsidR="00950D69">
        <w:t xml:space="preserve">mining </w:t>
      </w:r>
      <w:r w:rsidRPr="009248C3">
        <w:t>site</w:t>
      </w:r>
      <w:r w:rsidR="00B8494A">
        <w:t xml:space="preserve"> that</w:t>
      </w:r>
      <w:r w:rsidRPr="009248C3">
        <w:t xml:space="preserve"> governments and corporations around the world scrambled to access. In 2006, First Quantum’s president, Clive Newall</w:t>
      </w:r>
      <w:r w:rsidR="00B8494A">
        <w:t>,</w:t>
      </w:r>
      <w:r w:rsidRPr="009248C3">
        <w:t xml:space="preserve"> stated, “It’s the holy grail of the copper industry,” while other companies were saying, “</w:t>
      </w:r>
      <w:r w:rsidR="00D27421">
        <w:t>T</w:t>
      </w:r>
      <w:r w:rsidRPr="009248C3">
        <w:t>o hell with the political risk, we just have to be here.”</w:t>
      </w:r>
      <w:r w:rsidRPr="009248C3">
        <w:rPr>
          <w:vertAlign w:val="superscript"/>
        </w:rPr>
        <w:endnoteReference w:id="62"/>
      </w:r>
      <w:r w:rsidRPr="009248C3">
        <w:t xml:space="preserve"> However, the risk probably did not pay off for First Quantum. In 2010, the DRC government cancel</w:t>
      </w:r>
      <w:r w:rsidR="00B8494A">
        <w:t>l</w:t>
      </w:r>
      <w:r w:rsidRPr="009248C3">
        <w:t xml:space="preserve">ed three of its mining concessions, worth around $1 billion, as part of a review of contracts signed at the end of </w:t>
      </w:r>
      <w:r w:rsidR="00D27421">
        <w:t xml:space="preserve">the </w:t>
      </w:r>
      <w:r w:rsidRPr="009248C3">
        <w:t xml:space="preserve">1990s during the upheaval period of </w:t>
      </w:r>
      <w:r w:rsidR="00B8494A">
        <w:t xml:space="preserve">the </w:t>
      </w:r>
      <w:r w:rsidRPr="009248C3">
        <w:t>conflicts. Through</w:t>
      </w:r>
      <w:r>
        <w:t xml:space="preserve"> the company’s politically well-</w:t>
      </w:r>
      <w:r w:rsidRPr="009248C3">
        <w:t xml:space="preserve">connected board, including former </w:t>
      </w:r>
      <w:r w:rsidR="00B8494A">
        <w:t xml:space="preserve">Canadian </w:t>
      </w:r>
      <w:r w:rsidRPr="009248C3">
        <w:t>Prime Minister Joe Clark, the Canadian government retaliated on its behalf through the G8</w:t>
      </w:r>
      <w:r w:rsidR="00A168DF">
        <w:t xml:space="preserve"> (Group of Eight industrialized nations)</w:t>
      </w:r>
      <w:r w:rsidRPr="009248C3">
        <w:t xml:space="preserve"> and international lending institutions.</w:t>
      </w:r>
    </w:p>
    <w:p w14:paraId="76FFC4F6" w14:textId="77777777" w:rsidR="009248C3" w:rsidRPr="009248C3" w:rsidRDefault="009248C3" w:rsidP="009248C3">
      <w:pPr>
        <w:pStyle w:val="BodyTextMain"/>
        <w:rPr>
          <w:sz w:val="20"/>
        </w:rPr>
      </w:pPr>
    </w:p>
    <w:p w14:paraId="4D33FEB0" w14:textId="4BC88BDE" w:rsidR="009248C3" w:rsidRPr="009248C3" w:rsidRDefault="009248C3" w:rsidP="009248C3">
      <w:pPr>
        <w:pStyle w:val="BodyTextMain"/>
        <w:rPr>
          <w:rFonts w:eastAsiaTheme="minorHAnsi"/>
        </w:rPr>
      </w:pPr>
      <w:r w:rsidRPr="009248C3">
        <w:t>The home</w:t>
      </w:r>
      <w:r w:rsidR="004D66D2">
        <w:t>–</w:t>
      </w:r>
      <w:r w:rsidRPr="009248C3">
        <w:t>host country government relations played an important role in shaping firms’ political risk exposure. If such relations were strained, firms ran the risk of discriminatory treatment by the host country government.</w:t>
      </w:r>
      <w:r w:rsidRPr="009248C3">
        <w:rPr>
          <w:vertAlign w:val="superscript"/>
        </w:rPr>
        <w:endnoteReference w:id="63"/>
      </w:r>
      <w:r w:rsidRPr="009248C3">
        <w:t xml:space="preserve"> In its January 2013</w:t>
      </w:r>
      <w:r w:rsidR="004D66D2">
        <w:t xml:space="preserve"> report</w:t>
      </w:r>
      <w:r w:rsidRPr="009248C3">
        <w:t>, the Canadian Chamber of Commerce recommended its</w:t>
      </w:r>
      <w:r w:rsidRPr="009248C3">
        <w:rPr>
          <w:iCs/>
        </w:rPr>
        <w:t xml:space="preserve"> government pursue Foreign Investment </w:t>
      </w:r>
      <w:r w:rsidR="004D66D2">
        <w:rPr>
          <w:iCs/>
        </w:rPr>
        <w:t xml:space="preserve">Promotion and </w:t>
      </w:r>
      <w:r w:rsidRPr="009248C3">
        <w:rPr>
          <w:iCs/>
        </w:rPr>
        <w:t>Protection Agreements to mitigate political risk to Canadian mining assets abroad.</w:t>
      </w:r>
      <w:r w:rsidRPr="009248C3">
        <w:rPr>
          <w:iCs/>
          <w:vertAlign w:val="superscript"/>
        </w:rPr>
        <w:endnoteReference w:id="64"/>
      </w:r>
      <w:r w:rsidRPr="009248C3">
        <w:t xml:space="preserve"> </w:t>
      </w:r>
      <w:r w:rsidRPr="009248C3">
        <w:rPr>
          <w:iCs/>
        </w:rPr>
        <w:t xml:space="preserve">Given the DRC’s political context, it was hardly expected that the Canadian government </w:t>
      </w:r>
      <w:r w:rsidR="00E93D1B">
        <w:rPr>
          <w:iCs/>
        </w:rPr>
        <w:t xml:space="preserve">would </w:t>
      </w:r>
      <w:r w:rsidR="00E93D1B">
        <w:rPr>
          <w:shd w:val="clear" w:color="auto" w:fill="FFFFFF"/>
        </w:rPr>
        <w:t>disregard the</w:t>
      </w:r>
      <w:r w:rsidR="00E93D1B" w:rsidRPr="009248C3">
        <w:rPr>
          <w:shd w:val="clear" w:color="auto" w:fill="FFFFFF"/>
        </w:rPr>
        <w:t xml:space="preserve"> </w:t>
      </w:r>
      <w:r w:rsidRPr="009248C3">
        <w:rPr>
          <w:shd w:val="clear" w:color="auto" w:fill="FFFFFF"/>
        </w:rPr>
        <w:t>core values of its foreign policy, including the promotion of freedom, democracy, democratic governance, human rights, and the rule of law.</w:t>
      </w:r>
      <w:r w:rsidRPr="009248C3">
        <w:rPr>
          <w:shd w:val="clear" w:color="auto" w:fill="FFFFFF"/>
          <w:vertAlign w:val="superscript"/>
        </w:rPr>
        <w:endnoteReference w:id="65"/>
      </w:r>
      <w:r w:rsidRPr="009248C3">
        <w:rPr>
          <w:shd w:val="clear" w:color="auto" w:fill="FFFFFF"/>
        </w:rPr>
        <w:t xml:space="preserve"> </w:t>
      </w:r>
    </w:p>
    <w:p w14:paraId="4D4FC5EE" w14:textId="190C20D8" w:rsidR="009248C3" w:rsidRPr="009248C3" w:rsidRDefault="009248C3" w:rsidP="009248C3">
      <w:pPr>
        <w:pStyle w:val="BodyTextMain"/>
        <w:rPr>
          <w:rFonts w:eastAsiaTheme="minorHAnsi"/>
          <w:color w:val="000000"/>
        </w:rPr>
      </w:pPr>
      <w:r w:rsidRPr="009248C3">
        <w:rPr>
          <w:rFonts w:eastAsiaTheme="minorHAnsi"/>
        </w:rPr>
        <w:lastRenderedPageBreak/>
        <w:t xml:space="preserve">Tensions among politicians and related associations </w:t>
      </w:r>
      <w:r w:rsidR="00E93D1B">
        <w:rPr>
          <w:rFonts w:eastAsiaTheme="minorHAnsi"/>
        </w:rPr>
        <w:t>often a</w:t>
      </w:r>
      <w:r w:rsidRPr="009248C3">
        <w:rPr>
          <w:rFonts w:eastAsiaTheme="minorHAnsi"/>
        </w:rPr>
        <w:t>rose in DRC. A Bukavu-based non-governmental organization, Maison des Mines du Kivu, highlighted a “real loss” of $19 million for the DRC government from 2010 to 2016 due to the tax exemption granted to Banro in 2009.</w:t>
      </w:r>
      <w:r w:rsidRPr="009248C3">
        <w:rPr>
          <w:rFonts w:eastAsiaTheme="minorHAnsi"/>
          <w:color w:val="000000"/>
          <w:vertAlign w:val="superscript"/>
        </w:rPr>
        <w:endnoteReference w:id="66"/>
      </w:r>
      <w:r w:rsidRPr="009248C3">
        <w:rPr>
          <w:rFonts w:eastAsiaTheme="minorHAnsi"/>
        </w:rPr>
        <w:t xml:space="preserve"> </w:t>
      </w:r>
      <w:r w:rsidR="00B8494A">
        <w:rPr>
          <w:rFonts w:eastAsiaTheme="minorHAnsi"/>
        </w:rPr>
        <w:t>Maison des Mines du Kivu</w:t>
      </w:r>
      <w:r w:rsidRPr="009248C3">
        <w:rPr>
          <w:rFonts w:eastAsiaTheme="minorHAnsi"/>
        </w:rPr>
        <w:t xml:space="preserve"> recommended the government not renew this fiscal incentive once it expired in 2027</w:t>
      </w:r>
      <w:r w:rsidRPr="009248C3">
        <w:rPr>
          <w:rFonts w:eastAsiaTheme="minorHAnsi"/>
          <w:color w:val="000000"/>
        </w:rPr>
        <w:t xml:space="preserve">. </w:t>
      </w:r>
      <w:r w:rsidR="00705B61">
        <w:rPr>
          <w:rFonts w:eastAsiaTheme="minorHAnsi"/>
          <w:color w:val="000000"/>
        </w:rPr>
        <w:t>G</w:t>
      </w:r>
      <w:r w:rsidRPr="009248C3">
        <w:rPr>
          <w:rFonts w:eastAsiaTheme="minorHAnsi"/>
          <w:color w:val="000000"/>
        </w:rPr>
        <w:t>lobal professional services</w:t>
      </w:r>
      <w:r w:rsidR="00E93D1B">
        <w:rPr>
          <w:rFonts w:eastAsiaTheme="minorHAnsi"/>
          <w:color w:val="000000"/>
        </w:rPr>
        <w:t xml:space="preserve"> firm</w:t>
      </w:r>
      <w:r w:rsidRPr="009248C3">
        <w:rPr>
          <w:rFonts w:eastAsiaTheme="minorHAnsi"/>
          <w:color w:val="000000"/>
        </w:rPr>
        <w:t xml:space="preserve"> Aon plc </w:t>
      </w:r>
      <w:r w:rsidR="00E93D1B">
        <w:rPr>
          <w:rFonts w:eastAsiaTheme="minorHAnsi"/>
          <w:color w:val="000000"/>
        </w:rPr>
        <w:t>i</w:t>
      </w:r>
      <w:r w:rsidRPr="009248C3">
        <w:rPr>
          <w:rFonts w:eastAsiaTheme="minorHAnsi"/>
          <w:color w:val="000000"/>
        </w:rPr>
        <w:t>ndicated in 2017 that the country risk level of DRC was very high.</w:t>
      </w:r>
      <w:r w:rsidRPr="009248C3">
        <w:rPr>
          <w:rFonts w:eastAsiaTheme="minorHAnsi"/>
          <w:color w:val="000000"/>
          <w:vertAlign w:val="superscript"/>
        </w:rPr>
        <w:endnoteReference w:id="67"/>
      </w:r>
      <w:r w:rsidRPr="009248C3">
        <w:rPr>
          <w:rFonts w:eastAsiaTheme="minorHAnsi"/>
          <w:color w:val="000000"/>
        </w:rPr>
        <w:t xml:space="preserve">  </w:t>
      </w:r>
    </w:p>
    <w:p w14:paraId="08691A40" w14:textId="77777777" w:rsidR="009248C3" w:rsidRPr="009248C3" w:rsidRDefault="009248C3" w:rsidP="009248C3">
      <w:pPr>
        <w:pStyle w:val="BodyTextMain"/>
        <w:rPr>
          <w:color w:val="000000"/>
          <w:sz w:val="18"/>
        </w:rPr>
      </w:pPr>
    </w:p>
    <w:p w14:paraId="4320B41C" w14:textId="77777777" w:rsidR="009248C3" w:rsidRPr="009248C3" w:rsidRDefault="009248C3" w:rsidP="009248C3">
      <w:pPr>
        <w:pStyle w:val="BodyTextMain"/>
        <w:rPr>
          <w:color w:val="000000"/>
          <w:sz w:val="18"/>
        </w:rPr>
      </w:pPr>
    </w:p>
    <w:p w14:paraId="58AA6C1D" w14:textId="0154C415" w:rsidR="009248C3" w:rsidRPr="009248C3" w:rsidRDefault="009248C3" w:rsidP="009248C3">
      <w:pPr>
        <w:pStyle w:val="Casehead1"/>
      </w:pPr>
      <w:r w:rsidRPr="009248C3">
        <w:t xml:space="preserve">RISE AND FALL OF </w:t>
      </w:r>
      <w:r w:rsidR="00E93D1B">
        <w:t xml:space="preserve">the </w:t>
      </w:r>
      <w:r w:rsidRPr="009248C3">
        <w:t>GOLD PRICE</w:t>
      </w:r>
    </w:p>
    <w:p w14:paraId="1D027B7D" w14:textId="77777777" w:rsidR="009248C3" w:rsidRPr="009248C3" w:rsidRDefault="009248C3" w:rsidP="009248C3">
      <w:pPr>
        <w:pStyle w:val="BodyTextMain"/>
        <w:rPr>
          <w:color w:val="000000"/>
          <w:sz w:val="20"/>
        </w:rPr>
      </w:pPr>
    </w:p>
    <w:p w14:paraId="034833EB" w14:textId="0A1E87FC" w:rsidR="009248C3" w:rsidRPr="009248C3" w:rsidRDefault="00E93D1B" w:rsidP="009248C3">
      <w:pPr>
        <w:pStyle w:val="BodyTextMain"/>
      </w:pPr>
      <w:r>
        <w:rPr>
          <w:shd w:val="clear" w:color="auto" w:fill="FFFFFF"/>
        </w:rPr>
        <w:t>The price of g</w:t>
      </w:r>
      <w:r w:rsidR="009248C3" w:rsidRPr="009248C3">
        <w:rPr>
          <w:shd w:val="clear" w:color="auto" w:fill="FFFFFF"/>
        </w:rPr>
        <w:t xml:space="preserve">old </w:t>
      </w:r>
      <w:r w:rsidR="00971C30">
        <w:rPr>
          <w:shd w:val="clear" w:color="auto" w:fill="FFFFFF"/>
        </w:rPr>
        <w:t>rose</w:t>
      </w:r>
      <w:r w:rsidR="009248C3" w:rsidRPr="009248C3">
        <w:rPr>
          <w:shd w:val="clear" w:color="auto" w:fill="FFFFFF"/>
        </w:rPr>
        <w:t xml:space="preserve"> </w:t>
      </w:r>
      <w:r w:rsidR="007D7307">
        <w:rPr>
          <w:shd w:val="clear" w:color="auto" w:fill="FFFFFF"/>
        </w:rPr>
        <w:t>between</w:t>
      </w:r>
      <w:r w:rsidR="009248C3" w:rsidRPr="009248C3">
        <w:rPr>
          <w:shd w:val="clear" w:color="auto" w:fill="FFFFFF"/>
        </w:rPr>
        <w:t xml:space="preserve"> 2009</w:t>
      </w:r>
      <w:r w:rsidR="007D7307">
        <w:rPr>
          <w:shd w:val="clear" w:color="auto" w:fill="FFFFFF"/>
        </w:rPr>
        <w:t xml:space="preserve"> and </w:t>
      </w:r>
      <w:r w:rsidR="009248C3" w:rsidRPr="009248C3">
        <w:rPr>
          <w:shd w:val="clear" w:color="auto" w:fill="FFFFFF"/>
        </w:rPr>
        <w:t xml:space="preserve">2012 </w:t>
      </w:r>
      <w:r w:rsidR="007D7307">
        <w:rPr>
          <w:shd w:val="clear" w:color="auto" w:fill="FFFFFF"/>
        </w:rPr>
        <w:t>to</w:t>
      </w:r>
      <w:r w:rsidR="009248C3" w:rsidRPr="009248C3">
        <w:rPr>
          <w:shd w:val="clear" w:color="auto" w:fill="FFFFFF"/>
        </w:rPr>
        <w:t xml:space="preserve"> an average of $1</w:t>
      </w:r>
      <w:r w:rsidR="0085190D">
        <w:rPr>
          <w:shd w:val="clear" w:color="auto" w:fill="FFFFFF"/>
        </w:rPr>
        <w:t>,</w:t>
      </w:r>
      <w:r w:rsidR="009248C3" w:rsidRPr="009248C3">
        <w:rPr>
          <w:shd w:val="clear" w:color="auto" w:fill="FFFFFF"/>
        </w:rPr>
        <w:t>711 per ounce, but declined more than 30 per cent since then to $1</w:t>
      </w:r>
      <w:r w:rsidR="00B8494A">
        <w:rPr>
          <w:shd w:val="clear" w:color="auto" w:fill="FFFFFF"/>
        </w:rPr>
        <w:t>,</w:t>
      </w:r>
      <w:r w:rsidR="009248C3" w:rsidRPr="009248C3">
        <w:rPr>
          <w:shd w:val="clear" w:color="auto" w:fill="FFFFFF"/>
        </w:rPr>
        <w:t>190 per ounce in 2016.</w:t>
      </w:r>
      <w:r w:rsidR="009248C3" w:rsidRPr="009248C3">
        <w:t xml:space="preserve"> </w:t>
      </w:r>
      <w:r w:rsidR="009248C3" w:rsidRPr="009248C3">
        <w:rPr>
          <w:shd w:val="clear" w:color="auto" w:fill="FFFFFF"/>
        </w:rPr>
        <w:t xml:space="preserve">By 1980, the </w:t>
      </w:r>
      <w:r w:rsidR="00971C30">
        <w:rPr>
          <w:shd w:val="clear" w:color="auto" w:fill="FFFFFF"/>
        </w:rPr>
        <w:t xml:space="preserve">average </w:t>
      </w:r>
      <w:r w:rsidR="009248C3" w:rsidRPr="009248C3">
        <w:rPr>
          <w:shd w:val="clear" w:color="auto" w:fill="FFFFFF"/>
        </w:rPr>
        <w:t xml:space="preserve">price </w:t>
      </w:r>
      <w:r w:rsidR="00971C30">
        <w:rPr>
          <w:shd w:val="clear" w:color="auto" w:fill="FFFFFF"/>
        </w:rPr>
        <w:t>was</w:t>
      </w:r>
      <w:r w:rsidR="009248C3" w:rsidRPr="009248C3">
        <w:rPr>
          <w:shd w:val="clear" w:color="auto" w:fill="FFFFFF"/>
        </w:rPr>
        <w:t xml:space="preserve"> $410 an ounce and remained around that price until 1996</w:t>
      </w:r>
      <w:r w:rsidR="00971C30">
        <w:rPr>
          <w:shd w:val="clear" w:color="auto" w:fill="FFFFFF"/>
        </w:rPr>
        <w:t>,</w:t>
      </w:r>
      <w:r w:rsidR="009248C3" w:rsidRPr="009248C3">
        <w:rPr>
          <w:shd w:val="clear" w:color="auto" w:fill="FFFFFF"/>
        </w:rPr>
        <w:t xml:space="preserve"> when it dropped to $288 an ounce in response to steady economic growth. Speculators returned to trade gold after each economic crisis. The price </w:t>
      </w:r>
      <w:r w:rsidR="0097496B">
        <w:rPr>
          <w:shd w:val="clear" w:color="auto" w:fill="FFFFFF"/>
        </w:rPr>
        <w:t>increased dramatically</w:t>
      </w:r>
      <w:r w:rsidR="009248C3" w:rsidRPr="009248C3">
        <w:rPr>
          <w:shd w:val="clear" w:color="auto" w:fill="FFFFFF"/>
        </w:rPr>
        <w:t xml:space="preserve"> to $869.75 an ounce during the global financial crisis of 2007–2008. On September 5, 2011, it hit an all-time record of $1,890 an ounce, in response to worries about </w:t>
      </w:r>
      <w:r w:rsidR="00971C30">
        <w:rPr>
          <w:shd w:val="clear" w:color="auto" w:fill="FFFFFF"/>
        </w:rPr>
        <w:t>a</w:t>
      </w:r>
      <w:r w:rsidR="009248C3" w:rsidRPr="009248C3">
        <w:rPr>
          <w:shd w:val="clear" w:color="auto" w:fill="FFFFFF"/>
        </w:rPr>
        <w:t xml:space="preserve"> U.S. debt default.</w:t>
      </w:r>
      <w:r w:rsidR="009248C3" w:rsidRPr="009248C3">
        <w:rPr>
          <w:shd w:val="clear" w:color="auto" w:fill="FFFFFF"/>
          <w:vertAlign w:val="superscript"/>
        </w:rPr>
        <w:endnoteReference w:id="68"/>
      </w:r>
      <w:r w:rsidR="009248C3" w:rsidRPr="009248C3">
        <w:rPr>
          <w:shd w:val="clear" w:color="auto" w:fill="FFFFFF"/>
        </w:rPr>
        <w:t xml:space="preserve"> Gold demand fell 4 per cent in 2012, the first decline since 2009. As India was the world’s largest consumer of gold, this decline was </w:t>
      </w:r>
      <w:r w:rsidR="007D7307">
        <w:rPr>
          <w:shd w:val="clear" w:color="auto" w:fill="FFFFFF"/>
        </w:rPr>
        <w:t>in part</w:t>
      </w:r>
      <w:r w:rsidR="009248C3" w:rsidRPr="009248C3">
        <w:rPr>
          <w:shd w:val="clear" w:color="auto" w:fill="FFFFFF"/>
        </w:rPr>
        <w:t xml:space="preserve"> due to the depreciation of</w:t>
      </w:r>
      <w:r w:rsidR="009248C3" w:rsidRPr="009248C3">
        <w:t xml:space="preserve"> </w:t>
      </w:r>
      <w:r w:rsidR="00971C30">
        <w:t xml:space="preserve">the </w:t>
      </w:r>
      <w:r w:rsidR="009248C3" w:rsidRPr="009248C3">
        <w:rPr>
          <w:shd w:val="clear" w:color="auto" w:fill="FFFFFF"/>
        </w:rPr>
        <w:t xml:space="preserve">Indian rupee (mainly against </w:t>
      </w:r>
      <w:r w:rsidR="00971C30">
        <w:rPr>
          <w:shd w:val="clear" w:color="auto" w:fill="FFFFFF"/>
        </w:rPr>
        <w:t xml:space="preserve">the </w:t>
      </w:r>
      <w:r w:rsidR="009248C3" w:rsidRPr="009248C3">
        <w:rPr>
          <w:shd w:val="clear" w:color="auto" w:fill="FFFFFF"/>
        </w:rPr>
        <w:t>U</w:t>
      </w:r>
      <w:r w:rsidR="00971C30">
        <w:rPr>
          <w:shd w:val="clear" w:color="auto" w:fill="FFFFFF"/>
        </w:rPr>
        <w:t>.</w:t>
      </w:r>
      <w:r w:rsidR="009248C3" w:rsidRPr="009248C3">
        <w:rPr>
          <w:shd w:val="clear" w:color="auto" w:fill="FFFFFF"/>
        </w:rPr>
        <w:t>S</w:t>
      </w:r>
      <w:r w:rsidR="00971C30">
        <w:rPr>
          <w:shd w:val="clear" w:color="auto" w:fill="FFFFFF"/>
        </w:rPr>
        <w:t>.</w:t>
      </w:r>
      <w:r w:rsidR="009248C3" w:rsidRPr="009248C3">
        <w:rPr>
          <w:shd w:val="clear" w:color="auto" w:fill="FFFFFF"/>
        </w:rPr>
        <w:t xml:space="preserve"> dollar) and higher import tariffs, which resulted in </w:t>
      </w:r>
      <w:r w:rsidR="00971C30">
        <w:rPr>
          <w:shd w:val="clear" w:color="auto" w:fill="FFFFFF"/>
        </w:rPr>
        <w:t>a</w:t>
      </w:r>
      <w:r w:rsidR="009248C3" w:rsidRPr="009248C3">
        <w:rPr>
          <w:shd w:val="clear" w:color="auto" w:fill="FFFFFF"/>
        </w:rPr>
        <w:t xml:space="preserve"> fall of 12 per cent </w:t>
      </w:r>
      <w:r w:rsidR="00971C30">
        <w:rPr>
          <w:shd w:val="clear" w:color="auto" w:fill="FFFFFF"/>
        </w:rPr>
        <w:t>in</w:t>
      </w:r>
      <w:r w:rsidR="009248C3" w:rsidRPr="009248C3">
        <w:rPr>
          <w:shd w:val="clear" w:color="auto" w:fill="FFFFFF"/>
        </w:rPr>
        <w:t xml:space="preserve"> Indian gold demand.</w:t>
      </w:r>
      <w:r w:rsidR="009248C3" w:rsidRPr="009248C3">
        <w:rPr>
          <w:shd w:val="clear" w:color="auto" w:fill="FFFFFF"/>
          <w:vertAlign w:val="superscript"/>
        </w:rPr>
        <w:endnoteReference w:id="69"/>
      </w:r>
      <w:r w:rsidR="009248C3" w:rsidRPr="009248C3">
        <w:rPr>
          <w:shd w:val="clear" w:color="auto" w:fill="FFFFFF"/>
        </w:rPr>
        <w:t xml:space="preserve"> With the improvement of </w:t>
      </w:r>
      <w:r w:rsidR="00971C30">
        <w:rPr>
          <w:shd w:val="clear" w:color="auto" w:fill="FFFFFF"/>
        </w:rPr>
        <w:t xml:space="preserve">the </w:t>
      </w:r>
      <w:r w:rsidR="009248C3" w:rsidRPr="009248C3">
        <w:rPr>
          <w:shd w:val="clear" w:color="auto" w:fill="FFFFFF"/>
        </w:rPr>
        <w:t xml:space="preserve">U.S. economy, strengthening </w:t>
      </w:r>
      <w:r w:rsidR="00123604">
        <w:rPr>
          <w:shd w:val="clear" w:color="auto" w:fill="FFFFFF"/>
        </w:rPr>
        <w:t xml:space="preserve">of </w:t>
      </w:r>
      <w:r w:rsidR="00971C30">
        <w:rPr>
          <w:shd w:val="clear" w:color="auto" w:fill="FFFFFF"/>
        </w:rPr>
        <w:t xml:space="preserve">the </w:t>
      </w:r>
      <w:r w:rsidR="009248C3" w:rsidRPr="009248C3">
        <w:rPr>
          <w:shd w:val="clear" w:color="auto" w:fill="FFFFFF"/>
        </w:rPr>
        <w:t>U</w:t>
      </w:r>
      <w:r w:rsidR="00971C30">
        <w:rPr>
          <w:shd w:val="clear" w:color="auto" w:fill="FFFFFF"/>
        </w:rPr>
        <w:t>.</w:t>
      </w:r>
      <w:r w:rsidR="009248C3" w:rsidRPr="009248C3">
        <w:rPr>
          <w:shd w:val="clear" w:color="auto" w:fill="FFFFFF"/>
        </w:rPr>
        <w:t>S</w:t>
      </w:r>
      <w:r w:rsidR="00971C30">
        <w:rPr>
          <w:shd w:val="clear" w:color="auto" w:fill="FFFFFF"/>
        </w:rPr>
        <w:t>.</w:t>
      </w:r>
      <w:r w:rsidR="009248C3" w:rsidRPr="009248C3">
        <w:rPr>
          <w:shd w:val="clear" w:color="auto" w:fill="FFFFFF"/>
        </w:rPr>
        <w:t xml:space="preserve"> dollar, and lower global inflation, gold prices continued to fall.</w:t>
      </w:r>
      <w:r w:rsidR="009248C3" w:rsidRPr="009248C3">
        <w:t xml:space="preserve"> </w:t>
      </w:r>
      <w:r w:rsidR="00971C30">
        <w:t>The</w:t>
      </w:r>
      <w:r w:rsidR="009248C3" w:rsidRPr="009248C3">
        <w:t xml:space="preserve"> price reached the lowest average in 2015 and rose in the first half of 2016, in response to </w:t>
      </w:r>
      <w:r w:rsidR="00971C30">
        <w:t xml:space="preserve">an </w:t>
      </w:r>
      <w:r w:rsidR="009248C3" w:rsidRPr="009248C3">
        <w:t>increas</w:t>
      </w:r>
      <w:r w:rsidR="00971C30">
        <w:t>e</w:t>
      </w:r>
      <w:r w:rsidR="009248C3" w:rsidRPr="009248C3">
        <w:t xml:space="preserve"> </w:t>
      </w:r>
      <w:r w:rsidR="00971C30">
        <w:t xml:space="preserve">in </w:t>
      </w:r>
      <w:r w:rsidR="009248C3" w:rsidRPr="009248C3">
        <w:t xml:space="preserve">investors’ demand. The uncertain gold price implied continuing concerns about the prospects of </w:t>
      </w:r>
      <w:r w:rsidR="00971C30">
        <w:t xml:space="preserve">the </w:t>
      </w:r>
      <w:r w:rsidR="009248C3" w:rsidRPr="009248C3">
        <w:t>global economy and the effects from the Federal Reserve System’s delaying decisions to increase interest rates (see Exhibit 8).</w:t>
      </w:r>
      <w:r w:rsidR="009248C3" w:rsidRPr="009248C3">
        <w:rPr>
          <w:vertAlign w:val="superscript"/>
        </w:rPr>
        <w:endnoteReference w:id="70"/>
      </w:r>
      <w:r w:rsidR="009248C3" w:rsidRPr="009248C3">
        <w:t xml:space="preserve"> </w:t>
      </w:r>
    </w:p>
    <w:p w14:paraId="03FC791E" w14:textId="77777777" w:rsidR="009248C3" w:rsidRPr="009248C3" w:rsidRDefault="009248C3" w:rsidP="009248C3">
      <w:pPr>
        <w:pStyle w:val="BodyTextMain"/>
        <w:rPr>
          <w:sz w:val="20"/>
        </w:rPr>
      </w:pPr>
    </w:p>
    <w:p w14:paraId="07BF36F7" w14:textId="77777777" w:rsidR="009248C3" w:rsidRPr="009248C3" w:rsidRDefault="009248C3" w:rsidP="009248C3">
      <w:pPr>
        <w:pStyle w:val="BodyTextMain"/>
        <w:rPr>
          <w:sz w:val="20"/>
        </w:rPr>
      </w:pPr>
    </w:p>
    <w:p w14:paraId="4DAC5BA4" w14:textId="77777777" w:rsidR="009248C3" w:rsidRPr="009248C3" w:rsidRDefault="009248C3" w:rsidP="009248C3">
      <w:pPr>
        <w:pStyle w:val="Casehead1"/>
      </w:pPr>
      <w:r w:rsidRPr="009248C3">
        <w:t>NEXT STEPS</w:t>
      </w:r>
    </w:p>
    <w:p w14:paraId="68447CD1" w14:textId="77777777" w:rsidR="009248C3" w:rsidRPr="009248C3" w:rsidRDefault="009248C3" w:rsidP="009248C3">
      <w:pPr>
        <w:pStyle w:val="BodyTextMain"/>
        <w:rPr>
          <w:sz w:val="20"/>
        </w:rPr>
      </w:pPr>
    </w:p>
    <w:p w14:paraId="267559DC" w14:textId="7E62DC5E" w:rsidR="003B7EF2" w:rsidRDefault="009248C3" w:rsidP="009248C3">
      <w:pPr>
        <w:pStyle w:val="BodyTextMain"/>
      </w:pPr>
      <w:r w:rsidRPr="009248C3">
        <w:rPr>
          <w:shd w:val="clear" w:color="auto" w:fill="FFFFFF"/>
        </w:rPr>
        <w:t xml:space="preserve">In </w:t>
      </w:r>
      <w:r w:rsidRPr="009248C3">
        <w:t xml:space="preserve">February 2017, Banro’s president and </w:t>
      </w:r>
      <w:r w:rsidR="00330CD6">
        <w:t>chief executive officer,</w:t>
      </w:r>
      <w:r w:rsidRPr="009248C3">
        <w:t xml:space="preserve"> John Clarke</w:t>
      </w:r>
      <w:r w:rsidR="00330CD6">
        <w:t>,</w:t>
      </w:r>
      <w:r w:rsidRPr="009248C3">
        <w:t xml:space="preserve"> announced that the </w:t>
      </w:r>
      <w:r w:rsidR="00330CD6">
        <w:t xml:space="preserve">company’s </w:t>
      </w:r>
      <w:r w:rsidRPr="009248C3">
        <w:t>medium-term corporate strategy was directed toward incremental growth through operational improvements</w:t>
      </w:r>
      <w:r w:rsidR="008C68AA">
        <w:t>,</w:t>
      </w:r>
      <w:r w:rsidRPr="009248C3">
        <w:t xml:space="preserve"> by cost reduction and throughput expansion over a five-year horizon.</w:t>
      </w:r>
      <w:r w:rsidRPr="009248C3">
        <w:rPr>
          <w:vertAlign w:val="superscript"/>
        </w:rPr>
        <w:endnoteReference w:id="71"/>
      </w:r>
      <w:r w:rsidRPr="009248C3">
        <w:t xml:space="preserve"> With </w:t>
      </w:r>
      <w:r w:rsidR="00584566">
        <w:t>the</w:t>
      </w:r>
      <w:r w:rsidRPr="009248C3">
        <w:t xml:space="preserve"> Twangiza and Namoya mines in steady</w:t>
      </w:r>
      <w:r w:rsidR="00584566">
        <w:t>-state</w:t>
      </w:r>
      <w:r w:rsidRPr="009248C3">
        <w:t xml:space="preserve"> production, </w:t>
      </w:r>
      <w:r w:rsidRPr="009248C3">
        <w:rPr>
          <w:bCs/>
        </w:rPr>
        <w:t>Banro was</w:t>
      </w:r>
      <w:r w:rsidRPr="009248C3">
        <w:t xml:space="preserve"> still moving forward with </w:t>
      </w:r>
      <w:r w:rsidR="00584566">
        <w:t xml:space="preserve">the </w:t>
      </w:r>
      <w:r w:rsidRPr="009248C3">
        <w:t xml:space="preserve">two exploration </w:t>
      </w:r>
      <w:r w:rsidR="00584566">
        <w:t xml:space="preserve">projects at </w:t>
      </w:r>
      <w:r w:rsidRPr="009248C3">
        <w:t>Lugushwa and Kamituga, which would ultimately add to its production portfolio.</w:t>
      </w:r>
      <w:r w:rsidRPr="009248C3">
        <w:rPr>
          <w:vertAlign w:val="superscript"/>
        </w:rPr>
        <w:endnoteReference w:id="72"/>
      </w:r>
      <w:r w:rsidRPr="009248C3">
        <w:t xml:space="preserve"> Would the recapitalization enable Banro to carry out these medium-term strategic plans? What were the implications of </w:t>
      </w:r>
      <w:r w:rsidR="00584566">
        <w:t xml:space="preserve">the </w:t>
      </w:r>
      <w:r w:rsidRPr="009248C3">
        <w:t>new ownership structure on the corporate strategy? Acknowledging that its operations in DRC were exposed to various levels of political and economic uncertainties</w:t>
      </w:r>
      <w:r w:rsidR="00584566">
        <w:t>—</w:t>
      </w:r>
      <w:r w:rsidRPr="009248C3">
        <w:t>relat</w:t>
      </w:r>
      <w:r w:rsidR="00584566">
        <w:t>ed</w:t>
      </w:r>
      <w:r w:rsidRPr="009248C3">
        <w:t xml:space="preserve"> to military repression, civil disorder, and mining regulations</w:t>
      </w:r>
      <w:r w:rsidR="00584566">
        <w:t>—</w:t>
      </w:r>
      <w:r w:rsidRPr="009248C3">
        <w:t xml:space="preserve">how should Banro mitigate threats from these uncertainties, which </w:t>
      </w:r>
      <w:r w:rsidR="00584566">
        <w:t>could</w:t>
      </w:r>
      <w:r w:rsidRPr="009248C3">
        <w:t xml:space="preserve"> result in </w:t>
      </w:r>
      <w:r w:rsidR="00584566">
        <w:t xml:space="preserve">the </w:t>
      </w:r>
      <w:r w:rsidRPr="009248C3">
        <w:t>impairment or loss of part or all of its mining assets in the country?</w:t>
      </w:r>
      <w:r w:rsidRPr="009248C3">
        <w:rPr>
          <w:vertAlign w:val="superscript"/>
        </w:rPr>
        <w:endnoteReference w:id="73"/>
      </w:r>
      <w:r w:rsidRPr="009248C3">
        <w:t xml:space="preserve"> Going forward in terms of operations and financing, how could the company achieve its long-term goal of </w:t>
      </w:r>
      <w:r w:rsidR="00584566">
        <w:t xml:space="preserve">being </w:t>
      </w:r>
      <w:r w:rsidRPr="009248C3">
        <w:t>“a model of excellence in sustainability</w:t>
      </w:r>
      <w:r w:rsidR="00123604">
        <w:t>?</w:t>
      </w:r>
      <w:r w:rsidRPr="009248C3">
        <w:t>”</w:t>
      </w:r>
      <w:r w:rsidRPr="009248C3">
        <w:rPr>
          <w:vertAlign w:val="superscript"/>
        </w:rPr>
        <w:endnoteReference w:id="74"/>
      </w:r>
    </w:p>
    <w:p w14:paraId="7F051107" w14:textId="77777777" w:rsidR="00DB0706" w:rsidRDefault="00DB0706">
      <w:pPr>
        <w:spacing w:after="200" w:line="276" w:lineRule="auto"/>
        <w:rPr>
          <w:kern w:val="2"/>
        </w:rPr>
      </w:pPr>
      <w:r>
        <w:rPr>
          <w:kern w:val="2"/>
        </w:rPr>
        <w:br w:type="page"/>
      </w:r>
    </w:p>
    <w:p w14:paraId="006B3E05" w14:textId="79C39521" w:rsidR="00DB0706" w:rsidRPr="00DB0706" w:rsidRDefault="00DB0706" w:rsidP="00DB0706">
      <w:pPr>
        <w:pStyle w:val="ExhibitHeading"/>
        <w:rPr>
          <w:lang w:val="en-GB" w:eastAsia="zh-CN"/>
        </w:rPr>
      </w:pPr>
      <w:r w:rsidRPr="00DB0706">
        <w:rPr>
          <w:lang w:val="en-GB"/>
        </w:rPr>
        <w:lastRenderedPageBreak/>
        <w:t xml:space="preserve">Exhibit 1: </w:t>
      </w:r>
      <w:r w:rsidR="008C68AA">
        <w:rPr>
          <w:lang w:val="en-GB"/>
        </w:rPr>
        <w:t>BANRO CORPORATION</w:t>
      </w:r>
      <w:r w:rsidR="00553DD6">
        <w:rPr>
          <w:lang w:val="en-GB"/>
        </w:rPr>
        <w:t xml:space="preserve"> </w:t>
      </w:r>
      <w:r w:rsidRPr="00DB0706">
        <w:rPr>
          <w:lang w:val="en-GB"/>
        </w:rPr>
        <w:t>Mineral Resources as at December 31, 2015</w:t>
      </w:r>
    </w:p>
    <w:p w14:paraId="2D36FEB0" w14:textId="77777777" w:rsidR="00DB0706" w:rsidRPr="00DB0706" w:rsidRDefault="00DB0706" w:rsidP="00DB0706">
      <w:pPr>
        <w:pStyle w:val="BodyTextMain"/>
        <w:rPr>
          <w:sz w:val="20"/>
        </w:rPr>
      </w:pPr>
    </w:p>
    <w:tbl>
      <w:tblPr>
        <w:tblStyle w:val="TableGrid"/>
        <w:tblW w:w="8520" w:type="dxa"/>
        <w:jc w:val="center"/>
        <w:tblLayout w:type="fixed"/>
        <w:tblLook w:val="04A0" w:firstRow="1" w:lastRow="0" w:firstColumn="1" w:lastColumn="0" w:noHBand="0" w:noVBand="1"/>
      </w:tblPr>
      <w:tblGrid>
        <w:gridCol w:w="3984"/>
        <w:gridCol w:w="2280"/>
        <w:gridCol w:w="2256"/>
      </w:tblGrid>
      <w:tr w:rsidR="00DB0706" w:rsidRPr="00DB0706" w14:paraId="2B514BE5" w14:textId="77777777" w:rsidTr="000512F8">
        <w:trPr>
          <w:trHeight w:val="304"/>
          <w:jc w:val="center"/>
        </w:trPr>
        <w:tc>
          <w:tcPr>
            <w:tcW w:w="3984" w:type="dxa"/>
            <w:noWrap/>
            <w:hideMark/>
          </w:tcPr>
          <w:p w14:paraId="31D57A9C" w14:textId="77777777" w:rsidR="00DB0706" w:rsidRPr="00DB0706" w:rsidRDefault="00DB0706" w:rsidP="00605E9D">
            <w:pPr>
              <w:pStyle w:val="ExhibitText"/>
              <w:jc w:val="center"/>
              <w:rPr>
                <w:rFonts w:eastAsia="SimSun"/>
                <w:b/>
              </w:rPr>
            </w:pPr>
            <w:r w:rsidRPr="00DB0706">
              <w:rPr>
                <w:rFonts w:eastAsia="SimSun"/>
                <w:b/>
              </w:rPr>
              <w:t>Mine (Category)</w:t>
            </w:r>
          </w:p>
        </w:tc>
        <w:tc>
          <w:tcPr>
            <w:tcW w:w="2280" w:type="dxa"/>
            <w:noWrap/>
            <w:hideMark/>
          </w:tcPr>
          <w:p w14:paraId="65CD7B63" w14:textId="77777777" w:rsidR="00DB0706" w:rsidRPr="00DB0706" w:rsidRDefault="00DB0706" w:rsidP="00DB0706">
            <w:pPr>
              <w:pStyle w:val="ExhibitText"/>
              <w:jc w:val="center"/>
              <w:rPr>
                <w:rFonts w:eastAsia="SimSun"/>
                <w:b/>
              </w:rPr>
            </w:pPr>
            <w:r w:rsidRPr="00DB0706">
              <w:rPr>
                <w:rFonts w:eastAsia="SimSun"/>
                <w:b/>
              </w:rPr>
              <w:t>Mineral Reserves (Million Tonnes)</w:t>
            </w:r>
          </w:p>
        </w:tc>
        <w:tc>
          <w:tcPr>
            <w:tcW w:w="2256" w:type="dxa"/>
            <w:noWrap/>
            <w:hideMark/>
          </w:tcPr>
          <w:p w14:paraId="17037CD1" w14:textId="77777777" w:rsidR="00DB0706" w:rsidRPr="00DB0706" w:rsidRDefault="00DB0706" w:rsidP="00DB0706">
            <w:pPr>
              <w:pStyle w:val="ExhibitText"/>
              <w:jc w:val="center"/>
              <w:rPr>
                <w:rFonts w:eastAsia="SimSun"/>
                <w:b/>
              </w:rPr>
            </w:pPr>
            <w:r w:rsidRPr="00DB0706">
              <w:rPr>
                <w:rFonts w:eastAsia="SimSun"/>
                <w:b/>
              </w:rPr>
              <w:t>Gold Reserves</w:t>
            </w:r>
          </w:p>
          <w:p w14:paraId="7BD812AC" w14:textId="77777777" w:rsidR="00DB0706" w:rsidRPr="00DB0706" w:rsidRDefault="00DB0706" w:rsidP="00DB0706">
            <w:pPr>
              <w:pStyle w:val="ExhibitText"/>
              <w:jc w:val="center"/>
              <w:rPr>
                <w:rFonts w:eastAsia="SimSun"/>
                <w:b/>
              </w:rPr>
            </w:pPr>
            <w:r w:rsidRPr="00DB0706">
              <w:rPr>
                <w:rFonts w:eastAsia="SimSun"/>
                <w:b/>
              </w:rPr>
              <w:t>(Million Ounces)</w:t>
            </w:r>
          </w:p>
        </w:tc>
      </w:tr>
      <w:tr w:rsidR="00DB0706" w:rsidRPr="00DB0706" w14:paraId="7E44770B" w14:textId="77777777" w:rsidTr="000512F8">
        <w:trPr>
          <w:trHeight w:val="98"/>
          <w:jc w:val="center"/>
        </w:trPr>
        <w:tc>
          <w:tcPr>
            <w:tcW w:w="3984" w:type="dxa"/>
            <w:noWrap/>
            <w:hideMark/>
          </w:tcPr>
          <w:p w14:paraId="68D949F5" w14:textId="77777777" w:rsidR="00DB0706" w:rsidRPr="00DB0706" w:rsidRDefault="00DB0706" w:rsidP="00DB0706">
            <w:pPr>
              <w:pStyle w:val="ExhibitText"/>
              <w:rPr>
                <w:rFonts w:eastAsia="SimSun"/>
                <w:b/>
              </w:rPr>
            </w:pPr>
            <w:r w:rsidRPr="00DB0706">
              <w:rPr>
                <w:rFonts w:eastAsia="SimSun"/>
                <w:b/>
              </w:rPr>
              <w:t xml:space="preserve">Twangiza (Oxide) </w:t>
            </w:r>
          </w:p>
        </w:tc>
        <w:tc>
          <w:tcPr>
            <w:tcW w:w="2280" w:type="dxa"/>
            <w:noWrap/>
          </w:tcPr>
          <w:p w14:paraId="72F73DED" w14:textId="77777777" w:rsidR="00DB0706" w:rsidRPr="00DB0706" w:rsidRDefault="00DB0706" w:rsidP="00DB0706">
            <w:pPr>
              <w:pStyle w:val="ExhibitText"/>
              <w:jc w:val="right"/>
              <w:rPr>
                <w:rFonts w:ascii="SimSun" w:eastAsia="SimSun" w:hAnsi="SimSun"/>
                <w:b/>
              </w:rPr>
            </w:pPr>
          </w:p>
        </w:tc>
        <w:tc>
          <w:tcPr>
            <w:tcW w:w="2256" w:type="dxa"/>
            <w:noWrap/>
            <w:hideMark/>
          </w:tcPr>
          <w:p w14:paraId="120FABF4" w14:textId="77777777" w:rsidR="00DB0706" w:rsidRPr="00DB0706" w:rsidRDefault="00DB0706" w:rsidP="00DB0706">
            <w:pPr>
              <w:pStyle w:val="ExhibitText"/>
              <w:jc w:val="right"/>
              <w:rPr>
                <w:rFonts w:ascii="SimSun" w:eastAsia="SimSun" w:hAnsi="SimSun"/>
                <w:b/>
              </w:rPr>
            </w:pPr>
          </w:p>
        </w:tc>
      </w:tr>
      <w:tr w:rsidR="00DB0706" w:rsidRPr="00DB0706" w14:paraId="5FEA1457" w14:textId="77777777" w:rsidTr="000512F8">
        <w:trPr>
          <w:trHeight w:val="222"/>
          <w:jc w:val="center"/>
        </w:trPr>
        <w:tc>
          <w:tcPr>
            <w:tcW w:w="3984" w:type="dxa"/>
            <w:noWrap/>
            <w:hideMark/>
          </w:tcPr>
          <w:p w14:paraId="2397E52C" w14:textId="77777777" w:rsidR="00DB0706" w:rsidRPr="00DB0706" w:rsidRDefault="00DB0706" w:rsidP="00DB0706">
            <w:pPr>
              <w:pStyle w:val="ExhibitText"/>
              <w:rPr>
                <w:rFonts w:eastAsia="SimSun"/>
              </w:rPr>
            </w:pPr>
            <w:r w:rsidRPr="00DB0706">
              <w:rPr>
                <w:rFonts w:eastAsia="SimSun"/>
              </w:rPr>
              <w:t xml:space="preserve">Measured </w:t>
            </w:r>
          </w:p>
        </w:tc>
        <w:tc>
          <w:tcPr>
            <w:tcW w:w="2280" w:type="dxa"/>
            <w:noWrap/>
            <w:hideMark/>
          </w:tcPr>
          <w:p w14:paraId="153F8C59" w14:textId="77777777" w:rsidR="00DB0706" w:rsidRPr="00DB0706" w:rsidRDefault="00DB0706" w:rsidP="00DB0706">
            <w:pPr>
              <w:pStyle w:val="ExhibitText"/>
              <w:jc w:val="right"/>
              <w:rPr>
                <w:rFonts w:eastAsia="SimSun"/>
              </w:rPr>
            </w:pPr>
            <w:r w:rsidRPr="00DB0706">
              <w:rPr>
                <w:rFonts w:eastAsia="SimSun"/>
              </w:rPr>
              <w:t>2.49</w:t>
            </w:r>
          </w:p>
        </w:tc>
        <w:tc>
          <w:tcPr>
            <w:tcW w:w="2256" w:type="dxa"/>
            <w:noWrap/>
            <w:hideMark/>
          </w:tcPr>
          <w:p w14:paraId="41F7F11F" w14:textId="77777777" w:rsidR="00DB0706" w:rsidRPr="00DB0706" w:rsidRDefault="00DB0706" w:rsidP="00DB0706">
            <w:pPr>
              <w:pStyle w:val="ExhibitText"/>
              <w:jc w:val="right"/>
              <w:rPr>
                <w:rFonts w:eastAsia="SimSun"/>
              </w:rPr>
            </w:pPr>
            <w:r w:rsidRPr="00DB0706">
              <w:rPr>
                <w:rFonts w:eastAsia="SimSun"/>
              </w:rPr>
              <w:t>0.16</w:t>
            </w:r>
          </w:p>
        </w:tc>
      </w:tr>
      <w:tr w:rsidR="00DB0706" w:rsidRPr="00DB0706" w14:paraId="72A33083" w14:textId="77777777" w:rsidTr="000512F8">
        <w:trPr>
          <w:trHeight w:val="60"/>
          <w:jc w:val="center"/>
        </w:trPr>
        <w:tc>
          <w:tcPr>
            <w:tcW w:w="3984" w:type="dxa"/>
            <w:noWrap/>
            <w:hideMark/>
          </w:tcPr>
          <w:p w14:paraId="321B44E4" w14:textId="77777777" w:rsidR="00DB0706" w:rsidRPr="00DB0706" w:rsidRDefault="00DB0706" w:rsidP="00DB0706">
            <w:pPr>
              <w:pStyle w:val="ExhibitText"/>
              <w:rPr>
                <w:rFonts w:eastAsia="SimSun"/>
              </w:rPr>
            </w:pPr>
            <w:r w:rsidRPr="00DB0706">
              <w:rPr>
                <w:rFonts w:eastAsia="SimSun"/>
              </w:rPr>
              <w:t xml:space="preserve">Indicated </w:t>
            </w:r>
          </w:p>
        </w:tc>
        <w:tc>
          <w:tcPr>
            <w:tcW w:w="2280" w:type="dxa"/>
            <w:noWrap/>
            <w:hideMark/>
          </w:tcPr>
          <w:p w14:paraId="5B2EBF42" w14:textId="77777777" w:rsidR="00DB0706" w:rsidRPr="00DB0706" w:rsidRDefault="00DB0706" w:rsidP="00DB0706">
            <w:pPr>
              <w:pStyle w:val="ExhibitText"/>
              <w:jc w:val="right"/>
              <w:rPr>
                <w:rFonts w:eastAsia="SimSun"/>
              </w:rPr>
            </w:pPr>
            <w:r w:rsidRPr="00DB0706">
              <w:rPr>
                <w:rFonts w:eastAsia="SimSun"/>
              </w:rPr>
              <w:t>8.57</w:t>
            </w:r>
          </w:p>
        </w:tc>
        <w:tc>
          <w:tcPr>
            <w:tcW w:w="2256" w:type="dxa"/>
            <w:noWrap/>
            <w:hideMark/>
          </w:tcPr>
          <w:p w14:paraId="2B6C3E6A" w14:textId="77777777" w:rsidR="00DB0706" w:rsidRPr="00DB0706" w:rsidRDefault="00DB0706" w:rsidP="00DB0706">
            <w:pPr>
              <w:pStyle w:val="ExhibitText"/>
              <w:jc w:val="right"/>
              <w:rPr>
                <w:rFonts w:eastAsia="SimSun"/>
              </w:rPr>
            </w:pPr>
            <w:r w:rsidRPr="00DB0706">
              <w:rPr>
                <w:rFonts w:eastAsia="SimSun"/>
              </w:rPr>
              <w:t>0.51</w:t>
            </w:r>
          </w:p>
        </w:tc>
      </w:tr>
      <w:tr w:rsidR="00DB0706" w:rsidRPr="00DB0706" w14:paraId="0D69EE69" w14:textId="77777777" w:rsidTr="000512F8">
        <w:trPr>
          <w:trHeight w:val="60"/>
          <w:jc w:val="center"/>
        </w:trPr>
        <w:tc>
          <w:tcPr>
            <w:tcW w:w="3984" w:type="dxa"/>
            <w:noWrap/>
            <w:hideMark/>
          </w:tcPr>
          <w:p w14:paraId="798900C8" w14:textId="77777777" w:rsidR="00DB0706" w:rsidRPr="00DB0706" w:rsidRDefault="00DB0706" w:rsidP="00DB0706">
            <w:pPr>
              <w:pStyle w:val="ExhibitText"/>
              <w:rPr>
                <w:rFonts w:eastAsia="SimSun"/>
              </w:rPr>
            </w:pPr>
            <w:r w:rsidRPr="00DB0706">
              <w:rPr>
                <w:rFonts w:eastAsia="SimSun"/>
              </w:rPr>
              <w:t xml:space="preserve">Inferred </w:t>
            </w:r>
          </w:p>
        </w:tc>
        <w:tc>
          <w:tcPr>
            <w:tcW w:w="2280" w:type="dxa"/>
            <w:noWrap/>
            <w:hideMark/>
          </w:tcPr>
          <w:p w14:paraId="17EFE7C7" w14:textId="77777777" w:rsidR="00DB0706" w:rsidRPr="00DB0706" w:rsidRDefault="00DB0706" w:rsidP="00DB0706">
            <w:pPr>
              <w:pStyle w:val="ExhibitText"/>
              <w:jc w:val="right"/>
              <w:rPr>
                <w:rFonts w:eastAsia="SimSun"/>
              </w:rPr>
            </w:pPr>
            <w:r w:rsidRPr="00DB0706">
              <w:rPr>
                <w:rFonts w:eastAsia="SimSun"/>
              </w:rPr>
              <w:t>1.56</w:t>
            </w:r>
          </w:p>
        </w:tc>
        <w:tc>
          <w:tcPr>
            <w:tcW w:w="2256" w:type="dxa"/>
            <w:noWrap/>
            <w:hideMark/>
          </w:tcPr>
          <w:p w14:paraId="699B7F27" w14:textId="77777777" w:rsidR="00DB0706" w:rsidRPr="00DB0706" w:rsidRDefault="00DB0706" w:rsidP="00DB0706">
            <w:pPr>
              <w:pStyle w:val="ExhibitText"/>
              <w:jc w:val="right"/>
              <w:rPr>
                <w:rFonts w:eastAsia="SimSun"/>
              </w:rPr>
            </w:pPr>
            <w:r w:rsidRPr="00DB0706">
              <w:rPr>
                <w:rFonts w:eastAsia="SimSun"/>
              </w:rPr>
              <w:t>0.06</w:t>
            </w:r>
          </w:p>
        </w:tc>
      </w:tr>
      <w:tr w:rsidR="00DB0706" w:rsidRPr="00DB0706" w14:paraId="40AC357F" w14:textId="77777777" w:rsidTr="000512F8">
        <w:trPr>
          <w:trHeight w:val="40"/>
          <w:jc w:val="center"/>
        </w:trPr>
        <w:tc>
          <w:tcPr>
            <w:tcW w:w="3984" w:type="dxa"/>
            <w:noWrap/>
            <w:hideMark/>
          </w:tcPr>
          <w:p w14:paraId="33EBF38F" w14:textId="31AD0C2B" w:rsidR="00DB0706" w:rsidRPr="00DB0706" w:rsidRDefault="00DB0706" w:rsidP="00DB0706">
            <w:pPr>
              <w:pStyle w:val="ExhibitText"/>
              <w:rPr>
                <w:rFonts w:eastAsia="SimSun"/>
                <w:b/>
              </w:rPr>
            </w:pPr>
            <w:r w:rsidRPr="00DB0706">
              <w:rPr>
                <w:rFonts w:eastAsia="SimSun"/>
                <w:b/>
              </w:rPr>
              <w:t xml:space="preserve">Twangiza (Transition </w:t>
            </w:r>
            <w:r w:rsidR="00123604">
              <w:rPr>
                <w:rFonts w:eastAsia="SimSun"/>
                <w:b/>
              </w:rPr>
              <w:t>and</w:t>
            </w:r>
            <w:r w:rsidRPr="00DB0706">
              <w:rPr>
                <w:rFonts w:eastAsia="SimSun"/>
                <w:b/>
              </w:rPr>
              <w:t xml:space="preserve"> Fresh) </w:t>
            </w:r>
          </w:p>
        </w:tc>
        <w:tc>
          <w:tcPr>
            <w:tcW w:w="2280" w:type="dxa"/>
            <w:noWrap/>
            <w:hideMark/>
          </w:tcPr>
          <w:p w14:paraId="7DEB7E60" w14:textId="77777777" w:rsidR="00DB0706" w:rsidRPr="00DB0706" w:rsidRDefault="00DB0706" w:rsidP="00DB0706">
            <w:pPr>
              <w:pStyle w:val="ExhibitText"/>
              <w:jc w:val="right"/>
              <w:rPr>
                <w:rFonts w:ascii="SimSun" w:eastAsia="SimSun" w:hAnsi="SimSun"/>
                <w:b/>
              </w:rPr>
            </w:pPr>
          </w:p>
        </w:tc>
        <w:tc>
          <w:tcPr>
            <w:tcW w:w="2256" w:type="dxa"/>
            <w:noWrap/>
          </w:tcPr>
          <w:p w14:paraId="4E5C2960" w14:textId="77777777" w:rsidR="00DB0706" w:rsidRPr="00DB0706" w:rsidRDefault="00DB0706" w:rsidP="00DB0706">
            <w:pPr>
              <w:pStyle w:val="ExhibitText"/>
              <w:jc w:val="right"/>
              <w:rPr>
                <w:rFonts w:ascii="SimSun" w:eastAsia="SimSun" w:hAnsi="SimSun"/>
                <w:b/>
              </w:rPr>
            </w:pPr>
          </w:p>
        </w:tc>
      </w:tr>
      <w:tr w:rsidR="00DB0706" w:rsidRPr="00DB0706" w14:paraId="3EAA8F84" w14:textId="77777777" w:rsidTr="000512F8">
        <w:trPr>
          <w:trHeight w:val="60"/>
          <w:jc w:val="center"/>
        </w:trPr>
        <w:tc>
          <w:tcPr>
            <w:tcW w:w="3984" w:type="dxa"/>
            <w:noWrap/>
            <w:hideMark/>
          </w:tcPr>
          <w:p w14:paraId="298D1903" w14:textId="77777777" w:rsidR="00DB0706" w:rsidRPr="00DB0706" w:rsidRDefault="00DB0706" w:rsidP="00DB0706">
            <w:pPr>
              <w:pStyle w:val="ExhibitText"/>
              <w:rPr>
                <w:rFonts w:eastAsia="SimSun"/>
              </w:rPr>
            </w:pPr>
            <w:r w:rsidRPr="00DB0706">
              <w:rPr>
                <w:rFonts w:eastAsia="SimSun"/>
              </w:rPr>
              <w:t xml:space="preserve">Measured </w:t>
            </w:r>
          </w:p>
        </w:tc>
        <w:tc>
          <w:tcPr>
            <w:tcW w:w="2280" w:type="dxa"/>
            <w:noWrap/>
            <w:hideMark/>
          </w:tcPr>
          <w:p w14:paraId="250553B2" w14:textId="77777777" w:rsidR="00DB0706" w:rsidRPr="00DB0706" w:rsidRDefault="00DB0706" w:rsidP="00DB0706">
            <w:pPr>
              <w:pStyle w:val="ExhibitText"/>
              <w:jc w:val="right"/>
              <w:rPr>
                <w:rFonts w:eastAsia="SimSun"/>
              </w:rPr>
            </w:pPr>
            <w:r w:rsidRPr="00DB0706">
              <w:rPr>
                <w:rFonts w:eastAsia="SimSun"/>
              </w:rPr>
              <w:t>3.11</w:t>
            </w:r>
          </w:p>
        </w:tc>
        <w:tc>
          <w:tcPr>
            <w:tcW w:w="2256" w:type="dxa"/>
            <w:noWrap/>
            <w:hideMark/>
          </w:tcPr>
          <w:p w14:paraId="586891B4" w14:textId="77777777" w:rsidR="00DB0706" w:rsidRPr="00DB0706" w:rsidRDefault="00DB0706" w:rsidP="00DB0706">
            <w:pPr>
              <w:pStyle w:val="ExhibitText"/>
              <w:jc w:val="right"/>
              <w:rPr>
                <w:rFonts w:eastAsia="SimSun"/>
              </w:rPr>
            </w:pPr>
            <w:r w:rsidRPr="00DB0706">
              <w:rPr>
                <w:rFonts w:eastAsia="SimSun"/>
              </w:rPr>
              <w:t>0.21</w:t>
            </w:r>
          </w:p>
        </w:tc>
      </w:tr>
      <w:tr w:rsidR="00DB0706" w:rsidRPr="00DB0706" w14:paraId="582A5B24" w14:textId="77777777" w:rsidTr="000512F8">
        <w:trPr>
          <w:trHeight w:val="60"/>
          <w:jc w:val="center"/>
        </w:trPr>
        <w:tc>
          <w:tcPr>
            <w:tcW w:w="3984" w:type="dxa"/>
            <w:noWrap/>
            <w:hideMark/>
          </w:tcPr>
          <w:p w14:paraId="30508EB9" w14:textId="77777777" w:rsidR="00DB0706" w:rsidRPr="00DB0706" w:rsidRDefault="00DB0706" w:rsidP="00DB0706">
            <w:pPr>
              <w:pStyle w:val="ExhibitText"/>
              <w:rPr>
                <w:rFonts w:eastAsia="SimSun"/>
              </w:rPr>
            </w:pPr>
            <w:r w:rsidRPr="00DB0706">
              <w:rPr>
                <w:rFonts w:eastAsia="SimSun"/>
              </w:rPr>
              <w:t xml:space="preserve">Indicated </w:t>
            </w:r>
          </w:p>
        </w:tc>
        <w:tc>
          <w:tcPr>
            <w:tcW w:w="2280" w:type="dxa"/>
            <w:noWrap/>
            <w:hideMark/>
          </w:tcPr>
          <w:p w14:paraId="1D802BE5" w14:textId="77777777" w:rsidR="00DB0706" w:rsidRPr="00DB0706" w:rsidRDefault="00DB0706" w:rsidP="00DB0706">
            <w:pPr>
              <w:pStyle w:val="ExhibitText"/>
              <w:jc w:val="right"/>
              <w:rPr>
                <w:rFonts w:eastAsia="SimSun"/>
              </w:rPr>
            </w:pPr>
            <w:r w:rsidRPr="00DB0706">
              <w:rPr>
                <w:rFonts w:eastAsia="SimSun"/>
              </w:rPr>
              <w:t>85.18</w:t>
            </w:r>
          </w:p>
        </w:tc>
        <w:tc>
          <w:tcPr>
            <w:tcW w:w="2256" w:type="dxa"/>
            <w:noWrap/>
            <w:hideMark/>
          </w:tcPr>
          <w:p w14:paraId="5920BE1E" w14:textId="77777777" w:rsidR="00DB0706" w:rsidRPr="00DB0706" w:rsidRDefault="00DB0706" w:rsidP="00DB0706">
            <w:pPr>
              <w:pStyle w:val="ExhibitText"/>
              <w:jc w:val="right"/>
              <w:rPr>
                <w:rFonts w:eastAsia="SimSun"/>
              </w:rPr>
            </w:pPr>
            <w:r w:rsidRPr="00DB0706">
              <w:rPr>
                <w:rFonts w:eastAsia="SimSun"/>
              </w:rPr>
              <w:t>3.81</w:t>
            </w:r>
          </w:p>
        </w:tc>
      </w:tr>
      <w:tr w:rsidR="00DB0706" w:rsidRPr="00DB0706" w14:paraId="57043028" w14:textId="77777777" w:rsidTr="000512F8">
        <w:trPr>
          <w:trHeight w:val="60"/>
          <w:jc w:val="center"/>
        </w:trPr>
        <w:tc>
          <w:tcPr>
            <w:tcW w:w="3984" w:type="dxa"/>
            <w:noWrap/>
            <w:hideMark/>
          </w:tcPr>
          <w:p w14:paraId="6BF7508A" w14:textId="77777777" w:rsidR="00DB0706" w:rsidRPr="00DB0706" w:rsidRDefault="00DB0706" w:rsidP="00DB0706">
            <w:pPr>
              <w:pStyle w:val="ExhibitText"/>
              <w:rPr>
                <w:rFonts w:eastAsia="SimSun"/>
              </w:rPr>
            </w:pPr>
            <w:r w:rsidRPr="00DB0706">
              <w:rPr>
                <w:rFonts w:eastAsia="SimSun"/>
              </w:rPr>
              <w:t xml:space="preserve">Inferred </w:t>
            </w:r>
          </w:p>
        </w:tc>
        <w:tc>
          <w:tcPr>
            <w:tcW w:w="2280" w:type="dxa"/>
            <w:noWrap/>
            <w:hideMark/>
          </w:tcPr>
          <w:p w14:paraId="09D99D85" w14:textId="77777777" w:rsidR="00DB0706" w:rsidRPr="00DB0706" w:rsidRDefault="00DB0706" w:rsidP="00DB0706">
            <w:pPr>
              <w:pStyle w:val="ExhibitText"/>
              <w:jc w:val="right"/>
              <w:rPr>
                <w:rFonts w:eastAsia="SimSun"/>
              </w:rPr>
            </w:pPr>
            <w:r w:rsidRPr="00DB0706">
              <w:rPr>
                <w:rFonts w:eastAsia="SimSun"/>
              </w:rPr>
              <w:t>8.27</w:t>
            </w:r>
          </w:p>
        </w:tc>
        <w:tc>
          <w:tcPr>
            <w:tcW w:w="2256" w:type="dxa"/>
            <w:noWrap/>
            <w:hideMark/>
          </w:tcPr>
          <w:p w14:paraId="7C7CB3A1" w14:textId="77777777" w:rsidR="00DB0706" w:rsidRPr="00DB0706" w:rsidRDefault="00DB0706" w:rsidP="00DB0706">
            <w:pPr>
              <w:pStyle w:val="ExhibitText"/>
              <w:jc w:val="right"/>
              <w:rPr>
                <w:rFonts w:eastAsia="SimSun"/>
              </w:rPr>
            </w:pPr>
            <w:r w:rsidRPr="00DB0706">
              <w:rPr>
                <w:rFonts w:eastAsia="SimSun"/>
              </w:rPr>
              <w:t>0.31</w:t>
            </w:r>
          </w:p>
        </w:tc>
      </w:tr>
      <w:tr w:rsidR="00DB0706" w:rsidRPr="00DB0706" w14:paraId="2A4FFDFA" w14:textId="77777777" w:rsidTr="000512F8">
        <w:trPr>
          <w:trHeight w:val="40"/>
          <w:jc w:val="center"/>
        </w:trPr>
        <w:tc>
          <w:tcPr>
            <w:tcW w:w="3984" w:type="dxa"/>
            <w:noWrap/>
            <w:hideMark/>
          </w:tcPr>
          <w:p w14:paraId="56B8545C" w14:textId="77777777" w:rsidR="00DB0706" w:rsidRPr="00DB0706" w:rsidRDefault="00DB0706" w:rsidP="00DB0706">
            <w:pPr>
              <w:pStyle w:val="ExhibitText"/>
              <w:rPr>
                <w:rFonts w:eastAsia="SimSun"/>
                <w:b/>
              </w:rPr>
            </w:pPr>
            <w:r w:rsidRPr="00DB0706">
              <w:rPr>
                <w:rFonts w:eastAsia="SimSun"/>
                <w:b/>
              </w:rPr>
              <w:t xml:space="preserve">Namoya (Oxide and Free-milling) </w:t>
            </w:r>
          </w:p>
        </w:tc>
        <w:tc>
          <w:tcPr>
            <w:tcW w:w="2280" w:type="dxa"/>
            <w:noWrap/>
          </w:tcPr>
          <w:p w14:paraId="7889217D" w14:textId="77777777" w:rsidR="00DB0706" w:rsidRPr="00DB0706" w:rsidRDefault="00DB0706" w:rsidP="00DB0706">
            <w:pPr>
              <w:pStyle w:val="ExhibitText"/>
              <w:jc w:val="right"/>
              <w:rPr>
                <w:rFonts w:ascii="SimSun" w:eastAsia="SimSun" w:hAnsi="SimSun"/>
                <w:b/>
              </w:rPr>
            </w:pPr>
          </w:p>
        </w:tc>
        <w:tc>
          <w:tcPr>
            <w:tcW w:w="2256" w:type="dxa"/>
            <w:noWrap/>
          </w:tcPr>
          <w:p w14:paraId="3FD6B0F8" w14:textId="77777777" w:rsidR="00DB0706" w:rsidRPr="00DB0706" w:rsidRDefault="00DB0706" w:rsidP="00DB0706">
            <w:pPr>
              <w:pStyle w:val="ExhibitText"/>
              <w:jc w:val="right"/>
              <w:rPr>
                <w:rFonts w:ascii="SimSun" w:eastAsia="SimSun" w:hAnsi="SimSun"/>
                <w:b/>
              </w:rPr>
            </w:pPr>
          </w:p>
        </w:tc>
      </w:tr>
      <w:tr w:rsidR="00DB0706" w:rsidRPr="00DB0706" w14:paraId="2C50596A" w14:textId="77777777" w:rsidTr="000512F8">
        <w:trPr>
          <w:trHeight w:val="60"/>
          <w:jc w:val="center"/>
        </w:trPr>
        <w:tc>
          <w:tcPr>
            <w:tcW w:w="3984" w:type="dxa"/>
            <w:noWrap/>
            <w:hideMark/>
          </w:tcPr>
          <w:p w14:paraId="59CF182A" w14:textId="77777777" w:rsidR="00DB0706" w:rsidRPr="00DB0706" w:rsidRDefault="00DB0706" w:rsidP="00DB0706">
            <w:pPr>
              <w:pStyle w:val="ExhibitText"/>
              <w:rPr>
                <w:rFonts w:eastAsia="SimSun"/>
              </w:rPr>
            </w:pPr>
            <w:r w:rsidRPr="00DB0706">
              <w:rPr>
                <w:rFonts w:eastAsia="SimSun"/>
              </w:rPr>
              <w:t xml:space="preserve">Measured </w:t>
            </w:r>
          </w:p>
        </w:tc>
        <w:tc>
          <w:tcPr>
            <w:tcW w:w="2280" w:type="dxa"/>
            <w:noWrap/>
            <w:hideMark/>
          </w:tcPr>
          <w:p w14:paraId="78DEF3DF" w14:textId="77777777" w:rsidR="00DB0706" w:rsidRPr="00DB0706" w:rsidRDefault="00DB0706" w:rsidP="00DB0706">
            <w:pPr>
              <w:pStyle w:val="ExhibitText"/>
              <w:jc w:val="right"/>
              <w:rPr>
                <w:rFonts w:eastAsia="SimSun"/>
              </w:rPr>
            </w:pPr>
            <w:r w:rsidRPr="00DB0706">
              <w:rPr>
                <w:rFonts w:eastAsia="SimSun"/>
              </w:rPr>
              <w:t>20.44</w:t>
            </w:r>
          </w:p>
        </w:tc>
        <w:tc>
          <w:tcPr>
            <w:tcW w:w="2256" w:type="dxa"/>
            <w:noWrap/>
            <w:hideMark/>
          </w:tcPr>
          <w:p w14:paraId="1C3EB271" w14:textId="77777777" w:rsidR="00DB0706" w:rsidRPr="00DB0706" w:rsidRDefault="00DB0706" w:rsidP="00DB0706">
            <w:pPr>
              <w:pStyle w:val="ExhibitText"/>
              <w:jc w:val="right"/>
              <w:rPr>
                <w:rFonts w:eastAsia="SimSun"/>
              </w:rPr>
            </w:pPr>
            <w:r w:rsidRPr="00DB0706">
              <w:rPr>
                <w:rFonts w:eastAsia="SimSun"/>
              </w:rPr>
              <w:t>1.33</w:t>
            </w:r>
          </w:p>
        </w:tc>
      </w:tr>
      <w:tr w:rsidR="00DB0706" w:rsidRPr="00DB0706" w14:paraId="0D1DCD62" w14:textId="77777777" w:rsidTr="000512F8">
        <w:trPr>
          <w:trHeight w:val="60"/>
          <w:jc w:val="center"/>
        </w:trPr>
        <w:tc>
          <w:tcPr>
            <w:tcW w:w="3984" w:type="dxa"/>
            <w:noWrap/>
            <w:hideMark/>
          </w:tcPr>
          <w:p w14:paraId="21831279" w14:textId="77777777" w:rsidR="00DB0706" w:rsidRPr="00DB0706" w:rsidRDefault="00DB0706" w:rsidP="00DB0706">
            <w:pPr>
              <w:pStyle w:val="ExhibitText"/>
              <w:rPr>
                <w:rFonts w:eastAsia="SimSun"/>
              </w:rPr>
            </w:pPr>
            <w:r w:rsidRPr="00DB0706">
              <w:rPr>
                <w:rFonts w:eastAsia="SimSun"/>
              </w:rPr>
              <w:t xml:space="preserve">Indicated </w:t>
            </w:r>
          </w:p>
        </w:tc>
        <w:tc>
          <w:tcPr>
            <w:tcW w:w="2280" w:type="dxa"/>
            <w:noWrap/>
            <w:hideMark/>
          </w:tcPr>
          <w:p w14:paraId="3C687311" w14:textId="77777777" w:rsidR="00DB0706" w:rsidRPr="00DB0706" w:rsidRDefault="00DB0706" w:rsidP="00DB0706">
            <w:pPr>
              <w:pStyle w:val="ExhibitText"/>
              <w:jc w:val="right"/>
              <w:rPr>
                <w:rFonts w:eastAsia="SimSun"/>
              </w:rPr>
            </w:pPr>
            <w:r w:rsidRPr="00DB0706">
              <w:rPr>
                <w:rFonts w:eastAsia="SimSun"/>
              </w:rPr>
              <w:t>5.24</w:t>
            </w:r>
          </w:p>
        </w:tc>
        <w:tc>
          <w:tcPr>
            <w:tcW w:w="2256" w:type="dxa"/>
            <w:noWrap/>
            <w:hideMark/>
          </w:tcPr>
          <w:p w14:paraId="0E13151E" w14:textId="77777777" w:rsidR="00DB0706" w:rsidRPr="00DB0706" w:rsidRDefault="00DB0706" w:rsidP="00DB0706">
            <w:pPr>
              <w:pStyle w:val="ExhibitText"/>
              <w:jc w:val="right"/>
              <w:rPr>
                <w:rFonts w:eastAsia="SimSun"/>
              </w:rPr>
            </w:pPr>
            <w:r w:rsidRPr="00DB0706">
              <w:rPr>
                <w:rFonts w:eastAsia="SimSun"/>
              </w:rPr>
              <w:t>0.29</w:t>
            </w:r>
          </w:p>
        </w:tc>
      </w:tr>
      <w:tr w:rsidR="00DB0706" w:rsidRPr="00DB0706" w14:paraId="5F76328D" w14:textId="77777777" w:rsidTr="000512F8">
        <w:trPr>
          <w:trHeight w:val="60"/>
          <w:jc w:val="center"/>
        </w:trPr>
        <w:tc>
          <w:tcPr>
            <w:tcW w:w="3984" w:type="dxa"/>
            <w:noWrap/>
            <w:hideMark/>
          </w:tcPr>
          <w:p w14:paraId="4B5CE5E4" w14:textId="77777777" w:rsidR="00DB0706" w:rsidRPr="00DB0706" w:rsidRDefault="00DB0706" w:rsidP="00DB0706">
            <w:pPr>
              <w:pStyle w:val="ExhibitText"/>
              <w:rPr>
                <w:rFonts w:eastAsia="SimSun"/>
              </w:rPr>
            </w:pPr>
            <w:r w:rsidRPr="00DB0706">
              <w:rPr>
                <w:rFonts w:eastAsia="SimSun"/>
              </w:rPr>
              <w:t xml:space="preserve">Inferred </w:t>
            </w:r>
          </w:p>
        </w:tc>
        <w:tc>
          <w:tcPr>
            <w:tcW w:w="2280" w:type="dxa"/>
            <w:noWrap/>
            <w:hideMark/>
          </w:tcPr>
          <w:p w14:paraId="45EC4BFF" w14:textId="77777777" w:rsidR="00DB0706" w:rsidRPr="00DB0706" w:rsidRDefault="00DB0706" w:rsidP="00DB0706">
            <w:pPr>
              <w:pStyle w:val="ExhibitText"/>
              <w:jc w:val="right"/>
              <w:rPr>
                <w:rFonts w:eastAsia="SimSun"/>
              </w:rPr>
            </w:pPr>
            <w:r w:rsidRPr="00DB0706">
              <w:rPr>
                <w:rFonts w:eastAsia="SimSun"/>
              </w:rPr>
              <w:t>5.03</w:t>
            </w:r>
          </w:p>
        </w:tc>
        <w:tc>
          <w:tcPr>
            <w:tcW w:w="2256" w:type="dxa"/>
            <w:noWrap/>
            <w:hideMark/>
          </w:tcPr>
          <w:p w14:paraId="152C4C42" w14:textId="77777777" w:rsidR="00DB0706" w:rsidRPr="00DB0706" w:rsidRDefault="00DB0706" w:rsidP="00DB0706">
            <w:pPr>
              <w:pStyle w:val="ExhibitText"/>
              <w:jc w:val="right"/>
              <w:rPr>
                <w:rFonts w:eastAsia="SimSun"/>
              </w:rPr>
            </w:pPr>
            <w:r w:rsidRPr="00DB0706">
              <w:rPr>
                <w:rFonts w:eastAsia="SimSun"/>
              </w:rPr>
              <w:t>0.26</w:t>
            </w:r>
          </w:p>
        </w:tc>
      </w:tr>
      <w:tr w:rsidR="00DB0706" w:rsidRPr="00DB0706" w14:paraId="577DE3F9" w14:textId="77777777" w:rsidTr="000512F8">
        <w:trPr>
          <w:trHeight w:val="40"/>
          <w:jc w:val="center"/>
        </w:trPr>
        <w:tc>
          <w:tcPr>
            <w:tcW w:w="3984" w:type="dxa"/>
            <w:noWrap/>
            <w:hideMark/>
          </w:tcPr>
          <w:p w14:paraId="547E3C5D" w14:textId="77777777" w:rsidR="00DB0706" w:rsidRPr="00DB0706" w:rsidRDefault="00DB0706" w:rsidP="00DB0706">
            <w:pPr>
              <w:pStyle w:val="ExhibitText"/>
              <w:rPr>
                <w:rFonts w:eastAsia="SimSun"/>
                <w:b/>
              </w:rPr>
            </w:pPr>
            <w:r w:rsidRPr="00DB0706">
              <w:rPr>
                <w:rFonts w:eastAsia="SimSun"/>
                <w:b/>
              </w:rPr>
              <w:t xml:space="preserve">Lugushwa (Oxide) </w:t>
            </w:r>
          </w:p>
        </w:tc>
        <w:tc>
          <w:tcPr>
            <w:tcW w:w="2280" w:type="dxa"/>
            <w:noWrap/>
          </w:tcPr>
          <w:p w14:paraId="09DEA045" w14:textId="77777777" w:rsidR="00DB0706" w:rsidRPr="00DB0706" w:rsidRDefault="00DB0706" w:rsidP="00DB0706">
            <w:pPr>
              <w:pStyle w:val="ExhibitText"/>
              <w:jc w:val="right"/>
              <w:rPr>
                <w:rFonts w:ascii="SimSun" w:eastAsia="SimSun" w:hAnsi="SimSun"/>
                <w:b/>
              </w:rPr>
            </w:pPr>
          </w:p>
        </w:tc>
        <w:tc>
          <w:tcPr>
            <w:tcW w:w="2256" w:type="dxa"/>
            <w:noWrap/>
          </w:tcPr>
          <w:p w14:paraId="3CB71A6F" w14:textId="77777777" w:rsidR="00DB0706" w:rsidRPr="00DB0706" w:rsidRDefault="00DB0706" w:rsidP="00DB0706">
            <w:pPr>
              <w:pStyle w:val="ExhibitText"/>
              <w:jc w:val="right"/>
              <w:rPr>
                <w:rFonts w:ascii="SimSun" w:eastAsia="SimSun" w:hAnsi="SimSun"/>
                <w:b/>
              </w:rPr>
            </w:pPr>
          </w:p>
        </w:tc>
      </w:tr>
      <w:tr w:rsidR="00DB0706" w:rsidRPr="00DB0706" w14:paraId="7DC43ACD" w14:textId="77777777" w:rsidTr="000512F8">
        <w:trPr>
          <w:trHeight w:val="60"/>
          <w:jc w:val="center"/>
        </w:trPr>
        <w:tc>
          <w:tcPr>
            <w:tcW w:w="3984" w:type="dxa"/>
            <w:noWrap/>
            <w:hideMark/>
          </w:tcPr>
          <w:p w14:paraId="139FA485" w14:textId="77777777" w:rsidR="00DB0706" w:rsidRPr="00DB0706" w:rsidRDefault="00DB0706" w:rsidP="00DB0706">
            <w:pPr>
              <w:pStyle w:val="ExhibitText"/>
              <w:rPr>
                <w:rFonts w:eastAsia="SimSun"/>
              </w:rPr>
            </w:pPr>
            <w:r w:rsidRPr="00DB0706">
              <w:rPr>
                <w:rFonts w:eastAsia="SimSun"/>
              </w:rPr>
              <w:t xml:space="preserve">Indicated </w:t>
            </w:r>
          </w:p>
        </w:tc>
        <w:tc>
          <w:tcPr>
            <w:tcW w:w="2280" w:type="dxa"/>
            <w:noWrap/>
            <w:hideMark/>
          </w:tcPr>
          <w:p w14:paraId="6E774CB8" w14:textId="77777777" w:rsidR="00DB0706" w:rsidRPr="00DB0706" w:rsidRDefault="00DB0706" w:rsidP="00DB0706">
            <w:pPr>
              <w:pStyle w:val="ExhibitText"/>
              <w:jc w:val="right"/>
              <w:rPr>
                <w:rFonts w:eastAsia="SimSun"/>
              </w:rPr>
            </w:pPr>
            <w:r w:rsidRPr="00DB0706">
              <w:rPr>
                <w:rFonts w:eastAsia="SimSun"/>
              </w:rPr>
              <w:t>16.91</w:t>
            </w:r>
          </w:p>
        </w:tc>
        <w:tc>
          <w:tcPr>
            <w:tcW w:w="2256" w:type="dxa"/>
            <w:noWrap/>
            <w:hideMark/>
          </w:tcPr>
          <w:p w14:paraId="71C716D7" w14:textId="77777777" w:rsidR="00DB0706" w:rsidRPr="00DB0706" w:rsidRDefault="00DB0706" w:rsidP="00DB0706">
            <w:pPr>
              <w:pStyle w:val="ExhibitText"/>
              <w:jc w:val="right"/>
              <w:rPr>
                <w:rFonts w:eastAsia="SimSun"/>
              </w:rPr>
            </w:pPr>
            <w:r w:rsidRPr="00DB0706">
              <w:rPr>
                <w:rFonts w:eastAsia="SimSun"/>
              </w:rPr>
              <w:t>0.73</w:t>
            </w:r>
          </w:p>
        </w:tc>
      </w:tr>
      <w:tr w:rsidR="00DB0706" w:rsidRPr="00DB0706" w14:paraId="1806824D" w14:textId="77777777" w:rsidTr="000512F8">
        <w:trPr>
          <w:trHeight w:val="60"/>
          <w:jc w:val="center"/>
        </w:trPr>
        <w:tc>
          <w:tcPr>
            <w:tcW w:w="3984" w:type="dxa"/>
            <w:noWrap/>
            <w:hideMark/>
          </w:tcPr>
          <w:p w14:paraId="6C10BEAF" w14:textId="77777777" w:rsidR="00DB0706" w:rsidRPr="00DB0706" w:rsidRDefault="00DB0706" w:rsidP="00DB0706">
            <w:pPr>
              <w:pStyle w:val="ExhibitText"/>
              <w:rPr>
                <w:rFonts w:eastAsia="SimSun"/>
              </w:rPr>
            </w:pPr>
            <w:r w:rsidRPr="00DB0706">
              <w:rPr>
                <w:rFonts w:eastAsia="SimSun"/>
              </w:rPr>
              <w:t xml:space="preserve">Inferred </w:t>
            </w:r>
          </w:p>
        </w:tc>
        <w:tc>
          <w:tcPr>
            <w:tcW w:w="2280" w:type="dxa"/>
            <w:noWrap/>
            <w:hideMark/>
          </w:tcPr>
          <w:p w14:paraId="59703549" w14:textId="77777777" w:rsidR="00DB0706" w:rsidRPr="00DB0706" w:rsidRDefault="00DB0706" w:rsidP="00DB0706">
            <w:pPr>
              <w:pStyle w:val="ExhibitText"/>
              <w:jc w:val="right"/>
              <w:rPr>
                <w:rFonts w:eastAsia="SimSun"/>
              </w:rPr>
            </w:pPr>
            <w:r w:rsidRPr="00DB0706">
              <w:rPr>
                <w:rFonts w:eastAsia="SimSun"/>
              </w:rPr>
              <w:t>6.17</w:t>
            </w:r>
          </w:p>
        </w:tc>
        <w:tc>
          <w:tcPr>
            <w:tcW w:w="2256" w:type="dxa"/>
            <w:noWrap/>
            <w:hideMark/>
          </w:tcPr>
          <w:p w14:paraId="40B91925" w14:textId="77777777" w:rsidR="00DB0706" w:rsidRPr="00DB0706" w:rsidRDefault="00DB0706" w:rsidP="00DB0706">
            <w:pPr>
              <w:pStyle w:val="ExhibitText"/>
              <w:jc w:val="right"/>
              <w:rPr>
                <w:rFonts w:eastAsia="SimSun"/>
              </w:rPr>
            </w:pPr>
            <w:r w:rsidRPr="00DB0706">
              <w:rPr>
                <w:rFonts w:eastAsia="SimSun"/>
              </w:rPr>
              <w:t>0.31</w:t>
            </w:r>
          </w:p>
        </w:tc>
      </w:tr>
      <w:tr w:rsidR="00DB0706" w:rsidRPr="00DB0706" w14:paraId="4B0B1FF6" w14:textId="77777777" w:rsidTr="000512F8">
        <w:trPr>
          <w:trHeight w:val="40"/>
          <w:jc w:val="center"/>
        </w:trPr>
        <w:tc>
          <w:tcPr>
            <w:tcW w:w="3984" w:type="dxa"/>
            <w:noWrap/>
            <w:hideMark/>
          </w:tcPr>
          <w:p w14:paraId="4CC17FFD" w14:textId="77777777" w:rsidR="00DB0706" w:rsidRPr="00DB0706" w:rsidRDefault="00DB0706" w:rsidP="00DB0706">
            <w:pPr>
              <w:pStyle w:val="ExhibitText"/>
              <w:rPr>
                <w:rFonts w:eastAsia="SimSun"/>
                <w:b/>
              </w:rPr>
            </w:pPr>
            <w:r w:rsidRPr="00DB0706">
              <w:rPr>
                <w:rFonts w:eastAsia="SimSun"/>
                <w:b/>
              </w:rPr>
              <w:t xml:space="preserve">Lugushwa (Transition and Fresh) </w:t>
            </w:r>
          </w:p>
        </w:tc>
        <w:tc>
          <w:tcPr>
            <w:tcW w:w="2280" w:type="dxa"/>
            <w:noWrap/>
          </w:tcPr>
          <w:p w14:paraId="3657F9B5" w14:textId="77777777" w:rsidR="00DB0706" w:rsidRPr="00DB0706" w:rsidRDefault="00DB0706" w:rsidP="00DB0706">
            <w:pPr>
              <w:pStyle w:val="ExhibitText"/>
              <w:jc w:val="right"/>
              <w:rPr>
                <w:rFonts w:ascii="SimSun" w:eastAsia="SimSun" w:hAnsi="SimSun"/>
                <w:b/>
              </w:rPr>
            </w:pPr>
          </w:p>
        </w:tc>
        <w:tc>
          <w:tcPr>
            <w:tcW w:w="2256" w:type="dxa"/>
            <w:noWrap/>
          </w:tcPr>
          <w:p w14:paraId="681364B3" w14:textId="77777777" w:rsidR="00DB0706" w:rsidRPr="00DB0706" w:rsidRDefault="00DB0706" w:rsidP="00DB0706">
            <w:pPr>
              <w:pStyle w:val="ExhibitText"/>
              <w:jc w:val="right"/>
              <w:rPr>
                <w:rFonts w:ascii="SimSun" w:eastAsia="SimSun" w:hAnsi="SimSun"/>
                <w:b/>
              </w:rPr>
            </w:pPr>
          </w:p>
        </w:tc>
      </w:tr>
      <w:tr w:rsidR="00DB0706" w:rsidRPr="00DB0706" w14:paraId="6B267812" w14:textId="77777777" w:rsidTr="000512F8">
        <w:trPr>
          <w:trHeight w:val="60"/>
          <w:jc w:val="center"/>
        </w:trPr>
        <w:tc>
          <w:tcPr>
            <w:tcW w:w="3984" w:type="dxa"/>
            <w:noWrap/>
            <w:hideMark/>
          </w:tcPr>
          <w:p w14:paraId="04D600A7" w14:textId="77777777" w:rsidR="00DB0706" w:rsidRPr="00DB0706" w:rsidRDefault="00DB0706" w:rsidP="00DB0706">
            <w:pPr>
              <w:pStyle w:val="ExhibitText"/>
              <w:rPr>
                <w:rFonts w:eastAsia="SimSun"/>
              </w:rPr>
            </w:pPr>
            <w:r w:rsidRPr="00DB0706">
              <w:rPr>
                <w:rFonts w:eastAsia="SimSun"/>
              </w:rPr>
              <w:t xml:space="preserve">Inferred </w:t>
            </w:r>
          </w:p>
        </w:tc>
        <w:tc>
          <w:tcPr>
            <w:tcW w:w="2280" w:type="dxa"/>
            <w:noWrap/>
            <w:hideMark/>
          </w:tcPr>
          <w:p w14:paraId="20E3C9CE" w14:textId="77777777" w:rsidR="00DB0706" w:rsidRPr="00DB0706" w:rsidRDefault="00DB0706" w:rsidP="00DB0706">
            <w:pPr>
              <w:pStyle w:val="ExhibitText"/>
              <w:jc w:val="right"/>
              <w:rPr>
                <w:rFonts w:eastAsia="SimSun"/>
              </w:rPr>
            </w:pPr>
            <w:r w:rsidRPr="00DB0706">
              <w:rPr>
                <w:rFonts w:eastAsia="SimSun"/>
              </w:rPr>
              <w:t>65.01</w:t>
            </w:r>
          </w:p>
        </w:tc>
        <w:tc>
          <w:tcPr>
            <w:tcW w:w="2256" w:type="dxa"/>
            <w:noWrap/>
            <w:hideMark/>
          </w:tcPr>
          <w:p w14:paraId="5DC1B415" w14:textId="77777777" w:rsidR="00DB0706" w:rsidRPr="00DB0706" w:rsidRDefault="00DB0706" w:rsidP="00DB0706">
            <w:pPr>
              <w:pStyle w:val="ExhibitText"/>
              <w:jc w:val="right"/>
              <w:rPr>
                <w:rFonts w:eastAsia="SimSun"/>
              </w:rPr>
            </w:pPr>
            <w:r w:rsidRPr="00DB0706">
              <w:rPr>
                <w:rFonts w:eastAsia="SimSun"/>
              </w:rPr>
              <w:t>3.22</w:t>
            </w:r>
          </w:p>
        </w:tc>
      </w:tr>
      <w:tr w:rsidR="00DB0706" w:rsidRPr="00DB0706" w14:paraId="04BE9009" w14:textId="77777777" w:rsidTr="000512F8">
        <w:trPr>
          <w:trHeight w:val="40"/>
          <w:jc w:val="center"/>
        </w:trPr>
        <w:tc>
          <w:tcPr>
            <w:tcW w:w="3984" w:type="dxa"/>
            <w:noWrap/>
            <w:hideMark/>
          </w:tcPr>
          <w:p w14:paraId="3DD940B4" w14:textId="77777777" w:rsidR="00DB0706" w:rsidRPr="00DB0706" w:rsidRDefault="00DB0706" w:rsidP="00DB0706">
            <w:pPr>
              <w:pStyle w:val="ExhibitText"/>
              <w:rPr>
                <w:rFonts w:eastAsia="SimSun"/>
                <w:b/>
              </w:rPr>
            </w:pPr>
            <w:r w:rsidRPr="00DB0706">
              <w:rPr>
                <w:rFonts w:eastAsia="SimSun"/>
                <w:b/>
              </w:rPr>
              <w:t xml:space="preserve">Kamituga </w:t>
            </w:r>
          </w:p>
        </w:tc>
        <w:tc>
          <w:tcPr>
            <w:tcW w:w="2280" w:type="dxa"/>
            <w:noWrap/>
          </w:tcPr>
          <w:p w14:paraId="5293FE19" w14:textId="77777777" w:rsidR="00DB0706" w:rsidRPr="00DB0706" w:rsidRDefault="00DB0706" w:rsidP="00DB0706">
            <w:pPr>
              <w:pStyle w:val="ExhibitText"/>
              <w:jc w:val="right"/>
              <w:rPr>
                <w:rFonts w:ascii="SimSun" w:eastAsia="SimSun" w:hAnsi="SimSun"/>
                <w:b/>
              </w:rPr>
            </w:pPr>
          </w:p>
        </w:tc>
        <w:tc>
          <w:tcPr>
            <w:tcW w:w="2256" w:type="dxa"/>
            <w:noWrap/>
          </w:tcPr>
          <w:p w14:paraId="1287F494" w14:textId="77777777" w:rsidR="00DB0706" w:rsidRPr="00DB0706" w:rsidRDefault="00DB0706" w:rsidP="00DB0706">
            <w:pPr>
              <w:pStyle w:val="ExhibitText"/>
              <w:jc w:val="right"/>
              <w:rPr>
                <w:rFonts w:ascii="SimSun" w:eastAsia="SimSun" w:hAnsi="SimSun"/>
                <w:b/>
              </w:rPr>
            </w:pPr>
          </w:p>
        </w:tc>
      </w:tr>
      <w:tr w:rsidR="00DB0706" w:rsidRPr="00DB0706" w14:paraId="78B42D72" w14:textId="77777777" w:rsidTr="000512F8">
        <w:trPr>
          <w:trHeight w:val="60"/>
          <w:jc w:val="center"/>
        </w:trPr>
        <w:tc>
          <w:tcPr>
            <w:tcW w:w="3984" w:type="dxa"/>
            <w:noWrap/>
            <w:hideMark/>
          </w:tcPr>
          <w:p w14:paraId="1DA85A93" w14:textId="77777777" w:rsidR="00DB0706" w:rsidRPr="00DB0706" w:rsidRDefault="00DB0706" w:rsidP="00DB0706">
            <w:pPr>
              <w:pStyle w:val="ExhibitText"/>
              <w:rPr>
                <w:rFonts w:eastAsia="SimSun"/>
              </w:rPr>
            </w:pPr>
            <w:r w:rsidRPr="00DB0706">
              <w:rPr>
                <w:rFonts w:eastAsia="SimSun"/>
              </w:rPr>
              <w:t xml:space="preserve">Inferred (Surface) </w:t>
            </w:r>
          </w:p>
        </w:tc>
        <w:tc>
          <w:tcPr>
            <w:tcW w:w="2280" w:type="dxa"/>
            <w:noWrap/>
            <w:hideMark/>
          </w:tcPr>
          <w:p w14:paraId="5EA780CF" w14:textId="77777777" w:rsidR="00DB0706" w:rsidRPr="00DB0706" w:rsidRDefault="00DB0706" w:rsidP="00DB0706">
            <w:pPr>
              <w:pStyle w:val="ExhibitText"/>
              <w:jc w:val="right"/>
              <w:rPr>
                <w:rFonts w:eastAsia="SimSun"/>
              </w:rPr>
            </w:pPr>
            <w:r w:rsidRPr="00DB0706">
              <w:rPr>
                <w:rFonts w:eastAsia="SimSun"/>
              </w:rPr>
              <w:t>4.14</w:t>
            </w:r>
          </w:p>
        </w:tc>
        <w:tc>
          <w:tcPr>
            <w:tcW w:w="2256" w:type="dxa"/>
            <w:noWrap/>
            <w:hideMark/>
          </w:tcPr>
          <w:p w14:paraId="5B056302" w14:textId="77777777" w:rsidR="00DB0706" w:rsidRPr="00DB0706" w:rsidRDefault="00DB0706" w:rsidP="00DB0706">
            <w:pPr>
              <w:pStyle w:val="ExhibitText"/>
              <w:jc w:val="right"/>
              <w:rPr>
                <w:rFonts w:eastAsia="SimSun"/>
              </w:rPr>
            </w:pPr>
            <w:r w:rsidRPr="00DB0706">
              <w:rPr>
                <w:rFonts w:eastAsia="SimSun"/>
              </w:rPr>
              <w:t>0.32</w:t>
            </w:r>
          </w:p>
        </w:tc>
      </w:tr>
      <w:tr w:rsidR="00DB0706" w:rsidRPr="00DB0706" w14:paraId="0FA4F717" w14:textId="77777777" w:rsidTr="000512F8">
        <w:trPr>
          <w:trHeight w:val="60"/>
          <w:jc w:val="center"/>
        </w:trPr>
        <w:tc>
          <w:tcPr>
            <w:tcW w:w="3984" w:type="dxa"/>
            <w:noWrap/>
            <w:hideMark/>
          </w:tcPr>
          <w:p w14:paraId="334079EF" w14:textId="77777777" w:rsidR="00DB0706" w:rsidRPr="00DB0706" w:rsidRDefault="00DB0706" w:rsidP="00DB0706">
            <w:pPr>
              <w:pStyle w:val="ExhibitText"/>
              <w:rPr>
                <w:rFonts w:eastAsia="SimSun"/>
              </w:rPr>
            </w:pPr>
            <w:r w:rsidRPr="00DB0706">
              <w:rPr>
                <w:rFonts w:eastAsia="SimSun"/>
              </w:rPr>
              <w:t xml:space="preserve">Inferred (Underground) </w:t>
            </w:r>
          </w:p>
        </w:tc>
        <w:tc>
          <w:tcPr>
            <w:tcW w:w="2280" w:type="dxa"/>
            <w:noWrap/>
            <w:hideMark/>
          </w:tcPr>
          <w:p w14:paraId="4B9281B1" w14:textId="77777777" w:rsidR="00DB0706" w:rsidRPr="00DB0706" w:rsidRDefault="00DB0706" w:rsidP="00DB0706">
            <w:pPr>
              <w:pStyle w:val="ExhibitText"/>
              <w:jc w:val="right"/>
              <w:rPr>
                <w:rFonts w:eastAsia="SimSun"/>
              </w:rPr>
            </w:pPr>
            <w:r w:rsidRPr="00DB0706">
              <w:rPr>
                <w:rFonts w:eastAsia="SimSun"/>
              </w:rPr>
              <w:t>3.12</w:t>
            </w:r>
          </w:p>
        </w:tc>
        <w:tc>
          <w:tcPr>
            <w:tcW w:w="2256" w:type="dxa"/>
            <w:noWrap/>
            <w:hideMark/>
          </w:tcPr>
          <w:p w14:paraId="4E864229" w14:textId="77777777" w:rsidR="00DB0706" w:rsidRPr="00DB0706" w:rsidRDefault="00DB0706" w:rsidP="00DB0706">
            <w:pPr>
              <w:pStyle w:val="ExhibitText"/>
              <w:jc w:val="right"/>
              <w:rPr>
                <w:rFonts w:eastAsia="SimSun"/>
              </w:rPr>
            </w:pPr>
            <w:r w:rsidRPr="00DB0706">
              <w:rPr>
                <w:rFonts w:eastAsia="SimSun"/>
              </w:rPr>
              <w:t>0.6</w:t>
            </w:r>
          </w:p>
        </w:tc>
      </w:tr>
      <w:tr w:rsidR="00DB0706" w:rsidRPr="00DB0706" w14:paraId="49C48210" w14:textId="77777777" w:rsidTr="000512F8">
        <w:trPr>
          <w:trHeight w:val="168"/>
          <w:jc w:val="center"/>
        </w:trPr>
        <w:tc>
          <w:tcPr>
            <w:tcW w:w="3984" w:type="dxa"/>
            <w:noWrap/>
            <w:hideMark/>
          </w:tcPr>
          <w:p w14:paraId="46A7D8D0" w14:textId="77777777" w:rsidR="00DB0706" w:rsidRPr="00DB0706" w:rsidRDefault="00DB0706" w:rsidP="00DB0706">
            <w:pPr>
              <w:pStyle w:val="ExhibitText"/>
              <w:rPr>
                <w:rFonts w:eastAsia="SimSun"/>
                <w:b/>
              </w:rPr>
            </w:pPr>
            <w:r w:rsidRPr="00DB0706">
              <w:rPr>
                <w:rFonts w:eastAsia="SimSun"/>
                <w:b/>
              </w:rPr>
              <w:t>Total Measured and Indicated Quantity</w:t>
            </w:r>
          </w:p>
        </w:tc>
        <w:tc>
          <w:tcPr>
            <w:tcW w:w="2280" w:type="dxa"/>
            <w:noWrap/>
            <w:hideMark/>
          </w:tcPr>
          <w:p w14:paraId="30358AE4" w14:textId="77777777" w:rsidR="00DB0706" w:rsidRPr="00DB0706" w:rsidRDefault="00DB0706" w:rsidP="00DB0706">
            <w:pPr>
              <w:pStyle w:val="ExhibitText"/>
              <w:jc w:val="right"/>
              <w:rPr>
                <w:rFonts w:eastAsia="SimSun"/>
                <w:b/>
              </w:rPr>
            </w:pPr>
            <w:r w:rsidRPr="00DB0706">
              <w:rPr>
                <w:rFonts w:eastAsia="SimSun"/>
                <w:b/>
              </w:rPr>
              <w:t>141.94</w:t>
            </w:r>
          </w:p>
        </w:tc>
        <w:tc>
          <w:tcPr>
            <w:tcW w:w="2256" w:type="dxa"/>
            <w:noWrap/>
            <w:hideMark/>
          </w:tcPr>
          <w:p w14:paraId="111E12D0" w14:textId="77777777" w:rsidR="00DB0706" w:rsidRPr="00DB0706" w:rsidRDefault="00DB0706" w:rsidP="00DB0706">
            <w:pPr>
              <w:pStyle w:val="ExhibitText"/>
              <w:jc w:val="right"/>
              <w:rPr>
                <w:rFonts w:eastAsia="SimSun"/>
                <w:b/>
              </w:rPr>
            </w:pPr>
            <w:r w:rsidRPr="00DB0706">
              <w:rPr>
                <w:rFonts w:eastAsia="SimSun"/>
                <w:b/>
              </w:rPr>
              <w:t>7.04</w:t>
            </w:r>
          </w:p>
        </w:tc>
      </w:tr>
      <w:tr w:rsidR="00DB0706" w:rsidRPr="00DB0706" w14:paraId="1C0A131C" w14:textId="77777777" w:rsidTr="000512F8">
        <w:trPr>
          <w:trHeight w:val="40"/>
          <w:jc w:val="center"/>
        </w:trPr>
        <w:tc>
          <w:tcPr>
            <w:tcW w:w="3984" w:type="dxa"/>
            <w:noWrap/>
            <w:hideMark/>
          </w:tcPr>
          <w:p w14:paraId="12BE8B1D" w14:textId="77777777" w:rsidR="00DB0706" w:rsidRPr="00DB0706" w:rsidRDefault="00DB0706" w:rsidP="00DB0706">
            <w:pPr>
              <w:pStyle w:val="ExhibitText"/>
              <w:rPr>
                <w:rFonts w:eastAsia="SimSun"/>
                <w:b/>
              </w:rPr>
            </w:pPr>
            <w:r w:rsidRPr="00DB0706">
              <w:rPr>
                <w:rFonts w:eastAsia="SimSun"/>
                <w:b/>
              </w:rPr>
              <w:t>Total Inferred Quantity</w:t>
            </w:r>
          </w:p>
        </w:tc>
        <w:tc>
          <w:tcPr>
            <w:tcW w:w="2280" w:type="dxa"/>
            <w:noWrap/>
            <w:hideMark/>
          </w:tcPr>
          <w:p w14:paraId="32EB8F35" w14:textId="77777777" w:rsidR="00DB0706" w:rsidRPr="00DB0706" w:rsidRDefault="00DB0706" w:rsidP="00DB0706">
            <w:pPr>
              <w:pStyle w:val="ExhibitText"/>
              <w:jc w:val="right"/>
              <w:rPr>
                <w:rFonts w:eastAsia="SimSun"/>
                <w:b/>
              </w:rPr>
            </w:pPr>
            <w:r w:rsidRPr="00DB0706">
              <w:rPr>
                <w:rFonts w:eastAsia="SimSun"/>
                <w:b/>
              </w:rPr>
              <w:t>93.29</w:t>
            </w:r>
          </w:p>
        </w:tc>
        <w:tc>
          <w:tcPr>
            <w:tcW w:w="2256" w:type="dxa"/>
            <w:noWrap/>
            <w:hideMark/>
          </w:tcPr>
          <w:p w14:paraId="11E1BC86" w14:textId="77777777" w:rsidR="00DB0706" w:rsidRPr="00DB0706" w:rsidRDefault="00DB0706" w:rsidP="00DB0706">
            <w:pPr>
              <w:pStyle w:val="ExhibitText"/>
              <w:jc w:val="right"/>
              <w:rPr>
                <w:rFonts w:eastAsia="SimSun"/>
                <w:b/>
              </w:rPr>
            </w:pPr>
            <w:r w:rsidRPr="00DB0706">
              <w:rPr>
                <w:rFonts w:eastAsia="SimSun"/>
                <w:b/>
              </w:rPr>
              <w:t>5.08</w:t>
            </w:r>
          </w:p>
        </w:tc>
      </w:tr>
    </w:tbl>
    <w:p w14:paraId="498BD603" w14:textId="77777777" w:rsidR="00DB0706" w:rsidRPr="00DB0706" w:rsidRDefault="00DB0706" w:rsidP="00DB0706">
      <w:pPr>
        <w:jc w:val="both"/>
        <w:rPr>
          <w:kern w:val="2"/>
          <w:sz w:val="22"/>
          <w:szCs w:val="22"/>
        </w:rPr>
      </w:pPr>
    </w:p>
    <w:p w14:paraId="149E1DD0" w14:textId="537FB976" w:rsidR="00DB0706" w:rsidRPr="00DB0706" w:rsidRDefault="00DB0706" w:rsidP="00DB0706">
      <w:pPr>
        <w:jc w:val="both"/>
        <w:rPr>
          <w:rFonts w:ascii="Arial" w:hAnsi="Arial" w:cs="Arial"/>
          <w:kern w:val="2"/>
          <w:sz w:val="17"/>
          <w:szCs w:val="17"/>
        </w:rPr>
      </w:pPr>
      <w:r w:rsidRPr="00DB0706">
        <w:rPr>
          <w:rFonts w:ascii="Arial" w:hAnsi="Arial" w:cs="Arial"/>
          <w:kern w:val="2"/>
          <w:sz w:val="17"/>
          <w:szCs w:val="17"/>
        </w:rPr>
        <w:t xml:space="preserve">Source: Created by the case authors based on </w:t>
      </w:r>
      <w:r w:rsidR="008C68AA">
        <w:rPr>
          <w:rFonts w:ascii="Arial" w:hAnsi="Arial" w:cs="Arial"/>
          <w:kern w:val="2"/>
          <w:sz w:val="17"/>
          <w:szCs w:val="17"/>
        </w:rPr>
        <w:t xml:space="preserve">Banro Corporation, </w:t>
      </w:r>
      <w:r w:rsidRPr="00605E9D">
        <w:rPr>
          <w:rFonts w:ascii="Arial" w:hAnsi="Arial" w:cs="Arial"/>
          <w:i/>
          <w:kern w:val="2"/>
          <w:sz w:val="17"/>
          <w:szCs w:val="17"/>
        </w:rPr>
        <w:t>Corporate Presentation February 2017</w:t>
      </w:r>
      <w:r w:rsidRPr="00DB0706">
        <w:rPr>
          <w:rFonts w:ascii="Arial" w:hAnsi="Arial" w:cs="Arial"/>
          <w:kern w:val="2"/>
          <w:sz w:val="17"/>
          <w:szCs w:val="17"/>
        </w:rPr>
        <w:t xml:space="preserve">, </w:t>
      </w:r>
      <w:r w:rsidR="008C68AA">
        <w:rPr>
          <w:rFonts w:ascii="Arial" w:hAnsi="Arial" w:cs="Arial"/>
          <w:kern w:val="2"/>
          <w:sz w:val="17"/>
          <w:szCs w:val="17"/>
        </w:rPr>
        <w:t xml:space="preserve">29, February 2017, </w:t>
      </w:r>
      <w:r w:rsidRPr="00DB0706">
        <w:rPr>
          <w:rFonts w:ascii="Arial" w:hAnsi="Arial" w:cs="Arial"/>
          <w:kern w:val="2"/>
          <w:sz w:val="17"/>
          <w:szCs w:val="17"/>
        </w:rPr>
        <w:t>accessed November 14, 2017,</w:t>
      </w:r>
      <w:r w:rsidRPr="00DB0706">
        <w:rPr>
          <w:kern w:val="2"/>
          <w:sz w:val="22"/>
          <w:szCs w:val="22"/>
        </w:rPr>
        <w:t xml:space="preserve"> </w:t>
      </w:r>
      <w:r w:rsidRPr="00DB0706">
        <w:rPr>
          <w:rFonts w:ascii="Arial" w:hAnsi="Arial" w:cs="Arial"/>
          <w:kern w:val="2"/>
          <w:sz w:val="17"/>
          <w:szCs w:val="17"/>
        </w:rPr>
        <w:t>https://www.banro.com/assets/pdf/2017-02-23-cp.pdf.</w:t>
      </w:r>
    </w:p>
    <w:p w14:paraId="10EA7D8C" w14:textId="77777777" w:rsidR="00DB0706" w:rsidRPr="00DB0706" w:rsidRDefault="00DB0706" w:rsidP="00DB0706">
      <w:pPr>
        <w:jc w:val="both"/>
        <w:rPr>
          <w:rFonts w:ascii="Arial" w:hAnsi="Arial" w:cs="Arial"/>
          <w:kern w:val="2"/>
          <w:sz w:val="17"/>
          <w:szCs w:val="17"/>
        </w:rPr>
      </w:pPr>
    </w:p>
    <w:p w14:paraId="0EDF1431" w14:textId="77777777" w:rsidR="00DB0706" w:rsidRPr="00DB0706" w:rsidRDefault="00DB0706" w:rsidP="00DB0706">
      <w:pPr>
        <w:jc w:val="both"/>
        <w:rPr>
          <w:rFonts w:ascii="Arial" w:hAnsi="Arial" w:cs="Arial"/>
          <w:kern w:val="2"/>
          <w:sz w:val="17"/>
          <w:szCs w:val="17"/>
        </w:rPr>
      </w:pPr>
    </w:p>
    <w:p w14:paraId="3DF65605" w14:textId="65FABCF4" w:rsidR="00553DD6" w:rsidRDefault="00DB0706" w:rsidP="00DB0706">
      <w:pPr>
        <w:pStyle w:val="ExhibitHeading"/>
        <w:rPr>
          <w:lang w:val="en-GB"/>
        </w:rPr>
      </w:pPr>
      <w:r w:rsidRPr="00DB0706">
        <w:rPr>
          <w:lang w:val="en-GB"/>
        </w:rPr>
        <w:t xml:space="preserve">Exhibit 2: </w:t>
      </w:r>
      <w:r w:rsidRPr="00DB0706">
        <w:t>ESTIMATED CAPITAL EXPENDITURE FOR NAMOYA PHASE 1 PROJECT</w:t>
      </w:r>
      <w:r w:rsidRPr="00DB0706">
        <w:rPr>
          <w:lang w:val="en-GB"/>
        </w:rPr>
        <w:t xml:space="preserve"> </w:t>
      </w:r>
    </w:p>
    <w:p w14:paraId="1F165559" w14:textId="7C829F4D" w:rsidR="00DB0706" w:rsidRPr="00DB0706" w:rsidRDefault="00DB0706" w:rsidP="00DB0706">
      <w:pPr>
        <w:pStyle w:val="ExhibitHeading"/>
        <w:rPr>
          <w:lang w:val="en-GB" w:eastAsia="zh-CN"/>
        </w:rPr>
      </w:pPr>
      <w:r w:rsidRPr="00DB0706">
        <w:rPr>
          <w:lang w:val="en-GB"/>
        </w:rPr>
        <w:t>(US$</w:t>
      </w:r>
      <w:r w:rsidR="00310624">
        <w:rPr>
          <w:lang w:val="en-GB"/>
        </w:rPr>
        <w:t xml:space="preserve"> million</w:t>
      </w:r>
      <w:r w:rsidRPr="00DB0706">
        <w:rPr>
          <w:lang w:val="en-GB"/>
        </w:rPr>
        <w:t>)</w:t>
      </w:r>
    </w:p>
    <w:p w14:paraId="36D4FDFE" w14:textId="77777777" w:rsidR="00DB0706" w:rsidRPr="00DB0706" w:rsidRDefault="00DB0706" w:rsidP="00DB0706">
      <w:pPr>
        <w:pStyle w:val="ExhibitHeading"/>
        <w:rPr>
          <w:sz w:val="17"/>
          <w:szCs w:val="17"/>
        </w:rPr>
      </w:pPr>
    </w:p>
    <w:tbl>
      <w:tblPr>
        <w:tblW w:w="9270" w:type="dxa"/>
        <w:tblInd w:w="-5" w:type="dxa"/>
        <w:tblLook w:val="04A0" w:firstRow="1" w:lastRow="0" w:firstColumn="1" w:lastColumn="0" w:noHBand="0" w:noVBand="1"/>
      </w:tblPr>
      <w:tblGrid>
        <w:gridCol w:w="2160"/>
        <w:gridCol w:w="1261"/>
        <w:gridCol w:w="719"/>
        <w:gridCol w:w="810"/>
        <w:gridCol w:w="720"/>
        <w:gridCol w:w="661"/>
        <w:gridCol w:w="689"/>
        <w:gridCol w:w="720"/>
        <w:gridCol w:w="661"/>
        <w:gridCol w:w="869"/>
      </w:tblGrid>
      <w:tr w:rsidR="00DB0706" w:rsidRPr="00DB0706" w14:paraId="0680817E" w14:textId="77777777" w:rsidTr="000512F8">
        <w:trPr>
          <w:trHeight w:val="480"/>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20B7C4" w14:textId="77777777" w:rsidR="00DB0706" w:rsidRPr="00DB0706" w:rsidRDefault="00DB0706" w:rsidP="00DB0706">
            <w:pPr>
              <w:jc w:val="center"/>
              <w:rPr>
                <w:rFonts w:ascii="Arial" w:eastAsia="SimSun" w:hAnsi="Arial" w:cs="Arial"/>
                <w:b/>
                <w:bCs/>
                <w:color w:val="000000"/>
                <w:lang w:eastAsia="zh-CN"/>
              </w:rPr>
            </w:pPr>
            <w:r w:rsidRPr="00DB0706">
              <w:rPr>
                <w:rFonts w:ascii="Arial" w:eastAsia="SimSun" w:hAnsi="Arial" w:cs="Arial"/>
                <w:b/>
                <w:bCs/>
                <w:color w:val="000000"/>
                <w:lang w:eastAsia="zh-CN"/>
              </w:rPr>
              <w:t>Capital Expenditure</w:t>
            </w:r>
          </w:p>
        </w:tc>
        <w:tc>
          <w:tcPr>
            <w:tcW w:w="1261" w:type="dxa"/>
            <w:tcBorders>
              <w:top w:val="single" w:sz="4" w:space="0" w:color="auto"/>
              <w:left w:val="nil"/>
              <w:bottom w:val="single" w:sz="4" w:space="0" w:color="auto"/>
              <w:right w:val="single" w:sz="4" w:space="0" w:color="auto"/>
            </w:tcBorders>
            <w:shd w:val="clear" w:color="auto" w:fill="auto"/>
            <w:vAlign w:val="center"/>
            <w:hideMark/>
          </w:tcPr>
          <w:p w14:paraId="1636A06A" w14:textId="77777777" w:rsidR="00DB0706" w:rsidRPr="00DB0706" w:rsidRDefault="00DB0706" w:rsidP="00DB0706">
            <w:pPr>
              <w:jc w:val="center"/>
              <w:rPr>
                <w:rFonts w:ascii="Arial" w:eastAsia="SimSun" w:hAnsi="Arial" w:cs="Arial"/>
                <w:b/>
                <w:bCs/>
                <w:color w:val="000000"/>
                <w:lang w:eastAsia="zh-CN"/>
              </w:rPr>
            </w:pPr>
            <w:r w:rsidRPr="00DB0706">
              <w:rPr>
                <w:rFonts w:ascii="Arial" w:eastAsia="SimSun" w:hAnsi="Arial" w:cs="Arial"/>
                <w:b/>
                <w:bCs/>
                <w:color w:val="000000"/>
                <w:lang w:eastAsia="zh-CN"/>
              </w:rPr>
              <w:t>Pre-production</w:t>
            </w:r>
          </w:p>
        </w:tc>
        <w:tc>
          <w:tcPr>
            <w:tcW w:w="719" w:type="dxa"/>
            <w:tcBorders>
              <w:top w:val="single" w:sz="4" w:space="0" w:color="auto"/>
              <w:left w:val="nil"/>
              <w:bottom w:val="single" w:sz="4" w:space="0" w:color="auto"/>
              <w:right w:val="single" w:sz="4" w:space="0" w:color="auto"/>
            </w:tcBorders>
            <w:shd w:val="clear" w:color="auto" w:fill="auto"/>
            <w:vAlign w:val="center"/>
            <w:hideMark/>
          </w:tcPr>
          <w:p w14:paraId="48B4BD8D" w14:textId="77777777" w:rsidR="00DB0706" w:rsidRPr="00DB0706" w:rsidRDefault="00DB0706" w:rsidP="00DB0706">
            <w:pPr>
              <w:jc w:val="center"/>
              <w:rPr>
                <w:rFonts w:ascii="Arial" w:eastAsia="SimSun" w:hAnsi="Arial" w:cs="Arial"/>
                <w:b/>
                <w:bCs/>
                <w:color w:val="000000"/>
                <w:lang w:eastAsia="zh-CN"/>
              </w:rPr>
            </w:pPr>
            <w:r w:rsidRPr="00DB0706">
              <w:rPr>
                <w:rFonts w:ascii="Arial" w:eastAsia="SimSun" w:hAnsi="Arial" w:cs="Arial"/>
                <w:b/>
                <w:bCs/>
                <w:color w:val="000000"/>
                <w:lang w:eastAsia="zh-CN"/>
              </w:rPr>
              <w:t>2016</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58D8A928" w14:textId="77777777" w:rsidR="00DB0706" w:rsidRPr="00DB0706" w:rsidRDefault="00DB0706" w:rsidP="00DB0706">
            <w:pPr>
              <w:jc w:val="center"/>
              <w:rPr>
                <w:rFonts w:ascii="Arial" w:eastAsia="SimSun" w:hAnsi="Arial" w:cs="Arial"/>
                <w:b/>
                <w:bCs/>
                <w:color w:val="000000"/>
                <w:lang w:eastAsia="zh-CN"/>
              </w:rPr>
            </w:pPr>
            <w:r w:rsidRPr="00DB0706">
              <w:rPr>
                <w:rFonts w:ascii="Arial" w:eastAsia="SimSun" w:hAnsi="Arial" w:cs="Arial"/>
                <w:b/>
                <w:bCs/>
                <w:color w:val="000000"/>
                <w:lang w:eastAsia="zh-CN"/>
              </w:rPr>
              <w:t>2017</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0ADE42B2" w14:textId="77777777" w:rsidR="00DB0706" w:rsidRPr="00DB0706" w:rsidRDefault="00DB0706" w:rsidP="00DB0706">
            <w:pPr>
              <w:jc w:val="center"/>
              <w:rPr>
                <w:rFonts w:ascii="Arial" w:eastAsia="SimSun" w:hAnsi="Arial" w:cs="Arial"/>
                <w:b/>
                <w:bCs/>
                <w:color w:val="000000"/>
                <w:lang w:eastAsia="zh-CN"/>
              </w:rPr>
            </w:pPr>
            <w:r w:rsidRPr="00DB0706">
              <w:rPr>
                <w:rFonts w:ascii="Arial" w:eastAsia="SimSun" w:hAnsi="Arial" w:cs="Arial"/>
                <w:b/>
                <w:bCs/>
                <w:color w:val="000000"/>
                <w:lang w:eastAsia="zh-CN"/>
              </w:rPr>
              <w:t>2018</w:t>
            </w:r>
          </w:p>
        </w:tc>
        <w:tc>
          <w:tcPr>
            <w:tcW w:w="661" w:type="dxa"/>
            <w:tcBorders>
              <w:top w:val="single" w:sz="4" w:space="0" w:color="auto"/>
              <w:left w:val="nil"/>
              <w:bottom w:val="single" w:sz="4" w:space="0" w:color="auto"/>
              <w:right w:val="single" w:sz="4" w:space="0" w:color="auto"/>
            </w:tcBorders>
            <w:shd w:val="clear" w:color="auto" w:fill="auto"/>
            <w:vAlign w:val="center"/>
            <w:hideMark/>
          </w:tcPr>
          <w:p w14:paraId="0BB14E01" w14:textId="77777777" w:rsidR="00DB0706" w:rsidRPr="00DB0706" w:rsidRDefault="00DB0706" w:rsidP="00DB0706">
            <w:pPr>
              <w:jc w:val="center"/>
              <w:rPr>
                <w:rFonts w:ascii="Arial" w:eastAsia="SimSun" w:hAnsi="Arial" w:cs="Arial"/>
                <w:b/>
                <w:bCs/>
                <w:color w:val="000000"/>
                <w:lang w:eastAsia="zh-CN"/>
              </w:rPr>
            </w:pPr>
            <w:r w:rsidRPr="00DB0706">
              <w:rPr>
                <w:rFonts w:ascii="Arial" w:eastAsia="SimSun" w:hAnsi="Arial" w:cs="Arial"/>
                <w:b/>
                <w:bCs/>
                <w:color w:val="000000"/>
                <w:lang w:eastAsia="zh-CN"/>
              </w:rPr>
              <w:t>2019</w:t>
            </w:r>
          </w:p>
        </w:tc>
        <w:tc>
          <w:tcPr>
            <w:tcW w:w="689" w:type="dxa"/>
            <w:tcBorders>
              <w:top w:val="single" w:sz="4" w:space="0" w:color="auto"/>
              <w:left w:val="nil"/>
              <w:bottom w:val="single" w:sz="4" w:space="0" w:color="auto"/>
              <w:right w:val="single" w:sz="4" w:space="0" w:color="auto"/>
            </w:tcBorders>
            <w:shd w:val="clear" w:color="auto" w:fill="auto"/>
            <w:vAlign w:val="center"/>
            <w:hideMark/>
          </w:tcPr>
          <w:p w14:paraId="2C0A3DB4" w14:textId="77777777" w:rsidR="00DB0706" w:rsidRPr="00DB0706" w:rsidRDefault="00DB0706" w:rsidP="00DB0706">
            <w:pPr>
              <w:jc w:val="center"/>
              <w:rPr>
                <w:rFonts w:ascii="Arial" w:eastAsia="SimSun" w:hAnsi="Arial" w:cs="Arial"/>
                <w:b/>
                <w:bCs/>
                <w:color w:val="000000"/>
                <w:lang w:eastAsia="zh-CN"/>
              </w:rPr>
            </w:pPr>
            <w:r w:rsidRPr="00DB0706">
              <w:rPr>
                <w:rFonts w:ascii="Arial" w:eastAsia="SimSun" w:hAnsi="Arial" w:cs="Arial"/>
                <w:b/>
                <w:bCs/>
                <w:color w:val="000000"/>
                <w:lang w:eastAsia="zh-CN"/>
              </w:rPr>
              <w:t>2020</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1FEDE4DB" w14:textId="77777777" w:rsidR="00DB0706" w:rsidRPr="00DB0706" w:rsidRDefault="00DB0706" w:rsidP="00DB0706">
            <w:pPr>
              <w:jc w:val="center"/>
              <w:rPr>
                <w:rFonts w:ascii="Arial" w:eastAsia="SimSun" w:hAnsi="Arial" w:cs="Arial"/>
                <w:b/>
                <w:bCs/>
                <w:color w:val="000000"/>
                <w:lang w:eastAsia="zh-CN"/>
              </w:rPr>
            </w:pPr>
            <w:r w:rsidRPr="00DB0706">
              <w:rPr>
                <w:rFonts w:ascii="Arial" w:eastAsia="SimSun" w:hAnsi="Arial" w:cs="Arial"/>
                <w:b/>
                <w:bCs/>
                <w:color w:val="000000"/>
                <w:lang w:eastAsia="zh-CN"/>
              </w:rPr>
              <w:t>2021</w:t>
            </w:r>
          </w:p>
        </w:tc>
        <w:tc>
          <w:tcPr>
            <w:tcW w:w="661" w:type="dxa"/>
            <w:tcBorders>
              <w:top w:val="single" w:sz="4" w:space="0" w:color="auto"/>
              <w:left w:val="nil"/>
              <w:bottom w:val="single" w:sz="4" w:space="0" w:color="auto"/>
              <w:right w:val="single" w:sz="4" w:space="0" w:color="auto"/>
            </w:tcBorders>
            <w:shd w:val="clear" w:color="auto" w:fill="auto"/>
            <w:vAlign w:val="center"/>
            <w:hideMark/>
          </w:tcPr>
          <w:p w14:paraId="04715D76" w14:textId="77777777" w:rsidR="00DB0706" w:rsidRPr="00DB0706" w:rsidRDefault="00DB0706" w:rsidP="00DB0706">
            <w:pPr>
              <w:jc w:val="center"/>
              <w:rPr>
                <w:rFonts w:ascii="Arial" w:eastAsia="SimSun" w:hAnsi="Arial" w:cs="Arial"/>
                <w:b/>
                <w:bCs/>
                <w:color w:val="000000"/>
                <w:lang w:eastAsia="zh-CN"/>
              </w:rPr>
            </w:pPr>
            <w:r w:rsidRPr="00DB0706">
              <w:rPr>
                <w:rFonts w:ascii="Arial" w:eastAsia="SimSun" w:hAnsi="Arial" w:cs="Arial"/>
                <w:b/>
                <w:bCs/>
                <w:color w:val="000000"/>
                <w:lang w:eastAsia="zh-CN"/>
              </w:rPr>
              <w:t>2022</w:t>
            </w:r>
          </w:p>
        </w:tc>
        <w:tc>
          <w:tcPr>
            <w:tcW w:w="869" w:type="dxa"/>
            <w:tcBorders>
              <w:top w:val="single" w:sz="4" w:space="0" w:color="auto"/>
              <w:left w:val="nil"/>
              <w:bottom w:val="single" w:sz="4" w:space="0" w:color="auto"/>
              <w:right w:val="single" w:sz="4" w:space="0" w:color="auto"/>
            </w:tcBorders>
            <w:shd w:val="clear" w:color="auto" w:fill="auto"/>
            <w:vAlign w:val="center"/>
            <w:hideMark/>
          </w:tcPr>
          <w:p w14:paraId="0C1B1851" w14:textId="77777777" w:rsidR="00DB0706" w:rsidRPr="00DB0706" w:rsidRDefault="00DB0706" w:rsidP="00DB0706">
            <w:pPr>
              <w:jc w:val="center"/>
              <w:rPr>
                <w:rFonts w:ascii="Arial" w:eastAsia="SimSun" w:hAnsi="Arial" w:cs="Arial"/>
                <w:b/>
                <w:bCs/>
                <w:color w:val="000000"/>
                <w:lang w:eastAsia="zh-CN"/>
              </w:rPr>
            </w:pPr>
            <w:r w:rsidRPr="00DB0706">
              <w:rPr>
                <w:rFonts w:ascii="Arial" w:eastAsia="SimSun" w:hAnsi="Arial" w:cs="Arial"/>
                <w:b/>
                <w:bCs/>
                <w:color w:val="000000"/>
                <w:lang w:eastAsia="zh-CN"/>
              </w:rPr>
              <w:t>Total</w:t>
            </w:r>
          </w:p>
        </w:tc>
      </w:tr>
      <w:tr w:rsidR="00DB0706" w:rsidRPr="00DB0706" w14:paraId="3874AE39" w14:textId="77777777" w:rsidTr="000512F8">
        <w:trPr>
          <w:trHeight w:val="24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0AF47CBE" w14:textId="77777777" w:rsidR="00DB0706" w:rsidRPr="00DB0706" w:rsidRDefault="00DB0706" w:rsidP="00DB0706">
            <w:pPr>
              <w:rPr>
                <w:rFonts w:ascii="Arial" w:eastAsia="SimSun" w:hAnsi="Arial" w:cs="Arial"/>
                <w:color w:val="000000"/>
                <w:lang w:eastAsia="zh-CN"/>
              </w:rPr>
            </w:pPr>
            <w:r w:rsidRPr="00DB0706">
              <w:rPr>
                <w:rFonts w:ascii="Arial" w:eastAsia="SimSun" w:hAnsi="Arial" w:cs="Arial"/>
                <w:color w:val="000000"/>
                <w:lang w:eastAsia="zh-CN"/>
              </w:rPr>
              <w:t>Mining Capital</w:t>
            </w:r>
          </w:p>
        </w:tc>
        <w:tc>
          <w:tcPr>
            <w:tcW w:w="1261" w:type="dxa"/>
            <w:tcBorders>
              <w:top w:val="nil"/>
              <w:left w:val="nil"/>
              <w:bottom w:val="single" w:sz="4" w:space="0" w:color="auto"/>
              <w:right w:val="single" w:sz="4" w:space="0" w:color="auto"/>
            </w:tcBorders>
            <w:shd w:val="clear" w:color="auto" w:fill="auto"/>
            <w:vAlign w:val="center"/>
            <w:hideMark/>
          </w:tcPr>
          <w:p w14:paraId="606240D1"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10.39</w:t>
            </w:r>
          </w:p>
        </w:tc>
        <w:tc>
          <w:tcPr>
            <w:tcW w:w="719" w:type="dxa"/>
            <w:tcBorders>
              <w:top w:val="nil"/>
              <w:left w:val="nil"/>
              <w:bottom w:val="single" w:sz="4" w:space="0" w:color="auto"/>
              <w:right w:val="single" w:sz="4" w:space="0" w:color="auto"/>
            </w:tcBorders>
            <w:shd w:val="clear" w:color="auto" w:fill="auto"/>
            <w:vAlign w:val="center"/>
            <w:hideMark/>
          </w:tcPr>
          <w:p w14:paraId="345D69D1"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810" w:type="dxa"/>
            <w:tcBorders>
              <w:top w:val="nil"/>
              <w:left w:val="nil"/>
              <w:bottom w:val="single" w:sz="4" w:space="0" w:color="auto"/>
              <w:right w:val="single" w:sz="4" w:space="0" w:color="auto"/>
            </w:tcBorders>
            <w:shd w:val="clear" w:color="auto" w:fill="auto"/>
            <w:vAlign w:val="center"/>
            <w:hideMark/>
          </w:tcPr>
          <w:p w14:paraId="7EB1533C"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12.00</w:t>
            </w:r>
          </w:p>
        </w:tc>
        <w:tc>
          <w:tcPr>
            <w:tcW w:w="720" w:type="dxa"/>
            <w:tcBorders>
              <w:top w:val="nil"/>
              <w:left w:val="nil"/>
              <w:bottom w:val="single" w:sz="4" w:space="0" w:color="auto"/>
              <w:right w:val="single" w:sz="4" w:space="0" w:color="auto"/>
            </w:tcBorders>
            <w:shd w:val="clear" w:color="auto" w:fill="auto"/>
            <w:vAlign w:val="center"/>
            <w:hideMark/>
          </w:tcPr>
          <w:p w14:paraId="73D31C9B"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61" w:type="dxa"/>
            <w:tcBorders>
              <w:top w:val="nil"/>
              <w:left w:val="nil"/>
              <w:bottom w:val="single" w:sz="4" w:space="0" w:color="auto"/>
              <w:right w:val="single" w:sz="4" w:space="0" w:color="auto"/>
            </w:tcBorders>
            <w:shd w:val="clear" w:color="auto" w:fill="auto"/>
            <w:vAlign w:val="center"/>
            <w:hideMark/>
          </w:tcPr>
          <w:p w14:paraId="04FD513C"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89" w:type="dxa"/>
            <w:tcBorders>
              <w:top w:val="nil"/>
              <w:left w:val="nil"/>
              <w:bottom w:val="single" w:sz="4" w:space="0" w:color="auto"/>
              <w:right w:val="single" w:sz="4" w:space="0" w:color="auto"/>
            </w:tcBorders>
            <w:shd w:val="clear" w:color="auto" w:fill="auto"/>
            <w:vAlign w:val="center"/>
            <w:hideMark/>
          </w:tcPr>
          <w:p w14:paraId="05222612"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720" w:type="dxa"/>
            <w:tcBorders>
              <w:top w:val="nil"/>
              <w:left w:val="nil"/>
              <w:bottom w:val="single" w:sz="4" w:space="0" w:color="auto"/>
              <w:right w:val="single" w:sz="4" w:space="0" w:color="auto"/>
            </w:tcBorders>
            <w:shd w:val="clear" w:color="auto" w:fill="auto"/>
            <w:vAlign w:val="center"/>
            <w:hideMark/>
          </w:tcPr>
          <w:p w14:paraId="0A1B27A8"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61" w:type="dxa"/>
            <w:tcBorders>
              <w:top w:val="nil"/>
              <w:left w:val="nil"/>
              <w:bottom w:val="single" w:sz="4" w:space="0" w:color="auto"/>
              <w:right w:val="single" w:sz="4" w:space="0" w:color="auto"/>
            </w:tcBorders>
            <w:shd w:val="clear" w:color="auto" w:fill="auto"/>
            <w:vAlign w:val="center"/>
            <w:hideMark/>
          </w:tcPr>
          <w:p w14:paraId="4ECD0477"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869" w:type="dxa"/>
            <w:tcBorders>
              <w:top w:val="nil"/>
              <w:left w:val="nil"/>
              <w:bottom w:val="single" w:sz="4" w:space="0" w:color="auto"/>
              <w:right w:val="single" w:sz="4" w:space="0" w:color="auto"/>
            </w:tcBorders>
            <w:shd w:val="clear" w:color="auto" w:fill="auto"/>
            <w:vAlign w:val="center"/>
            <w:hideMark/>
          </w:tcPr>
          <w:p w14:paraId="2A31180F"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22.39</w:t>
            </w:r>
          </w:p>
        </w:tc>
      </w:tr>
      <w:tr w:rsidR="00DB0706" w:rsidRPr="00DB0706" w14:paraId="5B970E4E" w14:textId="77777777" w:rsidTr="000512F8">
        <w:trPr>
          <w:trHeight w:val="48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6F4C9214" w14:textId="77777777" w:rsidR="00DB0706" w:rsidRPr="00DB0706" w:rsidRDefault="00DB0706" w:rsidP="00DB0706">
            <w:pPr>
              <w:rPr>
                <w:rFonts w:ascii="Arial" w:eastAsia="SimSun" w:hAnsi="Arial" w:cs="Arial"/>
                <w:color w:val="000000"/>
                <w:lang w:eastAsia="zh-CN"/>
              </w:rPr>
            </w:pPr>
            <w:r w:rsidRPr="00DB0706">
              <w:rPr>
                <w:rFonts w:ascii="Arial" w:eastAsia="SimSun" w:hAnsi="Arial" w:cs="Arial"/>
                <w:color w:val="000000"/>
                <w:lang w:eastAsia="zh-CN"/>
              </w:rPr>
              <w:t>General and Administration</w:t>
            </w:r>
          </w:p>
        </w:tc>
        <w:tc>
          <w:tcPr>
            <w:tcW w:w="1261" w:type="dxa"/>
            <w:tcBorders>
              <w:top w:val="nil"/>
              <w:left w:val="nil"/>
              <w:bottom w:val="single" w:sz="4" w:space="0" w:color="auto"/>
              <w:right w:val="single" w:sz="4" w:space="0" w:color="auto"/>
            </w:tcBorders>
            <w:shd w:val="clear" w:color="auto" w:fill="auto"/>
            <w:vAlign w:val="center"/>
            <w:hideMark/>
          </w:tcPr>
          <w:p w14:paraId="678CED25"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43.79</w:t>
            </w:r>
          </w:p>
        </w:tc>
        <w:tc>
          <w:tcPr>
            <w:tcW w:w="719" w:type="dxa"/>
            <w:tcBorders>
              <w:top w:val="nil"/>
              <w:left w:val="nil"/>
              <w:bottom w:val="single" w:sz="4" w:space="0" w:color="auto"/>
              <w:right w:val="single" w:sz="4" w:space="0" w:color="auto"/>
            </w:tcBorders>
            <w:shd w:val="clear" w:color="auto" w:fill="auto"/>
            <w:vAlign w:val="center"/>
            <w:hideMark/>
          </w:tcPr>
          <w:p w14:paraId="2472833A"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810" w:type="dxa"/>
            <w:tcBorders>
              <w:top w:val="nil"/>
              <w:left w:val="nil"/>
              <w:bottom w:val="single" w:sz="4" w:space="0" w:color="auto"/>
              <w:right w:val="single" w:sz="4" w:space="0" w:color="auto"/>
            </w:tcBorders>
            <w:shd w:val="clear" w:color="auto" w:fill="auto"/>
            <w:vAlign w:val="center"/>
            <w:hideMark/>
          </w:tcPr>
          <w:p w14:paraId="5821194B"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720" w:type="dxa"/>
            <w:tcBorders>
              <w:top w:val="nil"/>
              <w:left w:val="nil"/>
              <w:bottom w:val="single" w:sz="4" w:space="0" w:color="auto"/>
              <w:right w:val="single" w:sz="4" w:space="0" w:color="auto"/>
            </w:tcBorders>
            <w:shd w:val="clear" w:color="auto" w:fill="auto"/>
            <w:vAlign w:val="center"/>
            <w:hideMark/>
          </w:tcPr>
          <w:p w14:paraId="08D42831"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61" w:type="dxa"/>
            <w:tcBorders>
              <w:top w:val="nil"/>
              <w:left w:val="nil"/>
              <w:bottom w:val="single" w:sz="4" w:space="0" w:color="auto"/>
              <w:right w:val="single" w:sz="4" w:space="0" w:color="auto"/>
            </w:tcBorders>
            <w:shd w:val="clear" w:color="auto" w:fill="auto"/>
            <w:vAlign w:val="center"/>
            <w:hideMark/>
          </w:tcPr>
          <w:p w14:paraId="4E16A063"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89" w:type="dxa"/>
            <w:tcBorders>
              <w:top w:val="nil"/>
              <w:left w:val="nil"/>
              <w:bottom w:val="single" w:sz="4" w:space="0" w:color="auto"/>
              <w:right w:val="single" w:sz="4" w:space="0" w:color="auto"/>
            </w:tcBorders>
            <w:shd w:val="clear" w:color="auto" w:fill="auto"/>
            <w:vAlign w:val="center"/>
            <w:hideMark/>
          </w:tcPr>
          <w:p w14:paraId="5513E5D5"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720" w:type="dxa"/>
            <w:tcBorders>
              <w:top w:val="nil"/>
              <w:left w:val="nil"/>
              <w:bottom w:val="single" w:sz="4" w:space="0" w:color="auto"/>
              <w:right w:val="single" w:sz="4" w:space="0" w:color="auto"/>
            </w:tcBorders>
            <w:shd w:val="clear" w:color="auto" w:fill="auto"/>
            <w:vAlign w:val="center"/>
            <w:hideMark/>
          </w:tcPr>
          <w:p w14:paraId="7764FD7C"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61" w:type="dxa"/>
            <w:tcBorders>
              <w:top w:val="nil"/>
              <w:left w:val="nil"/>
              <w:bottom w:val="single" w:sz="4" w:space="0" w:color="auto"/>
              <w:right w:val="single" w:sz="4" w:space="0" w:color="auto"/>
            </w:tcBorders>
            <w:shd w:val="clear" w:color="auto" w:fill="auto"/>
            <w:vAlign w:val="center"/>
            <w:hideMark/>
          </w:tcPr>
          <w:p w14:paraId="785D6778"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869" w:type="dxa"/>
            <w:tcBorders>
              <w:top w:val="nil"/>
              <w:left w:val="nil"/>
              <w:bottom w:val="single" w:sz="4" w:space="0" w:color="auto"/>
              <w:right w:val="single" w:sz="4" w:space="0" w:color="auto"/>
            </w:tcBorders>
            <w:shd w:val="clear" w:color="auto" w:fill="auto"/>
            <w:vAlign w:val="center"/>
            <w:hideMark/>
          </w:tcPr>
          <w:p w14:paraId="32575650"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43.79</w:t>
            </w:r>
          </w:p>
        </w:tc>
      </w:tr>
      <w:tr w:rsidR="00DB0706" w:rsidRPr="00DB0706" w14:paraId="280399D2" w14:textId="77777777" w:rsidTr="000512F8">
        <w:trPr>
          <w:trHeight w:val="24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4D0CBEF8" w14:textId="77777777" w:rsidR="00DB0706" w:rsidRPr="00DB0706" w:rsidRDefault="00DB0706" w:rsidP="00DB0706">
            <w:pPr>
              <w:rPr>
                <w:rFonts w:ascii="Arial" w:eastAsia="SimSun" w:hAnsi="Arial" w:cs="Arial"/>
                <w:color w:val="000000"/>
                <w:lang w:eastAsia="zh-CN"/>
              </w:rPr>
            </w:pPr>
            <w:r w:rsidRPr="00DB0706">
              <w:rPr>
                <w:rFonts w:ascii="Arial" w:eastAsia="SimSun" w:hAnsi="Arial" w:cs="Arial"/>
                <w:color w:val="000000"/>
                <w:lang w:eastAsia="zh-CN"/>
              </w:rPr>
              <w:t>Infrastructure</w:t>
            </w:r>
          </w:p>
        </w:tc>
        <w:tc>
          <w:tcPr>
            <w:tcW w:w="1261" w:type="dxa"/>
            <w:tcBorders>
              <w:top w:val="nil"/>
              <w:left w:val="nil"/>
              <w:bottom w:val="single" w:sz="4" w:space="0" w:color="auto"/>
              <w:right w:val="single" w:sz="4" w:space="0" w:color="auto"/>
            </w:tcBorders>
            <w:shd w:val="clear" w:color="auto" w:fill="auto"/>
            <w:vAlign w:val="center"/>
            <w:hideMark/>
          </w:tcPr>
          <w:p w14:paraId="7D071ADD"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25.54</w:t>
            </w:r>
          </w:p>
        </w:tc>
        <w:tc>
          <w:tcPr>
            <w:tcW w:w="719" w:type="dxa"/>
            <w:tcBorders>
              <w:top w:val="nil"/>
              <w:left w:val="nil"/>
              <w:bottom w:val="single" w:sz="4" w:space="0" w:color="auto"/>
              <w:right w:val="single" w:sz="4" w:space="0" w:color="auto"/>
            </w:tcBorders>
            <w:shd w:val="clear" w:color="auto" w:fill="auto"/>
            <w:vAlign w:val="center"/>
            <w:hideMark/>
          </w:tcPr>
          <w:p w14:paraId="149E8A45"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810" w:type="dxa"/>
            <w:tcBorders>
              <w:top w:val="nil"/>
              <w:left w:val="nil"/>
              <w:bottom w:val="single" w:sz="4" w:space="0" w:color="auto"/>
              <w:right w:val="single" w:sz="4" w:space="0" w:color="auto"/>
            </w:tcBorders>
            <w:shd w:val="clear" w:color="auto" w:fill="auto"/>
            <w:vAlign w:val="center"/>
            <w:hideMark/>
          </w:tcPr>
          <w:p w14:paraId="212B47D1"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720" w:type="dxa"/>
            <w:tcBorders>
              <w:top w:val="nil"/>
              <w:left w:val="nil"/>
              <w:bottom w:val="single" w:sz="4" w:space="0" w:color="auto"/>
              <w:right w:val="single" w:sz="4" w:space="0" w:color="auto"/>
            </w:tcBorders>
            <w:shd w:val="clear" w:color="auto" w:fill="auto"/>
            <w:vAlign w:val="center"/>
            <w:hideMark/>
          </w:tcPr>
          <w:p w14:paraId="146EF319"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1.20</w:t>
            </w:r>
          </w:p>
        </w:tc>
        <w:tc>
          <w:tcPr>
            <w:tcW w:w="661" w:type="dxa"/>
            <w:tcBorders>
              <w:top w:val="nil"/>
              <w:left w:val="nil"/>
              <w:bottom w:val="single" w:sz="4" w:space="0" w:color="auto"/>
              <w:right w:val="single" w:sz="4" w:space="0" w:color="auto"/>
            </w:tcBorders>
            <w:shd w:val="clear" w:color="auto" w:fill="auto"/>
            <w:vAlign w:val="center"/>
            <w:hideMark/>
          </w:tcPr>
          <w:p w14:paraId="7F70B535"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89" w:type="dxa"/>
            <w:tcBorders>
              <w:top w:val="nil"/>
              <w:left w:val="nil"/>
              <w:bottom w:val="single" w:sz="4" w:space="0" w:color="auto"/>
              <w:right w:val="single" w:sz="4" w:space="0" w:color="auto"/>
            </w:tcBorders>
            <w:shd w:val="clear" w:color="auto" w:fill="auto"/>
            <w:vAlign w:val="center"/>
            <w:hideMark/>
          </w:tcPr>
          <w:p w14:paraId="21E4BC20"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720" w:type="dxa"/>
            <w:tcBorders>
              <w:top w:val="nil"/>
              <w:left w:val="nil"/>
              <w:bottom w:val="single" w:sz="4" w:space="0" w:color="auto"/>
              <w:right w:val="single" w:sz="4" w:space="0" w:color="auto"/>
            </w:tcBorders>
            <w:shd w:val="clear" w:color="auto" w:fill="auto"/>
            <w:vAlign w:val="center"/>
            <w:hideMark/>
          </w:tcPr>
          <w:p w14:paraId="5F11D37E"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61" w:type="dxa"/>
            <w:tcBorders>
              <w:top w:val="nil"/>
              <w:left w:val="nil"/>
              <w:bottom w:val="single" w:sz="4" w:space="0" w:color="auto"/>
              <w:right w:val="single" w:sz="4" w:space="0" w:color="auto"/>
            </w:tcBorders>
            <w:shd w:val="clear" w:color="auto" w:fill="auto"/>
            <w:vAlign w:val="center"/>
            <w:hideMark/>
          </w:tcPr>
          <w:p w14:paraId="49EB67A2"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869" w:type="dxa"/>
            <w:tcBorders>
              <w:top w:val="nil"/>
              <w:left w:val="nil"/>
              <w:bottom w:val="single" w:sz="4" w:space="0" w:color="auto"/>
              <w:right w:val="single" w:sz="4" w:space="0" w:color="auto"/>
            </w:tcBorders>
            <w:shd w:val="clear" w:color="auto" w:fill="auto"/>
            <w:vAlign w:val="center"/>
            <w:hideMark/>
          </w:tcPr>
          <w:p w14:paraId="66F38A0A"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26.74</w:t>
            </w:r>
          </w:p>
        </w:tc>
      </w:tr>
      <w:tr w:rsidR="00DB0706" w:rsidRPr="00DB0706" w14:paraId="4D16FC55" w14:textId="77777777" w:rsidTr="000512F8">
        <w:trPr>
          <w:trHeight w:val="48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2D30CE41" w14:textId="77777777" w:rsidR="00DB0706" w:rsidRPr="00DB0706" w:rsidRDefault="00DB0706" w:rsidP="00DB0706">
            <w:pPr>
              <w:rPr>
                <w:rFonts w:ascii="Arial" w:eastAsia="SimSun" w:hAnsi="Arial" w:cs="Arial"/>
                <w:color w:val="000000"/>
                <w:lang w:eastAsia="zh-CN"/>
              </w:rPr>
            </w:pPr>
            <w:r w:rsidRPr="00DB0706">
              <w:rPr>
                <w:rFonts w:ascii="Arial" w:eastAsia="SimSun" w:hAnsi="Arial" w:cs="Arial"/>
                <w:color w:val="000000"/>
                <w:lang w:eastAsia="zh-CN"/>
              </w:rPr>
              <w:t>Gravity Heap Leach Including Metago</w:t>
            </w:r>
          </w:p>
        </w:tc>
        <w:tc>
          <w:tcPr>
            <w:tcW w:w="1261" w:type="dxa"/>
            <w:tcBorders>
              <w:top w:val="nil"/>
              <w:left w:val="nil"/>
              <w:bottom w:val="single" w:sz="4" w:space="0" w:color="auto"/>
              <w:right w:val="single" w:sz="4" w:space="0" w:color="auto"/>
            </w:tcBorders>
            <w:shd w:val="clear" w:color="auto" w:fill="auto"/>
            <w:vAlign w:val="center"/>
            <w:hideMark/>
          </w:tcPr>
          <w:p w14:paraId="44655999"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61.52</w:t>
            </w:r>
          </w:p>
        </w:tc>
        <w:tc>
          <w:tcPr>
            <w:tcW w:w="719" w:type="dxa"/>
            <w:tcBorders>
              <w:top w:val="nil"/>
              <w:left w:val="nil"/>
              <w:bottom w:val="single" w:sz="4" w:space="0" w:color="auto"/>
              <w:right w:val="single" w:sz="4" w:space="0" w:color="auto"/>
            </w:tcBorders>
            <w:shd w:val="clear" w:color="auto" w:fill="auto"/>
            <w:vAlign w:val="center"/>
            <w:hideMark/>
          </w:tcPr>
          <w:p w14:paraId="7F2B0F15"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3.73</w:t>
            </w:r>
          </w:p>
        </w:tc>
        <w:tc>
          <w:tcPr>
            <w:tcW w:w="810" w:type="dxa"/>
            <w:tcBorders>
              <w:top w:val="nil"/>
              <w:left w:val="nil"/>
              <w:bottom w:val="single" w:sz="4" w:space="0" w:color="auto"/>
              <w:right w:val="single" w:sz="4" w:space="0" w:color="auto"/>
            </w:tcBorders>
            <w:shd w:val="clear" w:color="auto" w:fill="auto"/>
            <w:vAlign w:val="center"/>
            <w:hideMark/>
          </w:tcPr>
          <w:p w14:paraId="31EE83ED"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1.50</w:t>
            </w:r>
          </w:p>
        </w:tc>
        <w:tc>
          <w:tcPr>
            <w:tcW w:w="720" w:type="dxa"/>
            <w:tcBorders>
              <w:top w:val="nil"/>
              <w:left w:val="nil"/>
              <w:bottom w:val="single" w:sz="4" w:space="0" w:color="auto"/>
              <w:right w:val="single" w:sz="4" w:space="0" w:color="auto"/>
            </w:tcBorders>
            <w:shd w:val="clear" w:color="auto" w:fill="auto"/>
            <w:vAlign w:val="center"/>
            <w:hideMark/>
          </w:tcPr>
          <w:p w14:paraId="2647F922"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2.94</w:t>
            </w:r>
          </w:p>
        </w:tc>
        <w:tc>
          <w:tcPr>
            <w:tcW w:w="661" w:type="dxa"/>
            <w:tcBorders>
              <w:top w:val="nil"/>
              <w:left w:val="nil"/>
              <w:bottom w:val="single" w:sz="4" w:space="0" w:color="auto"/>
              <w:right w:val="single" w:sz="4" w:space="0" w:color="auto"/>
            </w:tcBorders>
            <w:shd w:val="clear" w:color="auto" w:fill="auto"/>
            <w:vAlign w:val="center"/>
            <w:hideMark/>
          </w:tcPr>
          <w:p w14:paraId="322D659E"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89" w:type="dxa"/>
            <w:tcBorders>
              <w:top w:val="nil"/>
              <w:left w:val="nil"/>
              <w:bottom w:val="single" w:sz="4" w:space="0" w:color="auto"/>
              <w:right w:val="single" w:sz="4" w:space="0" w:color="auto"/>
            </w:tcBorders>
            <w:shd w:val="clear" w:color="auto" w:fill="auto"/>
            <w:vAlign w:val="center"/>
            <w:hideMark/>
          </w:tcPr>
          <w:p w14:paraId="12A03731"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720" w:type="dxa"/>
            <w:tcBorders>
              <w:top w:val="nil"/>
              <w:left w:val="nil"/>
              <w:bottom w:val="single" w:sz="4" w:space="0" w:color="auto"/>
              <w:right w:val="single" w:sz="4" w:space="0" w:color="auto"/>
            </w:tcBorders>
            <w:shd w:val="clear" w:color="auto" w:fill="auto"/>
            <w:vAlign w:val="center"/>
            <w:hideMark/>
          </w:tcPr>
          <w:p w14:paraId="27720FA5"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2.20</w:t>
            </w:r>
          </w:p>
        </w:tc>
        <w:tc>
          <w:tcPr>
            <w:tcW w:w="661" w:type="dxa"/>
            <w:tcBorders>
              <w:top w:val="nil"/>
              <w:left w:val="nil"/>
              <w:bottom w:val="single" w:sz="4" w:space="0" w:color="auto"/>
              <w:right w:val="single" w:sz="4" w:space="0" w:color="auto"/>
            </w:tcBorders>
            <w:shd w:val="clear" w:color="auto" w:fill="auto"/>
            <w:vAlign w:val="center"/>
            <w:hideMark/>
          </w:tcPr>
          <w:p w14:paraId="5DCEF34C"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869" w:type="dxa"/>
            <w:tcBorders>
              <w:top w:val="nil"/>
              <w:left w:val="nil"/>
              <w:bottom w:val="single" w:sz="4" w:space="0" w:color="auto"/>
              <w:right w:val="single" w:sz="4" w:space="0" w:color="auto"/>
            </w:tcBorders>
            <w:shd w:val="clear" w:color="auto" w:fill="auto"/>
            <w:vAlign w:val="center"/>
            <w:hideMark/>
          </w:tcPr>
          <w:p w14:paraId="675899F3"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71.89</w:t>
            </w:r>
          </w:p>
        </w:tc>
      </w:tr>
      <w:tr w:rsidR="00DB0706" w:rsidRPr="00DB0706" w14:paraId="5890FA35" w14:textId="77777777" w:rsidTr="000512F8">
        <w:trPr>
          <w:trHeight w:val="24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05DB28CA" w14:textId="3FEC8FF6" w:rsidR="00DB0706" w:rsidRPr="00DB0706" w:rsidRDefault="00DB0706" w:rsidP="00553DD6">
            <w:pPr>
              <w:rPr>
                <w:rFonts w:ascii="Arial" w:eastAsia="SimSun" w:hAnsi="Arial" w:cs="Arial"/>
                <w:color w:val="000000"/>
                <w:lang w:eastAsia="zh-CN"/>
              </w:rPr>
            </w:pPr>
            <w:r w:rsidRPr="00DB0706">
              <w:rPr>
                <w:rFonts w:ascii="Arial" w:eastAsia="SimSun" w:hAnsi="Arial" w:cs="Arial"/>
                <w:color w:val="000000"/>
                <w:lang w:eastAsia="zh-CN"/>
              </w:rPr>
              <w:t>First</w:t>
            </w:r>
            <w:r w:rsidR="008C68AA">
              <w:rPr>
                <w:rFonts w:ascii="Arial" w:eastAsia="SimSun" w:hAnsi="Arial" w:cs="Arial"/>
                <w:color w:val="000000"/>
                <w:lang w:eastAsia="zh-CN"/>
              </w:rPr>
              <w:t>-f</w:t>
            </w:r>
            <w:r w:rsidRPr="00DB0706">
              <w:rPr>
                <w:rFonts w:ascii="Arial" w:eastAsia="SimSun" w:hAnsi="Arial" w:cs="Arial"/>
                <w:color w:val="000000"/>
                <w:lang w:eastAsia="zh-CN"/>
              </w:rPr>
              <w:t>ill Consumables</w:t>
            </w:r>
          </w:p>
        </w:tc>
        <w:tc>
          <w:tcPr>
            <w:tcW w:w="1261" w:type="dxa"/>
            <w:tcBorders>
              <w:top w:val="nil"/>
              <w:left w:val="nil"/>
              <w:bottom w:val="single" w:sz="4" w:space="0" w:color="auto"/>
              <w:right w:val="single" w:sz="4" w:space="0" w:color="auto"/>
            </w:tcBorders>
            <w:shd w:val="clear" w:color="auto" w:fill="auto"/>
            <w:vAlign w:val="center"/>
            <w:hideMark/>
          </w:tcPr>
          <w:p w14:paraId="43B8940A"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719" w:type="dxa"/>
            <w:tcBorders>
              <w:top w:val="nil"/>
              <w:left w:val="nil"/>
              <w:bottom w:val="single" w:sz="4" w:space="0" w:color="auto"/>
              <w:right w:val="single" w:sz="4" w:space="0" w:color="auto"/>
            </w:tcBorders>
            <w:shd w:val="clear" w:color="auto" w:fill="auto"/>
            <w:vAlign w:val="center"/>
            <w:hideMark/>
          </w:tcPr>
          <w:p w14:paraId="1B14287D"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810" w:type="dxa"/>
            <w:tcBorders>
              <w:top w:val="nil"/>
              <w:left w:val="nil"/>
              <w:bottom w:val="single" w:sz="4" w:space="0" w:color="auto"/>
              <w:right w:val="single" w:sz="4" w:space="0" w:color="auto"/>
            </w:tcBorders>
            <w:shd w:val="clear" w:color="auto" w:fill="auto"/>
            <w:vAlign w:val="center"/>
            <w:hideMark/>
          </w:tcPr>
          <w:p w14:paraId="6F62099E"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720" w:type="dxa"/>
            <w:tcBorders>
              <w:top w:val="nil"/>
              <w:left w:val="nil"/>
              <w:bottom w:val="single" w:sz="4" w:space="0" w:color="auto"/>
              <w:right w:val="single" w:sz="4" w:space="0" w:color="auto"/>
            </w:tcBorders>
            <w:shd w:val="clear" w:color="auto" w:fill="auto"/>
            <w:vAlign w:val="center"/>
            <w:hideMark/>
          </w:tcPr>
          <w:p w14:paraId="1F17D3CF"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61" w:type="dxa"/>
            <w:tcBorders>
              <w:top w:val="nil"/>
              <w:left w:val="nil"/>
              <w:bottom w:val="single" w:sz="4" w:space="0" w:color="auto"/>
              <w:right w:val="single" w:sz="4" w:space="0" w:color="auto"/>
            </w:tcBorders>
            <w:shd w:val="clear" w:color="auto" w:fill="auto"/>
            <w:vAlign w:val="center"/>
            <w:hideMark/>
          </w:tcPr>
          <w:p w14:paraId="702564C4"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89" w:type="dxa"/>
            <w:tcBorders>
              <w:top w:val="nil"/>
              <w:left w:val="nil"/>
              <w:bottom w:val="single" w:sz="4" w:space="0" w:color="auto"/>
              <w:right w:val="single" w:sz="4" w:space="0" w:color="auto"/>
            </w:tcBorders>
            <w:shd w:val="clear" w:color="auto" w:fill="auto"/>
            <w:vAlign w:val="center"/>
            <w:hideMark/>
          </w:tcPr>
          <w:p w14:paraId="6597B8B9"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720" w:type="dxa"/>
            <w:tcBorders>
              <w:top w:val="nil"/>
              <w:left w:val="nil"/>
              <w:bottom w:val="single" w:sz="4" w:space="0" w:color="auto"/>
              <w:right w:val="single" w:sz="4" w:space="0" w:color="auto"/>
            </w:tcBorders>
            <w:shd w:val="clear" w:color="auto" w:fill="auto"/>
            <w:vAlign w:val="center"/>
            <w:hideMark/>
          </w:tcPr>
          <w:p w14:paraId="0896856D"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61" w:type="dxa"/>
            <w:tcBorders>
              <w:top w:val="nil"/>
              <w:left w:val="nil"/>
              <w:bottom w:val="single" w:sz="4" w:space="0" w:color="auto"/>
              <w:right w:val="single" w:sz="4" w:space="0" w:color="auto"/>
            </w:tcBorders>
            <w:shd w:val="clear" w:color="auto" w:fill="auto"/>
            <w:vAlign w:val="center"/>
            <w:hideMark/>
          </w:tcPr>
          <w:p w14:paraId="11894F83"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869" w:type="dxa"/>
            <w:tcBorders>
              <w:top w:val="nil"/>
              <w:left w:val="nil"/>
              <w:bottom w:val="single" w:sz="4" w:space="0" w:color="auto"/>
              <w:right w:val="single" w:sz="4" w:space="0" w:color="auto"/>
            </w:tcBorders>
            <w:shd w:val="clear" w:color="auto" w:fill="auto"/>
            <w:vAlign w:val="center"/>
            <w:hideMark/>
          </w:tcPr>
          <w:p w14:paraId="5BBC0ECF"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r>
      <w:tr w:rsidR="00DB0706" w:rsidRPr="00DB0706" w14:paraId="63F986B0" w14:textId="77777777" w:rsidTr="000512F8">
        <w:trPr>
          <w:trHeight w:val="24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4CDBA961" w14:textId="77777777" w:rsidR="00DB0706" w:rsidRPr="00DB0706" w:rsidRDefault="00DB0706" w:rsidP="00DB0706">
            <w:pPr>
              <w:rPr>
                <w:rFonts w:ascii="Arial" w:eastAsia="SimSun" w:hAnsi="Arial" w:cs="Arial"/>
                <w:color w:val="000000"/>
                <w:lang w:eastAsia="zh-CN"/>
              </w:rPr>
            </w:pPr>
            <w:r w:rsidRPr="00DB0706">
              <w:rPr>
                <w:rFonts w:ascii="Arial" w:eastAsia="SimSun" w:hAnsi="Arial" w:cs="Arial"/>
                <w:color w:val="000000"/>
                <w:lang w:eastAsia="zh-CN"/>
              </w:rPr>
              <w:t>Contingencies</w:t>
            </w:r>
          </w:p>
        </w:tc>
        <w:tc>
          <w:tcPr>
            <w:tcW w:w="1261" w:type="dxa"/>
            <w:tcBorders>
              <w:top w:val="nil"/>
              <w:left w:val="nil"/>
              <w:bottom w:val="single" w:sz="4" w:space="0" w:color="auto"/>
              <w:right w:val="single" w:sz="4" w:space="0" w:color="auto"/>
            </w:tcBorders>
            <w:shd w:val="clear" w:color="auto" w:fill="auto"/>
            <w:vAlign w:val="center"/>
            <w:hideMark/>
          </w:tcPr>
          <w:p w14:paraId="21FDDE2F"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7.62</w:t>
            </w:r>
          </w:p>
        </w:tc>
        <w:tc>
          <w:tcPr>
            <w:tcW w:w="719" w:type="dxa"/>
            <w:tcBorders>
              <w:top w:val="nil"/>
              <w:left w:val="nil"/>
              <w:bottom w:val="single" w:sz="4" w:space="0" w:color="auto"/>
              <w:right w:val="single" w:sz="4" w:space="0" w:color="auto"/>
            </w:tcBorders>
            <w:shd w:val="clear" w:color="auto" w:fill="auto"/>
            <w:vAlign w:val="center"/>
            <w:hideMark/>
          </w:tcPr>
          <w:p w14:paraId="234172CA"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810" w:type="dxa"/>
            <w:tcBorders>
              <w:top w:val="nil"/>
              <w:left w:val="nil"/>
              <w:bottom w:val="single" w:sz="4" w:space="0" w:color="auto"/>
              <w:right w:val="single" w:sz="4" w:space="0" w:color="auto"/>
            </w:tcBorders>
            <w:shd w:val="clear" w:color="auto" w:fill="auto"/>
            <w:vAlign w:val="center"/>
            <w:hideMark/>
          </w:tcPr>
          <w:p w14:paraId="20DD6E53"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720" w:type="dxa"/>
            <w:tcBorders>
              <w:top w:val="nil"/>
              <w:left w:val="nil"/>
              <w:bottom w:val="single" w:sz="4" w:space="0" w:color="auto"/>
              <w:right w:val="single" w:sz="4" w:space="0" w:color="auto"/>
            </w:tcBorders>
            <w:shd w:val="clear" w:color="auto" w:fill="auto"/>
            <w:vAlign w:val="center"/>
            <w:hideMark/>
          </w:tcPr>
          <w:p w14:paraId="69DE2FCE"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61" w:type="dxa"/>
            <w:tcBorders>
              <w:top w:val="nil"/>
              <w:left w:val="nil"/>
              <w:bottom w:val="single" w:sz="4" w:space="0" w:color="auto"/>
              <w:right w:val="single" w:sz="4" w:space="0" w:color="auto"/>
            </w:tcBorders>
            <w:shd w:val="clear" w:color="auto" w:fill="auto"/>
            <w:vAlign w:val="center"/>
            <w:hideMark/>
          </w:tcPr>
          <w:p w14:paraId="0BDCE0E2"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89" w:type="dxa"/>
            <w:tcBorders>
              <w:top w:val="nil"/>
              <w:left w:val="nil"/>
              <w:bottom w:val="single" w:sz="4" w:space="0" w:color="auto"/>
              <w:right w:val="single" w:sz="4" w:space="0" w:color="auto"/>
            </w:tcBorders>
            <w:shd w:val="clear" w:color="auto" w:fill="auto"/>
            <w:vAlign w:val="center"/>
            <w:hideMark/>
          </w:tcPr>
          <w:p w14:paraId="33ABF8EC"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720" w:type="dxa"/>
            <w:tcBorders>
              <w:top w:val="nil"/>
              <w:left w:val="nil"/>
              <w:bottom w:val="single" w:sz="4" w:space="0" w:color="auto"/>
              <w:right w:val="single" w:sz="4" w:space="0" w:color="auto"/>
            </w:tcBorders>
            <w:shd w:val="clear" w:color="auto" w:fill="auto"/>
            <w:vAlign w:val="center"/>
            <w:hideMark/>
          </w:tcPr>
          <w:p w14:paraId="67793FC3"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61" w:type="dxa"/>
            <w:tcBorders>
              <w:top w:val="nil"/>
              <w:left w:val="nil"/>
              <w:bottom w:val="single" w:sz="4" w:space="0" w:color="auto"/>
              <w:right w:val="single" w:sz="4" w:space="0" w:color="auto"/>
            </w:tcBorders>
            <w:shd w:val="clear" w:color="auto" w:fill="auto"/>
            <w:vAlign w:val="center"/>
            <w:hideMark/>
          </w:tcPr>
          <w:p w14:paraId="3190075D"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869" w:type="dxa"/>
            <w:tcBorders>
              <w:top w:val="nil"/>
              <w:left w:val="nil"/>
              <w:bottom w:val="single" w:sz="4" w:space="0" w:color="auto"/>
              <w:right w:val="single" w:sz="4" w:space="0" w:color="auto"/>
            </w:tcBorders>
            <w:shd w:val="clear" w:color="auto" w:fill="auto"/>
            <w:vAlign w:val="center"/>
            <w:hideMark/>
          </w:tcPr>
          <w:p w14:paraId="7D77475C"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7.62</w:t>
            </w:r>
          </w:p>
        </w:tc>
      </w:tr>
      <w:tr w:rsidR="00DB0706" w:rsidRPr="00DB0706" w14:paraId="5E19096F" w14:textId="77777777" w:rsidTr="000512F8">
        <w:trPr>
          <w:trHeight w:val="24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76B0E7EC" w14:textId="77777777" w:rsidR="00DB0706" w:rsidRPr="00DB0706" w:rsidRDefault="00DB0706" w:rsidP="00DB0706">
            <w:pPr>
              <w:rPr>
                <w:rFonts w:ascii="Arial" w:eastAsia="SimSun" w:hAnsi="Arial" w:cs="Arial"/>
                <w:color w:val="000000"/>
                <w:lang w:eastAsia="zh-CN"/>
              </w:rPr>
            </w:pPr>
            <w:r w:rsidRPr="00DB0706">
              <w:rPr>
                <w:rFonts w:ascii="Arial" w:eastAsia="SimSun" w:hAnsi="Arial" w:cs="Arial"/>
                <w:color w:val="000000"/>
                <w:lang w:eastAsia="zh-CN"/>
              </w:rPr>
              <w:t>Initial Working Capital</w:t>
            </w:r>
          </w:p>
        </w:tc>
        <w:tc>
          <w:tcPr>
            <w:tcW w:w="1261" w:type="dxa"/>
            <w:tcBorders>
              <w:top w:val="nil"/>
              <w:left w:val="nil"/>
              <w:bottom w:val="single" w:sz="4" w:space="0" w:color="auto"/>
              <w:right w:val="single" w:sz="4" w:space="0" w:color="auto"/>
            </w:tcBorders>
            <w:shd w:val="clear" w:color="auto" w:fill="auto"/>
            <w:vAlign w:val="center"/>
            <w:hideMark/>
          </w:tcPr>
          <w:p w14:paraId="7BBE4EB4"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719" w:type="dxa"/>
            <w:tcBorders>
              <w:top w:val="nil"/>
              <w:left w:val="nil"/>
              <w:bottom w:val="single" w:sz="4" w:space="0" w:color="auto"/>
              <w:right w:val="single" w:sz="4" w:space="0" w:color="auto"/>
            </w:tcBorders>
            <w:shd w:val="clear" w:color="auto" w:fill="auto"/>
            <w:vAlign w:val="center"/>
            <w:hideMark/>
          </w:tcPr>
          <w:p w14:paraId="4EDE46E7"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5.40</w:t>
            </w:r>
          </w:p>
        </w:tc>
        <w:tc>
          <w:tcPr>
            <w:tcW w:w="810" w:type="dxa"/>
            <w:tcBorders>
              <w:top w:val="nil"/>
              <w:left w:val="nil"/>
              <w:bottom w:val="single" w:sz="4" w:space="0" w:color="auto"/>
              <w:right w:val="single" w:sz="4" w:space="0" w:color="auto"/>
            </w:tcBorders>
            <w:shd w:val="clear" w:color="auto" w:fill="auto"/>
            <w:vAlign w:val="center"/>
            <w:hideMark/>
          </w:tcPr>
          <w:p w14:paraId="4052DAF8"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720" w:type="dxa"/>
            <w:tcBorders>
              <w:top w:val="nil"/>
              <w:left w:val="nil"/>
              <w:bottom w:val="single" w:sz="4" w:space="0" w:color="auto"/>
              <w:right w:val="single" w:sz="4" w:space="0" w:color="auto"/>
            </w:tcBorders>
            <w:shd w:val="clear" w:color="auto" w:fill="auto"/>
            <w:vAlign w:val="center"/>
            <w:hideMark/>
          </w:tcPr>
          <w:p w14:paraId="45A727C5"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61" w:type="dxa"/>
            <w:tcBorders>
              <w:top w:val="nil"/>
              <w:left w:val="nil"/>
              <w:bottom w:val="single" w:sz="4" w:space="0" w:color="auto"/>
              <w:right w:val="single" w:sz="4" w:space="0" w:color="auto"/>
            </w:tcBorders>
            <w:shd w:val="clear" w:color="auto" w:fill="auto"/>
            <w:vAlign w:val="center"/>
            <w:hideMark/>
          </w:tcPr>
          <w:p w14:paraId="38AD9BF0"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89" w:type="dxa"/>
            <w:tcBorders>
              <w:top w:val="nil"/>
              <w:left w:val="nil"/>
              <w:bottom w:val="single" w:sz="4" w:space="0" w:color="auto"/>
              <w:right w:val="single" w:sz="4" w:space="0" w:color="auto"/>
            </w:tcBorders>
            <w:shd w:val="clear" w:color="auto" w:fill="auto"/>
            <w:vAlign w:val="center"/>
            <w:hideMark/>
          </w:tcPr>
          <w:p w14:paraId="77442B30"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720" w:type="dxa"/>
            <w:tcBorders>
              <w:top w:val="nil"/>
              <w:left w:val="nil"/>
              <w:bottom w:val="single" w:sz="4" w:space="0" w:color="auto"/>
              <w:right w:val="single" w:sz="4" w:space="0" w:color="auto"/>
            </w:tcBorders>
            <w:shd w:val="clear" w:color="auto" w:fill="auto"/>
            <w:vAlign w:val="center"/>
            <w:hideMark/>
          </w:tcPr>
          <w:p w14:paraId="0D39CAF3"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661" w:type="dxa"/>
            <w:tcBorders>
              <w:top w:val="nil"/>
              <w:left w:val="nil"/>
              <w:bottom w:val="single" w:sz="4" w:space="0" w:color="auto"/>
              <w:right w:val="single" w:sz="4" w:space="0" w:color="auto"/>
            </w:tcBorders>
            <w:shd w:val="clear" w:color="auto" w:fill="auto"/>
            <w:vAlign w:val="center"/>
            <w:hideMark/>
          </w:tcPr>
          <w:p w14:paraId="7D2B7F26"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0.00</w:t>
            </w:r>
          </w:p>
        </w:tc>
        <w:tc>
          <w:tcPr>
            <w:tcW w:w="869" w:type="dxa"/>
            <w:tcBorders>
              <w:top w:val="nil"/>
              <w:left w:val="nil"/>
              <w:bottom w:val="single" w:sz="4" w:space="0" w:color="auto"/>
              <w:right w:val="single" w:sz="4" w:space="0" w:color="auto"/>
            </w:tcBorders>
            <w:shd w:val="clear" w:color="auto" w:fill="auto"/>
            <w:vAlign w:val="center"/>
            <w:hideMark/>
          </w:tcPr>
          <w:p w14:paraId="08B9E1D3"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5.40</w:t>
            </w:r>
          </w:p>
        </w:tc>
      </w:tr>
      <w:tr w:rsidR="00DB0706" w:rsidRPr="00DB0706" w14:paraId="59D09B64" w14:textId="77777777" w:rsidTr="000512F8">
        <w:trPr>
          <w:trHeight w:val="48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018BC07E" w14:textId="77777777" w:rsidR="00DB0706" w:rsidRPr="00DB0706" w:rsidRDefault="00DB0706" w:rsidP="00DB0706">
            <w:pPr>
              <w:rPr>
                <w:rFonts w:ascii="Arial" w:eastAsia="SimSun" w:hAnsi="Arial" w:cs="Arial"/>
                <w:b/>
                <w:bCs/>
                <w:color w:val="000000"/>
                <w:lang w:eastAsia="zh-CN"/>
              </w:rPr>
            </w:pPr>
            <w:r w:rsidRPr="00DB0706">
              <w:rPr>
                <w:rFonts w:ascii="Arial" w:eastAsia="SimSun" w:hAnsi="Arial" w:cs="Arial"/>
                <w:b/>
                <w:bCs/>
                <w:color w:val="000000"/>
                <w:lang w:eastAsia="zh-CN"/>
              </w:rPr>
              <w:t>Total Capital Expenditure</w:t>
            </w:r>
          </w:p>
        </w:tc>
        <w:tc>
          <w:tcPr>
            <w:tcW w:w="1261" w:type="dxa"/>
            <w:tcBorders>
              <w:top w:val="nil"/>
              <w:left w:val="nil"/>
              <w:bottom w:val="single" w:sz="4" w:space="0" w:color="auto"/>
              <w:right w:val="single" w:sz="4" w:space="0" w:color="auto"/>
            </w:tcBorders>
            <w:shd w:val="clear" w:color="auto" w:fill="auto"/>
            <w:vAlign w:val="center"/>
            <w:hideMark/>
          </w:tcPr>
          <w:p w14:paraId="69645B17" w14:textId="77777777" w:rsidR="00DB0706" w:rsidRPr="00DB0706" w:rsidRDefault="00DB0706" w:rsidP="00DB0706">
            <w:pPr>
              <w:jc w:val="right"/>
              <w:rPr>
                <w:rFonts w:ascii="Arial" w:eastAsia="SimSun" w:hAnsi="Arial" w:cs="Arial"/>
                <w:b/>
                <w:bCs/>
                <w:color w:val="000000"/>
                <w:lang w:eastAsia="zh-CN"/>
              </w:rPr>
            </w:pPr>
            <w:r w:rsidRPr="00DB0706">
              <w:rPr>
                <w:rFonts w:ascii="Arial" w:eastAsia="SimSun" w:hAnsi="Arial" w:cs="Arial"/>
                <w:b/>
                <w:bCs/>
                <w:color w:val="000000"/>
                <w:lang w:eastAsia="zh-CN"/>
              </w:rPr>
              <w:t>148.86</w:t>
            </w:r>
          </w:p>
        </w:tc>
        <w:tc>
          <w:tcPr>
            <w:tcW w:w="719" w:type="dxa"/>
            <w:tcBorders>
              <w:top w:val="nil"/>
              <w:left w:val="nil"/>
              <w:bottom w:val="single" w:sz="4" w:space="0" w:color="auto"/>
              <w:right w:val="single" w:sz="4" w:space="0" w:color="auto"/>
            </w:tcBorders>
            <w:shd w:val="clear" w:color="auto" w:fill="auto"/>
            <w:vAlign w:val="center"/>
            <w:hideMark/>
          </w:tcPr>
          <w:p w14:paraId="4A077FD6" w14:textId="77777777" w:rsidR="00DB0706" w:rsidRPr="00DB0706" w:rsidRDefault="00DB0706" w:rsidP="00DB0706">
            <w:pPr>
              <w:jc w:val="right"/>
              <w:rPr>
                <w:rFonts w:ascii="Arial" w:eastAsia="SimSun" w:hAnsi="Arial" w:cs="Arial"/>
                <w:b/>
                <w:bCs/>
                <w:color w:val="000000"/>
                <w:lang w:eastAsia="zh-CN"/>
              </w:rPr>
            </w:pPr>
            <w:r w:rsidRPr="00DB0706">
              <w:rPr>
                <w:rFonts w:ascii="Arial" w:eastAsia="SimSun" w:hAnsi="Arial" w:cs="Arial"/>
                <w:b/>
                <w:bCs/>
                <w:color w:val="000000"/>
                <w:lang w:eastAsia="zh-CN"/>
              </w:rPr>
              <w:t>9.13</w:t>
            </w:r>
          </w:p>
        </w:tc>
        <w:tc>
          <w:tcPr>
            <w:tcW w:w="810" w:type="dxa"/>
            <w:tcBorders>
              <w:top w:val="nil"/>
              <w:left w:val="nil"/>
              <w:bottom w:val="single" w:sz="4" w:space="0" w:color="auto"/>
              <w:right w:val="single" w:sz="4" w:space="0" w:color="auto"/>
            </w:tcBorders>
            <w:shd w:val="clear" w:color="auto" w:fill="auto"/>
            <w:vAlign w:val="center"/>
            <w:hideMark/>
          </w:tcPr>
          <w:p w14:paraId="1CC00B10" w14:textId="77777777" w:rsidR="00DB0706" w:rsidRPr="00DB0706" w:rsidRDefault="00DB0706" w:rsidP="00DB0706">
            <w:pPr>
              <w:jc w:val="right"/>
              <w:rPr>
                <w:rFonts w:ascii="Arial" w:eastAsia="SimSun" w:hAnsi="Arial" w:cs="Arial"/>
                <w:b/>
                <w:bCs/>
                <w:color w:val="000000"/>
                <w:lang w:eastAsia="zh-CN"/>
              </w:rPr>
            </w:pPr>
            <w:r w:rsidRPr="00DB0706">
              <w:rPr>
                <w:rFonts w:ascii="Arial" w:eastAsia="SimSun" w:hAnsi="Arial" w:cs="Arial"/>
                <w:b/>
                <w:bCs/>
                <w:color w:val="000000"/>
                <w:lang w:eastAsia="zh-CN"/>
              </w:rPr>
              <w:t>13.50</w:t>
            </w:r>
          </w:p>
        </w:tc>
        <w:tc>
          <w:tcPr>
            <w:tcW w:w="720" w:type="dxa"/>
            <w:tcBorders>
              <w:top w:val="nil"/>
              <w:left w:val="nil"/>
              <w:bottom w:val="single" w:sz="4" w:space="0" w:color="auto"/>
              <w:right w:val="single" w:sz="4" w:space="0" w:color="auto"/>
            </w:tcBorders>
            <w:shd w:val="clear" w:color="auto" w:fill="auto"/>
            <w:vAlign w:val="center"/>
            <w:hideMark/>
          </w:tcPr>
          <w:p w14:paraId="0E7521E2" w14:textId="77777777" w:rsidR="00DB0706" w:rsidRPr="00DB0706" w:rsidRDefault="00DB0706" w:rsidP="00DB0706">
            <w:pPr>
              <w:jc w:val="right"/>
              <w:rPr>
                <w:rFonts w:ascii="Arial" w:eastAsia="SimSun" w:hAnsi="Arial" w:cs="Arial"/>
                <w:b/>
                <w:bCs/>
                <w:color w:val="000000"/>
                <w:lang w:eastAsia="zh-CN"/>
              </w:rPr>
            </w:pPr>
            <w:r w:rsidRPr="00DB0706">
              <w:rPr>
                <w:rFonts w:ascii="Arial" w:eastAsia="SimSun" w:hAnsi="Arial" w:cs="Arial"/>
                <w:b/>
                <w:bCs/>
                <w:color w:val="000000"/>
                <w:lang w:eastAsia="zh-CN"/>
              </w:rPr>
              <w:t>4.14</w:t>
            </w:r>
          </w:p>
        </w:tc>
        <w:tc>
          <w:tcPr>
            <w:tcW w:w="661" w:type="dxa"/>
            <w:tcBorders>
              <w:top w:val="nil"/>
              <w:left w:val="nil"/>
              <w:bottom w:val="single" w:sz="4" w:space="0" w:color="auto"/>
              <w:right w:val="single" w:sz="4" w:space="0" w:color="auto"/>
            </w:tcBorders>
            <w:shd w:val="clear" w:color="auto" w:fill="auto"/>
            <w:vAlign w:val="center"/>
            <w:hideMark/>
          </w:tcPr>
          <w:p w14:paraId="3EA19000" w14:textId="77777777" w:rsidR="00DB0706" w:rsidRPr="00DB0706" w:rsidRDefault="00DB0706" w:rsidP="00DB0706">
            <w:pPr>
              <w:jc w:val="right"/>
              <w:rPr>
                <w:rFonts w:ascii="Arial" w:eastAsia="SimSun" w:hAnsi="Arial" w:cs="Arial"/>
                <w:b/>
                <w:bCs/>
                <w:color w:val="000000"/>
                <w:lang w:eastAsia="zh-CN"/>
              </w:rPr>
            </w:pPr>
            <w:r w:rsidRPr="00DB0706">
              <w:rPr>
                <w:rFonts w:ascii="Arial" w:eastAsia="SimSun" w:hAnsi="Arial" w:cs="Arial"/>
                <w:b/>
                <w:bCs/>
                <w:color w:val="000000"/>
                <w:lang w:eastAsia="zh-CN"/>
              </w:rPr>
              <w:t>0.00</w:t>
            </w:r>
          </w:p>
        </w:tc>
        <w:tc>
          <w:tcPr>
            <w:tcW w:w="689" w:type="dxa"/>
            <w:tcBorders>
              <w:top w:val="nil"/>
              <w:left w:val="nil"/>
              <w:bottom w:val="single" w:sz="4" w:space="0" w:color="auto"/>
              <w:right w:val="single" w:sz="4" w:space="0" w:color="auto"/>
            </w:tcBorders>
            <w:shd w:val="clear" w:color="auto" w:fill="auto"/>
            <w:vAlign w:val="center"/>
            <w:hideMark/>
          </w:tcPr>
          <w:p w14:paraId="571E32FB" w14:textId="77777777" w:rsidR="00DB0706" w:rsidRPr="00DB0706" w:rsidRDefault="00DB0706" w:rsidP="00DB0706">
            <w:pPr>
              <w:jc w:val="right"/>
              <w:rPr>
                <w:rFonts w:ascii="Arial" w:eastAsia="SimSun" w:hAnsi="Arial" w:cs="Arial"/>
                <w:b/>
                <w:bCs/>
                <w:color w:val="000000"/>
                <w:lang w:eastAsia="zh-CN"/>
              </w:rPr>
            </w:pPr>
            <w:r w:rsidRPr="00DB0706">
              <w:rPr>
                <w:rFonts w:ascii="Arial" w:eastAsia="SimSun" w:hAnsi="Arial" w:cs="Arial"/>
                <w:b/>
                <w:bCs/>
                <w:color w:val="000000"/>
                <w:lang w:eastAsia="zh-CN"/>
              </w:rPr>
              <w:t>0.00</w:t>
            </w:r>
          </w:p>
        </w:tc>
        <w:tc>
          <w:tcPr>
            <w:tcW w:w="720" w:type="dxa"/>
            <w:tcBorders>
              <w:top w:val="nil"/>
              <w:left w:val="nil"/>
              <w:bottom w:val="single" w:sz="4" w:space="0" w:color="auto"/>
              <w:right w:val="single" w:sz="4" w:space="0" w:color="auto"/>
            </w:tcBorders>
            <w:shd w:val="clear" w:color="auto" w:fill="auto"/>
            <w:vAlign w:val="center"/>
            <w:hideMark/>
          </w:tcPr>
          <w:p w14:paraId="3C969F00" w14:textId="77777777" w:rsidR="00DB0706" w:rsidRPr="00DB0706" w:rsidRDefault="00DB0706" w:rsidP="00DB0706">
            <w:pPr>
              <w:jc w:val="right"/>
              <w:rPr>
                <w:rFonts w:ascii="Arial" w:eastAsia="SimSun" w:hAnsi="Arial" w:cs="Arial"/>
                <w:b/>
                <w:bCs/>
                <w:color w:val="000000"/>
                <w:lang w:eastAsia="zh-CN"/>
              </w:rPr>
            </w:pPr>
            <w:r w:rsidRPr="00DB0706">
              <w:rPr>
                <w:rFonts w:ascii="Arial" w:eastAsia="SimSun" w:hAnsi="Arial" w:cs="Arial"/>
                <w:b/>
                <w:bCs/>
                <w:color w:val="000000"/>
                <w:lang w:eastAsia="zh-CN"/>
              </w:rPr>
              <w:t>2.20</w:t>
            </w:r>
          </w:p>
        </w:tc>
        <w:tc>
          <w:tcPr>
            <w:tcW w:w="661" w:type="dxa"/>
            <w:tcBorders>
              <w:top w:val="nil"/>
              <w:left w:val="nil"/>
              <w:bottom w:val="single" w:sz="4" w:space="0" w:color="auto"/>
              <w:right w:val="single" w:sz="4" w:space="0" w:color="auto"/>
            </w:tcBorders>
            <w:shd w:val="clear" w:color="auto" w:fill="auto"/>
            <w:vAlign w:val="center"/>
            <w:hideMark/>
          </w:tcPr>
          <w:p w14:paraId="795E9857" w14:textId="77777777" w:rsidR="00DB0706" w:rsidRPr="00DB0706" w:rsidRDefault="00DB0706" w:rsidP="00DB0706">
            <w:pPr>
              <w:jc w:val="right"/>
              <w:rPr>
                <w:rFonts w:ascii="Arial" w:eastAsia="SimSun" w:hAnsi="Arial" w:cs="Arial"/>
                <w:b/>
                <w:bCs/>
                <w:color w:val="000000"/>
                <w:lang w:eastAsia="zh-CN"/>
              </w:rPr>
            </w:pPr>
            <w:r w:rsidRPr="00DB0706">
              <w:rPr>
                <w:rFonts w:ascii="Arial" w:eastAsia="SimSun" w:hAnsi="Arial" w:cs="Arial"/>
                <w:b/>
                <w:bCs/>
                <w:color w:val="000000"/>
                <w:lang w:eastAsia="zh-CN"/>
              </w:rPr>
              <w:t>0.00</w:t>
            </w:r>
          </w:p>
        </w:tc>
        <w:tc>
          <w:tcPr>
            <w:tcW w:w="869" w:type="dxa"/>
            <w:tcBorders>
              <w:top w:val="nil"/>
              <w:left w:val="nil"/>
              <w:bottom w:val="single" w:sz="4" w:space="0" w:color="auto"/>
              <w:right w:val="single" w:sz="4" w:space="0" w:color="auto"/>
            </w:tcBorders>
            <w:shd w:val="clear" w:color="auto" w:fill="auto"/>
            <w:vAlign w:val="center"/>
            <w:hideMark/>
          </w:tcPr>
          <w:p w14:paraId="3D073D8A" w14:textId="77777777" w:rsidR="00DB0706" w:rsidRPr="00DB0706" w:rsidRDefault="00DB0706" w:rsidP="00DB0706">
            <w:pPr>
              <w:jc w:val="right"/>
              <w:rPr>
                <w:rFonts w:ascii="Arial" w:eastAsia="SimSun" w:hAnsi="Arial" w:cs="Arial"/>
                <w:b/>
                <w:bCs/>
                <w:color w:val="000000"/>
                <w:lang w:eastAsia="zh-CN"/>
              </w:rPr>
            </w:pPr>
            <w:r w:rsidRPr="00DB0706">
              <w:rPr>
                <w:rFonts w:ascii="Arial" w:eastAsia="SimSun" w:hAnsi="Arial" w:cs="Arial"/>
                <w:b/>
                <w:bCs/>
                <w:color w:val="000000"/>
                <w:lang w:eastAsia="zh-CN"/>
              </w:rPr>
              <w:t>177.83</w:t>
            </w:r>
          </w:p>
        </w:tc>
      </w:tr>
    </w:tbl>
    <w:p w14:paraId="32E63760" w14:textId="77777777" w:rsidR="00DB0706" w:rsidRPr="00DB0706" w:rsidRDefault="00DB0706" w:rsidP="00DB0706">
      <w:pPr>
        <w:jc w:val="both"/>
        <w:rPr>
          <w:rFonts w:ascii="Arial" w:hAnsi="Arial" w:cs="Arial"/>
          <w:kern w:val="2"/>
          <w:sz w:val="17"/>
          <w:szCs w:val="17"/>
        </w:rPr>
      </w:pPr>
    </w:p>
    <w:p w14:paraId="44E734DE" w14:textId="25F80AA2" w:rsidR="00DB0706" w:rsidRDefault="00DB0706" w:rsidP="00DB0706">
      <w:pPr>
        <w:pStyle w:val="BodyTextMain"/>
      </w:pPr>
      <w:r w:rsidRPr="00DB0706">
        <w:rPr>
          <w:rFonts w:ascii="Arial" w:hAnsi="Arial" w:cs="Arial"/>
          <w:kern w:val="2"/>
          <w:sz w:val="17"/>
          <w:szCs w:val="17"/>
        </w:rPr>
        <w:t>Source: Created by the case authors based on Venmyn Rand (Pty) Ltd</w:t>
      </w:r>
      <w:r w:rsidR="008C68AA">
        <w:rPr>
          <w:rFonts w:ascii="Arial" w:hAnsi="Arial" w:cs="Arial"/>
          <w:kern w:val="2"/>
          <w:sz w:val="17"/>
          <w:szCs w:val="17"/>
        </w:rPr>
        <w:t>.</w:t>
      </w:r>
      <w:r w:rsidRPr="00DB0706">
        <w:rPr>
          <w:rFonts w:ascii="Arial" w:hAnsi="Arial" w:cs="Arial"/>
          <w:kern w:val="2"/>
          <w:sz w:val="17"/>
          <w:szCs w:val="17"/>
        </w:rPr>
        <w:t xml:space="preserve">, </w:t>
      </w:r>
      <w:r w:rsidR="008C68AA">
        <w:rPr>
          <w:rFonts w:ascii="Arial" w:hAnsi="Arial" w:cs="Arial"/>
          <w:i/>
          <w:kern w:val="2"/>
          <w:sz w:val="17"/>
          <w:szCs w:val="17"/>
        </w:rPr>
        <w:t xml:space="preserve">Independent </w:t>
      </w:r>
      <w:r w:rsidRPr="00605E9D">
        <w:rPr>
          <w:rFonts w:ascii="Arial" w:hAnsi="Arial" w:cs="Arial"/>
          <w:i/>
          <w:kern w:val="2"/>
          <w:sz w:val="17"/>
          <w:szCs w:val="17"/>
        </w:rPr>
        <w:t>Technical Report on the Namoya Gold Project,</w:t>
      </w:r>
      <w:r w:rsidR="008C68AA">
        <w:rPr>
          <w:rFonts w:ascii="Arial" w:hAnsi="Arial" w:cs="Arial"/>
          <w:i/>
          <w:kern w:val="2"/>
          <w:sz w:val="17"/>
          <w:szCs w:val="17"/>
        </w:rPr>
        <w:t xml:space="preserve"> Maniema Province, Democratic Republic of the Congo</w:t>
      </w:r>
      <w:r w:rsidR="008C68AA">
        <w:rPr>
          <w:rFonts w:ascii="Arial" w:hAnsi="Arial" w:cs="Arial"/>
          <w:kern w:val="2"/>
          <w:sz w:val="17"/>
          <w:szCs w:val="17"/>
        </w:rPr>
        <w:t>,</w:t>
      </w:r>
      <w:r w:rsidRPr="00DB0706">
        <w:rPr>
          <w:rFonts w:ascii="Arial" w:hAnsi="Arial" w:cs="Arial"/>
          <w:kern w:val="2"/>
          <w:sz w:val="17"/>
          <w:szCs w:val="17"/>
        </w:rPr>
        <w:t xml:space="preserve"> </w:t>
      </w:r>
      <w:r w:rsidR="008C68AA">
        <w:rPr>
          <w:rFonts w:ascii="Arial" w:hAnsi="Arial" w:cs="Arial"/>
          <w:kern w:val="2"/>
          <w:sz w:val="17"/>
          <w:szCs w:val="17"/>
        </w:rPr>
        <w:t xml:space="preserve">61, </w:t>
      </w:r>
      <w:r w:rsidRPr="00DB0706">
        <w:rPr>
          <w:rFonts w:ascii="Arial" w:hAnsi="Arial" w:cs="Arial"/>
          <w:kern w:val="2"/>
          <w:sz w:val="17"/>
          <w:szCs w:val="17"/>
        </w:rPr>
        <w:t>January 24, 2012, accessed November 14, 2017, https://secure.kaiserresearch.com/i/jk/tr16/TRBAA20120112.pdf.</w:t>
      </w:r>
    </w:p>
    <w:p w14:paraId="74E3FE10" w14:textId="77777777" w:rsidR="00DB0706" w:rsidRDefault="00DB0706" w:rsidP="00DB0706">
      <w:pPr>
        <w:pStyle w:val="BodyTextMain"/>
      </w:pPr>
    </w:p>
    <w:p w14:paraId="2BE622FA" w14:textId="77777777" w:rsidR="00BB1E3A" w:rsidRDefault="00BB1E3A" w:rsidP="00DB0706">
      <w:pPr>
        <w:pStyle w:val="BodyTextMain"/>
      </w:pPr>
    </w:p>
    <w:p w14:paraId="6996AEB6" w14:textId="37BCBBB9" w:rsidR="00DB0706" w:rsidRPr="00DB0706" w:rsidRDefault="00DB0706" w:rsidP="00DB0706">
      <w:pPr>
        <w:jc w:val="center"/>
        <w:outlineLvl w:val="0"/>
        <w:rPr>
          <w:rFonts w:ascii="Arial" w:hAnsi="Arial" w:cs="Arial"/>
          <w:b/>
          <w:caps/>
          <w:kern w:val="2"/>
          <w:lang w:val="en-GB"/>
        </w:rPr>
      </w:pPr>
      <w:r w:rsidRPr="00DB0706">
        <w:rPr>
          <w:rFonts w:ascii="Arial" w:hAnsi="Arial" w:cs="Arial"/>
          <w:b/>
          <w:caps/>
          <w:kern w:val="2"/>
          <w:lang w:val="en-GB"/>
        </w:rPr>
        <w:lastRenderedPageBreak/>
        <w:t xml:space="preserve">Exhibit 3: BANRO CORPORATION CONSOLIDATED BALANCE SHEET </w:t>
      </w:r>
    </w:p>
    <w:p w14:paraId="54B9628B" w14:textId="5E7A7E00" w:rsidR="00DB0706" w:rsidRPr="00DB0706" w:rsidRDefault="00DB0706" w:rsidP="00DB0706">
      <w:pPr>
        <w:jc w:val="center"/>
        <w:outlineLvl w:val="0"/>
        <w:rPr>
          <w:rFonts w:ascii="Arial" w:hAnsi="Arial" w:cs="Arial"/>
          <w:b/>
          <w:caps/>
          <w:kern w:val="2"/>
          <w:lang w:val="en-GB" w:eastAsia="zh-CN"/>
        </w:rPr>
      </w:pPr>
      <w:r w:rsidRPr="00DB0706">
        <w:rPr>
          <w:rFonts w:ascii="Arial" w:hAnsi="Arial" w:cs="Arial"/>
          <w:b/>
          <w:caps/>
          <w:kern w:val="2"/>
          <w:lang w:val="en-GB"/>
        </w:rPr>
        <w:t>AT DECEMBER 31, 2011</w:t>
      </w:r>
      <w:r w:rsidR="00553DD6">
        <w:rPr>
          <w:rFonts w:ascii="Arial" w:hAnsi="Arial" w:cs="Arial"/>
          <w:b/>
          <w:caps/>
          <w:kern w:val="2"/>
          <w:lang w:val="en-GB"/>
        </w:rPr>
        <w:t>–</w:t>
      </w:r>
      <w:r w:rsidRPr="00DB0706">
        <w:rPr>
          <w:rFonts w:ascii="Arial" w:hAnsi="Arial" w:cs="Arial"/>
          <w:b/>
          <w:caps/>
          <w:kern w:val="2"/>
          <w:lang w:val="en-GB"/>
        </w:rPr>
        <w:t>2016 (US$ MILLION)</w:t>
      </w:r>
    </w:p>
    <w:p w14:paraId="670653F2" w14:textId="77777777" w:rsidR="00DB0706" w:rsidRPr="00DB0706" w:rsidRDefault="00DB0706" w:rsidP="00DB0706">
      <w:pPr>
        <w:jc w:val="both"/>
        <w:rPr>
          <w:rFonts w:ascii="Arial" w:hAnsi="Arial" w:cs="Arial"/>
          <w:kern w:val="2"/>
          <w:sz w:val="17"/>
          <w:szCs w:val="17"/>
        </w:rPr>
      </w:pPr>
    </w:p>
    <w:tbl>
      <w:tblPr>
        <w:tblW w:w="8321" w:type="dxa"/>
        <w:jc w:val="center"/>
        <w:tblLook w:val="04A0" w:firstRow="1" w:lastRow="0" w:firstColumn="1" w:lastColumn="0" w:noHBand="0" w:noVBand="1"/>
      </w:tblPr>
      <w:tblGrid>
        <w:gridCol w:w="3665"/>
        <w:gridCol w:w="739"/>
        <w:gridCol w:w="739"/>
        <w:gridCol w:w="739"/>
        <w:gridCol w:w="739"/>
        <w:gridCol w:w="850"/>
        <w:gridCol w:w="850"/>
      </w:tblGrid>
      <w:tr w:rsidR="008644A0" w:rsidRPr="00DB0706" w14:paraId="562BF53F" w14:textId="77777777" w:rsidTr="00737977">
        <w:trPr>
          <w:trHeight w:val="240"/>
          <w:jc w:val="center"/>
        </w:trPr>
        <w:tc>
          <w:tcPr>
            <w:tcW w:w="3748" w:type="dxa"/>
            <w:tcBorders>
              <w:top w:val="single" w:sz="4" w:space="0" w:color="auto"/>
              <w:left w:val="nil"/>
              <w:bottom w:val="nil"/>
              <w:right w:val="nil"/>
            </w:tcBorders>
            <w:shd w:val="clear" w:color="auto" w:fill="auto"/>
            <w:vAlign w:val="bottom"/>
            <w:hideMark/>
          </w:tcPr>
          <w:p w14:paraId="78CF68DE" w14:textId="77777777" w:rsidR="008644A0" w:rsidRPr="00DB0706" w:rsidRDefault="008644A0" w:rsidP="008644A0">
            <w:pPr>
              <w:rPr>
                <w:rFonts w:ascii="Arial" w:eastAsia="SimSun" w:hAnsi="Arial"/>
                <w:color w:val="000000"/>
                <w:lang w:eastAsia="zh-CN"/>
              </w:rPr>
            </w:pPr>
          </w:p>
        </w:tc>
        <w:tc>
          <w:tcPr>
            <w:tcW w:w="738" w:type="dxa"/>
            <w:tcBorders>
              <w:top w:val="single" w:sz="4" w:space="0" w:color="auto"/>
              <w:left w:val="nil"/>
              <w:bottom w:val="single" w:sz="4" w:space="0" w:color="auto"/>
              <w:right w:val="nil"/>
            </w:tcBorders>
            <w:vAlign w:val="bottom"/>
          </w:tcPr>
          <w:p w14:paraId="1DA4AF3F" w14:textId="3CD3C489" w:rsidR="008644A0" w:rsidRPr="00DB0706" w:rsidRDefault="008644A0" w:rsidP="008644A0">
            <w:pPr>
              <w:jc w:val="center"/>
              <w:rPr>
                <w:rFonts w:ascii="Arial" w:eastAsia="SimSun" w:hAnsi="Arial"/>
                <w:b/>
                <w:bCs/>
                <w:color w:val="000000"/>
                <w:lang w:eastAsia="zh-CN"/>
              </w:rPr>
            </w:pPr>
            <w:r w:rsidRPr="00DB0706">
              <w:rPr>
                <w:rFonts w:ascii="Arial" w:eastAsia="SimSun" w:hAnsi="Arial"/>
                <w:b/>
                <w:bCs/>
                <w:color w:val="000000"/>
                <w:lang w:eastAsia="zh-CN"/>
              </w:rPr>
              <w:t>2011</w:t>
            </w:r>
          </w:p>
        </w:tc>
        <w:tc>
          <w:tcPr>
            <w:tcW w:w="738" w:type="dxa"/>
            <w:tcBorders>
              <w:top w:val="single" w:sz="4" w:space="0" w:color="auto"/>
              <w:left w:val="nil"/>
              <w:bottom w:val="single" w:sz="4" w:space="0" w:color="auto"/>
              <w:right w:val="nil"/>
            </w:tcBorders>
            <w:vAlign w:val="bottom"/>
          </w:tcPr>
          <w:p w14:paraId="703B54CF" w14:textId="2ACC9E38" w:rsidR="008644A0" w:rsidRPr="00DB0706" w:rsidRDefault="008644A0" w:rsidP="008644A0">
            <w:pPr>
              <w:jc w:val="center"/>
              <w:rPr>
                <w:rFonts w:ascii="Arial" w:eastAsia="SimSun" w:hAnsi="Arial"/>
                <w:b/>
                <w:bCs/>
                <w:color w:val="000000"/>
                <w:lang w:eastAsia="zh-CN"/>
              </w:rPr>
            </w:pPr>
            <w:r w:rsidRPr="00DB0706">
              <w:rPr>
                <w:rFonts w:ascii="Arial" w:eastAsia="SimSun" w:hAnsi="Arial"/>
                <w:b/>
                <w:bCs/>
                <w:color w:val="000000"/>
                <w:lang w:eastAsia="zh-CN"/>
              </w:rPr>
              <w:t>2012</w:t>
            </w:r>
          </w:p>
        </w:tc>
        <w:tc>
          <w:tcPr>
            <w:tcW w:w="738" w:type="dxa"/>
            <w:tcBorders>
              <w:top w:val="single" w:sz="4" w:space="0" w:color="auto"/>
              <w:left w:val="nil"/>
              <w:bottom w:val="single" w:sz="4" w:space="0" w:color="auto"/>
              <w:right w:val="nil"/>
            </w:tcBorders>
            <w:vAlign w:val="bottom"/>
          </w:tcPr>
          <w:p w14:paraId="01E3841E" w14:textId="677E6173" w:rsidR="008644A0" w:rsidRPr="00DB0706" w:rsidRDefault="008644A0" w:rsidP="008644A0">
            <w:pPr>
              <w:jc w:val="center"/>
              <w:rPr>
                <w:rFonts w:ascii="Arial" w:eastAsia="SimSun" w:hAnsi="Arial"/>
                <w:b/>
                <w:bCs/>
                <w:color w:val="000000"/>
                <w:lang w:eastAsia="zh-CN"/>
              </w:rPr>
            </w:pPr>
            <w:r w:rsidRPr="00DB0706">
              <w:rPr>
                <w:rFonts w:ascii="Arial" w:eastAsia="SimSun" w:hAnsi="Arial"/>
                <w:b/>
                <w:bCs/>
                <w:color w:val="000000"/>
                <w:lang w:eastAsia="zh-CN"/>
              </w:rPr>
              <w:t>2013</w:t>
            </w:r>
          </w:p>
        </w:tc>
        <w:tc>
          <w:tcPr>
            <w:tcW w:w="738" w:type="dxa"/>
            <w:tcBorders>
              <w:top w:val="single" w:sz="4" w:space="0" w:color="auto"/>
              <w:left w:val="nil"/>
              <w:bottom w:val="single" w:sz="4" w:space="0" w:color="auto"/>
              <w:right w:val="nil"/>
            </w:tcBorders>
            <w:vAlign w:val="bottom"/>
          </w:tcPr>
          <w:p w14:paraId="3D4C3634" w14:textId="22B5F95E" w:rsidR="008644A0" w:rsidRPr="00DB0706" w:rsidRDefault="008644A0" w:rsidP="008644A0">
            <w:pPr>
              <w:jc w:val="center"/>
              <w:rPr>
                <w:rFonts w:ascii="Arial" w:eastAsia="SimSun" w:hAnsi="Arial"/>
                <w:b/>
                <w:bCs/>
                <w:color w:val="000000"/>
                <w:lang w:eastAsia="zh-CN"/>
              </w:rPr>
            </w:pPr>
            <w:r w:rsidRPr="00DB0706">
              <w:rPr>
                <w:rFonts w:ascii="Arial" w:eastAsia="SimSun" w:hAnsi="Arial"/>
                <w:b/>
                <w:bCs/>
                <w:color w:val="000000"/>
                <w:lang w:eastAsia="zh-CN"/>
              </w:rPr>
              <w:t>2014</w:t>
            </w:r>
          </w:p>
        </w:tc>
        <w:tc>
          <w:tcPr>
            <w:tcW w:w="784" w:type="dxa"/>
            <w:tcBorders>
              <w:top w:val="single" w:sz="4" w:space="0" w:color="auto"/>
              <w:left w:val="nil"/>
              <w:bottom w:val="single" w:sz="4" w:space="0" w:color="auto"/>
              <w:right w:val="nil"/>
            </w:tcBorders>
            <w:vAlign w:val="bottom"/>
          </w:tcPr>
          <w:p w14:paraId="02C183F7" w14:textId="5F278011" w:rsidR="008644A0" w:rsidRPr="00DB0706" w:rsidRDefault="008644A0" w:rsidP="008644A0">
            <w:pPr>
              <w:jc w:val="center"/>
              <w:rPr>
                <w:rFonts w:ascii="Arial" w:eastAsia="SimSun" w:hAnsi="Arial"/>
                <w:b/>
                <w:bCs/>
                <w:color w:val="000000"/>
                <w:lang w:eastAsia="zh-CN"/>
              </w:rPr>
            </w:pPr>
            <w:r w:rsidRPr="00DB0706">
              <w:rPr>
                <w:rFonts w:ascii="Arial" w:eastAsia="SimSun" w:hAnsi="Arial"/>
                <w:b/>
                <w:bCs/>
                <w:color w:val="000000"/>
                <w:lang w:eastAsia="zh-CN"/>
              </w:rPr>
              <w:t>2015</w:t>
            </w:r>
          </w:p>
        </w:tc>
        <w:tc>
          <w:tcPr>
            <w:tcW w:w="837" w:type="dxa"/>
            <w:tcBorders>
              <w:top w:val="single" w:sz="4" w:space="0" w:color="auto"/>
              <w:left w:val="nil"/>
              <w:bottom w:val="single" w:sz="4" w:space="0" w:color="auto"/>
              <w:right w:val="nil"/>
            </w:tcBorders>
            <w:shd w:val="clear" w:color="auto" w:fill="auto"/>
            <w:vAlign w:val="bottom"/>
            <w:hideMark/>
          </w:tcPr>
          <w:p w14:paraId="47F6F373" w14:textId="433B8ED6" w:rsidR="008644A0" w:rsidRPr="00DB0706" w:rsidRDefault="008644A0" w:rsidP="008644A0">
            <w:pPr>
              <w:jc w:val="center"/>
              <w:rPr>
                <w:rFonts w:ascii="Arial" w:eastAsia="SimSun" w:hAnsi="Arial"/>
                <w:b/>
                <w:bCs/>
                <w:color w:val="000000"/>
                <w:lang w:eastAsia="zh-CN"/>
              </w:rPr>
            </w:pPr>
            <w:r w:rsidRPr="00DB0706">
              <w:rPr>
                <w:rFonts w:ascii="Arial" w:eastAsia="SimSun" w:hAnsi="Arial"/>
                <w:b/>
                <w:bCs/>
                <w:color w:val="000000"/>
                <w:lang w:eastAsia="zh-CN"/>
              </w:rPr>
              <w:t>2016</w:t>
            </w:r>
          </w:p>
        </w:tc>
      </w:tr>
      <w:tr w:rsidR="008644A0" w:rsidRPr="00DB0706" w14:paraId="27E35851" w14:textId="77777777" w:rsidTr="00737977">
        <w:trPr>
          <w:trHeight w:val="240"/>
          <w:jc w:val="center"/>
        </w:trPr>
        <w:tc>
          <w:tcPr>
            <w:tcW w:w="3748" w:type="dxa"/>
            <w:tcBorders>
              <w:top w:val="nil"/>
              <w:left w:val="nil"/>
              <w:bottom w:val="nil"/>
              <w:right w:val="nil"/>
            </w:tcBorders>
            <w:shd w:val="clear" w:color="auto" w:fill="auto"/>
            <w:vAlign w:val="bottom"/>
            <w:hideMark/>
          </w:tcPr>
          <w:p w14:paraId="6F6C643A" w14:textId="77777777" w:rsidR="008644A0" w:rsidRPr="00DB0706" w:rsidRDefault="008644A0" w:rsidP="008644A0">
            <w:pPr>
              <w:rPr>
                <w:rFonts w:ascii="Arial" w:eastAsia="SimSun" w:hAnsi="Arial"/>
                <w:b/>
                <w:bCs/>
                <w:color w:val="000000"/>
                <w:u w:val="single"/>
                <w:lang w:eastAsia="zh-CN"/>
              </w:rPr>
            </w:pPr>
            <w:r w:rsidRPr="00DB0706">
              <w:rPr>
                <w:rFonts w:ascii="Arial" w:eastAsia="SimSun" w:hAnsi="Arial"/>
                <w:b/>
                <w:bCs/>
                <w:color w:val="000000"/>
                <w:u w:val="single"/>
                <w:lang w:eastAsia="zh-CN"/>
              </w:rPr>
              <w:t>Current Assets</w:t>
            </w:r>
          </w:p>
        </w:tc>
        <w:tc>
          <w:tcPr>
            <w:tcW w:w="738" w:type="dxa"/>
            <w:tcBorders>
              <w:top w:val="nil"/>
              <w:left w:val="nil"/>
              <w:bottom w:val="nil"/>
              <w:right w:val="nil"/>
            </w:tcBorders>
            <w:vAlign w:val="bottom"/>
          </w:tcPr>
          <w:p w14:paraId="2ADB527C" w14:textId="77777777" w:rsidR="008644A0" w:rsidRPr="00DB0706" w:rsidRDefault="008644A0" w:rsidP="008644A0">
            <w:pPr>
              <w:rPr>
                <w:rFonts w:ascii="Arial" w:eastAsia="SimSun" w:hAnsi="Arial"/>
                <w:color w:val="000000"/>
                <w:lang w:eastAsia="zh-CN"/>
              </w:rPr>
            </w:pPr>
          </w:p>
        </w:tc>
        <w:tc>
          <w:tcPr>
            <w:tcW w:w="738" w:type="dxa"/>
            <w:tcBorders>
              <w:top w:val="nil"/>
              <w:left w:val="nil"/>
              <w:bottom w:val="nil"/>
              <w:right w:val="nil"/>
            </w:tcBorders>
            <w:vAlign w:val="bottom"/>
          </w:tcPr>
          <w:p w14:paraId="1A122A83" w14:textId="77777777" w:rsidR="008644A0" w:rsidRPr="00DB0706" w:rsidRDefault="008644A0" w:rsidP="008644A0">
            <w:pPr>
              <w:rPr>
                <w:rFonts w:ascii="Arial" w:eastAsia="SimSun" w:hAnsi="Arial"/>
                <w:color w:val="000000"/>
                <w:lang w:eastAsia="zh-CN"/>
              </w:rPr>
            </w:pPr>
          </w:p>
        </w:tc>
        <w:tc>
          <w:tcPr>
            <w:tcW w:w="738" w:type="dxa"/>
            <w:tcBorders>
              <w:top w:val="nil"/>
              <w:left w:val="nil"/>
              <w:bottom w:val="nil"/>
              <w:right w:val="nil"/>
            </w:tcBorders>
            <w:vAlign w:val="bottom"/>
          </w:tcPr>
          <w:p w14:paraId="6B5EDF42" w14:textId="77777777" w:rsidR="008644A0" w:rsidRPr="00DB0706" w:rsidRDefault="008644A0" w:rsidP="008644A0">
            <w:pPr>
              <w:rPr>
                <w:rFonts w:ascii="Arial" w:eastAsia="SimSun" w:hAnsi="Arial"/>
                <w:color w:val="000000"/>
                <w:lang w:eastAsia="zh-CN"/>
              </w:rPr>
            </w:pPr>
          </w:p>
        </w:tc>
        <w:tc>
          <w:tcPr>
            <w:tcW w:w="738" w:type="dxa"/>
            <w:tcBorders>
              <w:top w:val="nil"/>
              <w:left w:val="nil"/>
              <w:bottom w:val="nil"/>
              <w:right w:val="nil"/>
            </w:tcBorders>
            <w:vAlign w:val="bottom"/>
          </w:tcPr>
          <w:p w14:paraId="2D875635" w14:textId="77777777" w:rsidR="008644A0" w:rsidRPr="00DB0706" w:rsidRDefault="008644A0" w:rsidP="008644A0">
            <w:pPr>
              <w:rPr>
                <w:rFonts w:ascii="Arial" w:eastAsia="SimSun" w:hAnsi="Arial"/>
                <w:color w:val="000000"/>
                <w:lang w:eastAsia="zh-CN"/>
              </w:rPr>
            </w:pPr>
          </w:p>
        </w:tc>
        <w:tc>
          <w:tcPr>
            <w:tcW w:w="784" w:type="dxa"/>
            <w:tcBorders>
              <w:top w:val="nil"/>
              <w:left w:val="nil"/>
              <w:bottom w:val="nil"/>
              <w:right w:val="nil"/>
            </w:tcBorders>
            <w:vAlign w:val="bottom"/>
          </w:tcPr>
          <w:p w14:paraId="2356A906" w14:textId="77777777" w:rsidR="008644A0" w:rsidRPr="00DB0706" w:rsidRDefault="008644A0" w:rsidP="008644A0">
            <w:pPr>
              <w:rPr>
                <w:rFonts w:ascii="Arial" w:eastAsia="SimSun" w:hAnsi="Arial"/>
                <w:color w:val="000000"/>
                <w:lang w:eastAsia="zh-CN"/>
              </w:rPr>
            </w:pPr>
          </w:p>
        </w:tc>
        <w:tc>
          <w:tcPr>
            <w:tcW w:w="837" w:type="dxa"/>
            <w:tcBorders>
              <w:top w:val="nil"/>
              <w:left w:val="nil"/>
              <w:bottom w:val="nil"/>
              <w:right w:val="nil"/>
            </w:tcBorders>
            <w:shd w:val="clear" w:color="auto" w:fill="auto"/>
            <w:vAlign w:val="bottom"/>
            <w:hideMark/>
          </w:tcPr>
          <w:p w14:paraId="2C4DE5F4" w14:textId="5B39686B" w:rsidR="008644A0" w:rsidRPr="00DB0706" w:rsidRDefault="008644A0" w:rsidP="008644A0">
            <w:pPr>
              <w:rPr>
                <w:rFonts w:ascii="Arial" w:eastAsia="SimSun" w:hAnsi="Arial"/>
                <w:color w:val="000000"/>
                <w:lang w:eastAsia="zh-CN"/>
              </w:rPr>
            </w:pPr>
          </w:p>
        </w:tc>
      </w:tr>
      <w:tr w:rsidR="008644A0" w:rsidRPr="00DB0706" w14:paraId="24964891" w14:textId="77777777" w:rsidTr="00737977">
        <w:trPr>
          <w:trHeight w:val="240"/>
          <w:jc w:val="center"/>
        </w:trPr>
        <w:tc>
          <w:tcPr>
            <w:tcW w:w="3748" w:type="dxa"/>
            <w:tcBorders>
              <w:top w:val="nil"/>
              <w:left w:val="nil"/>
              <w:bottom w:val="nil"/>
              <w:right w:val="nil"/>
            </w:tcBorders>
            <w:shd w:val="clear" w:color="auto" w:fill="auto"/>
            <w:vAlign w:val="bottom"/>
            <w:hideMark/>
          </w:tcPr>
          <w:p w14:paraId="57BFECA6" w14:textId="77777777"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Cash and cash equivalents</w:t>
            </w:r>
          </w:p>
        </w:tc>
        <w:tc>
          <w:tcPr>
            <w:tcW w:w="738" w:type="dxa"/>
            <w:tcBorders>
              <w:top w:val="nil"/>
              <w:left w:val="nil"/>
              <w:bottom w:val="nil"/>
              <w:right w:val="nil"/>
            </w:tcBorders>
            <w:vAlign w:val="bottom"/>
          </w:tcPr>
          <w:p w14:paraId="5BFC588E" w14:textId="2327934A"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9.7</w:t>
            </w:r>
          </w:p>
        </w:tc>
        <w:tc>
          <w:tcPr>
            <w:tcW w:w="738" w:type="dxa"/>
            <w:tcBorders>
              <w:top w:val="nil"/>
              <w:left w:val="nil"/>
              <w:bottom w:val="nil"/>
              <w:right w:val="nil"/>
            </w:tcBorders>
            <w:vAlign w:val="bottom"/>
          </w:tcPr>
          <w:p w14:paraId="7918DFB3" w14:textId="06DE9547"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27.0</w:t>
            </w:r>
          </w:p>
        </w:tc>
        <w:tc>
          <w:tcPr>
            <w:tcW w:w="738" w:type="dxa"/>
            <w:tcBorders>
              <w:top w:val="nil"/>
              <w:left w:val="nil"/>
              <w:bottom w:val="nil"/>
              <w:right w:val="nil"/>
            </w:tcBorders>
            <w:vAlign w:val="bottom"/>
          </w:tcPr>
          <w:p w14:paraId="0E1DE6E9" w14:textId="766D58C2"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4.5</w:t>
            </w:r>
          </w:p>
        </w:tc>
        <w:tc>
          <w:tcPr>
            <w:tcW w:w="738" w:type="dxa"/>
            <w:tcBorders>
              <w:top w:val="nil"/>
              <w:left w:val="nil"/>
              <w:bottom w:val="nil"/>
              <w:right w:val="nil"/>
            </w:tcBorders>
            <w:vAlign w:val="bottom"/>
          </w:tcPr>
          <w:p w14:paraId="57FCF7DE" w14:textId="3A2C4884"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1.0</w:t>
            </w:r>
          </w:p>
        </w:tc>
        <w:tc>
          <w:tcPr>
            <w:tcW w:w="784" w:type="dxa"/>
            <w:tcBorders>
              <w:top w:val="nil"/>
              <w:left w:val="nil"/>
              <w:bottom w:val="nil"/>
              <w:right w:val="nil"/>
            </w:tcBorders>
            <w:vAlign w:val="bottom"/>
          </w:tcPr>
          <w:p w14:paraId="46C42BDF" w14:textId="096906C3"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2.3</w:t>
            </w:r>
          </w:p>
        </w:tc>
        <w:tc>
          <w:tcPr>
            <w:tcW w:w="837" w:type="dxa"/>
            <w:tcBorders>
              <w:top w:val="nil"/>
              <w:left w:val="nil"/>
              <w:bottom w:val="nil"/>
              <w:right w:val="nil"/>
            </w:tcBorders>
            <w:shd w:val="clear" w:color="auto" w:fill="auto"/>
            <w:vAlign w:val="bottom"/>
            <w:hideMark/>
          </w:tcPr>
          <w:p w14:paraId="78E6723F" w14:textId="587A14E0"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11.4</w:t>
            </w:r>
          </w:p>
        </w:tc>
      </w:tr>
      <w:tr w:rsidR="008644A0" w:rsidRPr="00DB0706" w14:paraId="170AB0B8" w14:textId="77777777" w:rsidTr="00737977">
        <w:trPr>
          <w:trHeight w:val="240"/>
          <w:jc w:val="center"/>
        </w:trPr>
        <w:tc>
          <w:tcPr>
            <w:tcW w:w="3748" w:type="dxa"/>
            <w:tcBorders>
              <w:top w:val="nil"/>
              <w:left w:val="nil"/>
              <w:bottom w:val="nil"/>
              <w:right w:val="nil"/>
            </w:tcBorders>
            <w:shd w:val="clear" w:color="auto" w:fill="auto"/>
            <w:vAlign w:val="bottom"/>
            <w:hideMark/>
          </w:tcPr>
          <w:p w14:paraId="346AAF41" w14:textId="77777777"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Account receivables</w:t>
            </w:r>
          </w:p>
        </w:tc>
        <w:tc>
          <w:tcPr>
            <w:tcW w:w="738" w:type="dxa"/>
            <w:tcBorders>
              <w:top w:val="nil"/>
              <w:left w:val="nil"/>
              <w:bottom w:val="nil"/>
              <w:right w:val="nil"/>
            </w:tcBorders>
            <w:vAlign w:val="bottom"/>
          </w:tcPr>
          <w:p w14:paraId="36C9ED87" w14:textId="404A375A"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1.1</w:t>
            </w:r>
          </w:p>
        </w:tc>
        <w:tc>
          <w:tcPr>
            <w:tcW w:w="738" w:type="dxa"/>
            <w:tcBorders>
              <w:top w:val="nil"/>
              <w:left w:val="nil"/>
              <w:bottom w:val="nil"/>
              <w:right w:val="nil"/>
            </w:tcBorders>
            <w:vAlign w:val="bottom"/>
          </w:tcPr>
          <w:p w14:paraId="3234DC30" w14:textId="24116A7C"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7.3</w:t>
            </w:r>
          </w:p>
        </w:tc>
        <w:tc>
          <w:tcPr>
            <w:tcW w:w="738" w:type="dxa"/>
            <w:tcBorders>
              <w:top w:val="nil"/>
              <w:left w:val="nil"/>
              <w:bottom w:val="nil"/>
              <w:right w:val="nil"/>
            </w:tcBorders>
            <w:vAlign w:val="bottom"/>
          </w:tcPr>
          <w:p w14:paraId="5160F8AE" w14:textId="5BF2FE77"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8.9</w:t>
            </w:r>
          </w:p>
        </w:tc>
        <w:tc>
          <w:tcPr>
            <w:tcW w:w="738" w:type="dxa"/>
            <w:tcBorders>
              <w:top w:val="nil"/>
              <w:left w:val="nil"/>
              <w:bottom w:val="nil"/>
              <w:right w:val="nil"/>
            </w:tcBorders>
            <w:vAlign w:val="bottom"/>
          </w:tcPr>
          <w:p w14:paraId="77D1199A" w14:textId="4FE6C0BA"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7.3</w:t>
            </w:r>
          </w:p>
        </w:tc>
        <w:tc>
          <w:tcPr>
            <w:tcW w:w="784" w:type="dxa"/>
            <w:tcBorders>
              <w:top w:val="nil"/>
              <w:left w:val="nil"/>
              <w:bottom w:val="nil"/>
              <w:right w:val="nil"/>
            </w:tcBorders>
            <w:vAlign w:val="bottom"/>
          </w:tcPr>
          <w:p w14:paraId="53EF9BD0" w14:textId="1D35209D"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13.0</w:t>
            </w:r>
          </w:p>
        </w:tc>
        <w:tc>
          <w:tcPr>
            <w:tcW w:w="837" w:type="dxa"/>
            <w:tcBorders>
              <w:top w:val="nil"/>
              <w:left w:val="nil"/>
              <w:bottom w:val="nil"/>
              <w:right w:val="nil"/>
            </w:tcBorders>
            <w:shd w:val="clear" w:color="auto" w:fill="auto"/>
            <w:vAlign w:val="bottom"/>
            <w:hideMark/>
          </w:tcPr>
          <w:p w14:paraId="7BD21C83" w14:textId="62E7A8DC"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25.7</w:t>
            </w:r>
          </w:p>
        </w:tc>
      </w:tr>
      <w:tr w:rsidR="008644A0" w:rsidRPr="00DB0706" w14:paraId="43152B36" w14:textId="77777777" w:rsidTr="00737977">
        <w:trPr>
          <w:trHeight w:val="240"/>
          <w:jc w:val="center"/>
        </w:trPr>
        <w:tc>
          <w:tcPr>
            <w:tcW w:w="3748" w:type="dxa"/>
            <w:tcBorders>
              <w:top w:val="nil"/>
              <w:left w:val="nil"/>
              <w:bottom w:val="nil"/>
              <w:right w:val="nil"/>
            </w:tcBorders>
            <w:shd w:val="clear" w:color="auto" w:fill="auto"/>
            <w:vAlign w:val="bottom"/>
            <w:hideMark/>
          </w:tcPr>
          <w:p w14:paraId="102A3B1E" w14:textId="77777777"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Prepaid expenses</w:t>
            </w:r>
          </w:p>
        </w:tc>
        <w:tc>
          <w:tcPr>
            <w:tcW w:w="738" w:type="dxa"/>
            <w:tcBorders>
              <w:top w:val="nil"/>
              <w:left w:val="nil"/>
              <w:bottom w:val="nil"/>
              <w:right w:val="nil"/>
            </w:tcBorders>
            <w:vAlign w:val="bottom"/>
          </w:tcPr>
          <w:p w14:paraId="493399D8" w14:textId="7A3A5DBF"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1.4</w:t>
            </w:r>
          </w:p>
        </w:tc>
        <w:tc>
          <w:tcPr>
            <w:tcW w:w="738" w:type="dxa"/>
            <w:tcBorders>
              <w:top w:val="nil"/>
              <w:left w:val="nil"/>
              <w:bottom w:val="nil"/>
              <w:right w:val="nil"/>
            </w:tcBorders>
            <w:vAlign w:val="bottom"/>
          </w:tcPr>
          <w:p w14:paraId="7E0B71B3" w14:textId="4B2ED889"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8.3</w:t>
            </w:r>
          </w:p>
        </w:tc>
        <w:tc>
          <w:tcPr>
            <w:tcW w:w="738" w:type="dxa"/>
            <w:tcBorders>
              <w:top w:val="nil"/>
              <w:left w:val="nil"/>
              <w:bottom w:val="nil"/>
              <w:right w:val="nil"/>
            </w:tcBorders>
            <w:vAlign w:val="bottom"/>
          </w:tcPr>
          <w:p w14:paraId="44A6E95E" w14:textId="1418FBF7"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8.4</w:t>
            </w:r>
          </w:p>
        </w:tc>
        <w:tc>
          <w:tcPr>
            <w:tcW w:w="738" w:type="dxa"/>
            <w:tcBorders>
              <w:top w:val="nil"/>
              <w:left w:val="nil"/>
              <w:bottom w:val="nil"/>
              <w:right w:val="nil"/>
            </w:tcBorders>
            <w:vAlign w:val="bottom"/>
          </w:tcPr>
          <w:p w14:paraId="682132A8" w14:textId="627C7211"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6.2</w:t>
            </w:r>
          </w:p>
        </w:tc>
        <w:tc>
          <w:tcPr>
            <w:tcW w:w="784" w:type="dxa"/>
            <w:tcBorders>
              <w:top w:val="nil"/>
              <w:left w:val="nil"/>
              <w:bottom w:val="nil"/>
              <w:right w:val="nil"/>
            </w:tcBorders>
            <w:vAlign w:val="bottom"/>
          </w:tcPr>
          <w:p w14:paraId="74734492" w14:textId="1A30DC3D"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7.1</w:t>
            </w:r>
          </w:p>
        </w:tc>
        <w:tc>
          <w:tcPr>
            <w:tcW w:w="837" w:type="dxa"/>
            <w:tcBorders>
              <w:top w:val="nil"/>
              <w:left w:val="nil"/>
              <w:bottom w:val="nil"/>
              <w:right w:val="nil"/>
            </w:tcBorders>
            <w:shd w:val="clear" w:color="auto" w:fill="auto"/>
            <w:vAlign w:val="bottom"/>
            <w:hideMark/>
          </w:tcPr>
          <w:p w14:paraId="3F2AB12F" w14:textId="4F9495F1"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9.2</w:t>
            </w:r>
          </w:p>
        </w:tc>
      </w:tr>
      <w:tr w:rsidR="008644A0" w:rsidRPr="00DB0706" w14:paraId="5F6160E8" w14:textId="77777777" w:rsidTr="00737977">
        <w:trPr>
          <w:trHeight w:val="240"/>
          <w:jc w:val="center"/>
        </w:trPr>
        <w:tc>
          <w:tcPr>
            <w:tcW w:w="3748" w:type="dxa"/>
            <w:tcBorders>
              <w:top w:val="nil"/>
              <w:left w:val="nil"/>
              <w:bottom w:val="nil"/>
              <w:right w:val="nil"/>
            </w:tcBorders>
            <w:shd w:val="clear" w:color="auto" w:fill="auto"/>
            <w:vAlign w:val="bottom"/>
            <w:hideMark/>
          </w:tcPr>
          <w:p w14:paraId="1E27910F" w14:textId="77777777"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Current portion of inventories</w:t>
            </w:r>
          </w:p>
        </w:tc>
        <w:tc>
          <w:tcPr>
            <w:tcW w:w="738" w:type="dxa"/>
            <w:tcBorders>
              <w:top w:val="nil"/>
              <w:left w:val="nil"/>
              <w:bottom w:val="nil"/>
              <w:right w:val="nil"/>
            </w:tcBorders>
            <w:vAlign w:val="bottom"/>
          </w:tcPr>
          <w:p w14:paraId="6A4B15FD" w14:textId="2C2B515D"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17F503E1" w14:textId="5F35D02A"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18.0</w:t>
            </w:r>
          </w:p>
        </w:tc>
        <w:tc>
          <w:tcPr>
            <w:tcW w:w="738" w:type="dxa"/>
            <w:tcBorders>
              <w:top w:val="nil"/>
              <w:left w:val="nil"/>
              <w:bottom w:val="nil"/>
              <w:right w:val="nil"/>
            </w:tcBorders>
            <w:vAlign w:val="bottom"/>
          </w:tcPr>
          <w:p w14:paraId="6B849FB6" w14:textId="1D86F951"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31.9</w:t>
            </w:r>
          </w:p>
        </w:tc>
        <w:tc>
          <w:tcPr>
            <w:tcW w:w="738" w:type="dxa"/>
            <w:tcBorders>
              <w:top w:val="nil"/>
              <w:left w:val="nil"/>
              <w:bottom w:val="nil"/>
              <w:right w:val="nil"/>
            </w:tcBorders>
            <w:vAlign w:val="bottom"/>
          </w:tcPr>
          <w:p w14:paraId="3060BB3A" w14:textId="5B30CF7D"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28.9</w:t>
            </w:r>
          </w:p>
        </w:tc>
        <w:tc>
          <w:tcPr>
            <w:tcW w:w="784" w:type="dxa"/>
            <w:tcBorders>
              <w:top w:val="nil"/>
              <w:left w:val="nil"/>
              <w:bottom w:val="nil"/>
              <w:right w:val="nil"/>
            </w:tcBorders>
            <w:vAlign w:val="bottom"/>
          </w:tcPr>
          <w:p w14:paraId="65529A7F" w14:textId="5F7DC249"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28.2</w:t>
            </w:r>
          </w:p>
        </w:tc>
        <w:tc>
          <w:tcPr>
            <w:tcW w:w="837" w:type="dxa"/>
            <w:tcBorders>
              <w:top w:val="nil"/>
              <w:left w:val="nil"/>
              <w:bottom w:val="nil"/>
              <w:right w:val="nil"/>
            </w:tcBorders>
            <w:shd w:val="clear" w:color="auto" w:fill="auto"/>
            <w:vAlign w:val="bottom"/>
            <w:hideMark/>
          </w:tcPr>
          <w:p w14:paraId="6EF4A923" w14:textId="1973036B"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68.9</w:t>
            </w:r>
          </w:p>
        </w:tc>
      </w:tr>
      <w:tr w:rsidR="008644A0" w:rsidRPr="00DB0706" w14:paraId="13374C95" w14:textId="77777777" w:rsidTr="00737977">
        <w:trPr>
          <w:trHeight w:val="240"/>
          <w:jc w:val="center"/>
        </w:trPr>
        <w:tc>
          <w:tcPr>
            <w:tcW w:w="3748" w:type="dxa"/>
            <w:tcBorders>
              <w:top w:val="single" w:sz="4" w:space="0" w:color="auto"/>
              <w:left w:val="nil"/>
              <w:bottom w:val="single" w:sz="4" w:space="0" w:color="auto"/>
              <w:right w:val="nil"/>
            </w:tcBorders>
            <w:shd w:val="clear" w:color="auto" w:fill="auto"/>
            <w:vAlign w:val="bottom"/>
            <w:hideMark/>
          </w:tcPr>
          <w:p w14:paraId="35CF870A" w14:textId="77777777" w:rsidR="008644A0" w:rsidRPr="00DB0706" w:rsidRDefault="008644A0" w:rsidP="008644A0">
            <w:pPr>
              <w:rPr>
                <w:rFonts w:ascii="Arial" w:eastAsia="SimSun" w:hAnsi="Arial"/>
                <w:b/>
                <w:bCs/>
                <w:color w:val="000000"/>
                <w:lang w:eastAsia="zh-CN"/>
              </w:rPr>
            </w:pPr>
            <w:r w:rsidRPr="00DB0706">
              <w:rPr>
                <w:rFonts w:ascii="Arial" w:eastAsia="SimSun" w:hAnsi="Arial"/>
                <w:b/>
                <w:bCs/>
                <w:color w:val="000000"/>
                <w:lang w:eastAsia="zh-CN"/>
              </w:rPr>
              <w:t>Total Current Assets</w:t>
            </w:r>
          </w:p>
        </w:tc>
        <w:tc>
          <w:tcPr>
            <w:tcW w:w="738" w:type="dxa"/>
            <w:tcBorders>
              <w:top w:val="single" w:sz="4" w:space="0" w:color="auto"/>
              <w:left w:val="nil"/>
              <w:bottom w:val="single" w:sz="4" w:space="0" w:color="auto"/>
              <w:right w:val="nil"/>
            </w:tcBorders>
            <w:vAlign w:val="bottom"/>
          </w:tcPr>
          <w:p w14:paraId="171487FD" w14:textId="14DD22B2"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12.2</w:t>
            </w:r>
          </w:p>
        </w:tc>
        <w:tc>
          <w:tcPr>
            <w:tcW w:w="738" w:type="dxa"/>
            <w:tcBorders>
              <w:top w:val="single" w:sz="4" w:space="0" w:color="auto"/>
              <w:left w:val="nil"/>
              <w:bottom w:val="single" w:sz="4" w:space="0" w:color="auto"/>
              <w:right w:val="nil"/>
            </w:tcBorders>
            <w:vAlign w:val="bottom"/>
          </w:tcPr>
          <w:p w14:paraId="4FB4DAC7" w14:textId="2E7FD7A4"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60.6</w:t>
            </w:r>
          </w:p>
        </w:tc>
        <w:tc>
          <w:tcPr>
            <w:tcW w:w="738" w:type="dxa"/>
            <w:tcBorders>
              <w:top w:val="single" w:sz="4" w:space="0" w:color="auto"/>
              <w:left w:val="nil"/>
              <w:bottom w:val="single" w:sz="4" w:space="0" w:color="auto"/>
              <w:right w:val="nil"/>
            </w:tcBorders>
            <w:vAlign w:val="bottom"/>
          </w:tcPr>
          <w:p w14:paraId="636F7C56" w14:textId="5E174FF2"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53.7</w:t>
            </w:r>
          </w:p>
        </w:tc>
        <w:tc>
          <w:tcPr>
            <w:tcW w:w="738" w:type="dxa"/>
            <w:tcBorders>
              <w:top w:val="single" w:sz="4" w:space="0" w:color="auto"/>
              <w:left w:val="nil"/>
              <w:bottom w:val="single" w:sz="4" w:space="0" w:color="auto"/>
              <w:right w:val="nil"/>
            </w:tcBorders>
            <w:vAlign w:val="bottom"/>
          </w:tcPr>
          <w:p w14:paraId="0C8CB355" w14:textId="7A94DC07"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43.3</w:t>
            </w:r>
          </w:p>
        </w:tc>
        <w:tc>
          <w:tcPr>
            <w:tcW w:w="784" w:type="dxa"/>
            <w:tcBorders>
              <w:top w:val="single" w:sz="4" w:space="0" w:color="auto"/>
              <w:left w:val="nil"/>
              <w:bottom w:val="single" w:sz="4" w:space="0" w:color="auto"/>
              <w:right w:val="nil"/>
            </w:tcBorders>
            <w:vAlign w:val="bottom"/>
          </w:tcPr>
          <w:p w14:paraId="234C31E1" w14:textId="76935836"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50.6</w:t>
            </w:r>
          </w:p>
        </w:tc>
        <w:tc>
          <w:tcPr>
            <w:tcW w:w="837" w:type="dxa"/>
            <w:tcBorders>
              <w:top w:val="single" w:sz="4" w:space="0" w:color="auto"/>
              <w:left w:val="nil"/>
              <w:bottom w:val="single" w:sz="4" w:space="0" w:color="auto"/>
              <w:right w:val="nil"/>
            </w:tcBorders>
            <w:shd w:val="clear" w:color="auto" w:fill="auto"/>
            <w:vAlign w:val="bottom"/>
            <w:hideMark/>
          </w:tcPr>
          <w:p w14:paraId="757C4D8A" w14:textId="590B199B"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115.1</w:t>
            </w:r>
          </w:p>
        </w:tc>
      </w:tr>
      <w:tr w:rsidR="008644A0" w:rsidRPr="00DB0706" w14:paraId="05F8430D" w14:textId="77777777" w:rsidTr="00737977">
        <w:trPr>
          <w:trHeight w:val="240"/>
          <w:jc w:val="center"/>
        </w:trPr>
        <w:tc>
          <w:tcPr>
            <w:tcW w:w="3748" w:type="dxa"/>
            <w:tcBorders>
              <w:top w:val="nil"/>
              <w:left w:val="nil"/>
              <w:bottom w:val="nil"/>
              <w:right w:val="nil"/>
            </w:tcBorders>
            <w:shd w:val="clear" w:color="auto" w:fill="auto"/>
            <w:vAlign w:val="bottom"/>
            <w:hideMark/>
          </w:tcPr>
          <w:p w14:paraId="4B81B058" w14:textId="77777777" w:rsidR="008644A0" w:rsidRPr="00DB0706" w:rsidRDefault="008644A0" w:rsidP="008644A0">
            <w:pPr>
              <w:rPr>
                <w:rFonts w:ascii="Arial" w:eastAsia="SimSun" w:hAnsi="Arial"/>
                <w:b/>
                <w:bCs/>
                <w:color w:val="000000"/>
                <w:u w:val="single"/>
                <w:lang w:eastAsia="zh-CN"/>
              </w:rPr>
            </w:pPr>
            <w:r w:rsidRPr="00DB0706">
              <w:rPr>
                <w:rFonts w:ascii="Arial" w:eastAsia="SimSun" w:hAnsi="Arial"/>
                <w:b/>
                <w:bCs/>
                <w:color w:val="000000"/>
                <w:u w:val="single"/>
                <w:lang w:eastAsia="zh-CN"/>
              </w:rPr>
              <w:t>Non-Current Assets</w:t>
            </w:r>
          </w:p>
        </w:tc>
        <w:tc>
          <w:tcPr>
            <w:tcW w:w="738" w:type="dxa"/>
            <w:tcBorders>
              <w:top w:val="nil"/>
              <w:left w:val="nil"/>
              <w:bottom w:val="nil"/>
              <w:right w:val="nil"/>
            </w:tcBorders>
            <w:vAlign w:val="bottom"/>
          </w:tcPr>
          <w:p w14:paraId="02C60AEA" w14:textId="77777777" w:rsidR="008644A0" w:rsidRPr="00DB0706" w:rsidRDefault="008644A0" w:rsidP="008644A0">
            <w:pPr>
              <w:rPr>
                <w:rFonts w:ascii="Arial" w:eastAsia="SimSun" w:hAnsi="Arial"/>
                <w:color w:val="000000"/>
                <w:lang w:eastAsia="zh-CN"/>
              </w:rPr>
            </w:pPr>
          </w:p>
        </w:tc>
        <w:tc>
          <w:tcPr>
            <w:tcW w:w="738" w:type="dxa"/>
            <w:tcBorders>
              <w:top w:val="nil"/>
              <w:left w:val="nil"/>
              <w:bottom w:val="nil"/>
              <w:right w:val="nil"/>
            </w:tcBorders>
            <w:vAlign w:val="bottom"/>
          </w:tcPr>
          <w:p w14:paraId="12B1C5FF" w14:textId="77777777" w:rsidR="008644A0" w:rsidRPr="00DB0706" w:rsidRDefault="008644A0" w:rsidP="008644A0">
            <w:pPr>
              <w:rPr>
                <w:rFonts w:ascii="Arial" w:eastAsia="SimSun" w:hAnsi="Arial"/>
                <w:color w:val="000000"/>
                <w:lang w:eastAsia="zh-CN"/>
              </w:rPr>
            </w:pPr>
          </w:p>
        </w:tc>
        <w:tc>
          <w:tcPr>
            <w:tcW w:w="738" w:type="dxa"/>
            <w:tcBorders>
              <w:top w:val="nil"/>
              <w:left w:val="nil"/>
              <w:bottom w:val="nil"/>
              <w:right w:val="nil"/>
            </w:tcBorders>
            <w:vAlign w:val="bottom"/>
          </w:tcPr>
          <w:p w14:paraId="2EB66C52" w14:textId="77777777" w:rsidR="008644A0" w:rsidRPr="00DB0706" w:rsidRDefault="008644A0" w:rsidP="008644A0">
            <w:pPr>
              <w:rPr>
                <w:rFonts w:ascii="Arial" w:eastAsia="SimSun" w:hAnsi="Arial"/>
                <w:color w:val="000000"/>
                <w:lang w:eastAsia="zh-CN"/>
              </w:rPr>
            </w:pPr>
          </w:p>
        </w:tc>
        <w:tc>
          <w:tcPr>
            <w:tcW w:w="738" w:type="dxa"/>
            <w:tcBorders>
              <w:top w:val="nil"/>
              <w:left w:val="nil"/>
              <w:bottom w:val="nil"/>
              <w:right w:val="nil"/>
            </w:tcBorders>
            <w:vAlign w:val="bottom"/>
          </w:tcPr>
          <w:p w14:paraId="02F93FD4" w14:textId="77777777" w:rsidR="008644A0" w:rsidRPr="00DB0706" w:rsidRDefault="008644A0" w:rsidP="008644A0">
            <w:pPr>
              <w:rPr>
                <w:rFonts w:ascii="Arial" w:eastAsia="SimSun" w:hAnsi="Arial"/>
                <w:color w:val="000000"/>
                <w:lang w:eastAsia="zh-CN"/>
              </w:rPr>
            </w:pPr>
          </w:p>
        </w:tc>
        <w:tc>
          <w:tcPr>
            <w:tcW w:w="784" w:type="dxa"/>
            <w:tcBorders>
              <w:top w:val="nil"/>
              <w:left w:val="nil"/>
              <w:bottom w:val="nil"/>
              <w:right w:val="nil"/>
            </w:tcBorders>
            <w:vAlign w:val="bottom"/>
          </w:tcPr>
          <w:p w14:paraId="670F6DEA" w14:textId="77777777" w:rsidR="008644A0" w:rsidRPr="00DB0706" w:rsidRDefault="008644A0" w:rsidP="008644A0">
            <w:pPr>
              <w:rPr>
                <w:rFonts w:ascii="Arial" w:eastAsia="SimSun" w:hAnsi="Arial"/>
                <w:color w:val="000000"/>
                <w:lang w:eastAsia="zh-CN"/>
              </w:rPr>
            </w:pPr>
          </w:p>
        </w:tc>
        <w:tc>
          <w:tcPr>
            <w:tcW w:w="837" w:type="dxa"/>
            <w:tcBorders>
              <w:top w:val="nil"/>
              <w:left w:val="nil"/>
              <w:bottom w:val="nil"/>
              <w:right w:val="nil"/>
            </w:tcBorders>
            <w:shd w:val="clear" w:color="auto" w:fill="auto"/>
            <w:vAlign w:val="bottom"/>
            <w:hideMark/>
          </w:tcPr>
          <w:p w14:paraId="4956ECFF" w14:textId="18E633B7" w:rsidR="008644A0" w:rsidRPr="00DB0706" w:rsidRDefault="008644A0" w:rsidP="008644A0">
            <w:pPr>
              <w:rPr>
                <w:rFonts w:ascii="Arial" w:eastAsia="SimSun" w:hAnsi="Arial"/>
                <w:color w:val="000000"/>
                <w:lang w:eastAsia="zh-CN"/>
              </w:rPr>
            </w:pPr>
          </w:p>
        </w:tc>
      </w:tr>
      <w:tr w:rsidR="008644A0" w:rsidRPr="00DB0706" w14:paraId="117DEBE8" w14:textId="77777777" w:rsidTr="00737977">
        <w:trPr>
          <w:trHeight w:val="240"/>
          <w:jc w:val="center"/>
        </w:trPr>
        <w:tc>
          <w:tcPr>
            <w:tcW w:w="3748" w:type="dxa"/>
            <w:tcBorders>
              <w:top w:val="nil"/>
              <w:left w:val="nil"/>
              <w:bottom w:val="nil"/>
              <w:right w:val="nil"/>
            </w:tcBorders>
            <w:shd w:val="clear" w:color="auto" w:fill="auto"/>
            <w:vAlign w:val="bottom"/>
            <w:hideMark/>
          </w:tcPr>
          <w:p w14:paraId="20310A8A" w14:textId="77777777"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Non-current portion of inventories</w:t>
            </w:r>
          </w:p>
        </w:tc>
        <w:tc>
          <w:tcPr>
            <w:tcW w:w="738" w:type="dxa"/>
            <w:tcBorders>
              <w:top w:val="nil"/>
              <w:left w:val="nil"/>
              <w:bottom w:val="nil"/>
              <w:right w:val="nil"/>
            </w:tcBorders>
            <w:vAlign w:val="bottom"/>
          </w:tcPr>
          <w:p w14:paraId="6874D71F" w14:textId="0288CC34"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72C0F429" w14:textId="79807622"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1E35CC3D" w14:textId="3F62E79B"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6D023151" w14:textId="3BC9EEC8"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3.9</w:t>
            </w:r>
          </w:p>
        </w:tc>
        <w:tc>
          <w:tcPr>
            <w:tcW w:w="784" w:type="dxa"/>
            <w:tcBorders>
              <w:top w:val="nil"/>
              <w:left w:val="nil"/>
              <w:bottom w:val="nil"/>
              <w:right w:val="nil"/>
            </w:tcBorders>
            <w:vAlign w:val="bottom"/>
          </w:tcPr>
          <w:p w14:paraId="3D6AA506" w14:textId="0DAC0CD3"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3.8</w:t>
            </w:r>
          </w:p>
        </w:tc>
        <w:tc>
          <w:tcPr>
            <w:tcW w:w="837" w:type="dxa"/>
            <w:tcBorders>
              <w:top w:val="nil"/>
              <w:left w:val="nil"/>
              <w:bottom w:val="nil"/>
              <w:right w:val="nil"/>
            </w:tcBorders>
            <w:shd w:val="clear" w:color="auto" w:fill="auto"/>
            <w:vAlign w:val="bottom"/>
            <w:hideMark/>
          </w:tcPr>
          <w:p w14:paraId="146E082F" w14:textId="7BAF8C11"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4.8</w:t>
            </w:r>
          </w:p>
        </w:tc>
      </w:tr>
      <w:tr w:rsidR="008644A0" w:rsidRPr="00DB0706" w14:paraId="18F960B5" w14:textId="77777777" w:rsidTr="00737977">
        <w:trPr>
          <w:trHeight w:val="240"/>
          <w:jc w:val="center"/>
        </w:trPr>
        <w:tc>
          <w:tcPr>
            <w:tcW w:w="3748" w:type="dxa"/>
            <w:tcBorders>
              <w:top w:val="nil"/>
              <w:left w:val="nil"/>
              <w:bottom w:val="nil"/>
              <w:right w:val="nil"/>
            </w:tcBorders>
            <w:shd w:val="clear" w:color="auto" w:fill="auto"/>
            <w:vAlign w:val="bottom"/>
            <w:hideMark/>
          </w:tcPr>
          <w:p w14:paraId="26CFD184" w14:textId="77777777"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Property, plant, and equipment</w:t>
            </w:r>
          </w:p>
        </w:tc>
        <w:tc>
          <w:tcPr>
            <w:tcW w:w="738" w:type="dxa"/>
            <w:tcBorders>
              <w:top w:val="nil"/>
              <w:left w:val="nil"/>
              <w:bottom w:val="nil"/>
              <w:right w:val="nil"/>
            </w:tcBorders>
            <w:vAlign w:val="bottom"/>
          </w:tcPr>
          <w:p w14:paraId="39AC1061" w14:textId="550E8995"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25.6</w:t>
            </w:r>
          </w:p>
        </w:tc>
        <w:tc>
          <w:tcPr>
            <w:tcW w:w="738" w:type="dxa"/>
            <w:tcBorders>
              <w:top w:val="nil"/>
              <w:left w:val="nil"/>
              <w:bottom w:val="nil"/>
              <w:right w:val="nil"/>
            </w:tcBorders>
            <w:vAlign w:val="bottom"/>
          </w:tcPr>
          <w:p w14:paraId="60FE8313" w14:textId="5040E219"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309.2</w:t>
            </w:r>
          </w:p>
        </w:tc>
        <w:tc>
          <w:tcPr>
            <w:tcW w:w="738" w:type="dxa"/>
            <w:tcBorders>
              <w:top w:val="nil"/>
              <w:left w:val="nil"/>
              <w:bottom w:val="nil"/>
              <w:right w:val="nil"/>
            </w:tcBorders>
            <w:vAlign w:val="bottom"/>
          </w:tcPr>
          <w:p w14:paraId="57277FBC" w14:textId="505C0657"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313.4</w:t>
            </w:r>
          </w:p>
        </w:tc>
        <w:tc>
          <w:tcPr>
            <w:tcW w:w="738" w:type="dxa"/>
            <w:tcBorders>
              <w:top w:val="nil"/>
              <w:left w:val="nil"/>
              <w:bottom w:val="nil"/>
              <w:right w:val="nil"/>
            </w:tcBorders>
            <w:vAlign w:val="bottom"/>
          </w:tcPr>
          <w:p w14:paraId="7207E61D" w14:textId="4CDA3A69"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296.1</w:t>
            </w:r>
          </w:p>
        </w:tc>
        <w:tc>
          <w:tcPr>
            <w:tcW w:w="784" w:type="dxa"/>
            <w:tcBorders>
              <w:top w:val="nil"/>
              <w:left w:val="nil"/>
              <w:bottom w:val="nil"/>
              <w:right w:val="nil"/>
            </w:tcBorders>
            <w:vAlign w:val="bottom"/>
          </w:tcPr>
          <w:p w14:paraId="0B32664F" w14:textId="1C74C236"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289.6</w:t>
            </w:r>
          </w:p>
        </w:tc>
        <w:tc>
          <w:tcPr>
            <w:tcW w:w="837" w:type="dxa"/>
            <w:tcBorders>
              <w:top w:val="nil"/>
              <w:left w:val="nil"/>
              <w:bottom w:val="nil"/>
              <w:right w:val="nil"/>
            </w:tcBorders>
            <w:shd w:val="clear" w:color="auto" w:fill="auto"/>
            <w:vAlign w:val="bottom"/>
            <w:hideMark/>
          </w:tcPr>
          <w:p w14:paraId="0DA56B34" w14:textId="6AC29716"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628.8</w:t>
            </w:r>
          </w:p>
        </w:tc>
      </w:tr>
      <w:tr w:rsidR="008644A0" w:rsidRPr="00DB0706" w14:paraId="3EED3503" w14:textId="77777777" w:rsidTr="00737977">
        <w:trPr>
          <w:trHeight w:val="240"/>
          <w:jc w:val="center"/>
        </w:trPr>
        <w:tc>
          <w:tcPr>
            <w:tcW w:w="3748" w:type="dxa"/>
            <w:tcBorders>
              <w:top w:val="nil"/>
              <w:left w:val="nil"/>
              <w:bottom w:val="nil"/>
              <w:right w:val="nil"/>
            </w:tcBorders>
            <w:shd w:val="clear" w:color="auto" w:fill="auto"/>
            <w:vAlign w:val="bottom"/>
            <w:hideMark/>
          </w:tcPr>
          <w:p w14:paraId="31FFAE96" w14:textId="77777777"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Exploration and evaluation</w:t>
            </w:r>
          </w:p>
        </w:tc>
        <w:tc>
          <w:tcPr>
            <w:tcW w:w="738" w:type="dxa"/>
            <w:tcBorders>
              <w:top w:val="nil"/>
              <w:left w:val="nil"/>
              <w:bottom w:val="nil"/>
              <w:right w:val="nil"/>
            </w:tcBorders>
            <w:vAlign w:val="bottom"/>
          </w:tcPr>
          <w:p w14:paraId="41FF9612" w14:textId="29C0F6CB"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113.5</w:t>
            </w:r>
          </w:p>
        </w:tc>
        <w:tc>
          <w:tcPr>
            <w:tcW w:w="738" w:type="dxa"/>
            <w:tcBorders>
              <w:top w:val="nil"/>
              <w:left w:val="nil"/>
              <w:bottom w:val="nil"/>
              <w:right w:val="nil"/>
            </w:tcBorders>
            <w:vAlign w:val="bottom"/>
          </w:tcPr>
          <w:p w14:paraId="10254C14" w14:textId="642EBAB6"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95.7</w:t>
            </w:r>
          </w:p>
        </w:tc>
        <w:tc>
          <w:tcPr>
            <w:tcW w:w="738" w:type="dxa"/>
            <w:tcBorders>
              <w:top w:val="nil"/>
              <w:left w:val="nil"/>
              <w:bottom w:val="nil"/>
              <w:right w:val="nil"/>
            </w:tcBorders>
            <w:vAlign w:val="bottom"/>
          </w:tcPr>
          <w:p w14:paraId="695AC199" w14:textId="756C1A0F"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117.7</w:t>
            </w:r>
          </w:p>
        </w:tc>
        <w:tc>
          <w:tcPr>
            <w:tcW w:w="738" w:type="dxa"/>
            <w:tcBorders>
              <w:top w:val="nil"/>
              <w:left w:val="nil"/>
              <w:bottom w:val="nil"/>
              <w:right w:val="nil"/>
            </w:tcBorders>
            <w:vAlign w:val="bottom"/>
          </w:tcPr>
          <w:p w14:paraId="7709BA8D" w14:textId="6AFF9A1F"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130.0</w:t>
            </w:r>
          </w:p>
        </w:tc>
        <w:tc>
          <w:tcPr>
            <w:tcW w:w="784" w:type="dxa"/>
            <w:tcBorders>
              <w:top w:val="nil"/>
              <w:left w:val="nil"/>
              <w:bottom w:val="nil"/>
              <w:right w:val="nil"/>
            </w:tcBorders>
            <w:vAlign w:val="bottom"/>
          </w:tcPr>
          <w:p w14:paraId="30C72E9E" w14:textId="464B5700"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139.7</w:t>
            </w:r>
          </w:p>
        </w:tc>
        <w:tc>
          <w:tcPr>
            <w:tcW w:w="837" w:type="dxa"/>
            <w:tcBorders>
              <w:top w:val="nil"/>
              <w:left w:val="nil"/>
              <w:bottom w:val="nil"/>
              <w:right w:val="nil"/>
            </w:tcBorders>
            <w:shd w:val="clear" w:color="auto" w:fill="auto"/>
            <w:vAlign w:val="bottom"/>
            <w:hideMark/>
          </w:tcPr>
          <w:p w14:paraId="38D97820" w14:textId="7C724A09"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149.2</w:t>
            </w:r>
          </w:p>
        </w:tc>
      </w:tr>
      <w:tr w:rsidR="008644A0" w:rsidRPr="00DB0706" w14:paraId="27AA8DC4" w14:textId="77777777" w:rsidTr="00737977">
        <w:trPr>
          <w:trHeight w:val="240"/>
          <w:jc w:val="center"/>
        </w:trPr>
        <w:tc>
          <w:tcPr>
            <w:tcW w:w="3748" w:type="dxa"/>
            <w:tcBorders>
              <w:top w:val="nil"/>
              <w:left w:val="nil"/>
              <w:bottom w:val="nil"/>
              <w:right w:val="nil"/>
            </w:tcBorders>
            <w:shd w:val="clear" w:color="auto" w:fill="auto"/>
            <w:vAlign w:val="bottom"/>
            <w:hideMark/>
          </w:tcPr>
          <w:p w14:paraId="2D179D11" w14:textId="77777777"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Mines under construction</w:t>
            </w:r>
          </w:p>
        </w:tc>
        <w:tc>
          <w:tcPr>
            <w:tcW w:w="738" w:type="dxa"/>
            <w:tcBorders>
              <w:top w:val="nil"/>
              <w:left w:val="nil"/>
              <w:bottom w:val="nil"/>
              <w:right w:val="nil"/>
            </w:tcBorders>
            <w:vAlign w:val="bottom"/>
          </w:tcPr>
          <w:p w14:paraId="2C0DDBBF" w14:textId="6AC8962C"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277.9</w:t>
            </w:r>
          </w:p>
        </w:tc>
        <w:tc>
          <w:tcPr>
            <w:tcW w:w="738" w:type="dxa"/>
            <w:tcBorders>
              <w:top w:val="nil"/>
              <w:left w:val="nil"/>
              <w:bottom w:val="nil"/>
              <w:right w:val="nil"/>
            </w:tcBorders>
            <w:vAlign w:val="bottom"/>
          </w:tcPr>
          <w:p w14:paraId="2E90E1FD" w14:textId="6FBDCBF4"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170.2</w:t>
            </w:r>
          </w:p>
        </w:tc>
        <w:tc>
          <w:tcPr>
            <w:tcW w:w="738" w:type="dxa"/>
            <w:tcBorders>
              <w:top w:val="nil"/>
              <w:left w:val="nil"/>
              <w:bottom w:val="nil"/>
              <w:right w:val="nil"/>
            </w:tcBorders>
            <w:vAlign w:val="bottom"/>
          </w:tcPr>
          <w:p w14:paraId="01925050" w14:textId="4F30A536"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337.2</w:t>
            </w:r>
          </w:p>
        </w:tc>
        <w:tc>
          <w:tcPr>
            <w:tcW w:w="738" w:type="dxa"/>
            <w:tcBorders>
              <w:top w:val="nil"/>
              <w:left w:val="nil"/>
              <w:bottom w:val="nil"/>
              <w:right w:val="nil"/>
            </w:tcBorders>
            <w:vAlign w:val="bottom"/>
          </w:tcPr>
          <w:p w14:paraId="6EE5F661" w14:textId="6AC87824"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414.3</w:t>
            </w:r>
          </w:p>
        </w:tc>
        <w:tc>
          <w:tcPr>
            <w:tcW w:w="784" w:type="dxa"/>
            <w:tcBorders>
              <w:top w:val="nil"/>
              <w:left w:val="nil"/>
              <w:bottom w:val="nil"/>
              <w:right w:val="nil"/>
            </w:tcBorders>
            <w:vAlign w:val="bottom"/>
          </w:tcPr>
          <w:p w14:paraId="0BAD6224" w14:textId="53557C7B"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388.0</w:t>
            </w:r>
          </w:p>
        </w:tc>
        <w:tc>
          <w:tcPr>
            <w:tcW w:w="837" w:type="dxa"/>
            <w:tcBorders>
              <w:top w:val="nil"/>
              <w:left w:val="nil"/>
              <w:bottom w:val="nil"/>
              <w:right w:val="nil"/>
            </w:tcBorders>
            <w:shd w:val="clear" w:color="auto" w:fill="auto"/>
            <w:vAlign w:val="bottom"/>
            <w:hideMark/>
          </w:tcPr>
          <w:p w14:paraId="7DF15B01" w14:textId="5E0BB591"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r>
      <w:tr w:rsidR="008644A0" w:rsidRPr="00DB0706" w14:paraId="33C1054F" w14:textId="77777777" w:rsidTr="00737977">
        <w:trPr>
          <w:trHeight w:val="240"/>
          <w:jc w:val="center"/>
        </w:trPr>
        <w:tc>
          <w:tcPr>
            <w:tcW w:w="3748" w:type="dxa"/>
            <w:tcBorders>
              <w:top w:val="single" w:sz="4" w:space="0" w:color="auto"/>
              <w:left w:val="nil"/>
              <w:bottom w:val="single" w:sz="4" w:space="0" w:color="auto"/>
              <w:right w:val="nil"/>
            </w:tcBorders>
            <w:shd w:val="clear" w:color="auto" w:fill="auto"/>
            <w:vAlign w:val="bottom"/>
            <w:hideMark/>
          </w:tcPr>
          <w:p w14:paraId="550D6D2C" w14:textId="77777777" w:rsidR="008644A0" w:rsidRPr="00DB0706" w:rsidRDefault="008644A0" w:rsidP="008644A0">
            <w:pPr>
              <w:rPr>
                <w:rFonts w:ascii="Arial" w:eastAsia="SimSun" w:hAnsi="Arial"/>
                <w:b/>
                <w:bCs/>
                <w:color w:val="000000"/>
                <w:lang w:eastAsia="zh-CN"/>
              </w:rPr>
            </w:pPr>
            <w:r w:rsidRPr="00DB0706">
              <w:rPr>
                <w:rFonts w:ascii="Arial" w:eastAsia="SimSun" w:hAnsi="Arial"/>
                <w:b/>
                <w:bCs/>
                <w:color w:val="000000"/>
                <w:lang w:eastAsia="zh-CN"/>
              </w:rPr>
              <w:t>Total Non-Current Assets</w:t>
            </w:r>
          </w:p>
        </w:tc>
        <w:tc>
          <w:tcPr>
            <w:tcW w:w="738" w:type="dxa"/>
            <w:tcBorders>
              <w:top w:val="single" w:sz="4" w:space="0" w:color="auto"/>
              <w:left w:val="nil"/>
              <w:bottom w:val="single" w:sz="4" w:space="0" w:color="auto"/>
              <w:right w:val="nil"/>
            </w:tcBorders>
            <w:vAlign w:val="bottom"/>
          </w:tcPr>
          <w:p w14:paraId="57CC0952" w14:textId="2C35FA51"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417.0</w:t>
            </w:r>
          </w:p>
        </w:tc>
        <w:tc>
          <w:tcPr>
            <w:tcW w:w="738" w:type="dxa"/>
            <w:tcBorders>
              <w:top w:val="single" w:sz="4" w:space="0" w:color="auto"/>
              <w:left w:val="nil"/>
              <w:bottom w:val="single" w:sz="4" w:space="0" w:color="auto"/>
              <w:right w:val="nil"/>
            </w:tcBorders>
            <w:vAlign w:val="bottom"/>
          </w:tcPr>
          <w:p w14:paraId="6AC62A49" w14:textId="5F4648CC"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575.2</w:t>
            </w:r>
          </w:p>
        </w:tc>
        <w:tc>
          <w:tcPr>
            <w:tcW w:w="738" w:type="dxa"/>
            <w:tcBorders>
              <w:top w:val="single" w:sz="4" w:space="0" w:color="auto"/>
              <w:left w:val="nil"/>
              <w:bottom w:val="single" w:sz="4" w:space="0" w:color="auto"/>
              <w:right w:val="nil"/>
            </w:tcBorders>
            <w:vAlign w:val="bottom"/>
          </w:tcPr>
          <w:p w14:paraId="0BCBBB19" w14:textId="183EFAE3"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768.3</w:t>
            </w:r>
          </w:p>
        </w:tc>
        <w:tc>
          <w:tcPr>
            <w:tcW w:w="738" w:type="dxa"/>
            <w:tcBorders>
              <w:top w:val="single" w:sz="4" w:space="0" w:color="auto"/>
              <w:left w:val="nil"/>
              <w:bottom w:val="single" w:sz="4" w:space="0" w:color="auto"/>
              <w:right w:val="nil"/>
            </w:tcBorders>
            <w:vAlign w:val="bottom"/>
          </w:tcPr>
          <w:p w14:paraId="6B02EA01" w14:textId="27B5F80A"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844.2</w:t>
            </w:r>
          </w:p>
        </w:tc>
        <w:tc>
          <w:tcPr>
            <w:tcW w:w="784" w:type="dxa"/>
            <w:tcBorders>
              <w:top w:val="single" w:sz="4" w:space="0" w:color="auto"/>
              <w:left w:val="nil"/>
              <w:bottom w:val="single" w:sz="4" w:space="0" w:color="auto"/>
              <w:right w:val="nil"/>
            </w:tcBorders>
            <w:vAlign w:val="bottom"/>
          </w:tcPr>
          <w:p w14:paraId="6C8F8E6F" w14:textId="11956097"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821.2</w:t>
            </w:r>
          </w:p>
        </w:tc>
        <w:tc>
          <w:tcPr>
            <w:tcW w:w="837" w:type="dxa"/>
            <w:tcBorders>
              <w:top w:val="single" w:sz="4" w:space="0" w:color="auto"/>
              <w:left w:val="nil"/>
              <w:bottom w:val="single" w:sz="4" w:space="0" w:color="auto"/>
              <w:right w:val="nil"/>
            </w:tcBorders>
            <w:shd w:val="clear" w:color="auto" w:fill="auto"/>
            <w:vAlign w:val="bottom"/>
            <w:hideMark/>
          </w:tcPr>
          <w:p w14:paraId="7F220A12" w14:textId="20469172"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782.8</w:t>
            </w:r>
          </w:p>
        </w:tc>
      </w:tr>
      <w:tr w:rsidR="008644A0" w:rsidRPr="00DB0706" w14:paraId="51D89455" w14:textId="77777777" w:rsidTr="00737977">
        <w:trPr>
          <w:trHeight w:val="240"/>
          <w:jc w:val="center"/>
        </w:trPr>
        <w:tc>
          <w:tcPr>
            <w:tcW w:w="3748" w:type="dxa"/>
            <w:tcBorders>
              <w:top w:val="nil"/>
              <w:left w:val="nil"/>
              <w:bottom w:val="single" w:sz="4" w:space="0" w:color="auto"/>
              <w:right w:val="nil"/>
            </w:tcBorders>
            <w:shd w:val="clear" w:color="auto" w:fill="auto"/>
            <w:vAlign w:val="bottom"/>
            <w:hideMark/>
          </w:tcPr>
          <w:p w14:paraId="0EF56C7D" w14:textId="77777777" w:rsidR="008644A0" w:rsidRPr="00DB0706" w:rsidRDefault="008644A0" w:rsidP="008644A0">
            <w:pPr>
              <w:rPr>
                <w:rFonts w:ascii="Arial" w:eastAsia="SimSun" w:hAnsi="Arial"/>
                <w:b/>
                <w:bCs/>
                <w:color w:val="000000"/>
                <w:lang w:eastAsia="zh-CN"/>
              </w:rPr>
            </w:pPr>
            <w:r w:rsidRPr="00DB0706">
              <w:rPr>
                <w:rFonts w:ascii="Arial" w:eastAsia="SimSun" w:hAnsi="Arial"/>
                <w:b/>
                <w:bCs/>
                <w:color w:val="000000"/>
                <w:lang w:eastAsia="zh-CN"/>
              </w:rPr>
              <w:t>Total Assets</w:t>
            </w:r>
          </w:p>
        </w:tc>
        <w:tc>
          <w:tcPr>
            <w:tcW w:w="738" w:type="dxa"/>
            <w:tcBorders>
              <w:top w:val="nil"/>
              <w:left w:val="nil"/>
              <w:bottom w:val="single" w:sz="4" w:space="0" w:color="auto"/>
              <w:right w:val="nil"/>
            </w:tcBorders>
            <w:vAlign w:val="bottom"/>
          </w:tcPr>
          <w:p w14:paraId="763426F6" w14:textId="2DD0B14C"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429.1</w:t>
            </w:r>
          </w:p>
        </w:tc>
        <w:tc>
          <w:tcPr>
            <w:tcW w:w="738" w:type="dxa"/>
            <w:tcBorders>
              <w:top w:val="nil"/>
              <w:left w:val="nil"/>
              <w:bottom w:val="single" w:sz="4" w:space="0" w:color="auto"/>
              <w:right w:val="nil"/>
            </w:tcBorders>
            <w:vAlign w:val="bottom"/>
          </w:tcPr>
          <w:p w14:paraId="7522C245" w14:textId="2663AF60"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635.8</w:t>
            </w:r>
          </w:p>
        </w:tc>
        <w:tc>
          <w:tcPr>
            <w:tcW w:w="738" w:type="dxa"/>
            <w:tcBorders>
              <w:top w:val="nil"/>
              <w:left w:val="nil"/>
              <w:bottom w:val="single" w:sz="4" w:space="0" w:color="auto"/>
              <w:right w:val="nil"/>
            </w:tcBorders>
            <w:vAlign w:val="bottom"/>
          </w:tcPr>
          <w:p w14:paraId="11C77FBA" w14:textId="432B8A04"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822.0</w:t>
            </w:r>
          </w:p>
        </w:tc>
        <w:tc>
          <w:tcPr>
            <w:tcW w:w="738" w:type="dxa"/>
            <w:tcBorders>
              <w:top w:val="nil"/>
              <w:left w:val="nil"/>
              <w:bottom w:val="single" w:sz="4" w:space="0" w:color="auto"/>
              <w:right w:val="nil"/>
            </w:tcBorders>
            <w:vAlign w:val="bottom"/>
          </w:tcPr>
          <w:p w14:paraId="2109DD7F" w14:textId="0AF94DF6"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887.5</w:t>
            </w:r>
          </w:p>
        </w:tc>
        <w:tc>
          <w:tcPr>
            <w:tcW w:w="784" w:type="dxa"/>
            <w:tcBorders>
              <w:top w:val="nil"/>
              <w:left w:val="nil"/>
              <w:bottom w:val="single" w:sz="4" w:space="0" w:color="auto"/>
              <w:right w:val="nil"/>
            </w:tcBorders>
            <w:vAlign w:val="bottom"/>
          </w:tcPr>
          <w:p w14:paraId="03BA192C" w14:textId="2AA73588"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871.7</w:t>
            </w:r>
          </w:p>
        </w:tc>
        <w:tc>
          <w:tcPr>
            <w:tcW w:w="837" w:type="dxa"/>
            <w:tcBorders>
              <w:top w:val="nil"/>
              <w:left w:val="nil"/>
              <w:bottom w:val="single" w:sz="4" w:space="0" w:color="auto"/>
              <w:right w:val="nil"/>
            </w:tcBorders>
            <w:shd w:val="clear" w:color="auto" w:fill="auto"/>
            <w:vAlign w:val="bottom"/>
            <w:hideMark/>
          </w:tcPr>
          <w:p w14:paraId="784FA124" w14:textId="02395C95"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897.9</w:t>
            </w:r>
          </w:p>
        </w:tc>
      </w:tr>
      <w:tr w:rsidR="008644A0" w:rsidRPr="00DB0706" w14:paraId="349FB791" w14:textId="77777777" w:rsidTr="00737977">
        <w:trPr>
          <w:trHeight w:val="240"/>
          <w:jc w:val="center"/>
        </w:trPr>
        <w:tc>
          <w:tcPr>
            <w:tcW w:w="3748" w:type="dxa"/>
            <w:tcBorders>
              <w:top w:val="nil"/>
              <w:left w:val="nil"/>
              <w:bottom w:val="nil"/>
              <w:right w:val="nil"/>
            </w:tcBorders>
            <w:shd w:val="clear" w:color="auto" w:fill="auto"/>
            <w:vAlign w:val="bottom"/>
            <w:hideMark/>
          </w:tcPr>
          <w:p w14:paraId="7CBF6F05" w14:textId="77777777" w:rsidR="008644A0" w:rsidRPr="00DB0706" w:rsidRDefault="008644A0" w:rsidP="008644A0">
            <w:pPr>
              <w:rPr>
                <w:rFonts w:ascii="Arial" w:eastAsia="SimSun" w:hAnsi="Arial"/>
                <w:b/>
                <w:bCs/>
                <w:color w:val="000000"/>
                <w:u w:val="single"/>
                <w:lang w:eastAsia="zh-CN"/>
              </w:rPr>
            </w:pPr>
            <w:r w:rsidRPr="00DB0706">
              <w:rPr>
                <w:rFonts w:ascii="Arial" w:eastAsia="SimSun" w:hAnsi="Arial"/>
                <w:b/>
                <w:bCs/>
                <w:color w:val="000000"/>
                <w:u w:val="single"/>
                <w:lang w:eastAsia="zh-CN"/>
              </w:rPr>
              <w:t>Current Liabilities</w:t>
            </w:r>
          </w:p>
        </w:tc>
        <w:tc>
          <w:tcPr>
            <w:tcW w:w="738" w:type="dxa"/>
            <w:tcBorders>
              <w:top w:val="nil"/>
              <w:left w:val="nil"/>
              <w:bottom w:val="nil"/>
              <w:right w:val="nil"/>
            </w:tcBorders>
            <w:vAlign w:val="bottom"/>
          </w:tcPr>
          <w:p w14:paraId="09E30AD3" w14:textId="77777777" w:rsidR="008644A0" w:rsidRPr="00DB0706" w:rsidRDefault="008644A0" w:rsidP="008644A0">
            <w:pPr>
              <w:rPr>
                <w:rFonts w:ascii="Arial" w:eastAsia="SimSun" w:hAnsi="Arial"/>
                <w:color w:val="000000"/>
                <w:lang w:eastAsia="zh-CN"/>
              </w:rPr>
            </w:pPr>
          </w:p>
        </w:tc>
        <w:tc>
          <w:tcPr>
            <w:tcW w:w="738" w:type="dxa"/>
            <w:tcBorders>
              <w:top w:val="nil"/>
              <w:left w:val="nil"/>
              <w:bottom w:val="nil"/>
              <w:right w:val="nil"/>
            </w:tcBorders>
            <w:vAlign w:val="bottom"/>
          </w:tcPr>
          <w:p w14:paraId="473CCA31" w14:textId="77777777" w:rsidR="008644A0" w:rsidRPr="00DB0706" w:rsidRDefault="008644A0" w:rsidP="008644A0">
            <w:pPr>
              <w:rPr>
                <w:rFonts w:ascii="Arial" w:eastAsia="SimSun" w:hAnsi="Arial"/>
                <w:color w:val="000000"/>
                <w:lang w:eastAsia="zh-CN"/>
              </w:rPr>
            </w:pPr>
          </w:p>
        </w:tc>
        <w:tc>
          <w:tcPr>
            <w:tcW w:w="738" w:type="dxa"/>
            <w:tcBorders>
              <w:top w:val="nil"/>
              <w:left w:val="nil"/>
              <w:bottom w:val="nil"/>
              <w:right w:val="nil"/>
            </w:tcBorders>
            <w:vAlign w:val="bottom"/>
          </w:tcPr>
          <w:p w14:paraId="01455688" w14:textId="77777777" w:rsidR="008644A0" w:rsidRPr="00DB0706" w:rsidRDefault="008644A0" w:rsidP="008644A0">
            <w:pPr>
              <w:rPr>
                <w:rFonts w:ascii="Arial" w:eastAsia="SimSun" w:hAnsi="Arial"/>
                <w:color w:val="000000"/>
                <w:lang w:eastAsia="zh-CN"/>
              </w:rPr>
            </w:pPr>
          </w:p>
        </w:tc>
        <w:tc>
          <w:tcPr>
            <w:tcW w:w="738" w:type="dxa"/>
            <w:tcBorders>
              <w:top w:val="nil"/>
              <w:left w:val="nil"/>
              <w:bottom w:val="nil"/>
              <w:right w:val="nil"/>
            </w:tcBorders>
            <w:vAlign w:val="bottom"/>
          </w:tcPr>
          <w:p w14:paraId="49A7D1F0" w14:textId="77777777" w:rsidR="008644A0" w:rsidRPr="00DB0706" w:rsidRDefault="008644A0" w:rsidP="008644A0">
            <w:pPr>
              <w:rPr>
                <w:rFonts w:ascii="Arial" w:eastAsia="SimSun" w:hAnsi="Arial"/>
                <w:color w:val="000000"/>
                <w:lang w:eastAsia="zh-CN"/>
              </w:rPr>
            </w:pPr>
          </w:p>
        </w:tc>
        <w:tc>
          <w:tcPr>
            <w:tcW w:w="784" w:type="dxa"/>
            <w:tcBorders>
              <w:top w:val="nil"/>
              <w:left w:val="nil"/>
              <w:bottom w:val="nil"/>
              <w:right w:val="nil"/>
            </w:tcBorders>
            <w:vAlign w:val="bottom"/>
          </w:tcPr>
          <w:p w14:paraId="4814722F" w14:textId="77777777" w:rsidR="008644A0" w:rsidRPr="00DB0706" w:rsidRDefault="008644A0" w:rsidP="008644A0">
            <w:pPr>
              <w:rPr>
                <w:rFonts w:ascii="Arial" w:eastAsia="SimSun" w:hAnsi="Arial"/>
                <w:color w:val="000000"/>
                <w:lang w:eastAsia="zh-CN"/>
              </w:rPr>
            </w:pPr>
          </w:p>
        </w:tc>
        <w:tc>
          <w:tcPr>
            <w:tcW w:w="837" w:type="dxa"/>
            <w:tcBorders>
              <w:top w:val="nil"/>
              <w:left w:val="nil"/>
              <w:bottom w:val="nil"/>
              <w:right w:val="nil"/>
            </w:tcBorders>
            <w:shd w:val="clear" w:color="auto" w:fill="auto"/>
            <w:vAlign w:val="bottom"/>
            <w:hideMark/>
          </w:tcPr>
          <w:p w14:paraId="57131378" w14:textId="652A9B00" w:rsidR="008644A0" w:rsidRPr="00DB0706" w:rsidRDefault="008644A0" w:rsidP="008644A0">
            <w:pPr>
              <w:rPr>
                <w:rFonts w:ascii="Arial" w:eastAsia="SimSun" w:hAnsi="Arial"/>
                <w:color w:val="000000"/>
                <w:lang w:eastAsia="zh-CN"/>
              </w:rPr>
            </w:pPr>
          </w:p>
        </w:tc>
      </w:tr>
      <w:tr w:rsidR="008644A0" w:rsidRPr="00DB0706" w14:paraId="2527BEF9" w14:textId="77777777" w:rsidTr="00737977">
        <w:trPr>
          <w:trHeight w:val="240"/>
          <w:jc w:val="center"/>
        </w:trPr>
        <w:tc>
          <w:tcPr>
            <w:tcW w:w="3748" w:type="dxa"/>
            <w:tcBorders>
              <w:top w:val="nil"/>
              <w:left w:val="nil"/>
              <w:bottom w:val="nil"/>
              <w:right w:val="nil"/>
            </w:tcBorders>
            <w:shd w:val="clear" w:color="auto" w:fill="auto"/>
            <w:vAlign w:val="bottom"/>
            <w:hideMark/>
          </w:tcPr>
          <w:p w14:paraId="6E521582" w14:textId="77777777"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Account payables</w:t>
            </w:r>
          </w:p>
        </w:tc>
        <w:tc>
          <w:tcPr>
            <w:tcW w:w="738" w:type="dxa"/>
            <w:tcBorders>
              <w:top w:val="nil"/>
              <w:left w:val="nil"/>
              <w:bottom w:val="nil"/>
              <w:right w:val="nil"/>
            </w:tcBorders>
            <w:vAlign w:val="bottom"/>
          </w:tcPr>
          <w:p w14:paraId="66780219" w14:textId="3A2E691B"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32.4</w:t>
            </w:r>
          </w:p>
        </w:tc>
        <w:tc>
          <w:tcPr>
            <w:tcW w:w="738" w:type="dxa"/>
            <w:tcBorders>
              <w:top w:val="nil"/>
              <w:left w:val="nil"/>
              <w:bottom w:val="nil"/>
              <w:right w:val="nil"/>
            </w:tcBorders>
            <w:vAlign w:val="bottom"/>
          </w:tcPr>
          <w:p w14:paraId="77DCDDE4" w14:textId="594BB39D"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54.9</w:t>
            </w:r>
          </w:p>
        </w:tc>
        <w:tc>
          <w:tcPr>
            <w:tcW w:w="738" w:type="dxa"/>
            <w:tcBorders>
              <w:top w:val="nil"/>
              <w:left w:val="nil"/>
              <w:bottom w:val="nil"/>
              <w:right w:val="nil"/>
            </w:tcBorders>
            <w:vAlign w:val="bottom"/>
          </w:tcPr>
          <w:p w14:paraId="382804A4" w14:textId="785A9417"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77.6</w:t>
            </w:r>
          </w:p>
        </w:tc>
        <w:tc>
          <w:tcPr>
            <w:tcW w:w="738" w:type="dxa"/>
            <w:tcBorders>
              <w:top w:val="nil"/>
              <w:left w:val="nil"/>
              <w:bottom w:val="nil"/>
              <w:right w:val="nil"/>
            </w:tcBorders>
            <w:vAlign w:val="bottom"/>
          </w:tcPr>
          <w:p w14:paraId="6272D4A3" w14:textId="19307DEF"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86.4</w:t>
            </w:r>
          </w:p>
        </w:tc>
        <w:tc>
          <w:tcPr>
            <w:tcW w:w="784" w:type="dxa"/>
            <w:tcBorders>
              <w:top w:val="nil"/>
              <w:left w:val="nil"/>
              <w:bottom w:val="nil"/>
              <w:right w:val="nil"/>
            </w:tcBorders>
            <w:vAlign w:val="bottom"/>
          </w:tcPr>
          <w:p w14:paraId="23D8146A" w14:textId="6BBD707B"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82.2</w:t>
            </w:r>
          </w:p>
        </w:tc>
        <w:tc>
          <w:tcPr>
            <w:tcW w:w="837" w:type="dxa"/>
            <w:tcBorders>
              <w:top w:val="nil"/>
              <w:left w:val="nil"/>
              <w:bottom w:val="nil"/>
              <w:right w:val="nil"/>
            </w:tcBorders>
            <w:shd w:val="clear" w:color="auto" w:fill="auto"/>
            <w:vAlign w:val="bottom"/>
            <w:hideMark/>
          </w:tcPr>
          <w:p w14:paraId="5E100247" w14:textId="60608139"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93.6</w:t>
            </w:r>
          </w:p>
        </w:tc>
      </w:tr>
      <w:tr w:rsidR="008644A0" w:rsidRPr="00DB0706" w14:paraId="27BC203F" w14:textId="77777777" w:rsidTr="00737977">
        <w:trPr>
          <w:trHeight w:val="240"/>
          <w:jc w:val="center"/>
        </w:trPr>
        <w:tc>
          <w:tcPr>
            <w:tcW w:w="3748" w:type="dxa"/>
            <w:tcBorders>
              <w:top w:val="nil"/>
              <w:left w:val="nil"/>
              <w:bottom w:val="nil"/>
              <w:right w:val="nil"/>
            </w:tcBorders>
            <w:shd w:val="clear" w:color="auto" w:fill="auto"/>
            <w:vAlign w:val="bottom"/>
            <w:hideMark/>
          </w:tcPr>
          <w:p w14:paraId="00D61673" w14:textId="76212E32"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Deferred revenues (</w:t>
            </w:r>
            <w:r>
              <w:rPr>
                <w:rFonts w:ascii="Arial" w:eastAsia="SimSun" w:hAnsi="Arial"/>
                <w:color w:val="000000"/>
                <w:lang w:eastAsia="zh-CN"/>
              </w:rPr>
              <w:t>s</w:t>
            </w:r>
            <w:r w:rsidRPr="00DB0706">
              <w:rPr>
                <w:rFonts w:ascii="Arial" w:eastAsia="SimSun" w:hAnsi="Arial"/>
                <w:color w:val="000000"/>
                <w:lang w:eastAsia="zh-CN"/>
              </w:rPr>
              <w:t>hort</w:t>
            </w:r>
            <w:r>
              <w:rPr>
                <w:rFonts w:ascii="Arial" w:eastAsia="SimSun" w:hAnsi="Arial"/>
                <w:color w:val="000000"/>
                <w:lang w:eastAsia="zh-CN"/>
              </w:rPr>
              <w:t>-</w:t>
            </w:r>
            <w:r w:rsidRPr="00DB0706">
              <w:rPr>
                <w:rFonts w:ascii="Arial" w:eastAsia="SimSun" w:hAnsi="Arial"/>
                <w:color w:val="000000"/>
                <w:lang w:eastAsia="zh-CN"/>
              </w:rPr>
              <w:t>term)</w:t>
            </w:r>
          </w:p>
        </w:tc>
        <w:tc>
          <w:tcPr>
            <w:tcW w:w="738" w:type="dxa"/>
            <w:tcBorders>
              <w:top w:val="nil"/>
              <w:left w:val="nil"/>
              <w:bottom w:val="nil"/>
              <w:right w:val="nil"/>
            </w:tcBorders>
            <w:vAlign w:val="bottom"/>
          </w:tcPr>
          <w:p w14:paraId="749A40F6" w14:textId="21830900"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0A841B64" w14:textId="483681A6"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204BE532" w14:textId="45F031FD"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17.4</w:t>
            </w:r>
          </w:p>
        </w:tc>
        <w:tc>
          <w:tcPr>
            <w:tcW w:w="738" w:type="dxa"/>
            <w:tcBorders>
              <w:top w:val="nil"/>
              <w:left w:val="nil"/>
              <w:bottom w:val="nil"/>
              <w:right w:val="nil"/>
            </w:tcBorders>
            <w:vAlign w:val="bottom"/>
          </w:tcPr>
          <w:p w14:paraId="42709FFC" w14:textId="745BE9B3"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3.0</w:t>
            </w:r>
          </w:p>
        </w:tc>
        <w:tc>
          <w:tcPr>
            <w:tcW w:w="784" w:type="dxa"/>
            <w:tcBorders>
              <w:top w:val="nil"/>
              <w:left w:val="nil"/>
              <w:bottom w:val="nil"/>
              <w:right w:val="nil"/>
            </w:tcBorders>
            <w:vAlign w:val="bottom"/>
          </w:tcPr>
          <w:p w14:paraId="4CAAECDC" w14:textId="5D9102DC"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5.8</w:t>
            </w:r>
          </w:p>
        </w:tc>
        <w:tc>
          <w:tcPr>
            <w:tcW w:w="837" w:type="dxa"/>
            <w:tcBorders>
              <w:top w:val="nil"/>
              <w:left w:val="nil"/>
              <w:bottom w:val="nil"/>
              <w:right w:val="nil"/>
            </w:tcBorders>
            <w:shd w:val="clear" w:color="auto" w:fill="auto"/>
            <w:vAlign w:val="bottom"/>
            <w:hideMark/>
          </w:tcPr>
          <w:p w14:paraId="3027F1E6" w14:textId="4A2019C1"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11.5</w:t>
            </w:r>
          </w:p>
        </w:tc>
      </w:tr>
      <w:tr w:rsidR="008644A0" w:rsidRPr="00DB0706" w14:paraId="5D89FE56" w14:textId="77777777" w:rsidTr="00737977">
        <w:trPr>
          <w:trHeight w:val="240"/>
          <w:jc w:val="center"/>
        </w:trPr>
        <w:tc>
          <w:tcPr>
            <w:tcW w:w="3748" w:type="dxa"/>
            <w:tcBorders>
              <w:top w:val="nil"/>
              <w:left w:val="nil"/>
              <w:bottom w:val="nil"/>
              <w:right w:val="nil"/>
            </w:tcBorders>
            <w:shd w:val="clear" w:color="auto" w:fill="auto"/>
            <w:vAlign w:val="bottom"/>
            <w:hideMark/>
          </w:tcPr>
          <w:p w14:paraId="772DE70D" w14:textId="0E3DE0B9"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Bank loans (</w:t>
            </w:r>
            <w:r>
              <w:rPr>
                <w:rFonts w:ascii="Arial" w:eastAsia="SimSun" w:hAnsi="Arial"/>
                <w:color w:val="000000"/>
                <w:lang w:eastAsia="zh-CN"/>
              </w:rPr>
              <w:t>s</w:t>
            </w:r>
            <w:r w:rsidRPr="00DB0706">
              <w:rPr>
                <w:rFonts w:ascii="Arial" w:eastAsia="SimSun" w:hAnsi="Arial"/>
                <w:color w:val="000000"/>
                <w:lang w:eastAsia="zh-CN"/>
              </w:rPr>
              <w:t>hort</w:t>
            </w:r>
            <w:r>
              <w:rPr>
                <w:rFonts w:ascii="Arial" w:eastAsia="SimSun" w:hAnsi="Arial"/>
                <w:color w:val="000000"/>
                <w:lang w:eastAsia="zh-CN"/>
              </w:rPr>
              <w:t>-</w:t>
            </w:r>
            <w:r w:rsidRPr="00DB0706">
              <w:rPr>
                <w:rFonts w:ascii="Arial" w:eastAsia="SimSun" w:hAnsi="Arial"/>
                <w:color w:val="000000"/>
                <w:lang w:eastAsia="zh-CN"/>
              </w:rPr>
              <w:t>term)</w:t>
            </w:r>
          </w:p>
        </w:tc>
        <w:tc>
          <w:tcPr>
            <w:tcW w:w="738" w:type="dxa"/>
            <w:tcBorders>
              <w:top w:val="nil"/>
              <w:left w:val="nil"/>
              <w:bottom w:val="nil"/>
              <w:right w:val="nil"/>
            </w:tcBorders>
            <w:vAlign w:val="bottom"/>
          </w:tcPr>
          <w:p w14:paraId="0F9B70AF" w14:textId="3AFD16D3"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5.6</w:t>
            </w:r>
          </w:p>
        </w:tc>
        <w:tc>
          <w:tcPr>
            <w:tcW w:w="738" w:type="dxa"/>
            <w:tcBorders>
              <w:top w:val="nil"/>
              <w:left w:val="nil"/>
              <w:bottom w:val="nil"/>
              <w:right w:val="nil"/>
            </w:tcBorders>
            <w:vAlign w:val="bottom"/>
          </w:tcPr>
          <w:p w14:paraId="011B5CA6" w14:textId="6E18A18E"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34A482FC" w14:textId="2ABA85A9"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29.3</w:t>
            </w:r>
          </w:p>
        </w:tc>
        <w:tc>
          <w:tcPr>
            <w:tcW w:w="738" w:type="dxa"/>
            <w:tcBorders>
              <w:top w:val="nil"/>
              <w:left w:val="nil"/>
              <w:bottom w:val="nil"/>
              <w:right w:val="nil"/>
            </w:tcBorders>
            <w:vAlign w:val="bottom"/>
          </w:tcPr>
          <w:p w14:paraId="7248D45D" w14:textId="05217ADB"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17.1</w:t>
            </w:r>
          </w:p>
        </w:tc>
        <w:tc>
          <w:tcPr>
            <w:tcW w:w="784" w:type="dxa"/>
            <w:tcBorders>
              <w:top w:val="nil"/>
              <w:left w:val="nil"/>
              <w:bottom w:val="nil"/>
              <w:right w:val="nil"/>
            </w:tcBorders>
            <w:vAlign w:val="bottom"/>
          </w:tcPr>
          <w:p w14:paraId="41BC7B8D" w14:textId="1F27AC95"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11.9</w:t>
            </w:r>
          </w:p>
        </w:tc>
        <w:tc>
          <w:tcPr>
            <w:tcW w:w="837" w:type="dxa"/>
            <w:tcBorders>
              <w:top w:val="nil"/>
              <w:left w:val="nil"/>
              <w:bottom w:val="nil"/>
              <w:right w:val="nil"/>
            </w:tcBorders>
            <w:shd w:val="clear" w:color="auto" w:fill="auto"/>
            <w:vAlign w:val="bottom"/>
            <w:hideMark/>
          </w:tcPr>
          <w:p w14:paraId="3705D994" w14:textId="38981C13"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9.5</w:t>
            </w:r>
          </w:p>
        </w:tc>
      </w:tr>
      <w:tr w:rsidR="008644A0" w:rsidRPr="00DB0706" w14:paraId="2AED0E1B" w14:textId="77777777" w:rsidTr="00737977">
        <w:trPr>
          <w:trHeight w:val="240"/>
          <w:jc w:val="center"/>
        </w:trPr>
        <w:tc>
          <w:tcPr>
            <w:tcW w:w="3748" w:type="dxa"/>
            <w:tcBorders>
              <w:top w:val="nil"/>
              <w:left w:val="nil"/>
              <w:bottom w:val="nil"/>
              <w:right w:val="nil"/>
            </w:tcBorders>
            <w:shd w:val="clear" w:color="auto" w:fill="auto"/>
            <w:vAlign w:val="bottom"/>
            <w:hideMark/>
          </w:tcPr>
          <w:p w14:paraId="11EF1777" w14:textId="76E2CCFB"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Current portion of long-term debt</w:t>
            </w:r>
          </w:p>
        </w:tc>
        <w:tc>
          <w:tcPr>
            <w:tcW w:w="738" w:type="dxa"/>
            <w:tcBorders>
              <w:top w:val="nil"/>
              <w:left w:val="nil"/>
              <w:bottom w:val="nil"/>
              <w:right w:val="nil"/>
            </w:tcBorders>
            <w:vAlign w:val="bottom"/>
          </w:tcPr>
          <w:p w14:paraId="55D34296" w14:textId="1A615D9E"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3E304E2E" w14:textId="41FAC623"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4689474B" w14:textId="50A67A90"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1F1103B2" w14:textId="7072DCBA"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84" w:type="dxa"/>
            <w:tcBorders>
              <w:top w:val="nil"/>
              <w:left w:val="nil"/>
              <w:bottom w:val="nil"/>
              <w:right w:val="nil"/>
            </w:tcBorders>
            <w:vAlign w:val="bottom"/>
          </w:tcPr>
          <w:p w14:paraId="09472711" w14:textId="501490DE"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837" w:type="dxa"/>
            <w:tcBorders>
              <w:top w:val="nil"/>
              <w:left w:val="nil"/>
              <w:bottom w:val="nil"/>
              <w:right w:val="nil"/>
            </w:tcBorders>
            <w:shd w:val="clear" w:color="auto" w:fill="auto"/>
            <w:vAlign w:val="bottom"/>
            <w:hideMark/>
          </w:tcPr>
          <w:p w14:paraId="1C63EB20" w14:textId="61215633"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196.5</w:t>
            </w:r>
          </w:p>
        </w:tc>
      </w:tr>
      <w:tr w:rsidR="008644A0" w:rsidRPr="00DB0706" w14:paraId="40485B45" w14:textId="77777777" w:rsidTr="00737977">
        <w:trPr>
          <w:trHeight w:val="240"/>
          <w:jc w:val="center"/>
        </w:trPr>
        <w:tc>
          <w:tcPr>
            <w:tcW w:w="3748" w:type="dxa"/>
            <w:tcBorders>
              <w:top w:val="nil"/>
              <w:left w:val="nil"/>
              <w:bottom w:val="nil"/>
              <w:right w:val="nil"/>
            </w:tcBorders>
            <w:shd w:val="clear" w:color="auto" w:fill="auto"/>
            <w:vAlign w:val="bottom"/>
            <w:hideMark/>
          </w:tcPr>
          <w:p w14:paraId="6342E5D7" w14:textId="77777777"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Preference shares</w:t>
            </w:r>
          </w:p>
        </w:tc>
        <w:tc>
          <w:tcPr>
            <w:tcW w:w="738" w:type="dxa"/>
            <w:tcBorders>
              <w:top w:val="nil"/>
              <w:left w:val="nil"/>
              <w:bottom w:val="nil"/>
              <w:right w:val="nil"/>
            </w:tcBorders>
            <w:vAlign w:val="bottom"/>
          </w:tcPr>
          <w:p w14:paraId="507B27F8" w14:textId="24513C62"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0C912331" w14:textId="4C9008CD"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3999813C" w14:textId="1DB8BBCF"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01606FAF" w14:textId="018ABC1E"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84" w:type="dxa"/>
            <w:tcBorders>
              <w:top w:val="nil"/>
              <w:left w:val="nil"/>
              <w:bottom w:val="nil"/>
              <w:right w:val="nil"/>
            </w:tcBorders>
            <w:vAlign w:val="bottom"/>
          </w:tcPr>
          <w:p w14:paraId="1E3F087F" w14:textId="40066C17"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837" w:type="dxa"/>
            <w:tcBorders>
              <w:top w:val="nil"/>
              <w:left w:val="nil"/>
              <w:bottom w:val="nil"/>
              <w:right w:val="nil"/>
            </w:tcBorders>
            <w:shd w:val="clear" w:color="auto" w:fill="auto"/>
            <w:vAlign w:val="bottom"/>
            <w:hideMark/>
          </w:tcPr>
          <w:p w14:paraId="1878669D" w14:textId="06BA2A83"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42.7</w:t>
            </w:r>
          </w:p>
        </w:tc>
      </w:tr>
      <w:tr w:rsidR="008644A0" w:rsidRPr="00DB0706" w14:paraId="0530586A" w14:textId="77777777" w:rsidTr="00737977">
        <w:trPr>
          <w:trHeight w:val="240"/>
          <w:jc w:val="center"/>
        </w:trPr>
        <w:tc>
          <w:tcPr>
            <w:tcW w:w="3748" w:type="dxa"/>
            <w:tcBorders>
              <w:top w:val="nil"/>
              <w:left w:val="nil"/>
              <w:bottom w:val="nil"/>
              <w:right w:val="nil"/>
            </w:tcBorders>
            <w:shd w:val="clear" w:color="auto" w:fill="auto"/>
            <w:vAlign w:val="bottom"/>
            <w:hideMark/>
          </w:tcPr>
          <w:p w14:paraId="32E24A8C" w14:textId="75DEA6BA"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Other</w:t>
            </w:r>
          </w:p>
        </w:tc>
        <w:tc>
          <w:tcPr>
            <w:tcW w:w="738" w:type="dxa"/>
            <w:tcBorders>
              <w:top w:val="nil"/>
              <w:left w:val="nil"/>
              <w:bottom w:val="nil"/>
              <w:right w:val="nil"/>
            </w:tcBorders>
            <w:vAlign w:val="bottom"/>
          </w:tcPr>
          <w:p w14:paraId="1FB76813" w14:textId="5B86481A"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1.4</w:t>
            </w:r>
          </w:p>
        </w:tc>
        <w:tc>
          <w:tcPr>
            <w:tcW w:w="738" w:type="dxa"/>
            <w:tcBorders>
              <w:top w:val="nil"/>
              <w:left w:val="nil"/>
              <w:bottom w:val="nil"/>
              <w:right w:val="nil"/>
            </w:tcBorders>
            <w:vAlign w:val="bottom"/>
          </w:tcPr>
          <w:p w14:paraId="0FF78B00" w14:textId="4CAE8361"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2.2</w:t>
            </w:r>
          </w:p>
        </w:tc>
        <w:tc>
          <w:tcPr>
            <w:tcW w:w="738" w:type="dxa"/>
            <w:tcBorders>
              <w:top w:val="nil"/>
              <w:left w:val="nil"/>
              <w:bottom w:val="nil"/>
              <w:right w:val="nil"/>
            </w:tcBorders>
            <w:vAlign w:val="bottom"/>
          </w:tcPr>
          <w:p w14:paraId="7C65A706" w14:textId="5309B157"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2.8</w:t>
            </w:r>
          </w:p>
        </w:tc>
        <w:tc>
          <w:tcPr>
            <w:tcW w:w="738" w:type="dxa"/>
            <w:tcBorders>
              <w:top w:val="nil"/>
              <w:left w:val="nil"/>
              <w:bottom w:val="nil"/>
              <w:right w:val="nil"/>
            </w:tcBorders>
            <w:vAlign w:val="bottom"/>
          </w:tcPr>
          <w:p w14:paraId="589D724A" w14:textId="425F77C8"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4.8</w:t>
            </w:r>
          </w:p>
        </w:tc>
        <w:tc>
          <w:tcPr>
            <w:tcW w:w="784" w:type="dxa"/>
            <w:tcBorders>
              <w:top w:val="nil"/>
              <w:left w:val="nil"/>
              <w:bottom w:val="nil"/>
              <w:right w:val="nil"/>
            </w:tcBorders>
            <w:vAlign w:val="bottom"/>
          </w:tcPr>
          <w:p w14:paraId="6CC404D7" w14:textId="516D8738"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30.8</w:t>
            </w:r>
          </w:p>
        </w:tc>
        <w:tc>
          <w:tcPr>
            <w:tcW w:w="837" w:type="dxa"/>
            <w:tcBorders>
              <w:top w:val="nil"/>
              <w:left w:val="nil"/>
              <w:bottom w:val="nil"/>
              <w:right w:val="nil"/>
            </w:tcBorders>
            <w:shd w:val="clear" w:color="auto" w:fill="auto"/>
            <w:vAlign w:val="bottom"/>
            <w:hideMark/>
          </w:tcPr>
          <w:p w14:paraId="2E52A697" w14:textId="530EE809"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16.0</w:t>
            </w:r>
          </w:p>
        </w:tc>
      </w:tr>
      <w:tr w:rsidR="008644A0" w:rsidRPr="00DB0706" w14:paraId="4032E7B0" w14:textId="77777777" w:rsidTr="00737977">
        <w:trPr>
          <w:trHeight w:val="240"/>
          <w:jc w:val="center"/>
        </w:trPr>
        <w:tc>
          <w:tcPr>
            <w:tcW w:w="3748" w:type="dxa"/>
            <w:tcBorders>
              <w:top w:val="single" w:sz="4" w:space="0" w:color="auto"/>
              <w:left w:val="nil"/>
              <w:bottom w:val="single" w:sz="4" w:space="0" w:color="auto"/>
              <w:right w:val="nil"/>
            </w:tcBorders>
            <w:shd w:val="clear" w:color="auto" w:fill="auto"/>
            <w:vAlign w:val="bottom"/>
            <w:hideMark/>
          </w:tcPr>
          <w:p w14:paraId="2ABC7CD4" w14:textId="77777777" w:rsidR="008644A0" w:rsidRPr="00DB0706" w:rsidRDefault="008644A0" w:rsidP="008644A0">
            <w:pPr>
              <w:rPr>
                <w:rFonts w:ascii="Arial" w:eastAsia="SimSun" w:hAnsi="Arial"/>
                <w:b/>
                <w:bCs/>
                <w:color w:val="000000"/>
                <w:lang w:eastAsia="zh-CN"/>
              </w:rPr>
            </w:pPr>
            <w:r w:rsidRPr="00DB0706">
              <w:rPr>
                <w:rFonts w:ascii="Arial" w:eastAsia="SimSun" w:hAnsi="Arial"/>
                <w:b/>
                <w:bCs/>
                <w:color w:val="000000"/>
                <w:lang w:eastAsia="zh-CN"/>
              </w:rPr>
              <w:t>Total Current Liabilities</w:t>
            </w:r>
          </w:p>
        </w:tc>
        <w:tc>
          <w:tcPr>
            <w:tcW w:w="738" w:type="dxa"/>
            <w:tcBorders>
              <w:top w:val="single" w:sz="4" w:space="0" w:color="auto"/>
              <w:left w:val="nil"/>
              <w:bottom w:val="single" w:sz="4" w:space="0" w:color="auto"/>
              <w:right w:val="nil"/>
            </w:tcBorders>
            <w:vAlign w:val="bottom"/>
          </w:tcPr>
          <w:p w14:paraId="274EA805" w14:textId="4988F8BE"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39.4</w:t>
            </w:r>
          </w:p>
        </w:tc>
        <w:tc>
          <w:tcPr>
            <w:tcW w:w="738" w:type="dxa"/>
            <w:tcBorders>
              <w:top w:val="single" w:sz="4" w:space="0" w:color="auto"/>
              <w:left w:val="nil"/>
              <w:bottom w:val="single" w:sz="4" w:space="0" w:color="auto"/>
              <w:right w:val="nil"/>
            </w:tcBorders>
            <w:vAlign w:val="bottom"/>
          </w:tcPr>
          <w:p w14:paraId="4F88D82B" w14:textId="5DF2F116"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57.0</w:t>
            </w:r>
          </w:p>
        </w:tc>
        <w:tc>
          <w:tcPr>
            <w:tcW w:w="738" w:type="dxa"/>
            <w:tcBorders>
              <w:top w:val="single" w:sz="4" w:space="0" w:color="auto"/>
              <w:left w:val="nil"/>
              <w:bottom w:val="single" w:sz="4" w:space="0" w:color="auto"/>
              <w:right w:val="nil"/>
            </w:tcBorders>
            <w:vAlign w:val="bottom"/>
          </w:tcPr>
          <w:p w14:paraId="4D1A145F" w14:textId="35E538D6"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127.0</w:t>
            </w:r>
          </w:p>
        </w:tc>
        <w:tc>
          <w:tcPr>
            <w:tcW w:w="738" w:type="dxa"/>
            <w:tcBorders>
              <w:top w:val="single" w:sz="4" w:space="0" w:color="auto"/>
              <w:left w:val="nil"/>
              <w:bottom w:val="single" w:sz="4" w:space="0" w:color="auto"/>
              <w:right w:val="nil"/>
            </w:tcBorders>
            <w:vAlign w:val="bottom"/>
          </w:tcPr>
          <w:p w14:paraId="60B32C53" w14:textId="638305ED"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111.3</w:t>
            </w:r>
          </w:p>
        </w:tc>
        <w:tc>
          <w:tcPr>
            <w:tcW w:w="784" w:type="dxa"/>
            <w:tcBorders>
              <w:top w:val="single" w:sz="4" w:space="0" w:color="auto"/>
              <w:left w:val="nil"/>
              <w:bottom w:val="single" w:sz="4" w:space="0" w:color="auto"/>
              <w:right w:val="nil"/>
            </w:tcBorders>
            <w:vAlign w:val="bottom"/>
          </w:tcPr>
          <w:p w14:paraId="49832684" w14:textId="71E95984"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130.8</w:t>
            </w:r>
          </w:p>
        </w:tc>
        <w:tc>
          <w:tcPr>
            <w:tcW w:w="837" w:type="dxa"/>
            <w:tcBorders>
              <w:top w:val="single" w:sz="4" w:space="0" w:color="auto"/>
              <w:left w:val="nil"/>
              <w:bottom w:val="single" w:sz="4" w:space="0" w:color="auto"/>
              <w:right w:val="nil"/>
            </w:tcBorders>
            <w:shd w:val="clear" w:color="auto" w:fill="auto"/>
            <w:vAlign w:val="bottom"/>
            <w:hideMark/>
          </w:tcPr>
          <w:p w14:paraId="1C0D8BD6" w14:textId="5AEA314A"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369.7</w:t>
            </w:r>
          </w:p>
        </w:tc>
      </w:tr>
      <w:tr w:rsidR="008644A0" w:rsidRPr="00DB0706" w14:paraId="67581338" w14:textId="77777777" w:rsidTr="00737977">
        <w:trPr>
          <w:trHeight w:val="240"/>
          <w:jc w:val="center"/>
        </w:trPr>
        <w:tc>
          <w:tcPr>
            <w:tcW w:w="3748" w:type="dxa"/>
            <w:tcBorders>
              <w:top w:val="nil"/>
              <w:left w:val="nil"/>
              <w:bottom w:val="nil"/>
              <w:right w:val="nil"/>
            </w:tcBorders>
            <w:shd w:val="clear" w:color="auto" w:fill="auto"/>
            <w:vAlign w:val="bottom"/>
            <w:hideMark/>
          </w:tcPr>
          <w:p w14:paraId="7BEF2034" w14:textId="77777777" w:rsidR="008644A0" w:rsidRPr="00DB0706" w:rsidRDefault="008644A0" w:rsidP="008644A0">
            <w:pPr>
              <w:rPr>
                <w:rFonts w:ascii="Arial" w:eastAsia="SimSun" w:hAnsi="Arial"/>
                <w:b/>
                <w:bCs/>
                <w:color w:val="000000"/>
                <w:u w:val="single"/>
                <w:lang w:eastAsia="zh-CN"/>
              </w:rPr>
            </w:pPr>
            <w:r w:rsidRPr="00DB0706">
              <w:rPr>
                <w:rFonts w:ascii="Arial" w:eastAsia="SimSun" w:hAnsi="Arial"/>
                <w:b/>
                <w:bCs/>
                <w:color w:val="000000"/>
                <w:u w:val="single"/>
                <w:lang w:eastAsia="zh-CN"/>
              </w:rPr>
              <w:t>Non-Current Liabilities</w:t>
            </w:r>
          </w:p>
        </w:tc>
        <w:tc>
          <w:tcPr>
            <w:tcW w:w="738" w:type="dxa"/>
            <w:tcBorders>
              <w:top w:val="nil"/>
              <w:left w:val="nil"/>
              <w:bottom w:val="nil"/>
              <w:right w:val="nil"/>
            </w:tcBorders>
            <w:vAlign w:val="bottom"/>
          </w:tcPr>
          <w:p w14:paraId="3A711D63" w14:textId="77777777" w:rsidR="008644A0" w:rsidRPr="00DB0706" w:rsidRDefault="008644A0" w:rsidP="008644A0">
            <w:pPr>
              <w:rPr>
                <w:rFonts w:ascii="Arial" w:eastAsia="SimSun" w:hAnsi="Arial"/>
                <w:color w:val="000000"/>
                <w:lang w:eastAsia="zh-CN"/>
              </w:rPr>
            </w:pPr>
          </w:p>
        </w:tc>
        <w:tc>
          <w:tcPr>
            <w:tcW w:w="738" w:type="dxa"/>
            <w:tcBorders>
              <w:top w:val="nil"/>
              <w:left w:val="nil"/>
              <w:bottom w:val="nil"/>
              <w:right w:val="nil"/>
            </w:tcBorders>
            <w:vAlign w:val="bottom"/>
          </w:tcPr>
          <w:p w14:paraId="6EB6A859" w14:textId="77777777" w:rsidR="008644A0" w:rsidRPr="00DB0706" w:rsidRDefault="008644A0" w:rsidP="008644A0">
            <w:pPr>
              <w:rPr>
                <w:rFonts w:ascii="Arial" w:eastAsia="SimSun" w:hAnsi="Arial"/>
                <w:color w:val="000000"/>
                <w:lang w:eastAsia="zh-CN"/>
              </w:rPr>
            </w:pPr>
          </w:p>
        </w:tc>
        <w:tc>
          <w:tcPr>
            <w:tcW w:w="738" w:type="dxa"/>
            <w:tcBorders>
              <w:top w:val="nil"/>
              <w:left w:val="nil"/>
              <w:bottom w:val="nil"/>
              <w:right w:val="nil"/>
            </w:tcBorders>
            <w:vAlign w:val="bottom"/>
          </w:tcPr>
          <w:p w14:paraId="2E05F0CB" w14:textId="77777777" w:rsidR="008644A0" w:rsidRPr="00DB0706" w:rsidRDefault="008644A0" w:rsidP="008644A0">
            <w:pPr>
              <w:rPr>
                <w:rFonts w:ascii="Arial" w:eastAsia="SimSun" w:hAnsi="Arial"/>
                <w:color w:val="000000"/>
                <w:lang w:eastAsia="zh-CN"/>
              </w:rPr>
            </w:pPr>
          </w:p>
        </w:tc>
        <w:tc>
          <w:tcPr>
            <w:tcW w:w="738" w:type="dxa"/>
            <w:tcBorders>
              <w:top w:val="nil"/>
              <w:left w:val="nil"/>
              <w:bottom w:val="nil"/>
              <w:right w:val="nil"/>
            </w:tcBorders>
            <w:vAlign w:val="bottom"/>
          </w:tcPr>
          <w:p w14:paraId="3DC0A32B" w14:textId="77777777" w:rsidR="008644A0" w:rsidRPr="00DB0706" w:rsidRDefault="008644A0" w:rsidP="008644A0">
            <w:pPr>
              <w:rPr>
                <w:rFonts w:ascii="Arial" w:eastAsia="SimSun" w:hAnsi="Arial"/>
                <w:color w:val="000000"/>
                <w:lang w:eastAsia="zh-CN"/>
              </w:rPr>
            </w:pPr>
          </w:p>
        </w:tc>
        <w:tc>
          <w:tcPr>
            <w:tcW w:w="784" w:type="dxa"/>
            <w:tcBorders>
              <w:top w:val="nil"/>
              <w:left w:val="nil"/>
              <w:bottom w:val="nil"/>
              <w:right w:val="nil"/>
            </w:tcBorders>
            <w:vAlign w:val="bottom"/>
          </w:tcPr>
          <w:p w14:paraId="324EB7CA" w14:textId="77777777" w:rsidR="008644A0" w:rsidRPr="00DB0706" w:rsidRDefault="008644A0" w:rsidP="008644A0">
            <w:pPr>
              <w:rPr>
                <w:rFonts w:ascii="Arial" w:eastAsia="SimSun" w:hAnsi="Arial"/>
                <w:color w:val="000000"/>
                <w:lang w:eastAsia="zh-CN"/>
              </w:rPr>
            </w:pPr>
          </w:p>
        </w:tc>
        <w:tc>
          <w:tcPr>
            <w:tcW w:w="837" w:type="dxa"/>
            <w:tcBorders>
              <w:top w:val="nil"/>
              <w:left w:val="nil"/>
              <w:bottom w:val="nil"/>
              <w:right w:val="nil"/>
            </w:tcBorders>
            <w:shd w:val="clear" w:color="auto" w:fill="auto"/>
            <w:vAlign w:val="bottom"/>
            <w:hideMark/>
          </w:tcPr>
          <w:p w14:paraId="1FB35FDB" w14:textId="5B930552" w:rsidR="008644A0" w:rsidRPr="00DB0706" w:rsidRDefault="008644A0" w:rsidP="008644A0">
            <w:pPr>
              <w:rPr>
                <w:rFonts w:ascii="Arial" w:eastAsia="SimSun" w:hAnsi="Arial"/>
                <w:color w:val="000000"/>
                <w:lang w:eastAsia="zh-CN"/>
              </w:rPr>
            </w:pPr>
          </w:p>
        </w:tc>
      </w:tr>
      <w:tr w:rsidR="008644A0" w:rsidRPr="00DB0706" w14:paraId="4EEE902C" w14:textId="77777777" w:rsidTr="00737977">
        <w:trPr>
          <w:trHeight w:val="240"/>
          <w:jc w:val="center"/>
        </w:trPr>
        <w:tc>
          <w:tcPr>
            <w:tcW w:w="3748" w:type="dxa"/>
            <w:tcBorders>
              <w:top w:val="nil"/>
              <w:left w:val="nil"/>
              <w:bottom w:val="nil"/>
              <w:right w:val="nil"/>
            </w:tcBorders>
            <w:shd w:val="clear" w:color="auto" w:fill="auto"/>
            <w:vAlign w:val="bottom"/>
            <w:hideMark/>
          </w:tcPr>
          <w:p w14:paraId="38E63345" w14:textId="4DF7F3A5"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Deferred revenues (</w:t>
            </w:r>
            <w:r>
              <w:rPr>
                <w:rFonts w:ascii="Arial" w:eastAsia="SimSun" w:hAnsi="Arial"/>
                <w:color w:val="000000"/>
                <w:lang w:eastAsia="zh-CN"/>
              </w:rPr>
              <w:t>l</w:t>
            </w:r>
            <w:r w:rsidRPr="00DB0706">
              <w:rPr>
                <w:rFonts w:ascii="Arial" w:eastAsia="SimSun" w:hAnsi="Arial"/>
                <w:color w:val="000000"/>
                <w:lang w:eastAsia="zh-CN"/>
              </w:rPr>
              <w:t>ong</w:t>
            </w:r>
            <w:r>
              <w:rPr>
                <w:rFonts w:ascii="Arial" w:eastAsia="SimSun" w:hAnsi="Arial"/>
                <w:color w:val="000000"/>
                <w:lang w:eastAsia="zh-CN"/>
              </w:rPr>
              <w:t>-</w:t>
            </w:r>
            <w:r w:rsidRPr="00DB0706">
              <w:rPr>
                <w:rFonts w:ascii="Arial" w:eastAsia="SimSun" w:hAnsi="Arial"/>
                <w:color w:val="000000"/>
                <w:lang w:eastAsia="zh-CN"/>
              </w:rPr>
              <w:t>term)</w:t>
            </w:r>
          </w:p>
        </w:tc>
        <w:tc>
          <w:tcPr>
            <w:tcW w:w="738" w:type="dxa"/>
            <w:tcBorders>
              <w:top w:val="nil"/>
              <w:left w:val="nil"/>
              <w:bottom w:val="nil"/>
              <w:right w:val="nil"/>
            </w:tcBorders>
            <w:vAlign w:val="bottom"/>
          </w:tcPr>
          <w:p w14:paraId="14E39140" w14:textId="26BB6F0F"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7BA3829E" w14:textId="4C17B275"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78D66579" w14:textId="35C2489A"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1F2D424D" w14:textId="34874B56"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84" w:type="dxa"/>
            <w:tcBorders>
              <w:top w:val="nil"/>
              <w:left w:val="nil"/>
              <w:bottom w:val="nil"/>
              <w:right w:val="nil"/>
            </w:tcBorders>
            <w:vAlign w:val="bottom"/>
          </w:tcPr>
          <w:p w14:paraId="06E62703" w14:textId="201C058E"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42.5</w:t>
            </w:r>
          </w:p>
        </w:tc>
        <w:tc>
          <w:tcPr>
            <w:tcW w:w="837" w:type="dxa"/>
            <w:tcBorders>
              <w:top w:val="nil"/>
              <w:left w:val="nil"/>
              <w:bottom w:val="nil"/>
              <w:right w:val="nil"/>
            </w:tcBorders>
            <w:shd w:val="clear" w:color="auto" w:fill="auto"/>
            <w:vAlign w:val="bottom"/>
            <w:hideMark/>
          </w:tcPr>
          <w:p w14:paraId="7249B56E" w14:textId="5C6A4135"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94.8</w:t>
            </w:r>
          </w:p>
        </w:tc>
      </w:tr>
      <w:tr w:rsidR="008644A0" w:rsidRPr="00DB0706" w14:paraId="6E72FB2E" w14:textId="77777777" w:rsidTr="00737977">
        <w:trPr>
          <w:trHeight w:val="240"/>
          <w:jc w:val="center"/>
        </w:trPr>
        <w:tc>
          <w:tcPr>
            <w:tcW w:w="3748" w:type="dxa"/>
            <w:tcBorders>
              <w:top w:val="nil"/>
              <w:left w:val="nil"/>
              <w:bottom w:val="nil"/>
              <w:right w:val="nil"/>
            </w:tcBorders>
            <w:shd w:val="clear" w:color="auto" w:fill="auto"/>
            <w:vAlign w:val="bottom"/>
            <w:hideMark/>
          </w:tcPr>
          <w:p w14:paraId="311DD3E2" w14:textId="2010ECD0"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Bank loans (</w:t>
            </w:r>
            <w:r>
              <w:rPr>
                <w:rFonts w:ascii="Arial" w:eastAsia="SimSun" w:hAnsi="Arial"/>
                <w:color w:val="000000"/>
                <w:lang w:eastAsia="zh-CN"/>
              </w:rPr>
              <w:t>l</w:t>
            </w:r>
            <w:r w:rsidRPr="00DB0706">
              <w:rPr>
                <w:rFonts w:ascii="Arial" w:eastAsia="SimSun" w:hAnsi="Arial"/>
                <w:color w:val="000000"/>
                <w:lang w:eastAsia="zh-CN"/>
              </w:rPr>
              <w:t>ong</w:t>
            </w:r>
            <w:r>
              <w:rPr>
                <w:rFonts w:ascii="Arial" w:eastAsia="SimSun" w:hAnsi="Arial"/>
                <w:color w:val="000000"/>
                <w:lang w:eastAsia="zh-CN"/>
              </w:rPr>
              <w:t>-</w:t>
            </w:r>
            <w:r w:rsidRPr="00DB0706">
              <w:rPr>
                <w:rFonts w:ascii="Arial" w:eastAsia="SimSun" w:hAnsi="Arial"/>
                <w:color w:val="000000"/>
                <w:lang w:eastAsia="zh-CN"/>
              </w:rPr>
              <w:t>term)</w:t>
            </w:r>
          </w:p>
        </w:tc>
        <w:tc>
          <w:tcPr>
            <w:tcW w:w="738" w:type="dxa"/>
            <w:tcBorders>
              <w:top w:val="nil"/>
              <w:left w:val="nil"/>
              <w:bottom w:val="nil"/>
              <w:right w:val="nil"/>
            </w:tcBorders>
            <w:vAlign w:val="bottom"/>
          </w:tcPr>
          <w:p w14:paraId="57F797C0" w14:textId="7FA06AB6"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300FE13F" w14:textId="442607B3"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1962D17D" w14:textId="79681422"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13.3</w:t>
            </w:r>
          </w:p>
        </w:tc>
        <w:tc>
          <w:tcPr>
            <w:tcW w:w="738" w:type="dxa"/>
            <w:tcBorders>
              <w:top w:val="nil"/>
              <w:left w:val="nil"/>
              <w:bottom w:val="nil"/>
              <w:right w:val="nil"/>
            </w:tcBorders>
            <w:vAlign w:val="bottom"/>
          </w:tcPr>
          <w:p w14:paraId="30BB2BBD" w14:textId="4561EDD8"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3.9</w:t>
            </w:r>
          </w:p>
        </w:tc>
        <w:tc>
          <w:tcPr>
            <w:tcW w:w="784" w:type="dxa"/>
            <w:tcBorders>
              <w:top w:val="nil"/>
              <w:left w:val="nil"/>
              <w:bottom w:val="nil"/>
              <w:right w:val="nil"/>
            </w:tcBorders>
            <w:vAlign w:val="bottom"/>
          </w:tcPr>
          <w:p w14:paraId="5046A245" w14:textId="6E0DE1F0"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3.0</w:t>
            </w:r>
          </w:p>
        </w:tc>
        <w:tc>
          <w:tcPr>
            <w:tcW w:w="837" w:type="dxa"/>
            <w:tcBorders>
              <w:top w:val="nil"/>
              <w:left w:val="nil"/>
              <w:bottom w:val="nil"/>
              <w:right w:val="nil"/>
            </w:tcBorders>
            <w:shd w:val="clear" w:color="auto" w:fill="auto"/>
            <w:vAlign w:val="bottom"/>
            <w:hideMark/>
          </w:tcPr>
          <w:p w14:paraId="60564E28" w14:textId="0B888B99"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r>
      <w:tr w:rsidR="008644A0" w:rsidRPr="00DB0706" w14:paraId="6B143797" w14:textId="77777777" w:rsidTr="00737977">
        <w:trPr>
          <w:trHeight w:val="240"/>
          <w:jc w:val="center"/>
        </w:trPr>
        <w:tc>
          <w:tcPr>
            <w:tcW w:w="3748" w:type="dxa"/>
            <w:tcBorders>
              <w:top w:val="nil"/>
              <w:left w:val="nil"/>
              <w:bottom w:val="nil"/>
              <w:right w:val="nil"/>
            </w:tcBorders>
            <w:shd w:val="clear" w:color="auto" w:fill="auto"/>
            <w:vAlign w:val="bottom"/>
            <w:hideMark/>
          </w:tcPr>
          <w:p w14:paraId="4C1B0766" w14:textId="44599EC9"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Long-term debt</w:t>
            </w:r>
          </w:p>
        </w:tc>
        <w:tc>
          <w:tcPr>
            <w:tcW w:w="738" w:type="dxa"/>
            <w:tcBorders>
              <w:top w:val="nil"/>
              <w:left w:val="nil"/>
              <w:bottom w:val="nil"/>
              <w:right w:val="nil"/>
            </w:tcBorders>
            <w:vAlign w:val="bottom"/>
          </w:tcPr>
          <w:p w14:paraId="2EE7600F" w14:textId="482AC745"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155C618C" w14:textId="020225AA"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154.7</w:t>
            </w:r>
          </w:p>
        </w:tc>
        <w:tc>
          <w:tcPr>
            <w:tcW w:w="738" w:type="dxa"/>
            <w:tcBorders>
              <w:top w:val="nil"/>
              <w:left w:val="nil"/>
              <w:bottom w:val="nil"/>
              <w:right w:val="nil"/>
            </w:tcBorders>
            <w:vAlign w:val="bottom"/>
          </w:tcPr>
          <w:p w14:paraId="723B4059" w14:textId="28D9548A"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158.6</w:t>
            </w:r>
          </w:p>
        </w:tc>
        <w:tc>
          <w:tcPr>
            <w:tcW w:w="738" w:type="dxa"/>
            <w:tcBorders>
              <w:top w:val="nil"/>
              <w:left w:val="nil"/>
              <w:bottom w:val="nil"/>
              <w:right w:val="nil"/>
            </w:tcBorders>
            <w:vAlign w:val="bottom"/>
          </w:tcPr>
          <w:p w14:paraId="1D1FB5DD" w14:textId="58EE5BDF"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200.9</w:t>
            </w:r>
          </w:p>
        </w:tc>
        <w:tc>
          <w:tcPr>
            <w:tcW w:w="784" w:type="dxa"/>
            <w:tcBorders>
              <w:top w:val="nil"/>
              <w:left w:val="nil"/>
              <w:bottom w:val="nil"/>
              <w:right w:val="nil"/>
            </w:tcBorders>
            <w:vAlign w:val="bottom"/>
          </w:tcPr>
          <w:p w14:paraId="71187D70" w14:textId="25A1ADB9"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168.1</w:t>
            </w:r>
          </w:p>
        </w:tc>
        <w:tc>
          <w:tcPr>
            <w:tcW w:w="837" w:type="dxa"/>
            <w:tcBorders>
              <w:top w:val="nil"/>
              <w:left w:val="nil"/>
              <w:bottom w:val="nil"/>
              <w:right w:val="nil"/>
            </w:tcBorders>
            <w:shd w:val="clear" w:color="auto" w:fill="auto"/>
            <w:vAlign w:val="bottom"/>
            <w:hideMark/>
          </w:tcPr>
          <w:p w14:paraId="43F7BF47" w14:textId="5161C0A4"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10.0</w:t>
            </w:r>
          </w:p>
        </w:tc>
      </w:tr>
      <w:tr w:rsidR="008644A0" w:rsidRPr="00DB0706" w14:paraId="7353FCA0" w14:textId="77777777" w:rsidTr="00737977">
        <w:trPr>
          <w:trHeight w:val="240"/>
          <w:jc w:val="center"/>
        </w:trPr>
        <w:tc>
          <w:tcPr>
            <w:tcW w:w="3748" w:type="dxa"/>
            <w:tcBorders>
              <w:top w:val="nil"/>
              <w:left w:val="nil"/>
              <w:bottom w:val="nil"/>
              <w:right w:val="nil"/>
            </w:tcBorders>
            <w:shd w:val="clear" w:color="auto" w:fill="auto"/>
            <w:vAlign w:val="bottom"/>
            <w:hideMark/>
          </w:tcPr>
          <w:p w14:paraId="01A59219" w14:textId="77777777"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Preference shares</w:t>
            </w:r>
          </w:p>
        </w:tc>
        <w:tc>
          <w:tcPr>
            <w:tcW w:w="738" w:type="dxa"/>
            <w:tcBorders>
              <w:top w:val="nil"/>
              <w:left w:val="nil"/>
              <w:bottom w:val="nil"/>
              <w:right w:val="nil"/>
            </w:tcBorders>
            <w:vAlign w:val="bottom"/>
          </w:tcPr>
          <w:p w14:paraId="7113F1BA" w14:textId="2C2B8559"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5093B9CA" w14:textId="276B90C0"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0B52D67C" w14:textId="348CF319"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28.0</w:t>
            </w:r>
          </w:p>
        </w:tc>
        <w:tc>
          <w:tcPr>
            <w:tcW w:w="738" w:type="dxa"/>
            <w:tcBorders>
              <w:top w:val="nil"/>
              <w:left w:val="nil"/>
              <w:bottom w:val="nil"/>
              <w:right w:val="nil"/>
            </w:tcBorders>
            <w:vAlign w:val="bottom"/>
          </w:tcPr>
          <w:p w14:paraId="1AD0C3B4" w14:textId="4B476323"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71.1</w:t>
            </w:r>
          </w:p>
        </w:tc>
        <w:tc>
          <w:tcPr>
            <w:tcW w:w="784" w:type="dxa"/>
            <w:tcBorders>
              <w:top w:val="nil"/>
              <w:left w:val="nil"/>
              <w:bottom w:val="nil"/>
              <w:right w:val="nil"/>
            </w:tcBorders>
            <w:vAlign w:val="bottom"/>
          </w:tcPr>
          <w:p w14:paraId="0402EBDA" w14:textId="46925DA9"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69.3</w:t>
            </w:r>
          </w:p>
        </w:tc>
        <w:tc>
          <w:tcPr>
            <w:tcW w:w="837" w:type="dxa"/>
            <w:tcBorders>
              <w:top w:val="nil"/>
              <w:left w:val="nil"/>
              <w:bottom w:val="nil"/>
              <w:right w:val="nil"/>
            </w:tcBorders>
            <w:shd w:val="clear" w:color="auto" w:fill="auto"/>
            <w:vAlign w:val="bottom"/>
            <w:hideMark/>
          </w:tcPr>
          <w:p w14:paraId="47E26E79" w14:textId="55B0FB8F"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30.6</w:t>
            </w:r>
          </w:p>
        </w:tc>
      </w:tr>
      <w:tr w:rsidR="008644A0" w:rsidRPr="00DB0706" w14:paraId="63175BB2" w14:textId="77777777" w:rsidTr="00737977">
        <w:trPr>
          <w:trHeight w:val="240"/>
          <w:jc w:val="center"/>
        </w:trPr>
        <w:tc>
          <w:tcPr>
            <w:tcW w:w="3748" w:type="dxa"/>
            <w:tcBorders>
              <w:top w:val="nil"/>
              <w:left w:val="nil"/>
              <w:bottom w:val="nil"/>
              <w:right w:val="nil"/>
            </w:tcBorders>
            <w:shd w:val="clear" w:color="auto" w:fill="auto"/>
            <w:vAlign w:val="bottom"/>
            <w:hideMark/>
          </w:tcPr>
          <w:p w14:paraId="780F8547" w14:textId="3D2D59D7"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Other</w:t>
            </w:r>
          </w:p>
        </w:tc>
        <w:tc>
          <w:tcPr>
            <w:tcW w:w="738" w:type="dxa"/>
            <w:tcBorders>
              <w:top w:val="nil"/>
              <w:left w:val="nil"/>
              <w:bottom w:val="nil"/>
              <w:right w:val="nil"/>
            </w:tcBorders>
            <w:vAlign w:val="bottom"/>
          </w:tcPr>
          <w:p w14:paraId="5942CA3B" w14:textId="1CA774A9"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0.8</w:t>
            </w:r>
          </w:p>
        </w:tc>
        <w:tc>
          <w:tcPr>
            <w:tcW w:w="738" w:type="dxa"/>
            <w:tcBorders>
              <w:top w:val="nil"/>
              <w:left w:val="nil"/>
              <w:bottom w:val="nil"/>
              <w:right w:val="nil"/>
            </w:tcBorders>
            <w:vAlign w:val="bottom"/>
          </w:tcPr>
          <w:p w14:paraId="3C944D3D" w14:textId="649CCCBF"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0.8</w:t>
            </w:r>
          </w:p>
        </w:tc>
        <w:tc>
          <w:tcPr>
            <w:tcW w:w="738" w:type="dxa"/>
            <w:tcBorders>
              <w:top w:val="nil"/>
              <w:left w:val="nil"/>
              <w:bottom w:val="nil"/>
              <w:right w:val="nil"/>
            </w:tcBorders>
            <w:vAlign w:val="bottom"/>
          </w:tcPr>
          <w:p w14:paraId="51FF1FCA" w14:textId="1E56CC11"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4.2</w:t>
            </w:r>
          </w:p>
        </w:tc>
        <w:tc>
          <w:tcPr>
            <w:tcW w:w="738" w:type="dxa"/>
            <w:tcBorders>
              <w:top w:val="nil"/>
              <w:left w:val="nil"/>
              <w:bottom w:val="nil"/>
              <w:right w:val="nil"/>
            </w:tcBorders>
            <w:vAlign w:val="bottom"/>
          </w:tcPr>
          <w:p w14:paraId="07222BC6" w14:textId="0CB3097D"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7.8</w:t>
            </w:r>
          </w:p>
        </w:tc>
        <w:tc>
          <w:tcPr>
            <w:tcW w:w="784" w:type="dxa"/>
            <w:tcBorders>
              <w:top w:val="nil"/>
              <w:left w:val="nil"/>
              <w:bottom w:val="nil"/>
              <w:right w:val="nil"/>
            </w:tcBorders>
            <w:vAlign w:val="bottom"/>
          </w:tcPr>
          <w:p w14:paraId="5A64D563" w14:textId="781FF2DC"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38.4</w:t>
            </w:r>
          </w:p>
        </w:tc>
        <w:tc>
          <w:tcPr>
            <w:tcW w:w="837" w:type="dxa"/>
            <w:tcBorders>
              <w:top w:val="nil"/>
              <w:left w:val="nil"/>
              <w:bottom w:val="nil"/>
              <w:right w:val="nil"/>
            </w:tcBorders>
            <w:shd w:val="clear" w:color="auto" w:fill="auto"/>
            <w:vAlign w:val="bottom"/>
            <w:hideMark/>
          </w:tcPr>
          <w:p w14:paraId="0678EF01" w14:textId="47274A1E"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15.5</w:t>
            </w:r>
          </w:p>
        </w:tc>
      </w:tr>
      <w:tr w:rsidR="008644A0" w:rsidRPr="00DB0706" w14:paraId="31A90AFD" w14:textId="77777777" w:rsidTr="00737977">
        <w:trPr>
          <w:trHeight w:val="240"/>
          <w:jc w:val="center"/>
        </w:trPr>
        <w:tc>
          <w:tcPr>
            <w:tcW w:w="3748" w:type="dxa"/>
            <w:tcBorders>
              <w:top w:val="single" w:sz="4" w:space="0" w:color="auto"/>
              <w:left w:val="nil"/>
              <w:bottom w:val="single" w:sz="4" w:space="0" w:color="auto"/>
              <w:right w:val="nil"/>
            </w:tcBorders>
            <w:shd w:val="clear" w:color="auto" w:fill="auto"/>
            <w:vAlign w:val="bottom"/>
            <w:hideMark/>
          </w:tcPr>
          <w:p w14:paraId="1225ADA2" w14:textId="77777777" w:rsidR="008644A0" w:rsidRPr="00DB0706" w:rsidRDefault="008644A0" w:rsidP="008644A0">
            <w:pPr>
              <w:rPr>
                <w:rFonts w:ascii="Arial" w:eastAsia="SimSun" w:hAnsi="Arial"/>
                <w:b/>
                <w:bCs/>
                <w:color w:val="000000"/>
                <w:lang w:eastAsia="zh-CN"/>
              </w:rPr>
            </w:pPr>
            <w:r w:rsidRPr="00DB0706">
              <w:rPr>
                <w:rFonts w:ascii="Arial" w:eastAsia="SimSun" w:hAnsi="Arial"/>
                <w:b/>
                <w:bCs/>
                <w:color w:val="000000"/>
                <w:lang w:eastAsia="zh-CN"/>
              </w:rPr>
              <w:t>Total Non-Current Liabilities</w:t>
            </w:r>
          </w:p>
        </w:tc>
        <w:tc>
          <w:tcPr>
            <w:tcW w:w="738" w:type="dxa"/>
            <w:tcBorders>
              <w:top w:val="single" w:sz="4" w:space="0" w:color="auto"/>
              <w:left w:val="nil"/>
              <w:bottom w:val="single" w:sz="4" w:space="0" w:color="auto"/>
              <w:right w:val="nil"/>
            </w:tcBorders>
            <w:vAlign w:val="bottom"/>
          </w:tcPr>
          <w:p w14:paraId="445B5B67" w14:textId="5F333C41"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0.8</w:t>
            </w:r>
          </w:p>
        </w:tc>
        <w:tc>
          <w:tcPr>
            <w:tcW w:w="738" w:type="dxa"/>
            <w:tcBorders>
              <w:top w:val="single" w:sz="4" w:space="0" w:color="auto"/>
              <w:left w:val="nil"/>
              <w:bottom w:val="single" w:sz="4" w:space="0" w:color="auto"/>
              <w:right w:val="nil"/>
            </w:tcBorders>
            <w:vAlign w:val="bottom"/>
          </w:tcPr>
          <w:p w14:paraId="368BC6B9" w14:textId="6E67B8AA"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155.5</w:t>
            </w:r>
          </w:p>
        </w:tc>
        <w:tc>
          <w:tcPr>
            <w:tcW w:w="738" w:type="dxa"/>
            <w:tcBorders>
              <w:top w:val="single" w:sz="4" w:space="0" w:color="auto"/>
              <w:left w:val="nil"/>
              <w:bottom w:val="single" w:sz="4" w:space="0" w:color="auto"/>
              <w:right w:val="nil"/>
            </w:tcBorders>
            <w:vAlign w:val="bottom"/>
          </w:tcPr>
          <w:p w14:paraId="3C04DC75" w14:textId="02DF74AE"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204.0</w:t>
            </w:r>
          </w:p>
        </w:tc>
        <w:tc>
          <w:tcPr>
            <w:tcW w:w="738" w:type="dxa"/>
            <w:tcBorders>
              <w:top w:val="single" w:sz="4" w:space="0" w:color="auto"/>
              <w:left w:val="nil"/>
              <w:bottom w:val="single" w:sz="4" w:space="0" w:color="auto"/>
              <w:right w:val="nil"/>
            </w:tcBorders>
            <w:vAlign w:val="bottom"/>
          </w:tcPr>
          <w:p w14:paraId="2A73015F" w14:textId="4B7FB6BC"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283.7</w:t>
            </w:r>
          </w:p>
        </w:tc>
        <w:tc>
          <w:tcPr>
            <w:tcW w:w="784" w:type="dxa"/>
            <w:tcBorders>
              <w:top w:val="single" w:sz="4" w:space="0" w:color="auto"/>
              <w:left w:val="nil"/>
              <w:bottom w:val="single" w:sz="4" w:space="0" w:color="auto"/>
              <w:right w:val="nil"/>
            </w:tcBorders>
            <w:vAlign w:val="bottom"/>
          </w:tcPr>
          <w:p w14:paraId="66DCB248" w14:textId="7CB4D349"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321.4</w:t>
            </w:r>
          </w:p>
        </w:tc>
        <w:tc>
          <w:tcPr>
            <w:tcW w:w="837" w:type="dxa"/>
            <w:tcBorders>
              <w:top w:val="single" w:sz="4" w:space="0" w:color="auto"/>
              <w:left w:val="nil"/>
              <w:bottom w:val="single" w:sz="4" w:space="0" w:color="auto"/>
              <w:right w:val="nil"/>
            </w:tcBorders>
            <w:shd w:val="clear" w:color="auto" w:fill="auto"/>
            <w:vAlign w:val="bottom"/>
            <w:hideMark/>
          </w:tcPr>
          <w:p w14:paraId="4A82DDE4" w14:textId="1ADE77DF"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150.8</w:t>
            </w:r>
          </w:p>
        </w:tc>
      </w:tr>
      <w:tr w:rsidR="008644A0" w:rsidRPr="00DB0706" w14:paraId="2D006634" w14:textId="77777777" w:rsidTr="00737977">
        <w:trPr>
          <w:trHeight w:val="240"/>
          <w:jc w:val="center"/>
        </w:trPr>
        <w:tc>
          <w:tcPr>
            <w:tcW w:w="3748" w:type="dxa"/>
            <w:tcBorders>
              <w:top w:val="nil"/>
              <w:left w:val="nil"/>
              <w:bottom w:val="single" w:sz="4" w:space="0" w:color="auto"/>
              <w:right w:val="nil"/>
            </w:tcBorders>
            <w:shd w:val="clear" w:color="auto" w:fill="auto"/>
            <w:vAlign w:val="bottom"/>
            <w:hideMark/>
          </w:tcPr>
          <w:p w14:paraId="3D17678C" w14:textId="77777777" w:rsidR="008644A0" w:rsidRPr="00DB0706" w:rsidRDefault="008644A0" w:rsidP="008644A0">
            <w:pPr>
              <w:rPr>
                <w:rFonts w:ascii="Arial" w:eastAsia="SimSun" w:hAnsi="Arial"/>
                <w:b/>
                <w:bCs/>
                <w:color w:val="000000"/>
                <w:lang w:eastAsia="zh-CN"/>
              </w:rPr>
            </w:pPr>
            <w:r w:rsidRPr="00DB0706">
              <w:rPr>
                <w:rFonts w:ascii="Arial" w:eastAsia="SimSun" w:hAnsi="Arial"/>
                <w:b/>
                <w:bCs/>
                <w:color w:val="000000"/>
                <w:lang w:eastAsia="zh-CN"/>
              </w:rPr>
              <w:t>Total Liabilities</w:t>
            </w:r>
          </w:p>
        </w:tc>
        <w:tc>
          <w:tcPr>
            <w:tcW w:w="738" w:type="dxa"/>
            <w:tcBorders>
              <w:top w:val="nil"/>
              <w:left w:val="nil"/>
              <w:bottom w:val="single" w:sz="4" w:space="0" w:color="auto"/>
              <w:right w:val="nil"/>
            </w:tcBorders>
            <w:vAlign w:val="bottom"/>
          </w:tcPr>
          <w:p w14:paraId="2C615387" w14:textId="4B9B60AE"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40.1</w:t>
            </w:r>
          </w:p>
        </w:tc>
        <w:tc>
          <w:tcPr>
            <w:tcW w:w="738" w:type="dxa"/>
            <w:tcBorders>
              <w:top w:val="nil"/>
              <w:left w:val="nil"/>
              <w:bottom w:val="single" w:sz="4" w:space="0" w:color="auto"/>
              <w:right w:val="nil"/>
            </w:tcBorders>
            <w:vAlign w:val="bottom"/>
          </w:tcPr>
          <w:p w14:paraId="3DCF77EE" w14:textId="1C244693"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212.5</w:t>
            </w:r>
          </w:p>
        </w:tc>
        <w:tc>
          <w:tcPr>
            <w:tcW w:w="738" w:type="dxa"/>
            <w:tcBorders>
              <w:top w:val="nil"/>
              <w:left w:val="nil"/>
              <w:bottom w:val="single" w:sz="4" w:space="0" w:color="auto"/>
              <w:right w:val="nil"/>
            </w:tcBorders>
            <w:vAlign w:val="bottom"/>
          </w:tcPr>
          <w:p w14:paraId="5222F52F" w14:textId="518BFC25"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331.0</w:t>
            </w:r>
          </w:p>
        </w:tc>
        <w:tc>
          <w:tcPr>
            <w:tcW w:w="738" w:type="dxa"/>
            <w:tcBorders>
              <w:top w:val="nil"/>
              <w:left w:val="nil"/>
              <w:bottom w:val="single" w:sz="4" w:space="0" w:color="auto"/>
              <w:right w:val="nil"/>
            </w:tcBorders>
            <w:vAlign w:val="bottom"/>
          </w:tcPr>
          <w:p w14:paraId="718C3467" w14:textId="7D921838"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395.0</w:t>
            </w:r>
          </w:p>
        </w:tc>
        <w:tc>
          <w:tcPr>
            <w:tcW w:w="784" w:type="dxa"/>
            <w:tcBorders>
              <w:top w:val="nil"/>
              <w:left w:val="nil"/>
              <w:bottom w:val="single" w:sz="4" w:space="0" w:color="auto"/>
              <w:right w:val="nil"/>
            </w:tcBorders>
            <w:vAlign w:val="bottom"/>
          </w:tcPr>
          <w:p w14:paraId="76A9F5ED" w14:textId="401A90FB"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452.2</w:t>
            </w:r>
          </w:p>
        </w:tc>
        <w:tc>
          <w:tcPr>
            <w:tcW w:w="837" w:type="dxa"/>
            <w:tcBorders>
              <w:top w:val="nil"/>
              <w:left w:val="nil"/>
              <w:bottom w:val="single" w:sz="4" w:space="0" w:color="auto"/>
              <w:right w:val="nil"/>
            </w:tcBorders>
            <w:shd w:val="clear" w:color="auto" w:fill="auto"/>
            <w:vAlign w:val="bottom"/>
            <w:hideMark/>
          </w:tcPr>
          <w:p w14:paraId="45EC4551" w14:textId="72650762"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520.5</w:t>
            </w:r>
          </w:p>
        </w:tc>
      </w:tr>
      <w:tr w:rsidR="008644A0" w:rsidRPr="00DB0706" w14:paraId="60F64260" w14:textId="77777777" w:rsidTr="00737977">
        <w:trPr>
          <w:trHeight w:val="240"/>
          <w:jc w:val="center"/>
        </w:trPr>
        <w:tc>
          <w:tcPr>
            <w:tcW w:w="3748" w:type="dxa"/>
            <w:tcBorders>
              <w:top w:val="nil"/>
              <w:left w:val="nil"/>
              <w:bottom w:val="nil"/>
              <w:right w:val="nil"/>
            </w:tcBorders>
            <w:shd w:val="clear" w:color="auto" w:fill="auto"/>
            <w:vAlign w:val="bottom"/>
            <w:hideMark/>
          </w:tcPr>
          <w:p w14:paraId="035D9D87" w14:textId="0FDC5843" w:rsidR="008644A0" w:rsidRPr="00DB0706" w:rsidRDefault="008644A0" w:rsidP="008644A0">
            <w:pPr>
              <w:rPr>
                <w:rFonts w:ascii="Arial" w:eastAsia="SimSun" w:hAnsi="Arial"/>
                <w:b/>
                <w:bCs/>
                <w:color w:val="000000"/>
                <w:u w:val="single"/>
                <w:lang w:eastAsia="zh-CN"/>
              </w:rPr>
            </w:pPr>
            <w:r w:rsidRPr="00DB0706">
              <w:rPr>
                <w:rFonts w:ascii="Arial" w:eastAsia="SimSun" w:hAnsi="Arial"/>
                <w:b/>
                <w:bCs/>
                <w:color w:val="000000"/>
                <w:u w:val="single"/>
                <w:lang w:eastAsia="zh-CN"/>
              </w:rPr>
              <w:t>Shareholders</w:t>
            </w:r>
            <w:r>
              <w:rPr>
                <w:rFonts w:ascii="Arial" w:eastAsia="SimSun" w:hAnsi="Arial"/>
                <w:b/>
                <w:bCs/>
                <w:color w:val="000000"/>
                <w:u w:val="single"/>
                <w:lang w:eastAsia="zh-CN"/>
              </w:rPr>
              <w:t>’</w:t>
            </w:r>
            <w:r w:rsidRPr="00DB0706">
              <w:rPr>
                <w:rFonts w:ascii="Arial" w:eastAsia="SimSun" w:hAnsi="Arial"/>
                <w:b/>
                <w:bCs/>
                <w:color w:val="000000"/>
                <w:u w:val="single"/>
                <w:lang w:eastAsia="zh-CN"/>
              </w:rPr>
              <w:t xml:space="preserve"> Equity</w:t>
            </w:r>
          </w:p>
        </w:tc>
        <w:tc>
          <w:tcPr>
            <w:tcW w:w="738" w:type="dxa"/>
            <w:tcBorders>
              <w:top w:val="nil"/>
              <w:left w:val="nil"/>
              <w:bottom w:val="nil"/>
              <w:right w:val="nil"/>
            </w:tcBorders>
            <w:vAlign w:val="bottom"/>
          </w:tcPr>
          <w:p w14:paraId="7AC5CDD8" w14:textId="77777777" w:rsidR="008644A0" w:rsidRPr="00DB0706" w:rsidRDefault="008644A0" w:rsidP="008644A0">
            <w:pPr>
              <w:rPr>
                <w:rFonts w:ascii="Arial" w:eastAsia="SimSun" w:hAnsi="Arial"/>
                <w:color w:val="000000"/>
                <w:lang w:eastAsia="zh-CN"/>
              </w:rPr>
            </w:pPr>
          </w:p>
        </w:tc>
        <w:tc>
          <w:tcPr>
            <w:tcW w:w="738" w:type="dxa"/>
            <w:tcBorders>
              <w:top w:val="nil"/>
              <w:left w:val="nil"/>
              <w:bottom w:val="nil"/>
              <w:right w:val="nil"/>
            </w:tcBorders>
            <w:vAlign w:val="bottom"/>
          </w:tcPr>
          <w:p w14:paraId="27ABA5B4" w14:textId="77777777" w:rsidR="008644A0" w:rsidRPr="00DB0706" w:rsidRDefault="008644A0" w:rsidP="008644A0">
            <w:pPr>
              <w:rPr>
                <w:rFonts w:ascii="Arial" w:eastAsia="SimSun" w:hAnsi="Arial"/>
                <w:color w:val="000000"/>
                <w:lang w:eastAsia="zh-CN"/>
              </w:rPr>
            </w:pPr>
          </w:p>
        </w:tc>
        <w:tc>
          <w:tcPr>
            <w:tcW w:w="738" w:type="dxa"/>
            <w:tcBorders>
              <w:top w:val="nil"/>
              <w:left w:val="nil"/>
              <w:bottom w:val="nil"/>
              <w:right w:val="nil"/>
            </w:tcBorders>
            <w:vAlign w:val="bottom"/>
          </w:tcPr>
          <w:p w14:paraId="7C47772B" w14:textId="77777777" w:rsidR="008644A0" w:rsidRPr="00DB0706" w:rsidRDefault="008644A0" w:rsidP="008644A0">
            <w:pPr>
              <w:rPr>
                <w:rFonts w:ascii="Arial" w:eastAsia="SimSun" w:hAnsi="Arial"/>
                <w:color w:val="000000"/>
                <w:lang w:eastAsia="zh-CN"/>
              </w:rPr>
            </w:pPr>
          </w:p>
        </w:tc>
        <w:tc>
          <w:tcPr>
            <w:tcW w:w="738" w:type="dxa"/>
            <w:tcBorders>
              <w:top w:val="nil"/>
              <w:left w:val="nil"/>
              <w:bottom w:val="nil"/>
              <w:right w:val="nil"/>
            </w:tcBorders>
            <w:vAlign w:val="bottom"/>
          </w:tcPr>
          <w:p w14:paraId="21189BC5" w14:textId="77777777" w:rsidR="008644A0" w:rsidRPr="00DB0706" w:rsidRDefault="008644A0" w:rsidP="008644A0">
            <w:pPr>
              <w:rPr>
                <w:rFonts w:ascii="Arial" w:eastAsia="SimSun" w:hAnsi="Arial"/>
                <w:color w:val="000000"/>
                <w:lang w:eastAsia="zh-CN"/>
              </w:rPr>
            </w:pPr>
          </w:p>
        </w:tc>
        <w:tc>
          <w:tcPr>
            <w:tcW w:w="784" w:type="dxa"/>
            <w:tcBorders>
              <w:top w:val="nil"/>
              <w:left w:val="nil"/>
              <w:bottom w:val="nil"/>
              <w:right w:val="nil"/>
            </w:tcBorders>
            <w:vAlign w:val="bottom"/>
          </w:tcPr>
          <w:p w14:paraId="1CF68B80" w14:textId="77777777" w:rsidR="008644A0" w:rsidRPr="00DB0706" w:rsidRDefault="008644A0" w:rsidP="008644A0">
            <w:pPr>
              <w:rPr>
                <w:rFonts w:ascii="Arial" w:eastAsia="SimSun" w:hAnsi="Arial"/>
                <w:color w:val="000000"/>
                <w:lang w:eastAsia="zh-CN"/>
              </w:rPr>
            </w:pPr>
          </w:p>
        </w:tc>
        <w:tc>
          <w:tcPr>
            <w:tcW w:w="837" w:type="dxa"/>
            <w:tcBorders>
              <w:top w:val="nil"/>
              <w:left w:val="nil"/>
              <w:bottom w:val="nil"/>
              <w:right w:val="nil"/>
            </w:tcBorders>
            <w:shd w:val="clear" w:color="auto" w:fill="auto"/>
            <w:vAlign w:val="bottom"/>
            <w:hideMark/>
          </w:tcPr>
          <w:p w14:paraId="39710635" w14:textId="2D33CABB" w:rsidR="008644A0" w:rsidRPr="00DB0706" w:rsidRDefault="008644A0" w:rsidP="008644A0">
            <w:pPr>
              <w:rPr>
                <w:rFonts w:ascii="Arial" w:eastAsia="SimSun" w:hAnsi="Arial"/>
                <w:color w:val="000000"/>
                <w:lang w:eastAsia="zh-CN"/>
              </w:rPr>
            </w:pPr>
          </w:p>
        </w:tc>
      </w:tr>
      <w:tr w:rsidR="008644A0" w:rsidRPr="00DB0706" w14:paraId="7E663456" w14:textId="77777777" w:rsidTr="00737977">
        <w:trPr>
          <w:trHeight w:val="240"/>
          <w:jc w:val="center"/>
        </w:trPr>
        <w:tc>
          <w:tcPr>
            <w:tcW w:w="3748" w:type="dxa"/>
            <w:tcBorders>
              <w:top w:val="nil"/>
              <w:left w:val="nil"/>
              <w:bottom w:val="nil"/>
              <w:right w:val="nil"/>
            </w:tcBorders>
            <w:shd w:val="clear" w:color="auto" w:fill="auto"/>
            <w:vAlign w:val="bottom"/>
            <w:hideMark/>
          </w:tcPr>
          <w:p w14:paraId="625D5548" w14:textId="1332BCF0"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Share capital (</w:t>
            </w:r>
            <w:r>
              <w:rPr>
                <w:rFonts w:ascii="Arial" w:eastAsia="SimSun" w:hAnsi="Arial"/>
                <w:color w:val="000000"/>
                <w:lang w:eastAsia="zh-CN"/>
              </w:rPr>
              <w:t>c</w:t>
            </w:r>
            <w:r w:rsidRPr="00DB0706">
              <w:rPr>
                <w:rFonts w:ascii="Arial" w:eastAsia="SimSun" w:hAnsi="Arial"/>
                <w:color w:val="000000"/>
                <w:lang w:eastAsia="zh-CN"/>
              </w:rPr>
              <w:t>ommon and preferred stocks)</w:t>
            </w:r>
          </w:p>
        </w:tc>
        <w:tc>
          <w:tcPr>
            <w:tcW w:w="738" w:type="dxa"/>
            <w:tcBorders>
              <w:top w:val="nil"/>
              <w:left w:val="nil"/>
              <w:bottom w:val="nil"/>
              <w:right w:val="nil"/>
            </w:tcBorders>
            <w:vAlign w:val="bottom"/>
          </w:tcPr>
          <w:p w14:paraId="17C0ED49" w14:textId="22D8CF9A"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440.7</w:t>
            </w:r>
          </w:p>
        </w:tc>
        <w:tc>
          <w:tcPr>
            <w:tcW w:w="738" w:type="dxa"/>
            <w:tcBorders>
              <w:top w:val="nil"/>
              <w:left w:val="nil"/>
              <w:bottom w:val="nil"/>
              <w:right w:val="nil"/>
            </w:tcBorders>
            <w:vAlign w:val="bottom"/>
          </w:tcPr>
          <w:p w14:paraId="582D82DE" w14:textId="36B42FC6"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456.7</w:t>
            </w:r>
          </w:p>
        </w:tc>
        <w:tc>
          <w:tcPr>
            <w:tcW w:w="738" w:type="dxa"/>
            <w:tcBorders>
              <w:top w:val="nil"/>
              <w:left w:val="nil"/>
              <w:bottom w:val="nil"/>
              <w:right w:val="nil"/>
            </w:tcBorders>
            <w:vAlign w:val="bottom"/>
          </w:tcPr>
          <w:p w14:paraId="735613D8" w14:textId="0254F57C"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518.6</w:t>
            </w:r>
          </w:p>
        </w:tc>
        <w:tc>
          <w:tcPr>
            <w:tcW w:w="738" w:type="dxa"/>
            <w:tcBorders>
              <w:top w:val="nil"/>
              <w:left w:val="nil"/>
              <w:bottom w:val="nil"/>
              <w:right w:val="nil"/>
            </w:tcBorders>
            <w:vAlign w:val="bottom"/>
          </w:tcPr>
          <w:p w14:paraId="0E7887AC" w14:textId="68B818F3"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518.6</w:t>
            </w:r>
          </w:p>
        </w:tc>
        <w:tc>
          <w:tcPr>
            <w:tcW w:w="784" w:type="dxa"/>
            <w:tcBorders>
              <w:top w:val="nil"/>
              <w:left w:val="nil"/>
              <w:bottom w:val="nil"/>
              <w:right w:val="nil"/>
            </w:tcBorders>
            <w:vAlign w:val="bottom"/>
          </w:tcPr>
          <w:p w14:paraId="2C9DB79C" w14:textId="5638B198"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518.6</w:t>
            </w:r>
          </w:p>
        </w:tc>
        <w:tc>
          <w:tcPr>
            <w:tcW w:w="837" w:type="dxa"/>
            <w:tcBorders>
              <w:top w:val="nil"/>
              <w:left w:val="nil"/>
              <w:bottom w:val="nil"/>
              <w:right w:val="nil"/>
            </w:tcBorders>
            <w:shd w:val="clear" w:color="auto" w:fill="auto"/>
            <w:vAlign w:val="bottom"/>
            <w:hideMark/>
          </w:tcPr>
          <w:p w14:paraId="319DA763" w14:textId="7670E28F"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527.0</w:t>
            </w:r>
          </w:p>
        </w:tc>
      </w:tr>
      <w:tr w:rsidR="008644A0" w:rsidRPr="00DB0706" w14:paraId="7F186BC1" w14:textId="77777777" w:rsidTr="00737977">
        <w:trPr>
          <w:trHeight w:val="240"/>
          <w:jc w:val="center"/>
        </w:trPr>
        <w:tc>
          <w:tcPr>
            <w:tcW w:w="3748" w:type="dxa"/>
            <w:tcBorders>
              <w:top w:val="nil"/>
              <w:left w:val="nil"/>
              <w:bottom w:val="nil"/>
              <w:right w:val="nil"/>
            </w:tcBorders>
            <w:shd w:val="clear" w:color="auto" w:fill="auto"/>
            <w:vAlign w:val="bottom"/>
            <w:hideMark/>
          </w:tcPr>
          <w:p w14:paraId="31F2CF8A" w14:textId="77777777"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Warrants</w:t>
            </w:r>
          </w:p>
        </w:tc>
        <w:tc>
          <w:tcPr>
            <w:tcW w:w="738" w:type="dxa"/>
            <w:tcBorders>
              <w:top w:val="nil"/>
              <w:left w:val="nil"/>
              <w:bottom w:val="nil"/>
              <w:right w:val="nil"/>
            </w:tcBorders>
            <w:vAlign w:val="bottom"/>
          </w:tcPr>
          <w:p w14:paraId="5EBEA52D" w14:textId="72A0F8FF"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N/A</w:t>
            </w:r>
          </w:p>
        </w:tc>
        <w:tc>
          <w:tcPr>
            <w:tcW w:w="738" w:type="dxa"/>
            <w:tcBorders>
              <w:top w:val="nil"/>
              <w:left w:val="nil"/>
              <w:bottom w:val="nil"/>
              <w:right w:val="nil"/>
            </w:tcBorders>
            <w:vAlign w:val="bottom"/>
          </w:tcPr>
          <w:p w14:paraId="281A6D4A" w14:textId="39998583"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13.3</w:t>
            </w:r>
          </w:p>
        </w:tc>
        <w:tc>
          <w:tcPr>
            <w:tcW w:w="738" w:type="dxa"/>
            <w:tcBorders>
              <w:top w:val="nil"/>
              <w:left w:val="nil"/>
              <w:bottom w:val="nil"/>
              <w:right w:val="nil"/>
            </w:tcBorders>
            <w:vAlign w:val="bottom"/>
          </w:tcPr>
          <w:p w14:paraId="7B2C6C17" w14:textId="105A3898"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13.4</w:t>
            </w:r>
          </w:p>
        </w:tc>
        <w:tc>
          <w:tcPr>
            <w:tcW w:w="738" w:type="dxa"/>
            <w:tcBorders>
              <w:top w:val="nil"/>
              <w:left w:val="nil"/>
              <w:bottom w:val="nil"/>
              <w:right w:val="nil"/>
            </w:tcBorders>
            <w:vAlign w:val="bottom"/>
          </w:tcPr>
          <w:p w14:paraId="4229239D" w14:textId="79A1FED0"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13.4</w:t>
            </w:r>
          </w:p>
        </w:tc>
        <w:tc>
          <w:tcPr>
            <w:tcW w:w="784" w:type="dxa"/>
            <w:tcBorders>
              <w:top w:val="nil"/>
              <w:left w:val="nil"/>
              <w:bottom w:val="nil"/>
              <w:right w:val="nil"/>
            </w:tcBorders>
            <w:vAlign w:val="bottom"/>
          </w:tcPr>
          <w:p w14:paraId="5548DD21" w14:textId="5801E7D6"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13.4</w:t>
            </w:r>
          </w:p>
        </w:tc>
        <w:tc>
          <w:tcPr>
            <w:tcW w:w="837" w:type="dxa"/>
            <w:tcBorders>
              <w:top w:val="nil"/>
              <w:left w:val="nil"/>
              <w:bottom w:val="nil"/>
              <w:right w:val="nil"/>
            </w:tcBorders>
            <w:shd w:val="clear" w:color="auto" w:fill="auto"/>
            <w:vAlign w:val="bottom"/>
            <w:hideMark/>
          </w:tcPr>
          <w:p w14:paraId="4B10A431" w14:textId="076F65D1"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13.4</w:t>
            </w:r>
          </w:p>
        </w:tc>
      </w:tr>
      <w:tr w:rsidR="008644A0" w:rsidRPr="00DB0706" w14:paraId="00EDD7BF" w14:textId="77777777" w:rsidTr="00737977">
        <w:trPr>
          <w:trHeight w:val="240"/>
          <w:jc w:val="center"/>
        </w:trPr>
        <w:tc>
          <w:tcPr>
            <w:tcW w:w="3748" w:type="dxa"/>
            <w:tcBorders>
              <w:top w:val="nil"/>
              <w:left w:val="nil"/>
              <w:bottom w:val="nil"/>
              <w:right w:val="nil"/>
            </w:tcBorders>
            <w:shd w:val="clear" w:color="auto" w:fill="auto"/>
            <w:vAlign w:val="bottom"/>
            <w:hideMark/>
          </w:tcPr>
          <w:p w14:paraId="66EAC206" w14:textId="56B89793"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Retained earnings</w:t>
            </w:r>
            <w:r>
              <w:rPr>
                <w:rFonts w:ascii="Arial" w:eastAsia="SimSun" w:hAnsi="Arial"/>
                <w:color w:val="000000"/>
                <w:lang w:eastAsia="zh-CN"/>
              </w:rPr>
              <w:t xml:space="preserve"> (deficit)</w:t>
            </w:r>
            <w:r w:rsidRPr="00DB0706">
              <w:rPr>
                <w:rFonts w:ascii="Arial" w:eastAsia="SimSun" w:hAnsi="Arial"/>
                <w:color w:val="000000"/>
                <w:lang w:eastAsia="zh-CN"/>
              </w:rPr>
              <w:t xml:space="preserve"> (</w:t>
            </w:r>
            <w:r>
              <w:rPr>
                <w:rFonts w:ascii="Arial" w:eastAsia="SimSun" w:hAnsi="Arial"/>
                <w:color w:val="000000"/>
                <w:lang w:eastAsia="zh-CN"/>
              </w:rPr>
              <w:t>n</w:t>
            </w:r>
            <w:r w:rsidRPr="00DB0706">
              <w:rPr>
                <w:rFonts w:ascii="Arial" w:eastAsia="SimSun" w:hAnsi="Arial"/>
                <w:color w:val="000000"/>
                <w:lang w:eastAsia="zh-CN"/>
              </w:rPr>
              <w:t>on</w:t>
            </w:r>
            <w:r w:rsidR="00123604">
              <w:rPr>
                <w:rFonts w:ascii="Arial" w:eastAsia="SimSun" w:hAnsi="Arial"/>
                <w:color w:val="000000"/>
                <w:lang w:eastAsia="zh-CN"/>
              </w:rPr>
              <w:noBreakHyphen/>
            </w:r>
            <w:r w:rsidRPr="00DB0706">
              <w:rPr>
                <w:rFonts w:ascii="Arial" w:eastAsia="SimSun" w:hAnsi="Arial"/>
                <w:color w:val="000000"/>
                <w:lang w:eastAsia="zh-CN"/>
              </w:rPr>
              <w:t>operating)</w:t>
            </w:r>
          </w:p>
        </w:tc>
        <w:tc>
          <w:tcPr>
            <w:tcW w:w="738" w:type="dxa"/>
            <w:tcBorders>
              <w:top w:val="nil"/>
              <w:left w:val="nil"/>
              <w:bottom w:val="nil"/>
              <w:right w:val="nil"/>
            </w:tcBorders>
            <w:vAlign w:val="bottom"/>
          </w:tcPr>
          <w:p w14:paraId="1AACCC4F" w14:textId="247D355E"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28.0</w:t>
            </w:r>
          </w:p>
        </w:tc>
        <w:tc>
          <w:tcPr>
            <w:tcW w:w="738" w:type="dxa"/>
            <w:tcBorders>
              <w:top w:val="nil"/>
              <w:left w:val="nil"/>
              <w:bottom w:val="nil"/>
              <w:right w:val="nil"/>
            </w:tcBorders>
            <w:vAlign w:val="bottom"/>
          </w:tcPr>
          <w:p w14:paraId="4E3B435A" w14:textId="51A3D079"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37.6</w:t>
            </w:r>
          </w:p>
        </w:tc>
        <w:tc>
          <w:tcPr>
            <w:tcW w:w="738" w:type="dxa"/>
            <w:tcBorders>
              <w:top w:val="nil"/>
              <w:left w:val="nil"/>
              <w:bottom w:val="nil"/>
              <w:right w:val="nil"/>
            </w:tcBorders>
            <w:vAlign w:val="bottom"/>
          </w:tcPr>
          <w:p w14:paraId="78118558" w14:textId="7039C894"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41.7</w:t>
            </w:r>
          </w:p>
        </w:tc>
        <w:tc>
          <w:tcPr>
            <w:tcW w:w="738" w:type="dxa"/>
            <w:tcBorders>
              <w:top w:val="nil"/>
              <w:left w:val="nil"/>
              <w:bottom w:val="nil"/>
              <w:right w:val="nil"/>
            </w:tcBorders>
            <w:vAlign w:val="bottom"/>
          </w:tcPr>
          <w:p w14:paraId="4B1F25AD" w14:textId="56B957EA"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42.9</w:t>
            </w:r>
          </w:p>
        </w:tc>
        <w:tc>
          <w:tcPr>
            <w:tcW w:w="784" w:type="dxa"/>
            <w:tcBorders>
              <w:top w:val="nil"/>
              <w:left w:val="nil"/>
              <w:bottom w:val="nil"/>
              <w:right w:val="nil"/>
            </w:tcBorders>
            <w:vAlign w:val="bottom"/>
          </w:tcPr>
          <w:p w14:paraId="38C21F16" w14:textId="5C27F1DB"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43.4</w:t>
            </w:r>
          </w:p>
        </w:tc>
        <w:tc>
          <w:tcPr>
            <w:tcW w:w="837" w:type="dxa"/>
            <w:tcBorders>
              <w:top w:val="nil"/>
              <w:left w:val="nil"/>
              <w:bottom w:val="nil"/>
              <w:right w:val="nil"/>
            </w:tcBorders>
            <w:shd w:val="clear" w:color="auto" w:fill="auto"/>
            <w:vAlign w:val="bottom"/>
            <w:hideMark/>
          </w:tcPr>
          <w:p w14:paraId="57224435" w14:textId="71DC7F37" w:rsidR="008644A0" w:rsidRPr="00DB0706" w:rsidRDefault="008644A0" w:rsidP="008644A0">
            <w:pPr>
              <w:jc w:val="right"/>
              <w:rPr>
                <w:rFonts w:ascii="Arial" w:eastAsia="SimSun" w:hAnsi="Arial"/>
                <w:color w:val="000000"/>
                <w:lang w:eastAsia="zh-CN"/>
              </w:rPr>
            </w:pPr>
            <w:r w:rsidRPr="00DB0706">
              <w:rPr>
                <w:rFonts w:ascii="Arial" w:eastAsia="SimSun" w:hAnsi="Arial"/>
                <w:color w:val="000000"/>
                <w:lang w:eastAsia="zh-CN"/>
              </w:rPr>
              <w:t>43.9</w:t>
            </w:r>
          </w:p>
        </w:tc>
      </w:tr>
      <w:tr w:rsidR="008644A0" w:rsidRPr="00DB0706" w14:paraId="3733ED2E" w14:textId="77777777" w:rsidTr="00737977">
        <w:trPr>
          <w:trHeight w:val="240"/>
          <w:jc w:val="center"/>
        </w:trPr>
        <w:tc>
          <w:tcPr>
            <w:tcW w:w="3748" w:type="dxa"/>
            <w:tcBorders>
              <w:top w:val="nil"/>
              <w:left w:val="nil"/>
              <w:bottom w:val="nil"/>
              <w:right w:val="nil"/>
            </w:tcBorders>
            <w:shd w:val="clear" w:color="auto" w:fill="auto"/>
            <w:vAlign w:val="bottom"/>
            <w:hideMark/>
          </w:tcPr>
          <w:p w14:paraId="3F7A585C" w14:textId="2F822676" w:rsidR="008644A0" w:rsidRPr="00DB0706" w:rsidRDefault="008644A0" w:rsidP="008644A0">
            <w:pPr>
              <w:rPr>
                <w:rFonts w:ascii="Arial" w:eastAsia="SimSun" w:hAnsi="Arial"/>
                <w:color w:val="000000"/>
                <w:lang w:eastAsia="zh-CN"/>
              </w:rPr>
            </w:pPr>
            <w:r w:rsidRPr="00DB0706">
              <w:rPr>
                <w:rFonts w:ascii="Arial" w:eastAsia="SimSun" w:hAnsi="Arial"/>
                <w:color w:val="000000"/>
                <w:lang w:eastAsia="zh-CN"/>
              </w:rPr>
              <w:t>Retained earnings</w:t>
            </w:r>
            <w:r>
              <w:rPr>
                <w:rFonts w:ascii="Arial" w:eastAsia="SimSun" w:hAnsi="Arial"/>
                <w:color w:val="000000"/>
                <w:lang w:eastAsia="zh-CN"/>
              </w:rPr>
              <w:t xml:space="preserve"> (deficit)</w:t>
            </w:r>
            <w:r w:rsidRPr="00DB0706">
              <w:rPr>
                <w:rFonts w:ascii="Arial" w:eastAsia="SimSun" w:hAnsi="Arial"/>
                <w:color w:val="000000"/>
                <w:lang w:eastAsia="zh-CN"/>
              </w:rPr>
              <w:t xml:space="preserve"> (</w:t>
            </w:r>
            <w:r>
              <w:rPr>
                <w:rFonts w:ascii="Arial" w:eastAsia="SimSun" w:hAnsi="Arial"/>
                <w:color w:val="000000"/>
                <w:lang w:eastAsia="zh-CN"/>
              </w:rPr>
              <w:t>o</w:t>
            </w:r>
            <w:r w:rsidRPr="00DB0706">
              <w:rPr>
                <w:rFonts w:ascii="Arial" w:eastAsia="SimSun" w:hAnsi="Arial"/>
                <w:color w:val="000000"/>
                <w:lang w:eastAsia="zh-CN"/>
              </w:rPr>
              <w:t>perating)</w:t>
            </w:r>
          </w:p>
        </w:tc>
        <w:tc>
          <w:tcPr>
            <w:tcW w:w="738" w:type="dxa"/>
            <w:tcBorders>
              <w:top w:val="nil"/>
              <w:left w:val="nil"/>
              <w:bottom w:val="nil"/>
              <w:right w:val="nil"/>
            </w:tcBorders>
            <w:vAlign w:val="bottom"/>
          </w:tcPr>
          <w:p w14:paraId="4F23C522" w14:textId="3A264190" w:rsidR="008644A0" w:rsidRDefault="008644A0" w:rsidP="008644A0">
            <w:pPr>
              <w:jc w:val="right"/>
              <w:rPr>
                <w:rFonts w:ascii="Arial" w:eastAsia="SimSun" w:hAnsi="Arial"/>
                <w:color w:val="000000"/>
                <w:lang w:eastAsia="zh-CN"/>
              </w:rPr>
            </w:pPr>
            <w:r>
              <w:rPr>
                <w:rFonts w:ascii="Arial" w:eastAsia="SimSun" w:hAnsi="Arial"/>
                <w:color w:val="000000"/>
                <w:lang w:eastAsia="zh-CN"/>
              </w:rPr>
              <w:t>(</w:t>
            </w:r>
            <w:r w:rsidRPr="00DB0706">
              <w:rPr>
                <w:rFonts w:ascii="Arial" w:eastAsia="SimSun" w:hAnsi="Arial"/>
                <w:color w:val="000000"/>
                <w:lang w:eastAsia="zh-CN"/>
              </w:rPr>
              <w:t>79.8</w:t>
            </w:r>
            <w:r>
              <w:rPr>
                <w:rFonts w:ascii="Arial" w:eastAsia="SimSun" w:hAnsi="Arial"/>
                <w:color w:val="000000"/>
                <w:lang w:eastAsia="zh-CN"/>
              </w:rPr>
              <w:t>)</w:t>
            </w:r>
          </w:p>
        </w:tc>
        <w:tc>
          <w:tcPr>
            <w:tcW w:w="738" w:type="dxa"/>
            <w:tcBorders>
              <w:top w:val="nil"/>
              <w:left w:val="nil"/>
              <w:bottom w:val="nil"/>
              <w:right w:val="nil"/>
            </w:tcBorders>
            <w:vAlign w:val="bottom"/>
          </w:tcPr>
          <w:p w14:paraId="04F9C384" w14:textId="68ADFD10" w:rsidR="008644A0" w:rsidRDefault="008644A0" w:rsidP="008644A0">
            <w:pPr>
              <w:jc w:val="right"/>
              <w:rPr>
                <w:rFonts w:ascii="Arial" w:eastAsia="SimSun" w:hAnsi="Arial"/>
                <w:color w:val="000000"/>
                <w:lang w:eastAsia="zh-CN"/>
              </w:rPr>
            </w:pPr>
            <w:r>
              <w:rPr>
                <w:rFonts w:ascii="Arial" w:eastAsia="SimSun" w:hAnsi="Arial"/>
                <w:color w:val="000000"/>
                <w:lang w:eastAsia="zh-CN"/>
              </w:rPr>
              <w:t>(</w:t>
            </w:r>
            <w:r w:rsidRPr="00DB0706">
              <w:rPr>
                <w:rFonts w:ascii="Arial" w:eastAsia="SimSun" w:hAnsi="Arial"/>
                <w:color w:val="000000"/>
                <w:lang w:eastAsia="zh-CN"/>
              </w:rPr>
              <w:t>84.3</w:t>
            </w:r>
            <w:r>
              <w:rPr>
                <w:rFonts w:ascii="Arial" w:eastAsia="SimSun" w:hAnsi="Arial"/>
                <w:color w:val="000000"/>
                <w:lang w:eastAsia="zh-CN"/>
              </w:rPr>
              <w:t>)</w:t>
            </w:r>
          </w:p>
        </w:tc>
        <w:tc>
          <w:tcPr>
            <w:tcW w:w="738" w:type="dxa"/>
            <w:tcBorders>
              <w:top w:val="nil"/>
              <w:left w:val="nil"/>
              <w:bottom w:val="nil"/>
              <w:right w:val="nil"/>
            </w:tcBorders>
            <w:vAlign w:val="bottom"/>
          </w:tcPr>
          <w:p w14:paraId="44FFD9DF" w14:textId="75D24126" w:rsidR="008644A0" w:rsidRDefault="008644A0" w:rsidP="008644A0">
            <w:pPr>
              <w:jc w:val="right"/>
              <w:rPr>
                <w:rFonts w:ascii="Arial" w:eastAsia="SimSun" w:hAnsi="Arial"/>
                <w:color w:val="000000"/>
                <w:lang w:eastAsia="zh-CN"/>
              </w:rPr>
            </w:pPr>
            <w:r>
              <w:rPr>
                <w:rFonts w:ascii="Arial" w:eastAsia="SimSun" w:hAnsi="Arial"/>
                <w:color w:val="000000"/>
                <w:lang w:eastAsia="zh-CN"/>
              </w:rPr>
              <w:t>(</w:t>
            </w:r>
            <w:r w:rsidRPr="00DB0706">
              <w:rPr>
                <w:rFonts w:ascii="Arial" w:eastAsia="SimSun" w:hAnsi="Arial"/>
                <w:color w:val="000000"/>
                <w:lang w:eastAsia="zh-CN"/>
              </w:rPr>
              <w:t>82.7</w:t>
            </w:r>
            <w:r>
              <w:rPr>
                <w:rFonts w:ascii="Arial" w:eastAsia="SimSun" w:hAnsi="Arial"/>
                <w:color w:val="000000"/>
                <w:lang w:eastAsia="zh-CN"/>
              </w:rPr>
              <w:t>)</w:t>
            </w:r>
          </w:p>
        </w:tc>
        <w:tc>
          <w:tcPr>
            <w:tcW w:w="738" w:type="dxa"/>
            <w:tcBorders>
              <w:top w:val="nil"/>
              <w:left w:val="nil"/>
              <w:bottom w:val="nil"/>
              <w:right w:val="nil"/>
            </w:tcBorders>
            <w:vAlign w:val="bottom"/>
          </w:tcPr>
          <w:p w14:paraId="50463703" w14:textId="1E1A560D" w:rsidR="008644A0" w:rsidRDefault="008644A0" w:rsidP="008644A0">
            <w:pPr>
              <w:jc w:val="right"/>
              <w:rPr>
                <w:rFonts w:ascii="Arial" w:eastAsia="SimSun" w:hAnsi="Arial"/>
                <w:color w:val="000000"/>
                <w:lang w:eastAsia="zh-CN"/>
              </w:rPr>
            </w:pPr>
            <w:r>
              <w:rPr>
                <w:rFonts w:ascii="Arial" w:eastAsia="SimSun" w:hAnsi="Arial"/>
                <w:color w:val="000000"/>
                <w:lang w:eastAsia="zh-CN"/>
              </w:rPr>
              <w:t>(</w:t>
            </w:r>
            <w:r w:rsidRPr="00DB0706">
              <w:rPr>
                <w:rFonts w:ascii="Arial" w:eastAsia="SimSun" w:hAnsi="Arial"/>
                <w:color w:val="000000"/>
                <w:lang w:eastAsia="zh-CN"/>
              </w:rPr>
              <w:t>82.4</w:t>
            </w:r>
            <w:r>
              <w:rPr>
                <w:rFonts w:ascii="Arial" w:eastAsia="SimSun" w:hAnsi="Arial"/>
                <w:color w:val="000000"/>
                <w:lang w:eastAsia="zh-CN"/>
              </w:rPr>
              <w:t>)</w:t>
            </w:r>
          </w:p>
        </w:tc>
        <w:tc>
          <w:tcPr>
            <w:tcW w:w="784" w:type="dxa"/>
            <w:tcBorders>
              <w:top w:val="nil"/>
              <w:left w:val="nil"/>
              <w:bottom w:val="nil"/>
              <w:right w:val="nil"/>
            </w:tcBorders>
            <w:vAlign w:val="bottom"/>
          </w:tcPr>
          <w:p w14:paraId="55C49CD8" w14:textId="73640550" w:rsidR="008644A0" w:rsidRDefault="008644A0" w:rsidP="008644A0">
            <w:pPr>
              <w:jc w:val="right"/>
              <w:rPr>
                <w:rFonts w:ascii="Arial" w:eastAsia="SimSun" w:hAnsi="Arial"/>
                <w:color w:val="000000"/>
                <w:lang w:eastAsia="zh-CN"/>
              </w:rPr>
            </w:pPr>
            <w:r>
              <w:rPr>
                <w:rFonts w:ascii="Arial" w:eastAsia="SimSun" w:hAnsi="Arial"/>
                <w:color w:val="000000"/>
                <w:lang w:eastAsia="zh-CN"/>
              </w:rPr>
              <w:t>(</w:t>
            </w:r>
            <w:r w:rsidRPr="00DB0706">
              <w:rPr>
                <w:rFonts w:ascii="Arial" w:eastAsia="SimSun" w:hAnsi="Arial"/>
                <w:color w:val="000000"/>
                <w:lang w:eastAsia="zh-CN"/>
              </w:rPr>
              <w:t>155.9</w:t>
            </w:r>
            <w:r>
              <w:rPr>
                <w:rFonts w:ascii="Arial" w:eastAsia="SimSun" w:hAnsi="Arial"/>
                <w:color w:val="000000"/>
                <w:lang w:eastAsia="zh-CN"/>
              </w:rPr>
              <w:t>)</w:t>
            </w:r>
          </w:p>
        </w:tc>
        <w:tc>
          <w:tcPr>
            <w:tcW w:w="837" w:type="dxa"/>
            <w:tcBorders>
              <w:top w:val="nil"/>
              <w:left w:val="nil"/>
              <w:bottom w:val="nil"/>
              <w:right w:val="nil"/>
            </w:tcBorders>
            <w:shd w:val="clear" w:color="auto" w:fill="auto"/>
            <w:vAlign w:val="bottom"/>
            <w:hideMark/>
          </w:tcPr>
          <w:p w14:paraId="539C8E13" w14:textId="5F2CD109" w:rsidR="008644A0" w:rsidRPr="00DB0706" w:rsidRDefault="008644A0" w:rsidP="008644A0">
            <w:pPr>
              <w:jc w:val="right"/>
              <w:rPr>
                <w:rFonts w:ascii="Arial" w:eastAsia="SimSun" w:hAnsi="Arial"/>
                <w:color w:val="000000"/>
                <w:lang w:eastAsia="zh-CN"/>
              </w:rPr>
            </w:pPr>
            <w:r>
              <w:rPr>
                <w:rFonts w:ascii="Arial" w:eastAsia="SimSun" w:hAnsi="Arial"/>
                <w:color w:val="000000"/>
                <w:lang w:eastAsia="zh-CN"/>
              </w:rPr>
              <w:t>(</w:t>
            </w:r>
            <w:r w:rsidRPr="00DB0706">
              <w:rPr>
                <w:rFonts w:ascii="Arial" w:eastAsia="SimSun" w:hAnsi="Arial"/>
                <w:color w:val="000000"/>
                <w:lang w:eastAsia="zh-CN"/>
              </w:rPr>
              <w:t>206.8</w:t>
            </w:r>
            <w:r>
              <w:rPr>
                <w:rFonts w:ascii="Arial" w:eastAsia="SimSun" w:hAnsi="Arial"/>
                <w:color w:val="000000"/>
                <w:lang w:eastAsia="zh-CN"/>
              </w:rPr>
              <w:t>)</w:t>
            </w:r>
          </w:p>
        </w:tc>
      </w:tr>
      <w:tr w:rsidR="008644A0" w:rsidRPr="00DB0706" w14:paraId="053A5C8D" w14:textId="77777777" w:rsidTr="00737977">
        <w:trPr>
          <w:trHeight w:val="240"/>
          <w:jc w:val="center"/>
        </w:trPr>
        <w:tc>
          <w:tcPr>
            <w:tcW w:w="3748" w:type="dxa"/>
            <w:tcBorders>
              <w:top w:val="single" w:sz="4" w:space="0" w:color="auto"/>
              <w:left w:val="nil"/>
              <w:bottom w:val="single" w:sz="4" w:space="0" w:color="auto"/>
              <w:right w:val="nil"/>
            </w:tcBorders>
            <w:shd w:val="clear" w:color="auto" w:fill="auto"/>
            <w:vAlign w:val="bottom"/>
            <w:hideMark/>
          </w:tcPr>
          <w:p w14:paraId="5E1EDC45" w14:textId="34CAD3F2" w:rsidR="008644A0" w:rsidRPr="00DB0706" w:rsidRDefault="008644A0" w:rsidP="008644A0">
            <w:pPr>
              <w:rPr>
                <w:rFonts w:ascii="Arial" w:eastAsia="SimSun" w:hAnsi="Arial"/>
                <w:b/>
                <w:bCs/>
                <w:color w:val="000000"/>
                <w:lang w:eastAsia="zh-CN"/>
              </w:rPr>
            </w:pPr>
            <w:r w:rsidRPr="00DB0706">
              <w:rPr>
                <w:rFonts w:ascii="Arial" w:eastAsia="SimSun" w:hAnsi="Arial"/>
                <w:b/>
                <w:bCs/>
                <w:color w:val="000000"/>
                <w:lang w:eastAsia="zh-CN"/>
              </w:rPr>
              <w:t>Total Shareholders</w:t>
            </w:r>
            <w:r>
              <w:rPr>
                <w:rFonts w:ascii="Arial" w:eastAsia="SimSun" w:hAnsi="Arial"/>
                <w:b/>
                <w:bCs/>
                <w:color w:val="000000"/>
                <w:lang w:eastAsia="zh-CN"/>
              </w:rPr>
              <w:t>’</w:t>
            </w:r>
            <w:r w:rsidRPr="00DB0706">
              <w:rPr>
                <w:rFonts w:ascii="Arial" w:eastAsia="SimSun" w:hAnsi="Arial"/>
                <w:b/>
                <w:bCs/>
                <w:color w:val="000000"/>
                <w:lang w:eastAsia="zh-CN"/>
              </w:rPr>
              <w:t xml:space="preserve"> Equity</w:t>
            </w:r>
          </w:p>
        </w:tc>
        <w:tc>
          <w:tcPr>
            <w:tcW w:w="738" w:type="dxa"/>
            <w:tcBorders>
              <w:top w:val="single" w:sz="4" w:space="0" w:color="auto"/>
              <w:left w:val="nil"/>
              <w:bottom w:val="single" w:sz="4" w:space="0" w:color="auto"/>
              <w:right w:val="nil"/>
            </w:tcBorders>
            <w:vAlign w:val="bottom"/>
          </w:tcPr>
          <w:p w14:paraId="20764733" w14:textId="0F536BBB"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389.0</w:t>
            </w:r>
          </w:p>
        </w:tc>
        <w:tc>
          <w:tcPr>
            <w:tcW w:w="738" w:type="dxa"/>
            <w:tcBorders>
              <w:top w:val="single" w:sz="4" w:space="0" w:color="auto"/>
              <w:left w:val="nil"/>
              <w:bottom w:val="single" w:sz="4" w:space="0" w:color="auto"/>
              <w:right w:val="nil"/>
            </w:tcBorders>
            <w:vAlign w:val="bottom"/>
          </w:tcPr>
          <w:p w14:paraId="13344C84" w14:textId="4C499B56"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423.3</w:t>
            </w:r>
          </w:p>
        </w:tc>
        <w:tc>
          <w:tcPr>
            <w:tcW w:w="738" w:type="dxa"/>
            <w:tcBorders>
              <w:top w:val="single" w:sz="4" w:space="0" w:color="auto"/>
              <w:left w:val="nil"/>
              <w:bottom w:val="single" w:sz="4" w:space="0" w:color="auto"/>
              <w:right w:val="nil"/>
            </w:tcBorders>
            <w:vAlign w:val="bottom"/>
          </w:tcPr>
          <w:p w14:paraId="508F2D57" w14:textId="2CE705D7"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491.0</w:t>
            </w:r>
          </w:p>
        </w:tc>
        <w:tc>
          <w:tcPr>
            <w:tcW w:w="738" w:type="dxa"/>
            <w:tcBorders>
              <w:top w:val="single" w:sz="4" w:space="0" w:color="auto"/>
              <w:left w:val="nil"/>
              <w:bottom w:val="single" w:sz="4" w:space="0" w:color="auto"/>
              <w:right w:val="nil"/>
            </w:tcBorders>
            <w:vAlign w:val="bottom"/>
          </w:tcPr>
          <w:p w14:paraId="4F5123E6" w14:textId="6EC99F39"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492.5</w:t>
            </w:r>
          </w:p>
        </w:tc>
        <w:tc>
          <w:tcPr>
            <w:tcW w:w="784" w:type="dxa"/>
            <w:tcBorders>
              <w:top w:val="single" w:sz="4" w:space="0" w:color="auto"/>
              <w:left w:val="nil"/>
              <w:bottom w:val="single" w:sz="4" w:space="0" w:color="auto"/>
              <w:right w:val="nil"/>
            </w:tcBorders>
            <w:vAlign w:val="bottom"/>
          </w:tcPr>
          <w:p w14:paraId="17B60A74" w14:textId="68D19910"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419.5</w:t>
            </w:r>
          </w:p>
        </w:tc>
        <w:tc>
          <w:tcPr>
            <w:tcW w:w="837" w:type="dxa"/>
            <w:tcBorders>
              <w:top w:val="single" w:sz="4" w:space="0" w:color="auto"/>
              <w:left w:val="nil"/>
              <w:bottom w:val="single" w:sz="4" w:space="0" w:color="auto"/>
              <w:right w:val="nil"/>
            </w:tcBorders>
            <w:shd w:val="clear" w:color="auto" w:fill="auto"/>
            <w:vAlign w:val="bottom"/>
            <w:hideMark/>
          </w:tcPr>
          <w:p w14:paraId="60F53CC0" w14:textId="18A13375"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377.4</w:t>
            </w:r>
          </w:p>
        </w:tc>
      </w:tr>
      <w:tr w:rsidR="008644A0" w:rsidRPr="00DB0706" w14:paraId="77B01F3D" w14:textId="77777777" w:rsidTr="00737977">
        <w:trPr>
          <w:trHeight w:val="240"/>
          <w:jc w:val="center"/>
        </w:trPr>
        <w:tc>
          <w:tcPr>
            <w:tcW w:w="3748" w:type="dxa"/>
            <w:tcBorders>
              <w:top w:val="nil"/>
              <w:left w:val="nil"/>
              <w:bottom w:val="single" w:sz="4" w:space="0" w:color="auto"/>
              <w:right w:val="nil"/>
            </w:tcBorders>
            <w:shd w:val="clear" w:color="auto" w:fill="auto"/>
            <w:vAlign w:val="bottom"/>
            <w:hideMark/>
          </w:tcPr>
          <w:p w14:paraId="2AFD38C2" w14:textId="6431C161" w:rsidR="008644A0" w:rsidRPr="00DB0706" w:rsidRDefault="008644A0" w:rsidP="008644A0">
            <w:pPr>
              <w:rPr>
                <w:rFonts w:ascii="Arial" w:eastAsia="SimSun" w:hAnsi="Arial"/>
                <w:b/>
                <w:bCs/>
                <w:color w:val="000000"/>
                <w:lang w:eastAsia="zh-CN"/>
              </w:rPr>
            </w:pPr>
            <w:r w:rsidRPr="00DB0706">
              <w:rPr>
                <w:rFonts w:ascii="Arial" w:eastAsia="SimSun" w:hAnsi="Arial"/>
                <w:b/>
                <w:bCs/>
                <w:color w:val="000000"/>
                <w:lang w:eastAsia="zh-CN"/>
              </w:rPr>
              <w:t>Total Liabilities and Shareholders</w:t>
            </w:r>
            <w:r>
              <w:rPr>
                <w:rFonts w:ascii="Arial" w:eastAsia="SimSun" w:hAnsi="Arial"/>
                <w:b/>
                <w:bCs/>
                <w:color w:val="000000"/>
                <w:lang w:eastAsia="zh-CN"/>
              </w:rPr>
              <w:t>’</w:t>
            </w:r>
            <w:r w:rsidRPr="00DB0706">
              <w:rPr>
                <w:rFonts w:ascii="Arial" w:eastAsia="SimSun" w:hAnsi="Arial"/>
                <w:b/>
                <w:bCs/>
                <w:color w:val="000000"/>
                <w:lang w:eastAsia="zh-CN"/>
              </w:rPr>
              <w:t xml:space="preserve"> Equity</w:t>
            </w:r>
          </w:p>
        </w:tc>
        <w:tc>
          <w:tcPr>
            <w:tcW w:w="738" w:type="dxa"/>
            <w:tcBorders>
              <w:top w:val="nil"/>
              <w:left w:val="nil"/>
              <w:bottom w:val="single" w:sz="4" w:space="0" w:color="auto"/>
              <w:right w:val="nil"/>
            </w:tcBorders>
            <w:vAlign w:val="bottom"/>
          </w:tcPr>
          <w:p w14:paraId="4216C903" w14:textId="0E58A2E7"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429.1</w:t>
            </w:r>
          </w:p>
        </w:tc>
        <w:tc>
          <w:tcPr>
            <w:tcW w:w="738" w:type="dxa"/>
            <w:tcBorders>
              <w:top w:val="nil"/>
              <w:left w:val="nil"/>
              <w:bottom w:val="single" w:sz="4" w:space="0" w:color="auto"/>
              <w:right w:val="nil"/>
            </w:tcBorders>
            <w:vAlign w:val="bottom"/>
          </w:tcPr>
          <w:p w14:paraId="2AE7B930" w14:textId="3ED914B3"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635.8</w:t>
            </w:r>
          </w:p>
        </w:tc>
        <w:tc>
          <w:tcPr>
            <w:tcW w:w="738" w:type="dxa"/>
            <w:tcBorders>
              <w:top w:val="nil"/>
              <w:left w:val="nil"/>
              <w:bottom w:val="single" w:sz="4" w:space="0" w:color="auto"/>
              <w:right w:val="nil"/>
            </w:tcBorders>
            <w:vAlign w:val="bottom"/>
          </w:tcPr>
          <w:p w14:paraId="542B03F4" w14:textId="35D7D9F4"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822.0</w:t>
            </w:r>
          </w:p>
        </w:tc>
        <w:tc>
          <w:tcPr>
            <w:tcW w:w="738" w:type="dxa"/>
            <w:tcBorders>
              <w:top w:val="nil"/>
              <w:left w:val="nil"/>
              <w:bottom w:val="single" w:sz="4" w:space="0" w:color="auto"/>
              <w:right w:val="nil"/>
            </w:tcBorders>
            <w:vAlign w:val="bottom"/>
          </w:tcPr>
          <w:p w14:paraId="4D9B6851" w14:textId="47EE5241"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887.5</w:t>
            </w:r>
          </w:p>
        </w:tc>
        <w:tc>
          <w:tcPr>
            <w:tcW w:w="784" w:type="dxa"/>
            <w:tcBorders>
              <w:top w:val="nil"/>
              <w:left w:val="nil"/>
              <w:bottom w:val="single" w:sz="4" w:space="0" w:color="auto"/>
              <w:right w:val="nil"/>
            </w:tcBorders>
            <w:vAlign w:val="bottom"/>
          </w:tcPr>
          <w:p w14:paraId="68825769" w14:textId="4BE9DE51"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871.7</w:t>
            </w:r>
          </w:p>
        </w:tc>
        <w:tc>
          <w:tcPr>
            <w:tcW w:w="837" w:type="dxa"/>
            <w:tcBorders>
              <w:top w:val="nil"/>
              <w:left w:val="nil"/>
              <w:bottom w:val="single" w:sz="4" w:space="0" w:color="auto"/>
              <w:right w:val="nil"/>
            </w:tcBorders>
            <w:shd w:val="clear" w:color="auto" w:fill="auto"/>
            <w:vAlign w:val="bottom"/>
            <w:hideMark/>
          </w:tcPr>
          <w:p w14:paraId="4F773268" w14:textId="58EE3FEE" w:rsidR="008644A0" w:rsidRPr="00DB0706" w:rsidRDefault="008644A0" w:rsidP="008644A0">
            <w:pPr>
              <w:jc w:val="right"/>
              <w:rPr>
                <w:rFonts w:ascii="Arial" w:eastAsia="SimSun" w:hAnsi="Arial"/>
                <w:b/>
                <w:bCs/>
                <w:color w:val="000000"/>
                <w:lang w:eastAsia="zh-CN"/>
              </w:rPr>
            </w:pPr>
            <w:r w:rsidRPr="00DB0706">
              <w:rPr>
                <w:rFonts w:ascii="Arial" w:eastAsia="SimSun" w:hAnsi="Arial"/>
                <w:b/>
                <w:bCs/>
                <w:color w:val="000000"/>
                <w:lang w:eastAsia="zh-CN"/>
              </w:rPr>
              <w:t>897.9</w:t>
            </w:r>
          </w:p>
        </w:tc>
      </w:tr>
    </w:tbl>
    <w:p w14:paraId="3AAB5694" w14:textId="77777777" w:rsidR="00DB0706" w:rsidRPr="00DB0706" w:rsidRDefault="00DB0706" w:rsidP="00DB0706">
      <w:pPr>
        <w:jc w:val="both"/>
        <w:rPr>
          <w:rFonts w:ascii="Arial" w:hAnsi="Arial" w:cs="Arial"/>
          <w:kern w:val="2"/>
          <w:sz w:val="17"/>
          <w:szCs w:val="17"/>
        </w:rPr>
      </w:pPr>
    </w:p>
    <w:p w14:paraId="5D37A443" w14:textId="3AA5831E" w:rsidR="007432F2" w:rsidRPr="000926A8" w:rsidRDefault="007432F2" w:rsidP="00DB0706">
      <w:pPr>
        <w:pStyle w:val="BodyTextMain"/>
        <w:rPr>
          <w:rFonts w:ascii="Arial" w:hAnsi="Arial" w:cs="Arial"/>
          <w:spacing w:val="-4"/>
          <w:kern w:val="2"/>
          <w:sz w:val="17"/>
          <w:szCs w:val="17"/>
        </w:rPr>
      </w:pPr>
      <w:r w:rsidRPr="000926A8">
        <w:rPr>
          <w:rFonts w:ascii="Arial" w:hAnsi="Arial" w:cs="Arial"/>
          <w:spacing w:val="-4"/>
          <w:kern w:val="2"/>
          <w:sz w:val="17"/>
          <w:szCs w:val="17"/>
        </w:rPr>
        <w:t>Note: N/A = not available</w:t>
      </w:r>
    </w:p>
    <w:p w14:paraId="27A61A28" w14:textId="41C3AD29" w:rsidR="000926A8" w:rsidRDefault="00DB0706" w:rsidP="00DB0706">
      <w:pPr>
        <w:pStyle w:val="BodyTextMain"/>
        <w:rPr>
          <w:rFonts w:ascii="Arial" w:hAnsi="Arial" w:cs="Arial"/>
          <w:spacing w:val="-4"/>
          <w:kern w:val="2"/>
          <w:sz w:val="17"/>
          <w:szCs w:val="17"/>
        </w:rPr>
      </w:pPr>
      <w:r w:rsidRPr="000926A8">
        <w:rPr>
          <w:rFonts w:ascii="Arial" w:hAnsi="Arial" w:cs="Arial"/>
          <w:spacing w:val="-4"/>
          <w:kern w:val="2"/>
          <w:sz w:val="17"/>
          <w:szCs w:val="17"/>
        </w:rPr>
        <w:t>Source: Created by the case authors based on Banro Corporation</w:t>
      </w:r>
      <w:r w:rsidR="007432F2" w:rsidRPr="000926A8">
        <w:rPr>
          <w:rFonts w:ascii="Arial" w:hAnsi="Arial" w:cs="Arial"/>
          <w:spacing w:val="-4"/>
          <w:kern w:val="2"/>
          <w:sz w:val="17"/>
          <w:szCs w:val="17"/>
        </w:rPr>
        <w:t>,</w:t>
      </w:r>
      <w:r w:rsidRPr="000926A8">
        <w:rPr>
          <w:rFonts w:ascii="Arial" w:hAnsi="Arial" w:cs="Arial"/>
          <w:spacing w:val="-4"/>
          <w:kern w:val="2"/>
          <w:sz w:val="17"/>
          <w:szCs w:val="17"/>
        </w:rPr>
        <w:t xml:space="preserve"> </w:t>
      </w:r>
      <w:r w:rsidR="007432F2" w:rsidRPr="000926A8">
        <w:rPr>
          <w:rFonts w:ascii="Arial" w:hAnsi="Arial" w:cs="Arial"/>
          <w:i/>
          <w:spacing w:val="-4"/>
          <w:kern w:val="2"/>
          <w:sz w:val="17"/>
          <w:szCs w:val="17"/>
        </w:rPr>
        <w:t xml:space="preserve">Banro: </w:t>
      </w:r>
      <w:r w:rsidRPr="000926A8">
        <w:rPr>
          <w:rFonts w:ascii="Arial" w:hAnsi="Arial" w:cs="Arial"/>
          <w:i/>
          <w:spacing w:val="-4"/>
          <w:kern w:val="2"/>
          <w:sz w:val="17"/>
          <w:szCs w:val="17"/>
        </w:rPr>
        <w:t>Annual Report 2016</w:t>
      </w:r>
      <w:r w:rsidRPr="000926A8">
        <w:rPr>
          <w:rFonts w:ascii="Arial" w:hAnsi="Arial" w:cs="Arial"/>
          <w:spacing w:val="-4"/>
          <w:kern w:val="2"/>
          <w:sz w:val="17"/>
          <w:szCs w:val="17"/>
        </w:rPr>
        <w:t xml:space="preserve">, </w:t>
      </w:r>
      <w:r w:rsidR="007432F2" w:rsidRPr="000926A8">
        <w:rPr>
          <w:rFonts w:ascii="Arial" w:hAnsi="Arial" w:cs="Arial"/>
          <w:spacing w:val="-4"/>
          <w:kern w:val="2"/>
          <w:sz w:val="17"/>
          <w:szCs w:val="17"/>
        </w:rPr>
        <w:t xml:space="preserve">130, </w:t>
      </w:r>
      <w:r w:rsidRPr="000926A8">
        <w:rPr>
          <w:rFonts w:ascii="Arial" w:hAnsi="Arial" w:cs="Arial"/>
          <w:spacing w:val="-4"/>
          <w:kern w:val="2"/>
          <w:sz w:val="17"/>
          <w:szCs w:val="17"/>
        </w:rPr>
        <w:t>accessed May 10, 2017, www.sedar.com/GetFile.do?lang=EN&amp;docClass=2&amp;issuerNo=00002878&amp;issuerType=03&amp;projectNo=02607555&amp;docId=4085742; Banro Corporation</w:t>
      </w:r>
      <w:r w:rsidR="007432F2" w:rsidRPr="000926A8">
        <w:rPr>
          <w:rFonts w:ascii="Arial" w:hAnsi="Arial" w:cs="Arial"/>
          <w:spacing w:val="-4"/>
          <w:kern w:val="2"/>
          <w:sz w:val="17"/>
          <w:szCs w:val="17"/>
        </w:rPr>
        <w:t>,</w:t>
      </w:r>
      <w:r w:rsidRPr="000926A8">
        <w:rPr>
          <w:rFonts w:ascii="Arial" w:hAnsi="Arial" w:cs="Arial"/>
          <w:spacing w:val="-4"/>
          <w:kern w:val="2"/>
          <w:sz w:val="17"/>
          <w:szCs w:val="17"/>
        </w:rPr>
        <w:t xml:space="preserve"> </w:t>
      </w:r>
      <w:r w:rsidR="007432F2" w:rsidRPr="000926A8">
        <w:rPr>
          <w:rFonts w:ascii="Arial" w:hAnsi="Arial" w:cs="Arial"/>
          <w:i/>
          <w:spacing w:val="-4"/>
          <w:kern w:val="2"/>
          <w:sz w:val="17"/>
          <w:szCs w:val="17"/>
        </w:rPr>
        <w:t xml:space="preserve">Banro: </w:t>
      </w:r>
      <w:r w:rsidRPr="000926A8">
        <w:rPr>
          <w:rFonts w:ascii="Arial" w:hAnsi="Arial" w:cs="Arial"/>
          <w:i/>
          <w:spacing w:val="-4"/>
          <w:kern w:val="2"/>
          <w:sz w:val="17"/>
          <w:szCs w:val="17"/>
        </w:rPr>
        <w:t>Annual Report 2014</w:t>
      </w:r>
      <w:r w:rsidRPr="000926A8">
        <w:rPr>
          <w:rFonts w:ascii="Arial" w:hAnsi="Arial" w:cs="Arial"/>
          <w:spacing w:val="-4"/>
          <w:kern w:val="2"/>
          <w:sz w:val="17"/>
          <w:szCs w:val="17"/>
        </w:rPr>
        <w:t xml:space="preserve">, </w:t>
      </w:r>
      <w:r w:rsidR="007432F2" w:rsidRPr="000926A8">
        <w:rPr>
          <w:rFonts w:ascii="Arial" w:hAnsi="Arial" w:cs="Arial"/>
          <w:spacing w:val="-4"/>
          <w:kern w:val="2"/>
          <w:sz w:val="17"/>
          <w:szCs w:val="17"/>
        </w:rPr>
        <w:t xml:space="preserve">118, </w:t>
      </w:r>
      <w:r w:rsidRPr="000926A8">
        <w:rPr>
          <w:rFonts w:ascii="Arial" w:hAnsi="Arial" w:cs="Arial"/>
          <w:spacing w:val="-4"/>
          <w:kern w:val="2"/>
          <w:sz w:val="17"/>
          <w:szCs w:val="17"/>
        </w:rPr>
        <w:t xml:space="preserve">accessed November 15, 2017, </w:t>
      </w:r>
      <w:r w:rsidR="000926A8" w:rsidRPr="000926A8">
        <w:rPr>
          <w:rFonts w:ascii="Arial" w:hAnsi="Arial" w:cs="Arial"/>
          <w:spacing w:val="-4"/>
          <w:kern w:val="2"/>
          <w:sz w:val="17"/>
          <w:szCs w:val="17"/>
        </w:rPr>
        <w:t>www.sedar.com/</w:t>
      </w:r>
      <w:r w:rsidRPr="000926A8">
        <w:rPr>
          <w:rFonts w:ascii="Arial" w:hAnsi="Arial" w:cs="Arial"/>
          <w:spacing w:val="-4"/>
          <w:kern w:val="2"/>
          <w:sz w:val="17"/>
          <w:szCs w:val="17"/>
        </w:rPr>
        <w:t>GetFile.do?lang=</w:t>
      </w:r>
    </w:p>
    <w:p w14:paraId="1CAA64DC" w14:textId="6E4D4268" w:rsidR="000926A8" w:rsidRDefault="00DB0706" w:rsidP="00DB0706">
      <w:pPr>
        <w:pStyle w:val="BodyTextMain"/>
        <w:rPr>
          <w:rFonts w:ascii="Arial" w:hAnsi="Arial" w:cs="Arial"/>
          <w:spacing w:val="-4"/>
          <w:kern w:val="2"/>
          <w:sz w:val="17"/>
          <w:szCs w:val="17"/>
        </w:rPr>
      </w:pPr>
      <w:r w:rsidRPr="000926A8">
        <w:rPr>
          <w:rFonts w:ascii="Arial" w:hAnsi="Arial" w:cs="Arial"/>
          <w:spacing w:val="-4"/>
          <w:kern w:val="2"/>
          <w:sz w:val="17"/>
          <w:szCs w:val="17"/>
        </w:rPr>
        <w:t>EN&amp;docClass=2&amp;issuerNo=00002878&amp;issuerType=03&amp;projectNo=02333039&amp;docId=3709182; Banro Corporation</w:t>
      </w:r>
      <w:r w:rsidR="007432F2" w:rsidRPr="000926A8">
        <w:rPr>
          <w:rFonts w:ascii="Arial" w:hAnsi="Arial" w:cs="Arial"/>
          <w:spacing w:val="-4"/>
          <w:kern w:val="2"/>
          <w:sz w:val="17"/>
          <w:szCs w:val="17"/>
        </w:rPr>
        <w:t xml:space="preserve">, </w:t>
      </w:r>
      <w:r w:rsidR="007432F2" w:rsidRPr="000926A8">
        <w:rPr>
          <w:rFonts w:ascii="Arial" w:hAnsi="Arial" w:cs="Arial"/>
          <w:i/>
          <w:spacing w:val="-4"/>
          <w:kern w:val="2"/>
          <w:sz w:val="17"/>
          <w:szCs w:val="17"/>
        </w:rPr>
        <w:t>Banro:</w:t>
      </w:r>
      <w:r w:rsidRPr="000926A8">
        <w:rPr>
          <w:rFonts w:ascii="Arial" w:hAnsi="Arial" w:cs="Arial"/>
          <w:i/>
          <w:spacing w:val="-4"/>
          <w:kern w:val="2"/>
          <w:sz w:val="17"/>
          <w:szCs w:val="17"/>
        </w:rPr>
        <w:t xml:space="preserve"> Annual Report 2012</w:t>
      </w:r>
      <w:r w:rsidRPr="000926A8">
        <w:rPr>
          <w:rFonts w:ascii="Arial" w:hAnsi="Arial" w:cs="Arial"/>
          <w:spacing w:val="-4"/>
          <w:kern w:val="2"/>
          <w:sz w:val="17"/>
          <w:szCs w:val="17"/>
        </w:rPr>
        <w:t xml:space="preserve">, </w:t>
      </w:r>
      <w:r w:rsidR="007432F2" w:rsidRPr="000926A8">
        <w:rPr>
          <w:rFonts w:ascii="Arial" w:hAnsi="Arial" w:cs="Arial"/>
          <w:spacing w:val="-4"/>
          <w:kern w:val="2"/>
          <w:sz w:val="17"/>
          <w:szCs w:val="17"/>
        </w:rPr>
        <w:t xml:space="preserve">7, </w:t>
      </w:r>
      <w:r w:rsidRPr="000926A8">
        <w:rPr>
          <w:rFonts w:ascii="Arial" w:hAnsi="Arial" w:cs="Arial"/>
          <w:spacing w:val="-4"/>
          <w:kern w:val="2"/>
          <w:sz w:val="17"/>
          <w:szCs w:val="17"/>
        </w:rPr>
        <w:t>accessed November 15, 2017,</w:t>
      </w:r>
      <w:r w:rsidRPr="000926A8">
        <w:rPr>
          <w:spacing w:val="-4"/>
          <w:kern w:val="2"/>
          <w:sz w:val="20"/>
          <w:szCs w:val="20"/>
        </w:rPr>
        <w:t xml:space="preserve"> </w:t>
      </w:r>
      <w:r w:rsidR="000926A8" w:rsidRPr="000926A8">
        <w:rPr>
          <w:rFonts w:ascii="Arial" w:hAnsi="Arial" w:cs="Arial"/>
          <w:spacing w:val="-4"/>
          <w:kern w:val="2"/>
          <w:sz w:val="17"/>
          <w:szCs w:val="17"/>
        </w:rPr>
        <w:t>www.sedar.com/GetFile.do?lang=EN&amp;docClass=5&amp;issuerNo</w:t>
      </w:r>
    </w:p>
    <w:p w14:paraId="5A254980" w14:textId="4FEC1281" w:rsidR="00DB0706" w:rsidRPr="000926A8" w:rsidRDefault="00DB0706" w:rsidP="00DB0706">
      <w:pPr>
        <w:pStyle w:val="BodyTextMain"/>
        <w:rPr>
          <w:spacing w:val="-4"/>
        </w:rPr>
      </w:pPr>
      <w:r w:rsidRPr="000926A8">
        <w:rPr>
          <w:rFonts w:ascii="Arial" w:hAnsi="Arial" w:cs="Arial"/>
          <w:spacing w:val="-4"/>
          <w:kern w:val="2"/>
          <w:sz w:val="17"/>
          <w:szCs w:val="17"/>
        </w:rPr>
        <w:t>=00002878&amp;issuerType=03&amp;projectNo=02033849&amp;docId=3294581.</w:t>
      </w:r>
    </w:p>
    <w:p w14:paraId="63819641" w14:textId="77777777" w:rsidR="00DB0706" w:rsidRPr="000926A8" w:rsidRDefault="00DB0706" w:rsidP="00DB0706">
      <w:pPr>
        <w:pStyle w:val="BodyTextMain"/>
        <w:rPr>
          <w:spacing w:val="-4"/>
        </w:rPr>
      </w:pPr>
    </w:p>
    <w:p w14:paraId="7D6E24E2" w14:textId="77777777" w:rsidR="00DB0706" w:rsidRDefault="00DB0706" w:rsidP="00DB0706">
      <w:pPr>
        <w:pStyle w:val="BodyTextMain"/>
      </w:pPr>
    </w:p>
    <w:p w14:paraId="09159DBC" w14:textId="77777777" w:rsidR="00BB1E3A" w:rsidRDefault="00DB0706" w:rsidP="000512F8">
      <w:pPr>
        <w:keepNext/>
        <w:jc w:val="center"/>
        <w:outlineLvl w:val="0"/>
        <w:rPr>
          <w:rFonts w:ascii="Arial" w:hAnsi="Arial" w:cs="Arial"/>
          <w:b/>
          <w:caps/>
          <w:kern w:val="2"/>
          <w:lang w:val="en-GB"/>
        </w:rPr>
      </w:pPr>
      <w:r w:rsidRPr="00DB0706">
        <w:rPr>
          <w:rFonts w:ascii="Arial" w:hAnsi="Arial" w:cs="Arial"/>
          <w:b/>
          <w:caps/>
          <w:kern w:val="2"/>
          <w:lang w:val="en-GB"/>
        </w:rPr>
        <w:lastRenderedPageBreak/>
        <w:t xml:space="preserve">Exhibit 4: BANRO CORPORATION’S CONSOLIDATED INCOME STATEMENT </w:t>
      </w:r>
    </w:p>
    <w:p w14:paraId="6FC2CC69" w14:textId="1D50E63A" w:rsidR="00DB0706" w:rsidRPr="00DB0706" w:rsidRDefault="00DB0706" w:rsidP="000512F8">
      <w:pPr>
        <w:keepNext/>
        <w:jc w:val="center"/>
        <w:outlineLvl w:val="0"/>
        <w:rPr>
          <w:rFonts w:ascii="Arial" w:hAnsi="Arial" w:cs="Arial"/>
          <w:b/>
          <w:caps/>
          <w:kern w:val="2"/>
          <w:lang w:val="en-GB" w:eastAsia="zh-CN"/>
        </w:rPr>
      </w:pPr>
      <w:r w:rsidRPr="00DB0706">
        <w:rPr>
          <w:rFonts w:ascii="Arial" w:hAnsi="Arial" w:cs="Arial"/>
          <w:b/>
          <w:caps/>
          <w:kern w:val="2"/>
          <w:lang w:val="en-GB"/>
        </w:rPr>
        <w:t>AT DECEMBER 31, 2014</w:t>
      </w:r>
      <w:r w:rsidR="00310624">
        <w:rPr>
          <w:rFonts w:ascii="Arial" w:hAnsi="Arial" w:cs="Arial"/>
          <w:b/>
          <w:caps/>
          <w:kern w:val="2"/>
          <w:lang w:val="en-GB"/>
        </w:rPr>
        <w:t>–</w:t>
      </w:r>
      <w:r w:rsidRPr="00DB0706">
        <w:rPr>
          <w:rFonts w:ascii="Arial" w:hAnsi="Arial" w:cs="Arial"/>
          <w:b/>
          <w:caps/>
          <w:kern w:val="2"/>
          <w:lang w:val="en-GB"/>
        </w:rPr>
        <w:t>2016 (US$ MILLION)</w:t>
      </w:r>
    </w:p>
    <w:p w14:paraId="1F28D820" w14:textId="77777777" w:rsidR="00DB0706" w:rsidRPr="00DB0706" w:rsidRDefault="00DB0706" w:rsidP="00DB0706">
      <w:pPr>
        <w:jc w:val="both"/>
        <w:rPr>
          <w:rFonts w:ascii="Arial" w:hAnsi="Arial" w:cs="Arial"/>
          <w:kern w:val="2"/>
          <w:sz w:val="17"/>
          <w:szCs w:val="17"/>
        </w:rPr>
      </w:pPr>
    </w:p>
    <w:tbl>
      <w:tblPr>
        <w:tblW w:w="7520" w:type="dxa"/>
        <w:jc w:val="center"/>
        <w:tblLook w:val="04A0" w:firstRow="1" w:lastRow="0" w:firstColumn="1" w:lastColumn="0" w:noHBand="0" w:noVBand="1"/>
      </w:tblPr>
      <w:tblGrid>
        <w:gridCol w:w="3620"/>
        <w:gridCol w:w="1300"/>
        <w:gridCol w:w="1300"/>
        <w:gridCol w:w="1300"/>
      </w:tblGrid>
      <w:tr w:rsidR="000926A8" w:rsidRPr="00DB0706" w14:paraId="5DE5A676" w14:textId="77777777" w:rsidTr="000926A8">
        <w:trPr>
          <w:trHeight w:val="240"/>
          <w:jc w:val="center"/>
        </w:trPr>
        <w:tc>
          <w:tcPr>
            <w:tcW w:w="3620" w:type="dxa"/>
            <w:tcBorders>
              <w:top w:val="single" w:sz="4" w:space="0" w:color="auto"/>
              <w:left w:val="nil"/>
              <w:bottom w:val="nil"/>
              <w:right w:val="nil"/>
            </w:tcBorders>
            <w:shd w:val="clear" w:color="auto" w:fill="auto"/>
            <w:noWrap/>
            <w:vAlign w:val="bottom"/>
            <w:hideMark/>
          </w:tcPr>
          <w:p w14:paraId="7CF80063" w14:textId="77777777" w:rsidR="000926A8" w:rsidRPr="00DB0706" w:rsidRDefault="000926A8" w:rsidP="000926A8">
            <w:pPr>
              <w:rPr>
                <w:rFonts w:ascii="Arial" w:eastAsia="SimSun" w:hAnsi="Arial"/>
                <w:color w:val="000000"/>
                <w:lang w:eastAsia="zh-CN"/>
              </w:rPr>
            </w:pPr>
          </w:p>
        </w:tc>
        <w:tc>
          <w:tcPr>
            <w:tcW w:w="1300" w:type="dxa"/>
            <w:tcBorders>
              <w:top w:val="single" w:sz="4" w:space="0" w:color="auto"/>
              <w:left w:val="nil"/>
              <w:bottom w:val="single" w:sz="4" w:space="0" w:color="auto"/>
              <w:right w:val="nil"/>
            </w:tcBorders>
            <w:vAlign w:val="bottom"/>
          </w:tcPr>
          <w:p w14:paraId="7BBF7B39" w14:textId="63EA1791"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2014</w:t>
            </w:r>
          </w:p>
        </w:tc>
        <w:tc>
          <w:tcPr>
            <w:tcW w:w="1300" w:type="dxa"/>
            <w:tcBorders>
              <w:top w:val="single" w:sz="4" w:space="0" w:color="auto"/>
              <w:left w:val="nil"/>
              <w:bottom w:val="single" w:sz="4" w:space="0" w:color="auto"/>
              <w:right w:val="nil"/>
            </w:tcBorders>
            <w:vAlign w:val="bottom"/>
          </w:tcPr>
          <w:p w14:paraId="4CB732B7" w14:textId="6A84BA8C"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2015</w:t>
            </w:r>
          </w:p>
        </w:tc>
        <w:tc>
          <w:tcPr>
            <w:tcW w:w="1300" w:type="dxa"/>
            <w:tcBorders>
              <w:top w:val="single" w:sz="4" w:space="0" w:color="auto"/>
              <w:left w:val="nil"/>
              <w:bottom w:val="single" w:sz="4" w:space="0" w:color="auto"/>
              <w:right w:val="nil"/>
            </w:tcBorders>
            <w:shd w:val="clear" w:color="auto" w:fill="auto"/>
            <w:noWrap/>
            <w:vAlign w:val="bottom"/>
            <w:hideMark/>
          </w:tcPr>
          <w:p w14:paraId="5133E214" w14:textId="6788BE90"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2016</w:t>
            </w:r>
          </w:p>
        </w:tc>
      </w:tr>
      <w:tr w:rsidR="000926A8" w:rsidRPr="00DB0706" w14:paraId="24BEA88A" w14:textId="77777777" w:rsidTr="000926A8">
        <w:trPr>
          <w:trHeight w:val="240"/>
          <w:jc w:val="center"/>
        </w:trPr>
        <w:tc>
          <w:tcPr>
            <w:tcW w:w="3620" w:type="dxa"/>
            <w:tcBorders>
              <w:top w:val="nil"/>
              <w:left w:val="nil"/>
              <w:bottom w:val="nil"/>
              <w:right w:val="nil"/>
            </w:tcBorders>
            <w:shd w:val="clear" w:color="auto" w:fill="auto"/>
            <w:noWrap/>
            <w:vAlign w:val="bottom"/>
            <w:hideMark/>
          </w:tcPr>
          <w:p w14:paraId="4E2FD8F4" w14:textId="77777777" w:rsidR="000926A8" w:rsidRPr="00DB0706" w:rsidRDefault="000926A8" w:rsidP="000926A8">
            <w:pPr>
              <w:rPr>
                <w:rFonts w:ascii="Arial" w:eastAsia="SimSun" w:hAnsi="Arial"/>
                <w:b/>
                <w:bCs/>
                <w:color w:val="000000"/>
                <w:lang w:eastAsia="zh-CN"/>
              </w:rPr>
            </w:pPr>
            <w:r w:rsidRPr="00DB0706">
              <w:rPr>
                <w:rFonts w:ascii="Arial" w:eastAsia="SimSun" w:hAnsi="Arial"/>
                <w:b/>
                <w:bCs/>
                <w:color w:val="000000"/>
                <w:lang w:eastAsia="zh-CN"/>
              </w:rPr>
              <w:t>Operating Revenue</w:t>
            </w:r>
          </w:p>
        </w:tc>
        <w:tc>
          <w:tcPr>
            <w:tcW w:w="1300" w:type="dxa"/>
            <w:tcBorders>
              <w:top w:val="nil"/>
              <w:left w:val="nil"/>
              <w:bottom w:val="nil"/>
              <w:right w:val="nil"/>
            </w:tcBorders>
            <w:vAlign w:val="bottom"/>
          </w:tcPr>
          <w:p w14:paraId="6E668B41" w14:textId="2696F8BC"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125.4</w:t>
            </w:r>
          </w:p>
        </w:tc>
        <w:tc>
          <w:tcPr>
            <w:tcW w:w="1300" w:type="dxa"/>
            <w:tcBorders>
              <w:top w:val="nil"/>
              <w:left w:val="nil"/>
              <w:bottom w:val="nil"/>
              <w:right w:val="nil"/>
            </w:tcBorders>
            <w:vAlign w:val="bottom"/>
          </w:tcPr>
          <w:p w14:paraId="3AB4046C" w14:textId="00F56DD2"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156.7</w:t>
            </w:r>
          </w:p>
        </w:tc>
        <w:tc>
          <w:tcPr>
            <w:tcW w:w="1300" w:type="dxa"/>
            <w:tcBorders>
              <w:top w:val="nil"/>
              <w:left w:val="nil"/>
              <w:bottom w:val="nil"/>
              <w:right w:val="nil"/>
            </w:tcBorders>
            <w:shd w:val="clear" w:color="auto" w:fill="auto"/>
            <w:noWrap/>
            <w:vAlign w:val="bottom"/>
            <w:hideMark/>
          </w:tcPr>
          <w:p w14:paraId="1CA2EB8C" w14:textId="1709C59F"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228.3</w:t>
            </w:r>
          </w:p>
        </w:tc>
      </w:tr>
      <w:tr w:rsidR="000926A8" w:rsidRPr="00DB0706" w14:paraId="053E9952" w14:textId="77777777" w:rsidTr="000926A8">
        <w:trPr>
          <w:trHeight w:val="240"/>
          <w:jc w:val="center"/>
        </w:trPr>
        <w:tc>
          <w:tcPr>
            <w:tcW w:w="3620" w:type="dxa"/>
            <w:tcBorders>
              <w:top w:val="nil"/>
              <w:left w:val="nil"/>
              <w:bottom w:val="nil"/>
              <w:right w:val="nil"/>
            </w:tcBorders>
            <w:shd w:val="clear" w:color="auto" w:fill="auto"/>
            <w:noWrap/>
            <w:vAlign w:val="bottom"/>
            <w:hideMark/>
          </w:tcPr>
          <w:p w14:paraId="41547DC4" w14:textId="77777777" w:rsidR="000926A8" w:rsidRPr="00DB0706" w:rsidRDefault="000926A8" w:rsidP="000926A8">
            <w:pPr>
              <w:rPr>
                <w:rFonts w:ascii="Arial" w:eastAsia="SimSun" w:hAnsi="Arial"/>
                <w:b/>
                <w:bCs/>
                <w:color w:val="000000"/>
                <w:lang w:eastAsia="zh-CN"/>
              </w:rPr>
            </w:pPr>
            <w:r w:rsidRPr="00DB0706">
              <w:rPr>
                <w:rFonts w:ascii="Arial" w:eastAsia="SimSun" w:hAnsi="Arial"/>
                <w:b/>
                <w:bCs/>
                <w:color w:val="000000"/>
                <w:lang w:eastAsia="zh-CN"/>
              </w:rPr>
              <w:t>Operating Expenses</w:t>
            </w:r>
          </w:p>
        </w:tc>
        <w:tc>
          <w:tcPr>
            <w:tcW w:w="1300" w:type="dxa"/>
            <w:tcBorders>
              <w:top w:val="nil"/>
              <w:left w:val="nil"/>
              <w:bottom w:val="nil"/>
              <w:right w:val="nil"/>
            </w:tcBorders>
            <w:vAlign w:val="bottom"/>
          </w:tcPr>
          <w:p w14:paraId="68A5066F" w14:textId="77777777" w:rsidR="000926A8" w:rsidRPr="00DB0706" w:rsidRDefault="000926A8" w:rsidP="000926A8">
            <w:pPr>
              <w:rPr>
                <w:rFonts w:ascii="Arial" w:eastAsia="SimSun" w:hAnsi="Arial"/>
                <w:color w:val="000000"/>
                <w:lang w:eastAsia="zh-CN"/>
              </w:rPr>
            </w:pPr>
          </w:p>
        </w:tc>
        <w:tc>
          <w:tcPr>
            <w:tcW w:w="1300" w:type="dxa"/>
            <w:tcBorders>
              <w:top w:val="nil"/>
              <w:left w:val="nil"/>
              <w:bottom w:val="nil"/>
              <w:right w:val="nil"/>
            </w:tcBorders>
            <w:vAlign w:val="bottom"/>
          </w:tcPr>
          <w:p w14:paraId="3CA20611" w14:textId="77777777" w:rsidR="000926A8" w:rsidRPr="00DB0706" w:rsidRDefault="000926A8" w:rsidP="000926A8">
            <w:pPr>
              <w:rPr>
                <w:rFonts w:ascii="Arial" w:eastAsia="SimSun" w:hAnsi="Arial"/>
                <w:color w:val="000000"/>
                <w:lang w:eastAsia="zh-CN"/>
              </w:rPr>
            </w:pPr>
          </w:p>
        </w:tc>
        <w:tc>
          <w:tcPr>
            <w:tcW w:w="1300" w:type="dxa"/>
            <w:tcBorders>
              <w:top w:val="nil"/>
              <w:left w:val="nil"/>
              <w:bottom w:val="nil"/>
              <w:right w:val="nil"/>
            </w:tcBorders>
            <w:shd w:val="clear" w:color="auto" w:fill="auto"/>
            <w:noWrap/>
            <w:vAlign w:val="bottom"/>
            <w:hideMark/>
          </w:tcPr>
          <w:p w14:paraId="6169948E" w14:textId="2ED7676C" w:rsidR="000926A8" w:rsidRPr="00DB0706" w:rsidRDefault="000926A8" w:rsidP="000926A8">
            <w:pPr>
              <w:rPr>
                <w:rFonts w:ascii="Arial" w:eastAsia="SimSun" w:hAnsi="Arial"/>
                <w:color w:val="000000"/>
                <w:lang w:eastAsia="zh-CN"/>
              </w:rPr>
            </w:pPr>
          </w:p>
        </w:tc>
      </w:tr>
      <w:tr w:rsidR="000926A8" w:rsidRPr="00DB0706" w14:paraId="5BB461BB" w14:textId="77777777" w:rsidTr="000926A8">
        <w:trPr>
          <w:trHeight w:val="240"/>
          <w:jc w:val="center"/>
        </w:trPr>
        <w:tc>
          <w:tcPr>
            <w:tcW w:w="3620" w:type="dxa"/>
            <w:tcBorders>
              <w:top w:val="nil"/>
              <w:left w:val="nil"/>
              <w:bottom w:val="nil"/>
              <w:right w:val="nil"/>
            </w:tcBorders>
            <w:shd w:val="clear" w:color="auto" w:fill="auto"/>
            <w:noWrap/>
            <w:vAlign w:val="bottom"/>
            <w:hideMark/>
          </w:tcPr>
          <w:p w14:paraId="4D8C9842" w14:textId="77777777" w:rsidR="000926A8" w:rsidRPr="00DB0706" w:rsidRDefault="000926A8" w:rsidP="000926A8">
            <w:pPr>
              <w:rPr>
                <w:rFonts w:ascii="Arial" w:eastAsia="SimSun" w:hAnsi="Arial"/>
                <w:color w:val="000000"/>
                <w:lang w:eastAsia="zh-CN"/>
              </w:rPr>
            </w:pPr>
            <w:r w:rsidRPr="00DB0706">
              <w:rPr>
                <w:rFonts w:ascii="Arial" w:eastAsia="SimSun" w:hAnsi="Arial"/>
                <w:color w:val="000000"/>
                <w:lang w:eastAsia="zh-CN"/>
              </w:rPr>
              <w:t>Production costs</w:t>
            </w:r>
          </w:p>
        </w:tc>
        <w:tc>
          <w:tcPr>
            <w:tcW w:w="1300" w:type="dxa"/>
            <w:tcBorders>
              <w:top w:val="nil"/>
              <w:left w:val="nil"/>
              <w:bottom w:val="nil"/>
              <w:right w:val="nil"/>
            </w:tcBorders>
            <w:vAlign w:val="bottom"/>
          </w:tcPr>
          <w:p w14:paraId="4EA3D9C2" w14:textId="08D0FCB9"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(69.1)</w:t>
            </w:r>
          </w:p>
        </w:tc>
        <w:tc>
          <w:tcPr>
            <w:tcW w:w="1300" w:type="dxa"/>
            <w:tcBorders>
              <w:top w:val="nil"/>
              <w:left w:val="nil"/>
              <w:bottom w:val="nil"/>
              <w:right w:val="nil"/>
            </w:tcBorders>
            <w:vAlign w:val="bottom"/>
          </w:tcPr>
          <w:p w14:paraId="6E70B7F9" w14:textId="6282C669"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(74.9)</w:t>
            </w:r>
          </w:p>
        </w:tc>
        <w:tc>
          <w:tcPr>
            <w:tcW w:w="1300" w:type="dxa"/>
            <w:tcBorders>
              <w:top w:val="nil"/>
              <w:left w:val="nil"/>
              <w:bottom w:val="nil"/>
              <w:right w:val="nil"/>
            </w:tcBorders>
            <w:shd w:val="clear" w:color="auto" w:fill="auto"/>
            <w:noWrap/>
            <w:vAlign w:val="bottom"/>
            <w:hideMark/>
          </w:tcPr>
          <w:p w14:paraId="25BA0208" w14:textId="6B9B48E2"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(145.9)</w:t>
            </w:r>
          </w:p>
        </w:tc>
      </w:tr>
      <w:tr w:rsidR="000926A8" w:rsidRPr="00DB0706" w14:paraId="5DD6DD48" w14:textId="77777777" w:rsidTr="000926A8">
        <w:trPr>
          <w:trHeight w:val="240"/>
          <w:jc w:val="center"/>
        </w:trPr>
        <w:tc>
          <w:tcPr>
            <w:tcW w:w="3620" w:type="dxa"/>
            <w:tcBorders>
              <w:top w:val="nil"/>
              <w:left w:val="nil"/>
              <w:bottom w:val="single" w:sz="4" w:space="0" w:color="auto"/>
              <w:right w:val="nil"/>
            </w:tcBorders>
            <w:shd w:val="clear" w:color="auto" w:fill="auto"/>
            <w:noWrap/>
            <w:vAlign w:val="bottom"/>
            <w:hideMark/>
          </w:tcPr>
          <w:p w14:paraId="3216368D" w14:textId="77777777" w:rsidR="000926A8" w:rsidRPr="00DB0706" w:rsidRDefault="000926A8" w:rsidP="000926A8">
            <w:pPr>
              <w:rPr>
                <w:rFonts w:ascii="Arial" w:eastAsia="SimSun" w:hAnsi="Arial"/>
                <w:color w:val="000000"/>
                <w:lang w:eastAsia="zh-CN"/>
              </w:rPr>
            </w:pPr>
            <w:r w:rsidRPr="00DB0706">
              <w:rPr>
                <w:rFonts w:ascii="Arial" w:eastAsia="SimSun" w:hAnsi="Arial"/>
                <w:color w:val="000000"/>
                <w:lang w:eastAsia="zh-CN"/>
              </w:rPr>
              <w:t>Depletion and depreciation</w:t>
            </w:r>
          </w:p>
        </w:tc>
        <w:tc>
          <w:tcPr>
            <w:tcW w:w="1300" w:type="dxa"/>
            <w:tcBorders>
              <w:top w:val="nil"/>
              <w:left w:val="nil"/>
              <w:bottom w:val="single" w:sz="4" w:space="0" w:color="auto"/>
              <w:right w:val="nil"/>
            </w:tcBorders>
            <w:vAlign w:val="bottom"/>
          </w:tcPr>
          <w:p w14:paraId="4D6FE688" w14:textId="547BF011"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(26.9)</w:t>
            </w:r>
          </w:p>
        </w:tc>
        <w:tc>
          <w:tcPr>
            <w:tcW w:w="1300" w:type="dxa"/>
            <w:tcBorders>
              <w:top w:val="nil"/>
              <w:left w:val="nil"/>
              <w:bottom w:val="single" w:sz="4" w:space="0" w:color="auto"/>
              <w:right w:val="nil"/>
            </w:tcBorders>
            <w:vAlign w:val="bottom"/>
          </w:tcPr>
          <w:p w14:paraId="698653F9" w14:textId="4E02A208"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(25.7)</w:t>
            </w:r>
          </w:p>
        </w:tc>
        <w:tc>
          <w:tcPr>
            <w:tcW w:w="1300" w:type="dxa"/>
            <w:tcBorders>
              <w:top w:val="nil"/>
              <w:left w:val="nil"/>
              <w:bottom w:val="single" w:sz="4" w:space="0" w:color="auto"/>
              <w:right w:val="nil"/>
            </w:tcBorders>
            <w:shd w:val="clear" w:color="auto" w:fill="auto"/>
            <w:noWrap/>
            <w:vAlign w:val="bottom"/>
            <w:hideMark/>
          </w:tcPr>
          <w:p w14:paraId="19377D1E" w14:textId="44E820F8"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(60.0)</w:t>
            </w:r>
          </w:p>
        </w:tc>
      </w:tr>
      <w:tr w:rsidR="000926A8" w:rsidRPr="00DB0706" w14:paraId="2C6BA3A4" w14:textId="77777777" w:rsidTr="000926A8">
        <w:trPr>
          <w:trHeight w:val="240"/>
          <w:jc w:val="center"/>
        </w:trPr>
        <w:tc>
          <w:tcPr>
            <w:tcW w:w="3620" w:type="dxa"/>
            <w:tcBorders>
              <w:top w:val="nil"/>
              <w:left w:val="nil"/>
              <w:bottom w:val="single" w:sz="4" w:space="0" w:color="auto"/>
              <w:right w:val="nil"/>
            </w:tcBorders>
            <w:shd w:val="clear" w:color="auto" w:fill="auto"/>
            <w:noWrap/>
            <w:vAlign w:val="bottom"/>
            <w:hideMark/>
          </w:tcPr>
          <w:p w14:paraId="16F3F3A0" w14:textId="3E185048" w:rsidR="000926A8" w:rsidRPr="00DB0706" w:rsidRDefault="000926A8" w:rsidP="000926A8">
            <w:pPr>
              <w:rPr>
                <w:rFonts w:ascii="Arial" w:eastAsia="SimSun" w:hAnsi="Arial"/>
                <w:b/>
                <w:bCs/>
                <w:color w:val="000000"/>
                <w:lang w:eastAsia="zh-CN"/>
              </w:rPr>
            </w:pPr>
            <w:r w:rsidRPr="00DB0706">
              <w:rPr>
                <w:rFonts w:ascii="Arial" w:eastAsia="SimSun" w:hAnsi="Arial"/>
                <w:b/>
                <w:bCs/>
                <w:color w:val="000000"/>
                <w:lang w:eastAsia="zh-CN"/>
              </w:rPr>
              <w:t xml:space="preserve">Total </w:t>
            </w:r>
            <w:r>
              <w:rPr>
                <w:rFonts w:ascii="Arial" w:eastAsia="SimSun" w:hAnsi="Arial"/>
                <w:b/>
                <w:bCs/>
                <w:color w:val="000000"/>
                <w:lang w:eastAsia="zh-CN"/>
              </w:rPr>
              <w:t>M</w:t>
            </w:r>
            <w:r w:rsidRPr="00DB0706">
              <w:rPr>
                <w:rFonts w:ascii="Arial" w:eastAsia="SimSun" w:hAnsi="Arial"/>
                <w:b/>
                <w:bCs/>
                <w:color w:val="000000"/>
                <w:lang w:eastAsia="zh-CN"/>
              </w:rPr>
              <w:t xml:space="preserve">ine </w:t>
            </w:r>
            <w:r>
              <w:rPr>
                <w:rFonts w:ascii="Arial" w:eastAsia="SimSun" w:hAnsi="Arial"/>
                <w:b/>
                <w:bCs/>
                <w:color w:val="000000"/>
                <w:lang w:eastAsia="zh-CN"/>
              </w:rPr>
              <w:t>O</w:t>
            </w:r>
            <w:r w:rsidRPr="00DB0706">
              <w:rPr>
                <w:rFonts w:ascii="Arial" w:eastAsia="SimSun" w:hAnsi="Arial"/>
                <w:b/>
                <w:bCs/>
                <w:color w:val="000000"/>
                <w:lang w:eastAsia="zh-CN"/>
              </w:rPr>
              <w:t xml:space="preserve">perating </w:t>
            </w:r>
            <w:r>
              <w:rPr>
                <w:rFonts w:ascii="Arial" w:eastAsia="SimSun" w:hAnsi="Arial"/>
                <w:b/>
                <w:bCs/>
                <w:color w:val="000000"/>
                <w:lang w:eastAsia="zh-CN"/>
              </w:rPr>
              <w:t>E</w:t>
            </w:r>
            <w:r w:rsidRPr="00DB0706">
              <w:rPr>
                <w:rFonts w:ascii="Arial" w:eastAsia="SimSun" w:hAnsi="Arial"/>
                <w:b/>
                <w:bCs/>
                <w:color w:val="000000"/>
                <w:lang w:eastAsia="zh-CN"/>
              </w:rPr>
              <w:t>xpenses</w:t>
            </w:r>
          </w:p>
        </w:tc>
        <w:tc>
          <w:tcPr>
            <w:tcW w:w="1300" w:type="dxa"/>
            <w:tcBorders>
              <w:top w:val="nil"/>
              <w:left w:val="nil"/>
              <w:bottom w:val="single" w:sz="4" w:space="0" w:color="auto"/>
              <w:right w:val="nil"/>
            </w:tcBorders>
            <w:vAlign w:val="bottom"/>
          </w:tcPr>
          <w:p w14:paraId="685ACA25" w14:textId="31B5921F"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(96.0)</w:t>
            </w:r>
          </w:p>
        </w:tc>
        <w:tc>
          <w:tcPr>
            <w:tcW w:w="1300" w:type="dxa"/>
            <w:tcBorders>
              <w:top w:val="nil"/>
              <w:left w:val="nil"/>
              <w:bottom w:val="single" w:sz="4" w:space="0" w:color="auto"/>
              <w:right w:val="nil"/>
            </w:tcBorders>
            <w:vAlign w:val="bottom"/>
          </w:tcPr>
          <w:p w14:paraId="627694D4" w14:textId="560EE3D2"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(100.7)</w:t>
            </w:r>
          </w:p>
        </w:tc>
        <w:tc>
          <w:tcPr>
            <w:tcW w:w="1300" w:type="dxa"/>
            <w:tcBorders>
              <w:top w:val="nil"/>
              <w:left w:val="nil"/>
              <w:bottom w:val="single" w:sz="4" w:space="0" w:color="auto"/>
              <w:right w:val="nil"/>
            </w:tcBorders>
            <w:shd w:val="clear" w:color="auto" w:fill="auto"/>
            <w:noWrap/>
            <w:vAlign w:val="bottom"/>
            <w:hideMark/>
          </w:tcPr>
          <w:p w14:paraId="27D5FAE6" w14:textId="4164485E"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(205.9)</w:t>
            </w:r>
          </w:p>
        </w:tc>
      </w:tr>
      <w:tr w:rsidR="000926A8" w:rsidRPr="00DB0706" w14:paraId="3003D02A" w14:textId="77777777" w:rsidTr="000926A8">
        <w:trPr>
          <w:trHeight w:val="240"/>
          <w:jc w:val="center"/>
        </w:trPr>
        <w:tc>
          <w:tcPr>
            <w:tcW w:w="3620" w:type="dxa"/>
            <w:tcBorders>
              <w:top w:val="nil"/>
              <w:left w:val="nil"/>
              <w:bottom w:val="single" w:sz="4" w:space="0" w:color="auto"/>
              <w:right w:val="nil"/>
            </w:tcBorders>
            <w:shd w:val="clear" w:color="auto" w:fill="auto"/>
            <w:noWrap/>
            <w:vAlign w:val="bottom"/>
            <w:hideMark/>
          </w:tcPr>
          <w:p w14:paraId="3871A16C" w14:textId="53FDBB03" w:rsidR="000926A8" w:rsidRPr="00DB0706" w:rsidRDefault="000926A8" w:rsidP="000926A8">
            <w:pPr>
              <w:rPr>
                <w:rFonts w:ascii="Arial" w:eastAsia="SimSun" w:hAnsi="Arial"/>
                <w:b/>
                <w:bCs/>
                <w:color w:val="000000"/>
                <w:lang w:eastAsia="zh-CN"/>
              </w:rPr>
            </w:pPr>
            <w:r w:rsidRPr="00DB0706">
              <w:rPr>
                <w:rFonts w:ascii="Arial" w:eastAsia="SimSun" w:hAnsi="Arial"/>
                <w:b/>
                <w:bCs/>
                <w:color w:val="000000"/>
                <w:lang w:eastAsia="zh-CN"/>
              </w:rPr>
              <w:t>Gross Earning</w:t>
            </w:r>
            <w:r>
              <w:rPr>
                <w:rFonts w:ascii="Arial" w:eastAsia="SimSun" w:hAnsi="Arial"/>
                <w:b/>
                <w:bCs/>
                <w:color w:val="000000"/>
                <w:lang w:eastAsia="zh-CN"/>
              </w:rPr>
              <w:t>s</w:t>
            </w:r>
            <w:r w:rsidRPr="00DB0706">
              <w:rPr>
                <w:rFonts w:ascii="Arial" w:eastAsia="SimSun" w:hAnsi="Arial"/>
                <w:b/>
                <w:bCs/>
                <w:color w:val="000000"/>
                <w:lang w:eastAsia="zh-CN"/>
              </w:rPr>
              <w:t xml:space="preserve"> from Operations</w:t>
            </w:r>
          </w:p>
        </w:tc>
        <w:tc>
          <w:tcPr>
            <w:tcW w:w="1300" w:type="dxa"/>
            <w:tcBorders>
              <w:top w:val="nil"/>
              <w:left w:val="nil"/>
              <w:bottom w:val="single" w:sz="4" w:space="0" w:color="auto"/>
              <w:right w:val="nil"/>
            </w:tcBorders>
            <w:vAlign w:val="bottom"/>
          </w:tcPr>
          <w:p w14:paraId="58F81DC6" w14:textId="1DB36FDA"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29.4</w:t>
            </w:r>
          </w:p>
        </w:tc>
        <w:tc>
          <w:tcPr>
            <w:tcW w:w="1300" w:type="dxa"/>
            <w:tcBorders>
              <w:top w:val="nil"/>
              <w:left w:val="nil"/>
              <w:bottom w:val="single" w:sz="4" w:space="0" w:color="auto"/>
              <w:right w:val="nil"/>
            </w:tcBorders>
            <w:vAlign w:val="bottom"/>
          </w:tcPr>
          <w:p w14:paraId="64E6C72C" w14:textId="1446E41B"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56.0</w:t>
            </w:r>
          </w:p>
        </w:tc>
        <w:tc>
          <w:tcPr>
            <w:tcW w:w="1300" w:type="dxa"/>
            <w:tcBorders>
              <w:top w:val="nil"/>
              <w:left w:val="nil"/>
              <w:bottom w:val="single" w:sz="4" w:space="0" w:color="auto"/>
              <w:right w:val="nil"/>
            </w:tcBorders>
            <w:shd w:val="clear" w:color="auto" w:fill="auto"/>
            <w:noWrap/>
            <w:vAlign w:val="bottom"/>
            <w:hideMark/>
          </w:tcPr>
          <w:p w14:paraId="7A4A73B6" w14:textId="0E511FF4"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22.4</w:t>
            </w:r>
          </w:p>
        </w:tc>
      </w:tr>
      <w:tr w:rsidR="000926A8" w:rsidRPr="00DB0706" w14:paraId="4BD3D1EE" w14:textId="77777777" w:rsidTr="000926A8">
        <w:trPr>
          <w:trHeight w:val="240"/>
          <w:jc w:val="center"/>
        </w:trPr>
        <w:tc>
          <w:tcPr>
            <w:tcW w:w="3620" w:type="dxa"/>
            <w:tcBorders>
              <w:top w:val="nil"/>
              <w:left w:val="nil"/>
              <w:bottom w:val="nil"/>
              <w:right w:val="nil"/>
            </w:tcBorders>
            <w:shd w:val="clear" w:color="auto" w:fill="auto"/>
            <w:noWrap/>
            <w:vAlign w:val="bottom"/>
            <w:hideMark/>
          </w:tcPr>
          <w:p w14:paraId="1D55B5B3" w14:textId="77777777" w:rsidR="000926A8" w:rsidRPr="00DB0706" w:rsidRDefault="000926A8" w:rsidP="000926A8">
            <w:pPr>
              <w:rPr>
                <w:rFonts w:ascii="Arial" w:eastAsia="SimSun" w:hAnsi="Arial"/>
                <w:color w:val="000000"/>
                <w:lang w:eastAsia="zh-CN"/>
              </w:rPr>
            </w:pPr>
            <w:r w:rsidRPr="00DB0706">
              <w:rPr>
                <w:rFonts w:ascii="Arial" w:eastAsia="SimSun" w:hAnsi="Arial"/>
                <w:color w:val="000000"/>
                <w:lang w:eastAsia="zh-CN"/>
              </w:rPr>
              <w:t>General and administrative expenses</w:t>
            </w:r>
          </w:p>
        </w:tc>
        <w:tc>
          <w:tcPr>
            <w:tcW w:w="1300" w:type="dxa"/>
            <w:tcBorders>
              <w:top w:val="nil"/>
              <w:left w:val="nil"/>
              <w:bottom w:val="nil"/>
              <w:right w:val="nil"/>
            </w:tcBorders>
            <w:vAlign w:val="bottom"/>
          </w:tcPr>
          <w:p w14:paraId="77444E32" w14:textId="07D6C7B4"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(11.3)</w:t>
            </w:r>
          </w:p>
        </w:tc>
        <w:tc>
          <w:tcPr>
            <w:tcW w:w="1300" w:type="dxa"/>
            <w:tcBorders>
              <w:top w:val="nil"/>
              <w:left w:val="nil"/>
              <w:bottom w:val="nil"/>
              <w:right w:val="nil"/>
            </w:tcBorders>
            <w:vAlign w:val="bottom"/>
          </w:tcPr>
          <w:p w14:paraId="679E36A2" w14:textId="7EA99A19"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(12.1)</w:t>
            </w:r>
          </w:p>
        </w:tc>
        <w:tc>
          <w:tcPr>
            <w:tcW w:w="1300" w:type="dxa"/>
            <w:tcBorders>
              <w:top w:val="nil"/>
              <w:left w:val="nil"/>
              <w:bottom w:val="nil"/>
              <w:right w:val="nil"/>
            </w:tcBorders>
            <w:shd w:val="clear" w:color="auto" w:fill="auto"/>
            <w:noWrap/>
            <w:vAlign w:val="bottom"/>
            <w:hideMark/>
          </w:tcPr>
          <w:p w14:paraId="7C2850B7" w14:textId="0FBA2F07"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(16.0)</w:t>
            </w:r>
          </w:p>
        </w:tc>
      </w:tr>
      <w:tr w:rsidR="000926A8" w:rsidRPr="00DB0706" w14:paraId="2A44BDD8" w14:textId="77777777" w:rsidTr="000926A8">
        <w:trPr>
          <w:trHeight w:val="240"/>
          <w:jc w:val="center"/>
        </w:trPr>
        <w:tc>
          <w:tcPr>
            <w:tcW w:w="3620" w:type="dxa"/>
            <w:tcBorders>
              <w:top w:val="nil"/>
              <w:left w:val="nil"/>
              <w:bottom w:val="nil"/>
              <w:right w:val="nil"/>
            </w:tcBorders>
            <w:shd w:val="clear" w:color="auto" w:fill="auto"/>
            <w:noWrap/>
            <w:vAlign w:val="bottom"/>
            <w:hideMark/>
          </w:tcPr>
          <w:p w14:paraId="18297A4B" w14:textId="77777777" w:rsidR="000926A8" w:rsidRPr="00DB0706" w:rsidRDefault="000926A8" w:rsidP="000926A8">
            <w:pPr>
              <w:rPr>
                <w:rFonts w:ascii="Arial" w:eastAsia="SimSun" w:hAnsi="Arial"/>
                <w:color w:val="000000"/>
                <w:lang w:eastAsia="zh-CN"/>
              </w:rPr>
            </w:pPr>
            <w:r w:rsidRPr="00DB0706">
              <w:rPr>
                <w:rFonts w:ascii="Arial" w:eastAsia="SimSun" w:hAnsi="Arial"/>
                <w:color w:val="000000"/>
                <w:lang w:eastAsia="zh-CN"/>
              </w:rPr>
              <w:t>Share-based payments</w:t>
            </w:r>
          </w:p>
        </w:tc>
        <w:tc>
          <w:tcPr>
            <w:tcW w:w="1300" w:type="dxa"/>
            <w:tcBorders>
              <w:top w:val="nil"/>
              <w:left w:val="nil"/>
              <w:bottom w:val="nil"/>
              <w:right w:val="nil"/>
            </w:tcBorders>
            <w:vAlign w:val="bottom"/>
          </w:tcPr>
          <w:p w14:paraId="41A89E30" w14:textId="55B7FF22"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(0.6)</w:t>
            </w:r>
          </w:p>
        </w:tc>
        <w:tc>
          <w:tcPr>
            <w:tcW w:w="1300" w:type="dxa"/>
            <w:tcBorders>
              <w:top w:val="nil"/>
              <w:left w:val="nil"/>
              <w:bottom w:val="nil"/>
              <w:right w:val="nil"/>
            </w:tcBorders>
            <w:vAlign w:val="bottom"/>
          </w:tcPr>
          <w:p w14:paraId="6EFB8CA4" w14:textId="4B89BD6C"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(0.7)</w:t>
            </w:r>
          </w:p>
        </w:tc>
        <w:tc>
          <w:tcPr>
            <w:tcW w:w="1300" w:type="dxa"/>
            <w:tcBorders>
              <w:top w:val="nil"/>
              <w:left w:val="nil"/>
              <w:bottom w:val="nil"/>
              <w:right w:val="nil"/>
            </w:tcBorders>
            <w:shd w:val="clear" w:color="auto" w:fill="auto"/>
            <w:noWrap/>
            <w:vAlign w:val="bottom"/>
            <w:hideMark/>
          </w:tcPr>
          <w:p w14:paraId="0A455921" w14:textId="5BB2B2DA"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(0.5)</w:t>
            </w:r>
          </w:p>
        </w:tc>
      </w:tr>
      <w:tr w:rsidR="000926A8" w:rsidRPr="00DB0706" w14:paraId="61B73852" w14:textId="77777777" w:rsidTr="000926A8">
        <w:trPr>
          <w:trHeight w:val="240"/>
          <w:jc w:val="center"/>
        </w:trPr>
        <w:tc>
          <w:tcPr>
            <w:tcW w:w="3620" w:type="dxa"/>
            <w:tcBorders>
              <w:top w:val="nil"/>
              <w:left w:val="nil"/>
              <w:bottom w:val="nil"/>
              <w:right w:val="nil"/>
            </w:tcBorders>
            <w:shd w:val="clear" w:color="auto" w:fill="auto"/>
            <w:noWrap/>
            <w:vAlign w:val="bottom"/>
            <w:hideMark/>
          </w:tcPr>
          <w:p w14:paraId="2A33C210" w14:textId="77777777" w:rsidR="000926A8" w:rsidRPr="00DB0706" w:rsidRDefault="000926A8" w:rsidP="000926A8">
            <w:pPr>
              <w:rPr>
                <w:rFonts w:ascii="Arial" w:eastAsia="SimSun" w:hAnsi="Arial"/>
                <w:color w:val="000000"/>
                <w:lang w:eastAsia="zh-CN"/>
              </w:rPr>
            </w:pPr>
            <w:r w:rsidRPr="00DB0706">
              <w:rPr>
                <w:rFonts w:ascii="Arial" w:eastAsia="SimSun" w:hAnsi="Arial"/>
                <w:color w:val="000000"/>
                <w:lang w:eastAsia="zh-CN"/>
              </w:rPr>
              <w:t>Other charges and provisions</w:t>
            </w:r>
          </w:p>
        </w:tc>
        <w:tc>
          <w:tcPr>
            <w:tcW w:w="1300" w:type="dxa"/>
            <w:tcBorders>
              <w:top w:val="nil"/>
              <w:left w:val="nil"/>
              <w:bottom w:val="nil"/>
              <w:right w:val="nil"/>
            </w:tcBorders>
            <w:vAlign w:val="bottom"/>
          </w:tcPr>
          <w:p w14:paraId="55CC70D2" w14:textId="0EC3A4C7"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(1.1)</w:t>
            </w:r>
          </w:p>
        </w:tc>
        <w:tc>
          <w:tcPr>
            <w:tcW w:w="1300" w:type="dxa"/>
            <w:tcBorders>
              <w:top w:val="nil"/>
              <w:left w:val="nil"/>
              <w:bottom w:val="nil"/>
              <w:right w:val="nil"/>
            </w:tcBorders>
            <w:vAlign w:val="bottom"/>
          </w:tcPr>
          <w:p w14:paraId="572A384D" w14:textId="7E34BA50"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(11.8)</w:t>
            </w:r>
          </w:p>
        </w:tc>
        <w:tc>
          <w:tcPr>
            <w:tcW w:w="1300" w:type="dxa"/>
            <w:tcBorders>
              <w:top w:val="nil"/>
              <w:left w:val="nil"/>
              <w:bottom w:val="nil"/>
              <w:right w:val="nil"/>
            </w:tcBorders>
            <w:shd w:val="clear" w:color="auto" w:fill="auto"/>
            <w:noWrap/>
            <w:vAlign w:val="bottom"/>
            <w:hideMark/>
          </w:tcPr>
          <w:p w14:paraId="1EA8BB4D" w14:textId="7B404D92"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(8.9)</w:t>
            </w:r>
          </w:p>
        </w:tc>
      </w:tr>
      <w:tr w:rsidR="000926A8" w:rsidRPr="00DB0706" w14:paraId="6EDA0DDF" w14:textId="77777777" w:rsidTr="000926A8">
        <w:trPr>
          <w:trHeight w:val="240"/>
          <w:jc w:val="center"/>
        </w:trPr>
        <w:tc>
          <w:tcPr>
            <w:tcW w:w="3620" w:type="dxa"/>
            <w:tcBorders>
              <w:top w:val="nil"/>
              <w:left w:val="nil"/>
              <w:bottom w:val="single" w:sz="4" w:space="0" w:color="auto"/>
              <w:right w:val="nil"/>
            </w:tcBorders>
            <w:shd w:val="clear" w:color="auto" w:fill="auto"/>
            <w:noWrap/>
            <w:vAlign w:val="bottom"/>
            <w:hideMark/>
          </w:tcPr>
          <w:p w14:paraId="4CF89328" w14:textId="77777777" w:rsidR="000926A8" w:rsidRPr="00DB0706" w:rsidRDefault="000926A8" w:rsidP="000926A8">
            <w:pPr>
              <w:rPr>
                <w:rFonts w:ascii="Arial" w:eastAsia="SimSun" w:hAnsi="Arial"/>
                <w:color w:val="000000"/>
                <w:lang w:eastAsia="zh-CN"/>
              </w:rPr>
            </w:pPr>
            <w:r w:rsidRPr="00DB0706">
              <w:rPr>
                <w:rFonts w:ascii="Arial" w:eastAsia="SimSun" w:hAnsi="Arial"/>
                <w:color w:val="000000"/>
                <w:lang w:eastAsia="zh-CN"/>
              </w:rPr>
              <w:t>Impairment of mine under construction</w:t>
            </w:r>
          </w:p>
        </w:tc>
        <w:tc>
          <w:tcPr>
            <w:tcW w:w="1300" w:type="dxa"/>
            <w:tcBorders>
              <w:top w:val="nil"/>
              <w:left w:val="nil"/>
              <w:bottom w:val="single" w:sz="4" w:space="0" w:color="auto"/>
              <w:right w:val="nil"/>
            </w:tcBorders>
            <w:vAlign w:val="bottom"/>
          </w:tcPr>
          <w:p w14:paraId="6A0D0359" w14:textId="02952F94"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N/A</w:t>
            </w:r>
          </w:p>
        </w:tc>
        <w:tc>
          <w:tcPr>
            <w:tcW w:w="1300" w:type="dxa"/>
            <w:tcBorders>
              <w:top w:val="nil"/>
              <w:left w:val="nil"/>
              <w:bottom w:val="single" w:sz="4" w:space="0" w:color="auto"/>
              <w:right w:val="nil"/>
            </w:tcBorders>
            <w:vAlign w:val="bottom"/>
          </w:tcPr>
          <w:p w14:paraId="782BEA38" w14:textId="47DC8659"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(84.3)</w:t>
            </w:r>
          </w:p>
        </w:tc>
        <w:tc>
          <w:tcPr>
            <w:tcW w:w="1300" w:type="dxa"/>
            <w:tcBorders>
              <w:top w:val="nil"/>
              <w:left w:val="nil"/>
              <w:bottom w:val="single" w:sz="4" w:space="0" w:color="auto"/>
              <w:right w:val="nil"/>
            </w:tcBorders>
            <w:shd w:val="clear" w:color="auto" w:fill="auto"/>
            <w:noWrap/>
            <w:vAlign w:val="bottom"/>
            <w:hideMark/>
          </w:tcPr>
          <w:p w14:paraId="7732388C" w14:textId="54695AAF"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N/A</w:t>
            </w:r>
          </w:p>
        </w:tc>
      </w:tr>
      <w:tr w:rsidR="000926A8" w:rsidRPr="00DB0706" w14:paraId="35C0D6AA" w14:textId="77777777" w:rsidTr="000926A8">
        <w:trPr>
          <w:trHeight w:val="240"/>
          <w:jc w:val="center"/>
        </w:trPr>
        <w:tc>
          <w:tcPr>
            <w:tcW w:w="3620" w:type="dxa"/>
            <w:tcBorders>
              <w:top w:val="nil"/>
              <w:left w:val="nil"/>
              <w:bottom w:val="single" w:sz="4" w:space="0" w:color="auto"/>
              <w:right w:val="nil"/>
            </w:tcBorders>
            <w:shd w:val="clear" w:color="auto" w:fill="auto"/>
            <w:noWrap/>
            <w:vAlign w:val="bottom"/>
            <w:hideMark/>
          </w:tcPr>
          <w:p w14:paraId="3E531FB8" w14:textId="77777777" w:rsidR="000926A8" w:rsidRPr="00DB0706" w:rsidRDefault="000926A8" w:rsidP="000926A8">
            <w:pPr>
              <w:rPr>
                <w:rFonts w:ascii="Arial" w:eastAsia="SimSun" w:hAnsi="Arial"/>
                <w:b/>
                <w:bCs/>
                <w:color w:val="000000"/>
                <w:lang w:eastAsia="zh-CN"/>
              </w:rPr>
            </w:pPr>
            <w:r w:rsidRPr="00DB0706">
              <w:rPr>
                <w:rFonts w:ascii="Arial" w:eastAsia="SimSun" w:hAnsi="Arial"/>
                <w:b/>
                <w:bCs/>
                <w:color w:val="000000"/>
                <w:lang w:eastAsia="zh-CN"/>
              </w:rPr>
              <w:t>Net Income (Loss) from Operations</w:t>
            </w:r>
          </w:p>
        </w:tc>
        <w:tc>
          <w:tcPr>
            <w:tcW w:w="1300" w:type="dxa"/>
            <w:tcBorders>
              <w:top w:val="nil"/>
              <w:left w:val="nil"/>
              <w:bottom w:val="single" w:sz="4" w:space="0" w:color="auto"/>
              <w:right w:val="nil"/>
            </w:tcBorders>
            <w:vAlign w:val="bottom"/>
          </w:tcPr>
          <w:p w14:paraId="77414552" w14:textId="304EE69B"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16.4</w:t>
            </w:r>
          </w:p>
        </w:tc>
        <w:tc>
          <w:tcPr>
            <w:tcW w:w="1300" w:type="dxa"/>
            <w:tcBorders>
              <w:top w:val="nil"/>
              <w:left w:val="nil"/>
              <w:bottom w:val="single" w:sz="4" w:space="0" w:color="auto"/>
              <w:right w:val="nil"/>
            </w:tcBorders>
            <w:vAlign w:val="bottom"/>
          </w:tcPr>
          <w:p w14:paraId="7977CBFD" w14:textId="721AE4C3"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(52.9)</w:t>
            </w:r>
          </w:p>
        </w:tc>
        <w:tc>
          <w:tcPr>
            <w:tcW w:w="1300" w:type="dxa"/>
            <w:tcBorders>
              <w:top w:val="nil"/>
              <w:left w:val="nil"/>
              <w:bottom w:val="single" w:sz="4" w:space="0" w:color="auto"/>
              <w:right w:val="nil"/>
            </w:tcBorders>
            <w:shd w:val="clear" w:color="auto" w:fill="auto"/>
            <w:noWrap/>
            <w:vAlign w:val="bottom"/>
            <w:hideMark/>
          </w:tcPr>
          <w:p w14:paraId="15F4AB7D" w14:textId="7C13251A"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(3.0)</w:t>
            </w:r>
          </w:p>
        </w:tc>
      </w:tr>
      <w:tr w:rsidR="000926A8" w:rsidRPr="00DB0706" w14:paraId="21ADA4CF" w14:textId="77777777" w:rsidTr="000926A8">
        <w:trPr>
          <w:trHeight w:val="240"/>
          <w:jc w:val="center"/>
        </w:trPr>
        <w:tc>
          <w:tcPr>
            <w:tcW w:w="3620" w:type="dxa"/>
            <w:tcBorders>
              <w:top w:val="nil"/>
              <w:left w:val="nil"/>
              <w:bottom w:val="nil"/>
              <w:right w:val="nil"/>
            </w:tcBorders>
            <w:shd w:val="clear" w:color="auto" w:fill="auto"/>
            <w:noWrap/>
            <w:vAlign w:val="bottom"/>
            <w:hideMark/>
          </w:tcPr>
          <w:p w14:paraId="41F808E8" w14:textId="77777777" w:rsidR="000926A8" w:rsidRPr="00DB0706" w:rsidRDefault="000926A8" w:rsidP="000926A8">
            <w:pPr>
              <w:rPr>
                <w:rFonts w:ascii="Arial" w:eastAsia="SimSun" w:hAnsi="Arial"/>
                <w:color w:val="000000"/>
                <w:lang w:eastAsia="zh-CN"/>
              </w:rPr>
            </w:pPr>
            <w:r w:rsidRPr="00DB0706">
              <w:rPr>
                <w:rFonts w:ascii="Arial" w:eastAsia="SimSun" w:hAnsi="Arial"/>
                <w:color w:val="000000"/>
                <w:lang w:eastAsia="zh-CN"/>
              </w:rPr>
              <w:t>Finance expenses</w:t>
            </w:r>
          </w:p>
        </w:tc>
        <w:tc>
          <w:tcPr>
            <w:tcW w:w="1300" w:type="dxa"/>
            <w:tcBorders>
              <w:top w:val="nil"/>
              <w:left w:val="nil"/>
              <w:bottom w:val="nil"/>
              <w:right w:val="nil"/>
            </w:tcBorders>
            <w:vAlign w:val="bottom"/>
          </w:tcPr>
          <w:p w14:paraId="7F85A9BE" w14:textId="5DF197BC"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(15.6)</w:t>
            </w:r>
          </w:p>
        </w:tc>
        <w:tc>
          <w:tcPr>
            <w:tcW w:w="1300" w:type="dxa"/>
            <w:tcBorders>
              <w:top w:val="nil"/>
              <w:left w:val="nil"/>
              <w:bottom w:val="nil"/>
              <w:right w:val="nil"/>
            </w:tcBorders>
            <w:vAlign w:val="bottom"/>
          </w:tcPr>
          <w:p w14:paraId="4D4B511C" w14:textId="0CC70447"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(20.2)</w:t>
            </w:r>
          </w:p>
        </w:tc>
        <w:tc>
          <w:tcPr>
            <w:tcW w:w="1300" w:type="dxa"/>
            <w:tcBorders>
              <w:top w:val="nil"/>
              <w:left w:val="nil"/>
              <w:bottom w:val="nil"/>
              <w:right w:val="nil"/>
            </w:tcBorders>
            <w:shd w:val="clear" w:color="auto" w:fill="auto"/>
            <w:noWrap/>
            <w:vAlign w:val="bottom"/>
            <w:hideMark/>
          </w:tcPr>
          <w:p w14:paraId="637A7B41" w14:textId="1C9F9909"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(45.7)</w:t>
            </w:r>
          </w:p>
        </w:tc>
      </w:tr>
      <w:tr w:rsidR="000926A8" w:rsidRPr="00DB0706" w14:paraId="746C1D3B" w14:textId="77777777" w:rsidTr="000926A8">
        <w:trPr>
          <w:trHeight w:val="240"/>
          <w:jc w:val="center"/>
        </w:trPr>
        <w:tc>
          <w:tcPr>
            <w:tcW w:w="3620" w:type="dxa"/>
            <w:tcBorders>
              <w:top w:val="nil"/>
              <w:left w:val="nil"/>
              <w:bottom w:val="nil"/>
              <w:right w:val="nil"/>
            </w:tcBorders>
            <w:shd w:val="clear" w:color="auto" w:fill="auto"/>
            <w:noWrap/>
            <w:vAlign w:val="bottom"/>
            <w:hideMark/>
          </w:tcPr>
          <w:p w14:paraId="1D984A81" w14:textId="77777777" w:rsidR="000926A8" w:rsidRPr="00DB0706" w:rsidRDefault="000926A8" w:rsidP="000926A8">
            <w:pPr>
              <w:rPr>
                <w:rFonts w:ascii="Arial" w:eastAsia="SimSun" w:hAnsi="Arial"/>
                <w:color w:val="000000"/>
                <w:lang w:eastAsia="zh-CN"/>
              </w:rPr>
            </w:pPr>
            <w:r w:rsidRPr="00DB0706">
              <w:rPr>
                <w:rFonts w:ascii="Arial" w:eastAsia="SimSun" w:hAnsi="Arial"/>
                <w:color w:val="000000"/>
                <w:lang w:eastAsia="zh-CN"/>
              </w:rPr>
              <w:t>Foreign exchange loss</w:t>
            </w:r>
          </w:p>
        </w:tc>
        <w:tc>
          <w:tcPr>
            <w:tcW w:w="1300" w:type="dxa"/>
            <w:tcBorders>
              <w:top w:val="nil"/>
              <w:left w:val="nil"/>
              <w:bottom w:val="nil"/>
              <w:right w:val="nil"/>
            </w:tcBorders>
            <w:vAlign w:val="bottom"/>
          </w:tcPr>
          <w:p w14:paraId="07123A8A" w14:textId="1856E675"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(0.4)</w:t>
            </w:r>
          </w:p>
        </w:tc>
        <w:tc>
          <w:tcPr>
            <w:tcW w:w="1300" w:type="dxa"/>
            <w:tcBorders>
              <w:top w:val="nil"/>
              <w:left w:val="nil"/>
              <w:bottom w:val="nil"/>
              <w:right w:val="nil"/>
            </w:tcBorders>
            <w:vAlign w:val="bottom"/>
          </w:tcPr>
          <w:p w14:paraId="34324007" w14:textId="49FBDFF3"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(0.0)</w:t>
            </w:r>
          </w:p>
        </w:tc>
        <w:tc>
          <w:tcPr>
            <w:tcW w:w="1300" w:type="dxa"/>
            <w:tcBorders>
              <w:top w:val="nil"/>
              <w:left w:val="nil"/>
              <w:bottom w:val="nil"/>
              <w:right w:val="nil"/>
            </w:tcBorders>
            <w:shd w:val="clear" w:color="auto" w:fill="auto"/>
            <w:noWrap/>
            <w:vAlign w:val="bottom"/>
            <w:hideMark/>
          </w:tcPr>
          <w:p w14:paraId="766EFE44" w14:textId="7997CAD2"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(1.9)</w:t>
            </w:r>
          </w:p>
        </w:tc>
      </w:tr>
      <w:tr w:rsidR="000926A8" w:rsidRPr="00DB0706" w14:paraId="42DE0D75" w14:textId="77777777" w:rsidTr="000926A8">
        <w:trPr>
          <w:trHeight w:val="240"/>
          <w:jc w:val="center"/>
        </w:trPr>
        <w:tc>
          <w:tcPr>
            <w:tcW w:w="3620" w:type="dxa"/>
            <w:tcBorders>
              <w:top w:val="nil"/>
              <w:left w:val="nil"/>
              <w:bottom w:val="single" w:sz="4" w:space="0" w:color="auto"/>
              <w:right w:val="nil"/>
            </w:tcBorders>
            <w:shd w:val="clear" w:color="auto" w:fill="auto"/>
            <w:noWrap/>
            <w:vAlign w:val="bottom"/>
            <w:hideMark/>
          </w:tcPr>
          <w:p w14:paraId="72AA68E0" w14:textId="77777777" w:rsidR="000926A8" w:rsidRPr="00DB0706" w:rsidRDefault="000926A8" w:rsidP="000926A8">
            <w:pPr>
              <w:rPr>
                <w:rFonts w:ascii="Arial" w:eastAsia="SimSun" w:hAnsi="Arial"/>
                <w:color w:val="000000"/>
                <w:lang w:eastAsia="zh-CN"/>
              </w:rPr>
            </w:pPr>
            <w:r w:rsidRPr="00DB0706">
              <w:rPr>
                <w:rFonts w:ascii="Arial" w:eastAsia="SimSun" w:hAnsi="Arial"/>
                <w:color w:val="000000"/>
                <w:lang w:eastAsia="zh-CN"/>
              </w:rPr>
              <w:t>Interest income</w:t>
            </w:r>
          </w:p>
        </w:tc>
        <w:tc>
          <w:tcPr>
            <w:tcW w:w="1300" w:type="dxa"/>
            <w:tcBorders>
              <w:top w:val="nil"/>
              <w:left w:val="nil"/>
              <w:bottom w:val="single" w:sz="4" w:space="0" w:color="auto"/>
              <w:right w:val="nil"/>
            </w:tcBorders>
            <w:vAlign w:val="bottom"/>
          </w:tcPr>
          <w:p w14:paraId="35417D06" w14:textId="58D3E434"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0.0</w:t>
            </w:r>
          </w:p>
        </w:tc>
        <w:tc>
          <w:tcPr>
            <w:tcW w:w="1300" w:type="dxa"/>
            <w:tcBorders>
              <w:top w:val="nil"/>
              <w:left w:val="nil"/>
              <w:bottom w:val="single" w:sz="4" w:space="0" w:color="auto"/>
              <w:right w:val="nil"/>
            </w:tcBorders>
            <w:vAlign w:val="bottom"/>
          </w:tcPr>
          <w:p w14:paraId="51C44902" w14:textId="5ECB440B"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0.0</w:t>
            </w:r>
          </w:p>
        </w:tc>
        <w:tc>
          <w:tcPr>
            <w:tcW w:w="1300" w:type="dxa"/>
            <w:tcBorders>
              <w:top w:val="nil"/>
              <w:left w:val="nil"/>
              <w:bottom w:val="single" w:sz="4" w:space="0" w:color="auto"/>
              <w:right w:val="nil"/>
            </w:tcBorders>
            <w:shd w:val="clear" w:color="auto" w:fill="auto"/>
            <w:noWrap/>
            <w:vAlign w:val="bottom"/>
            <w:hideMark/>
          </w:tcPr>
          <w:p w14:paraId="0E8650BD" w14:textId="5424718C"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0.0</w:t>
            </w:r>
          </w:p>
        </w:tc>
      </w:tr>
      <w:tr w:rsidR="000926A8" w:rsidRPr="00DB0706" w14:paraId="0CCFBB49" w14:textId="77777777" w:rsidTr="000926A8">
        <w:trPr>
          <w:trHeight w:val="240"/>
          <w:jc w:val="center"/>
        </w:trPr>
        <w:tc>
          <w:tcPr>
            <w:tcW w:w="3620" w:type="dxa"/>
            <w:tcBorders>
              <w:top w:val="nil"/>
              <w:left w:val="nil"/>
              <w:bottom w:val="single" w:sz="4" w:space="0" w:color="auto"/>
              <w:right w:val="nil"/>
            </w:tcBorders>
            <w:shd w:val="clear" w:color="auto" w:fill="auto"/>
            <w:noWrap/>
            <w:vAlign w:val="bottom"/>
            <w:hideMark/>
          </w:tcPr>
          <w:p w14:paraId="5BB70730" w14:textId="77777777" w:rsidR="000926A8" w:rsidRPr="00DB0706" w:rsidRDefault="000926A8" w:rsidP="000926A8">
            <w:pPr>
              <w:rPr>
                <w:rFonts w:ascii="Arial" w:eastAsia="SimSun" w:hAnsi="Arial"/>
                <w:b/>
                <w:bCs/>
                <w:color w:val="000000"/>
                <w:lang w:eastAsia="zh-CN"/>
              </w:rPr>
            </w:pPr>
            <w:r w:rsidRPr="00DB0706">
              <w:rPr>
                <w:rFonts w:ascii="Arial" w:eastAsia="SimSun" w:hAnsi="Arial"/>
                <w:b/>
                <w:bCs/>
                <w:color w:val="000000"/>
                <w:lang w:eastAsia="zh-CN"/>
              </w:rPr>
              <w:t>Net Income (Loss) Before Tax</w:t>
            </w:r>
          </w:p>
        </w:tc>
        <w:tc>
          <w:tcPr>
            <w:tcW w:w="1300" w:type="dxa"/>
            <w:tcBorders>
              <w:top w:val="nil"/>
              <w:left w:val="nil"/>
              <w:bottom w:val="single" w:sz="4" w:space="0" w:color="auto"/>
              <w:right w:val="nil"/>
            </w:tcBorders>
            <w:vAlign w:val="bottom"/>
          </w:tcPr>
          <w:p w14:paraId="6329FA0D" w14:textId="53E68697"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0.3</w:t>
            </w:r>
          </w:p>
        </w:tc>
        <w:tc>
          <w:tcPr>
            <w:tcW w:w="1300" w:type="dxa"/>
            <w:tcBorders>
              <w:top w:val="nil"/>
              <w:left w:val="nil"/>
              <w:bottom w:val="single" w:sz="4" w:space="0" w:color="auto"/>
              <w:right w:val="nil"/>
            </w:tcBorders>
            <w:vAlign w:val="bottom"/>
          </w:tcPr>
          <w:p w14:paraId="78A93329" w14:textId="36FE40E0"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(73.1)</w:t>
            </w:r>
          </w:p>
        </w:tc>
        <w:tc>
          <w:tcPr>
            <w:tcW w:w="1300" w:type="dxa"/>
            <w:tcBorders>
              <w:top w:val="nil"/>
              <w:left w:val="nil"/>
              <w:bottom w:val="single" w:sz="4" w:space="0" w:color="auto"/>
              <w:right w:val="nil"/>
            </w:tcBorders>
            <w:shd w:val="clear" w:color="auto" w:fill="auto"/>
            <w:noWrap/>
            <w:vAlign w:val="bottom"/>
            <w:hideMark/>
          </w:tcPr>
          <w:p w14:paraId="179B936F" w14:textId="46FB5345"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(50.5)</w:t>
            </w:r>
          </w:p>
        </w:tc>
      </w:tr>
      <w:tr w:rsidR="000926A8" w:rsidRPr="00DB0706" w14:paraId="479512C2" w14:textId="77777777" w:rsidTr="000926A8">
        <w:trPr>
          <w:trHeight w:val="240"/>
          <w:jc w:val="center"/>
        </w:trPr>
        <w:tc>
          <w:tcPr>
            <w:tcW w:w="3620" w:type="dxa"/>
            <w:tcBorders>
              <w:top w:val="nil"/>
              <w:left w:val="nil"/>
              <w:bottom w:val="nil"/>
              <w:right w:val="nil"/>
            </w:tcBorders>
            <w:shd w:val="clear" w:color="auto" w:fill="auto"/>
            <w:noWrap/>
            <w:vAlign w:val="bottom"/>
            <w:hideMark/>
          </w:tcPr>
          <w:p w14:paraId="185097A5" w14:textId="77777777" w:rsidR="000926A8" w:rsidRPr="00DB0706" w:rsidRDefault="000926A8" w:rsidP="000926A8">
            <w:pPr>
              <w:rPr>
                <w:rFonts w:ascii="Arial" w:eastAsia="SimSun" w:hAnsi="Arial"/>
                <w:color w:val="000000"/>
                <w:lang w:eastAsia="zh-CN"/>
              </w:rPr>
            </w:pPr>
            <w:r w:rsidRPr="00DB0706">
              <w:rPr>
                <w:rFonts w:ascii="Arial" w:eastAsia="SimSun" w:hAnsi="Arial"/>
                <w:color w:val="000000"/>
                <w:lang w:eastAsia="zh-CN"/>
              </w:rPr>
              <w:t>Income tax expense</w:t>
            </w:r>
          </w:p>
        </w:tc>
        <w:tc>
          <w:tcPr>
            <w:tcW w:w="1300" w:type="dxa"/>
            <w:tcBorders>
              <w:top w:val="nil"/>
              <w:left w:val="nil"/>
              <w:bottom w:val="nil"/>
              <w:right w:val="nil"/>
            </w:tcBorders>
            <w:vAlign w:val="bottom"/>
          </w:tcPr>
          <w:p w14:paraId="045CC8F1" w14:textId="4DC637AE"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N/A</w:t>
            </w:r>
          </w:p>
        </w:tc>
        <w:tc>
          <w:tcPr>
            <w:tcW w:w="1300" w:type="dxa"/>
            <w:tcBorders>
              <w:top w:val="nil"/>
              <w:left w:val="nil"/>
              <w:bottom w:val="nil"/>
              <w:right w:val="nil"/>
            </w:tcBorders>
            <w:vAlign w:val="bottom"/>
          </w:tcPr>
          <w:p w14:paraId="7C73534B" w14:textId="530B93E9"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(0.4)</w:t>
            </w:r>
          </w:p>
        </w:tc>
        <w:tc>
          <w:tcPr>
            <w:tcW w:w="1300" w:type="dxa"/>
            <w:tcBorders>
              <w:top w:val="nil"/>
              <w:left w:val="nil"/>
              <w:bottom w:val="nil"/>
              <w:right w:val="nil"/>
            </w:tcBorders>
            <w:shd w:val="clear" w:color="auto" w:fill="auto"/>
            <w:noWrap/>
            <w:vAlign w:val="bottom"/>
            <w:hideMark/>
          </w:tcPr>
          <w:p w14:paraId="66D64A4A" w14:textId="1AC6F4E4" w:rsidR="000926A8" w:rsidRPr="00DB0706" w:rsidRDefault="000926A8" w:rsidP="000926A8">
            <w:pPr>
              <w:jc w:val="right"/>
              <w:rPr>
                <w:rFonts w:ascii="Arial" w:eastAsia="SimSun" w:hAnsi="Arial"/>
                <w:color w:val="000000"/>
                <w:lang w:eastAsia="zh-CN"/>
              </w:rPr>
            </w:pPr>
            <w:r w:rsidRPr="00DB0706">
              <w:rPr>
                <w:rFonts w:ascii="Arial" w:eastAsia="SimSun" w:hAnsi="Arial"/>
                <w:color w:val="000000"/>
                <w:lang w:eastAsia="zh-CN"/>
              </w:rPr>
              <w:t>(0.4)</w:t>
            </w:r>
          </w:p>
        </w:tc>
      </w:tr>
      <w:tr w:rsidR="000926A8" w:rsidRPr="00DB0706" w14:paraId="6B2E08A9" w14:textId="77777777" w:rsidTr="000926A8">
        <w:trPr>
          <w:trHeight w:val="240"/>
          <w:jc w:val="center"/>
        </w:trPr>
        <w:tc>
          <w:tcPr>
            <w:tcW w:w="3620" w:type="dxa"/>
            <w:tcBorders>
              <w:top w:val="single" w:sz="4" w:space="0" w:color="auto"/>
              <w:left w:val="nil"/>
              <w:bottom w:val="single" w:sz="4" w:space="0" w:color="auto"/>
              <w:right w:val="nil"/>
            </w:tcBorders>
            <w:shd w:val="clear" w:color="auto" w:fill="auto"/>
            <w:noWrap/>
            <w:vAlign w:val="bottom"/>
            <w:hideMark/>
          </w:tcPr>
          <w:p w14:paraId="3CFD8347" w14:textId="77777777" w:rsidR="000926A8" w:rsidRPr="00DB0706" w:rsidRDefault="000926A8" w:rsidP="000926A8">
            <w:pPr>
              <w:rPr>
                <w:rFonts w:ascii="Arial" w:eastAsia="SimSun" w:hAnsi="Arial"/>
                <w:b/>
                <w:bCs/>
                <w:color w:val="000000"/>
                <w:lang w:eastAsia="zh-CN"/>
              </w:rPr>
            </w:pPr>
            <w:r w:rsidRPr="00DB0706">
              <w:rPr>
                <w:rFonts w:ascii="Arial" w:eastAsia="SimSun" w:hAnsi="Arial"/>
                <w:b/>
                <w:bCs/>
                <w:color w:val="000000"/>
                <w:lang w:eastAsia="zh-CN"/>
              </w:rPr>
              <w:t>Net Income (Loss)</w:t>
            </w:r>
          </w:p>
        </w:tc>
        <w:tc>
          <w:tcPr>
            <w:tcW w:w="1300" w:type="dxa"/>
            <w:tcBorders>
              <w:top w:val="single" w:sz="4" w:space="0" w:color="auto"/>
              <w:left w:val="nil"/>
              <w:bottom w:val="single" w:sz="4" w:space="0" w:color="auto"/>
              <w:right w:val="nil"/>
            </w:tcBorders>
            <w:vAlign w:val="bottom"/>
          </w:tcPr>
          <w:p w14:paraId="5E9BBB5C" w14:textId="4852EC78"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0.3</w:t>
            </w:r>
          </w:p>
        </w:tc>
        <w:tc>
          <w:tcPr>
            <w:tcW w:w="1300" w:type="dxa"/>
            <w:tcBorders>
              <w:top w:val="single" w:sz="4" w:space="0" w:color="auto"/>
              <w:left w:val="nil"/>
              <w:bottom w:val="single" w:sz="4" w:space="0" w:color="auto"/>
              <w:right w:val="nil"/>
            </w:tcBorders>
            <w:vAlign w:val="bottom"/>
          </w:tcPr>
          <w:p w14:paraId="5129DFD7" w14:textId="7E3636DF"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(73.5)</w:t>
            </w:r>
          </w:p>
        </w:tc>
        <w:tc>
          <w:tcPr>
            <w:tcW w:w="1300" w:type="dxa"/>
            <w:tcBorders>
              <w:top w:val="single" w:sz="4" w:space="0" w:color="auto"/>
              <w:left w:val="nil"/>
              <w:bottom w:val="single" w:sz="4" w:space="0" w:color="auto"/>
              <w:right w:val="nil"/>
            </w:tcBorders>
            <w:shd w:val="clear" w:color="auto" w:fill="auto"/>
            <w:noWrap/>
            <w:vAlign w:val="bottom"/>
            <w:hideMark/>
          </w:tcPr>
          <w:p w14:paraId="64A21CB9" w14:textId="68522F21" w:rsidR="000926A8" w:rsidRPr="00DB0706" w:rsidRDefault="000926A8" w:rsidP="000926A8">
            <w:pPr>
              <w:jc w:val="right"/>
              <w:rPr>
                <w:rFonts w:ascii="Arial" w:eastAsia="SimSun" w:hAnsi="Arial"/>
                <w:b/>
                <w:bCs/>
                <w:color w:val="000000"/>
                <w:lang w:eastAsia="zh-CN"/>
              </w:rPr>
            </w:pPr>
            <w:r w:rsidRPr="00DB0706">
              <w:rPr>
                <w:rFonts w:ascii="Arial" w:eastAsia="SimSun" w:hAnsi="Arial"/>
                <w:b/>
                <w:bCs/>
                <w:color w:val="000000"/>
                <w:lang w:eastAsia="zh-CN"/>
              </w:rPr>
              <w:t>(50.9)</w:t>
            </w:r>
          </w:p>
        </w:tc>
      </w:tr>
    </w:tbl>
    <w:p w14:paraId="600F30CE" w14:textId="77777777" w:rsidR="00DB0706" w:rsidRPr="00DB0706" w:rsidRDefault="00DB0706" w:rsidP="00DB0706">
      <w:pPr>
        <w:jc w:val="both"/>
        <w:rPr>
          <w:rFonts w:ascii="Arial" w:hAnsi="Arial" w:cs="Arial"/>
          <w:kern w:val="2"/>
          <w:sz w:val="17"/>
          <w:szCs w:val="17"/>
        </w:rPr>
      </w:pPr>
    </w:p>
    <w:p w14:paraId="41D040F4" w14:textId="63EE1775" w:rsidR="00DB0706" w:rsidRPr="000926A8" w:rsidRDefault="00DB0706" w:rsidP="00DB0706">
      <w:pPr>
        <w:pStyle w:val="Footnote"/>
        <w:rPr>
          <w:spacing w:val="-4"/>
        </w:rPr>
      </w:pPr>
      <w:r w:rsidRPr="000926A8">
        <w:rPr>
          <w:spacing w:val="-4"/>
        </w:rPr>
        <w:t>Source: Created by the case authors based on Banro Corporation</w:t>
      </w:r>
      <w:r w:rsidR="00C60E8E" w:rsidRPr="000926A8">
        <w:rPr>
          <w:spacing w:val="-4"/>
        </w:rPr>
        <w:t>,</w:t>
      </w:r>
      <w:r w:rsidRPr="000926A8">
        <w:rPr>
          <w:spacing w:val="-4"/>
        </w:rPr>
        <w:t xml:space="preserve"> </w:t>
      </w:r>
      <w:r w:rsidR="00C60E8E" w:rsidRPr="000926A8">
        <w:rPr>
          <w:i/>
          <w:spacing w:val="-4"/>
        </w:rPr>
        <w:t xml:space="preserve">Banro: </w:t>
      </w:r>
      <w:r w:rsidRPr="000926A8">
        <w:rPr>
          <w:i/>
          <w:spacing w:val="-4"/>
        </w:rPr>
        <w:t>Annual Report 2016</w:t>
      </w:r>
      <w:r w:rsidRPr="000926A8">
        <w:rPr>
          <w:spacing w:val="-4"/>
        </w:rPr>
        <w:t xml:space="preserve">, </w:t>
      </w:r>
      <w:r w:rsidR="00C60E8E" w:rsidRPr="000926A8">
        <w:rPr>
          <w:spacing w:val="-4"/>
        </w:rPr>
        <w:t xml:space="preserve">131, </w:t>
      </w:r>
      <w:r w:rsidRPr="000926A8">
        <w:rPr>
          <w:spacing w:val="-4"/>
        </w:rPr>
        <w:t>accessed May 10, 2017, www.sedar.com/GetFile.do?lang=EN&amp;docClass=2&amp;issuerNo=00002878&amp;issuerType=03&amp;projectNo=02607555&amp;docId=4085742.</w:t>
      </w:r>
    </w:p>
    <w:p w14:paraId="6D589C9E" w14:textId="77777777" w:rsidR="00DB0706" w:rsidRDefault="00DB0706" w:rsidP="00DB0706">
      <w:pPr>
        <w:pStyle w:val="BodyTextMain"/>
      </w:pPr>
    </w:p>
    <w:p w14:paraId="7B7D3A47" w14:textId="77777777" w:rsidR="00DB0706" w:rsidRDefault="00DB0706" w:rsidP="00DB0706">
      <w:pPr>
        <w:pStyle w:val="BodyTextMain"/>
      </w:pPr>
    </w:p>
    <w:p w14:paraId="0E31B0C1" w14:textId="77777777" w:rsidR="00DB0706" w:rsidRDefault="00DB0706">
      <w:pPr>
        <w:spacing w:after="200" w:line="276" w:lineRule="auto"/>
        <w:rPr>
          <w:rFonts w:ascii="Arial" w:hAnsi="Arial" w:cs="Arial"/>
          <w:b/>
          <w:caps/>
          <w:kern w:val="2"/>
          <w:lang w:val="en-GB"/>
        </w:rPr>
      </w:pPr>
      <w:r>
        <w:rPr>
          <w:rFonts w:ascii="Arial" w:hAnsi="Arial" w:cs="Arial"/>
          <w:b/>
          <w:caps/>
          <w:kern w:val="2"/>
          <w:lang w:val="en-GB"/>
        </w:rPr>
        <w:br w:type="page"/>
      </w:r>
    </w:p>
    <w:p w14:paraId="23569270" w14:textId="4006C510" w:rsidR="00DB0706" w:rsidRPr="00DB0706" w:rsidRDefault="00DB0706" w:rsidP="00DB0706">
      <w:pPr>
        <w:jc w:val="center"/>
        <w:outlineLvl w:val="0"/>
        <w:rPr>
          <w:rFonts w:ascii="Arial" w:hAnsi="Arial" w:cs="Arial"/>
          <w:b/>
          <w:caps/>
          <w:kern w:val="2"/>
          <w:lang w:val="en-GB"/>
        </w:rPr>
      </w:pPr>
      <w:r w:rsidRPr="00DB0706">
        <w:rPr>
          <w:rFonts w:ascii="Arial" w:hAnsi="Arial" w:cs="Arial"/>
          <w:b/>
          <w:caps/>
          <w:kern w:val="2"/>
          <w:lang w:val="en-GB"/>
        </w:rPr>
        <w:lastRenderedPageBreak/>
        <w:t xml:space="preserve">Exhibit 5: BANRO CORPORATION CONSOLIDATED STATEMENT OF CASH FLOWS </w:t>
      </w:r>
    </w:p>
    <w:p w14:paraId="4B3CA09D" w14:textId="5EC2BD52" w:rsidR="00DB0706" w:rsidRPr="00DB0706" w:rsidRDefault="00DB0706" w:rsidP="00DB0706">
      <w:pPr>
        <w:jc w:val="center"/>
        <w:outlineLvl w:val="0"/>
        <w:rPr>
          <w:rFonts w:ascii="Arial" w:hAnsi="Arial" w:cs="Arial"/>
          <w:b/>
          <w:caps/>
          <w:kern w:val="2"/>
          <w:lang w:val="en-GB" w:eastAsia="zh-CN"/>
        </w:rPr>
      </w:pPr>
      <w:r w:rsidRPr="00DB0706">
        <w:rPr>
          <w:rFonts w:ascii="Arial" w:hAnsi="Arial" w:cs="Arial"/>
          <w:b/>
          <w:caps/>
          <w:kern w:val="2"/>
          <w:lang w:val="en-GB"/>
        </w:rPr>
        <w:t>AT DECEMBER 31, 2014</w:t>
      </w:r>
      <w:r w:rsidR="00C60E8E">
        <w:rPr>
          <w:rFonts w:ascii="Arial" w:hAnsi="Arial" w:cs="Arial"/>
          <w:b/>
          <w:caps/>
          <w:kern w:val="2"/>
          <w:lang w:val="en-GB"/>
        </w:rPr>
        <w:t>–</w:t>
      </w:r>
      <w:r w:rsidRPr="00DB0706">
        <w:rPr>
          <w:rFonts w:ascii="Arial" w:hAnsi="Arial" w:cs="Arial"/>
          <w:b/>
          <w:caps/>
          <w:kern w:val="2"/>
          <w:lang w:val="en-GB"/>
        </w:rPr>
        <w:t>2016 (US$ MILLION)</w:t>
      </w:r>
    </w:p>
    <w:p w14:paraId="6FEA7D46" w14:textId="77777777" w:rsidR="00DB0706" w:rsidRPr="00DB0706" w:rsidRDefault="00DB0706" w:rsidP="00DB0706">
      <w:pPr>
        <w:jc w:val="both"/>
        <w:rPr>
          <w:rFonts w:ascii="Arial" w:hAnsi="Arial" w:cs="Arial"/>
          <w:kern w:val="2"/>
          <w:sz w:val="17"/>
          <w:szCs w:val="17"/>
        </w:rPr>
      </w:pPr>
    </w:p>
    <w:tbl>
      <w:tblPr>
        <w:tblW w:w="8440" w:type="dxa"/>
        <w:jc w:val="center"/>
        <w:tblLook w:val="04A0" w:firstRow="1" w:lastRow="0" w:firstColumn="1" w:lastColumn="0" w:noHBand="0" w:noVBand="1"/>
      </w:tblPr>
      <w:tblGrid>
        <w:gridCol w:w="6100"/>
        <w:gridCol w:w="780"/>
        <w:gridCol w:w="780"/>
        <w:gridCol w:w="780"/>
      </w:tblGrid>
      <w:tr w:rsidR="000926A8" w:rsidRPr="00DB0706" w14:paraId="1BC5D947" w14:textId="77777777" w:rsidTr="000926A8">
        <w:trPr>
          <w:trHeight w:val="240"/>
          <w:jc w:val="center"/>
        </w:trPr>
        <w:tc>
          <w:tcPr>
            <w:tcW w:w="6100" w:type="dxa"/>
            <w:tcBorders>
              <w:top w:val="single" w:sz="4" w:space="0" w:color="auto"/>
              <w:left w:val="nil"/>
              <w:bottom w:val="nil"/>
              <w:right w:val="nil"/>
            </w:tcBorders>
            <w:shd w:val="clear" w:color="auto" w:fill="auto"/>
            <w:noWrap/>
            <w:vAlign w:val="bottom"/>
            <w:hideMark/>
          </w:tcPr>
          <w:p w14:paraId="11D4E942" w14:textId="77777777" w:rsidR="000926A8" w:rsidRPr="00DB0706" w:rsidRDefault="000926A8" w:rsidP="000926A8">
            <w:pPr>
              <w:pStyle w:val="ExhibitText"/>
              <w:rPr>
                <w:rFonts w:eastAsia="SimSun"/>
                <w:lang w:eastAsia="zh-CN"/>
              </w:rPr>
            </w:pPr>
            <w:r w:rsidRPr="00DB0706">
              <w:rPr>
                <w:rFonts w:eastAsia="SimSun"/>
                <w:lang w:eastAsia="zh-CN"/>
              </w:rPr>
              <w:t xml:space="preserve">　</w:t>
            </w:r>
          </w:p>
        </w:tc>
        <w:tc>
          <w:tcPr>
            <w:tcW w:w="780" w:type="dxa"/>
            <w:tcBorders>
              <w:top w:val="single" w:sz="4" w:space="0" w:color="auto"/>
              <w:left w:val="nil"/>
              <w:bottom w:val="single" w:sz="4" w:space="0" w:color="auto"/>
              <w:right w:val="nil"/>
            </w:tcBorders>
            <w:vAlign w:val="bottom"/>
          </w:tcPr>
          <w:p w14:paraId="73918F8A" w14:textId="24A2B00D" w:rsidR="000926A8" w:rsidRPr="00DB0706" w:rsidRDefault="000926A8" w:rsidP="000926A8">
            <w:pPr>
              <w:pStyle w:val="ExhibitText"/>
              <w:rPr>
                <w:rFonts w:eastAsia="SimSun"/>
                <w:b/>
                <w:lang w:eastAsia="zh-CN"/>
              </w:rPr>
            </w:pPr>
            <w:r w:rsidRPr="00DB0706">
              <w:rPr>
                <w:rFonts w:eastAsia="SimSun"/>
                <w:b/>
                <w:lang w:eastAsia="zh-CN"/>
              </w:rPr>
              <w:t>2014</w:t>
            </w:r>
          </w:p>
        </w:tc>
        <w:tc>
          <w:tcPr>
            <w:tcW w:w="780" w:type="dxa"/>
            <w:tcBorders>
              <w:top w:val="single" w:sz="4" w:space="0" w:color="auto"/>
              <w:left w:val="nil"/>
              <w:bottom w:val="single" w:sz="4" w:space="0" w:color="auto"/>
              <w:right w:val="nil"/>
            </w:tcBorders>
            <w:vAlign w:val="bottom"/>
          </w:tcPr>
          <w:p w14:paraId="751D0B6A" w14:textId="65AEE9CB" w:rsidR="000926A8" w:rsidRPr="00DB0706" w:rsidRDefault="000926A8" w:rsidP="000926A8">
            <w:pPr>
              <w:pStyle w:val="ExhibitText"/>
              <w:rPr>
                <w:rFonts w:eastAsia="SimSun"/>
                <w:b/>
                <w:lang w:eastAsia="zh-CN"/>
              </w:rPr>
            </w:pPr>
            <w:r w:rsidRPr="00DB0706">
              <w:rPr>
                <w:rFonts w:eastAsia="SimSun"/>
                <w:b/>
                <w:lang w:eastAsia="zh-CN"/>
              </w:rPr>
              <w:t>2015</w:t>
            </w:r>
          </w:p>
        </w:tc>
        <w:tc>
          <w:tcPr>
            <w:tcW w:w="780" w:type="dxa"/>
            <w:tcBorders>
              <w:top w:val="single" w:sz="4" w:space="0" w:color="auto"/>
              <w:left w:val="nil"/>
              <w:bottom w:val="single" w:sz="4" w:space="0" w:color="auto"/>
              <w:right w:val="nil"/>
            </w:tcBorders>
            <w:shd w:val="clear" w:color="auto" w:fill="auto"/>
            <w:noWrap/>
            <w:vAlign w:val="bottom"/>
            <w:hideMark/>
          </w:tcPr>
          <w:p w14:paraId="30054226" w14:textId="3578CEE3" w:rsidR="000926A8" w:rsidRPr="00DB0706" w:rsidRDefault="000926A8" w:rsidP="000926A8">
            <w:pPr>
              <w:pStyle w:val="ExhibitText"/>
              <w:rPr>
                <w:rFonts w:eastAsia="SimSun"/>
                <w:b/>
                <w:lang w:eastAsia="zh-CN"/>
              </w:rPr>
            </w:pPr>
            <w:r w:rsidRPr="00DB0706">
              <w:rPr>
                <w:rFonts w:eastAsia="SimSun"/>
                <w:b/>
                <w:lang w:eastAsia="zh-CN"/>
              </w:rPr>
              <w:t>2016</w:t>
            </w:r>
          </w:p>
        </w:tc>
      </w:tr>
      <w:tr w:rsidR="000926A8" w:rsidRPr="00DB0706" w14:paraId="4CC41043"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102D4573" w14:textId="77777777" w:rsidR="000926A8" w:rsidRPr="00DB0706" w:rsidRDefault="000926A8" w:rsidP="000926A8">
            <w:pPr>
              <w:pStyle w:val="ExhibitText"/>
              <w:rPr>
                <w:rFonts w:eastAsia="SimSun"/>
                <w:b/>
                <w:bCs/>
                <w:lang w:eastAsia="zh-CN"/>
              </w:rPr>
            </w:pPr>
            <w:r w:rsidRPr="00DB0706">
              <w:rPr>
                <w:rFonts w:eastAsia="SimSun"/>
                <w:b/>
                <w:bCs/>
                <w:lang w:eastAsia="zh-CN"/>
              </w:rPr>
              <w:t>Cash Flows from Operating Activities</w:t>
            </w:r>
          </w:p>
        </w:tc>
        <w:tc>
          <w:tcPr>
            <w:tcW w:w="780" w:type="dxa"/>
            <w:tcBorders>
              <w:top w:val="nil"/>
              <w:left w:val="nil"/>
              <w:bottom w:val="nil"/>
              <w:right w:val="nil"/>
            </w:tcBorders>
            <w:vAlign w:val="bottom"/>
          </w:tcPr>
          <w:p w14:paraId="5A681907" w14:textId="77777777" w:rsidR="000926A8" w:rsidRPr="00DB0706" w:rsidRDefault="000926A8" w:rsidP="000926A8">
            <w:pPr>
              <w:pStyle w:val="ExhibitText"/>
              <w:rPr>
                <w:rFonts w:eastAsia="SimSun"/>
                <w:lang w:eastAsia="zh-CN"/>
              </w:rPr>
            </w:pPr>
          </w:p>
        </w:tc>
        <w:tc>
          <w:tcPr>
            <w:tcW w:w="780" w:type="dxa"/>
            <w:tcBorders>
              <w:top w:val="nil"/>
              <w:left w:val="nil"/>
              <w:bottom w:val="nil"/>
              <w:right w:val="nil"/>
            </w:tcBorders>
            <w:vAlign w:val="bottom"/>
          </w:tcPr>
          <w:p w14:paraId="54EE7997" w14:textId="77777777" w:rsidR="000926A8" w:rsidRPr="00DB0706" w:rsidRDefault="000926A8" w:rsidP="000926A8">
            <w:pPr>
              <w:pStyle w:val="ExhibitText"/>
              <w:rPr>
                <w:rFonts w:eastAsia="SimSun"/>
                <w:lang w:eastAsia="zh-CN"/>
              </w:rPr>
            </w:pPr>
          </w:p>
        </w:tc>
        <w:tc>
          <w:tcPr>
            <w:tcW w:w="780" w:type="dxa"/>
            <w:tcBorders>
              <w:top w:val="nil"/>
              <w:left w:val="nil"/>
              <w:bottom w:val="nil"/>
              <w:right w:val="nil"/>
            </w:tcBorders>
            <w:shd w:val="clear" w:color="auto" w:fill="auto"/>
            <w:noWrap/>
            <w:vAlign w:val="bottom"/>
            <w:hideMark/>
          </w:tcPr>
          <w:p w14:paraId="33CE104A" w14:textId="4EFA1AE3" w:rsidR="000926A8" w:rsidRPr="00DB0706" w:rsidRDefault="000926A8" w:rsidP="000926A8">
            <w:pPr>
              <w:pStyle w:val="ExhibitText"/>
              <w:rPr>
                <w:rFonts w:eastAsia="SimSun"/>
                <w:lang w:eastAsia="zh-CN"/>
              </w:rPr>
            </w:pPr>
          </w:p>
        </w:tc>
      </w:tr>
      <w:tr w:rsidR="000926A8" w:rsidRPr="00DB0706" w14:paraId="18F32453"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18B0CABC" w14:textId="77777777" w:rsidR="000926A8" w:rsidRPr="00DB0706" w:rsidRDefault="000926A8" w:rsidP="000926A8">
            <w:pPr>
              <w:pStyle w:val="ExhibitText"/>
              <w:rPr>
                <w:rFonts w:eastAsia="SimSun"/>
                <w:lang w:eastAsia="zh-CN"/>
              </w:rPr>
            </w:pPr>
            <w:r w:rsidRPr="00DB0706">
              <w:rPr>
                <w:rFonts w:eastAsia="SimSun"/>
                <w:lang w:eastAsia="zh-CN"/>
              </w:rPr>
              <w:t>Net income (loss) after tax</w:t>
            </w:r>
          </w:p>
        </w:tc>
        <w:tc>
          <w:tcPr>
            <w:tcW w:w="780" w:type="dxa"/>
            <w:tcBorders>
              <w:top w:val="nil"/>
              <w:left w:val="nil"/>
              <w:bottom w:val="nil"/>
              <w:right w:val="nil"/>
            </w:tcBorders>
            <w:vAlign w:val="bottom"/>
          </w:tcPr>
          <w:p w14:paraId="7BE45720" w14:textId="1048BB5E" w:rsidR="000926A8" w:rsidRPr="00DB0706" w:rsidRDefault="000926A8" w:rsidP="000926A8">
            <w:pPr>
              <w:pStyle w:val="ExhibitText"/>
              <w:jc w:val="right"/>
              <w:rPr>
                <w:rFonts w:eastAsia="SimSun"/>
                <w:lang w:eastAsia="zh-CN"/>
              </w:rPr>
            </w:pPr>
            <w:r w:rsidRPr="00DB0706">
              <w:rPr>
                <w:rFonts w:eastAsia="SimSun"/>
                <w:lang w:eastAsia="zh-CN"/>
              </w:rPr>
              <w:t xml:space="preserve">0.3 </w:t>
            </w:r>
          </w:p>
        </w:tc>
        <w:tc>
          <w:tcPr>
            <w:tcW w:w="780" w:type="dxa"/>
            <w:tcBorders>
              <w:top w:val="nil"/>
              <w:left w:val="nil"/>
              <w:bottom w:val="nil"/>
              <w:right w:val="nil"/>
            </w:tcBorders>
            <w:vAlign w:val="bottom"/>
          </w:tcPr>
          <w:p w14:paraId="44A12455" w14:textId="024BF228" w:rsidR="000926A8" w:rsidRPr="00DB0706" w:rsidRDefault="000926A8" w:rsidP="000926A8">
            <w:pPr>
              <w:pStyle w:val="ExhibitText"/>
              <w:jc w:val="right"/>
              <w:rPr>
                <w:rFonts w:eastAsia="SimSun"/>
                <w:lang w:eastAsia="zh-CN"/>
              </w:rPr>
            </w:pPr>
            <w:r w:rsidRPr="00DB0706">
              <w:rPr>
                <w:rFonts w:eastAsia="SimSun"/>
                <w:lang w:eastAsia="zh-CN"/>
              </w:rPr>
              <w:t>(73.5)</w:t>
            </w:r>
          </w:p>
        </w:tc>
        <w:tc>
          <w:tcPr>
            <w:tcW w:w="780" w:type="dxa"/>
            <w:tcBorders>
              <w:top w:val="nil"/>
              <w:left w:val="nil"/>
              <w:bottom w:val="nil"/>
              <w:right w:val="nil"/>
            </w:tcBorders>
            <w:shd w:val="clear" w:color="auto" w:fill="auto"/>
            <w:noWrap/>
            <w:vAlign w:val="bottom"/>
            <w:hideMark/>
          </w:tcPr>
          <w:p w14:paraId="515E5374" w14:textId="7C33A28F" w:rsidR="000926A8" w:rsidRPr="00DB0706" w:rsidRDefault="000926A8" w:rsidP="000926A8">
            <w:pPr>
              <w:pStyle w:val="ExhibitText"/>
              <w:jc w:val="right"/>
              <w:rPr>
                <w:rFonts w:eastAsia="SimSun"/>
                <w:lang w:eastAsia="zh-CN"/>
              </w:rPr>
            </w:pPr>
            <w:r w:rsidRPr="00DB0706">
              <w:rPr>
                <w:rFonts w:eastAsia="SimSun"/>
                <w:lang w:eastAsia="zh-CN"/>
              </w:rPr>
              <w:t>(50.9)</w:t>
            </w:r>
          </w:p>
        </w:tc>
      </w:tr>
      <w:tr w:rsidR="000926A8" w:rsidRPr="00DB0706" w14:paraId="6F4B0A3C"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42C5366E" w14:textId="77777777" w:rsidR="000926A8" w:rsidRPr="00DB0706" w:rsidRDefault="000926A8" w:rsidP="000926A8">
            <w:pPr>
              <w:pStyle w:val="ExhibitText"/>
              <w:rPr>
                <w:rFonts w:eastAsia="SimSun"/>
                <w:lang w:eastAsia="zh-CN"/>
              </w:rPr>
            </w:pPr>
            <w:r w:rsidRPr="00DB0706">
              <w:rPr>
                <w:rFonts w:eastAsia="SimSun"/>
                <w:lang w:eastAsia="zh-CN"/>
              </w:rPr>
              <w:t>Adjustments for impairment of mine under construction</w:t>
            </w:r>
          </w:p>
        </w:tc>
        <w:tc>
          <w:tcPr>
            <w:tcW w:w="780" w:type="dxa"/>
            <w:tcBorders>
              <w:top w:val="nil"/>
              <w:left w:val="nil"/>
              <w:bottom w:val="nil"/>
              <w:right w:val="nil"/>
            </w:tcBorders>
            <w:vAlign w:val="bottom"/>
          </w:tcPr>
          <w:p w14:paraId="567419C4" w14:textId="5148B40E" w:rsidR="000926A8" w:rsidRPr="00DB0706" w:rsidRDefault="000926A8" w:rsidP="000926A8">
            <w:pPr>
              <w:pStyle w:val="ExhibitText"/>
              <w:jc w:val="right"/>
              <w:rPr>
                <w:rFonts w:eastAsia="SimSun"/>
                <w:lang w:eastAsia="zh-CN"/>
              </w:rPr>
            </w:pPr>
            <w:r w:rsidRPr="00DB0706">
              <w:rPr>
                <w:rFonts w:eastAsia="SimSun"/>
                <w:lang w:eastAsia="zh-CN"/>
              </w:rPr>
              <w:t>N/A</w:t>
            </w:r>
          </w:p>
        </w:tc>
        <w:tc>
          <w:tcPr>
            <w:tcW w:w="780" w:type="dxa"/>
            <w:tcBorders>
              <w:top w:val="nil"/>
              <w:left w:val="nil"/>
              <w:bottom w:val="nil"/>
              <w:right w:val="nil"/>
            </w:tcBorders>
            <w:vAlign w:val="bottom"/>
          </w:tcPr>
          <w:p w14:paraId="738C80A3" w14:textId="3695A11A" w:rsidR="000926A8" w:rsidRPr="00DB0706" w:rsidRDefault="000926A8" w:rsidP="000926A8">
            <w:pPr>
              <w:pStyle w:val="ExhibitText"/>
              <w:jc w:val="right"/>
              <w:rPr>
                <w:rFonts w:eastAsia="SimSun"/>
                <w:lang w:eastAsia="zh-CN"/>
              </w:rPr>
            </w:pPr>
            <w:r w:rsidRPr="00DB0706">
              <w:rPr>
                <w:rFonts w:eastAsia="SimSun"/>
                <w:lang w:eastAsia="zh-CN"/>
              </w:rPr>
              <w:t xml:space="preserve">84.3 </w:t>
            </w:r>
          </w:p>
        </w:tc>
        <w:tc>
          <w:tcPr>
            <w:tcW w:w="780" w:type="dxa"/>
            <w:tcBorders>
              <w:top w:val="nil"/>
              <w:left w:val="nil"/>
              <w:bottom w:val="nil"/>
              <w:right w:val="nil"/>
            </w:tcBorders>
            <w:shd w:val="clear" w:color="auto" w:fill="auto"/>
            <w:noWrap/>
            <w:vAlign w:val="bottom"/>
            <w:hideMark/>
          </w:tcPr>
          <w:p w14:paraId="22C5EF3B" w14:textId="129162FD" w:rsidR="000926A8" w:rsidRPr="00DB0706" w:rsidRDefault="000926A8" w:rsidP="000926A8">
            <w:pPr>
              <w:pStyle w:val="ExhibitText"/>
              <w:jc w:val="right"/>
              <w:rPr>
                <w:rFonts w:eastAsia="SimSun"/>
                <w:lang w:eastAsia="zh-CN"/>
              </w:rPr>
            </w:pPr>
            <w:r w:rsidRPr="00DB0706">
              <w:rPr>
                <w:rFonts w:eastAsia="SimSun"/>
                <w:lang w:eastAsia="zh-CN"/>
              </w:rPr>
              <w:t>N/A</w:t>
            </w:r>
          </w:p>
        </w:tc>
      </w:tr>
      <w:tr w:rsidR="000926A8" w:rsidRPr="00DB0706" w14:paraId="1FFEAED5"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2CD4828E" w14:textId="77777777" w:rsidR="000926A8" w:rsidRPr="00DB0706" w:rsidRDefault="000926A8" w:rsidP="000926A8">
            <w:pPr>
              <w:pStyle w:val="ExhibitText"/>
              <w:rPr>
                <w:rFonts w:eastAsia="SimSun"/>
                <w:lang w:eastAsia="zh-CN"/>
              </w:rPr>
            </w:pPr>
            <w:r w:rsidRPr="00DB0706">
              <w:rPr>
                <w:rFonts w:eastAsia="SimSun"/>
                <w:lang w:eastAsia="zh-CN"/>
              </w:rPr>
              <w:t>Other adjustments</w:t>
            </w:r>
          </w:p>
        </w:tc>
        <w:tc>
          <w:tcPr>
            <w:tcW w:w="780" w:type="dxa"/>
            <w:tcBorders>
              <w:top w:val="nil"/>
              <w:left w:val="nil"/>
              <w:bottom w:val="nil"/>
              <w:right w:val="nil"/>
            </w:tcBorders>
            <w:vAlign w:val="bottom"/>
          </w:tcPr>
          <w:p w14:paraId="7F54E3B0" w14:textId="6D304BAF" w:rsidR="000926A8" w:rsidRPr="00DB0706" w:rsidRDefault="000926A8" w:rsidP="000926A8">
            <w:pPr>
              <w:pStyle w:val="ExhibitText"/>
              <w:jc w:val="right"/>
              <w:rPr>
                <w:rFonts w:eastAsia="SimSun"/>
                <w:lang w:eastAsia="zh-CN"/>
              </w:rPr>
            </w:pPr>
            <w:r w:rsidRPr="00DB0706">
              <w:rPr>
                <w:rFonts w:eastAsia="SimSun"/>
                <w:lang w:eastAsia="zh-CN"/>
              </w:rPr>
              <w:t xml:space="preserve">27.4 </w:t>
            </w:r>
          </w:p>
        </w:tc>
        <w:tc>
          <w:tcPr>
            <w:tcW w:w="780" w:type="dxa"/>
            <w:tcBorders>
              <w:top w:val="nil"/>
              <w:left w:val="nil"/>
              <w:bottom w:val="nil"/>
              <w:right w:val="nil"/>
            </w:tcBorders>
            <w:vAlign w:val="bottom"/>
          </w:tcPr>
          <w:p w14:paraId="77E8084F" w14:textId="2552419C" w:rsidR="000926A8" w:rsidRPr="00DB0706" w:rsidRDefault="000926A8" w:rsidP="000926A8">
            <w:pPr>
              <w:pStyle w:val="ExhibitText"/>
              <w:jc w:val="right"/>
              <w:rPr>
                <w:rFonts w:eastAsia="SimSun"/>
                <w:lang w:eastAsia="zh-CN"/>
              </w:rPr>
            </w:pPr>
            <w:r w:rsidRPr="00DB0706">
              <w:rPr>
                <w:rFonts w:eastAsia="SimSun"/>
                <w:lang w:eastAsia="zh-CN"/>
              </w:rPr>
              <w:t xml:space="preserve">37.8 </w:t>
            </w:r>
          </w:p>
        </w:tc>
        <w:tc>
          <w:tcPr>
            <w:tcW w:w="780" w:type="dxa"/>
            <w:tcBorders>
              <w:top w:val="nil"/>
              <w:left w:val="nil"/>
              <w:bottom w:val="nil"/>
              <w:right w:val="nil"/>
            </w:tcBorders>
            <w:shd w:val="clear" w:color="auto" w:fill="auto"/>
            <w:noWrap/>
            <w:vAlign w:val="bottom"/>
            <w:hideMark/>
          </w:tcPr>
          <w:p w14:paraId="6FA144A5" w14:textId="094F2B7E" w:rsidR="000926A8" w:rsidRPr="00DB0706" w:rsidRDefault="000926A8" w:rsidP="000926A8">
            <w:pPr>
              <w:pStyle w:val="ExhibitText"/>
              <w:jc w:val="right"/>
              <w:rPr>
                <w:rFonts w:eastAsia="SimSun"/>
                <w:lang w:eastAsia="zh-CN"/>
              </w:rPr>
            </w:pPr>
            <w:r w:rsidRPr="00DB0706">
              <w:rPr>
                <w:rFonts w:eastAsia="SimSun"/>
                <w:lang w:eastAsia="zh-CN"/>
              </w:rPr>
              <w:t xml:space="preserve">88.4 </w:t>
            </w:r>
          </w:p>
        </w:tc>
      </w:tr>
      <w:tr w:rsidR="000926A8" w:rsidRPr="00DB0706" w14:paraId="58A8887B"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0885E172" w14:textId="77777777" w:rsidR="000926A8" w:rsidRPr="00DB0706" w:rsidRDefault="000926A8" w:rsidP="000926A8">
            <w:pPr>
              <w:pStyle w:val="ExhibitText"/>
              <w:rPr>
                <w:rFonts w:eastAsia="SimSun"/>
                <w:lang w:eastAsia="zh-CN"/>
              </w:rPr>
            </w:pPr>
            <w:r w:rsidRPr="00DB0706">
              <w:rPr>
                <w:rFonts w:eastAsia="SimSun"/>
                <w:lang w:eastAsia="zh-CN"/>
              </w:rPr>
              <w:t>Interest paid</w:t>
            </w:r>
          </w:p>
        </w:tc>
        <w:tc>
          <w:tcPr>
            <w:tcW w:w="780" w:type="dxa"/>
            <w:tcBorders>
              <w:top w:val="nil"/>
              <w:left w:val="nil"/>
              <w:bottom w:val="nil"/>
              <w:right w:val="nil"/>
            </w:tcBorders>
            <w:vAlign w:val="bottom"/>
          </w:tcPr>
          <w:p w14:paraId="54EE3A07" w14:textId="70D4672A" w:rsidR="000926A8" w:rsidRPr="00DB0706" w:rsidRDefault="000926A8" w:rsidP="000926A8">
            <w:pPr>
              <w:pStyle w:val="ExhibitText"/>
              <w:jc w:val="right"/>
              <w:rPr>
                <w:rFonts w:eastAsia="SimSun"/>
                <w:lang w:eastAsia="zh-CN"/>
              </w:rPr>
            </w:pPr>
            <w:r w:rsidRPr="00DB0706">
              <w:rPr>
                <w:rFonts w:eastAsia="SimSun"/>
                <w:lang w:eastAsia="zh-CN"/>
              </w:rPr>
              <w:t>(4.7)</w:t>
            </w:r>
          </w:p>
        </w:tc>
        <w:tc>
          <w:tcPr>
            <w:tcW w:w="780" w:type="dxa"/>
            <w:tcBorders>
              <w:top w:val="nil"/>
              <w:left w:val="nil"/>
              <w:bottom w:val="nil"/>
              <w:right w:val="nil"/>
            </w:tcBorders>
            <w:vAlign w:val="bottom"/>
          </w:tcPr>
          <w:p w14:paraId="0A60A016" w14:textId="5FABBC03" w:rsidR="000926A8" w:rsidRPr="00DB0706" w:rsidRDefault="000926A8" w:rsidP="000926A8">
            <w:pPr>
              <w:pStyle w:val="ExhibitText"/>
              <w:jc w:val="right"/>
              <w:rPr>
                <w:rFonts w:eastAsia="SimSun"/>
                <w:lang w:eastAsia="zh-CN"/>
              </w:rPr>
            </w:pPr>
            <w:r w:rsidRPr="00DB0706">
              <w:rPr>
                <w:rFonts w:eastAsia="SimSun"/>
                <w:lang w:eastAsia="zh-CN"/>
              </w:rPr>
              <w:t>(4.6)</w:t>
            </w:r>
          </w:p>
        </w:tc>
        <w:tc>
          <w:tcPr>
            <w:tcW w:w="780" w:type="dxa"/>
            <w:tcBorders>
              <w:top w:val="nil"/>
              <w:left w:val="nil"/>
              <w:bottom w:val="nil"/>
              <w:right w:val="nil"/>
            </w:tcBorders>
            <w:shd w:val="clear" w:color="auto" w:fill="auto"/>
            <w:noWrap/>
            <w:vAlign w:val="bottom"/>
            <w:hideMark/>
          </w:tcPr>
          <w:p w14:paraId="13269182" w14:textId="7B369CB2" w:rsidR="000926A8" w:rsidRPr="00DB0706" w:rsidRDefault="000926A8" w:rsidP="000926A8">
            <w:pPr>
              <w:pStyle w:val="ExhibitText"/>
              <w:jc w:val="right"/>
              <w:rPr>
                <w:rFonts w:eastAsia="SimSun"/>
                <w:lang w:eastAsia="zh-CN"/>
              </w:rPr>
            </w:pPr>
            <w:r w:rsidRPr="00DB0706">
              <w:rPr>
                <w:rFonts w:eastAsia="SimSun"/>
                <w:lang w:eastAsia="zh-CN"/>
              </w:rPr>
              <w:t>(18.7)</w:t>
            </w:r>
          </w:p>
        </w:tc>
      </w:tr>
      <w:tr w:rsidR="000926A8" w:rsidRPr="00DB0706" w14:paraId="696152D8"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5488C01B" w14:textId="77777777" w:rsidR="000926A8" w:rsidRPr="00DB0706" w:rsidRDefault="000926A8" w:rsidP="000926A8">
            <w:pPr>
              <w:pStyle w:val="ExhibitText"/>
              <w:rPr>
                <w:rFonts w:eastAsia="SimSun"/>
                <w:lang w:eastAsia="zh-CN"/>
              </w:rPr>
            </w:pPr>
            <w:r w:rsidRPr="00DB0706">
              <w:rPr>
                <w:rFonts w:eastAsia="SimSun"/>
                <w:lang w:eastAsia="zh-CN"/>
              </w:rPr>
              <w:t>Others</w:t>
            </w:r>
          </w:p>
        </w:tc>
        <w:tc>
          <w:tcPr>
            <w:tcW w:w="780" w:type="dxa"/>
            <w:tcBorders>
              <w:top w:val="nil"/>
              <w:left w:val="nil"/>
              <w:bottom w:val="nil"/>
              <w:right w:val="nil"/>
            </w:tcBorders>
            <w:vAlign w:val="bottom"/>
          </w:tcPr>
          <w:p w14:paraId="577F7E5F" w14:textId="1F86BA5C" w:rsidR="000926A8" w:rsidRPr="00DB0706" w:rsidRDefault="000926A8" w:rsidP="000926A8">
            <w:pPr>
              <w:pStyle w:val="ExhibitText"/>
              <w:jc w:val="right"/>
              <w:rPr>
                <w:rFonts w:eastAsia="SimSun"/>
                <w:lang w:eastAsia="zh-CN"/>
              </w:rPr>
            </w:pPr>
            <w:r w:rsidRPr="00DB0706">
              <w:rPr>
                <w:rFonts w:eastAsia="SimSun"/>
                <w:lang w:eastAsia="zh-CN"/>
              </w:rPr>
              <w:t xml:space="preserve">0.0 </w:t>
            </w:r>
          </w:p>
        </w:tc>
        <w:tc>
          <w:tcPr>
            <w:tcW w:w="780" w:type="dxa"/>
            <w:tcBorders>
              <w:top w:val="nil"/>
              <w:left w:val="nil"/>
              <w:bottom w:val="nil"/>
              <w:right w:val="nil"/>
            </w:tcBorders>
            <w:vAlign w:val="bottom"/>
          </w:tcPr>
          <w:p w14:paraId="2E19157F" w14:textId="5A589DB9" w:rsidR="000926A8" w:rsidRPr="00DB0706" w:rsidRDefault="000926A8" w:rsidP="000926A8">
            <w:pPr>
              <w:pStyle w:val="ExhibitText"/>
              <w:jc w:val="right"/>
              <w:rPr>
                <w:rFonts w:eastAsia="SimSun"/>
                <w:lang w:eastAsia="zh-CN"/>
              </w:rPr>
            </w:pPr>
            <w:r w:rsidRPr="00DB0706">
              <w:rPr>
                <w:rFonts w:eastAsia="SimSun"/>
                <w:lang w:eastAsia="zh-CN"/>
              </w:rPr>
              <w:t xml:space="preserve">0.0 </w:t>
            </w:r>
          </w:p>
        </w:tc>
        <w:tc>
          <w:tcPr>
            <w:tcW w:w="780" w:type="dxa"/>
            <w:tcBorders>
              <w:top w:val="nil"/>
              <w:left w:val="nil"/>
              <w:bottom w:val="nil"/>
              <w:right w:val="nil"/>
            </w:tcBorders>
            <w:shd w:val="clear" w:color="auto" w:fill="auto"/>
            <w:noWrap/>
            <w:vAlign w:val="bottom"/>
            <w:hideMark/>
          </w:tcPr>
          <w:p w14:paraId="1D3EBB74" w14:textId="4FB60830" w:rsidR="000926A8" w:rsidRPr="00DB0706" w:rsidRDefault="000926A8" w:rsidP="000926A8">
            <w:pPr>
              <w:pStyle w:val="ExhibitText"/>
              <w:jc w:val="right"/>
              <w:rPr>
                <w:rFonts w:eastAsia="SimSun"/>
                <w:lang w:eastAsia="zh-CN"/>
              </w:rPr>
            </w:pPr>
            <w:r w:rsidRPr="00DB0706">
              <w:rPr>
                <w:rFonts w:eastAsia="SimSun"/>
                <w:lang w:eastAsia="zh-CN"/>
              </w:rPr>
              <w:t>(0.5)</w:t>
            </w:r>
          </w:p>
        </w:tc>
      </w:tr>
      <w:tr w:rsidR="000926A8" w:rsidRPr="00DB0706" w14:paraId="108438FE" w14:textId="77777777" w:rsidTr="000926A8">
        <w:trPr>
          <w:trHeight w:val="240"/>
          <w:jc w:val="center"/>
        </w:trPr>
        <w:tc>
          <w:tcPr>
            <w:tcW w:w="6100" w:type="dxa"/>
            <w:tcBorders>
              <w:top w:val="nil"/>
              <w:left w:val="nil"/>
              <w:bottom w:val="single" w:sz="4" w:space="0" w:color="auto"/>
              <w:right w:val="nil"/>
            </w:tcBorders>
            <w:shd w:val="clear" w:color="auto" w:fill="auto"/>
            <w:noWrap/>
            <w:vAlign w:val="bottom"/>
            <w:hideMark/>
          </w:tcPr>
          <w:p w14:paraId="55B42599" w14:textId="77777777" w:rsidR="000926A8" w:rsidRPr="00DB0706" w:rsidRDefault="000926A8" w:rsidP="000926A8">
            <w:pPr>
              <w:pStyle w:val="ExhibitText"/>
              <w:rPr>
                <w:rFonts w:eastAsia="SimSun"/>
                <w:lang w:eastAsia="zh-CN"/>
              </w:rPr>
            </w:pPr>
            <w:r w:rsidRPr="00DB0706">
              <w:rPr>
                <w:rFonts w:eastAsia="SimSun"/>
                <w:lang w:eastAsia="zh-CN"/>
              </w:rPr>
              <w:t>Operating cash flows before working capital adjustments</w:t>
            </w:r>
          </w:p>
        </w:tc>
        <w:tc>
          <w:tcPr>
            <w:tcW w:w="780" w:type="dxa"/>
            <w:tcBorders>
              <w:top w:val="nil"/>
              <w:left w:val="nil"/>
              <w:bottom w:val="single" w:sz="4" w:space="0" w:color="auto"/>
              <w:right w:val="nil"/>
            </w:tcBorders>
            <w:vAlign w:val="bottom"/>
          </w:tcPr>
          <w:p w14:paraId="5209CFB0" w14:textId="0EA817E4" w:rsidR="000926A8" w:rsidRPr="00DB0706" w:rsidRDefault="000926A8" w:rsidP="000926A8">
            <w:pPr>
              <w:pStyle w:val="ExhibitText"/>
              <w:jc w:val="right"/>
              <w:rPr>
                <w:rFonts w:eastAsia="SimSun"/>
                <w:lang w:eastAsia="zh-CN"/>
              </w:rPr>
            </w:pPr>
            <w:r w:rsidRPr="00DB0706">
              <w:rPr>
                <w:rFonts w:eastAsia="SimSun"/>
                <w:lang w:eastAsia="zh-CN"/>
              </w:rPr>
              <w:t xml:space="preserve">23.0 </w:t>
            </w:r>
          </w:p>
        </w:tc>
        <w:tc>
          <w:tcPr>
            <w:tcW w:w="780" w:type="dxa"/>
            <w:tcBorders>
              <w:top w:val="nil"/>
              <w:left w:val="nil"/>
              <w:bottom w:val="single" w:sz="4" w:space="0" w:color="auto"/>
              <w:right w:val="nil"/>
            </w:tcBorders>
            <w:vAlign w:val="bottom"/>
          </w:tcPr>
          <w:p w14:paraId="10F272EB" w14:textId="14A7ABDC" w:rsidR="000926A8" w:rsidRPr="00DB0706" w:rsidRDefault="000926A8" w:rsidP="000926A8">
            <w:pPr>
              <w:pStyle w:val="ExhibitText"/>
              <w:jc w:val="right"/>
              <w:rPr>
                <w:rFonts w:eastAsia="SimSun"/>
                <w:lang w:eastAsia="zh-CN"/>
              </w:rPr>
            </w:pPr>
            <w:r w:rsidRPr="00DB0706">
              <w:rPr>
                <w:rFonts w:eastAsia="SimSun"/>
                <w:lang w:eastAsia="zh-CN"/>
              </w:rPr>
              <w:t xml:space="preserve">43.9 </w:t>
            </w:r>
          </w:p>
        </w:tc>
        <w:tc>
          <w:tcPr>
            <w:tcW w:w="780" w:type="dxa"/>
            <w:tcBorders>
              <w:top w:val="nil"/>
              <w:left w:val="nil"/>
              <w:bottom w:val="single" w:sz="4" w:space="0" w:color="auto"/>
              <w:right w:val="nil"/>
            </w:tcBorders>
            <w:shd w:val="clear" w:color="auto" w:fill="auto"/>
            <w:noWrap/>
            <w:vAlign w:val="bottom"/>
            <w:hideMark/>
          </w:tcPr>
          <w:p w14:paraId="7B134575" w14:textId="5CECBB6E" w:rsidR="000926A8" w:rsidRPr="00DB0706" w:rsidRDefault="000926A8" w:rsidP="000926A8">
            <w:pPr>
              <w:pStyle w:val="ExhibitText"/>
              <w:jc w:val="right"/>
              <w:rPr>
                <w:rFonts w:eastAsia="SimSun"/>
                <w:lang w:eastAsia="zh-CN"/>
              </w:rPr>
            </w:pPr>
            <w:r w:rsidRPr="00DB0706">
              <w:rPr>
                <w:rFonts w:eastAsia="SimSun"/>
                <w:lang w:eastAsia="zh-CN"/>
              </w:rPr>
              <w:t xml:space="preserve">18.4 </w:t>
            </w:r>
          </w:p>
        </w:tc>
      </w:tr>
      <w:tr w:rsidR="000926A8" w:rsidRPr="00DB0706" w14:paraId="4D6C912B" w14:textId="77777777" w:rsidTr="000926A8">
        <w:trPr>
          <w:trHeight w:val="240"/>
          <w:jc w:val="center"/>
        </w:trPr>
        <w:tc>
          <w:tcPr>
            <w:tcW w:w="6100" w:type="dxa"/>
            <w:tcBorders>
              <w:top w:val="single" w:sz="4" w:space="0" w:color="auto"/>
              <w:left w:val="nil"/>
              <w:bottom w:val="single" w:sz="4" w:space="0" w:color="auto"/>
              <w:right w:val="nil"/>
            </w:tcBorders>
            <w:shd w:val="clear" w:color="auto" w:fill="auto"/>
            <w:noWrap/>
            <w:vAlign w:val="bottom"/>
            <w:hideMark/>
          </w:tcPr>
          <w:p w14:paraId="3B8B3513" w14:textId="77777777" w:rsidR="000926A8" w:rsidRPr="00DB0706" w:rsidRDefault="000926A8" w:rsidP="000926A8">
            <w:pPr>
              <w:pStyle w:val="ExhibitText"/>
              <w:rPr>
                <w:rFonts w:eastAsia="SimSun"/>
                <w:lang w:eastAsia="zh-CN"/>
              </w:rPr>
            </w:pPr>
            <w:r w:rsidRPr="00DB0706">
              <w:rPr>
                <w:rFonts w:eastAsia="SimSun"/>
                <w:lang w:eastAsia="zh-CN"/>
              </w:rPr>
              <w:t>Working capital adjustments</w:t>
            </w:r>
          </w:p>
        </w:tc>
        <w:tc>
          <w:tcPr>
            <w:tcW w:w="780" w:type="dxa"/>
            <w:tcBorders>
              <w:top w:val="single" w:sz="4" w:space="0" w:color="auto"/>
              <w:left w:val="nil"/>
              <w:bottom w:val="single" w:sz="4" w:space="0" w:color="auto"/>
              <w:right w:val="nil"/>
            </w:tcBorders>
            <w:vAlign w:val="bottom"/>
          </w:tcPr>
          <w:p w14:paraId="66803C45" w14:textId="61A94FB5" w:rsidR="000926A8" w:rsidRPr="00DB0706" w:rsidRDefault="000926A8" w:rsidP="000926A8">
            <w:pPr>
              <w:pStyle w:val="ExhibitText"/>
              <w:jc w:val="right"/>
              <w:rPr>
                <w:rFonts w:eastAsia="SimSun"/>
                <w:lang w:eastAsia="zh-CN"/>
              </w:rPr>
            </w:pPr>
            <w:r w:rsidRPr="00DB0706">
              <w:rPr>
                <w:rFonts w:eastAsia="SimSun"/>
                <w:lang w:eastAsia="zh-CN"/>
              </w:rPr>
              <w:t xml:space="preserve">18.5 </w:t>
            </w:r>
          </w:p>
        </w:tc>
        <w:tc>
          <w:tcPr>
            <w:tcW w:w="780" w:type="dxa"/>
            <w:tcBorders>
              <w:top w:val="single" w:sz="4" w:space="0" w:color="auto"/>
              <w:left w:val="nil"/>
              <w:bottom w:val="single" w:sz="4" w:space="0" w:color="auto"/>
              <w:right w:val="nil"/>
            </w:tcBorders>
            <w:vAlign w:val="bottom"/>
          </w:tcPr>
          <w:p w14:paraId="767750BB" w14:textId="7F78CEBD" w:rsidR="000926A8" w:rsidRPr="00DB0706" w:rsidRDefault="000926A8" w:rsidP="000926A8">
            <w:pPr>
              <w:pStyle w:val="ExhibitText"/>
              <w:jc w:val="right"/>
              <w:rPr>
                <w:rFonts w:eastAsia="SimSun"/>
                <w:lang w:eastAsia="zh-CN"/>
              </w:rPr>
            </w:pPr>
            <w:r w:rsidRPr="00DB0706">
              <w:rPr>
                <w:rFonts w:eastAsia="SimSun"/>
                <w:lang w:eastAsia="zh-CN"/>
              </w:rPr>
              <w:t>(9.4)</w:t>
            </w:r>
          </w:p>
        </w:tc>
        <w:tc>
          <w:tcPr>
            <w:tcW w:w="780" w:type="dxa"/>
            <w:tcBorders>
              <w:top w:val="single" w:sz="4" w:space="0" w:color="auto"/>
              <w:left w:val="nil"/>
              <w:bottom w:val="single" w:sz="4" w:space="0" w:color="auto"/>
              <w:right w:val="nil"/>
            </w:tcBorders>
            <w:shd w:val="clear" w:color="auto" w:fill="auto"/>
            <w:noWrap/>
            <w:vAlign w:val="bottom"/>
            <w:hideMark/>
          </w:tcPr>
          <w:p w14:paraId="667FFAB5" w14:textId="111CF59D" w:rsidR="000926A8" w:rsidRPr="00DB0706" w:rsidRDefault="000926A8" w:rsidP="000926A8">
            <w:pPr>
              <w:pStyle w:val="ExhibitText"/>
              <w:jc w:val="right"/>
              <w:rPr>
                <w:rFonts w:eastAsia="SimSun"/>
                <w:lang w:eastAsia="zh-CN"/>
              </w:rPr>
            </w:pPr>
            <w:r w:rsidRPr="00DB0706">
              <w:rPr>
                <w:rFonts w:eastAsia="SimSun"/>
                <w:lang w:eastAsia="zh-CN"/>
              </w:rPr>
              <w:t>(14.7)</w:t>
            </w:r>
          </w:p>
        </w:tc>
      </w:tr>
      <w:tr w:rsidR="000926A8" w:rsidRPr="00DB0706" w14:paraId="72FE99DA" w14:textId="77777777" w:rsidTr="000926A8">
        <w:trPr>
          <w:trHeight w:val="240"/>
          <w:jc w:val="center"/>
        </w:trPr>
        <w:tc>
          <w:tcPr>
            <w:tcW w:w="6100" w:type="dxa"/>
            <w:tcBorders>
              <w:top w:val="single" w:sz="4" w:space="0" w:color="auto"/>
              <w:left w:val="nil"/>
              <w:bottom w:val="single" w:sz="4" w:space="0" w:color="auto"/>
              <w:right w:val="nil"/>
            </w:tcBorders>
            <w:shd w:val="clear" w:color="auto" w:fill="auto"/>
            <w:noWrap/>
            <w:vAlign w:val="bottom"/>
            <w:hideMark/>
          </w:tcPr>
          <w:p w14:paraId="5909FC21" w14:textId="77777777" w:rsidR="000926A8" w:rsidRPr="00DB0706" w:rsidRDefault="000926A8" w:rsidP="000926A8">
            <w:pPr>
              <w:pStyle w:val="ExhibitText"/>
              <w:rPr>
                <w:rFonts w:eastAsia="SimSun"/>
                <w:b/>
                <w:bCs/>
                <w:lang w:eastAsia="zh-CN"/>
              </w:rPr>
            </w:pPr>
            <w:r w:rsidRPr="00DB0706">
              <w:rPr>
                <w:rFonts w:eastAsia="SimSun"/>
                <w:b/>
                <w:bCs/>
                <w:lang w:eastAsia="zh-CN"/>
              </w:rPr>
              <w:t>Net Cash Flows Provided by Operating Activities</w:t>
            </w:r>
          </w:p>
        </w:tc>
        <w:tc>
          <w:tcPr>
            <w:tcW w:w="780" w:type="dxa"/>
            <w:tcBorders>
              <w:top w:val="single" w:sz="4" w:space="0" w:color="auto"/>
              <w:left w:val="nil"/>
              <w:bottom w:val="single" w:sz="4" w:space="0" w:color="auto"/>
              <w:right w:val="nil"/>
            </w:tcBorders>
            <w:vAlign w:val="bottom"/>
          </w:tcPr>
          <w:p w14:paraId="50AB4B73" w14:textId="3763B057" w:rsidR="000926A8" w:rsidRPr="00DB0706" w:rsidRDefault="000926A8" w:rsidP="000926A8">
            <w:pPr>
              <w:pStyle w:val="ExhibitText"/>
              <w:jc w:val="right"/>
              <w:rPr>
                <w:rFonts w:eastAsia="SimSun"/>
                <w:b/>
                <w:bCs/>
                <w:lang w:eastAsia="zh-CN"/>
              </w:rPr>
            </w:pPr>
            <w:r w:rsidRPr="00DB0706">
              <w:rPr>
                <w:rFonts w:eastAsia="SimSun"/>
                <w:b/>
                <w:bCs/>
                <w:lang w:eastAsia="zh-CN"/>
              </w:rPr>
              <w:t xml:space="preserve">41.5 </w:t>
            </w:r>
          </w:p>
        </w:tc>
        <w:tc>
          <w:tcPr>
            <w:tcW w:w="780" w:type="dxa"/>
            <w:tcBorders>
              <w:top w:val="single" w:sz="4" w:space="0" w:color="auto"/>
              <w:left w:val="nil"/>
              <w:bottom w:val="single" w:sz="4" w:space="0" w:color="auto"/>
              <w:right w:val="nil"/>
            </w:tcBorders>
            <w:vAlign w:val="bottom"/>
          </w:tcPr>
          <w:p w14:paraId="55879D55" w14:textId="58A03539" w:rsidR="000926A8" w:rsidRPr="00DB0706" w:rsidRDefault="000926A8" w:rsidP="000926A8">
            <w:pPr>
              <w:pStyle w:val="ExhibitText"/>
              <w:jc w:val="right"/>
              <w:rPr>
                <w:rFonts w:eastAsia="SimSun"/>
                <w:b/>
                <w:bCs/>
                <w:lang w:eastAsia="zh-CN"/>
              </w:rPr>
            </w:pPr>
            <w:r w:rsidRPr="00DB0706">
              <w:rPr>
                <w:rFonts w:eastAsia="SimSun"/>
                <w:b/>
                <w:bCs/>
                <w:lang w:eastAsia="zh-CN"/>
              </w:rPr>
              <w:t xml:space="preserve">34.5 </w:t>
            </w:r>
          </w:p>
        </w:tc>
        <w:tc>
          <w:tcPr>
            <w:tcW w:w="780" w:type="dxa"/>
            <w:tcBorders>
              <w:top w:val="single" w:sz="4" w:space="0" w:color="auto"/>
              <w:left w:val="nil"/>
              <w:bottom w:val="single" w:sz="4" w:space="0" w:color="auto"/>
              <w:right w:val="nil"/>
            </w:tcBorders>
            <w:shd w:val="clear" w:color="auto" w:fill="auto"/>
            <w:noWrap/>
            <w:vAlign w:val="bottom"/>
            <w:hideMark/>
          </w:tcPr>
          <w:p w14:paraId="6F1A7233" w14:textId="72ED747C" w:rsidR="000926A8" w:rsidRPr="00DB0706" w:rsidRDefault="000926A8" w:rsidP="000926A8">
            <w:pPr>
              <w:pStyle w:val="ExhibitText"/>
              <w:jc w:val="right"/>
              <w:rPr>
                <w:rFonts w:eastAsia="SimSun"/>
                <w:b/>
                <w:bCs/>
                <w:lang w:eastAsia="zh-CN"/>
              </w:rPr>
            </w:pPr>
            <w:r w:rsidRPr="00DB0706">
              <w:rPr>
                <w:rFonts w:eastAsia="SimSun"/>
                <w:b/>
                <w:bCs/>
                <w:lang w:eastAsia="zh-CN"/>
              </w:rPr>
              <w:t xml:space="preserve">3.7 </w:t>
            </w:r>
          </w:p>
        </w:tc>
      </w:tr>
      <w:tr w:rsidR="000926A8" w:rsidRPr="00DB0706" w14:paraId="359CAA1A"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2C614472" w14:textId="77777777" w:rsidR="000926A8" w:rsidRPr="00DB0706" w:rsidRDefault="000926A8" w:rsidP="000926A8">
            <w:pPr>
              <w:pStyle w:val="ExhibitText"/>
              <w:rPr>
                <w:rFonts w:eastAsia="SimSun"/>
                <w:b/>
                <w:bCs/>
                <w:lang w:eastAsia="zh-CN"/>
              </w:rPr>
            </w:pPr>
            <w:r w:rsidRPr="00DB0706">
              <w:rPr>
                <w:rFonts w:eastAsia="SimSun"/>
                <w:b/>
                <w:bCs/>
                <w:lang w:eastAsia="zh-CN"/>
              </w:rPr>
              <w:t>Cash Flows from Investing Activities</w:t>
            </w:r>
          </w:p>
        </w:tc>
        <w:tc>
          <w:tcPr>
            <w:tcW w:w="780" w:type="dxa"/>
            <w:tcBorders>
              <w:top w:val="nil"/>
              <w:left w:val="nil"/>
              <w:bottom w:val="nil"/>
              <w:right w:val="nil"/>
            </w:tcBorders>
            <w:vAlign w:val="bottom"/>
          </w:tcPr>
          <w:p w14:paraId="2FC1EF6A" w14:textId="77777777" w:rsidR="000926A8" w:rsidRPr="00DB0706" w:rsidRDefault="000926A8" w:rsidP="000926A8">
            <w:pPr>
              <w:pStyle w:val="ExhibitText"/>
              <w:jc w:val="right"/>
              <w:rPr>
                <w:rFonts w:eastAsia="SimSun"/>
                <w:lang w:eastAsia="zh-CN"/>
              </w:rPr>
            </w:pPr>
          </w:p>
        </w:tc>
        <w:tc>
          <w:tcPr>
            <w:tcW w:w="780" w:type="dxa"/>
            <w:tcBorders>
              <w:top w:val="nil"/>
              <w:left w:val="nil"/>
              <w:bottom w:val="nil"/>
              <w:right w:val="nil"/>
            </w:tcBorders>
            <w:vAlign w:val="bottom"/>
          </w:tcPr>
          <w:p w14:paraId="290148AE" w14:textId="77777777" w:rsidR="000926A8" w:rsidRPr="00DB0706" w:rsidRDefault="000926A8" w:rsidP="000926A8">
            <w:pPr>
              <w:pStyle w:val="ExhibitText"/>
              <w:jc w:val="right"/>
              <w:rPr>
                <w:rFonts w:eastAsia="SimSun"/>
                <w:lang w:eastAsia="zh-CN"/>
              </w:rPr>
            </w:pPr>
          </w:p>
        </w:tc>
        <w:tc>
          <w:tcPr>
            <w:tcW w:w="780" w:type="dxa"/>
            <w:tcBorders>
              <w:top w:val="nil"/>
              <w:left w:val="nil"/>
              <w:bottom w:val="nil"/>
              <w:right w:val="nil"/>
            </w:tcBorders>
            <w:shd w:val="clear" w:color="auto" w:fill="auto"/>
            <w:noWrap/>
            <w:vAlign w:val="bottom"/>
            <w:hideMark/>
          </w:tcPr>
          <w:p w14:paraId="2A8B93D2" w14:textId="3C80F0F2" w:rsidR="000926A8" w:rsidRPr="00DB0706" w:rsidRDefault="000926A8" w:rsidP="000926A8">
            <w:pPr>
              <w:pStyle w:val="ExhibitText"/>
              <w:jc w:val="right"/>
              <w:rPr>
                <w:rFonts w:eastAsia="SimSun"/>
                <w:lang w:eastAsia="zh-CN"/>
              </w:rPr>
            </w:pPr>
          </w:p>
        </w:tc>
      </w:tr>
      <w:tr w:rsidR="000926A8" w:rsidRPr="00DB0706" w14:paraId="0773696B"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56366FC0" w14:textId="77777777" w:rsidR="000926A8" w:rsidRPr="00DB0706" w:rsidRDefault="000926A8" w:rsidP="000926A8">
            <w:pPr>
              <w:pStyle w:val="ExhibitText"/>
              <w:rPr>
                <w:rFonts w:eastAsia="SimSun"/>
                <w:lang w:eastAsia="zh-CN"/>
              </w:rPr>
            </w:pPr>
            <w:r w:rsidRPr="00DB0706">
              <w:rPr>
                <w:rFonts w:eastAsia="SimSun"/>
                <w:lang w:eastAsia="zh-CN"/>
              </w:rPr>
              <w:t>Restricted cash movement</w:t>
            </w:r>
          </w:p>
        </w:tc>
        <w:tc>
          <w:tcPr>
            <w:tcW w:w="780" w:type="dxa"/>
            <w:tcBorders>
              <w:top w:val="nil"/>
              <w:left w:val="nil"/>
              <w:bottom w:val="nil"/>
              <w:right w:val="nil"/>
            </w:tcBorders>
            <w:vAlign w:val="bottom"/>
          </w:tcPr>
          <w:p w14:paraId="3435F182" w14:textId="0670CE6E" w:rsidR="000926A8" w:rsidRPr="00DB0706" w:rsidRDefault="000926A8" w:rsidP="000926A8">
            <w:pPr>
              <w:pStyle w:val="ExhibitText"/>
              <w:jc w:val="right"/>
              <w:rPr>
                <w:rFonts w:eastAsia="SimSun"/>
                <w:lang w:eastAsia="zh-CN"/>
              </w:rPr>
            </w:pPr>
            <w:r w:rsidRPr="00DB0706">
              <w:rPr>
                <w:rFonts w:eastAsia="SimSun"/>
                <w:lang w:eastAsia="zh-CN"/>
              </w:rPr>
              <w:t>N/A</w:t>
            </w:r>
          </w:p>
        </w:tc>
        <w:tc>
          <w:tcPr>
            <w:tcW w:w="780" w:type="dxa"/>
            <w:tcBorders>
              <w:top w:val="nil"/>
              <w:left w:val="nil"/>
              <w:bottom w:val="nil"/>
              <w:right w:val="nil"/>
            </w:tcBorders>
            <w:vAlign w:val="bottom"/>
          </w:tcPr>
          <w:p w14:paraId="1B48485F" w14:textId="1526C29F" w:rsidR="000926A8" w:rsidRPr="00DB0706" w:rsidRDefault="000926A8" w:rsidP="000926A8">
            <w:pPr>
              <w:pStyle w:val="ExhibitText"/>
              <w:jc w:val="right"/>
              <w:rPr>
                <w:rFonts w:eastAsia="SimSun"/>
                <w:lang w:eastAsia="zh-CN"/>
              </w:rPr>
            </w:pPr>
            <w:r w:rsidRPr="00DB0706">
              <w:rPr>
                <w:rFonts w:eastAsia="SimSun"/>
                <w:lang w:eastAsia="zh-CN"/>
              </w:rPr>
              <w:t>N/A</w:t>
            </w:r>
          </w:p>
        </w:tc>
        <w:tc>
          <w:tcPr>
            <w:tcW w:w="780" w:type="dxa"/>
            <w:tcBorders>
              <w:top w:val="nil"/>
              <w:left w:val="nil"/>
              <w:bottom w:val="nil"/>
              <w:right w:val="nil"/>
            </w:tcBorders>
            <w:shd w:val="clear" w:color="auto" w:fill="auto"/>
            <w:noWrap/>
            <w:vAlign w:val="bottom"/>
            <w:hideMark/>
          </w:tcPr>
          <w:p w14:paraId="0169FD75" w14:textId="06E16C21" w:rsidR="000926A8" w:rsidRPr="00DB0706" w:rsidRDefault="000926A8" w:rsidP="000926A8">
            <w:pPr>
              <w:pStyle w:val="ExhibitText"/>
              <w:jc w:val="right"/>
              <w:rPr>
                <w:rFonts w:eastAsia="SimSun"/>
                <w:lang w:eastAsia="zh-CN"/>
              </w:rPr>
            </w:pPr>
            <w:r w:rsidRPr="00DB0706">
              <w:rPr>
                <w:rFonts w:eastAsia="SimSun"/>
                <w:lang w:eastAsia="zh-CN"/>
              </w:rPr>
              <w:t>(10.1)</w:t>
            </w:r>
          </w:p>
        </w:tc>
      </w:tr>
      <w:tr w:rsidR="000926A8" w:rsidRPr="00DB0706" w14:paraId="6796E2E8"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719FE5B1" w14:textId="77777777" w:rsidR="000926A8" w:rsidRPr="00DB0706" w:rsidRDefault="000926A8" w:rsidP="000926A8">
            <w:pPr>
              <w:pStyle w:val="ExhibitText"/>
              <w:rPr>
                <w:rFonts w:eastAsia="SimSun"/>
                <w:lang w:eastAsia="zh-CN"/>
              </w:rPr>
            </w:pPr>
            <w:r w:rsidRPr="00DB0706">
              <w:rPr>
                <w:rFonts w:eastAsia="SimSun"/>
                <w:lang w:eastAsia="zh-CN"/>
              </w:rPr>
              <w:t>Acquisition of property, plant, and equipment</w:t>
            </w:r>
          </w:p>
        </w:tc>
        <w:tc>
          <w:tcPr>
            <w:tcW w:w="780" w:type="dxa"/>
            <w:tcBorders>
              <w:top w:val="nil"/>
              <w:left w:val="nil"/>
              <w:bottom w:val="nil"/>
              <w:right w:val="nil"/>
            </w:tcBorders>
            <w:vAlign w:val="bottom"/>
          </w:tcPr>
          <w:p w14:paraId="60DC0D0E" w14:textId="30ABF6C1" w:rsidR="000926A8" w:rsidRPr="00DB0706" w:rsidRDefault="000926A8" w:rsidP="000926A8">
            <w:pPr>
              <w:pStyle w:val="ExhibitText"/>
              <w:jc w:val="right"/>
              <w:rPr>
                <w:rFonts w:eastAsia="SimSun"/>
                <w:lang w:eastAsia="zh-CN"/>
              </w:rPr>
            </w:pPr>
            <w:r w:rsidRPr="00DB0706">
              <w:rPr>
                <w:rFonts w:eastAsia="SimSun"/>
                <w:lang w:eastAsia="zh-CN"/>
              </w:rPr>
              <w:t>(15.8)</w:t>
            </w:r>
          </w:p>
        </w:tc>
        <w:tc>
          <w:tcPr>
            <w:tcW w:w="780" w:type="dxa"/>
            <w:tcBorders>
              <w:top w:val="nil"/>
              <w:left w:val="nil"/>
              <w:bottom w:val="nil"/>
              <w:right w:val="nil"/>
            </w:tcBorders>
            <w:vAlign w:val="bottom"/>
          </w:tcPr>
          <w:p w14:paraId="77019830" w14:textId="0B050B5B" w:rsidR="000926A8" w:rsidRPr="00DB0706" w:rsidRDefault="000926A8" w:rsidP="000926A8">
            <w:pPr>
              <w:pStyle w:val="ExhibitText"/>
              <w:jc w:val="right"/>
              <w:rPr>
                <w:rFonts w:eastAsia="SimSun"/>
                <w:lang w:eastAsia="zh-CN"/>
              </w:rPr>
            </w:pPr>
            <w:r w:rsidRPr="00DB0706">
              <w:rPr>
                <w:rFonts w:eastAsia="SimSun"/>
                <w:lang w:eastAsia="zh-CN"/>
              </w:rPr>
              <w:t>(25.0)</w:t>
            </w:r>
          </w:p>
        </w:tc>
        <w:tc>
          <w:tcPr>
            <w:tcW w:w="780" w:type="dxa"/>
            <w:tcBorders>
              <w:top w:val="nil"/>
              <w:left w:val="nil"/>
              <w:bottom w:val="nil"/>
              <w:right w:val="nil"/>
            </w:tcBorders>
            <w:shd w:val="clear" w:color="auto" w:fill="auto"/>
            <w:noWrap/>
            <w:vAlign w:val="bottom"/>
            <w:hideMark/>
          </w:tcPr>
          <w:p w14:paraId="1E3B9D81" w14:textId="7518D6E9" w:rsidR="000926A8" w:rsidRPr="00DB0706" w:rsidRDefault="000926A8" w:rsidP="000926A8">
            <w:pPr>
              <w:pStyle w:val="ExhibitText"/>
              <w:jc w:val="right"/>
              <w:rPr>
                <w:rFonts w:eastAsia="SimSun"/>
                <w:lang w:eastAsia="zh-CN"/>
              </w:rPr>
            </w:pPr>
            <w:r w:rsidRPr="00DB0706">
              <w:rPr>
                <w:rFonts w:eastAsia="SimSun"/>
                <w:lang w:eastAsia="zh-CN"/>
              </w:rPr>
              <w:t>(28.7)</w:t>
            </w:r>
          </w:p>
        </w:tc>
      </w:tr>
      <w:tr w:rsidR="000926A8" w:rsidRPr="00DB0706" w14:paraId="4A280E98"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228BD8B7" w14:textId="77777777" w:rsidR="000926A8" w:rsidRPr="00DB0706" w:rsidRDefault="000926A8" w:rsidP="000926A8">
            <w:pPr>
              <w:pStyle w:val="ExhibitText"/>
              <w:rPr>
                <w:rFonts w:eastAsia="SimSun"/>
                <w:lang w:eastAsia="zh-CN"/>
              </w:rPr>
            </w:pPr>
            <w:r w:rsidRPr="00DB0706">
              <w:rPr>
                <w:rFonts w:eastAsia="SimSun"/>
                <w:lang w:eastAsia="zh-CN"/>
              </w:rPr>
              <w:t>Exploration and evaluation expenditures</w:t>
            </w:r>
          </w:p>
        </w:tc>
        <w:tc>
          <w:tcPr>
            <w:tcW w:w="780" w:type="dxa"/>
            <w:tcBorders>
              <w:top w:val="nil"/>
              <w:left w:val="nil"/>
              <w:bottom w:val="nil"/>
              <w:right w:val="nil"/>
            </w:tcBorders>
            <w:vAlign w:val="bottom"/>
          </w:tcPr>
          <w:p w14:paraId="60648CAD" w14:textId="502604B5" w:rsidR="000926A8" w:rsidRPr="00DB0706" w:rsidRDefault="000926A8" w:rsidP="000926A8">
            <w:pPr>
              <w:pStyle w:val="ExhibitText"/>
              <w:jc w:val="right"/>
              <w:rPr>
                <w:rFonts w:eastAsia="SimSun"/>
                <w:lang w:eastAsia="zh-CN"/>
              </w:rPr>
            </w:pPr>
            <w:r w:rsidRPr="00DB0706">
              <w:rPr>
                <w:rFonts w:eastAsia="SimSun"/>
                <w:lang w:eastAsia="zh-CN"/>
              </w:rPr>
              <w:t>(8.7)</w:t>
            </w:r>
          </w:p>
        </w:tc>
        <w:tc>
          <w:tcPr>
            <w:tcW w:w="780" w:type="dxa"/>
            <w:tcBorders>
              <w:top w:val="nil"/>
              <w:left w:val="nil"/>
              <w:bottom w:val="nil"/>
              <w:right w:val="nil"/>
            </w:tcBorders>
            <w:vAlign w:val="bottom"/>
          </w:tcPr>
          <w:p w14:paraId="74C0FB30" w14:textId="5B91615F" w:rsidR="000926A8" w:rsidRPr="00DB0706" w:rsidRDefault="000926A8" w:rsidP="000926A8">
            <w:pPr>
              <w:pStyle w:val="ExhibitText"/>
              <w:jc w:val="right"/>
              <w:rPr>
                <w:rFonts w:eastAsia="SimSun"/>
                <w:lang w:eastAsia="zh-CN"/>
              </w:rPr>
            </w:pPr>
            <w:r w:rsidRPr="00DB0706">
              <w:rPr>
                <w:rFonts w:eastAsia="SimSun"/>
                <w:lang w:eastAsia="zh-CN"/>
              </w:rPr>
              <w:t>(10.4)</w:t>
            </w:r>
          </w:p>
        </w:tc>
        <w:tc>
          <w:tcPr>
            <w:tcW w:w="780" w:type="dxa"/>
            <w:tcBorders>
              <w:top w:val="nil"/>
              <w:left w:val="nil"/>
              <w:bottom w:val="nil"/>
              <w:right w:val="nil"/>
            </w:tcBorders>
            <w:shd w:val="clear" w:color="auto" w:fill="auto"/>
            <w:noWrap/>
            <w:vAlign w:val="bottom"/>
            <w:hideMark/>
          </w:tcPr>
          <w:p w14:paraId="6A05B6AD" w14:textId="078A8D45" w:rsidR="000926A8" w:rsidRPr="00DB0706" w:rsidRDefault="000926A8" w:rsidP="000926A8">
            <w:pPr>
              <w:pStyle w:val="ExhibitText"/>
              <w:jc w:val="right"/>
              <w:rPr>
                <w:rFonts w:eastAsia="SimSun"/>
                <w:lang w:eastAsia="zh-CN"/>
              </w:rPr>
            </w:pPr>
            <w:r w:rsidRPr="00DB0706">
              <w:rPr>
                <w:rFonts w:eastAsia="SimSun"/>
                <w:lang w:eastAsia="zh-CN"/>
              </w:rPr>
              <w:t>(9.2)</w:t>
            </w:r>
          </w:p>
        </w:tc>
      </w:tr>
      <w:tr w:rsidR="000926A8" w:rsidRPr="00DB0706" w14:paraId="0351E48C"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7DC4BDF3" w14:textId="77777777" w:rsidR="000926A8" w:rsidRPr="00DB0706" w:rsidRDefault="000926A8" w:rsidP="000926A8">
            <w:pPr>
              <w:pStyle w:val="ExhibitText"/>
              <w:rPr>
                <w:rFonts w:eastAsia="SimSun"/>
                <w:lang w:eastAsia="zh-CN"/>
              </w:rPr>
            </w:pPr>
            <w:r w:rsidRPr="00DB0706">
              <w:rPr>
                <w:rFonts w:eastAsia="SimSun"/>
                <w:lang w:eastAsia="zh-CN"/>
              </w:rPr>
              <w:t>Expenditures on mine under construction</w:t>
            </w:r>
          </w:p>
        </w:tc>
        <w:tc>
          <w:tcPr>
            <w:tcW w:w="780" w:type="dxa"/>
            <w:tcBorders>
              <w:top w:val="nil"/>
              <w:left w:val="nil"/>
              <w:bottom w:val="nil"/>
              <w:right w:val="nil"/>
            </w:tcBorders>
            <w:vAlign w:val="bottom"/>
          </w:tcPr>
          <w:p w14:paraId="1BE2DE17" w14:textId="5D8F6F3D" w:rsidR="000926A8" w:rsidRPr="00DB0706" w:rsidRDefault="000926A8" w:rsidP="000926A8">
            <w:pPr>
              <w:pStyle w:val="ExhibitText"/>
              <w:jc w:val="right"/>
              <w:rPr>
                <w:rFonts w:eastAsia="SimSun"/>
                <w:lang w:eastAsia="zh-CN"/>
              </w:rPr>
            </w:pPr>
            <w:r w:rsidRPr="00DB0706">
              <w:rPr>
                <w:rFonts w:eastAsia="SimSun"/>
                <w:lang w:eastAsia="zh-CN"/>
              </w:rPr>
              <w:t>(49.0)</w:t>
            </w:r>
          </w:p>
        </w:tc>
        <w:tc>
          <w:tcPr>
            <w:tcW w:w="780" w:type="dxa"/>
            <w:tcBorders>
              <w:top w:val="nil"/>
              <w:left w:val="nil"/>
              <w:bottom w:val="nil"/>
              <w:right w:val="nil"/>
            </w:tcBorders>
            <w:vAlign w:val="bottom"/>
          </w:tcPr>
          <w:p w14:paraId="5AEE6164" w14:textId="73516601" w:rsidR="000926A8" w:rsidRPr="00DB0706" w:rsidRDefault="000926A8" w:rsidP="000926A8">
            <w:pPr>
              <w:pStyle w:val="ExhibitText"/>
              <w:jc w:val="right"/>
              <w:rPr>
                <w:rFonts w:eastAsia="SimSun"/>
                <w:lang w:eastAsia="zh-CN"/>
              </w:rPr>
            </w:pPr>
            <w:r w:rsidRPr="00DB0706">
              <w:rPr>
                <w:rFonts w:eastAsia="SimSun"/>
                <w:lang w:eastAsia="zh-CN"/>
              </w:rPr>
              <w:t>(32.0)</w:t>
            </w:r>
          </w:p>
        </w:tc>
        <w:tc>
          <w:tcPr>
            <w:tcW w:w="780" w:type="dxa"/>
            <w:tcBorders>
              <w:top w:val="nil"/>
              <w:left w:val="nil"/>
              <w:bottom w:val="nil"/>
              <w:right w:val="nil"/>
            </w:tcBorders>
            <w:shd w:val="clear" w:color="auto" w:fill="auto"/>
            <w:noWrap/>
            <w:vAlign w:val="bottom"/>
            <w:hideMark/>
          </w:tcPr>
          <w:p w14:paraId="7FB80038" w14:textId="49AF7CB5" w:rsidR="000926A8" w:rsidRPr="00DB0706" w:rsidRDefault="000926A8" w:rsidP="000926A8">
            <w:pPr>
              <w:pStyle w:val="ExhibitText"/>
              <w:jc w:val="right"/>
              <w:rPr>
                <w:rFonts w:eastAsia="SimSun"/>
                <w:lang w:eastAsia="zh-CN"/>
              </w:rPr>
            </w:pPr>
            <w:r w:rsidRPr="00DB0706">
              <w:rPr>
                <w:rFonts w:eastAsia="SimSun"/>
                <w:lang w:eastAsia="zh-CN"/>
              </w:rPr>
              <w:t>(13.5)</w:t>
            </w:r>
          </w:p>
        </w:tc>
      </w:tr>
      <w:tr w:rsidR="000926A8" w:rsidRPr="00DB0706" w14:paraId="04AA9B11"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77B98794" w14:textId="77777777" w:rsidR="000926A8" w:rsidRPr="00DB0706" w:rsidRDefault="000926A8" w:rsidP="000926A8">
            <w:pPr>
              <w:pStyle w:val="ExhibitText"/>
              <w:rPr>
                <w:rFonts w:eastAsia="SimSun"/>
                <w:lang w:eastAsia="zh-CN"/>
              </w:rPr>
            </w:pPr>
            <w:r w:rsidRPr="00DB0706">
              <w:rPr>
                <w:rFonts w:eastAsia="SimSun"/>
                <w:lang w:eastAsia="zh-CN"/>
              </w:rPr>
              <w:t>Interest paid</w:t>
            </w:r>
          </w:p>
        </w:tc>
        <w:tc>
          <w:tcPr>
            <w:tcW w:w="780" w:type="dxa"/>
            <w:tcBorders>
              <w:top w:val="nil"/>
              <w:left w:val="nil"/>
              <w:bottom w:val="nil"/>
              <w:right w:val="nil"/>
            </w:tcBorders>
            <w:vAlign w:val="bottom"/>
          </w:tcPr>
          <w:p w14:paraId="5B913069" w14:textId="62AB6F0B" w:rsidR="000926A8" w:rsidRPr="00DB0706" w:rsidRDefault="000926A8" w:rsidP="000926A8">
            <w:pPr>
              <w:pStyle w:val="ExhibitText"/>
              <w:jc w:val="right"/>
              <w:rPr>
                <w:rFonts w:eastAsia="SimSun"/>
                <w:lang w:eastAsia="zh-CN"/>
              </w:rPr>
            </w:pPr>
            <w:r w:rsidRPr="00DB0706">
              <w:rPr>
                <w:rFonts w:eastAsia="SimSun"/>
                <w:lang w:eastAsia="zh-CN"/>
              </w:rPr>
              <w:t>(19.1)</w:t>
            </w:r>
          </w:p>
        </w:tc>
        <w:tc>
          <w:tcPr>
            <w:tcW w:w="780" w:type="dxa"/>
            <w:tcBorders>
              <w:top w:val="nil"/>
              <w:left w:val="nil"/>
              <w:bottom w:val="nil"/>
              <w:right w:val="nil"/>
            </w:tcBorders>
            <w:vAlign w:val="bottom"/>
          </w:tcPr>
          <w:p w14:paraId="57DAC8DF" w14:textId="14C3352B" w:rsidR="000926A8" w:rsidRPr="00DB0706" w:rsidRDefault="000926A8" w:rsidP="000926A8">
            <w:pPr>
              <w:pStyle w:val="ExhibitText"/>
              <w:jc w:val="right"/>
              <w:rPr>
                <w:rFonts w:eastAsia="SimSun"/>
                <w:lang w:eastAsia="zh-CN"/>
              </w:rPr>
            </w:pPr>
            <w:r w:rsidRPr="00DB0706">
              <w:rPr>
                <w:rFonts w:eastAsia="SimSun"/>
                <w:lang w:eastAsia="zh-CN"/>
              </w:rPr>
              <w:t>(18.2)</w:t>
            </w:r>
          </w:p>
        </w:tc>
        <w:tc>
          <w:tcPr>
            <w:tcW w:w="780" w:type="dxa"/>
            <w:tcBorders>
              <w:top w:val="nil"/>
              <w:left w:val="nil"/>
              <w:bottom w:val="nil"/>
              <w:right w:val="nil"/>
            </w:tcBorders>
            <w:shd w:val="clear" w:color="auto" w:fill="auto"/>
            <w:noWrap/>
            <w:vAlign w:val="bottom"/>
            <w:hideMark/>
          </w:tcPr>
          <w:p w14:paraId="239325DE" w14:textId="5518C835" w:rsidR="000926A8" w:rsidRPr="00DB0706" w:rsidRDefault="000926A8" w:rsidP="000926A8">
            <w:pPr>
              <w:pStyle w:val="ExhibitText"/>
              <w:jc w:val="right"/>
              <w:rPr>
                <w:rFonts w:eastAsia="SimSun"/>
                <w:lang w:eastAsia="zh-CN"/>
              </w:rPr>
            </w:pPr>
            <w:r w:rsidRPr="00DB0706">
              <w:rPr>
                <w:rFonts w:eastAsia="SimSun"/>
                <w:lang w:eastAsia="zh-CN"/>
              </w:rPr>
              <w:t>(5.1)</w:t>
            </w:r>
          </w:p>
        </w:tc>
      </w:tr>
      <w:tr w:rsidR="000926A8" w:rsidRPr="00DB0706" w14:paraId="6CE1B593"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200B909A" w14:textId="77777777" w:rsidR="000926A8" w:rsidRPr="00DB0706" w:rsidRDefault="000926A8" w:rsidP="000926A8">
            <w:pPr>
              <w:pStyle w:val="ExhibitText"/>
              <w:rPr>
                <w:rFonts w:eastAsia="SimSun"/>
                <w:lang w:eastAsia="zh-CN"/>
              </w:rPr>
            </w:pPr>
            <w:r w:rsidRPr="00DB0706">
              <w:rPr>
                <w:rFonts w:eastAsia="SimSun"/>
                <w:lang w:eastAsia="zh-CN"/>
              </w:rPr>
              <w:t>Others</w:t>
            </w:r>
          </w:p>
        </w:tc>
        <w:tc>
          <w:tcPr>
            <w:tcW w:w="780" w:type="dxa"/>
            <w:tcBorders>
              <w:top w:val="nil"/>
              <w:left w:val="nil"/>
              <w:bottom w:val="nil"/>
              <w:right w:val="nil"/>
            </w:tcBorders>
            <w:vAlign w:val="bottom"/>
          </w:tcPr>
          <w:p w14:paraId="19F8D103" w14:textId="65CFEACF" w:rsidR="000926A8" w:rsidRPr="00DB0706" w:rsidRDefault="000926A8" w:rsidP="000926A8">
            <w:pPr>
              <w:pStyle w:val="ExhibitText"/>
              <w:jc w:val="right"/>
              <w:rPr>
                <w:rFonts w:eastAsia="SimSun"/>
                <w:lang w:eastAsia="zh-CN"/>
              </w:rPr>
            </w:pPr>
            <w:r w:rsidRPr="00DB0706">
              <w:rPr>
                <w:rFonts w:eastAsia="SimSun"/>
                <w:lang w:eastAsia="zh-CN"/>
              </w:rPr>
              <w:t>(2.0)</w:t>
            </w:r>
          </w:p>
        </w:tc>
        <w:tc>
          <w:tcPr>
            <w:tcW w:w="780" w:type="dxa"/>
            <w:tcBorders>
              <w:top w:val="nil"/>
              <w:left w:val="nil"/>
              <w:bottom w:val="nil"/>
              <w:right w:val="nil"/>
            </w:tcBorders>
            <w:vAlign w:val="bottom"/>
          </w:tcPr>
          <w:p w14:paraId="1066A5AC" w14:textId="1FDB6F64" w:rsidR="000926A8" w:rsidRPr="00DB0706" w:rsidRDefault="000926A8" w:rsidP="000926A8">
            <w:pPr>
              <w:pStyle w:val="ExhibitText"/>
              <w:jc w:val="right"/>
              <w:rPr>
                <w:rFonts w:eastAsia="SimSun"/>
                <w:lang w:eastAsia="zh-CN"/>
              </w:rPr>
            </w:pPr>
            <w:r w:rsidRPr="00DB0706">
              <w:rPr>
                <w:rFonts w:eastAsia="SimSun"/>
                <w:lang w:eastAsia="zh-CN"/>
              </w:rPr>
              <w:t xml:space="preserve">0.1 </w:t>
            </w:r>
          </w:p>
        </w:tc>
        <w:tc>
          <w:tcPr>
            <w:tcW w:w="780" w:type="dxa"/>
            <w:tcBorders>
              <w:top w:val="nil"/>
              <w:left w:val="nil"/>
              <w:bottom w:val="nil"/>
              <w:right w:val="nil"/>
            </w:tcBorders>
            <w:shd w:val="clear" w:color="auto" w:fill="auto"/>
            <w:noWrap/>
            <w:vAlign w:val="bottom"/>
            <w:hideMark/>
          </w:tcPr>
          <w:p w14:paraId="76B72AF9" w14:textId="5F470A13" w:rsidR="000926A8" w:rsidRPr="00DB0706" w:rsidRDefault="000926A8" w:rsidP="000926A8">
            <w:pPr>
              <w:pStyle w:val="ExhibitText"/>
              <w:jc w:val="right"/>
              <w:rPr>
                <w:rFonts w:eastAsia="SimSun"/>
                <w:lang w:eastAsia="zh-CN"/>
              </w:rPr>
            </w:pPr>
            <w:r w:rsidRPr="00DB0706">
              <w:rPr>
                <w:rFonts w:eastAsia="SimSun"/>
                <w:lang w:eastAsia="zh-CN"/>
              </w:rPr>
              <w:t>N/A</w:t>
            </w:r>
          </w:p>
        </w:tc>
      </w:tr>
      <w:tr w:rsidR="000926A8" w:rsidRPr="00DB0706" w14:paraId="6C498C0B" w14:textId="77777777" w:rsidTr="000926A8">
        <w:trPr>
          <w:trHeight w:val="240"/>
          <w:jc w:val="center"/>
        </w:trPr>
        <w:tc>
          <w:tcPr>
            <w:tcW w:w="6100" w:type="dxa"/>
            <w:tcBorders>
              <w:top w:val="single" w:sz="4" w:space="0" w:color="auto"/>
              <w:left w:val="nil"/>
              <w:bottom w:val="single" w:sz="4" w:space="0" w:color="auto"/>
              <w:right w:val="nil"/>
            </w:tcBorders>
            <w:shd w:val="clear" w:color="auto" w:fill="auto"/>
            <w:noWrap/>
            <w:vAlign w:val="bottom"/>
            <w:hideMark/>
          </w:tcPr>
          <w:p w14:paraId="29FFBEF1" w14:textId="77777777" w:rsidR="000926A8" w:rsidRPr="00DB0706" w:rsidRDefault="000926A8" w:rsidP="000926A8">
            <w:pPr>
              <w:pStyle w:val="ExhibitText"/>
              <w:rPr>
                <w:rFonts w:eastAsia="SimSun"/>
                <w:b/>
                <w:bCs/>
                <w:lang w:eastAsia="zh-CN"/>
              </w:rPr>
            </w:pPr>
            <w:r w:rsidRPr="00DB0706">
              <w:rPr>
                <w:rFonts w:eastAsia="SimSun"/>
                <w:b/>
                <w:bCs/>
                <w:lang w:eastAsia="zh-CN"/>
              </w:rPr>
              <w:t>Net Cash Used in Investing Activities</w:t>
            </w:r>
          </w:p>
        </w:tc>
        <w:tc>
          <w:tcPr>
            <w:tcW w:w="780" w:type="dxa"/>
            <w:tcBorders>
              <w:top w:val="single" w:sz="4" w:space="0" w:color="auto"/>
              <w:left w:val="nil"/>
              <w:bottom w:val="single" w:sz="4" w:space="0" w:color="auto"/>
              <w:right w:val="nil"/>
            </w:tcBorders>
            <w:vAlign w:val="bottom"/>
          </w:tcPr>
          <w:p w14:paraId="6A5E5A84" w14:textId="74700407" w:rsidR="000926A8" w:rsidRPr="00DB0706" w:rsidRDefault="000926A8" w:rsidP="000926A8">
            <w:pPr>
              <w:pStyle w:val="ExhibitText"/>
              <w:jc w:val="right"/>
              <w:rPr>
                <w:rFonts w:eastAsia="SimSun"/>
                <w:b/>
                <w:bCs/>
                <w:lang w:eastAsia="zh-CN"/>
              </w:rPr>
            </w:pPr>
            <w:r w:rsidRPr="00DB0706">
              <w:rPr>
                <w:rFonts w:eastAsia="SimSun"/>
                <w:b/>
                <w:bCs/>
                <w:lang w:eastAsia="zh-CN"/>
              </w:rPr>
              <w:t>(94.5)</w:t>
            </w:r>
          </w:p>
        </w:tc>
        <w:tc>
          <w:tcPr>
            <w:tcW w:w="780" w:type="dxa"/>
            <w:tcBorders>
              <w:top w:val="single" w:sz="4" w:space="0" w:color="auto"/>
              <w:left w:val="nil"/>
              <w:bottom w:val="single" w:sz="4" w:space="0" w:color="auto"/>
              <w:right w:val="nil"/>
            </w:tcBorders>
            <w:vAlign w:val="bottom"/>
          </w:tcPr>
          <w:p w14:paraId="752207A7" w14:textId="404D0EB8" w:rsidR="000926A8" w:rsidRPr="00DB0706" w:rsidRDefault="000926A8" w:rsidP="000926A8">
            <w:pPr>
              <w:pStyle w:val="ExhibitText"/>
              <w:jc w:val="right"/>
              <w:rPr>
                <w:rFonts w:eastAsia="SimSun"/>
                <w:b/>
                <w:bCs/>
                <w:lang w:eastAsia="zh-CN"/>
              </w:rPr>
            </w:pPr>
            <w:r w:rsidRPr="00DB0706">
              <w:rPr>
                <w:rFonts w:eastAsia="SimSun"/>
                <w:b/>
                <w:bCs/>
                <w:lang w:eastAsia="zh-CN"/>
              </w:rPr>
              <w:t>(85.5)</w:t>
            </w:r>
          </w:p>
        </w:tc>
        <w:tc>
          <w:tcPr>
            <w:tcW w:w="780" w:type="dxa"/>
            <w:tcBorders>
              <w:top w:val="single" w:sz="4" w:space="0" w:color="auto"/>
              <w:left w:val="nil"/>
              <w:bottom w:val="single" w:sz="4" w:space="0" w:color="auto"/>
              <w:right w:val="nil"/>
            </w:tcBorders>
            <w:shd w:val="clear" w:color="auto" w:fill="auto"/>
            <w:noWrap/>
            <w:vAlign w:val="bottom"/>
            <w:hideMark/>
          </w:tcPr>
          <w:p w14:paraId="534CE4D0" w14:textId="7D5A78B5" w:rsidR="000926A8" w:rsidRPr="00DB0706" w:rsidRDefault="000926A8" w:rsidP="000926A8">
            <w:pPr>
              <w:pStyle w:val="ExhibitText"/>
              <w:jc w:val="right"/>
              <w:rPr>
                <w:rFonts w:eastAsia="SimSun"/>
                <w:b/>
                <w:bCs/>
                <w:lang w:eastAsia="zh-CN"/>
              </w:rPr>
            </w:pPr>
            <w:r w:rsidRPr="00DB0706">
              <w:rPr>
                <w:rFonts w:eastAsia="SimSun"/>
                <w:b/>
                <w:bCs/>
                <w:lang w:eastAsia="zh-CN"/>
              </w:rPr>
              <w:t>(66.6)</w:t>
            </w:r>
          </w:p>
        </w:tc>
      </w:tr>
      <w:tr w:rsidR="000926A8" w:rsidRPr="00DB0706" w14:paraId="474C62E8"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5C8E784E" w14:textId="77777777" w:rsidR="000926A8" w:rsidRPr="00DB0706" w:rsidRDefault="000926A8" w:rsidP="000926A8">
            <w:pPr>
              <w:pStyle w:val="ExhibitText"/>
              <w:rPr>
                <w:rFonts w:eastAsia="SimSun"/>
                <w:b/>
                <w:bCs/>
                <w:lang w:eastAsia="zh-CN"/>
              </w:rPr>
            </w:pPr>
            <w:r w:rsidRPr="00DB0706">
              <w:rPr>
                <w:rFonts w:eastAsia="SimSun"/>
                <w:b/>
                <w:bCs/>
                <w:lang w:eastAsia="zh-CN"/>
              </w:rPr>
              <w:t>Cash Flows from Financing Activities</w:t>
            </w:r>
          </w:p>
        </w:tc>
        <w:tc>
          <w:tcPr>
            <w:tcW w:w="780" w:type="dxa"/>
            <w:tcBorders>
              <w:top w:val="nil"/>
              <w:left w:val="nil"/>
              <w:bottom w:val="nil"/>
              <w:right w:val="nil"/>
            </w:tcBorders>
            <w:vAlign w:val="bottom"/>
          </w:tcPr>
          <w:p w14:paraId="228ECC1B" w14:textId="77777777" w:rsidR="000926A8" w:rsidRPr="00DB0706" w:rsidRDefault="000926A8" w:rsidP="000926A8">
            <w:pPr>
              <w:pStyle w:val="ExhibitText"/>
              <w:jc w:val="right"/>
              <w:rPr>
                <w:rFonts w:eastAsia="SimSun"/>
                <w:lang w:eastAsia="zh-CN"/>
              </w:rPr>
            </w:pPr>
          </w:p>
        </w:tc>
        <w:tc>
          <w:tcPr>
            <w:tcW w:w="780" w:type="dxa"/>
            <w:tcBorders>
              <w:top w:val="nil"/>
              <w:left w:val="nil"/>
              <w:bottom w:val="nil"/>
              <w:right w:val="nil"/>
            </w:tcBorders>
            <w:vAlign w:val="bottom"/>
          </w:tcPr>
          <w:p w14:paraId="6A8BC35D" w14:textId="77777777" w:rsidR="000926A8" w:rsidRPr="00DB0706" w:rsidRDefault="000926A8" w:rsidP="000926A8">
            <w:pPr>
              <w:pStyle w:val="ExhibitText"/>
              <w:jc w:val="right"/>
              <w:rPr>
                <w:rFonts w:eastAsia="SimSun"/>
                <w:lang w:eastAsia="zh-CN"/>
              </w:rPr>
            </w:pPr>
          </w:p>
        </w:tc>
        <w:tc>
          <w:tcPr>
            <w:tcW w:w="780" w:type="dxa"/>
            <w:tcBorders>
              <w:top w:val="nil"/>
              <w:left w:val="nil"/>
              <w:bottom w:val="nil"/>
              <w:right w:val="nil"/>
            </w:tcBorders>
            <w:shd w:val="clear" w:color="auto" w:fill="auto"/>
            <w:noWrap/>
            <w:vAlign w:val="bottom"/>
            <w:hideMark/>
          </w:tcPr>
          <w:p w14:paraId="60AA4158" w14:textId="2A6C95DC" w:rsidR="000926A8" w:rsidRPr="00DB0706" w:rsidRDefault="000926A8" w:rsidP="000926A8">
            <w:pPr>
              <w:pStyle w:val="ExhibitText"/>
              <w:jc w:val="right"/>
              <w:rPr>
                <w:rFonts w:eastAsia="SimSun"/>
                <w:lang w:eastAsia="zh-CN"/>
              </w:rPr>
            </w:pPr>
          </w:p>
        </w:tc>
      </w:tr>
      <w:tr w:rsidR="000926A8" w:rsidRPr="00DB0706" w14:paraId="79E0E99A"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587B29CF" w14:textId="77777777" w:rsidR="000926A8" w:rsidRPr="00DB0706" w:rsidRDefault="000926A8" w:rsidP="000926A8">
            <w:pPr>
              <w:pStyle w:val="ExhibitText"/>
              <w:rPr>
                <w:rFonts w:eastAsia="SimSun"/>
                <w:lang w:eastAsia="zh-CN"/>
              </w:rPr>
            </w:pPr>
            <w:r w:rsidRPr="00DB0706">
              <w:rPr>
                <w:rFonts w:eastAsia="SimSun"/>
                <w:lang w:eastAsia="zh-CN"/>
              </w:rPr>
              <w:t>Bank overdraft</w:t>
            </w:r>
          </w:p>
        </w:tc>
        <w:tc>
          <w:tcPr>
            <w:tcW w:w="780" w:type="dxa"/>
            <w:tcBorders>
              <w:top w:val="nil"/>
              <w:left w:val="nil"/>
              <w:bottom w:val="nil"/>
              <w:right w:val="nil"/>
            </w:tcBorders>
            <w:vAlign w:val="bottom"/>
          </w:tcPr>
          <w:p w14:paraId="33D05CB0" w14:textId="085771EA" w:rsidR="000926A8" w:rsidRPr="00DB0706" w:rsidRDefault="000926A8" w:rsidP="000926A8">
            <w:pPr>
              <w:pStyle w:val="ExhibitText"/>
              <w:jc w:val="right"/>
              <w:rPr>
                <w:rFonts w:eastAsia="SimSun"/>
                <w:lang w:eastAsia="zh-CN"/>
              </w:rPr>
            </w:pPr>
            <w:r w:rsidRPr="00DB0706">
              <w:rPr>
                <w:rFonts w:eastAsia="SimSun"/>
                <w:lang w:eastAsia="zh-CN"/>
              </w:rPr>
              <w:t xml:space="preserve">3.2 </w:t>
            </w:r>
          </w:p>
        </w:tc>
        <w:tc>
          <w:tcPr>
            <w:tcW w:w="780" w:type="dxa"/>
            <w:tcBorders>
              <w:top w:val="nil"/>
              <w:left w:val="nil"/>
              <w:bottom w:val="nil"/>
              <w:right w:val="nil"/>
            </w:tcBorders>
            <w:vAlign w:val="bottom"/>
          </w:tcPr>
          <w:p w14:paraId="43EFAEB3" w14:textId="673A75F1" w:rsidR="000926A8" w:rsidRPr="00DB0706" w:rsidRDefault="000926A8" w:rsidP="000926A8">
            <w:pPr>
              <w:pStyle w:val="ExhibitText"/>
              <w:jc w:val="right"/>
              <w:rPr>
                <w:rFonts w:eastAsia="SimSun"/>
                <w:lang w:eastAsia="zh-CN"/>
              </w:rPr>
            </w:pPr>
            <w:r w:rsidRPr="00DB0706">
              <w:rPr>
                <w:rFonts w:eastAsia="SimSun"/>
                <w:lang w:eastAsia="zh-CN"/>
              </w:rPr>
              <w:t xml:space="preserve">2.4 </w:t>
            </w:r>
          </w:p>
        </w:tc>
        <w:tc>
          <w:tcPr>
            <w:tcW w:w="780" w:type="dxa"/>
            <w:tcBorders>
              <w:top w:val="nil"/>
              <w:left w:val="nil"/>
              <w:bottom w:val="nil"/>
              <w:right w:val="nil"/>
            </w:tcBorders>
            <w:shd w:val="clear" w:color="auto" w:fill="auto"/>
            <w:noWrap/>
            <w:vAlign w:val="bottom"/>
            <w:hideMark/>
          </w:tcPr>
          <w:p w14:paraId="07FFC7A3" w14:textId="678AC8E3" w:rsidR="000926A8" w:rsidRPr="00DB0706" w:rsidRDefault="000926A8" w:rsidP="000926A8">
            <w:pPr>
              <w:pStyle w:val="ExhibitText"/>
              <w:jc w:val="right"/>
              <w:rPr>
                <w:rFonts w:eastAsia="SimSun"/>
                <w:lang w:eastAsia="zh-CN"/>
              </w:rPr>
            </w:pPr>
            <w:r w:rsidRPr="00DB0706">
              <w:rPr>
                <w:rFonts w:eastAsia="SimSun"/>
                <w:lang w:eastAsia="zh-CN"/>
              </w:rPr>
              <w:t xml:space="preserve">1.2 </w:t>
            </w:r>
          </w:p>
        </w:tc>
      </w:tr>
      <w:tr w:rsidR="000926A8" w:rsidRPr="00DB0706" w14:paraId="7A98D7EA"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446EA272" w14:textId="77777777" w:rsidR="000926A8" w:rsidRPr="00DB0706" w:rsidRDefault="000926A8" w:rsidP="000926A8">
            <w:pPr>
              <w:pStyle w:val="ExhibitText"/>
              <w:rPr>
                <w:rFonts w:eastAsia="SimSun"/>
                <w:lang w:eastAsia="zh-CN"/>
              </w:rPr>
            </w:pPr>
            <w:r w:rsidRPr="00DB0706">
              <w:rPr>
                <w:rFonts w:eastAsia="SimSun"/>
                <w:lang w:eastAsia="zh-CN"/>
              </w:rPr>
              <w:t>Net proceeds from non-equity financing</w:t>
            </w:r>
          </w:p>
        </w:tc>
        <w:tc>
          <w:tcPr>
            <w:tcW w:w="780" w:type="dxa"/>
            <w:tcBorders>
              <w:top w:val="nil"/>
              <w:left w:val="nil"/>
              <w:bottom w:val="nil"/>
              <w:right w:val="nil"/>
            </w:tcBorders>
            <w:vAlign w:val="bottom"/>
          </w:tcPr>
          <w:p w14:paraId="6DCCBE59" w14:textId="1DB9CABE" w:rsidR="000926A8" w:rsidRPr="00DB0706" w:rsidRDefault="000926A8" w:rsidP="000926A8">
            <w:pPr>
              <w:pStyle w:val="ExhibitText"/>
              <w:jc w:val="right"/>
              <w:rPr>
                <w:rFonts w:eastAsia="SimSun"/>
                <w:lang w:eastAsia="zh-CN"/>
              </w:rPr>
            </w:pPr>
            <w:r w:rsidRPr="00DB0706">
              <w:rPr>
                <w:rFonts w:eastAsia="SimSun"/>
                <w:lang w:eastAsia="zh-CN"/>
              </w:rPr>
              <w:t xml:space="preserve">70.3 </w:t>
            </w:r>
          </w:p>
        </w:tc>
        <w:tc>
          <w:tcPr>
            <w:tcW w:w="780" w:type="dxa"/>
            <w:tcBorders>
              <w:top w:val="nil"/>
              <w:left w:val="nil"/>
              <w:bottom w:val="nil"/>
              <w:right w:val="nil"/>
            </w:tcBorders>
            <w:vAlign w:val="bottom"/>
          </w:tcPr>
          <w:p w14:paraId="77B9DC58" w14:textId="48CB9B3B" w:rsidR="000926A8" w:rsidRPr="00DB0706" w:rsidRDefault="000926A8" w:rsidP="000926A8">
            <w:pPr>
              <w:pStyle w:val="ExhibitText"/>
              <w:jc w:val="right"/>
              <w:rPr>
                <w:rFonts w:eastAsia="SimSun"/>
                <w:lang w:eastAsia="zh-CN"/>
              </w:rPr>
            </w:pPr>
            <w:r w:rsidRPr="00DB0706">
              <w:rPr>
                <w:rFonts w:eastAsia="SimSun"/>
                <w:lang w:eastAsia="zh-CN"/>
              </w:rPr>
              <w:t xml:space="preserve">62.3 </w:t>
            </w:r>
          </w:p>
        </w:tc>
        <w:tc>
          <w:tcPr>
            <w:tcW w:w="780" w:type="dxa"/>
            <w:tcBorders>
              <w:top w:val="nil"/>
              <w:left w:val="nil"/>
              <w:bottom w:val="nil"/>
              <w:right w:val="nil"/>
            </w:tcBorders>
            <w:shd w:val="clear" w:color="auto" w:fill="auto"/>
            <w:noWrap/>
            <w:vAlign w:val="bottom"/>
            <w:hideMark/>
          </w:tcPr>
          <w:p w14:paraId="635ABFA9" w14:textId="6C896F49" w:rsidR="000926A8" w:rsidRPr="00DB0706" w:rsidRDefault="000926A8" w:rsidP="000926A8">
            <w:pPr>
              <w:pStyle w:val="ExhibitText"/>
              <w:jc w:val="right"/>
              <w:rPr>
                <w:rFonts w:eastAsia="SimSun"/>
                <w:lang w:eastAsia="zh-CN"/>
              </w:rPr>
            </w:pPr>
            <w:r w:rsidRPr="00DB0706">
              <w:rPr>
                <w:rFonts w:eastAsia="SimSun"/>
                <w:lang w:eastAsia="zh-CN"/>
              </w:rPr>
              <w:t xml:space="preserve">100.2 </w:t>
            </w:r>
          </w:p>
        </w:tc>
      </w:tr>
      <w:tr w:rsidR="000926A8" w:rsidRPr="00DB0706" w14:paraId="2F649876"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54A01488" w14:textId="77777777" w:rsidR="000926A8" w:rsidRPr="00DB0706" w:rsidRDefault="000926A8" w:rsidP="000926A8">
            <w:pPr>
              <w:pStyle w:val="ExhibitText"/>
              <w:rPr>
                <w:rFonts w:eastAsia="SimSun"/>
                <w:lang w:eastAsia="zh-CN"/>
              </w:rPr>
            </w:pPr>
            <w:r w:rsidRPr="00DB0706">
              <w:rPr>
                <w:rFonts w:eastAsia="SimSun"/>
                <w:lang w:eastAsia="zh-CN"/>
              </w:rPr>
              <w:t>Net proceeds from equity financing</w:t>
            </w:r>
          </w:p>
        </w:tc>
        <w:tc>
          <w:tcPr>
            <w:tcW w:w="780" w:type="dxa"/>
            <w:tcBorders>
              <w:top w:val="nil"/>
              <w:left w:val="nil"/>
              <w:bottom w:val="nil"/>
              <w:right w:val="nil"/>
            </w:tcBorders>
            <w:vAlign w:val="bottom"/>
          </w:tcPr>
          <w:p w14:paraId="78D4AFAC" w14:textId="7BA39F5B" w:rsidR="000926A8" w:rsidRPr="00DB0706" w:rsidRDefault="000926A8" w:rsidP="000926A8">
            <w:pPr>
              <w:pStyle w:val="ExhibitText"/>
              <w:jc w:val="right"/>
              <w:rPr>
                <w:rFonts w:eastAsia="SimSun"/>
                <w:lang w:eastAsia="zh-CN"/>
              </w:rPr>
            </w:pPr>
            <w:r w:rsidRPr="00DB0706">
              <w:rPr>
                <w:rFonts w:eastAsia="SimSun"/>
                <w:lang w:eastAsia="zh-CN"/>
              </w:rPr>
              <w:t>N/A</w:t>
            </w:r>
          </w:p>
        </w:tc>
        <w:tc>
          <w:tcPr>
            <w:tcW w:w="780" w:type="dxa"/>
            <w:tcBorders>
              <w:top w:val="nil"/>
              <w:left w:val="nil"/>
              <w:bottom w:val="nil"/>
              <w:right w:val="nil"/>
            </w:tcBorders>
            <w:vAlign w:val="bottom"/>
          </w:tcPr>
          <w:p w14:paraId="32F0F714" w14:textId="460F09DD" w:rsidR="000926A8" w:rsidRPr="00DB0706" w:rsidRDefault="000926A8" w:rsidP="000926A8">
            <w:pPr>
              <w:pStyle w:val="ExhibitText"/>
              <w:jc w:val="right"/>
              <w:rPr>
                <w:rFonts w:eastAsia="SimSun"/>
                <w:lang w:eastAsia="zh-CN"/>
              </w:rPr>
            </w:pPr>
            <w:r w:rsidRPr="00DB0706">
              <w:rPr>
                <w:rFonts w:eastAsia="SimSun"/>
                <w:lang w:eastAsia="zh-CN"/>
              </w:rPr>
              <w:t xml:space="preserve">0.0 </w:t>
            </w:r>
          </w:p>
        </w:tc>
        <w:tc>
          <w:tcPr>
            <w:tcW w:w="780" w:type="dxa"/>
            <w:tcBorders>
              <w:top w:val="nil"/>
              <w:left w:val="nil"/>
              <w:bottom w:val="nil"/>
              <w:right w:val="nil"/>
            </w:tcBorders>
            <w:shd w:val="clear" w:color="auto" w:fill="auto"/>
            <w:noWrap/>
            <w:vAlign w:val="bottom"/>
            <w:hideMark/>
          </w:tcPr>
          <w:p w14:paraId="1C408E3C" w14:textId="7F3F0E92" w:rsidR="000926A8" w:rsidRPr="00DB0706" w:rsidRDefault="000926A8" w:rsidP="000926A8">
            <w:pPr>
              <w:pStyle w:val="ExhibitText"/>
              <w:jc w:val="right"/>
              <w:rPr>
                <w:rFonts w:eastAsia="SimSun"/>
                <w:lang w:eastAsia="zh-CN"/>
              </w:rPr>
            </w:pPr>
            <w:r w:rsidRPr="00DB0706">
              <w:rPr>
                <w:rFonts w:eastAsia="SimSun"/>
                <w:lang w:eastAsia="zh-CN"/>
              </w:rPr>
              <w:t xml:space="preserve">8.3 </w:t>
            </w:r>
          </w:p>
        </w:tc>
      </w:tr>
      <w:tr w:rsidR="000926A8" w:rsidRPr="00DB0706" w14:paraId="537994E3"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4139ABE0" w14:textId="77777777" w:rsidR="000926A8" w:rsidRPr="00DB0706" w:rsidRDefault="000926A8" w:rsidP="000926A8">
            <w:pPr>
              <w:pStyle w:val="ExhibitText"/>
              <w:rPr>
                <w:rFonts w:eastAsia="SimSun"/>
                <w:lang w:eastAsia="zh-CN"/>
              </w:rPr>
            </w:pPr>
            <w:r w:rsidRPr="00DB0706">
              <w:rPr>
                <w:rFonts w:eastAsia="SimSun"/>
                <w:lang w:eastAsia="zh-CN"/>
              </w:rPr>
              <w:t>Repayment of derivative liabilities</w:t>
            </w:r>
          </w:p>
        </w:tc>
        <w:tc>
          <w:tcPr>
            <w:tcW w:w="780" w:type="dxa"/>
            <w:tcBorders>
              <w:top w:val="nil"/>
              <w:left w:val="nil"/>
              <w:bottom w:val="nil"/>
              <w:right w:val="nil"/>
            </w:tcBorders>
            <w:vAlign w:val="bottom"/>
          </w:tcPr>
          <w:p w14:paraId="2FE85A11" w14:textId="4F255913" w:rsidR="000926A8" w:rsidRPr="00DB0706" w:rsidRDefault="000926A8" w:rsidP="000926A8">
            <w:pPr>
              <w:pStyle w:val="ExhibitText"/>
              <w:jc w:val="right"/>
              <w:rPr>
                <w:rFonts w:eastAsia="SimSun"/>
                <w:lang w:eastAsia="zh-CN"/>
              </w:rPr>
            </w:pPr>
            <w:r w:rsidRPr="00DB0706">
              <w:rPr>
                <w:rFonts w:eastAsia="SimSun"/>
                <w:lang w:eastAsia="zh-CN"/>
              </w:rPr>
              <w:t>N/A</w:t>
            </w:r>
          </w:p>
        </w:tc>
        <w:tc>
          <w:tcPr>
            <w:tcW w:w="780" w:type="dxa"/>
            <w:tcBorders>
              <w:top w:val="nil"/>
              <w:left w:val="nil"/>
              <w:bottom w:val="nil"/>
              <w:right w:val="nil"/>
            </w:tcBorders>
            <w:vAlign w:val="bottom"/>
          </w:tcPr>
          <w:p w14:paraId="798FB63A" w14:textId="49FA3E8C" w:rsidR="000926A8" w:rsidRPr="00DB0706" w:rsidRDefault="000926A8" w:rsidP="000926A8">
            <w:pPr>
              <w:pStyle w:val="ExhibitText"/>
              <w:jc w:val="right"/>
              <w:rPr>
                <w:rFonts w:eastAsia="SimSun"/>
                <w:lang w:eastAsia="zh-CN"/>
              </w:rPr>
            </w:pPr>
            <w:r w:rsidRPr="00DB0706">
              <w:rPr>
                <w:rFonts w:eastAsia="SimSun"/>
                <w:lang w:eastAsia="zh-CN"/>
              </w:rPr>
              <w:t>N/A</w:t>
            </w:r>
          </w:p>
        </w:tc>
        <w:tc>
          <w:tcPr>
            <w:tcW w:w="780" w:type="dxa"/>
            <w:tcBorders>
              <w:top w:val="nil"/>
              <w:left w:val="nil"/>
              <w:bottom w:val="nil"/>
              <w:right w:val="nil"/>
            </w:tcBorders>
            <w:shd w:val="clear" w:color="auto" w:fill="auto"/>
            <w:noWrap/>
            <w:vAlign w:val="bottom"/>
            <w:hideMark/>
          </w:tcPr>
          <w:p w14:paraId="5C839560" w14:textId="0AB26647" w:rsidR="000926A8" w:rsidRPr="00DB0706" w:rsidRDefault="000926A8" w:rsidP="000926A8">
            <w:pPr>
              <w:pStyle w:val="ExhibitText"/>
              <w:jc w:val="right"/>
              <w:rPr>
                <w:rFonts w:eastAsia="SimSun"/>
                <w:lang w:eastAsia="zh-CN"/>
              </w:rPr>
            </w:pPr>
            <w:r w:rsidRPr="00DB0706">
              <w:rPr>
                <w:rFonts w:eastAsia="SimSun"/>
                <w:lang w:eastAsia="zh-CN"/>
              </w:rPr>
              <w:t>(31.8)</w:t>
            </w:r>
          </w:p>
        </w:tc>
      </w:tr>
      <w:tr w:rsidR="000926A8" w:rsidRPr="00DB0706" w14:paraId="0434B043"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7A51A0A7" w14:textId="77777777" w:rsidR="000926A8" w:rsidRPr="00DB0706" w:rsidRDefault="000926A8" w:rsidP="000926A8">
            <w:pPr>
              <w:pStyle w:val="ExhibitText"/>
              <w:rPr>
                <w:rFonts w:eastAsia="SimSun"/>
                <w:lang w:eastAsia="zh-CN"/>
              </w:rPr>
            </w:pPr>
            <w:r w:rsidRPr="00DB0706">
              <w:rPr>
                <w:rFonts w:eastAsia="SimSun"/>
                <w:lang w:eastAsia="zh-CN"/>
              </w:rPr>
              <w:t>Payment of dividends</w:t>
            </w:r>
          </w:p>
        </w:tc>
        <w:tc>
          <w:tcPr>
            <w:tcW w:w="780" w:type="dxa"/>
            <w:tcBorders>
              <w:top w:val="nil"/>
              <w:left w:val="nil"/>
              <w:bottom w:val="nil"/>
              <w:right w:val="nil"/>
            </w:tcBorders>
            <w:vAlign w:val="bottom"/>
          </w:tcPr>
          <w:p w14:paraId="042EDFB6" w14:textId="66D700D9" w:rsidR="000926A8" w:rsidRPr="00DB0706" w:rsidRDefault="000926A8" w:rsidP="000926A8">
            <w:pPr>
              <w:pStyle w:val="ExhibitText"/>
              <w:jc w:val="right"/>
              <w:rPr>
                <w:rFonts w:eastAsia="SimSun"/>
                <w:lang w:eastAsia="zh-CN"/>
              </w:rPr>
            </w:pPr>
            <w:r w:rsidRPr="00DB0706">
              <w:rPr>
                <w:rFonts w:eastAsia="SimSun"/>
                <w:lang w:eastAsia="zh-CN"/>
              </w:rPr>
              <w:t>(2.3)</w:t>
            </w:r>
          </w:p>
        </w:tc>
        <w:tc>
          <w:tcPr>
            <w:tcW w:w="780" w:type="dxa"/>
            <w:tcBorders>
              <w:top w:val="nil"/>
              <w:left w:val="nil"/>
              <w:bottom w:val="nil"/>
              <w:right w:val="nil"/>
            </w:tcBorders>
            <w:vAlign w:val="bottom"/>
          </w:tcPr>
          <w:p w14:paraId="7D6479C4" w14:textId="203E63D8" w:rsidR="000926A8" w:rsidRPr="00DB0706" w:rsidRDefault="000926A8" w:rsidP="000926A8">
            <w:pPr>
              <w:pStyle w:val="ExhibitText"/>
              <w:jc w:val="right"/>
              <w:rPr>
                <w:rFonts w:eastAsia="SimSun"/>
                <w:lang w:eastAsia="zh-CN"/>
              </w:rPr>
            </w:pPr>
            <w:r w:rsidRPr="00DB0706">
              <w:rPr>
                <w:rFonts w:eastAsia="SimSun"/>
                <w:lang w:eastAsia="zh-CN"/>
              </w:rPr>
              <w:t>(5.3)</w:t>
            </w:r>
          </w:p>
        </w:tc>
        <w:tc>
          <w:tcPr>
            <w:tcW w:w="780" w:type="dxa"/>
            <w:tcBorders>
              <w:top w:val="nil"/>
              <w:left w:val="nil"/>
              <w:bottom w:val="nil"/>
              <w:right w:val="nil"/>
            </w:tcBorders>
            <w:shd w:val="clear" w:color="auto" w:fill="auto"/>
            <w:noWrap/>
            <w:vAlign w:val="bottom"/>
            <w:hideMark/>
          </w:tcPr>
          <w:p w14:paraId="288D1EDB" w14:textId="1CBC922F" w:rsidR="000926A8" w:rsidRPr="00DB0706" w:rsidRDefault="000926A8" w:rsidP="000926A8">
            <w:pPr>
              <w:pStyle w:val="ExhibitText"/>
              <w:jc w:val="right"/>
              <w:rPr>
                <w:rFonts w:eastAsia="SimSun"/>
                <w:lang w:eastAsia="zh-CN"/>
              </w:rPr>
            </w:pPr>
            <w:r w:rsidRPr="00DB0706">
              <w:rPr>
                <w:rFonts w:eastAsia="SimSun"/>
                <w:lang w:eastAsia="zh-CN"/>
              </w:rPr>
              <w:t>(8.2)</w:t>
            </w:r>
          </w:p>
        </w:tc>
      </w:tr>
      <w:tr w:rsidR="000926A8" w:rsidRPr="00DB0706" w14:paraId="4B95BC31"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745ABF45" w14:textId="77777777" w:rsidR="000926A8" w:rsidRPr="00DB0706" w:rsidRDefault="000926A8" w:rsidP="000926A8">
            <w:pPr>
              <w:pStyle w:val="ExhibitText"/>
              <w:rPr>
                <w:rFonts w:eastAsia="SimSun"/>
                <w:lang w:eastAsia="zh-CN"/>
              </w:rPr>
            </w:pPr>
            <w:r w:rsidRPr="00DB0706">
              <w:rPr>
                <w:rFonts w:eastAsia="SimSun"/>
                <w:lang w:eastAsia="zh-CN"/>
              </w:rPr>
              <w:t>Finance lease payments</w:t>
            </w:r>
          </w:p>
        </w:tc>
        <w:tc>
          <w:tcPr>
            <w:tcW w:w="780" w:type="dxa"/>
            <w:tcBorders>
              <w:top w:val="nil"/>
              <w:left w:val="nil"/>
              <w:bottom w:val="nil"/>
              <w:right w:val="nil"/>
            </w:tcBorders>
            <w:vAlign w:val="bottom"/>
          </w:tcPr>
          <w:p w14:paraId="2A8276BD" w14:textId="61486197" w:rsidR="000926A8" w:rsidRPr="00DB0706" w:rsidRDefault="000926A8" w:rsidP="000926A8">
            <w:pPr>
              <w:pStyle w:val="ExhibitText"/>
              <w:jc w:val="right"/>
              <w:rPr>
                <w:rFonts w:eastAsia="SimSun"/>
                <w:lang w:eastAsia="zh-CN"/>
              </w:rPr>
            </w:pPr>
            <w:r w:rsidRPr="00DB0706">
              <w:rPr>
                <w:rFonts w:eastAsia="SimSun"/>
                <w:lang w:eastAsia="zh-CN"/>
              </w:rPr>
              <w:t>N/A</w:t>
            </w:r>
          </w:p>
        </w:tc>
        <w:tc>
          <w:tcPr>
            <w:tcW w:w="780" w:type="dxa"/>
            <w:tcBorders>
              <w:top w:val="nil"/>
              <w:left w:val="nil"/>
              <w:bottom w:val="nil"/>
              <w:right w:val="nil"/>
            </w:tcBorders>
            <w:vAlign w:val="bottom"/>
          </w:tcPr>
          <w:p w14:paraId="29CAA303" w14:textId="148906ED" w:rsidR="000926A8" w:rsidRPr="00DB0706" w:rsidRDefault="000926A8" w:rsidP="000926A8">
            <w:pPr>
              <w:pStyle w:val="ExhibitText"/>
              <w:jc w:val="right"/>
              <w:rPr>
                <w:rFonts w:eastAsia="SimSun"/>
                <w:lang w:eastAsia="zh-CN"/>
              </w:rPr>
            </w:pPr>
            <w:r w:rsidRPr="00DB0706">
              <w:rPr>
                <w:rFonts w:eastAsia="SimSun"/>
                <w:lang w:eastAsia="zh-CN"/>
              </w:rPr>
              <w:t>(1.2)</w:t>
            </w:r>
          </w:p>
        </w:tc>
        <w:tc>
          <w:tcPr>
            <w:tcW w:w="780" w:type="dxa"/>
            <w:tcBorders>
              <w:top w:val="nil"/>
              <w:left w:val="nil"/>
              <w:bottom w:val="nil"/>
              <w:right w:val="nil"/>
            </w:tcBorders>
            <w:shd w:val="clear" w:color="auto" w:fill="auto"/>
            <w:noWrap/>
            <w:vAlign w:val="bottom"/>
            <w:hideMark/>
          </w:tcPr>
          <w:p w14:paraId="5868BE77" w14:textId="1709C780" w:rsidR="000926A8" w:rsidRPr="00DB0706" w:rsidRDefault="000926A8" w:rsidP="000926A8">
            <w:pPr>
              <w:pStyle w:val="ExhibitText"/>
              <w:jc w:val="right"/>
              <w:rPr>
                <w:rFonts w:eastAsia="SimSun"/>
                <w:lang w:eastAsia="zh-CN"/>
              </w:rPr>
            </w:pPr>
            <w:r w:rsidRPr="00DB0706">
              <w:rPr>
                <w:rFonts w:eastAsia="SimSun"/>
                <w:lang w:eastAsia="zh-CN"/>
              </w:rPr>
              <w:t>(2.2)</w:t>
            </w:r>
          </w:p>
        </w:tc>
      </w:tr>
      <w:tr w:rsidR="000926A8" w:rsidRPr="00DB0706" w14:paraId="2171136C"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4A6190E5" w14:textId="77777777" w:rsidR="000926A8" w:rsidRPr="00DB0706" w:rsidRDefault="000926A8" w:rsidP="000926A8">
            <w:pPr>
              <w:pStyle w:val="ExhibitText"/>
              <w:rPr>
                <w:rFonts w:eastAsia="SimSun"/>
                <w:lang w:eastAsia="zh-CN"/>
              </w:rPr>
            </w:pPr>
            <w:r w:rsidRPr="00DB0706">
              <w:rPr>
                <w:rFonts w:eastAsia="SimSun"/>
                <w:lang w:eastAsia="zh-CN"/>
              </w:rPr>
              <w:t>Net repayments of bank loans</w:t>
            </w:r>
          </w:p>
        </w:tc>
        <w:tc>
          <w:tcPr>
            <w:tcW w:w="780" w:type="dxa"/>
            <w:tcBorders>
              <w:top w:val="nil"/>
              <w:left w:val="nil"/>
              <w:bottom w:val="nil"/>
              <w:right w:val="nil"/>
            </w:tcBorders>
            <w:vAlign w:val="bottom"/>
          </w:tcPr>
          <w:p w14:paraId="5015AE96" w14:textId="30D4D91D" w:rsidR="000926A8" w:rsidRPr="00DB0706" w:rsidRDefault="000926A8" w:rsidP="000926A8">
            <w:pPr>
              <w:pStyle w:val="ExhibitText"/>
              <w:jc w:val="right"/>
              <w:rPr>
                <w:rFonts w:eastAsia="SimSun"/>
                <w:lang w:eastAsia="zh-CN"/>
              </w:rPr>
            </w:pPr>
            <w:r w:rsidRPr="00DB0706">
              <w:rPr>
                <w:rFonts w:eastAsia="SimSun"/>
                <w:lang w:eastAsia="zh-CN"/>
              </w:rPr>
              <w:t>(21.6)</w:t>
            </w:r>
          </w:p>
        </w:tc>
        <w:tc>
          <w:tcPr>
            <w:tcW w:w="780" w:type="dxa"/>
            <w:tcBorders>
              <w:top w:val="nil"/>
              <w:left w:val="nil"/>
              <w:bottom w:val="nil"/>
              <w:right w:val="nil"/>
            </w:tcBorders>
            <w:vAlign w:val="bottom"/>
          </w:tcPr>
          <w:p w14:paraId="6E9040B6" w14:textId="67DB6113" w:rsidR="000926A8" w:rsidRPr="00DB0706" w:rsidRDefault="000926A8" w:rsidP="000926A8">
            <w:pPr>
              <w:pStyle w:val="ExhibitText"/>
              <w:jc w:val="right"/>
              <w:rPr>
                <w:rFonts w:eastAsia="SimSun"/>
                <w:lang w:eastAsia="zh-CN"/>
              </w:rPr>
            </w:pPr>
            <w:r w:rsidRPr="00DB0706">
              <w:rPr>
                <w:rFonts w:eastAsia="SimSun"/>
                <w:lang w:eastAsia="zh-CN"/>
              </w:rPr>
              <w:t>(6.1)</w:t>
            </w:r>
          </w:p>
        </w:tc>
        <w:tc>
          <w:tcPr>
            <w:tcW w:w="780" w:type="dxa"/>
            <w:tcBorders>
              <w:top w:val="nil"/>
              <w:left w:val="nil"/>
              <w:bottom w:val="nil"/>
              <w:right w:val="nil"/>
            </w:tcBorders>
            <w:shd w:val="clear" w:color="auto" w:fill="auto"/>
            <w:noWrap/>
            <w:vAlign w:val="bottom"/>
            <w:hideMark/>
          </w:tcPr>
          <w:p w14:paraId="1C008D04" w14:textId="780D4CC4" w:rsidR="000926A8" w:rsidRPr="00DB0706" w:rsidRDefault="000926A8" w:rsidP="000926A8">
            <w:pPr>
              <w:pStyle w:val="ExhibitText"/>
              <w:jc w:val="right"/>
              <w:rPr>
                <w:rFonts w:eastAsia="SimSun"/>
                <w:lang w:eastAsia="zh-CN"/>
              </w:rPr>
            </w:pPr>
            <w:r w:rsidRPr="00DB0706">
              <w:rPr>
                <w:rFonts w:eastAsia="SimSun"/>
                <w:lang w:eastAsia="zh-CN"/>
              </w:rPr>
              <w:t>(5.4)</w:t>
            </w:r>
          </w:p>
        </w:tc>
      </w:tr>
      <w:tr w:rsidR="000926A8" w:rsidRPr="00DB0706" w14:paraId="7B8A8241" w14:textId="77777777" w:rsidTr="000926A8">
        <w:trPr>
          <w:trHeight w:val="240"/>
          <w:jc w:val="center"/>
        </w:trPr>
        <w:tc>
          <w:tcPr>
            <w:tcW w:w="6100" w:type="dxa"/>
            <w:tcBorders>
              <w:top w:val="single" w:sz="4" w:space="0" w:color="auto"/>
              <w:left w:val="nil"/>
              <w:bottom w:val="single" w:sz="4" w:space="0" w:color="auto"/>
              <w:right w:val="nil"/>
            </w:tcBorders>
            <w:shd w:val="clear" w:color="auto" w:fill="auto"/>
            <w:noWrap/>
            <w:vAlign w:val="bottom"/>
            <w:hideMark/>
          </w:tcPr>
          <w:p w14:paraId="0A02E0CB" w14:textId="77777777" w:rsidR="000926A8" w:rsidRPr="00DB0706" w:rsidRDefault="000926A8" w:rsidP="000926A8">
            <w:pPr>
              <w:pStyle w:val="ExhibitText"/>
              <w:rPr>
                <w:rFonts w:eastAsia="SimSun"/>
                <w:b/>
                <w:bCs/>
                <w:lang w:eastAsia="zh-CN"/>
              </w:rPr>
            </w:pPr>
            <w:r w:rsidRPr="00DB0706">
              <w:rPr>
                <w:rFonts w:eastAsia="SimSun"/>
                <w:b/>
                <w:bCs/>
                <w:lang w:eastAsia="zh-CN"/>
              </w:rPr>
              <w:t>Net Cash Provided by Financing Activities</w:t>
            </w:r>
          </w:p>
        </w:tc>
        <w:tc>
          <w:tcPr>
            <w:tcW w:w="780" w:type="dxa"/>
            <w:tcBorders>
              <w:top w:val="single" w:sz="4" w:space="0" w:color="auto"/>
              <w:left w:val="nil"/>
              <w:bottom w:val="single" w:sz="4" w:space="0" w:color="auto"/>
              <w:right w:val="nil"/>
            </w:tcBorders>
            <w:vAlign w:val="bottom"/>
          </w:tcPr>
          <w:p w14:paraId="6B9D5CA2" w14:textId="7099FFA7" w:rsidR="000926A8" w:rsidRPr="00DB0706" w:rsidRDefault="000926A8" w:rsidP="000926A8">
            <w:pPr>
              <w:pStyle w:val="ExhibitText"/>
              <w:jc w:val="right"/>
              <w:rPr>
                <w:rFonts w:eastAsia="SimSun"/>
                <w:b/>
                <w:bCs/>
                <w:lang w:eastAsia="zh-CN"/>
              </w:rPr>
            </w:pPr>
            <w:r w:rsidRPr="00DB0706">
              <w:rPr>
                <w:rFonts w:eastAsia="SimSun"/>
                <w:b/>
                <w:bCs/>
                <w:lang w:eastAsia="zh-CN"/>
              </w:rPr>
              <w:t xml:space="preserve">49.6 </w:t>
            </w:r>
          </w:p>
        </w:tc>
        <w:tc>
          <w:tcPr>
            <w:tcW w:w="780" w:type="dxa"/>
            <w:tcBorders>
              <w:top w:val="single" w:sz="4" w:space="0" w:color="auto"/>
              <w:left w:val="nil"/>
              <w:bottom w:val="single" w:sz="4" w:space="0" w:color="auto"/>
              <w:right w:val="nil"/>
            </w:tcBorders>
            <w:vAlign w:val="bottom"/>
          </w:tcPr>
          <w:p w14:paraId="7D6AD9F4" w14:textId="662811D5" w:rsidR="000926A8" w:rsidRPr="00DB0706" w:rsidRDefault="000926A8" w:rsidP="000926A8">
            <w:pPr>
              <w:pStyle w:val="ExhibitText"/>
              <w:jc w:val="right"/>
              <w:rPr>
                <w:rFonts w:eastAsia="SimSun"/>
                <w:b/>
                <w:bCs/>
                <w:lang w:eastAsia="zh-CN"/>
              </w:rPr>
            </w:pPr>
            <w:r w:rsidRPr="00DB0706">
              <w:rPr>
                <w:rFonts w:eastAsia="SimSun"/>
                <w:b/>
                <w:bCs/>
                <w:lang w:eastAsia="zh-CN"/>
              </w:rPr>
              <w:t xml:space="preserve">52.2 </w:t>
            </w:r>
          </w:p>
        </w:tc>
        <w:tc>
          <w:tcPr>
            <w:tcW w:w="780" w:type="dxa"/>
            <w:tcBorders>
              <w:top w:val="single" w:sz="4" w:space="0" w:color="auto"/>
              <w:left w:val="nil"/>
              <w:bottom w:val="single" w:sz="4" w:space="0" w:color="auto"/>
              <w:right w:val="nil"/>
            </w:tcBorders>
            <w:shd w:val="clear" w:color="auto" w:fill="auto"/>
            <w:noWrap/>
            <w:vAlign w:val="bottom"/>
            <w:hideMark/>
          </w:tcPr>
          <w:p w14:paraId="2B768BF6" w14:textId="0A641F53" w:rsidR="000926A8" w:rsidRPr="00DB0706" w:rsidRDefault="000926A8" w:rsidP="000926A8">
            <w:pPr>
              <w:pStyle w:val="ExhibitText"/>
              <w:jc w:val="right"/>
              <w:rPr>
                <w:rFonts w:eastAsia="SimSun"/>
                <w:b/>
                <w:bCs/>
                <w:lang w:eastAsia="zh-CN"/>
              </w:rPr>
            </w:pPr>
            <w:r w:rsidRPr="00DB0706">
              <w:rPr>
                <w:rFonts w:eastAsia="SimSun"/>
                <w:b/>
                <w:bCs/>
                <w:lang w:eastAsia="zh-CN"/>
              </w:rPr>
              <w:t xml:space="preserve">61.9 </w:t>
            </w:r>
          </w:p>
        </w:tc>
      </w:tr>
      <w:tr w:rsidR="000926A8" w:rsidRPr="00DB0706" w14:paraId="5D695C4A" w14:textId="77777777" w:rsidTr="000926A8">
        <w:trPr>
          <w:trHeight w:val="240"/>
          <w:jc w:val="center"/>
        </w:trPr>
        <w:tc>
          <w:tcPr>
            <w:tcW w:w="6100" w:type="dxa"/>
            <w:tcBorders>
              <w:top w:val="nil"/>
              <w:left w:val="nil"/>
              <w:bottom w:val="single" w:sz="4" w:space="0" w:color="auto"/>
              <w:right w:val="nil"/>
            </w:tcBorders>
            <w:shd w:val="clear" w:color="auto" w:fill="auto"/>
            <w:noWrap/>
            <w:vAlign w:val="bottom"/>
            <w:hideMark/>
          </w:tcPr>
          <w:p w14:paraId="0BB3FFD6" w14:textId="77777777" w:rsidR="000926A8" w:rsidRPr="00DB0706" w:rsidRDefault="000926A8" w:rsidP="000926A8">
            <w:pPr>
              <w:pStyle w:val="ExhibitText"/>
              <w:rPr>
                <w:rFonts w:eastAsia="SimSun"/>
                <w:lang w:eastAsia="zh-CN"/>
              </w:rPr>
            </w:pPr>
            <w:r w:rsidRPr="00DB0706">
              <w:rPr>
                <w:rFonts w:eastAsia="SimSun"/>
                <w:lang w:eastAsia="zh-CN"/>
              </w:rPr>
              <w:t>Effect of Foreign Exchange on Cash and Cash Equivalents</w:t>
            </w:r>
          </w:p>
        </w:tc>
        <w:tc>
          <w:tcPr>
            <w:tcW w:w="780" w:type="dxa"/>
            <w:tcBorders>
              <w:top w:val="nil"/>
              <w:left w:val="nil"/>
              <w:bottom w:val="single" w:sz="4" w:space="0" w:color="auto"/>
              <w:right w:val="nil"/>
            </w:tcBorders>
            <w:vAlign w:val="bottom"/>
          </w:tcPr>
          <w:p w14:paraId="4C6C9690" w14:textId="5EF1ACDE" w:rsidR="000926A8" w:rsidRPr="00DB0706" w:rsidRDefault="000926A8" w:rsidP="000926A8">
            <w:pPr>
              <w:pStyle w:val="ExhibitText"/>
              <w:jc w:val="right"/>
              <w:rPr>
                <w:rFonts w:eastAsia="SimSun"/>
                <w:lang w:eastAsia="zh-CN"/>
              </w:rPr>
            </w:pPr>
            <w:r w:rsidRPr="00DB0706">
              <w:rPr>
                <w:rFonts w:eastAsia="SimSun"/>
                <w:lang w:eastAsia="zh-CN"/>
              </w:rPr>
              <w:t>(0.0)</w:t>
            </w:r>
          </w:p>
        </w:tc>
        <w:tc>
          <w:tcPr>
            <w:tcW w:w="780" w:type="dxa"/>
            <w:tcBorders>
              <w:top w:val="nil"/>
              <w:left w:val="nil"/>
              <w:bottom w:val="single" w:sz="4" w:space="0" w:color="auto"/>
              <w:right w:val="nil"/>
            </w:tcBorders>
            <w:vAlign w:val="bottom"/>
          </w:tcPr>
          <w:p w14:paraId="1B376F51" w14:textId="2A4102DB" w:rsidR="000926A8" w:rsidRPr="00DB0706" w:rsidRDefault="000926A8" w:rsidP="000926A8">
            <w:pPr>
              <w:pStyle w:val="ExhibitText"/>
              <w:jc w:val="right"/>
              <w:rPr>
                <w:rFonts w:eastAsia="SimSun"/>
                <w:lang w:eastAsia="zh-CN"/>
              </w:rPr>
            </w:pPr>
            <w:r w:rsidRPr="00DB0706">
              <w:rPr>
                <w:rFonts w:eastAsia="SimSun"/>
                <w:lang w:eastAsia="zh-CN"/>
              </w:rPr>
              <w:t>(0.1)</w:t>
            </w:r>
          </w:p>
        </w:tc>
        <w:tc>
          <w:tcPr>
            <w:tcW w:w="780" w:type="dxa"/>
            <w:tcBorders>
              <w:top w:val="nil"/>
              <w:left w:val="nil"/>
              <w:bottom w:val="single" w:sz="4" w:space="0" w:color="auto"/>
              <w:right w:val="nil"/>
            </w:tcBorders>
            <w:shd w:val="clear" w:color="auto" w:fill="auto"/>
            <w:noWrap/>
            <w:vAlign w:val="bottom"/>
            <w:hideMark/>
          </w:tcPr>
          <w:p w14:paraId="136A70EA" w14:textId="65B280BB" w:rsidR="000926A8" w:rsidRPr="00DB0706" w:rsidRDefault="000926A8" w:rsidP="000926A8">
            <w:pPr>
              <w:pStyle w:val="ExhibitText"/>
              <w:jc w:val="right"/>
              <w:rPr>
                <w:rFonts w:eastAsia="SimSun"/>
                <w:lang w:eastAsia="zh-CN"/>
              </w:rPr>
            </w:pPr>
            <w:r w:rsidRPr="00DB0706">
              <w:rPr>
                <w:rFonts w:eastAsia="SimSun"/>
                <w:lang w:eastAsia="zh-CN"/>
              </w:rPr>
              <w:t>(0.0)</w:t>
            </w:r>
          </w:p>
        </w:tc>
      </w:tr>
      <w:tr w:rsidR="000926A8" w:rsidRPr="00DB0706" w14:paraId="487CCA78"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2E06632B" w14:textId="77777777" w:rsidR="000926A8" w:rsidRPr="00DB0706" w:rsidRDefault="000926A8" w:rsidP="000926A8">
            <w:pPr>
              <w:pStyle w:val="ExhibitText"/>
              <w:rPr>
                <w:rFonts w:eastAsia="SimSun"/>
                <w:b/>
                <w:bCs/>
                <w:lang w:eastAsia="zh-CN"/>
              </w:rPr>
            </w:pPr>
            <w:r w:rsidRPr="00DB0706">
              <w:rPr>
                <w:rFonts w:eastAsia="SimSun"/>
                <w:b/>
                <w:bCs/>
                <w:lang w:eastAsia="zh-CN"/>
              </w:rPr>
              <w:t>Net Increase/(Decrease) in Cash and Cash Equivalents</w:t>
            </w:r>
          </w:p>
        </w:tc>
        <w:tc>
          <w:tcPr>
            <w:tcW w:w="780" w:type="dxa"/>
            <w:tcBorders>
              <w:top w:val="nil"/>
              <w:left w:val="nil"/>
              <w:bottom w:val="nil"/>
              <w:right w:val="nil"/>
            </w:tcBorders>
            <w:vAlign w:val="bottom"/>
          </w:tcPr>
          <w:p w14:paraId="270E1B2E" w14:textId="78819C95" w:rsidR="000926A8" w:rsidRPr="00DB0706" w:rsidRDefault="000926A8" w:rsidP="000926A8">
            <w:pPr>
              <w:pStyle w:val="ExhibitText"/>
              <w:jc w:val="right"/>
              <w:rPr>
                <w:rFonts w:eastAsia="SimSun"/>
                <w:b/>
                <w:bCs/>
                <w:lang w:eastAsia="zh-CN"/>
              </w:rPr>
            </w:pPr>
            <w:r w:rsidRPr="00DB0706">
              <w:rPr>
                <w:rFonts w:eastAsia="SimSun"/>
                <w:b/>
                <w:bCs/>
                <w:lang w:eastAsia="zh-CN"/>
              </w:rPr>
              <w:t>(3.5)</w:t>
            </w:r>
          </w:p>
        </w:tc>
        <w:tc>
          <w:tcPr>
            <w:tcW w:w="780" w:type="dxa"/>
            <w:tcBorders>
              <w:top w:val="nil"/>
              <w:left w:val="nil"/>
              <w:bottom w:val="nil"/>
              <w:right w:val="nil"/>
            </w:tcBorders>
            <w:vAlign w:val="bottom"/>
          </w:tcPr>
          <w:p w14:paraId="41DC58C9" w14:textId="1B17434F" w:rsidR="000926A8" w:rsidRPr="00DB0706" w:rsidRDefault="000926A8" w:rsidP="000926A8">
            <w:pPr>
              <w:pStyle w:val="ExhibitText"/>
              <w:jc w:val="right"/>
              <w:rPr>
                <w:rFonts w:eastAsia="SimSun"/>
                <w:b/>
                <w:bCs/>
                <w:lang w:eastAsia="zh-CN"/>
              </w:rPr>
            </w:pPr>
            <w:r w:rsidRPr="00DB0706">
              <w:rPr>
                <w:rFonts w:eastAsia="SimSun"/>
                <w:b/>
                <w:bCs/>
                <w:lang w:eastAsia="zh-CN"/>
              </w:rPr>
              <w:t xml:space="preserve">1.3 </w:t>
            </w:r>
          </w:p>
        </w:tc>
        <w:tc>
          <w:tcPr>
            <w:tcW w:w="780" w:type="dxa"/>
            <w:tcBorders>
              <w:top w:val="nil"/>
              <w:left w:val="nil"/>
              <w:bottom w:val="nil"/>
              <w:right w:val="nil"/>
            </w:tcBorders>
            <w:shd w:val="clear" w:color="auto" w:fill="auto"/>
            <w:noWrap/>
            <w:vAlign w:val="bottom"/>
            <w:hideMark/>
          </w:tcPr>
          <w:p w14:paraId="46172BC2" w14:textId="30DA2605" w:rsidR="000926A8" w:rsidRPr="00DB0706" w:rsidRDefault="000926A8" w:rsidP="000926A8">
            <w:pPr>
              <w:pStyle w:val="ExhibitText"/>
              <w:jc w:val="right"/>
              <w:rPr>
                <w:rFonts w:eastAsia="SimSun"/>
                <w:b/>
                <w:bCs/>
                <w:lang w:eastAsia="zh-CN"/>
              </w:rPr>
            </w:pPr>
            <w:r w:rsidRPr="00DB0706">
              <w:rPr>
                <w:rFonts w:eastAsia="SimSun"/>
                <w:b/>
                <w:bCs/>
                <w:lang w:eastAsia="zh-CN"/>
              </w:rPr>
              <w:t>(1.0)</w:t>
            </w:r>
          </w:p>
        </w:tc>
      </w:tr>
      <w:tr w:rsidR="000926A8" w:rsidRPr="00DB0706" w14:paraId="01403DF6" w14:textId="77777777" w:rsidTr="000926A8">
        <w:trPr>
          <w:trHeight w:val="240"/>
          <w:jc w:val="center"/>
        </w:trPr>
        <w:tc>
          <w:tcPr>
            <w:tcW w:w="6100" w:type="dxa"/>
            <w:tcBorders>
              <w:top w:val="nil"/>
              <w:left w:val="nil"/>
              <w:bottom w:val="nil"/>
              <w:right w:val="nil"/>
            </w:tcBorders>
            <w:shd w:val="clear" w:color="auto" w:fill="auto"/>
            <w:noWrap/>
            <w:vAlign w:val="bottom"/>
            <w:hideMark/>
          </w:tcPr>
          <w:p w14:paraId="7670393A" w14:textId="77777777" w:rsidR="000926A8" w:rsidRPr="00DB0706" w:rsidRDefault="000926A8" w:rsidP="000926A8">
            <w:pPr>
              <w:pStyle w:val="ExhibitText"/>
              <w:rPr>
                <w:rFonts w:eastAsia="SimSun"/>
                <w:lang w:eastAsia="zh-CN"/>
              </w:rPr>
            </w:pPr>
            <w:r w:rsidRPr="00DB0706">
              <w:rPr>
                <w:rFonts w:eastAsia="SimSun"/>
                <w:lang w:eastAsia="zh-CN"/>
              </w:rPr>
              <w:t>Cash and Cash Equivalents, Beginning of the Year</w:t>
            </w:r>
          </w:p>
        </w:tc>
        <w:tc>
          <w:tcPr>
            <w:tcW w:w="780" w:type="dxa"/>
            <w:tcBorders>
              <w:top w:val="nil"/>
              <w:left w:val="nil"/>
              <w:bottom w:val="nil"/>
              <w:right w:val="nil"/>
            </w:tcBorders>
            <w:vAlign w:val="bottom"/>
          </w:tcPr>
          <w:p w14:paraId="16E07EC7" w14:textId="1F60FB77" w:rsidR="000926A8" w:rsidRPr="00DB0706" w:rsidRDefault="000926A8" w:rsidP="000926A8">
            <w:pPr>
              <w:pStyle w:val="ExhibitText"/>
              <w:jc w:val="right"/>
              <w:rPr>
                <w:rFonts w:eastAsia="SimSun"/>
                <w:lang w:eastAsia="zh-CN"/>
              </w:rPr>
            </w:pPr>
            <w:r w:rsidRPr="00DB0706">
              <w:rPr>
                <w:rFonts w:eastAsia="SimSun"/>
                <w:lang w:eastAsia="zh-CN"/>
              </w:rPr>
              <w:t xml:space="preserve">4.5 </w:t>
            </w:r>
          </w:p>
        </w:tc>
        <w:tc>
          <w:tcPr>
            <w:tcW w:w="780" w:type="dxa"/>
            <w:tcBorders>
              <w:top w:val="nil"/>
              <w:left w:val="nil"/>
              <w:bottom w:val="nil"/>
              <w:right w:val="nil"/>
            </w:tcBorders>
            <w:vAlign w:val="bottom"/>
          </w:tcPr>
          <w:p w14:paraId="64F4E0B4" w14:textId="667DE691" w:rsidR="000926A8" w:rsidRPr="00DB0706" w:rsidRDefault="000926A8" w:rsidP="000926A8">
            <w:pPr>
              <w:pStyle w:val="ExhibitText"/>
              <w:jc w:val="right"/>
              <w:rPr>
                <w:rFonts w:eastAsia="SimSun"/>
                <w:lang w:eastAsia="zh-CN"/>
              </w:rPr>
            </w:pPr>
            <w:r w:rsidRPr="00DB0706">
              <w:rPr>
                <w:rFonts w:eastAsia="SimSun"/>
                <w:lang w:eastAsia="zh-CN"/>
              </w:rPr>
              <w:t xml:space="preserve">1.0 </w:t>
            </w:r>
          </w:p>
        </w:tc>
        <w:tc>
          <w:tcPr>
            <w:tcW w:w="780" w:type="dxa"/>
            <w:tcBorders>
              <w:top w:val="nil"/>
              <w:left w:val="nil"/>
              <w:bottom w:val="nil"/>
              <w:right w:val="nil"/>
            </w:tcBorders>
            <w:shd w:val="clear" w:color="auto" w:fill="auto"/>
            <w:noWrap/>
            <w:vAlign w:val="bottom"/>
            <w:hideMark/>
          </w:tcPr>
          <w:p w14:paraId="4A506BE4" w14:textId="3342B652" w:rsidR="000926A8" w:rsidRPr="00DB0706" w:rsidRDefault="000926A8" w:rsidP="000926A8">
            <w:pPr>
              <w:pStyle w:val="ExhibitText"/>
              <w:jc w:val="right"/>
              <w:rPr>
                <w:rFonts w:eastAsia="SimSun"/>
                <w:lang w:eastAsia="zh-CN"/>
              </w:rPr>
            </w:pPr>
            <w:r w:rsidRPr="00DB0706">
              <w:rPr>
                <w:rFonts w:eastAsia="SimSun"/>
                <w:lang w:eastAsia="zh-CN"/>
              </w:rPr>
              <w:t xml:space="preserve">2.3 </w:t>
            </w:r>
          </w:p>
        </w:tc>
      </w:tr>
      <w:tr w:rsidR="000926A8" w:rsidRPr="00DB0706" w14:paraId="61C9E169" w14:textId="77777777" w:rsidTr="000926A8">
        <w:trPr>
          <w:trHeight w:val="240"/>
          <w:jc w:val="center"/>
        </w:trPr>
        <w:tc>
          <w:tcPr>
            <w:tcW w:w="6100" w:type="dxa"/>
            <w:tcBorders>
              <w:top w:val="nil"/>
              <w:left w:val="nil"/>
              <w:bottom w:val="single" w:sz="4" w:space="0" w:color="auto"/>
              <w:right w:val="nil"/>
            </w:tcBorders>
            <w:shd w:val="clear" w:color="auto" w:fill="auto"/>
            <w:noWrap/>
            <w:vAlign w:val="bottom"/>
            <w:hideMark/>
          </w:tcPr>
          <w:p w14:paraId="1895B0EE" w14:textId="77777777" w:rsidR="000926A8" w:rsidRPr="00DB0706" w:rsidRDefault="000926A8" w:rsidP="000926A8">
            <w:pPr>
              <w:pStyle w:val="ExhibitText"/>
              <w:rPr>
                <w:rFonts w:eastAsia="SimSun"/>
                <w:b/>
                <w:bCs/>
                <w:lang w:eastAsia="zh-CN"/>
              </w:rPr>
            </w:pPr>
            <w:r w:rsidRPr="00DB0706">
              <w:rPr>
                <w:rFonts w:eastAsia="SimSun"/>
                <w:b/>
                <w:bCs/>
                <w:lang w:eastAsia="zh-CN"/>
              </w:rPr>
              <w:t>Cash and Cash Equivalents, End of the Year</w:t>
            </w:r>
          </w:p>
        </w:tc>
        <w:tc>
          <w:tcPr>
            <w:tcW w:w="780" w:type="dxa"/>
            <w:tcBorders>
              <w:top w:val="nil"/>
              <w:left w:val="nil"/>
              <w:bottom w:val="single" w:sz="4" w:space="0" w:color="auto"/>
              <w:right w:val="nil"/>
            </w:tcBorders>
            <w:vAlign w:val="bottom"/>
          </w:tcPr>
          <w:p w14:paraId="028069C1" w14:textId="669BB71B" w:rsidR="000926A8" w:rsidRPr="00DB0706" w:rsidRDefault="000926A8" w:rsidP="000926A8">
            <w:pPr>
              <w:pStyle w:val="ExhibitText"/>
              <w:jc w:val="right"/>
              <w:rPr>
                <w:rFonts w:eastAsia="SimSun"/>
                <w:b/>
                <w:bCs/>
                <w:lang w:eastAsia="zh-CN"/>
              </w:rPr>
            </w:pPr>
            <w:r w:rsidRPr="00DB0706">
              <w:rPr>
                <w:rFonts w:eastAsia="SimSun"/>
                <w:b/>
                <w:bCs/>
                <w:lang w:eastAsia="zh-CN"/>
              </w:rPr>
              <w:t xml:space="preserve">1.0 </w:t>
            </w:r>
          </w:p>
        </w:tc>
        <w:tc>
          <w:tcPr>
            <w:tcW w:w="780" w:type="dxa"/>
            <w:tcBorders>
              <w:top w:val="nil"/>
              <w:left w:val="nil"/>
              <w:bottom w:val="single" w:sz="4" w:space="0" w:color="auto"/>
              <w:right w:val="nil"/>
            </w:tcBorders>
            <w:vAlign w:val="bottom"/>
          </w:tcPr>
          <w:p w14:paraId="14AA94BF" w14:textId="070343B6" w:rsidR="000926A8" w:rsidRPr="00DB0706" w:rsidRDefault="000926A8" w:rsidP="000926A8">
            <w:pPr>
              <w:pStyle w:val="ExhibitText"/>
              <w:jc w:val="right"/>
              <w:rPr>
                <w:rFonts w:eastAsia="SimSun"/>
                <w:b/>
                <w:bCs/>
                <w:lang w:eastAsia="zh-CN"/>
              </w:rPr>
            </w:pPr>
            <w:r w:rsidRPr="00DB0706">
              <w:rPr>
                <w:rFonts w:eastAsia="SimSun"/>
                <w:b/>
                <w:bCs/>
                <w:lang w:eastAsia="zh-CN"/>
              </w:rPr>
              <w:t xml:space="preserve">2.3 </w:t>
            </w:r>
          </w:p>
        </w:tc>
        <w:tc>
          <w:tcPr>
            <w:tcW w:w="780" w:type="dxa"/>
            <w:tcBorders>
              <w:top w:val="nil"/>
              <w:left w:val="nil"/>
              <w:bottom w:val="single" w:sz="4" w:space="0" w:color="auto"/>
              <w:right w:val="nil"/>
            </w:tcBorders>
            <w:shd w:val="clear" w:color="auto" w:fill="auto"/>
            <w:noWrap/>
            <w:vAlign w:val="bottom"/>
            <w:hideMark/>
          </w:tcPr>
          <w:p w14:paraId="41B15488" w14:textId="787F6BED" w:rsidR="000926A8" w:rsidRPr="00DB0706" w:rsidRDefault="000926A8" w:rsidP="000926A8">
            <w:pPr>
              <w:pStyle w:val="ExhibitText"/>
              <w:jc w:val="right"/>
              <w:rPr>
                <w:rFonts w:eastAsia="SimSun"/>
                <w:b/>
                <w:bCs/>
                <w:lang w:eastAsia="zh-CN"/>
              </w:rPr>
            </w:pPr>
            <w:r w:rsidRPr="00DB0706">
              <w:rPr>
                <w:rFonts w:eastAsia="SimSun"/>
                <w:b/>
                <w:bCs/>
                <w:lang w:eastAsia="zh-CN"/>
              </w:rPr>
              <w:t xml:space="preserve">1.3 </w:t>
            </w:r>
          </w:p>
        </w:tc>
      </w:tr>
    </w:tbl>
    <w:p w14:paraId="18D96A4A" w14:textId="77777777" w:rsidR="00DB0706" w:rsidRPr="00DB0706" w:rsidRDefault="00DB0706" w:rsidP="00DB0706">
      <w:pPr>
        <w:jc w:val="both"/>
        <w:rPr>
          <w:rFonts w:ascii="Arial" w:hAnsi="Arial" w:cs="Arial"/>
          <w:kern w:val="2"/>
          <w:sz w:val="17"/>
          <w:szCs w:val="17"/>
        </w:rPr>
      </w:pPr>
    </w:p>
    <w:p w14:paraId="67CF56FF" w14:textId="58AABFA3" w:rsidR="00DB0706" w:rsidRPr="000926A8" w:rsidRDefault="00DB0706" w:rsidP="00DB0706">
      <w:pPr>
        <w:pStyle w:val="BodyTextMain"/>
        <w:rPr>
          <w:spacing w:val="-4"/>
        </w:rPr>
      </w:pPr>
      <w:r w:rsidRPr="000926A8">
        <w:rPr>
          <w:rFonts w:ascii="Arial" w:hAnsi="Arial" w:cs="Arial"/>
          <w:spacing w:val="-4"/>
          <w:kern w:val="2"/>
          <w:sz w:val="17"/>
          <w:szCs w:val="17"/>
        </w:rPr>
        <w:t>Source: Created by the case authors based on Banro Corporation</w:t>
      </w:r>
      <w:r w:rsidR="00C62B21" w:rsidRPr="000926A8">
        <w:rPr>
          <w:rFonts w:ascii="Arial" w:hAnsi="Arial" w:cs="Arial"/>
          <w:spacing w:val="-4"/>
          <w:kern w:val="2"/>
          <w:sz w:val="17"/>
          <w:szCs w:val="17"/>
        </w:rPr>
        <w:t xml:space="preserve">, </w:t>
      </w:r>
      <w:r w:rsidR="00C62B21" w:rsidRPr="000926A8">
        <w:rPr>
          <w:rFonts w:ascii="Arial" w:hAnsi="Arial" w:cs="Arial"/>
          <w:i/>
          <w:spacing w:val="-4"/>
          <w:kern w:val="2"/>
          <w:sz w:val="17"/>
          <w:szCs w:val="17"/>
        </w:rPr>
        <w:t>Banro:</w:t>
      </w:r>
      <w:r w:rsidRPr="000926A8">
        <w:rPr>
          <w:rFonts w:ascii="Arial" w:hAnsi="Arial" w:cs="Arial"/>
          <w:i/>
          <w:spacing w:val="-4"/>
          <w:kern w:val="2"/>
          <w:sz w:val="17"/>
          <w:szCs w:val="17"/>
        </w:rPr>
        <w:t xml:space="preserve"> Annual Report 2016</w:t>
      </w:r>
      <w:r w:rsidRPr="000926A8">
        <w:rPr>
          <w:rFonts w:ascii="Arial" w:hAnsi="Arial" w:cs="Arial"/>
          <w:spacing w:val="-4"/>
          <w:kern w:val="2"/>
          <w:sz w:val="17"/>
          <w:szCs w:val="17"/>
        </w:rPr>
        <w:t xml:space="preserve">, </w:t>
      </w:r>
      <w:r w:rsidR="00C62B21" w:rsidRPr="000926A8">
        <w:rPr>
          <w:rFonts w:ascii="Arial" w:hAnsi="Arial" w:cs="Arial"/>
          <w:spacing w:val="-4"/>
          <w:kern w:val="2"/>
          <w:sz w:val="17"/>
          <w:szCs w:val="17"/>
        </w:rPr>
        <w:t xml:space="preserve">133, </w:t>
      </w:r>
      <w:r w:rsidRPr="000926A8">
        <w:rPr>
          <w:rFonts w:ascii="Arial" w:hAnsi="Arial" w:cs="Arial"/>
          <w:spacing w:val="-4"/>
          <w:kern w:val="2"/>
          <w:sz w:val="17"/>
          <w:szCs w:val="17"/>
        </w:rPr>
        <w:t>accessed May 10, 2017, www.sedar.com/GetFile.do?lang=EN&amp;docClass=2&amp;issuerNo=00002878&amp;issuerType=03&amp;projectNo=02607555&amp;docId=4085742.</w:t>
      </w:r>
    </w:p>
    <w:p w14:paraId="184964BB" w14:textId="77777777" w:rsidR="00DB0706" w:rsidRDefault="00DB0706" w:rsidP="00DB0706">
      <w:pPr>
        <w:pStyle w:val="BodyTextMain"/>
      </w:pPr>
    </w:p>
    <w:p w14:paraId="52AA2995" w14:textId="77777777" w:rsidR="00DB0706" w:rsidRDefault="00DB0706" w:rsidP="00DB0706">
      <w:pPr>
        <w:pStyle w:val="BodyTextMain"/>
      </w:pPr>
    </w:p>
    <w:p w14:paraId="650A1630" w14:textId="77777777" w:rsidR="00DB0706" w:rsidRDefault="00DB0706" w:rsidP="00DB0706">
      <w:pPr>
        <w:pStyle w:val="BodyTextMain"/>
      </w:pPr>
    </w:p>
    <w:p w14:paraId="4F022034" w14:textId="77777777" w:rsidR="00DB0706" w:rsidRDefault="00DB0706" w:rsidP="00DB0706">
      <w:pPr>
        <w:pStyle w:val="BodyTextMain"/>
      </w:pPr>
    </w:p>
    <w:p w14:paraId="1F9A52E5" w14:textId="77777777" w:rsidR="00DB0706" w:rsidRDefault="00DB0706" w:rsidP="00DB0706">
      <w:pPr>
        <w:pStyle w:val="BodyTextMain"/>
      </w:pPr>
    </w:p>
    <w:p w14:paraId="7E6AD329" w14:textId="77777777" w:rsidR="00DB0706" w:rsidRDefault="00DB0706" w:rsidP="00DB0706">
      <w:pPr>
        <w:pStyle w:val="BodyTextMain"/>
      </w:pPr>
    </w:p>
    <w:p w14:paraId="6333C008" w14:textId="77777777" w:rsidR="00DB0706" w:rsidRDefault="00DB0706" w:rsidP="00DB0706">
      <w:pPr>
        <w:pStyle w:val="BodyTextMain"/>
      </w:pPr>
    </w:p>
    <w:p w14:paraId="535AE1B9" w14:textId="77777777" w:rsidR="00DB0706" w:rsidRDefault="00DB0706" w:rsidP="00DB0706">
      <w:pPr>
        <w:pStyle w:val="BodyTextMain"/>
      </w:pPr>
    </w:p>
    <w:p w14:paraId="609268D8" w14:textId="77777777" w:rsidR="00DB0706" w:rsidRDefault="00DB0706" w:rsidP="00DB0706">
      <w:pPr>
        <w:pStyle w:val="BodyTextMain"/>
      </w:pPr>
    </w:p>
    <w:p w14:paraId="6BCD2339" w14:textId="77777777" w:rsidR="00DB0706" w:rsidRDefault="00DB0706" w:rsidP="00DB0706">
      <w:pPr>
        <w:pStyle w:val="BodyTextMain"/>
      </w:pPr>
    </w:p>
    <w:p w14:paraId="37CD2C1B" w14:textId="77777777" w:rsidR="00DB0706" w:rsidRDefault="00DB0706" w:rsidP="00DB0706">
      <w:pPr>
        <w:pStyle w:val="BodyTextMain"/>
      </w:pPr>
    </w:p>
    <w:p w14:paraId="5521DEF3" w14:textId="77777777" w:rsidR="00DB0706" w:rsidRDefault="00DB0706" w:rsidP="00DB0706">
      <w:pPr>
        <w:pStyle w:val="BodyTextMain"/>
      </w:pPr>
    </w:p>
    <w:p w14:paraId="0F72F3A3" w14:textId="77777777" w:rsidR="00DB0706" w:rsidRDefault="00DB0706" w:rsidP="00DB0706">
      <w:pPr>
        <w:pStyle w:val="BodyTextMain"/>
      </w:pPr>
    </w:p>
    <w:p w14:paraId="52B53B42" w14:textId="77777777" w:rsidR="00A114E5" w:rsidRDefault="00A114E5" w:rsidP="00DB0706">
      <w:pPr>
        <w:jc w:val="center"/>
        <w:outlineLvl w:val="0"/>
        <w:rPr>
          <w:rFonts w:ascii="Arial" w:hAnsi="Arial" w:cs="Arial"/>
          <w:b/>
          <w:caps/>
          <w:kern w:val="2"/>
          <w:lang w:val="en-GB"/>
        </w:rPr>
      </w:pPr>
    </w:p>
    <w:p w14:paraId="24F98977" w14:textId="77777777" w:rsidR="000926A8" w:rsidRDefault="000926A8" w:rsidP="00DB0706">
      <w:pPr>
        <w:jc w:val="center"/>
        <w:outlineLvl w:val="0"/>
        <w:rPr>
          <w:rFonts w:ascii="Arial" w:hAnsi="Arial" w:cs="Arial"/>
          <w:b/>
          <w:caps/>
          <w:kern w:val="2"/>
          <w:lang w:val="en-GB"/>
        </w:rPr>
      </w:pPr>
    </w:p>
    <w:p w14:paraId="47F96225" w14:textId="64729084" w:rsidR="00DB0706" w:rsidRPr="00DB0706" w:rsidRDefault="00DB0706" w:rsidP="00DB0706">
      <w:pPr>
        <w:jc w:val="center"/>
        <w:outlineLvl w:val="0"/>
        <w:rPr>
          <w:rFonts w:ascii="Arial" w:hAnsi="Arial" w:cs="Arial"/>
          <w:b/>
          <w:caps/>
          <w:kern w:val="2"/>
          <w:lang w:val="en-GB" w:eastAsia="zh-CN"/>
        </w:rPr>
      </w:pPr>
      <w:r w:rsidRPr="00DB0706">
        <w:rPr>
          <w:rFonts w:ascii="Arial" w:hAnsi="Arial" w:cs="Arial"/>
          <w:b/>
          <w:caps/>
          <w:kern w:val="2"/>
          <w:lang w:val="en-GB"/>
        </w:rPr>
        <w:lastRenderedPageBreak/>
        <w:t>Exhibit 6: BANRO CORPORATION (BAA) SHARE PRICE 2007</w:t>
      </w:r>
      <w:r w:rsidR="00A114E5">
        <w:rPr>
          <w:rFonts w:ascii="Arial" w:hAnsi="Arial" w:cs="Arial"/>
          <w:b/>
          <w:caps/>
          <w:kern w:val="2"/>
          <w:lang w:val="en-GB"/>
        </w:rPr>
        <w:t>–</w:t>
      </w:r>
      <w:r w:rsidRPr="00DB0706">
        <w:rPr>
          <w:rFonts w:ascii="Arial" w:hAnsi="Arial" w:cs="Arial"/>
          <w:b/>
          <w:caps/>
          <w:kern w:val="2"/>
          <w:lang w:val="en-GB"/>
        </w:rPr>
        <w:t>2017</w:t>
      </w:r>
      <w:r w:rsidR="00A114E5">
        <w:rPr>
          <w:rFonts w:ascii="Arial" w:hAnsi="Arial" w:cs="Arial"/>
          <w:b/>
          <w:caps/>
          <w:kern w:val="2"/>
          <w:lang w:val="en-GB"/>
        </w:rPr>
        <w:t>,</w:t>
      </w:r>
      <w:r w:rsidRPr="00DB0706">
        <w:rPr>
          <w:rFonts w:ascii="Arial" w:hAnsi="Arial" w:cs="Arial"/>
          <w:b/>
          <w:caps/>
          <w:kern w:val="2"/>
          <w:lang w:val="en-GB"/>
        </w:rPr>
        <w:t xml:space="preserve"> nyse american</w:t>
      </w:r>
    </w:p>
    <w:p w14:paraId="45370C8B" w14:textId="77777777" w:rsidR="00DB0706" w:rsidRPr="00DB0706" w:rsidRDefault="00DB0706" w:rsidP="00DB0706">
      <w:pPr>
        <w:jc w:val="both"/>
        <w:rPr>
          <w:rFonts w:ascii="Arial" w:hAnsi="Arial" w:cs="Arial"/>
          <w:kern w:val="2"/>
          <w:sz w:val="17"/>
          <w:szCs w:val="17"/>
        </w:rPr>
      </w:pPr>
    </w:p>
    <w:p w14:paraId="6BE907EF" w14:textId="77777777" w:rsidR="00DB0706" w:rsidRPr="00DB0706" w:rsidRDefault="00DB0706" w:rsidP="00DB0706">
      <w:pPr>
        <w:jc w:val="center"/>
        <w:rPr>
          <w:rFonts w:ascii="Arial" w:hAnsi="Arial" w:cs="Arial"/>
          <w:kern w:val="2"/>
          <w:sz w:val="17"/>
          <w:szCs w:val="17"/>
        </w:rPr>
      </w:pPr>
      <w:r w:rsidRPr="00DB0706">
        <w:rPr>
          <w:noProof/>
          <w:kern w:val="2"/>
          <w:sz w:val="22"/>
          <w:szCs w:val="22"/>
        </w:rPr>
        <w:drawing>
          <wp:inline distT="0" distB="0" distL="0" distR="0" wp14:anchorId="62E8D947" wp14:editId="19E455DB">
            <wp:extent cx="5605669" cy="3156668"/>
            <wp:effectExtent l="0" t="0" r="14605" b="571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E25B0D" w14:textId="581951CB" w:rsidR="00DB0706" w:rsidRPr="00DB0706" w:rsidRDefault="00DB0706" w:rsidP="00DB0706">
      <w:pPr>
        <w:jc w:val="both"/>
        <w:rPr>
          <w:rFonts w:ascii="Arial" w:hAnsi="Arial" w:cs="Arial"/>
          <w:kern w:val="2"/>
          <w:sz w:val="17"/>
          <w:szCs w:val="17"/>
        </w:rPr>
      </w:pPr>
    </w:p>
    <w:p w14:paraId="37CBEC0C" w14:textId="1A1F0BB8" w:rsidR="00DB0706" w:rsidRPr="00DB0706" w:rsidRDefault="00DB0706" w:rsidP="00DB0706">
      <w:pPr>
        <w:jc w:val="both"/>
        <w:rPr>
          <w:rFonts w:ascii="Arial" w:hAnsi="Arial" w:cs="Arial"/>
          <w:spacing w:val="-2"/>
          <w:kern w:val="2"/>
          <w:sz w:val="17"/>
          <w:szCs w:val="17"/>
        </w:rPr>
      </w:pPr>
      <w:r w:rsidRPr="00DB0706">
        <w:rPr>
          <w:rFonts w:ascii="Arial" w:hAnsi="Arial" w:cs="Arial"/>
          <w:spacing w:val="-2"/>
          <w:kern w:val="2"/>
          <w:sz w:val="17"/>
          <w:szCs w:val="17"/>
        </w:rPr>
        <w:t xml:space="preserve">Source: </w:t>
      </w:r>
      <w:r w:rsidR="00A114E5">
        <w:rPr>
          <w:rFonts w:ascii="Arial" w:hAnsi="Arial" w:cs="Arial"/>
          <w:spacing w:val="-2"/>
          <w:kern w:val="2"/>
          <w:sz w:val="17"/>
          <w:szCs w:val="17"/>
        </w:rPr>
        <w:t>C</w:t>
      </w:r>
      <w:r w:rsidRPr="00DB0706">
        <w:rPr>
          <w:rFonts w:ascii="Arial" w:hAnsi="Arial" w:cs="Arial"/>
          <w:spacing w:val="-2"/>
          <w:kern w:val="2"/>
          <w:sz w:val="17"/>
          <w:szCs w:val="17"/>
        </w:rPr>
        <w:t>ase authors</w:t>
      </w:r>
      <w:r w:rsidR="00A114E5">
        <w:rPr>
          <w:rFonts w:ascii="Arial" w:hAnsi="Arial" w:cs="Arial"/>
          <w:spacing w:val="-2"/>
          <w:kern w:val="2"/>
          <w:sz w:val="17"/>
          <w:szCs w:val="17"/>
        </w:rPr>
        <w:t>,</w:t>
      </w:r>
      <w:r w:rsidRPr="00DB0706">
        <w:rPr>
          <w:rFonts w:ascii="Arial" w:hAnsi="Arial" w:cs="Arial"/>
          <w:spacing w:val="-2"/>
          <w:kern w:val="2"/>
          <w:sz w:val="17"/>
          <w:szCs w:val="17"/>
        </w:rPr>
        <w:t xml:space="preserve"> based on Yahoo Finance, using the average of high and low share prices, accessed July 10, 2017</w:t>
      </w:r>
      <w:r w:rsidR="00A114E5">
        <w:rPr>
          <w:rFonts w:ascii="Arial" w:hAnsi="Arial" w:cs="Arial"/>
          <w:spacing w:val="-2"/>
          <w:kern w:val="2"/>
          <w:sz w:val="17"/>
          <w:szCs w:val="17"/>
        </w:rPr>
        <w:t>,</w:t>
      </w:r>
      <w:r w:rsidRPr="00DB0706">
        <w:rPr>
          <w:rFonts w:ascii="Arial" w:hAnsi="Arial" w:cs="Arial"/>
          <w:spacing w:val="-2"/>
          <w:kern w:val="2"/>
          <w:sz w:val="17"/>
          <w:szCs w:val="17"/>
        </w:rPr>
        <w:t xml:space="preserve"> https://finance.yahoo.com/quote/BAA/history?period1=1167602400&amp;period2=1490911200&amp;interval=1mo&amp;filter=history&amp;frequency=1mo.</w:t>
      </w:r>
    </w:p>
    <w:p w14:paraId="252B5889" w14:textId="77777777" w:rsidR="00DB0706" w:rsidRPr="00DB0706" w:rsidRDefault="00DB0706" w:rsidP="00DB0706">
      <w:pPr>
        <w:jc w:val="both"/>
        <w:rPr>
          <w:rFonts w:ascii="Arial" w:hAnsi="Arial" w:cs="Arial"/>
          <w:kern w:val="2"/>
          <w:sz w:val="17"/>
          <w:szCs w:val="17"/>
          <w:lang w:eastAsia="zh-CN"/>
        </w:rPr>
      </w:pPr>
    </w:p>
    <w:p w14:paraId="0AF040E3" w14:textId="77777777" w:rsidR="00DB0706" w:rsidRPr="00DB0706" w:rsidRDefault="00DB0706" w:rsidP="00DB0706">
      <w:pPr>
        <w:jc w:val="both"/>
        <w:rPr>
          <w:rFonts w:ascii="Arial" w:hAnsi="Arial" w:cs="Arial"/>
          <w:kern w:val="2"/>
          <w:sz w:val="17"/>
          <w:szCs w:val="17"/>
          <w:lang w:eastAsia="zh-CN"/>
        </w:rPr>
      </w:pPr>
    </w:p>
    <w:p w14:paraId="3DF5F206" w14:textId="34115DAC" w:rsidR="00DB0706" w:rsidRPr="00DB0706" w:rsidRDefault="00DB0706" w:rsidP="00DB0706">
      <w:pPr>
        <w:pStyle w:val="ExhibitHeading"/>
        <w:rPr>
          <w:lang w:val="en-GB" w:eastAsia="zh-CN"/>
        </w:rPr>
      </w:pPr>
      <w:r w:rsidRPr="00DB0706">
        <w:rPr>
          <w:lang w:val="en-GB"/>
        </w:rPr>
        <w:t>Exhibit 7: Investments and Expenditures OF BANRO FOUNDATION IN DRC 2004</w:t>
      </w:r>
      <w:r w:rsidR="00A114E5">
        <w:rPr>
          <w:lang w:val="en-GB"/>
        </w:rPr>
        <w:t>–</w:t>
      </w:r>
      <w:r w:rsidRPr="00DB0706">
        <w:rPr>
          <w:lang w:val="en-GB"/>
        </w:rPr>
        <w:t xml:space="preserve">2016  </w:t>
      </w:r>
    </w:p>
    <w:p w14:paraId="1F529471" w14:textId="77777777" w:rsidR="00DB0706" w:rsidRPr="00DB0706" w:rsidRDefault="00DB0706" w:rsidP="00DB0706">
      <w:pPr>
        <w:pBdr>
          <w:top w:val="nil"/>
          <w:left w:val="nil"/>
          <w:bottom w:val="nil"/>
          <w:right w:val="nil"/>
          <w:between w:val="nil"/>
        </w:pBdr>
        <w:rPr>
          <w:rFonts w:ascii="Arial" w:eastAsiaTheme="minorEastAsia" w:hAnsi="Arial" w:cs="Arial"/>
          <w:color w:val="000000"/>
          <w:sz w:val="22"/>
          <w:szCs w:val="22"/>
          <w:lang w:eastAsia="zh-CN"/>
        </w:rPr>
      </w:pPr>
    </w:p>
    <w:tbl>
      <w:tblPr>
        <w:tblW w:w="8380" w:type="dxa"/>
        <w:jc w:val="center"/>
        <w:tblLook w:val="04A0" w:firstRow="1" w:lastRow="0" w:firstColumn="1" w:lastColumn="0" w:noHBand="0" w:noVBand="1"/>
      </w:tblPr>
      <w:tblGrid>
        <w:gridCol w:w="6700"/>
        <w:gridCol w:w="1680"/>
      </w:tblGrid>
      <w:tr w:rsidR="00DB0706" w:rsidRPr="00DB0706" w14:paraId="2FE33B4D" w14:textId="77777777" w:rsidTr="00DB0706">
        <w:trPr>
          <w:trHeight w:val="240"/>
          <w:jc w:val="center"/>
        </w:trPr>
        <w:tc>
          <w:tcPr>
            <w:tcW w:w="6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578BC" w14:textId="77777777" w:rsidR="00DB0706" w:rsidRPr="00DB0706" w:rsidRDefault="00DB0706" w:rsidP="00DB0706">
            <w:pPr>
              <w:jc w:val="center"/>
              <w:rPr>
                <w:rFonts w:ascii="Arial" w:eastAsia="SimSun" w:hAnsi="Arial" w:cs="Arial"/>
                <w:b/>
                <w:bCs/>
                <w:color w:val="000000"/>
                <w:lang w:eastAsia="zh-CN"/>
              </w:rPr>
            </w:pPr>
            <w:r w:rsidRPr="00DB0706">
              <w:rPr>
                <w:rFonts w:ascii="Arial" w:eastAsia="SimSun" w:hAnsi="Arial" w:cs="Arial"/>
                <w:b/>
                <w:bCs/>
                <w:color w:val="000000"/>
                <w:lang w:eastAsia="zh-CN"/>
              </w:rPr>
              <w:t>Investments and Expenditures</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58C59B4A" w14:textId="77777777" w:rsidR="00DB0706" w:rsidRPr="00DB0706" w:rsidRDefault="00DB0706" w:rsidP="00DB0706">
            <w:pPr>
              <w:jc w:val="center"/>
              <w:rPr>
                <w:rFonts w:ascii="Arial" w:eastAsia="SimSun" w:hAnsi="Arial" w:cs="Arial"/>
                <w:b/>
                <w:bCs/>
                <w:color w:val="000000"/>
                <w:lang w:eastAsia="zh-CN"/>
              </w:rPr>
            </w:pPr>
            <w:r w:rsidRPr="00DB0706">
              <w:rPr>
                <w:rFonts w:ascii="Arial" w:eastAsia="SimSun" w:hAnsi="Arial" w:cs="Arial"/>
                <w:b/>
                <w:bCs/>
                <w:color w:val="000000"/>
                <w:lang w:eastAsia="zh-CN"/>
              </w:rPr>
              <w:t>Amount (US$)</w:t>
            </w:r>
          </w:p>
        </w:tc>
      </w:tr>
      <w:tr w:rsidR="00DB0706" w:rsidRPr="00DB0706" w14:paraId="3E4A8640" w14:textId="77777777" w:rsidTr="00DB0706">
        <w:trPr>
          <w:trHeight w:val="240"/>
          <w:jc w:val="center"/>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14:paraId="3B66D582" w14:textId="77777777" w:rsidR="00DB0706" w:rsidRPr="00DB0706" w:rsidRDefault="00DB0706" w:rsidP="00DB0706">
            <w:pPr>
              <w:rPr>
                <w:rFonts w:ascii="Arial" w:eastAsia="SimSun" w:hAnsi="Arial" w:cs="Arial"/>
                <w:color w:val="000000"/>
                <w:lang w:eastAsia="zh-CN"/>
              </w:rPr>
            </w:pPr>
            <w:r w:rsidRPr="00DB0706">
              <w:rPr>
                <w:rFonts w:ascii="Arial" w:eastAsia="SimSun" w:hAnsi="Arial" w:cs="Arial"/>
                <w:color w:val="000000"/>
                <w:lang w:eastAsia="zh-CN"/>
              </w:rPr>
              <w:t>Education</w:t>
            </w:r>
          </w:p>
        </w:tc>
        <w:tc>
          <w:tcPr>
            <w:tcW w:w="1680" w:type="dxa"/>
            <w:tcBorders>
              <w:top w:val="nil"/>
              <w:left w:val="nil"/>
              <w:bottom w:val="single" w:sz="4" w:space="0" w:color="auto"/>
              <w:right w:val="single" w:sz="4" w:space="0" w:color="auto"/>
            </w:tcBorders>
            <w:shd w:val="clear" w:color="auto" w:fill="auto"/>
            <w:noWrap/>
            <w:vAlign w:val="bottom"/>
            <w:hideMark/>
          </w:tcPr>
          <w:p w14:paraId="7319C293"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2,328,500</w:t>
            </w:r>
          </w:p>
        </w:tc>
      </w:tr>
      <w:tr w:rsidR="00DB0706" w:rsidRPr="00DB0706" w14:paraId="1465B218" w14:textId="77777777" w:rsidTr="00DB0706">
        <w:trPr>
          <w:trHeight w:val="240"/>
          <w:jc w:val="center"/>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14:paraId="4C0D2109" w14:textId="77777777" w:rsidR="00DB0706" w:rsidRPr="00DB0706" w:rsidRDefault="00DB0706" w:rsidP="00DB0706">
            <w:pPr>
              <w:rPr>
                <w:rFonts w:ascii="Arial" w:eastAsia="SimSun" w:hAnsi="Arial" w:cs="Arial"/>
                <w:color w:val="000000"/>
                <w:lang w:eastAsia="zh-CN"/>
              </w:rPr>
            </w:pPr>
            <w:r w:rsidRPr="00DB0706">
              <w:rPr>
                <w:rFonts w:ascii="Arial" w:eastAsia="SimSun" w:hAnsi="Arial" w:cs="Arial"/>
                <w:color w:val="000000"/>
                <w:lang w:eastAsia="zh-CN"/>
              </w:rPr>
              <w:t>Health Care</w:t>
            </w:r>
          </w:p>
        </w:tc>
        <w:tc>
          <w:tcPr>
            <w:tcW w:w="1680" w:type="dxa"/>
            <w:tcBorders>
              <w:top w:val="nil"/>
              <w:left w:val="nil"/>
              <w:bottom w:val="single" w:sz="4" w:space="0" w:color="auto"/>
              <w:right w:val="single" w:sz="4" w:space="0" w:color="auto"/>
            </w:tcBorders>
            <w:shd w:val="clear" w:color="auto" w:fill="auto"/>
            <w:noWrap/>
            <w:vAlign w:val="bottom"/>
            <w:hideMark/>
          </w:tcPr>
          <w:p w14:paraId="2EB943AB"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1,066,000</w:t>
            </w:r>
          </w:p>
        </w:tc>
      </w:tr>
      <w:tr w:rsidR="00DB0706" w:rsidRPr="00DB0706" w14:paraId="3B5B6CDE" w14:textId="77777777" w:rsidTr="00DB0706">
        <w:trPr>
          <w:trHeight w:val="240"/>
          <w:jc w:val="center"/>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14:paraId="1C6DF453" w14:textId="77777777" w:rsidR="00DB0706" w:rsidRPr="00DB0706" w:rsidRDefault="00DB0706" w:rsidP="00DB0706">
            <w:pPr>
              <w:rPr>
                <w:rFonts w:ascii="Arial" w:eastAsia="SimSun" w:hAnsi="Arial" w:cs="Arial"/>
                <w:color w:val="000000"/>
                <w:lang w:eastAsia="zh-CN"/>
              </w:rPr>
            </w:pPr>
            <w:r w:rsidRPr="00DB0706">
              <w:rPr>
                <w:rFonts w:ascii="Arial" w:eastAsia="SimSun" w:hAnsi="Arial" w:cs="Arial"/>
                <w:color w:val="000000"/>
                <w:lang w:eastAsia="zh-CN"/>
              </w:rPr>
              <w:t>Social Infrastructure</w:t>
            </w:r>
          </w:p>
        </w:tc>
        <w:tc>
          <w:tcPr>
            <w:tcW w:w="1680" w:type="dxa"/>
            <w:tcBorders>
              <w:top w:val="nil"/>
              <w:left w:val="nil"/>
              <w:bottom w:val="single" w:sz="4" w:space="0" w:color="auto"/>
              <w:right w:val="single" w:sz="4" w:space="0" w:color="auto"/>
            </w:tcBorders>
            <w:shd w:val="clear" w:color="auto" w:fill="auto"/>
            <w:noWrap/>
            <w:vAlign w:val="bottom"/>
            <w:hideMark/>
          </w:tcPr>
          <w:p w14:paraId="4142D112"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1,743,500</w:t>
            </w:r>
          </w:p>
        </w:tc>
      </w:tr>
      <w:tr w:rsidR="00DB0706" w:rsidRPr="00DB0706" w14:paraId="65F510A1" w14:textId="77777777" w:rsidTr="00DB0706">
        <w:trPr>
          <w:trHeight w:val="240"/>
          <w:jc w:val="center"/>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14:paraId="3D6C4582" w14:textId="77777777" w:rsidR="00DB0706" w:rsidRPr="00DB0706" w:rsidRDefault="00DB0706" w:rsidP="00DB0706">
            <w:pPr>
              <w:rPr>
                <w:rFonts w:ascii="Arial" w:eastAsia="SimSun" w:hAnsi="Arial" w:cs="Arial"/>
                <w:color w:val="000000"/>
                <w:lang w:eastAsia="zh-CN"/>
              </w:rPr>
            </w:pPr>
            <w:r w:rsidRPr="00DB0706">
              <w:rPr>
                <w:rFonts w:ascii="Arial" w:eastAsia="SimSun" w:hAnsi="Arial" w:cs="Arial"/>
                <w:color w:val="000000"/>
                <w:lang w:eastAsia="zh-CN"/>
              </w:rPr>
              <w:t>Agriculture</w:t>
            </w:r>
          </w:p>
        </w:tc>
        <w:tc>
          <w:tcPr>
            <w:tcW w:w="1680" w:type="dxa"/>
            <w:tcBorders>
              <w:top w:val="nil"/>
              <w:left w:val="nil"/>
              <w:bottom w:val="single" w:sz="4" w:space="0" w:color="auto"/>
              <w:right w:val="single" w:sz="4" w:space="0" w:color="auto"/>
            </w:tcBorders>
            <w:shd w:val="clear" w:color="auto" w:fill="auto"/>
            <w:noWrap/>
            <w:vAlign w:val="bottom"/>
            <w:hideMark/>
          </w:tcPr>
          <w:p w14:paraId="7DB3634A"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612,500</w:t>
            </w:r>
          </w:p>
        </w:tc>
      </w:tr>
      <w:tr w:rsidR="00DB0706" w:rsidRPr="00DB0706" w14:paraId="4982C2D0" w14:textId="77777777" w:rsidTr="00DB0706">
        <w:trPr>
          <w:trHeight w:val="240"/>
          <w:jc w:val="center"/>
        </w:trPr>
        <w:tc>
          <w:tcPr>
            <w:tcW w:w="6700" w:type="dxa"/>
            <w:tcBorders>
              <w:top w:val="nil"/>
              <w:left w:val="single" w:sz="4" w:space="0" w:color="auto"/>
              <w:bottom w:val="single" w:sz="4" w:space="0" w:color="auto"/>
              <w:right w:val="single" w:sz="4" w:space="0" w:color="auto"/>
            </w:tcBorders>
            <w:shd w:val="clear" w:color="auto" w:fill="auto"/>
            <w:vAlign w:val="bottom"/>
            <w:hideMark/>
          </w:tcPr>
          <w:p w14:paraId="058BEF59" w14:textId="1943626F" w:rsidR="00DB0706" w:rsidRPr="00DB0706" w:rsidRDefault="00DB0706" w:rsidP="00761C46">
            <w:pPr>
              <w:rPr>
                <w:rFonts w:ascii="Arial" w:eastAsia="SimSun" w:hAnsi="Arial" w:cs="Arial"/>
                <w:color w:val="000000"/>
                <w:lang w:eastAsia="zh-CN"/>
              </w:rPr>
            </w:pPr>
            <w:r w:rsidRPr="00DB0706">
              <w:rPr>
                <w:rFonts w:ascii="Arial" w:eastAsia="SimSun" w:hAnsi="Arial" w:cs="Arial"/>
                <w:color w:val="000000"/>
                <w:lang w:eastAsia="zh-CN"/>
              </w:rPr>
              <w:t>Humanitarian Assistance, Community Support, Conservation, and Other</w:t>
            </w:r>
          </w:p>
        </w:tc>
        <w:tc>
          <w:tcPr>
            <w:tcW w:w="1680" w:type="dxa"/>
            <w:tcBorders>
              <w:top w:val="nil"/>
              <w:left w:val="nil"/>
              <w:bottom w:val="single" w:sz="4" w:space="0" w:color="auto"/>
              <w:right w:val="single" w:sz="4" w:space="0" w:color="auto"/>
            </w:tcBorders>
            <w:shd w:val="clear" w:color="auto" w:fill="auto"/>
            <w:noWrap/>
            <w:vAlign w:val="bottom"/>
            <w:hideMark/>
          </w:tcPr>
          <w:p w14:paraId="6469CA4C" w14:textId="77777777" w:rsidR="00DB0706" w:rsidRPr="00DB0706" w:rsidRDefault="00DB0706" w:rsidP="00DB0706">
            <w:pPr>
              <w:jc w:val="right"/>
              <w:rPr>
                <w:rFonts w:ascii="Arial" w:eastAsia="SimSun" w:hAnsi="Arial" w:cs="Arial"/>
                <w:color w:val="000000"/>
                <w:lang w:eastAsia="zh-CN"/>
              </w:rPr>
            </w:pPr>
            <w:r w:rsidRPr="00DB0706">
              <w:rPr>
                <w:rFonts w:ascii="Arial" w:eastAsia="SimSun" w:hAnsi="Arial" w:cs="Arial"/>
                <w:color w:val="000000"/>
                <w:lang w:eastAsia="zh-CN"/>
              </w:rPr>
              <w:t>351,000</w:t>
            </w:r>
          </w:p>
        </w:tc>
      </w:tr>
      <w:tr w:rsidR="00DB0706" w:rsidRPr="00DB0706" w14:paraId="36C9108E" w14:textId="77777777" w:rsidTr="00DB0706">
        <w:trPr>
          <w:trHeight w:val="240"/>
          <w:jc w:val="center"/>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14:paraId="38789368" w14:textId="77777777" w:rsidR="00DB0706" w:rsidRPr="00DB0706" w:rsidRDefault="00DB0706" w:rsidP="0097496B">
            <w:pPr>
              <w:rPr>
                <w:rFonts w:ascii="Arial" w:eastAsia="SimSun" w:hAnsi="Arial" w:cs="Arial"/>
                <w:b/>
                <w:bCs/>
                <w:color w:val="000000"/>
                <w:lang w:eastAsia="zh-CN"/>
              </w:rPr>
            </w:pPr>
            <w:r w:rsidRPr="00DB0706">
              <w:rPr>
                <w:rFonts w:ascii="Arial" w:eastAsia="SimSun" w:hAnsi="Arial" w:cs="Arial"/>
                <w:b/>
                <w:bCs/>
                <w:color w:val="000000"/>
                <w:lang w:eastAsia="zh-CN"/>
              </w:rPr>
              <w:t>Total</w:t>
            </w:r>
          </w:p>
        </w:tc>
        <w:tc>
          <w:tcPr>
            <w:tcW w:w="1680" w:type="dxa"/>
            <w:tcBorders>
              <w:top w:val="nil"/>
              <w:left w:val="nil"/>
              <w:bottom w:val="single" w:sz="4" w:space="0" w:color="auto"/>
              <w:right w:val="single" w:sz="4" w:space="0" w:color="auto"/>
            </w:tcBorders>
            <w:shd w:val="clear" w:color="auto" w:fill="auto"/>
            <w:noWrap/>
            <w:vAlign w:val="bottom"/>
            <w:hideMark/>
          </w:tcPr>
          <w:p w14:paraId="04BBE190" w14:textId="77777777" w:rsidR="00DB0706" w:rsidRPr="00DB0706" w:rsidRDefault="00DB0706" w:rsidP="00DB0706">
            <w:pPr>
              <w:jc w:val="right"/>
              <w:rPr>
                <w:rFonts w:ascii="Arial" w:eastAsia="SimSun" w:hAnsi="Arial" w:cs="Arial"/>
                <w:b/>
                <w:bCs/>
                <w:color w:val="000000"/>
                <w:lang w:eastAsia="zh-CN"/>
              </w:rPr>
            </w:pPr>
            <w:r w:rsidRPr="00DB0706">
              <w:rPr>
                <w:rFonts w:ascii="Arial" w:eastAsia="SimSun" w:hAnsi="Arial" w:cs="Arial"/>
                <w:b/>
                <w:bCs/>
                <w:color w:val="000000"/>
                <w:lang w:eastAsia="zh-CN"/>
              </w:rPr>
              <w:t>6,101,500</w:t>
            </w:r>
          </w:p>
        </w:tc>
      </w:tr>
    </w:tbl>
    <w:p w14:paraId="5A8CD6C0" w14:textId="77777777" w:rsidR="00DB0706" w:rsidRPr="00DB0706" w:rsidRDefault="00DB0706" w:rsidP="00DB0706">
      <w:pPr>
        <w:jc w:val="both"/>
        <w:rPr>
          <w:rFonts w:ascii="Arial" w:hAnsi="Arial" w:cs="Arial"/>
          <w:kern w:val="2"/>
          <w:sz w:val="17"/>
          <w:szCs w:val="17"/>
        </w:rPr>
      </w:pPr>
    </w:p>
    <w:p w14:paraId="6817624F" w14:textId="02C34F92" w:rsidR="00DB0706" w:rsidRDefault="00DB0706" w:rsidP="00DB0706">
      <w:pPr>
        <w:pStyle w:val="Footnote"/>
      </w:pPr>
      <w:r w:rsidRPr="00DB0706">
        <w:t xml:space="preserve">Source: Created by the case authors based on Banro Corporation, </w:t>
      </w:r>
      <w:r w:rsidRPr="00605E9D">
        <w:rPr>
          <w:i/>
        </w:rPr>
        <w:t>2017 Sustainability Report: Investing in Community Development</w:t>
      </w:r>
      <w:r w:rsidRPr="00DB0706">
        <w:t xml:space="preserve">, </w:t>
      </w:r>
      <w:r w:rsidR="00A114E5">
        <w:t xml:space="preserve">3, </w:t>
      </w:r>
      <w:r w:rsidRPr="00DB0706">
        <w:t>accessed November 13, 2017, https://www.banro.com/assets/docs/EN-SR-2017.pdf.</w:t>
      </w:r>
    </w:p>
    <w:p w14:paraId="64235361" w14:textId="77777777" w:rsidR="00DB0706" w:rsidRDefault="00DB0706" w:rsidP="00DB0706">
      <w:pPr>
        <w:pStyle w:val="BodyTextMain"/>
      </w:pPr>
    </w:p>
    <w:p w14:paraId="3A42928B" w14:textId="77777777" w:rsidR="00DB0706" w:rsidRDefault="00DB0706" w:rsidP="00DB0706">
      <w:pPr>
        <w:pStyle w:val="BodyTextMain"/>
      </w:pPr>
    </w:p>
    <w:p w14:paraId="26FCC453" w14:textId="77777777" w:rsidR="00DB0706" w:rsidRDefault="00DB0706" w:rsidP="00DB0706">
      <w:pPr>
        <w:pStyle w:val="BodyTextMain"/>
      </w:pPr>
    </w:p>
    <w:p w14:paraId="4A047839" w14:textId="77777777" w:rsidR="00DB0706" w:rsidRDefault="00DB0706" w:rsidP="00DB0706">
      <w:pPr>
        <w:pStyle w:val="BodyTextMain"/>
      </w:pPr>
    </w:p>
    <w:p w14:paraId="2884F4E8" w14:textId="77777777" w:rsidR="00DB0706" w:rsidRDefault="00DB0706" w:rsidP="00DB0706">
      <w:pPr>
        <w:pStyle w:val="BodyTextMain"/>
      </w:pPr>
    </w:p>
    <w:p w14:paraId="0FB425BA" w14:textId="77777777" w:rsidR="00DB0706" w:rsidRDefault="00DB0706" w:rsidP="00DB0706">
      <w:pPr>
        <w:pStyle w:val="BodyTextMain"/>
      </w:pPr>
    </w:p>
    <w:p w14:paraId="0D1801F4" w14:textId="77777777" w:rsidR="00DB0706" w:rsidRDefault="00DB0706" w:rsidP="00DB0706">
      <w:pPr>
        <w:pStyle w:val="BodyTextMain"/>
      </w:pPr>
    </w:p>
    <w:p w14:paraId="6D0F95A6" w14:textId="77777777" w:rsidR="00DB0706" w:rsidRDefault="00DB0706" w:rsidP="00DB0706">
      <w:pPr>
        <w:pStyle w:val="BodyTextMain"/>
      </w:pPr>
    </w:p>
    <w:p w14:paraId="09ED015C" w14:textId="77777777" w:rsidR="00DB0706" w:rsidRDefault="00DB0706" w:rsidP="00DB0706">
      <w:pPr>
        <w:pStyle w:val="BodyTextMain"/>
      </w:pPr>
    </w:p>
    <w:p w14:paraId="6459EA3B" w14:textId="77777777" w:rsidR="00DB0706" w:rsidRDefault="00DB0706" w:rsidP="00DB0706">
      <w:pPr>
        <w:pStyle w:val="BodyTextMain"/>
      </w:pPr>
    </w:p>
    <w:p w14:paraId="687BC208" w14:textId="77777777" w:rsidR="00DB0706" w:rsidRDefault="00DB0706" w:rsidP="00DB0706">
      <w:pPr>
        <w:pStyle w:val="BodyTextMain"/>
      </w:pPr>
    </w:p>
    <w:p w14:paraId="6ECF9C9F" w14:textId="77777777" w:rsidR="00DB0706" w:rsidRDefault="00DB0706" w:rsidP="00DB0706">
      <w:pPr>
        <w:pStyle w:val="BodyTextMain"/>
      </w:pPr>
    </w:p>
    <w:p w14:paraId="2DB8794C" w14:textId="19D04A84" w:rsidR="00DB0706" w:rsidRPr="00DB0706" w:rsidRDefault="00DB0706" w:rsidP="00DB0706">
      <w:pPr>
        <w:pStyle w:val="ExhibitHeading"/>
        <w:rPr>
          <w:lang w:val="en-GB" w:eastAsia="zh-CN"/>
        </w:rPr>
      </w:pPr>
      <w:r w:rsidRPr="00DB0706">
        <w:rPr>
          <w:lang w:val="en-GB"/>
        </w:rPr>
        <w:lastRenderedPageBreak/>
        <w:t xml:space="preserve">Exhibit 8: </w:t>
      </w:r>
      <w:r w:rsidRPr="00DB0706">
        <w:rPr>
          <w:rFonts w:hint="eastAsia"/>
          <w:lang w:val="en-GB" w:eastAsia="zh-CN"/>
        </w:rPr>
        <w:t>relationship between U.S. federal</w:t>
      </w:r>
      <w:r w:rsidR="009A76D8">
        <w:rPr>
          <w:lang w:val="en-GB" w:eastAsia="zh-CN"/>
        </w:rPr>
        <w:t xml:space="preserve"> </w:t>
      </w:r>
      <w:r w:rsidRPr="00DB0706">
        <w:rPr>
          <w:rFonts w:hint="eastAsia"/>
          <w:lang w:val="en-GB" w:eastAsia="zh-CN"/>
        </w:rPr>
        <w:t xml:space="preserve">fund </w:t>
      </w:r>
      <w:r w:rsidRPr="00DB0706">
        <w:rPr>
          <w:lang w:val="en-GB" w:eastAsia="zh-CN"/>
        </w:rPr>
        <w:t>RATE AND</w:t>
      </w:r>
      <w:r w:rsidRPr="00DB0706">
        <w:rPr>
          <w:rFonts w:hint="eastAsia"/>
          <w:lang w:val="en-GB" w:eastAsia="zh-CN"/>
        </w:rPr>
        <w:t xml:space="preserve"> gold price</w:t>
      </w:r>
    </w:p>
    <w:p w14:paraId="19122411" w14:textId="77777777" w:rsidR="00DB0706" w:rsidRPr="00DB0706" w:rsidRDefault="00DB0706" w:rsidP="00DB0706">
      <w:pPr>
        <w:jc w:val="center"/>
        <w:outlineLvl w:val="0"/>
        <w:rPr>
          <w:rFonts w:ascii="Arial" w:hAnsi="Arial" w:cs="Arial"/>
          <w:b/>
          <w:caps/>
          <w:kern w:val="2"/>
          <w:lang w:val="en-GB" w:eastAsia="zh-CN"/>
        </w:rPr>
      </w:pPr>
    </w:p>
    <w:p w14:paraId="225AA529" w14:textId="6AE08F88" w:rsidR="00DB0706" w:rsidRPr="00DB0706" w:rsidRDefault="00DB0706" w:rsidP="000512F8">
      <w:pPr>
        <w:jc w:val="center"/>
        <w:rPr>
          <w:rFonts w:ascii="Arial" w:hAnsi="Arial" w:cs="Arial"/>
          <w:kern w:val="2"/>
          <w:sz w:val="17"/>
          <w:szCs w:val="17"/>
        </w:rPr>
      </w:pPr>
      <w:r w:rsidRPr="00DB0706">
        <w:rPr>
          <w:noProof/>
          <w:kern w:val="2"/>
          <w:sz w:val="22"/>
          <w:szCs w:val="22"/>
        </w:rPr>
        <w:drawing>
          <wp:inline distT="0" distB="0" distL="0" distR="0" wp14:anchorId="67BE7CF6" wp14:editId="59FA4A03">
            <wp:extent cx="5781675" cy="3124862"/>
            <wp:effectExtent l="0" t="0" r="9525" b="18415"/>
            <wp:docPr id="2" name="Chart 2">
              <a:extLst xmlns:a="http://schemas.openxmlformats.org/drawingml/2006/main">
                <a:ext uri="{FF2B5EF4-FFF2-40B4-BE49-F238E27FC236}">
                  <a16:creationId xmlns:mo="http://schemas.microsoft.com/office/mac/office/2008/main" xmlns:mv="urn:schemas-microsoft-com:mac:vml"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id="{69D09962-A5AF-47DB-9994-5CB6AD2C02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BD1CB8D" w14:textId="77777777" w:rsidR="00123604" w:rsidRDefault="00123604" w:rsidP="00DB0706">
      <w:pPr>
        <w:jc w:val="both"/>
        <w:rPr>
          <w:rFonts w:ascii="Arial" w:hAnsi="Arial" w:cs="Arial"/>
          <w:kern w:val="2"/>
          <w:sz w:val="17"/>
          <w:szCs w:val="17"/>
        </w:rPr>
      </w:pPr>
    </w:p>
    <w:p w14:paraId="0A7EE8EB" w14:textId="75033CCF" w:rsidR="00DB0706" w:rsidRPr="00DB0706" w:rsidRDefault="00DB0706" w:rsidP="00DB0706">
      <w:pPr>
        <w:jc w:val="both"/>
        <w:rPr>
          <w:rFonts w:ascii="Arial" w:hAnsi="Arial" w:cs="Arial"/>
          <w:kern w:val="2"/>
          <w:sz w:val="17"/>
          <w:szCs w:val="17"/>
        </w:rPr>
      </w:pPr>
      <w:r w:rsidRPr="00DB0706">
        <w:rPr>
          <w:rFonts w:ascii="Arial" w:hAnsi="Arial" w:cs="Arial"/>
          <w:kern w:val="2"/>
          <w:sz w:val="17"/>
          <w:szCs w:val="17"/>
        </w:rPr>
        <w:t xml:space="preserve">PPI = </w:t>
      </w:r>
      <w:r w:rsidR="00123604">
        <w:rPr>
          <w:rFonts w:ascii="Arial" w:hAnsi="Arial" w:cs="Arial"/>
          <w:kern w:val="2"/>
          <w:sz w:val="17"/>
          <w:szCs w:val="17"/>
        </w:rPr>
        <w:t>p</w:t>
      </w:r>
      <w:r w:rsidRPr="00DB0706">
        <w:rPr>
          <w:rFonts w:ascii="Arial" w:hAnsi="Arial" w:cs="Arial"/>
          <w:kern w:val="2"/>
          <w:sz w:val="17"/>
          <w:szCs w:val="17"/>
        </w:rPr>
        <w:t xml:space="preserve">roducer </w:t>
      </w:r>
      <w:r w:rsidR="00123604">
        <w:rPr>
          <w:rFonts w:ascii="Arial" w:hAnsi="Arial" w:cs="Arial"/>
          <w:kern w:val="2"/>
          <w:sz w:val="17"/>
          <w:szCs w:val="17"/>
        </w:rPr>
        <w:t>p</w:t>
      </w:r>
      <w:r w:rsidRPr="00DB0706">
        <w:rPr>
          <w:rFonts w:ascii="Arial" w:hAnsi="Arial" w:cs="Arial"/>
          <w:kern w:val="2"/>
          <w:sz w:val="17"/>
          <w:szCs w:val="17"/>
        </w:rPr>
        <w:t xml:space="preserve">rice </w:t>
      </w:r>
      <w:r w:rsidR="00123604">
        <w:rPr>
          <w:rFonts w:ascii="Arial" w:hAnsi="Arial" w:cs="Arial"/>
          <w:kern w:val="2"/>
          <w:sz w:val="17"/>
          <w:szCs w:val="17"/>
        </w:rPr>
        <w:t>i</w:t>
      </w:r>
      <w:r w:rsidRPr="00DB0706">
        <w:rPr>
          <w:rFonts w:ascii="Arial" w:hAnsi="Arial" w:cs="Arial"/>
          <w:kern w:val="2"/>
          <w:sz w:val="17"/>
          <w:szCs w:val="17"/>
        </w:rPr>
        <w:t>ndex</w:t>
      </w:r>
      <w:r w:rsidR="009A76D8">
        <w:rPr>
          <w:rFonts w:ascii="Arial" w:hAnsi="Arial" w:cs="Arial"/>
          <w:kern w:val="2"/>
          <w:sz w:val="17"/>
          <w:szCs w:val="17"/>
        </w:rPr>
        <w:t>; FF rate = federal fund rate</w:t>
      </w:r>
    </w:p>
    <w:p w14:paraId="41BA3CBD" w14:textId="1840B562" w:rsidR="00DB0706" w:rsidRDefault="00DB0706" w:rsidP="00DB0706">
      <w:pPr>
        <w:pStyle w:val="BodyTextMain"/>
      </w:pPr>
      <w:r w:rsidRPr="00DB0706">
        <w:rPr>
          <w:rFonts w:ascii="Arial" w:hAnsi="Arial" w:cs="Arial"/>
          <w:kern w:val="2"/>
          <w:sz w:val="17"/>
          <w:szCs w:val="17"/>
        </w:rPr>
        <w:t xml:space="preserve">Source: </w:t>
      </w:r>
      <w:r w:rsidRPr="00DB0706">
        <w:rPr>
          <w:rFonts w:ascii="Arial" w:hAnsi="Arial" w:cs="Arial" w:hint="eastAsia"/>
          <w:kern w:val="2"/>
          <w:sz w:val="17"/>
          <w:szCs w:val="17"/>
          <w:lang w:eastAsia="zh-CN"/>
        </w:rPr>
        <w:t>Created by the case authors based on</w:t>
      </w:r>
      <w:r w:rsidRPr="00DB0706">
        <w:rPr>
          <w:rFonts w:ascii="Arial" w:hAnsi="Arial" w:cs="Arial"/>
          <w:kern w:val="2"/>
          <w:sz w:val="17"/>
          <w:szCs w:val="17"/>
          <w:lang w:eastAsia="zh-CN"/>
        </w:rPr>
        <w:t xml:space="preserve"> </w:t>
      </w:r>
      <w:r w:rsidR="001F7BBC">
        <w:rPr>
          <w:rFonts w:ascii="Arial" w:hAnsi="Arial" w:cs="Arial"/>
          <w:kern w:val="2"/>
          <w:sz w:val="17"/>
          <w:szCs w:val="17"/>
          <w:lang w:eastAsia="zh-CN"/>
        </w:rPr>
        <w:t>“</w:t>
      </w:r>
      <w:r w:rsidR="001F7BBC" w:rsidRPr="001F7BBC">
        <w:rPr>
          <w:rFonts w:ascii="Arial" w:hAnsi="Arial" w:cs="Arial"/>
          <w:kern w:val="2"/>
          <w:sz w:val="17"/>
          <w:szCs w:val="17"/>
          <w:lang w:eastAsia="zh-CN"/>
        </w:rPr>
        <w:t>Effective Federal Funds Rate</w:t>
      </w:r>
      <w:r w:rsidR="001F7BBC">
        <w:rPr>
          <w:rFonts w:ascii="Arial" w:hAnsi="Arial" w:cs="Arial"/>
          <w:kern w:val="2"/>
          <w:sz w:val="17"/>
          <w:szCs w:val="17"/>
          <w:lang w:eastAsia="zh-CN"/>
        </w:rPr>
        <w:t>,”</w:t>
      </w:r>
      <w:r w:rsidR="001F7BBC" w:rsidRPr="001F7BBC">
        <w:rPr>
          <w:rFonts w:ascii="Arial" w:hAnsi="Arial" w:cs="Arial"/>
          <w:kern w:val="2"/>
          <w:sz w:val="17"/>
          <w:szCs w:val="17"/>
          <w:lang w:eastAsia="zh-CN"/>
        </w:rPr>
        <w:t xml:space="preserve"> </w:t>
      </w:r>
      <w:r w:rsidR="001F7BBC" w:rsidRPr="008644A0">
        <w:rPr>
          <w:rFonts w:ascii="Arial" w:hAnsi="Arial" w:cs="Arial"/>
          <w:i/>
          <w:kern w:val="2"/>
          <w:sz w:val="17"/>
          <w:szCs w:val="17"/>
          <w:lang w:eastAsia="zh-CN"/>
        </w:rPr>
        <w:t>FRED</w:t>
      </w:r>
      <w:r w:rsidRPr="00DB0706">
        <w:rPr>
          <w:rFonts w:ascii="Arial" w:hAnsi="Arial" w:cs="Arial"/>
          <w:kern w:val="2"/>
          <w:sz w:val="17"/>
          <w:szCs w:val="17"/>
          <w:lang w:eastAsia="zh-CN"/>
        </w:rPr>
        <w:t>, accessed August 17, 2017, https://fred.stlouisfed.org/series/FF</w:t>
      </w:r>
      <w:r w:rsidR="001F7BBC">
        <w:rPr>
          <w:rFonts w:ascii="Arial" w:hAnsi="Arial" w:cs="Arial"/>
          <w:kern w:val="2"/>
          <w:sz w:val="17"/>
          <w:szCs w:val="17"/>
          <w:lang w:eastAsia="zh-CN"/>
        </w:rPr>
        <w:t>;</w:t>
      </w:r>
      <w:r w:rsidRPr="00DB0706">
        <w:rPr>
          <w:rFonts w:ascii="Arial" w:hAnsi="Arial" w:cs="Arial"/>
          <w:kern w:val="2"/>
          <w:sz w:val="17"/>
          <w:szCs w:val="17"/>
          <w:lang w:eastAsia="zh-CN"/>
        </w:rPr>
        <w:t xml:space="preserve"> </w:t>
      </w:r>
      <w:r w:rsidR="001F7BBC">
        <w:rPr>
          <w:rFonts w:ascii="Arial" w:hAnsi="Arial" w:cs="Arial"/>
          <w:kern w:val="2"/>
          <w:sz w:val="17"/>
          <w:szCs w:val="17"/>
          <w:lang w:eastAsia="zh-CN"/>
        </w:rPr>
        <w:t>“</w:t>
      </w:r>
      <w:r w:rsidR="001F7BBC" w:rsidRPr="001F7BBC">
        <w:rPr>
          <w:rFonts w:ascii="Arial" w:hAnsi="Arial" w:cs="Arial"/>
          <w:kern w:val="2"/>
          <w:sz w:val="17"/>
          <w:szCs w:val="17"/>
          <w:lang w:eastAsia="zh-CN"/>
        </w:rPr>
        <w:t>Producer Price Index by Industry: Gold Ore Mining: Gold Ores</w:t>
      </w:r>
      <w:r w:rsidR="001F7BBC">
        <w:rPr>
          <w:rFonts w:ascii="Arial" w:hAnsi="Arial" w:cs="Arial"/>
          <w:kern w:val="2"/>
          <w:sz w:val="17"/>
          <w:szCs w:val="17"/>
          <w:lang w:eastAsia="zh-CN"/>
        </w:rPr>
        <w:t>,”</w:t>
      </w:r>
      <w:r w:rsidR="001F7BBC" w:rsidRPr="00DB0706">
        <w:rPr>
          <w:rFonts w:ascii="Arial" w:hAnsi="Arial" w:cs="Arial"/>
          <w:kern w:val="2"/>
          <w:sz w:val="17"/>
          <w:szCs w:val="17"/>
          <w:lang w:eastAsia="zh-CN"/>
        </w:rPr>
        <w:t xml:space="preserve"> </w:t>
      </w:r>
      <w:r w:rsidR="001F7BBC" w:rsidRPr="008644A0">
        <w:rPr>
          <w:rFonts w:ascii="Arial" w:hAnsi="Arial" w:cs="Arial"/>
          <w:i/>
          <w:kern w:val="2"/>
          <w:sz w:val="17"/>
          <w:szCs w:val="17"/>
          <w:lang w:eastAsia="zh-CN"/>
        </w:rPr>
        <w:t>FRED</w:t>
      </w:r>
      <w:r w:rsidR="001F7BBC" w:rsidRPr="00DB0706">
        <w:rPr>
          <w:rFonts w:ascii="Arial" w:hAnsi="Arial" w:cs="Arial"/>
          <w:kern w:val="2"/>
          <w:sz w:val="17"/>
          <w:szCs w:val="17"/>
          <w:lang w:eastAsia="zh-CN"/>
        </w:rPr>
        <w:t>, accessed August</w:t>
      </w:r>
      <w:r w:rsidR="00123604">
        <w:rPr>
          <w:rFonts w:ascii="Arial" w:hAnsi="Arial" w:cs="Arial"/>
          <w:kern w:val="2"/>
          <w:sz w:val="17"/>
          <w:szCs w:val="17"/>
          <w:lang w:eastAsia="zh-CN"/>
        </w:rPr>
        <w:t> </w:t>
      </w:r>
      <w:r w:rsidR="001F7BBC" w:rsidRPr="00DB0706">
        <w:rPr>
          <w:rFonts w:ascii="Arial" w:hAnsi="Arial" w:cs="Arial"/>
          <w:kern w:val="2"/>
          <w:sz w:val="17"/>
          <w:szCs w:val="17"/>
          <w:lang w:eastAsia="zh-CN"/>
        </w:rPr>
        <w:t>17, 2017,</w:t>
      </w:r>
      <w:r w:rsidR="001F7BBC">
        <w:rPr>
          <w:rFonts w:ascii="Arial" w:hAnsi="Arial" w:cs="Arial"/>
          <w:kern w:val="2"/>
          <w:sz w:val="17"/>
          <w:szCs w:val="17"/>
          <w:lang w:eastAsia="zh-CN"/>
        </w:rPr>
        <w:t xml:space="preserve"> </w:t>
      </w:r>
      <w:r w:rsidRPr="00DB0706">
        <w:rPr>
          <w:rFonts w:ascii="Arial" w:hAnsi="Arial" w:cs="Arial"/>
          <w:kern w:val="2"/>
          <w:sz w:val="17"/>
          <w:szCs w:val="17"/>
          <w:lang w:eastAsia="zh-CN"/>
        </w:rPr>
        <w:t>https://fred.stlouisfed.org/series/PCU2122212122210.</w:t>
      </w:r>
    </w:p>
    <w:p w14:paraId="20B8EF6F" w14:textId="77777777" w:rsidR="00DB0706" w:rsidRDefault="00DB0706" w:rsidP="00DB0706">
      <w:pPr>
        <w:pStyle w:val="BodyTextMain"/>
      </w:pPr>
    </w:p>
    <w:p w14:paraId="71C647D1" w14:textId="77777777" w:rsidR="00DB0706" w:rsidRDefault="00DB0706" w:rsidP="00DB0706">
      <w:pPr>
        <w:pStyle w:val="BodyTextMain"/>
      </w:pPr>
    </w:p>
    <w:p w14:paraId="5EBE1C9A" w14:textId="77777777" w:rsidR="00DB0706" w:rsidRDefault="00DB0706" w:rsidP="00DB0706">
      <w:pPr>
        <w:pStyle w:val="BodyTextMain"/>
      </w:pPr>
    </w:p>
    <w:p w14:paraId="3E5C2D91" w14:textId="77777777" w:rsidR="00DB0706" w:rsidRDefault="00DB0706" w:rsidP="00DB0706">
      <w:pPr>
        <w:pStyle w:val="BodyTextMain"/>
      </w:pPr>
    </w:p>
    <w:p w14:paraId="714CE38C" w14:textId="77777777" w:rsidR="00DB0706" w:rsidRDefault="00DB0706" w:rsidP="00DB0706">
      <w:pPr>
        <w:pStyle w:val="BodyTextMain"/>
      </w:pPr>
    </w:p>
    <w:p w14:paraId="2DC263D4" w14:textId="77777777" w:rsidR="00DB0706" w:rsidRDefault="00DB0706" w:rsidP="00DB0706">
      <w:pPr>
        <w:pStyle w:val="BodyTextMain"/>
      </w:pPr>
    </w:p>
    <w:p w14:paraId="157C7A22" w14:textId="77777777" w:rsidR="009248C3" w:rsidRDefault="009248C3">
      <w:pPr>
        <w:spacing w:after="200" w:line="276" w:lineRule="auto"/>
        <w:rPr>
          <w:kern w:val="2"/>
          <w:sz w:val="22"/>
          <w:szCs w:val="22"/>
        </w:rPr>
      </w:pPr>
      <w:r>
        <w:rPr>
          <w:kern w:val="2"/>
        </w:rPr>
        <w:br w:type="page"/>
      </w:r>
    </w:p>
    <w:p w14:paraId="63663414" w14:textId="77777777" w:rsidR="009248C3" w:rsidRDefault="009248C3" w:rsidP="009248C3">
      <w:pPr>
        <w:pStyle w:val="Casehead1"/>
      </w:pPr>
      <w:r>
        <w:lastRenderedPageBreak/>
        <w:t>ENDNOTES</w:t>
      </w:r>
    </w:p>
    <w:sectPr w:rsidR="009248C3"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DCBEC" w14:textId="77777777" w:rsidR="000512F8" w:rsidRDefault="000512F8" w:rsidP="00D75295">
      <w:r>
        <w:separator/>
      </w:r>
    </w:p>
  </w:endnote>
  <w:endnote w:type="continuationSeparator" w:id="0">
    <w:p w14:paraId="76A34EDE" w14:textId="77777777" w:rsidR="000512F8" w:rsidRDefault="000512F8" w:rsidP="00D75295">
      <w:r>
        <w:continuationSeparator/>
      </w:r>
    </w:p>
  </w:endnote>
  <w:endnote w:id="1">
    <w:p w14:paraId="593D7F76" w14:textId="77777777" w:rsidR="000512F8" w:rsidRDefault="000512F8" w:rsidP="009248C3">
      <w:pPr>
        <w:pStyle w:val="Footnote"/>
      </w:pPr>
      <w:r>
        <w:rPr>
          <w:rStyle w:val="EndnoteReference"/>
        </w:rPr>
        <w:endnoteRef/>
      </w:r>
      <w:r>
        <w:t xml:space="preserve"> </w:t>
      </w:r>
      <w:r w:rsidRPr="00102F97">
        <w:t>This case has been written on the basis of published sources only. Consequently, the interpretation and perspectives presented in the case are not necessarily those of Banro Corporation or any of its employees.</w:t>
      </w:r>
    </w:p>
  </w:endnote>
  <w:endnote w:id="2">
    <w:p w14:paraId="274FB05B" w14:textId="66C77673" w:rsidR="000512F8" w:rsidRPr="00102F97" w:rsidRDefault="000512F8" w:rsidP="009248C3">
      <w:pPr>
        <w:pStyle w:val="Footnote"/>
      </w:pPr>
      <w:r w:rsidRPr="00102F97">
        <w:rPr>
          <w:rStyle w:val="EndnoteReference"/>
        </w:rPr>
        <w:endnoteRef/>
      </w:r>
      <w:r w:rsidRPr="00102F97">
        <w:t xml:space="preserve"> All currency amounts are in U</w:t>
      </w:r>
      <w:r>
        <w:t>.</w:t>
      </w:r>
      <w:r w:rsidRPr="00102F97">
        <w:t>S</w:t>
      </w:r>
      <w:r>
        <w:t>. dollars</w:t>
      </w:r>
      <w:r w:rsidRPr="00102F97">
        <w:t xml:space="preserve"> unless otherwise specified.</w:t>
      </w:r>
    </w:p>
  </w:endnote>
  <w:endnote w:id="3">
    <w:p w14:paraId="372D4869" w14:textId="77777777" w:rsidR="000512F8" w:rsidRPr="00102F97" w:rsidRDefault="000512F8" w:rsidP="009248C3">
      <w:pPr>
        <w:pStyle w:val="Footnote"/>
      </w:pPr>
      <w:r w:rsidRPr="00102F97">
        <w:rPr>
          <w:rStyle w:val="EndnoteReference"/>
        </w:rPr>
        <w:endnoteRef/>
      </w:r>
      <w:r w:rsidRPr="00102F97">
        <w:t xml:space="preserve"> “Banro Announces Execution of Support Agreement for Recapitalization Transactions,” </w:t>
      </w:r>
      <w:r>
        <w:t xml:space="preserve">Banro Corporation, </w:t>
      </w:r>
      <w:r w:rsidRPr="00102F97">
        <w:t>January 31, 2017, accessed November 10, 2017, https://www.banro.com/news-events/news-releases/banro-announces-execution-of-support-agreement-for-20170131.</w:t>
      </w:r>
    </w:p>
  </w:endnote>
  <w:endnote w:id="4">
    <w:p w14:paraId="5F3FA435" w14:textId="6C630D13" w:rsidR="000512F8" w:rsidRPr="00102F97" w:rsidRDefault="000512F8" w:rsidP="009248C3">
      <w:pPr>
        <w:pStyle w:val="Footnote"/>
      </w:pPr>
      <w:r w:rsidRPr="00102F97">
        <w:rPr>
          <w:rStyle w:val="EndnoteReference"/>
        </w:rPr>
        <w:endnoteRef/>
      </w:r>
      <w:r w:rsidRPr="00102F97">
        <w:t xml:space="preserve"> </w:t>
      </w:r>
      <w:r>
        <w:t>Ibid.</w:t>
      </w:r>
    </w:p>
  </w:endnote>
  <w:endnote w:id="5">
    <w:p w14:paraId="278B6AB5" w14:textId="51E087CC" w:rsidR="000512F8" w:rsidRPr="00102F97" w:rsidRDefault="000512F8" w:rsidP="009248C3">
      <w:pPr>
        <w:pStyle w:val="Footnote"/>
      </w:pPr>
      <w:r w:rsidRPr="00102F97">
        <w:rPr>
          <w:rStyle w:val="EndnoteReference"/>
        </w:rPr>
        <w:endnoteRef/>
      </w:r>
      <w:r w:rsidRPr="00102F97">
        <w:t xml:space="preserve"> </w:t>
      </w:r>
      <w:r w:rsidRPr="008644A0">
        <w:rPr>
          <w:spacing w:val="-4"/>
        </w:rPr>
        <w:t xml:space="preserve">Banro Corporation, </w:t>
      </w:r>
      <w:r w:rsidRPr="00605E9D">
        <w:rPr>
          <w:i/>
          <w:spacing w:val="-4"/>
        </w:rPr>
        <w:t>Banro: Annual Report 2016</w:t>
      </w:r>
      <w:r w:rsidRPr="00605E9D">
        <w:rPr>
          <w:spacing w:val="-4"/>
        </w:rPr>
        <w:t>, 221, Exhibit 15.6, accessed May 10, 2017, www.sedar.com/GetFile.do?lang=EN&amp;docClass=2&amp;issuerNo=00002878&amp;issuerType=03&amp;projectNo=02607555&amp;docId=4085742.</w:t>
      </w:r>
    </w:p>
  </w:endnote>
  <w:endnote w:id="6">
    <w:p w14:paraId="3D0B41D0" w14:textId="057B1E89" w:rsidR="000512F8" w:rsidRDefault="000512F8" w:rsidP="009248C3">
      <w:pPr>
        <w:pStyle w:val="Footnote"/>
        <w:rPr>
          <w:spacing w:val="-4"/>
        </w:rPr>
      </w:pPr>
      <w:r w:rsidRPr="00FE69CC">
        <w:rPr>
          <w:rStyle w:val="EndnoteReference"/>
        </w:rPr>
        <w:endnoteRef/>
      </w:r>
      <w:r w:rsidRPr="00FE69CC">
        <w:t xml:space="preserve"> Banro Corporation, </w:t>
      </w:r>
      <w:r w:rsidRPr="00605E9D">
        <w:rPr>
          <w:i/>
        </w:rPr>
        <w:t>Consolidated Financial Statements: December 31, 2012 and 2011 (Expressed in U.S. Dollars)</w:t>
      </w:r>
      <w:r w:rsidRPr="002649DC">
        <w:t>, March</w:t>
      </w:r>
      <w:r>
        <w:t> </w:t>
      </w:r>
      <w:r w:rsidRPr="00605E9D">
        <w:rPr>
          <w:spacing w:val="-4"/>
        </w:rPr>
        <w:t xml:space="preserve">26, 2013, accessed July 5, 2017, </w:t>
      </w:r>
      <w:r w:rsidRPr="000926A8">
        <w:rPr>
          <w:spacing w:val="-4"/>
        </w:rPr>
        <w:t>www.sedar.com/GetFile.do?lang</w:t>
      </w:r>
      <w:r w:rsidRPr="00605E9D">
        <w:rPr>
          <w:spacing w:val="-4"/>
        </w:rPr>
        <w:t>=EN&amp;docClass=5&amp;issuerNo=00002878&amp;issuerType=</w:t>
      </w:r>
    </w:p>
    <w:p w14:paraId="2A897959" w14:textId="73E89237" w:rsidR="000512F8" w:rsidRPr="002649DC" w:rsidRDefault="000512F8" w:rsidP="009248C3">
      <w:pPr>
        <w:pStyle w:val="Footnote"/>
      </w:pPr>
      <w:r w:rsidRPr="00605E9D">
        <w:rPr>
          <w:spacing w:val="-4"/>
        </w:rPr>
        <w:t>03&amp;projectNo=02033849&amp;docId=3294581.</w:t>
      </w:r>
    </w:p>
  </w:endnote>
  <w:endnote w:id="7">
    <w:p w14:paraId="77010BC4" w14:textId="7BB808AA" w:rsidR="000512F8" w:rsidRPr="00102F97" w:rsidRDefault="000512F8" w:rsidP="009248C3">
      <w:pPr>
        <w:pStyle w:val="Footnote"/>
      </w:pPr>
      <w:r w:rsidRPr="00102F97">
        <w:rPr>
          <w:rStyle w:val="EndnoteReference"/>
        </w:rPr>
        <w:endnoteRef/>
      </w:r>
      <w:r w:rsidRPr="00102F97">
        <w:t xml:space="preserve"> “When Things Go Wrong </w:t>
      </w:r>
      <w:r>
        <w:t>–</w:t>
      </w:r>
      <w:r w:rsidRPr="00102F97">
        <w:t xml:space="preserve"> Banro Corp. Case Study,” Seeking Alpha, January 6, 2016, accessed November 14, 2017, https://seekingalpha.com/article/3793706-things-go-wrong-banro-corp-case-study?page=2.</w:t>
      </w:r>
    </w:p>
  </w:endnote>
  <w:endnote w:id="8">
    <w:p w14:paraId="0145248E" w14:textId="54A32FE6" w:rsidR="000512F8" w:rsidRDefault="000512F8" w:rsidP="009248C3">
      <w:pPr>
        <w:pStyle w:val="Footnote"/>
        <w:rPr>
          <w:spacing w:val="-4"/>
          <w:shd w:val="clear" w:color="auto" w:fill="FFFFFF"/>
        </w:rPr>
      </w:pPr>
      <w:r w:rsidRPr="00605E9D">
        <w:rPr>
          <w:spacing w:val="-4"/>
          <w:vertAlign w:val="superscript"/>
        </w:rPr>
        <w:endnoteRef/>
      </w:r>
      <w:r w:rsidRPr="00605E9D">
        <w:rPr>
          <w:spacing w:val="-4"/>
        </w:rPr>
        <w:t xml:space="preserve"> Banro Corporation, </w:t>
      </w:r>
      <w:r w:rsidRPr="00605E9D">
        <w:rPr>
          <w:i/>
          <w:spacing w:val="-4"/>
        </w:rPr>
        <w:t>Banro: Annual Report 2014</w:t>
      </w:r>
      <w:r w:rsidRPr="00605E9D">
        <w:rPr>
          <w:spacing w:val="-4"/>
        </w:rPr>
        <w:t xml:space="preserve">, 23, accessed July 5, 2017, </w:t>
      </w:r>
      <w:r w:rsidRPr="000926A8">
        <w:rPr>
          <w:spacing w:val="-4"/>
          <w:shd w:val="clear" w:color="auto" w:fill="FFFFFF"/>
        </w:rPr>
        <w:t>www.sedar.com/GetFile.do?lang</w:t>
      </w:r>
      <w:r w:rsidRPr="00605E9D">
        <w:rPr>
          <w:spacing w:val="-4"/>
          <w:shd w:val="clear" w:color="auto" w:fill="FFFFFF"/>
        </w:rPr>
        <w:t>=EN&amp;docClass=</w:t>
      </w:r>
    </w:p>
    <w:p w14:paraId="7E2D667F" w14:textId="549814AE" w:rsidR="000512F8" w:rsidRPr="00605E9D" w:rsidRDefault="000512F8" w:rsidP="009248C3">
      <w:pPr>
        <w:pStyle w:val="Footnote"/>
        <w:rPr>
          <w:spacing w:val="-4"/>
        </w:rPr>
      </w:pPr>
      <w:r w:rsidRPr="00605E9D">
        <w:rPr>
          <w:spacing w:val="-4"/>
          <w:shd w:val="clear" w:color="auto" w:fill="FFFFFF"/>
        </w:rPr>
        <w:t xml:space="preserve">2&amp;issuerNo=00002878&amp;issuerType=03&amp;projectNo=02333039&amp;docId=3709182. </w:t>
      </w:r>
    </w:p>
  </w:endnote>
  <w:endnote w:id="9">
    <w:p w14:paraId="2EC1FF90" w14:textId="5E3160FC" w:rsidR="000512F8" w:rsidRPr="00102F97" w:rsidRDefault="000512F8" w:rsidP="009248C3">
      <w:pPr>
        <w:pStyle w:val="Footnote"/>
      </w:pPr>
      <w:r w:rsidRPr="00102F97">
        <w:rPr>
          <w:rStyle w:val="EndnoteReference"/>
        </w:rPr>
        <w:endnoteRef/>
      </w:r>
      <w:r w:rsidRPr="00102F97">
        <w:t xml:space="preserve"> </w:t>
      </w:r>
      <w:r>
        <w:t xml:space="preserve">On </w:t>
      </w:r>
      <w:r w:rsidRPr="00102F97">
        <w:t xml:space="preserve">May 10, 2012, </w:t>
      </w:r>
      <w:r>
        <w:t xml:space="preserve">the </w:t>
      </w:r>
      <w:r w:rsidRPr="00102F97">
        <w:t>American Stock Exchange (AMEX)</w:t>
      </w:r>
      <w:r>
        <w:t>,</w:t>
      </w:r>
      <w:r w:rsidRPr="00102F97">
        <w:t xml:space="preserve"> an American stock exchange situated in New York City</w:t>
      </w:r>
      <w:r>
        <w:t>,</w:t>
      </w:r>
      <w:r w:rsidRPr="00102F97">
        <w:t xml:space="preserve"> was re</w:t>
      </w:r>
      <w:r>
        <w:t>-</w:t>
      </w:r>
      <w:r w:rsidRPr="00102F97">
        <w:t>named NYSE MKT LLC.</w:t>
      </w:r>
    </w:p>
  </w:endnote>
  <w:endnote w:id="10">
    <w:p w14:paraId="637600AA" w14:textId="4FCE0732" w:rsidR="000512F8" w:rsidRPr="00102F97" w:rsidRDefault="000512F8" w:rsidP="009248C3">
      <w:pPr>
        <w:pStyle w:val="Footnote"/>
      </w:pPr>
      <w:r w:rsidRPr="00102F97">
        <w:rPr>
          <w:vertAlign w:val="superscript"/>
        </w:rPr>
        <w:endnoteRef/>
      </w:r>
      <w:r w:rsidRPr="00102F97">
        <w:t xml:space="preserve"> </w:t>
      </w:r>
      <w:r w:rsidRPr="00605E9D">
        <w:rPr>
          <w:i/>
        </w:rPr>
        <w:t>Consolidated Financial Statements: December 31, 2012 and 2011 (Expressed in U.S. Dollars)</w:t>
      </w:r>
      <w:r>
        <w:t>, op. cit., 18, 24.</w:t>
      </w:r>
    </w:p>
  </w:endnote>
  <w:endnote w:id="11">
    <w:p w14:paraId="137163B9" w14:textId="3904113D" w:rsidR="000512F8" w:rsidRDefault="000512F8" w:rsidP="009248C3">
      <w:pPr>
        <w:pStyle w:val="Footnote"/>
        <w:rPr>
          <w:lang w:val="fr-FR"/>
        </w:rPr>
      </w:pPr>
      <w:r w:rsidRPr="00102F97">
        <w:rPr>
          <w:rStyle w:val="EndnoteReference"/>
        </w:rPr>
        <w:endnoteRef/>
      </w:r>
      <w:r w:rsidRPr="00102F97">
        <w:rPr>
          <w:lang w:val="fr-FR"/>
        </w:rPr>
        <w:t xml:space="preserve"> Maison des Mines du Kivu, “Communiqué de </w:t>
      </w:r>
      <w:r>
        <w:rPr>
          <w:lang w:val="fr-FR"/>
        </w:rPr>
        <w:t>P</w:t>
      </w:r>
      <w:r w:rsidRPr="00102F97">
        <w:rPr>
          <w:lang w:val="fr-FR"/>
        </w:rPr>
        <w:t xml:space="preserve">resse sur </w:t>
      </w:r>
      <w:r>
        <w:rPr>
          <w:lang w:val="fr-FR"/>
        </w:rPr>
        <w:t>L</w:t>
      </w:r>
      <w:r w:rsidRPr="00102F97">
        <w:rPr>
          <w:lang w:val="fr-FR"/>
        </w:rPr>
        <w:t xml:space="preserve">’analyse </w:t>
      </w:r>
      <w:r>
        <w:rPr>
          <w:lang w:val="fr-FR"/>
        </w:rPr>
        <w:t>F</w:t>
      </w:r>
      <w:r w:rsidRPr="00102F97">
        <w:rPr>
          <w:lang w:val="fr-FR"/>
        </w:rPr>
        <w:t>iscale de Twangiza Mining</w:t>
      </w:r>
      <w:r>
        <w:rPr>
          <w:lang w:val="fr-FR"/>
        </w:rPr>
        <w:t xml:space="preserve"> [in French]</w:t>
      </w:r>
      <w:r w:rsidRPr="00102F97">
        <w:rPr>
          <w:lang w:val="fr-FR"/>
        </w:rPr>
        <w:t xml:space="preserve">,” December 2015, accessed May 10, 2017, </w:t>
      </w:r>
      <w:r w:rsidRPr="00677693">
        <w:rPr>
          <w:lang w:val="fr-FR"/>
        </w:rPr>
        <w:t>www.congomines.org/system/attachments/assets/000/001/103/original/Communiqu%</w:t>
      </w:r>
    </w:p>
    <w:p w14:paraId="4104734B" w14:textId="000B6988" w:rsidR="000512F8" w:rsidRPr="00102F97" w:rsidRDefault="000512F8" w:rsidP="009248C3">
      <w:pPr>
        <w:pStyle w:val="Footnote"/>
        <w:rPr>
          <w:lang w:val="fr-FR"/>
        </w:rPr>
      </w:pPr>
      <w:r w:rsidRPr="00102F97">
        <w:rPr>
          <w:lang w:val="fr-FR"/>
        </w:rPr>
        <w:t>C3%A9_de_presse_sur_l%27analyse_fiscale_de_Twangiza.pdf?1462452483.</w:t>
      </w:r>
    </w:p>
  </w:endnote>
  <w:endnote w:id="12">
    <w:p w14:paraId="62C7CF8C" w14:textId="4F9A8C6F" w:rsidR="000512F8" w:rsidRPr="00102F97" w:rsidRDefault="000512F8" w:rsidP="009248C3">
      <w:pPr>
        <w:pStyle w:val="Footnote"/>
      </w:pPr>
      <w:r w:rsidRPr="00102F97">
        <w:rPr>
          <w:rStyle w:val="EndnoteReference"/>
        </w:rPr>
        <w:endnoteRef/>
      </w:r>
      <w:r w:rsidRPr="00102F97">
        <w:t xml:space="preserve"> “Banro</w:t>
      </w:r>
      <w:r>
        <w:t xml:space="preserve"> Announces</w:t>
      </w:r>
      <w:r w:rsidRPr="00102F97">
        <w:t xml:space="preserve"> Year End 2016 Financial Results,” </w:t>
      </w:r>
      <w:r>
        <w:t xml:space="preserve">Banro Corporation, </w:t>
      </w:r>
      <w:r w:rsidRPr="00102F97">
        <w:t>April 3, 201</w:t>
      </w:r>
      <w:r>
        <w:t xml:space="preserve">7, accessed November 11, 2017, </w:t>
      </w:r>
      <w:r w:rsidRPr="00102F97">
        <w:t>https://www.banro.com/news-events/news-releases/banro-announces-year-end-2016-financial-results-20170403.</w:t>
      </w:r>
    </w:p>
  </w:endnote>
  <w:endnote w:id="13">
    <w:p w14:paraId="435A5677" w14:textId="328F4365" w:rsidR="000512F8" w:rsidRDefault="000512F8" w:rsidP="009248C3">
      <w:pPr>
        <w:pStyle w:val="Footnote"/>
        <w:rPr>
          <w:spacing w:val="-4"/>
        </w:rPr>
      </w:pPr>
      <w:r w:rsidRPr="000926A8">
        <w:rPr>
          <w:rStyle w:val="EndnoteReference"/>
          <w:spacing w:val="-4"/>
        </w:rPr>
        <w:endnoteRef/>
      </w:r>
      <w:r w:rsidRPr="000926A8">
        <w:rPr>
          <w:spacing w:val="-4"/>
        </w:rPr>
        <w:t xml:space="preserve"> Banro Corporation, </w:t>
      </w:r>
      <w:r w:rsidRPr="000926A8">
        <w:rPr>
          <w:i/>
          <w:spacing w:val="-4"/>
        </w:rPr>
        <w:t>Banro: Annual Information Form 2015: For the Financial Year Ended December 31, 2015</w:t>
      </w:r>
      <w:r w:rsidRPr="000926A8">
        <w:rPr>
          <w:spacing w:val="-4"/>
        </w:rPr>
        <w:t xml:space="preserve">, 7–9, March 28, 2016, accessed May 3, 2017, </w:t>
      </w:r>
      <w:r w:rsidRPr="00677693">
        <w:rPr>
          <w:spacing w:val="-4"/>
        </w:rPr>
        <w:t>www.sedar.com/GetFile.do?lang=EN&amp;docClass=1&amp;issuerNo=00002878&amp;issuerType</w:t>
      </w:r>
      <w:r w:rsidRPr="000926A8">
        <w:rPr>
          <w:spacing w:val="-4"/>
        </w:rPr>
        <w:t>=</w:t>
      </w:r>
    </w:p>
    <w:p w14:paraId="26721CC1" w14:textId="608510C3" w:rsidR="000512F8" w:rsidRPr="000926A8" w:rsidRDefault="000512F8" w:rsidP="009248C3">
      <w:pPr>
        <w:pStyle w:val="Footnote"/>
        <w:rPr>
          <w:spacing w:val="-4"/>
        </w:rPr>
      </w:pPr>
      <w:r w:rsidRPr="000926A8">
        <w:rPr>
          <w:spacing w:val="-4"/>
        </w:rPr>
        <w:t>03&amp;projectNo=02459281&amp;docId=3885039.</w:t>
      </w:r>
    </w:p>
  </w:endnote>
  <w:endnote w:id="14">
    <w:p w14:paraId="02C5EB5D" w14:textId="64564BBC" w:rsidR="000512F8" w:rsidRPr="00A02434" w:rsidRDefault="000512F8" w:rsidP="009248C3">
      <w:pPr>
        <w:pStyle w:val="Footnote"/>
      </w:pPr>
      <w:r w:rsidRPr="00102F97">
        <w:rPr>
          <w:vertAlign w:val="superscript"/>
        </w:rPr>
        <w:endnoteRef/>
      </w:r>
      <w:r w:rsidRPr="00102F97">
        <w:t xml:space="preserve"> </w:t>
      </w:r>
      <w:r>
        <w:t>Ibid.</w:t>
      </w:r>
      <w:r w:rsidRPr="00102F97">
        <w:t xml:space="preserve">, </w:t>
      </w:r>
      <w:r>
        <w:t>10–11</w:t>
      </w:r>
      <w:r w:rsidRPr="00A02434">
        <w:t>.</w:t>
      </w:r>
    </w:p>
  </w:endnote>
  <w:endnote w:id="15">
    <w:p w14:paraId="40F0A5D6" w14:textId="61DB5F93" w:rsidR="000512F8" w:rsidRDefault="000512F8" w:rsidP="008644A0">
      <w:pPr>
        <w:pStyle w:val="EndnoteText"/>
        <w:jc w:val="both"/>
      </w:pPr>
      <w:r w:rsidRPr="000512F8">
        <w:rPr>
          <w:rStyle w:val="EndnoteReference"/>
          <w:rFonts w:ascii="Arial" w:hAnsi="Arial" w:cs="Arial"/>
          <w:sz w:val="17"/>
          <w:szCs w:val="17"/>
        </w:rPr>
        <w:endnoteRef/>
      </w:r>
      <w:r w:rsidRPr="000512F8">
        <w:rPr>
          <w:rFonts w:ascii="Arial" w:hAnsi="Arial" w:cs="Arial"/>
        </w:rPr>
        <w:t xml:space="preserve"> </w:t>
      </w:r>
      <w:r w:rsidRPr="008644A0">
        <w:rPr>
          <w:rFonts w:ascii="Arial" w:hAnsi="Arial" w:cs="Arial"/>
          <w:sz w:val="17"/>
          <w:szCs w:val="17"/>
        </w:rPr>
        <w:t>“Banro Closes US$175 Million Debt Financing and Provides Twangiza &amp; Namoya Updates,” March 2, 2012, accessed January 20, 2018, http://news.banro.com/press-releases/banro-closes-us175-million-debt-financing-and-pro-nyse-amex-baa-201203020771340001.</w:t>
      </w:r>
    </w:p>
  </w:endnote>
  <w:endnote w:id="16">
    <w:p w14:paraId="7DE2FAB1" w14:textId="77777777" w:rsidR="000512F8" w:rsidRPr="00A02434" w:rsidRDefault="000512F8" w:rsidP="009248C3">
      <w:pPr>
        <w:pStyle w:val="Footnote"/>
      </w:pPr>
      <w:r w:rsidRPr="00A02434">
        <w:rPr>
          <w:rStyle w:val="EndnoteReference"/>
        </w:rPr>
        <w:endnoteRef/>
      </w:r>
      <w:r w:rsidRPr="00A02434">
        <w:t xml:space="preserve"> “Historical Gold Prices,” </w:t>
      </w:r>
      <w:r>
        <w:t xml:space="preserve">Only Gold, </w:t>
      </w:r>
      <w:r w:rsidRPr="00A02434">
        <w:t>accessed November 17, 2017, http://onlygold.com/Info/Historical-Gold-Prices.asp.</w:t>
      </w:r>
    </w:p>
  </w:endnote>
  <w:endnote w:id="17">
    <w:p w14:paraId="07B84314" w14:textId="13E26299" w:rsidR="000512F8" w:rsidRPr="00A02434" w:rsidRDefault="000512F8" w:rsidP="009248C3">
      <w:pPr>
        <w:pStyle w:val="Footnote"/>
      </w:pPr>
      <w:r w:rsidRPr="00A02434">
        <w:rPr>
          <w:rStyle w:val="EndnoteReference"/>
        </w:rPr>
        <w:endnoteRef/>
      </w:r>
      <w:r w:rsidRPr="00A02434">
        <w:t xml:space="preserve"> </w:t>
      </w:r>
      <w:r w:rsidRPr="00605E9D">
        <w:rPr>
          <w:i/>
        </w:rPr>
        <w:t>Banro: Annual Report 2016</w:t>
      </w:r>
      <w:r w:rsidRPr="00A02434">
        <w:t xml:space="preserve">, </w:t>
      </w:r>
      <w:r>
        <w:t>op. cit., 30</w:t>
      </w:r>
      <w:r w:rsidRPr="00A02434">
        <w:t>.</w:t>
      </w:r>
    </w:p>
  </w:endnote>
  <w:endnote w:id="18">
    <w:p w14:paraId="42F21A87" w14:textId="59A8C129" w:rsidR="000512F8" w:rsidRPr="00102F97" w:rsidRDefault="000512F8" w:rsidP="009248C3">
      <w:pPr>
        <w:pStyle w:val="Footnote"/>
      </w:pPr>
      <w:r w:rsidRPr="00A02434">
        <w:rPr>
          <w:rStyle w:val="EndnoteReference"/>
        </w:rPr>
        <w:endnoteRef/>
      </w:r>
      <w:r w:rsidRPr="00A02434">
        <w:t xml:space="preserve"> </w:t>
      </w:r>
      <w:r w:rsidRPr="00605E9D">
        <w:rPr>
          <w:i/>
        </w:rPr>
        <w:t>Banro: Annual Information Form 2015</w:t>
      </w:r>
      <w:r>
        <w:rPr>
          <w:i/>
        </w:rPr>
        <w:t>:</w:t>
      </w:r>
      <w:r w:rsidRPr="00FE69CC">
        <w:rPr>
          <w:i/>
        </w:rPr>
        <w:t xml:space="preserve"> For the Financial Year Ended December 31, 2015</w:t>
      </w:r>
      <w:r>
        <w:t xml:space="preserve">, op. cit., </w:t>
      </w:r>
      <w:r w:rsidRPr="00102F97">
        <w:t>42</w:t>
      </w:r>
      <w:r>
        <w:t>–</w:t>
      </w:r>
      <w:r w:rsidRPr="00102F97">
        <w:t>54.</w:t>
      </w:r>
    </w:p>
  </w:endnote>
  <w:endnote w:id="19">
    <w:p w14:paraId="5CF072BA" w14:textId="3F01BE7C" w:rsidR="000512F8" w:rsidRPr="00102F97" w:rsidRDefault="000512F8" w:rsidP="009248C3">
      <w:pPr>
        <w:pStyle w:val="Footnote"/>
      </w:pPr>
      <w:r w:rsidRPr="00102F97">
        <w:rPr>
          <w:vertAlign w:val="superscript"/>
        </w:rPr>
        <w:endnoteRef/>
      </w:r>
      <w:r w:rsidRPr="00102F97">
        <w:t xml:space="preserve"> </w:t>
      </w:r>
      <w:r>
        <w:t>Ibid., 55–63</w:t>
      </w:r>
      <w:r w:rsidRPr="00102F97">
        <w:t>.</w:t>
      </w:r>
    </w:p>
  </w:endnote>
  <w:endnote w:id="20">
    <w:p w14:paraId="0F6E2091" w14:textId="2352BCFC" w:rsidR="000512F8" w:rsidRPr="00102F97" w:rsidRDefault="000512F8" w:rsidP="009248C3">
      <w:pPr>
        <w:pStyle w:val="Footnote"/>
      </w:pPr>
      <w:r w:rsidRPr="00102F97">
        <w:rPr>
          <w:rStyle w:val="EndnoteReference"/>
        </w:rPr>
        <w:endnoteRef/>
      </w:r>
      <w:r w:rsidRPr="00102F97">
        <w:t xml:space="preserve"> Seeking Alpha, </w:t>
      </w:r>
      <w:r>
        <w:t>op. cit.</w:t>
      </w:r>
    </w:p>
  </w:endnote>
  <w:endnote w:id="21">
    <w:p w14:paraId="0EE409BC" w14:textId="464BF4B8" w:rsidR="000512F8" w:rsidRPr="00102F97" w:rsidRDefault="000512F8" w:rsidP="009248C3">
      <w:pPr>
        <w:pStyle w:val="Footnote"/>
      </w:pPr>
      <w:r w:rsidRPr="00102F97">
        <w:rPr>
          <w:rStyle w:val="EndnoteReference"/>
        </w:rPr>
        <w:endnoteRef/>
      </w:r>
      <w:r w:rsidRPr="00102F97">
        <w:t xml:space="preserve"> “Banro's </w:t>
      </w:r>
      <w:r>
        <w:t>S</w:t>
      </w:r>
      <w:r w:rsidRPr="00102F97">
        <w:t xml:space="preserve">econd </w:t>
      </w:r>
      <w:r>
        <w:t>G</w:t>
      </w:r>
      <w:r w:rsidRPr="00102F97">
        <w:t xml:space="preserve">old </w:t>
      </w:r>
      <w:r>
        <w:t>M</w:t>
      </w:r>
      <w:r w:rsidRPr="00102F97">
        <w:t xml:space="preserve">ine, Namoya, </w:t>
      </w:r>
      <w:r>
        <w:t>B</w:t>
      </w:r>
      <w:r w:rsidRPr="00102F97">
        <w:t xml:space="preserve">egan </w:t>
      </w:r>
      <w:r>
        <w:t>C</w:t>
      </w:r>
      <w:r w:rsidRPr="00102F97">
        <w:t xml:space="preserve">ommercial </w:t>
      </w:r>
      <w:r>
        <w:t>P</w:t>
      </w:r>
      <w:r w:rsidRPr="00102F97">
        <w:t xml:space="preserve">roduction on January 1, 2016,” </w:t>
      </w:r>
      <w:r>
        <w:t xml:space="preserve">Banro Corporation, </w:t>
      </w:r>
      <w:r w:rsidRPr="00102F97">
        <w:t>accessed November 10, 2017, https://www.banro.com/operations/namoya-mine.</w:t>
      </w:r>
    </w:p>
  </w:endnote>
  <w:endnote w:id="22">
    <w:p w14:paraId="5D562778" w14:textId="49825CCC" w:rsidR="000512F8" w:rsidRPr="00102F97" w:rsidRDefault="000512F8" w:rsidP="009248C3">
      <w:pPr>
        <w:pStyle w:val="Footnote"/>
      </w:pPr>
      <w:r w:rsidRPr="00102F97">
        <w:rPr>
          <w:vertAlign w:val="superscript"/>
        </w:rPr>
        <w:endnoteRef/>
      </w:r>
      <w:r w:rsidRPr="00102F97">
        <w:t xml:space="preserve"> George Serafeim and Andrew Knauer, “First Quantum Minerals vs. Eurasian Natural Resources,” </w:t>
      </w:r>
      <w:r w:rsidRPr="00605E9D">
        <w:rPr>
          <w:i/>
        </w:rPr>
        <w:t>Harvard Business Review</w:t>
      </w:r>
      <w:r w:rsidRPr="00102F97">
        <w:t xml:space="preserve">, February </w:t>
      </w:r>
      <w:r>
        <w:t>28</w:t>
      </w:r>
      <w:r w:rsidRPr="00102F97">
        <w:t xml:space="preserve">, 2012, accessed November 10, 2017, </w:t>
      </w:r>
      <w:hyperlink r:id="rId1" w:history="1">
        <w:r w:rsidRPr="00605E9D">
          <w:t>https://hbr.org/product/First-Quantum-Minerals-vs/an/112083-PDF-ENG</w:t>
        </w:r>
      </w:hyperlink>
      <w:r w:rsidRPr="00102F97">
        <w:t>.</w:t>
      </w:r>
      <w:r>
        <w:t xml:space="preserve"> Available from Ivey Publishing, product no. 112083.</w:t>
      </w:r>
    </w:p>
  </w:endnote>
  <w:endnote w:id="23">
    <w:p w14:paraId="4D350CF2" w14:textId="292EE2BD" w:rsidR="000512F8" w:rsidRPr="00102F97" w:rsidRDefault="000512F8" w:rsidP="009248C3">
      <w:pPr>
        <w:pStyle w:val="Footnote"/>
      </w:pPr>
      <w:r w:rsidRPr="00102F97">
        <w:rPr>
          <w:rStyle w:val="EndnoteReference"/>
        </w:rPr>
        <w:endnoteRef/>
      </w:r>
      <w:r w:rsidRPr="00102F97">
        <w:t xml:space="preserve"> “Banro </w:t>
      </w:r>
      <w:r>
        <w:t>Provides Update,”</w:t>
      </w:r>
      <w:r w:rsidRPr="00102F97">
        <w:t xml:space="preserve"> </w:t>
      </w:r>
      <w:r>
        <w:t xml:space="preserve">Banro Corporation, </w:t>
      </w:r>
      <w:r w:rsidRPr="00102F97">
        <w:t>May 28, 2017, accessed November 14, 2017, https://www.banro.com/news-events/news-releases/banro-provides-update-20170528.</w:t>
      </w:r>
    </w:p>
  </w:endnote>
  <w:endnote w:id="24">
    <w:p w14:paraId="073E7E67" w14:textId="7903688B" w:rsidR="000512F8" w:rsidRPr="00102F97" w:rsidRDefault="000512F8" w:rsidP="009248C3">
      <w:pPr>
        <w:pStyle w:val="Footnote"/>
      </w:pPr>
      <w:r w:rsidRPr="00102F97">
        <w:rPr>
          <w:rStyle w:val="EndnoteReference"/>
        </w:rPr>
        <w:endnoteRef/>
      </w:r>
      <w:r w:rsidRPr="00102F97">
        <w:t xml:space="preserve"> “Doing </w:t>
      </w:r>
      <w:r>
        <w:t>B</w:t>
      </w:r>
      <w:r w:rsidRPr="00102F97">
        <w:t>usiness in the DRC,” Katanga Mining Limited, accessed November 10, 2017, www.katangamining.com/about-us/do-business-drc.aspx.</w:t>
      </w:r>
    </w:p>
  </w:endnote>
  <w:endnote w:id="25">
    <w:p w14:paraId="0383EAC5" w14:textId="3B039028" w:rsidR="000512F8" w:rsidRPr="00102F97" w:rsidRDefault="000512F8" w:rsidP="009248C3">
      <w:pPr>
        <w:pStyle w:val="Footnote"/>
      </w:pPr>
      <w:r w:rsidRPr="00102F97">
        <w:rPr>
          <w:rStyle w:val="EndnoteReference"/>
        </w:rPr>
        <w:endnoteRef/>
      </w:r>
      <w:r w:rsidRPr="00102F97">
        <w:t xml:space="preserve"> </w:t>
      </w:r>
      <w:r w:rsidRPr="00605E9D">
        <w:rPr>
          <w:i/>
        </w:rPr>
        <w:t>Banro: Annual Report 2016</w:t>
      </w:r>
      <w:r w:rsidRPr="00102F97">
        <w:t xml:space="preserve">, </w:t>
      </w:r>
      <w:r>
        <w:t>op. cit.,15</w:t>
      </w:r>
      <w:r w:rsidRPr="00102F97">
        <w:t xml:space="preserve">. </w:t>
      </w:r>
    </w:p>
  </w:endnote>
  <w:endnote w:id="26">
    <w:p w14:paraId="76D247A1" w14:textId="30746050" w:rsidR="000512F8" w:rsidRPr="00102F97" w:rsidRDefault="000512F8" w:rsidP="009248C3">
      <w:pPr>
        <w:pStyle w:val="Footnote"/>
      </w:pPr>
      <w:r w:rsidRPr="00102F97">
        <w:rPr>
          <w:vertAlign w:val="superscript"/>
        </w:rPr>
        <w:endnoteRef/>
      </w:r>
      <w:r w:rsidRPr="00102F97">
        <w:t xml:space="preserve"> </w:t>
      </w:r>
      <w:r>
        <w:t xml:space="preserve">Banro Corporation, </w:t>
      </w:r>
      <w:r>
        <w:rPr>
          <w:i/>
        </w:rPr>
        <w:t xml:space="preserve">2015 </w:t>
      </w:r>
      <w:r w:rsidRPr="00605E9D">
        <w:rPr>
          <w:i/>
        </w:rPr>
        <w:t>Sustainability Report</w:t>
      </w:r>
      <w:r w:rsidRPr="00102F97">
        <w:t>, accessed November 10, 2017, https://www.banro.com/assets/docs/2015_Banro_CSR_EN.pdf.</w:t>
      </w:r>
    </w:p>
  </w:endnote>
  <w:endnote w:id="27">
    <w:p w14:paraId="7C12D0F0" w14:textId="3684FE2F" w:rsidR="000512F8" w:rsidRPr="00102F97" w:rsidRDefault="000512F8" w:rsidP="009248C3">
      <w:pPr>
        <w:pStyle w:val="Footnote"/>
      </w:pPr>
      <w:r w:rsidRPr="00102F97">
        <w:rPr>
          <w:rStyle w:val="EndnoteReference"/>
        </w:rPr>
        <w:endnoteRef/>
      </w:r>
      <w:r w:rsidRPr="00102F97">
        <w:t xml:space="preserve"> Global Business Reports, </w:t>
      </w:r>
      <w:r w:rsidRPr="00605E9D">
        <w:rPr>
          <w:i/>
        </w:rPr>
        <w:t>Kings of Copper</w:t>
      </w:r>
      <w:r>
        <w:rPr>
          <w:i/>
        </w:rPr>
        <w:t>:</w:t>
      </w:r>
      <w:r w:rsidRPr="00605E9D">
        <w:rPr>
          <w:i/>
        </w:rPr>
        <w:t xml:space="preserve"> Part 2: DRC</w:t>
      </w:r>
      <w:r w:rsidRPr="00102F97">
        <w:t xml:space="preserve">, </w:t>
      </w:r>
      <w:r>
        <w:t xml:space="preserve">19, </w:t>
      </w:r>
      <w:r w:rsidRPr="00102F97">
        <w:t>October 15, 2015, accessed November 10, 2017, http://gbreports.com/wp-content/uploads/2015/10/MACIG-2016-Pre-Release-SECOND-EDITION_DRC-Zambia.pdf.</w:t>
      </w:r>
    </w:p>
  </w:endnote>
  <w:endnote w:id="28">
    <w:p w14:paraId="78E6854A" w14:textId="77777777" w:rsidR="000512F8" w:rsidRPr="00102F97" w:rsidRDefault="000512F8" w:rsidP="009248C3">
      <w:pPr>
        <w:pStyle w:val="Footnote"/>
      </w:pPr>
      <w:r w:rsidRPr="00102F97">
        <w:rPr>
          <w:rStyle w:val="EndnoteReference"/>
        </w:rPr>
        <w:endnoteRef/>
      </w:r>
      <w:r w:rsidRPr="00102F97">
        <w:t xml:space="preserve"> “Banro Announces Q1 2017 Production Results,” </w:t>
      </w:r>
      <w:r>
        <w:t xml:space="preserve">Banro Corporation, </w:t>
      </w:r>
      <w:r w:rsidRPr="00102F97">
        <w:t>April 13, 2017, accessed November 10, 2017,</w:t>
      </w:r>
      <w:r>
        <w:t xml:space="preserve"> </w:t>
      </w:r>
      <w:r w:rsidRPr="00102F97">
        <w:t xml:space="preserve">www.banro.com/news-events/news-releases/banro-announces-q1-2017-production-results-20170413. </w:t>
      </w:r>
    </w:p>
  </w:endnote>
  <w:endnote w:id="29">
    <w:p w14:paraId="3E945CB2" w14:textId="021E329B" w:rsidR="000512F8" w:rsidRPr="00102F97" w:rsidRDefault="000512F8" w:rsidP="009248C3">
      <w:pPr>
        <w:pStyle w:val="Footnote"/>
      </w:pPr>
      <w:r w:rsidRPr="00102F97">
        <w:rPr>
          <w:rStyle w:val="EndnoteReference"/>
        </w:rPr>
        <w:endnoteRef/>
      </w:r>
      <w:r w:rsidRPr="00102F97">
        <w:t xml:space="preserve"> </w:t>
      </w:r>
      <w:r>
        <w:t>D</w:t>
      </w:r>
      <w:r w:rsidRPr="00102F97">
        <w:t>ebt-to-asset ratio = $520.5 million</w:t>
      </w:r>
      <w:r>
        <w:t xml:space="preserve"> </w:t>
      </w:r>
      <w:r w:rsidRPr="00CB7E75">
        <w:rPr>
          <w:rFonts w:hint="eastAsia"/>
        </w:rPr>
        <w:t>÷</w:t>
      </w:r>
      <w:r>
        <w:t xml:space="preserve"> </w:t>
      </w:r>
      <w:r w:rsidRPr="00102F97">
        <w:t>$897.9 million; working capital ratio = current assets</w:t>
      </w:r>
      <w:r>
        <w:t xml:space="preserve"> </w:t>
      </w:r>
      <w:r w:rsidRPr="00CB7E75">
        <w:rPr>
          <w:rFonts w:hint="eastAsia"/>
        </w:rPr>
        <w:t>÷</w:t>
      </w:r>
      <w:r>
        <w:t xml:space="preserve"> </w:t>
      </w:r>
      <w:r w:rsidRPr="00102F97">
        <w:t>current liabilities = $115.1 million</w:t>
      </w:r>
      <w:r>
        <w:t xml:space="preserve"> </w:t>
      </w:r>
      <w:r w:rsidRPr="00CB7E75">
        <w:rPr>
          <w:rFonts w:hint="eastAsia"/>
        </w:rPr>
        <w:t>÷</w:t>
      </w:r>
      <w:r>
        <w:t xml:space="preserve"> </w:t>
      </w:r>
      <w:r w:rsidRPr="00102F97">
        <w:t>$369.7 million.</w:t>
      </w:r>
    </w:p>
  </w:endnote>
  <w:endnote w:id="30">
    <w:p w14:paraId="5CB4F965" w14:textId="30B641A3" w:rsidR="000512F8" w:rsidRPr="00102F97" w:rsidRDefault="000512F8" w:rsidP="009248C3">
      <w:pPr>
        <w:pStyle w:val="Footnote"/>
      </w:pPr>
      <w:r w:rsidRPr="00102F97">
        <w:rPr>
          <w:rStyle w:val="EndnoteReference"/>
        </w:rPr>
        <w:endnoteRef/>
      </w:r>
      <w:r w:rsidRPr="00102F97">
        <w:t xml:space="preserve"> </w:t>
      </w:r>
      <w:r w:rsidRPr="00605E9D">
        <w:rPr>
          <w:i/>
        </w:rPr>
        <w:t>Banro: Annual Report 2016</w:t>
      </w:r>
      <w:r w:rsidRPr="00102F97">
        <w:t xml:space="preserve">, </w:t>
      </w:r>
      <w:r>
        <w:t>op. cit., 76, 91</w:t>
      </w:r>
      <w:r w:rsidRPr="00102F97">
        <w:t>.</w:t>
      </w:r>
    </w:p>
  </w:endnote>
  <w:endnote w:id="31">
    <w:p w14:paraId="25D084A4" w14:textId="0578023C" w:rsidR="000512F8" w:rsidRPr="00102F97" w:rsidRDefault="000512F8" w:rsidP="009248C3">
      <w:pPr>
        <w:pStyle w:val="Footnote"/>
      </w:pPr>
      <w:r w:rsidRPr="00102F97">
        <w:rPr>
          <w:rStyle w:val="EndnoteReference"/>
        </w:rPr>
        <w:endnoteRef/>
      </w:r>
      <w:r w:rsidRPr="00102F97">
        <w:t xml:space="preserve"> </w:t>
      </w:r>
      <w:r w:rsidRPr="00605E9D">
        <w:t>Ibid</w:t>
      </w:r>
      <w:r w:rsidRPr="00E67C06">
        <w:t>.</w:t>
      </w:r>
      <w:r>
        <w:t>, 6</w:t>
      </w:r>
      <w:r w:rsidRPr="00102F97">
        <w:t>.</w:t>
      </w:r>
    </w:p>
  </w:endnote>
  <w:endnote w:id="32">
    <w:p w14:paraId="4B7D3F1A" w14:textId="77777777" w:rsidR="000512F8" w:rsidRPr="00102F97" w:rsidRDefault="000512F8" w:rsidP="009248C3">
      <w:pPr>
        <w:pStyle w:val="Footnote"/>
      </w:pPr>
      <w:r w:rsidRPr="00102F97">
        <w:rPr>
          <w:rStyle w:val="EndnoteReference"/>
        </w:rPr>
        <w:endnoteRef/>
      </w:r>
      <w:r w:rsidRPr="00102F97">
        <w:t xml:space="preserve"> “Banro Announces Execution of Support Agreement for Recapitalization Transactions,” </w:t>
      </w:r>
      <w:r>
        <w:t xml:space="preserve">Banro Corporation, </w:t>
      </w:r>
      <w:r w:rsidRPr="00102F97">
        <w:t xml:space="preserve">January 31, 2017, accessed November 10, 2017, https://www.banro.com/news-events/news-releases/banro-announces-execution-of-support-agreement-for-20170131; “Banro Completes Recapitalization Transactions,” </w:t>
      </w:r>
      <w:r>
        <w:t xml:space="preserve">Banro Corporation, </w:t>
      </w:r>
      <w:r w:rsidRPr="00102F97">
        <w:t>April 19, 2017, accessed November 14, 2017, https://www.banro.com/news-events/news-releases/banro-completes-recapitalization-transactions-20170419.</w:t>
      </w:r>
    </w:p>
  </w:endnote>
  <w:endnote w:id="33">
    <w:p w14:paraId="1EEA92C7" w14:textId="0C683450" w:rsidR="000512F8" w:rsidRPr="00102F97" w:rsidRDefault="000512F8" w:rsidP="009248C3">
      <w:pPr>
        <w:pStyle w:val="Footnote"/>
      </w:pPr>
      <w:r w:rsidRPr="00102F97">
        <w:rPr>
          <w:rStyle w:val="EndnoteReference"/>
        </w:rPr>
        <w:endnoteRef/>
      </w:r>
      <w:r w:rsidRPr="00102F97">
        <w:t xml:space="preserve"> “Banro Announces Execution of Support Agreement for Recapitalization Transactions,” </w:t>
      </w:r>
      <w:r>
        <w:t>op. cit.</w:t>
      </w:r>
    </w:p>
  </w:endnote>
  <w:endnote w:id="34">
    <w:p w14:paraId="280D96F7" w14:textId="2360214D" w:rsidR="000512F8" w:rsidRPr="00102F97" w:rsidRDefault="000512F8" w:rsidP="009248C3">
      <w:pPr>
        <w:pStyle w:val="Footnote"/>
      </w:pPr>
      <w:r w:rsidRPr="00102F97">
        <w:rPr>
          <w:rStyle w:val="EndnoteReference"/>
        </w:rPr>
        <w:endnoteRef/>
      </w:r>
      <w:r w:rsidRPr="00102F97">
        <w:t xml:space="preserve"> </w:t>
      </w:r>
      <w:r w:rsidRPr="00605E9D">
        <w:rPr>
          <w:i/>
        </w:rPr>
        <w:t>Banro: Annual Report 2016</w:t>
      </w:r>
      <w:r w:rsidRPr="00102F97">
        <w:t xml:space="preserve">, </w:t>
      </w:r>
      <w:r>
        <w:t>op. cit., 221</w:t>
      </w:r>
      <w:r w:rsidRPr="00102F97">
        <w:t>.</w:t>
      </w:r>
    </w:p>
  </w:endnote>
  <w:endnote w:id="35">
    <w:p w14:paraId="2C653DD3" w14:textId="77777777" w:rsidR="000512F8" w:rsidRPr="00102F97" w:rsidRDefault="000512F8" w:rsidP="009248C3">
      <w:pPr>
        <w:pStyle w:val="Footnote"/>
      </w:pPr>
      <w:r w:rsidRPr="00102F97">
        <w:rPr>
          <w:rStyle w:val="EndnoteReference"/>
        </w:rPr>
        <w:endnoteRef/>
      </w:r>
      <w:r w:rsidRPr="00102F97">
        <w:t xml:space="preserve"> </w:t>
      </w:r>
      <w:r w:rsidRPr="00605E9D">
        <w:rPr>
          <w:spacing w:val="-4"/>
        </w:rPr>
        <w:t xml:space="preserve">“Mining Industry of the Democratic Republic of the Congo,” </w:t>
      </w:r>
      <w:r w:rsidRPr="00605E9D">
        <w:rPr>
          <w:i/>
          <w:spacing w:val="-4"/>
        </w:rPr>
        <w:t>Revolvy</w:t>
      </w:r>
      <w:r w:rsidRPr="00605E9D">
        <w:rPr>
          <w:spacing w:val="-4"/>
        </w:rPr>
        <w:t>, accessed November 9, 2017, https://www.revolvy.com/topic/Mining%20industry%20of%20the%20Democratic%20Republic%20of%20the%20Congo&amp;uid=1575.</w:t>
      </w:r>
    </w:p>
  </w:endnote>
  <w:endnote w:id="36">
    <w:p w14:paraId="71B842C5" w14:textId="3C7B7DAA" w:rsidR="000512F8" w:rsidRDefault="000512F8" w:rsidP="009248C3">
      <w:pPr>
        <w:pStyle w:val="Footnote"/>
      </w:pPr>
      <w:r w:rsidRPr="00102F97">
        <w:rPr>
          <w:rStyle w:val="EndnoteReference"/>
        </w:rPr>
        <w:endnoteRef/>
      </w:r>
      <w:r w:rsidRPr="00102F97">
        <w:t xml:space="preserve"> Oxford Policy Management, </w:t>
      </w:r>
      <w:r w:rsidRPr="00605E9D">
        <w:rPr>
          <w:i/>
        </w:rPr>
        <w:t>The Impact of Mining in the Democratic Republic of Congo: Performance to Date and Future Challenges</w:t>
      </w:r>
      <w:r w:rsidRPr="00102F97">
        <w:t xml:space="preserve">, </w:t>
      </w:r>
      <w:r>
        <w:t xml:space="preserve">4, </w:t>
      </w:r>
      <w:r w:rsidRPr="00102F97">
        <w:t xml:space="preserve">October 2013, accessed November 9, 2017, </w:t>
      </w:r>
      <w:r w:rsidRPr="00677693">
        <w:t>www.opml.co.uk/sites/default/files/DRC%</w:t>
      </w:r>
      <w:r w:rsidRPr="00102F97">
        <w:t>20mining%20report%</w:t>
      </w:r>
    </w:p>
    <w:p w14:paraId="4301950E" w14:textId="44E662B2" w:rsidR="000512F8" w:rsidRPr="00102F97" w:rsidRDefault="000512F8" w:rsidP="009248C3">
      <w:pPr>
        <w:pStyle w:val="Footnote"/>
      </w:pPr>
      <w:r w:rsidRPr="00102F97">
        <w:t>20-%20OPM%20-%20Final%20Eng.pdf.</w:t>
      </w:r>
    </w:p>
  </w:endnote>
  <w:endnote w:id="37">
    <w:p w14:paraId="17AFB4F5" w14:textId="27628DDF" w:rsidR="000512F8" w:rsidRPr="00102F97" w:rsidRDefault="000512F8" w:rsidP="009248C3">
      <w:pPr>
        <w:pStyle w:val="Footnote"/>
      </w:pPr>
      <w:r w:rsidRPr="00102F97">
        <w:rPr>
          <w:vertAlign w:val="superscript"/>
        </w:rPr>
        <w:endnoteRef/>
      </w:r>
      <w:r w:rsidRPr="00102F97">
        <w:t xml:space="preserve"> BMI Research, “Industry Trend Analysis </w:t>
      </w:r>
      <w:r>
        <w:t>–</w:t>
      </w:r>
      <w:r w:rsidRPr="00102F97">
        <w:t xml:space="preserve"> DRC: More Chinese Mining Investment Ahead,” August 1, 2016, accessed November 9, 2017, www.corporatefinancingweek.com/industry-trend-analysis-drc-more-chinese-mining-investment-ahead-01-aug-2016.</w:t>
      </w:r>
    </w:p>
  </w:endnote>
  <w:endnote w:id="38">
    <w:p w14:paraId="4ABDD167" w14:textId="77777777" w:rsidR="000512F8" w:rsidRPr="00102F97" w:rsidRDefault="000512F8" w:rsidP="009248C3">
      <w:pPr>
        <w:pStyle w:val="Footnote"/>
      </w:pPr>
      <w:r w:rsidRPr="00102F97">
        <w:rPr>
          <w:rStyle w:val="EndnoteReference"/>
        </w:rPr>
        <w:endnoteRef/>
      </w:r>
      <w:r w:rsidRPr="00102F97">
        <w:t xml:space="preserve"> “</w:t>
      </w:r>
      <w:hyperlink r:id="rId2" w:history="1">
        <w:r w:rsidRPr="00102F97">
          <w:t>Gold Mining in the Democratic Republic of Congo</w:t>
        </w:r>
      </w:hyperlink>
      <w:r w:rsidRPr="00102F97">
        <w:t xml:space="preserve">,” </w:t>
      </w:r>
      <w:r w:rsidRPr="00605E9D">
        <w:t>Rare Gold Nuggets</w:t>
      </w:r>
      <w:r w:rsidRPr="00102F97">
        <w:t>, November 26, 2015, accessed November 9, 2017, http://raregoldnuggets.com/blog/?p=1886.</w:t>
      </w:r>
    </w:p>
  </w:endnote>
  <w:endnote w:id="39">
    <w:p w14:paraId="6F17314F" w14:textId="707F4B82" w:rsidR="000512F8" w:rsidRPr="00102F97" w:rsidRDefault="000512F8" w:rsidP="009248C3">
      <w:pPr>
        <w:pStyle w:val="Footnote"/>
        <w:rPr>
          <w:lang w:val="fr-FR"/>
        </w:rPr>
      </w:pPr>
      <w:r w:rsidRPr="00102F97">
        <w:rPr>
          <w:rStyle w:val="EndnoteReference"/>
        </w:rPr>
        <w:endnoteRef/>
      </w:r>
      <w:r w:rsidRPr="00102F97">
        <w:rPr>
          <w:lang w:val="fr-FR"/>
        </w:rPr>
        <w:t xml:space="preserve"> Benjamin Rubbers, “</w:t>
      </w:r>
      <w:r w:rsidRPr="00102F97">
        <w:rPr>
          <w:bCs/>
          <w:lang w:val="fr-FR"/>
        </w:rPr>
        <w:t xml:space="preserve">La </w:t>
      </w:r>
      <w:r>
        <w:rPr>
          <w:bCs/>
          <w:lang w:val="fr-FR"/>
        </w:rPr>
        <w:t>D</w:t>
      </w:r>
      <w:r w:rsidRPr="00102F97">
        <w:rPr>
          <w:bCs/>
          <w:lang w:val="fr-FR"/>
        </w:rPr>
        <w:t xml:space="preserve">islocation du </w:t>
      </w:r>
      <w:r>
        <w:rPr>
          <w:bCs/>
          <w:lang w:val="fr-FR"/>
        </w:rPr>
        <w:t>S</w:t>
      </w:r>
      <w:r w:rsidRPr="00102F97">
        <w:rPr>
          <w:bCs/>
          <w:lang w:val="fr-FR"/>
        </w:rPr>
        <w:t xml:space="preserve">ecteur </w:t>
      </w:r>
      <w:r>
        <w:rPr>
          <w:bCs/>
          <w:lang w:val="fr-FR"/>
        </w:rPr>
        <w:t>M</w:t>
      </w:r>
      <w:r w:rsidRPr="00102F97">
        <w:rPr>
          <w:bCs/>
          <w:lang w:val="fr-FR"/>
        </w:rPr>
        <w:t>inier au Katanga (RDC)</w:t>
      </w:r>
      <w:r>
        <w:rPr>
          <w:bCs/>
          <w:lang w:val="fr-FR"/>
        </w:rPr>
        <w:t xml:space="preserve"> [in French]</w:t>
      </w:r>
      <w:r w:rsidRPr="00102F97">
        <w:rPr>
          <w:bCs/>
          <w:lang w:val="fr-FR"/>
        </w:rPr>
        <w:t>,</w:t>
      </w:r>
      <w:r w:rsidRPr="00102F97">
        <w:rPr>
          <w:lang w:val="fr-FR"/>
        </w:rPr>
        <w:t xml:space="preserve">” </w:t>
      </w:r>
      <w:r w:rsidRPr="00DB2DC5">
        <w:rPr>
          <w:i/>
          <w:lang w:val="fr-FR"/>
        </w:rPr>
        <w:t xml:space="preserve">2004 Revue de Politique Africaine </w:t>
      </w:r>
      <w:r w:rsidRPr="00605E9D">
        <w:rPr>
          <w:lang w:val="fr-FR"/>
        </w:rPr>
        <w:t>(No 93)</w:t>
      </w:r>
      <w:r w:rsidRPr="00102F97">
        <w:rPr>
          <w:lang w:val="fr-FR"/>
        </w:rPr>
        <w:t>, accessed July 5, 2017, https://www.cairn.info/revue-politique-africaine-2004-1-page-21.htm.</w:t>
      </w:r>
    </w:p>
  </w:endnote>
  <w:endnote w:id="40">
    <w:p w14:paraId="67CB9C2F" w14:textId="5E80B136" w:rsidR="000512F8" w:rsidRPr="00102F97" w:rsidRDefault="000512F8" w:rsidP="009248C3">
      <w:pPr>
        <w:pStyle w:val="Footnote"/>
      </w:pPr>
      <w:r w:rsidRPr="00102F97">
        <w:rPr>
          <w:rStyle w:val="EndnoteReference"/>
        </w:rPr>
        <w:endnoteRef/>
      </w:r>
      <w:r w:rsidRPr="00102F97">
        <w:t xml:space="preserve"> “Overview – Kibali Gold Mine,” </w:t>
      </w:r>
      <w:r w:rsidRPr="00DB2DC5">
        <w:rPr>
          <w:i/>
        </w:rPr>
        <w:t>Randgold Resources</w:t>
      </w:r>
      <w:r w:rsidRPr="00102F97">
        <w:t>, accessed November 9, 2017, www.randgoldresources.com/kibali-gold-mine.</w:t>
      </w:r>
    </w:p>
  </w:endnote>
  <w:endnote w:id="41">
    <w:p w14:paraId="4F7998EE" w14:textId="77777777" w:rsidR="000512F8" w:rsidRPr="00F00474" w:rsidRDefault="000512F8" w:rsidP="00126EB2">
      <w:pPr>
        <w:pStyle w:val="EndnoteText"/>
        <w:jc w:val="both"/>
        <w:rPr>
          <w:rFonts w:ascii="Arial" w:hAnsi="Arial" w:cs="Arial"/>
          <w:sz w:val="17"/>
          <w:szCs w:val="17"/>
          <w:lang w:val="fr-FR"/>
        </w:rPr>
      </w:pPr>
      <w:r w:rsidRPr="000512F8">
        <w:rPr>
          <w:rStyle w:val="EndnoteReference"/>
          <w:rFonts w:ascii="Arial" w:hAnsi="Arial" w:cs="Arial"/>
          <w:sz w:val="17"/>
          <w:szCs w:val="17"/>
        </w:rPr>
        <w:endnoteRef/>
      </w:r>
      <w:r w:rsidRPr="000512F8">
        <w:rPr>
          <w:rFonts w:ascii="Arial" w:hAnsi="Arial" w:cs="Arial"/>
          <w:sz w:val="17"/>
          <w:szCs w:val="17"/>
        </w:rPr>
        <w:t xml:space="preserve"> </w:t>
      </w:r>
      <w:r w:rsidRPr="00F00474">
        <w:rPr>
          <w:rFonts w:ascii="Arial" w:hAnsi="Arial" w:cs="Arial"/>
          <w:sz w:val="17"/>
          <w:szCs w:val="17"/>
          <w:lang w:val="fr-FR"/>
        </w:rPr>
        <w:t>An interim body established in 2003 by the Ituri Pacification Commission and supported by the UN mission to administer the Ituri region of DRC.</w:t>
      </w:r>
    </w:p>
  </w:endnote>
  <w:endnote w:id="42">
    <w:p w14:paraId="093393EA" w14:textId="37E74A1E" w:rsidR="000512F8" w:rsidRPr="00102F97" w:rsidRDefault="000512F8" w:rsidP="009248C3">
      <w:pPr>
        <w:pStyle w:val="Footnote"/>
      </w:pPr>
      <w:r w:rsidRPr="00102F97">
        <w:rPr>
          <w:vertAlign w:val="superscript"/>
        </w:rPr>
        <w:endnoteRef/>
      </w:r>
      <w:r w:rsidRPr="00102F97">
        <w:t xml:space="preserve"> Thomas R. Yager, </w:t>
      </w:r>
      <w:r w:rsidRPr="00605E9D">
        <w:rPr>
          <w:i/>
        </w:rPr>
        <w:t>2013 Minerals Yearbook. The Mineral Industry of Congo (Kinshasa)</w:t>
      </w:r>
      <w:r w:rsidRPr="00102F97">
        <w:t xml:space="preserve">, </w:t>
      </w:r>
      <w:r>
        <w:t>U.S. Geological Survey</w:t>
      </w:r>
      <w:r w:rsidRPr="00102F97">
        <w:t>, June 2016, accessed June 2, 2017, https://minerals.usgs.gov/minerals/pubs/country/2013/myb3-2013-cg.pdf.</w:t>
      </w:r>
    </w:p>
  </w:endnote>
  <w:endnote w:id="43">
    <w:p w14:paraId="1ABE2D82" w14:textId="67E86A78" w:rsidR="000512F8" w:rsidRPr="00102F97" w:rsidRDefault="000512F8" w:rsidP="009248C3">
      <w:pPr>
        <w:pStyle w:val="Footnote"/>
        <w:rPr>
          <w:lang w:val="fr-FR"/>
        </w:rPr>
      </w:pPr>
      <w:r w:rsidRPr="00102F97">
        <w:rPr>
          <w:rStyle w:val="EndnoteReference"/>
        </w:rPr>
        <w:endnoteRef/>
      </w:r>
      <w:r w:rsidRPr="00102F97">
        <w:rPr>
          <w:lang w:val="fr-FR"/>
        </w:rPr>
        <w:t xml:space="preserve"> Banque Centrale du Congo</w:t>
      </w:r>
      <w:r>
        <w:rPr>
          <w:lang w:val="fr-FR"/>
        </w:rPr>
        <w:t>,</w:t>
      </w:r>
      <w:r w:rsidRPr="00102F97">
        <w:rPr>
          <w:lang w:val="fr-FR"/>
        </w:rPr>
        <w:t xml:space="preserve"> </w:t>
      </w:r>
      <w:r w:rsidRPr="00102F97">
        <w:t>“</w:t>
      </w:r>
      <w:r w:rsidRPr="00102F97">
        <w:rPr>
          <w:lang w:val="fr-FR"/>
        </w:rPr>
        <w:t>Bulletins d’Informations Statistiques de Novembre</w:t>
      </w:r>
      <w:r>
        <w:rPr>
          <w:lang w:val="fr-FR"/>
        </w:rPr>
        <w:t xml:space="preserve"> 2016</w:t>
      </w:r>
      <w:r w:rsidRPr="00102F97">
        <w:rPr>
          <w:lang w:val="fr-FR"/>
        </w:rPr>
        <w:t>,” accessed January 18, 2017, www.bcc.cd/index.php?option=com_content&amp;view=category&amp;id=58&amp;Itemid=89.</w:t>
      </w:r>
    </w:p>
  </w:endnote>
  <w:endnote w:id="44">
    <w:p w14:paraId="0CE4A23B" w14:textId="12844D95" w:rsidR="000512F8" w:rsidRPr="00102F97" w:rsidRDefault="000512F8" w:rsidP="009248C3">
      <w:pPr>
        <w:pStyle w:val="Footnote"/>
      </w:pPr>
      <w:r w:rsidRPr="00102F97">
        <w:rPr>
          <w:rStyle w:val="EndnoteReference"/>
        </w:rPr>
        <w:endnoteRef/>
      </w:r>
      <w:r w:rsidRPr="00102F97">
        <w:t xml:space="preserve"> Ilan S</w:t>
      </w:r>
      <w:r>
        <w:t>o</w:t>
      </w:r>
      <w:r w:rsidRPr="00102F97">
        <w:t xml:space="preserve">lomons, “DRC </w:t>
      </w:r>
      <w:r>
        <w:t>M</w:t>
      </w:r>
      <w:r w:rsidRPr="00102F97">
        <w:t xml:space="preserve">ining </w:t>
      </w:r>
      <w:r>
        <w:t>S</w:t>
      </w:r>
      <w:r w:rsidRPr="00102F97">
        <w:t xml:space="preserve">ector </w:t>
      </w:r>
      <w:r>
        <w:t>S</w:t>
      </w:r>
      <w:r w:rsidRPr="00102F97">
        <w:t xml:space="preserve">till </w:t>
      </w:r>
      <w:r>
        <w:t>A</w:t>
      </w:r>
      <w:r w:rsidRPr="00102F97">
        <w:t xml:space="preserve">ttractive </w:t>
      </w:r>
      <w:r>
        <w:t>I</w:t>
      </w:r>
      <w:r w:rsidRPr="00102F97">
        <w:t xml:space="preserve">nvestment </w:t>
      </w:r>
      <w:r>
        <w:t>D</w:t>
      </w:r>
      <w:r w:rsidRPr="00102F97">
        <w:t xml:space="preserve">estination, </w:t>
      </w:r>
      <w:r>
        <w:t>D</w:t>
      </w:r>
      <w:r w:rsidRPr="00102F97">
        <w:t xml:space="preserve">espite </w:t>
      </w:r>
      <w:r>
        <w:t>R</w:t>
      </w:r>
      <w:r w:rsidRPr="00102F97">
        <w:t xml:space="preserve">isks,” </w:t>
      </w:r>
      <w:r w:rsidRPr="00605E9D">
        <w:rPr>
          <w:i/>
        </w:rPr>
        <w:t>Mining Weekly</w:t>
      </w:r>
      <w:r>
        <w:t xml:space="preserve">, </w:t>
      </w:r>
      <w:r w:rsidRPr="00102F97">
        <w:t>August 5, 2016, accessed November 9, 2017, www.miningweekly.com/print-version/drc-mines-still-attractive-investment-prospect-for-china-despite-risks-2016-08-05.</w:t>
      </w:r>
    </w:p>
  </w:endnote>
  <w:endnote w:id="45">
    <w:p w14:paraId="3A306848" w14:textId="2BA26B56" w:rsidR="000512F8" w:rsidRPr="00102F97" w:rsidRDefault="000512F8" w:rsidP="009248C3">
      <w:pPr>
        <w:pStyle w:val="Footnote"/>
      </w:pPr>
      <w:r w:rsidRPr="00102F97">
        <w:rPr>
          <w:rStyle w:val="EndnoteReference"/>
        </w:rPr>
        <w:endnoteRef/>
      </w:r>
      <w:r w:rsidRPr="00102F97">
        <w:t xml:space="preserve"> </w:t>
      </w:r>
      <w:r>
        <w:t xml:space="preserve">Ntandoyenkosi Ncube, </w:t>
      </w:r>
      <w:r w:rsidRPr="00102F97">
        <w:t>“</w:t>
      </w:r>
      <w:r w:rsidRPr="00102F97">
        <w:rPr>
          <w:shd w:val="clear" w:color="auto" w:fill="FFFFFF"/>
        </w:rPr>
        <w:t xml:space="preserve">Interview: Africa </w:t>
      </w:r>
      <w:r>
        <w:rPr>
          <w:shd w:val="clear" w:color="auto" w:fill="FFFFFF"/>
        </w:rPr>
        <w:t>C</w:t>
      </w:r>
      <w:r w:rsidRPr="00102F97">
        <w:rPr>
          <w:shd w:val="clear" w:color="auto" w:fill="FFFFFF"/>
        </w:rPr>
        <w:t xml:space="preserve">oordinated </w:t>
      </w:r>
      <w:r>
        <w:rPr>
          <w:shd w:val="clear" w:color="auto" w:fill="FFFFFF"/>
        </w:rPr>
        <w:t>A</w:t>
      </w:r>
      <w:r w:rsidRPr="00102F97">
        <w:rPr>
          <w:shd w:val="clear" w:color="auto" w:fill="FFFFFF"/>
        </w:rPr>
        <w:t xml:space="preserve">genda </w:t>
      </w:r>
      <w:r>
        <w:rPr>
          <w:shd w:val="clear" w:color="auto" w:fill="FFFFFF"/>
        </w:rPr>
        <w:t>C</w:t>
      </w:r>
      <w:r w:rsidRPr="00102F97">
        <w:rPr>
          <w:shd w:val="clear" w:color="auto" w:fill="FFFFFF"/>
        </w:rPr>
        <w:t xml:space="preserve">rucial to FOCAC </w:t>
      </w:r>
      <w:r>
        <w:rPr>
          <w:shd w:val="clear" w:color="auto" w:fill="FFFFFF"/>
        </w:rPr>
        <w:t>S</w:t>
      </w:r>
      <w:r w:rsidRPr="00102F97">
        <w:rPr>
          <w:shd w:val="clear" w:color="auto" w:fill="FFFFFF"/>
        </w:rPr>
        <w:t xml:space="preserve">ummit: </w:t>
      </w:r>
      <w:r>
        <w:rPr>
          <w:shd w:val="clear" w:color="auto" w:fill="FFFFFF"/>
        </w:rPr>
        <w:t>E</w:t>
      </w:r>
      <w:r w:rsidRPr="00102F97">
        <w:rPr>
          <w:shd w:val="clear" w:color="auto" w:fill="FFFFFF"/>
        </w:rPr>
        <w:t xml:space="preserve">xpert,” </w:t>
      </w:r>
      <w:r w:rsidRPr="00605E9D">
        <w:rPr>
          <w:shd w:val="clear" w:color="auto" w:fill="FFFFFF"/>
        </w:rPr>
        <w:t>FOCAC</w:t>
      </w:r>
      <w:r w:rsidRPr="00102F97">
        <w:rPr>
          <w:shd w:val="clear" w:color="auto" w:fill="FFFFFF"/>
        </w:rPr>
        <w:t>, July 1, 2012, accessed November 10, 2017, www.focac.org/eng/dwjbzjjhys/t946889.htm.</w:t>
      </w:r>
    </w:p>
  </w:endnote>
  <w:endnote w:id="46">
    <w:p w14:paraId="6E1D6A7F" w14:textId="061A5E0F" w:rsidR="000512F8" w:rsidRPr="00102F97" w:rsidRDefault="000512F8" w:rsidP="009248C3">
      <w:pPr>
        <w:pStyle w:val="Footnote"/>
      </w:pPr>
      <w:r w:rsidRPr="00102F97">
        <w:rPr>
          <w:rStyle w:val="EndnoteReference"/>
        </w:rPr>
        <w:endnoteRef/>
      </w:r>
      <w:r w:rsidRPr="00102F97">
        <w:t xml:space="preserve"> </w:t>
      </w:r>
      <w:r>
        <w:t>This fact referred to</w:t>
      </w:r>
      <w:r w:rsidRPr="00102F97">
        <w:t xml:space="preserve"> the exchange of resources, technology, and knowledge between developing countries.</w:t>
      </w:r>
    </w:p>
  </w:endnote>
  <w:endnote w:id="47">
    <w:p w14:paraId="798B69E4" w14:textId="1300DEB9" w:rsidR="000512F8" w:rsidRPr="00102F97" w:rsidRDefault="000512F8" w:rsidP="009248C3">
      <w:pPr>
        <w:pStyle w:val="Footnote"/>
        <w:rPr>
          <w:lang w:val="fr-FR"/>
        </w:rPr>
      </w:pPr>
      <w:r w:rsidRPr="00102F97">
        <w:rPr>
          <w:vertAlign w:val="superscript"/>
        </w:rPr>
        <w:endnoteRef/>
      </w:r>
      <w:r w:rsidRPr="00102F97">
        <w:rPr>
          <w:lang w:val="fr-FR"/>
        </w:rPr>
        <w:t xml:space="preserve"> Gerda du Toit, “Political </w:t>
      </w:r>
      <w:r>
        <w:rPr>
          <w:lang w:val="fr-FR"/>
        </w:rPr>
        <w:t>R</w:t>
      </w:r>
      <w:r w:rsidRPr="00102F97">
        <w:rPr>
          <w:lang w:val="fr-FR"/>
        </w:rPr>
        <w:t xml:space="preserve">isk </w:t>
      </w:r>
      <w:r>
        <w:rPr>
          <w:lang w:val="fr-FR"/>
        </w:rPr>
        <w:t>F</w:t>
      </w:r>
      <w:r w:rsidRPr="00102F97">
        <w:rPr>
          <w:lang w:val="fr-FR"/>
        </w:rPr>
        <w:t xml:space="preserve">actors: </w:t>
      </w:r>
      <w:r w:rsidRPr="00102F97">
        <w:rPr>
          <w:lang w:val="fr-FR" w:eastAsia="zh-CN"/>
        </w:rPr>
        <w:t>W</w:t>
      </w:r>
      <w:r w:rsidRPr="00102F97">
        <w:rPr>
          <w:lang w:val="fr-FR"/>
        </w:rPr>
        <w:t xml:space="preserve">hat Chinese </w:t>
      </w:r>
      <w:r>
        <w:rPr>
          <w:lang w:val="fr-FR"/>
        </w:rPr>
        <w:t>C</w:t>
      </w:r>
      <w:r w:rsidRPr="00102F97">
        <w:rPr>
          <w:lang w:val="fr-FR"/>
        </w:rPr>
        <w:t xml:space="preserve">ompanies </w:t>
      </w:r>
      <w:r>
        <w:rPr>
          <w:lang w:val="fr-FR"/>
        </w:rPr>
        <w:t>N</w:t>
      </w:r>
      <w:r w:rsidRPr="00102F97">
        <w:rPr>
          <w:lang w:val="fr-FR"/>
        </w:rPr>
        <w:t xml:space="preserve">eed to </w:t>
      </w:r>
      <w:r>
        <w:rPr>
          <w:lang w:val="fr-FR"/>
        </w:rPr>
        <w:t>A</w:t>
      </w:r>
      <w:r w:rsidRPr="00102F97">
        <w:rPr>
          <w:lang w:val="fr-FR"/>
        </w:rPr>
        <w:t xml:space="preserve">ssess </w:t>
      </w:r>
      <w:r>
        <w:rPr>
          <w:lang w:val="fr-FR"/>
        </w:rPr>
        <w:t>W</w:t>
      </w:r>
      <w:r w:rsidRPr="00102F97">
        <w:rPr>
          <w:lang w:val="fr-FR"/>
        </w:rPr>
        <w:t xml:space="preserve">hen </w:t>
      </w:r>
      <w:r>
        <w:rPr>
          <w:lang w:val="fr-FR"/>
        </w:rPr>
        <w:t>I</w:t>
      </w:r>
      <w:r w:rsidRPr="00102F97">
        <w:rPr>
          <w:lang w:val="fr-FR"/>
        </w:rPr>
        <w:t xml:space="preserve">nvesting in Africa,” </w:t>
      </w:r>
      <w:r>
        <w:rPr>
          <w:lang w:val="fr-FR"/>
        </w:rPr>
        <w:t xml:space="preserve">Stellenbosch University Library, September </w:t>
      </w:r>
      <w:r w:rsidRPr="00102F97">
        <w:rPr>
          <w:lang w:val="fr-FR"/>
        </w:rPr>
        <w:t>2013, accessed November 9, 2017,</w:t>
      </w:r>
      <w:r>
        <w:rPr>
          <w:lang w:val="fr-FR"/>
        </w:rPr>
        <w:t xml:space="preserve"> </w:t>
      </w:r>
      <w:r w:rsidRPr="005A0624">
        <w:rPr>
          <w:lang w:val="fr-FR"/>
        </w:rPr>
        <w:t>http://scholar.sun.ac.za/handle/10019.1/86134</w:t>
      </w:r>
      <w:r w:rsidRPr="00102F97">
        <w:rPr>
          <w:lang w:val="fr-FR"/>
        </w:rPr>
        <w:t>.</w:t>
      </w:r>
    </w:p>
  </w:endnote>
  <w:endnote w:id="48">
    <w:p w14:paraId="746A556C" w14:textId="309AD82A" w:rsidR="000512F8" w:rsidRPr="00102F97" w:rsidRDefault="000512F8" w:rsidP="009248C3">
      <w:pPr>
        <w:pStyle w:val="Footnote"/>
      </w:pPr>
      <w:r w:rsidRPr="00102F97">
        <w:rPr>
          <w:vertAlign w:val="superscript"/>
        </w:rPr>
        <w:endnoteRef/>
      </w:r>
      <w:r w:rsidRPr="00102F97">
        <w:t xml:space="preserve"> </w:t>
      </w:r>
      <w:r>
        <w:t xml:space="preserve">Global Witness, </w:t>
      </w:r>
      <w:r w:rsidRPr="00605E9D">
        <w:rPr>
          <w:i/>
        </w:rPr>
        <w:t>China and Congo: Friends in Need</w:t>
      </w:r>
      <w:r w:rsidRPr="00102F97">
        <w:t xml:space="preserve">, </w:t>
      </w:r>
      <w:r>
        <w:t xml:space="preserve">4, </w:t>
      </w:r>
      <w:r w:rsidRPr="00102F97">
        <w:t>March 2011, accessed November 10, 2017, www.globalwitness.org/sites/default/files/library/friends_in_need_en_lr.pdf.</w:t>
      </w:r>
    </w:p>
  </w:endnote>
  <w:endnote w:id="49">
    <w:p w14:paraId="2E5C0B58" w14:textId="193B1BC7" w:rsidR="000512F8" w:rsidRPr="00102F97" w:rsidRDefault="000512F8" w:rsidP="009248C3">
      <w:pPr>
        <w:pStyle w:val="Footnote"/>
      </w:pPr>
      <w:r w:rsidRPr="00102F97">
        <w:rPr>
          <w:rStyle w:val="EndnoteReference"/>
        </w:rPr>
        <w:endnoteRef/>
      </w:r>
      <w:r w:rsidRPr="00102F97">
        <w:t xml:space="preserve"> Serafeim and Knauer, </w:t>
      </w:r>
      <w:r>
        <w:t>op. cit</w:t>
      </w:r>
      <w:r w:rsidRPr="00102F97">
        <w:t>.</w:t>
      </w:r>
    </w:p>
  </w:endnote>
  <w:endnote w:id="50">
    <w:p w14:paraId="1C2BF33B" w14:textId="06797E7E" w:rsidR="000512F8" w:rsidRPr="00102F97" w:rsidRDefault="000512F8" w:rsidP="009248C3">
      <w:pPr>
        <w:pStyle w:val="Footnote"/>
      </w:pPr>
      <w:r w:rsidRPr="00102F97">
        <w:rPr>
          <w:rStyle w:val="EndnoteReference"/>
        </w:rPr>
        <w:endnoteRef/>
      </w:r>
      <w:r w:rsidRPr="00102F97">
        <w:t xml:space="preserve"> </w:t>
      </w:r>
      <w:r w:rsidRPr="00605E9D">
        <w:rPr>
          <w:i/>
        </w:rPr>
        <w:t>Banro: Annual Report 2016</w:t>
      </w:r>
      <w:r w:rsidRPr="00102F97">
        <w:t>,</w:t>
      </w:r>
      <w:r>
        <w:t xml:space="preserve"> op. cit.,</w:t>
      </w:r>
      <w:r w:rsidRPr="00102F97">
        <w:t xml:space="preserve"> 19.</w:t>
      </w:r>
    </w:p>
  </w:endnote>
  <w:endnote w:id="51">
    <w:p w14:paraId="5D1EE41E" w14:textId="7DF66510" w:rsidR="000512F8" w:rsidRPr="00102F97" w:rsidRDefault="000512F8" w:rsidP="009248C3">
      <w:pPr>
        <w:pStyle w:val="Footnote"/>
      </w:pPr>
      <w:r w:rsidRPr="00102F97">
        <w:rPr>
          <w:rStyle w:val="EndnoteReference"/>
        </w:rPr>
        <w:endnoteRef/>
      </w:r>
      <w:r w:rsidRPr="00102F97">
        <w:t xml:space="preserve"> Sam Walsh, “The CEO of Rio Tinto on Managing in a Hypercyclical Industry,” </w:t>
      </w:r>
      <w:r w:rsidRPr="00DB2DC5">
        <w:rPr>
          <w:i/>
        </w:rPr>
        <w:t>Harvard Business Review</w:t>
      </w:r>
      <w:r w:rsidRPr="00102F97">
        <w:t xml:space="preserve"> 94, no. 3 (March 2016): 33</w:t>
      </w:r>
      <w:r>
        <w:t>–</w:t>
      </w:r>
      <w:r w:rsidRPr="00102F97">
        <w:t>36.</w:t>
      </w:r>
      <w:r>
        <w:t xml:space="preserve"> Available from Ivey Publishing, product no. R1603A.</w:t>
      </w:r>
    </w:p>
  </w:endnote>
  <w:endnote w:id="52">
    <w:p w14:paraId="052229E5" w14:textId="28D86618" w:rsidR="000512F8" w:rsidRPr="00102F97" w:rsidRDefault="000512F8" w:rsidP="009248C3">
      <w:pPr>
        <w:pStyle w:val="Footnote"/>
      </w:pPr>
      <w:r w:rsidRPr="00102F97">
        <w:rPr>
          <w:vertAlign w:val="superscript"/>
        </w:rPr>
        <w:endnoteRef/>
      </w:r>
      <w:r w:rsidRPr="00102F97">
        <w:t xml:space="preserve"> </w:t>
      </w:r>
      <w:r>
        <w:rPr>
          <w:i/>
        </w:rPr>
        <w:t xml:space="preserve">2015 </w:t>
      </w:r>
      <w:r w:rsidRPr="00605E9D">
        <w:rPr>
          <w:i/>
        </w:rPr>
        <w:t>Sustainability Report</w:t>
      </w:r>
      <w:r>
        <w:t>,</w:t>
      </w:r>
      <w:r w:rsidRPr="00102F97">
        <w:t xml:space="preserve"> </w:t>
      </w:r>
      <w:r>
        <w:t>op. cit</w:t>
      </w:r>
      <w:r w:rsidRPr="00102F97">
        <w:t>.</w:t>
      </w:r>
    </w:p>
  </w:endnote>
  <w:endnote w:id="53">
    <w:p w14:paraId="0AADE540" w14:textId="10D16D61" w:rsidR="000512F8" w:rsidRPr="00102F97" w:rsidRDefault="000512F8" w:rsidP="009248C3">
      <w:pPr>
        <w:pStyle w:val="Footnote"/>
      </w:pPr>
      <w:r w:rsidRPr="00102F97">
        <w:rPr>
          <w:rStyle w:val="EndnoteReference"/>
        </w:rPr>
        <w:endnoteRef/>
      </w:r>
      <w:r w:rsidRPr="00102F97">
        <w:t xml:space="preserve"> Seth Opoku Mensah and Seth Asare Okyere, “Mining, Environment and Community Conflicts: A Study of Company-Community Conflicts over Gold Mining in the Obuasi Municipality of Ghana,” </w:t>
      </w:r>
      <w:r w:rsidRPr="00DB2DC5">
        <w:rPr>
          <w:i/>
        </w:rPr>
        <w:t>Journal of Sustainable Development Studies</w:t>
      </w:r>
      <w:r w:rsidRPr="00102F97">
        <w:t xml:space="preserve"> 5, no. 1 (2014): 64-99, accessed November 11, 2017, www.infinitypress.info/index.php/jsds/article/viewFile/537/262.</w:t>
      </w:r>
    </w:p>
  </w:endnote>
  <w:endnote w:id="54">
    <w:p w14:paraId="4C407E6C" w14:textId="5F3CF324" w:rsidR="000512F8" w:rsidRPr="00102F97" w:rsidRDefault="000512F8" w:rsidP="009248C3">
      <w:pPr>
        <w:pStyle w:val="Footnote"/>
      </w:pPr>
      <w:r w:rsidRPr="00102F97">
        <w:rPr>
          <w:rStyle w:val="EndnoteReference"/>
        </w:rPr>
        <w:endnoteRef/>
      </w:r>
      <w:r w:rsidRPr="00102F97">
        <w:t xml:space="preserve"> </w:t>
      </w:r>
      <w:r>
        <w:rPr>
          <w:i/>
        </w:rPr>
        <w:t xml:space="preserve">2015 </w:t>
      </w:r>
      <w:r w:rsidRPr="00605E9D">
        <w:rPr>
          <w:i/>
        </w:rPr>
        <w:t>Sustainability Report</w:t>
      </w:r>
      <w:r>
        <w:rPr>
          <w:i/>
        </w:rPr>
        <w:t xml:space="preserve"> </w:t>
      </w:r>
      <w:r>
        <w:t>op. cit.</w:t>
      </w:r>
      <w:r w:rsidRPr="00102F97">
        <w:t xml:space="preserve">; “Does </w:t>
      </w:r>
      <w:r>
        <w:t>M</w:t>
      </w:r>
      <w:r w:rsidRPr="00102F97">
        <w:t xml:space="preserve">ining </w:t>
      </w:r>
      <w:r>
        <w:t>C</w:t>
      </w:r>
      <w:r w:rsidRPr="00102F97">
        <w:t xml:space="preserve">ause </w:t>
      </w:r>
      <w:r>
        <w:t>S</w:t>
      </w:r>
      <w:r w:rsidRPr="00102F97">
        <w:t xml:space="preserve">ocial </w:t>
      </w:r>
      <w:r>
        <w:t>C</w:t>
      </w:r>
      <w:r w:rsidRPr="00102F97">
        <w:t xml:space="preserve">onflict?” </w:t>
      </w:r>
      <w:r>
        <w:t xml:space="preserve">MiningFacts.org, </w:t>
      </w:r>
      <w:r w:rsidRPr="00102F97">
        <w:t>accessed November 11, 2017, www.miningfacts.org/Communities/Does-mining-cause-social-conflict/</w:t>
      </w:r>
      <w:r>
        <w:t xml:space="preserve">. </w:t>
      </w:r>
      <w:r w:rsidRPr="00102F97">
        <w:t xml:space="preserve">Artisanal mining activities referred to informal mining activities using low technology or minimal machinery. </w:t>
      </w:r>
    </w:p>
  </w:endnote>
  <w:endnote w:id="55">
    <w:p w14:paraId="613EDB96" w14:textId="404896B4" w:rsidR="000512F8" w:rsidRPr="00102F97" w:rsidRDefault="000512F8" w:rsidP="009248C3">
      <w:pPr>
        <w:pStyle w:val="Footnote"/>
      </w:pPr>
      <w:r w:rsidRPr="00102F97">
        <w:rPr>
          <w:rStyle w:val="EndnoteReference"/>
        </w:rPr>
        <w:endnoteRef/>
      </w:r>
      <w:r w:rsidRPr="00102F97">
        <w:t xml:space="preserve"> “Does </w:t>
      </w:r>
      <w:r>
        <w:t>M</w:t>
      </w:r>
      <w:r w:rsidRPr="00102F97">
        <w:t xml:space="preserve">ining </w:t>
      </w:r>
      <w:r>
        <w:t>C</w:t>
      </w:r>
      <w:r w:rsidRPr="00102F97">
        <w:t xml:space="preserve">ause </w:t>
      </w:r>
      <w:r>
        <w:t>S</w:t>
      </w:r>
      <w:r w:rsidRPr="00102F97">
        <w:t xml:space="preserve">ocial </w:t>
      </w:r>
      <w:r>
        <w:t>C</w:t>
      </w:r>
      <w:r w:rsidRPr="00102F97">
        <w:t xml:space="preserve">onflict?” </w:t>
      </w:r>
      <w:r>
        <w:t>op. cit.</w:t>
      </w:r>
    </w:p>
  </w:endnote>
  <w:endnote w:id="56">
    <w:p w14:paraId="437AE7FA" w14:textId="66B7D01D" w:rsidR="000512F8" w:rsidRPr="00102F97" w:rsidRDefault="000512F8" w:rsidP="009248C3">
      <w:pPr>
        <w:pStyle w:val="Footnote"/>
      </w:pPr>
      <w:r w:rsidRPr="00102F97">
        <w:rPr>
          <w:vertAlign w:val="superscript"/>
        </w:rPr>
        <w:endnoteRef/>
      </w:r>
      <w:r w:rsidRPr="00102F97">
        <w:t xml:space="preserve"> </w:t>
      </w:r>
      <w:r>
        <w:t>Ibid.</w:t>
      </w:r>
    </w:p>
  </w:endnote>
  <w:endnote w:id="57">
    <w:p w14:paraId="6890C68F" w14:textId="6C548AA2" w:rsidR="000512F8" w:rsidRDefault="000512F8" w:rsidP="009248C3">
      <w:pPr>
        <w:pStyle w:val="Footnote"/>
      </w:pPr>
      <w:r w:rsidRPr="00102F97">
        <w:rPr>
          <w:rStyle w:val="EndnoteReference"/>
        </w:rPr>
        <w:endnoteRef/>
      </w:r>
      <w:r w:rsidRPr="00102F97">
        <w:t xml:space="preserve"> Africa</w:t>
      </w:r>
      <w:r>
        <w:t>n</w:t>
      </w:r>
      <w:r w:rsidRPr="00102F97">
        <w:t xml:space="preserve"> Development Bank, </w:t>
      </w:r>
      <w:r w:rsidRPr="00605E9D">
        <w:rPr>
          <w:i/>
        </w:rPr>
        <w:t>Democratic Republic of Congo: 2013–2017 Country Strategy Paper</w:t>
      </w:r>
      <w:r w:rsidRPr="00102F97">
        <w:t xml:space="preserve">, </w:t>
      </w:r>
      <w:r>
        <w:t xml:space="preserve">1, </w:t>
      </w:r>
      <w:r w:rsidRPr="00102F97">
        <w:t xml:space="preserve">June 2013, accessed November 13, 2017, </w:t>
      </w:r>
      <w:r w:rsidRPr="00677693">
        <w:t>https://www.afdb.org/fileadmin/uploads/afdb/Documents/Project-and-Operations/Democratic%</w:t>
      </w:r>
    </w:p>
    <w:p w14:paraId="5D223D88" w14:textId="151E5A0E" w:rsidR="000512F8" w:rsidRPr="00102F97" w:rsidRDefault="000512F8" w:rsidP="009248C3">
      <w:pPr>
        <w:pStyle w:val="Footnote"/>
      </w:pPr>
      <w:r w:rsidRPr="00102F97">
        <w:t>20Republic%20of%20Congo%20-%202013-2017%20-%20Country%20Strategy%20Paper.pdf.</w:t>
      </w:r>
    </w:p>
  </w:endnote>
  <w:endnote w:id="58">
    <w:p w14:paraId="059F70D6" w14:textId="3BCA3D13" w:rsidR="000512F8" w:rsidRPr="00102F97" w:rsidRDefault="000512F8" w:rsidP="009248C3">
      <w:pPr>
        <w:pStyle w:val="Footnote"/>
      </w:pPr>
      <w:r w:rsidRPr="00102F97">
        <w:rPr>
          <w:rStyle w:val="EndnoteReference"/>
        </w:rPr>
        <w:endnoteRef/>
      </w:r>
      <w:r w:rsidRPr="00102F97">
        <w:t xml:space="preserve"> “Politics of the Democratic Republic of the Congo</w:t>
      </w:r>
      <w:r>
        <w:t>,</w:t>
      </w:r>
      <w:r w:rsidRPr="00102F97">
        <w:t xml:space="preserve">” </w:t>
      </w:r>
      <w:r>
        <w:t xml:space="preserve">Congo Forum, </w:t>
      </w:r>
      <w:r w:rsidRPr="00102F97">
        <w:t>accessed November 13, 2017, www.congoforum.be/en/congodetail.asp?subitem=19&amp;id=43201&amp;Congofiche=selected.</w:t>
      </w:r>
    </w:p>
  </w:endnote>
  <w:endnote w:id="59">
    <w:p w14:paraId="444788F9" w14:textId="5895D8E5" w:rsidR="000512F8" w:rsidRDefault="000512F8" w:rsidP="009248C3">
      <w:pPr>
        <w:pStyle w:val="Footnote"/>
      </w:pPr>
      <w:r w:rsidRPr="00102F97">
        <w:rPr>
          <w:rStyle w:val="EndnoteReference"/>
        </w:rPr>
        <w:endnoteRef/>
      </w:r>
      <w:r w:rsidRPr="00102F97">
        <w:t xml:space="preserve"> Mvemba Dizolele, “DRC</w:t>
      </w:r>
      <w:r>
        <w:t>’</w:t>
      </w:r>
      <w:r w:rsidRPr="00102F97">
        <w:t xml:space="preserve">s </w:t>
      </w:r>
      <w:r>
        <w:t>C</w:t>
      </w:r>
      <w:r w:rsidRPr="00102F97">
        <w:t xml:space="preserve">rumbling </w:t>
      </w:r>
      <w:r>
        <w:t>L</w:t>
      </w:r>
      <w:r w:rsidRPr="00102F97">
        <w:t xml:space="preserve">egitimacy,” </w:t>
      </w:r>
      <w:r>
        <w:t xml:space="preserve">Opening Society Initiative for Southern Africa, </w:t>
      </w:r>
      <w:r w:rsidRPr="00102F97">
        <w:t>July 23, 2012, accessed November 13, 2017, www.osisa.org/hrdb</w:t>
      </w:r>
      <w:r>
        <w:t>/blog/drcs-crumbling-legitimacy;</w:t>
      </w:r>
      <w:r w:rsidRPr="00C80A16">
        <w:t xml:space="preserve"> </w:t>
      </w:r>
      <w:r>
        <w:t>“</w:t>
      </w:r>
      <w:r w:rsidRPr="00102F97">
        <w:t>Carter Center</w:t>
      </w:r>
      <w:r>
        <w:t>:</w:t>
      </w:r>
      <w:r w:rsidRPr="00102F97">
        <w:t xml:space="preserve"> DRC Presidential </w:t>
      </w:r>
      <w:r>
        <w:t>E</w:t>
      </w:r>
      <w:r w:rsidRPr="00102F97">
        <w:t xml:space="preserve">lections </w:t>
      </w:r>
      <w:r>
        <w:t>R</w:t>
      </w:r>
      <w:r w:rsidRPr="00102F97">
        <w:t xml:space="preserve">esults </w:t>
      </w:r>
      <w:r>
        <w:t>L</w:t>
      </w:r>
      <w:r w:rsidRPr="00102F97">
        <w:t xml:space="preserve">ack </w:t>
      </w:r>
      <w:r>
        <w:t>C</w:t>
      </w:r>
      <w:r w:rsidRPr="00102F97">
        <w:t xml:space="preserve">redibility,” </w:t>
      </w:r>
      <w:r>
        <w:t xml:space="preserve">Carter Center, </w:t>
      </w:r>
      <w:r w:rsidRPr="00102F97">
        <w:t xml:space="preserve">December 9, 2011, accessed November 13, 2017, </w:t>
      </w:r>
      <w:r w:rsidRPr="00677693">
        <w:t>https://www.cartercenter.org</w:t>
      </w:r>
      <w:r w:rsidRPr="00102F97">
        <w:t>/news/</w:t>
      </w:r>
    </w:p>
    <w:p w14:paraId="50B880D5" w14:textId="075E9AFE" w:rsidR="000512F8" w:rsidRPr="00102F97" w:rsidRDefault="000512F8" w:rsidP="009248C3">
      <w:pPr>
        <w:pStyle w:val="Footnote"/>
      </w:pPr>
      <w:r w:rsidRPr="00102F97">
        <w:t>pr/drc-121011.html.</w:t>
      </w:r>
    </w:p>
  </w:endnote>
  <w:endnote w:id="60">
    <w:p w14:paraId="513342F8" w14:textId="77777777" w:rsidR="000512F8" w:rsidRPr="00102F97" w:rsidRDefault="000512F8" w:rsidP="009248C3">
      <w:pPr>
        <w:pStyle w:val="Footnote"/>
      </w:pPr>
      <w:r w:rsidRPr="00102F97">
        <w:rPr>
          <w:rStyle w:val="EndnoteReference"/>
        </w:rPr>
        <w:endnoteRef/>
      </w:r>
      <w:r w:rsidRPr="00102F97">
        <w:t xml:space="preserve"> </w:t>
      </w:r>
      <w:r>
        <w:t>The People’</w:t>
      </w:r>
      <w:r w:rsidRPr="00102F97">
        <w:t>s Party for Reconstruction and Democracy</w:t>
      </w:r>
      <w:r>
        <w:t>,</w:t>
      </w:r>
      <w:r w:rsidRPr="00102F97">
        <w:t xml:space="preserve"> a political party established by </w:t>
      </w:r>
      <w:r>
        <w:t>DRC</w:t>
      </w:r>
      <w:r w:rsidRPr="00102F97">
        <w:t>’s president, Joseph Kabila.</w:t>
      </w:r>
    </w:p>
  </w:endnote>
  <w:endnote w:id="61">
    <w:p w14:paraId="369D0AE5" w14:textId="19962F04" w:rsidR="000512F8" w:rsidRPr="00102F97" w:rsidRDefault="000512F8" w:rsidP="009248C3">
      <w:pPr>
        <w:pStyle w:val="Footnote"/>
        <w:rPr>
          <w:lang w:val="fr-FR"/>
        </w:rPr>
      </w:pPr>
      <w:r w:rsidRPr="00102F97">
        <w:rPr>
          <w:rStyle w:val="EndnoteReference"/>
        </w:rPr>
        <w:endnoteRef/>
      </w:r>
      <w:r w:rsidRPr="00102F97">
        <w:rPr>
          <w:lang w:val="fr-FR"/>
        </w:rPr>
        <w:t xml:space="preserve"> “Réponse des </w:t>
      </w:r>
      <w:r>
        <w:rPr>
          <w:lang w:val="fr-FR"/>
        </w:rPr>
        <w:t>‘</w:t>
      </w:r>
      <w:r w:rsidRPr="00102F97">
        <w:rPr>
          <w:lang w:val="fr-FR"/>
        </w:rPr>
        <w:t>Jeunes Leaders du PPRD</w:t>
      </w:r>
      <w:r>
        <w:rPr>
          <w:lang w:val="fr-FR"/>
        </w:rPr>
        <w:t>’</w:t>
      </w:r>
      <w:r w:rsidRPr="00102F97">
        <w:rPr>
          <w:lang w:val="fr-FR"/>
        </w:rPr>
        <w:t xml:space="preserve"> au </w:t>
      </w:r>
      <w:r>
        <w:rPr>
          <w:lang w:val="fr-FR"/>
        </w:rPr>
        <w:t>P</w:t>
      </w:r>
      <w:r w:rsidRPr="00102F97">
        <w:rPr>
          <w:lang w:val="fr-FR"/>
        </w:rPr>
        <w:t xml:space="preserve">rojet de </w:t>
      </w:r>
      <w:r>
        <w:rPr>
          <w:lang w:val="fr-FR"/>
        </w:rPr>
        <w:t>R</w:t>
      </w:r>
      <w:r w:rsidRPr="00102F97">
        <w:rPr>
          <w:lang w:val="fr-FR"/>
        </w:rPr>
        <w:t xml:space="preserve">ésolution des </w:t>
      </w:r>
      <w:r>
        <w:rPr>
          <w:lang w:val="fr-FR"/>
        </w:rPr>
        <w:t>S</w:t>
      </w:r>
      <w:r w:rsidRPr="00102F97">
        <w:rPr>
          <w:lang w:val="fr-FR"/>
        </w:rPr>
        <w:t xml:space="preserve">énateurs </w:t>
      </w:r>
      <w:r>
        <w:rPr>
          <w:lang w:val="fr-FR"/>
        </w:rPr>
        <w:t>A</w:t>
      </w:r>
      <w:r w:rsidRPr="00102F97">
        <w:rPr>
          <w:lang w:val="fr-FR"/>
        </w:rPr>
        <w:t xml:space="preserve">méricains </w:t>
      </w:r>
      <w:r>
        <w:rPr>
          <w:lang w:val="fr-FR"/>
        </w:rPr>
        <w:t>D</w:t>
      </w:r>
      <w:r w:rsidRPr="00102F97">
        <w:rPr>
          <w:lang w:val="fr-FR"/>
        </w:rPr>
        <w:t xml:space="preserve">emandant des </w:t>
      </w:r>
      <w:r>
        <w:rPr>
          <w:lang w:val="fr-FR"/>
        </w:rPr>
        <w:t>S</w:t>
      </w:r>
      <w:r w:rsidRPr="00102F97">
        <w:rPr>
          <w:lang w:val="fr-FR"/>
        </w:rPr>
        <w:t xml:space="preserve">anctions </w:t>
      </w:r>
      <w:r>
        <w:rPr>
          <w:lang w:val="fr-FR"/>
        </w:rPr>
        <w:t>C</w:t>
      </w:r>
      <w:r w:rsidRPr="00102F97">
        <w:rPr>
          <w:lang w:val="fr-FR"/>
        </w:rPr>
        <w:t xml:space="preserve">iblées </w:t>
      </w:r>
      <w:r>
        <w:rPr>
          <w:lang w:val="fr-FR"/>
        </w:rPr>
        <w:t>C</w:t>
      </w:r>
      <w:r w:rsidRPr="00102F97">
        <w:rPr>
          <w:lang w:val="fr-FR"/>
        </w:rPr>
        <w:t xml:space="preserve">ontre les </w:t>
      </w:r>
      <w:r>
        <w:rPr>
          <w:lang w:val="fr-FR"/>
        </w:rPr>
        <w:t>P</w:t>
      </w:r>
      <w:r w:rsidRPr="00102F97">
        <w:rPr>
          <w:lang w:val="fr-FR"/>
        </w:rPr>
        <w:t xml:space="preserve">ersonnalités </w:t>
      </w:r>
      <w:r>
        <w:rPr>
          <w:lang w:val="fr-FR"/>
        </w:rPr>
        <w:t>C</w:t>
      </w:r>
      <w:r w:rsidRPr="00102F97">
        <w:rPr>
          <w:lang w:val="fr-FR"/>
        </w:rPr>
        <w:t>ongolaises</w:t>
      </w:r>
      <w:r>
        <w:rPr>
          <w:lang w:val="fr-FR"/>
        </w:rPr>
        <w:t xml:space="preserve"> [in French]</w:t>
      </w:r>
      <w:r w:rsidRPr="00102F97">
        <w:rPr>
          <w:lang w:val="fr-FR"/>
        </w:rPr>
        <w:t xml:space="preserve">,” </w:t>
      </w:r>
      <w:r>
        <w:rPr>
          <w:lang w:val="fr-FR"/>
        </w:rPr>
        <w:t xml:space="preserve">Luc MICHEL, </w:t>
      </w:r>
      <w:r w:rsidRPr="00102F97">
        <w:rPr>
          <w:lang w:val="fr-FR"/>
        </w:rPr>
        <w:t>June 7, 2017, accessed November 13, 2017, www.lucmichel.net/2016/06/07/panafricom-le-congo-qui-resiste/</w:t>
      </w:r>
      <w:r w:rsidRPr="00102F97">
        <w:t>.</w:t>
      </w:r>
    </w:p>
  </w:endnote>
  <w:endnote w:id="62">
    <w:p w14:paraId="41B7D51F" w14:textId="68F62ECA" w:rsidR="000512F8" w:rsidRPr="00102F97" w:rsidRDefault="000512F8" w:rsidP="009248C3">
      <w:pPr>
        <w:pStyle w:val="Footnote"/>
      </w:pPr>
      <w:r w:rsidRPr="00102F97">
        <w:rPr>
          <w:rStyle w:val="EndnoteReference"/>
        </w:rPr>
        <w:endnoteRef/>
      </w:r>
      <w:r w:rsidRPr="00102F97">
        <w:t xml:space="preserve"> Macho Philipovich, “Why </w:t>
      </w:r>
      <w:r>
        <w:t>I</w:t>
      </w:r>
      <w:r w:rsidRPr="00102F97">
        <w:t xml:space="preserve">s Canada Blocking Congo Debt Forgiveness?” </w:t>
      </w:r>
      <w:r w:rsidRPr="00605E9D">
        <w:t>Dominion</w:t>
      </w:r>
      <w:r w:rsidRPr="00102F97">
        <w:t>, August 11, 2010, accessed November</w:t>
      </w:r>
      <w:r>
        <w:t> </w:t>
      </w:r>
      <w:r w:rsidRPr="00102F97">
        <w:t>13, 2017, www.dominionpaper.ca/articles/3573.</w:t>
      </w:r>
    </w:p>
  </w:endnote>
  <w:endnote w:id="63">
    <w:p w14:paraId="4477EF9C" w14:textId="04CFB4BA" w:rsidR="000512F8" w:rsidRPr="00102F97" w:rsidRDefault="000512F8" w:rsidP="009248C3">
      <w:pPr>
        <w:pStyle w:val="Footnote"/>
      </w:pPr>
      <w:r w:rsidRPr="00102F97">
        <w:rPr>
          <w:vertAlign w:val="superscript"/>
        </w:rPr>
        <w:endnoteRef/>
      </w:r>
      <w:r w:rsidRPr="00102F97">
        <w:t xml:space="preserve"> </w:t>
      </w:r>
      <w:r w:rsidRPr="00102F97">
        <w:rPr>
          <w:lang w:val="fr-FR"/>
        </w:rPr>
        <w:t xml:space="preserve">Gerda du Toit, </w:t>
      </w:r>
      <w:r>
        <w:rPr>
          <w:lang w:val="fr-FR"/>
        </w:rPr>
        <w:t>op. cit.</w:t>
      </w:r>
    </w:p>
  </w:endnote>
  <w:endnote w:id="64">
    <w:p w14:paraId="48301C59" w14:textId="1AEC3C3D" w:rsidR="000512F8" w:rsidRPr="00102F97" w:rsidRDefault="000512F8" w:rsidP="009248C3">
      <w:pPr>
        <w:pStyle w:val="Footnote"/>
      </w:pPr>
      <w:r w:rsidRPr="00102F97">
        <w:rPr>
          <w:vertAlign w:val="superscript"/>
        </w:rPr>
        <w:endnoteRef/>
      </w:r>
      <w:r w:rsidRPr="00102F97">
        <w:t xml:space="preserve"> </w:t>
      </w:r>
      <w:r>
        <w:t xml:space="preserve">Stacey Roy, </w:t>
      </w:r>
      <w:r w:rsidRPr="00102F97">
        <w:t xml:space="preserve">“Mining Capital: How Canada </w:t>
      </w:r>
      <w:r>
        <w:t>T</w:t>
      </w:r>
      <w:r w:rsidRPr="00102F97">
        <w:t xml:space="preserve">ransformed its </w:t>
      </w:r>
      <w:r>
        <w:t>R</w:t>
      </w:r>
      <w:r w:rsidRPr="00102F97">
        <w:t xml:space="preserve">esource </w:t>
      </w:r>
      <w:r>
        <w:t>E</w:t>
      </w:r>
      <w:r w:rsidRPr="00102F97">
        <w:t xml:space="preserve">ndowment </w:t>
      </w:r>
      <w:r>
        <w:t>I</w:t>
      </w:r>
      <w:r w:rsidRPr="00102F97">
        <w:t xml:space="preserve">nto a </w:t>
      </w:r>
      <w:r>
        <w:t>G</w:t>
      </w:r>
      <w:r w:rsidRPr="00102F97">
        <w:t xml:space="preserve">lobal </w:t>
      </w:r>
      <w:r>
        <w:t>C</w:t>
      </w:r>
      <w:r w:rsidRPr="00102F97">
        <w:t xml:space="preserve">ompetitive </w:t>
      </w:r>
      <w:r>
        <w:t>A</w:t>
      </w:r>
      <w:r w:rsidRPr="00102F97">
        <w:t>dvantage,’’ The Canadian Chamber of Comm</w:t>
      </w:r>
      <w:r>
        <w:t xml:space="preserve">erce, 48, </w:t>
      </w:r>
      <w:r w:rsidRPr="00102F97">
        <w:t xml:space="preserve">January </w:t>
      </w:r>
      <w:r>
        <w:t xml:space="preserve">30, </w:t>
      </w:r>
      <w:r w:rsidRPr="00102F97">
        <w:t xml:space="preserve">2013, accessed November 13, 2017, </w:t>
      </w:r>
      <w:r w:rsidRPr="00AD0CBE">
        <w:t>www.chamber.ca/media/blog/130130-mining-capital/</w:t>
      </w:r>
      <w:r w:rsidRPr="00102F97">
        <w:t>.</w:t>
      </w:r>
    </w:p>
  </w:endnote>
  <w:endnote w:id="65">
    <w:p w14:paraId="78BC52A7" w14:textId="73CFA086" w:rsidR="000512F8" w:rsidRPr="00102F97" w:rsidRDefault="000512F8" w:rsidP="009248C3">
      <w:pPr>
        <w:pStyle w:val="Footnote"/>
      </w:pPr>
      <w:r w:rsidRPr="00102F97">
        <w:rPr>
          <w:rStyle w:val="EndnoteReference"/>
        </w:rPr>
        <w:endnoteRef/>
      </w:r>
      <w:r w:rsidRPr="00102F97">
        <w:t xml:space="preserve"> Government of Canada, “Democracy and Human Rights,” accessed November 13, 2017, www.canadainternational.gc.ca/eu-ue/policies-politiques/democracy-democratie.aspx?lang=eng.</w:t>
      </w:r>
    </w:p>
  </w:endnote>
  <w:endnote w:id="66">
    <w:p w14:paraId="1CFA2359" w14:textId="476DFD75" w:rsidR="000512F8" w:rsidRPr="00102F97" w:rsidRDefault="000512F8" w:rsidP="009248C3">
      <w:pPr>
        <w:pStyle w:val="Footnote"/>
        <w:rPr>
          <w:lang w:val="fr-FR"/>
        </w:rPr>
      </w:pPr>
      <w:r w:rsidRPr="00102F97">
        <w:rPr>
          <w:vertAlign w:val="superscript"/>
        </w:rPr>
        <w:endnoteRef/>
      </w:r>
      <w:r w:rsidRPr="00102F97">
        <w:rPr>
          <w:lang w:val="fr-FR"/>
        </w:rPr>
        <w:t xml:space="preserve"> Maison des Mines du Kivu, </w:t>
      </w:r>
      <w:r>
        <w:rPr>
          <w:lang w:val="fr-FR"/>
        </w:rPr>
        <w:t>op. cit.</w:t>
      </w:r>
    </w:p>
  </w:endnote>
  <w:endnote w:id="67">
    <w:p w14:paraId="41AA192E" w14:textId="6C42815A" w:rsidR="000512F8" w:rsidRDefault="000512F8" w:rsidP="009248C3">
      <w:pPr>
        <w:pStyle w:val="Footnote"/>
      </w:pPr>
      <w:r w:rsidRPr="00102F97">
        <w:rPr>
          <w:rStyle w:val="EndnoteReference"/>
        </w:rPr>
        <w:endnoteRef/>
      </w:r>
      <w:r w:rsidRPr="00102F97">
        <w:t xml:space="preserve"> AON, “2017 Political Risk Map,” </w:t>
      </w:r>
      <w:r>
        <w:t xml:space="preserve">2017, </w:t>
      </w:r>
      <w:r w:rsidRPr="00102F97">
        <w:t xml:space="preserve">accessed November 13, 2017, </w:t>
      </w:r>
      <w:r w:rsidRPr="00677693">
        <w:t>https://www.csca.fr/</w:t>
      </w:r>
      <w:r w:rsidRPr="00102F97">
        <w:t>images/files/Carte_Risques_</w:t>
      </w:r>
    </w:p>
    <w:p w14:paraId="1DAADF62" w14:textId="3594E3CF" w:rsidR="000512F8" w:rsidRPr="00102F97" w:rsidRDefault="000512F8" w:rsidP="009248C3">
      <w:pPr>
        <w:pStyle w:val="Footnote"/>
      </w:pPr>
      <w:r w:rsidRPr="00102F97">
        <w:t>Politique_Aon_2017(1).pdf.</w:t>
      </w:r>
    </w:p>
  </w:endnote>
  <w:endnote w:id="68">
    <w:p w14:paraId="5B2FB484" w14:textId="77777777" w:rsidR="000512F8" w:rsidRPr="00102F97" w:rsidRDefault="000512F8" w:rsidP="009248C3">
      <w:pPr>
        <w:pStyle w:val="Footnote"/>
      </w:pPr>
      <w:r w:rsidRPr="00102F97">
        <w:rPr>
          <w:vertAlign w:val="superscript"/>
        </w:rPr>
        <w:endnoteRef/>
      </w:r>
      <w:r w:rsidRPr="00102F97">
        <w:t xml:space="preserve"> </w:t>
      </w:r>
      <w:hyperlink r:id="rId3" w:history="1">
        <w:r w:rsidRPr="00102F97">
          <w:t>Kimberly Amadeo</w:t>
        </w:r>
      </w:hyperlink>
      <w:r w:rsidRPr="00102F97">
        <w:t>, “Gold Price History from 30 B.C. to Today,”</w:t>
      </w:r>
      <w:r w:rsidRPr="00A02434">
        <w:rPr>
          <w:i/>
        </w:rPr>
        <w:t xml:space="preserve"> </w:t>
      </w:r>
      <w:r w:rsidRPr="00605E9D">
        <w:t>The Balance</w:t>
      </w:r>
      <w:r w:rsidRPr="00102F97">
        <w:t>, November 7, 2017, accessed November 10, 2017, https://www.thebalance.com/gold-price-history-3305646.</w:t>
      </w:r>
    </w:p>
  </w:endnote>
  <w:endnote w:id="69">
    <w:p w14:paraId="502D22B7" w14:textId="6907DCB0" w:rsidR="000512F8" w:rsidRPr="00102F97" w:rsidRDefault="000512F8" w:rsidP="009248C3">
      <w:pPr>
        <w:pStyle w:val="Footnote"/>
      </w:pPr>
      <w:r w:rsidRPr="00102F97">
        <w:rPr>
          <w:vertAlign w:val="superscript"/>
        </w:rPr>
        <w:endnoteRef/>
      </w:r>
      <w:r>
        <w:t xml:space="preserve"> </w:t>
      </w:r>
      <w:r w:rsidRPr="00102F97">
        <w:t xml:space="preserve">James Gruber, “Gold: A Great Buying Opportunity Approaches,” </w:t>
      </w:r>
      <w:r w:rsidRPr="00605E9D">
        <w:rPr>
          <w:i/>
        </w:rPr>
        <w:t>Forbes</w:t>
      </w:r>
      <w:r>
        <w:t xml:space="preserve">, </w:t>
      </w:r>
      <w:r w:rsidRPr="00102F97">
        <w:t xml:space="preserve">April </w:t>
      </w:r>
      <w:r>
        <w:t xml:space="preserve">13, </w:t>
      </w:r>
      <w:r w:rsidRPr="00102F97">
        <w:t xml:space="preserve">2017, accessed May 25, 2017, </w:t>
      </w:r>
      <w:hyperlink r:id="rId4" w:anchor="609b76dd4e30" w:history="1">
        <w:r w:rsidRPr="00102F97">
          <w:t>https://www.forbes.com/sites/jamesgruber/2013/04/13/gold-opportunity-approaches/#609b76dd4e30</w:t>
        </w:r>
      </w:hyperlink>
      <w:r w:rsidRPr="00102F97">
        <w:t>)</w:t>
      </w:r>
      <w:r>
        <w:t>.</w:t>
      </w:r>
    </w:p>
  </w:endnote>
  <w:endnote w:id="70">
    <w:p w14:paraId="6E999C7F" w14:textId="61A157EE" w:rsidR="000512F8" w:rsidRPr="00102F97" w:rsidRDefault="000512F8" w:rsidP="009248C3">
      <w:pPr>
        <w:pStyle w:val="Footnote"/>
      </w:pPr>
      <w:r w:rsidRPr="00102F97">
        <w:rPr>
          <w:vertAlign w:val="superscript"/>
        </w:rPr>
        <w:endnoteRef/>
      </w:r>
      <w:r w:rsidRPr="00102F97">
        <w:t xml:space="preserve"> Federal Reserve System was the central banking system of the United States</w:t>
      </w:r>
      <w:r>
        <w:t>.</w:t>
      </w:r>
      <w:r w:rsidRPr="00102F97">
        <w:t xml:space="preserve"> U</w:t>
      </w:r>
      <w:r>
        <w:t>nited Nations Conference on Trade and Development</w:t>
      </w:r>
      <w:r w:rsidRPr="00102F97">
        <w:t xml:space="preserve">, </w:t>
      </w:r>
      <w:r w:rsidRPr="00605E9D">
        <w:rPr>
          <w:i/>
        </w:rPr>
        <w:t>Trade and Development Report</w:t>
      </w:r>
      <w:r>
        <w:rPr>
          <w:i/>
        </w:rPr>
        <w:t>,</w:t>
      </w:r>
      <w:r w:rsidRPr="00605E9D">
        <w:rPr>
          <w:i/>
        </w:rPr>
        <w:t xml:space="preserve"> 2016</w:t>
      </w:r>
      <w:r w:rsidRPr="00102F97">
        <w:t xml:space="preserve">, </w:t>
      </w:r>
      <w:r>
        <w:t xml:space="preserve">2016, </w:t>
      </w:r>
      <w:r w:rsidRPr="00102F97">
        <w:t>accessed November 10, 2017, http://unctad.org/en/pages/PublicationWebflyer.aspx?publicationid=1610.</w:t>
      </w:r>
    </w:p>
  </w:endnote>
  <w:endnote w:id="71">
    <w:p w14:paraId="1615A20F" w14:textId="700999C0" w:rsidR="000512F8" w:rsidRPr="00102F97" w:rsidRDefault="000512F8" w:rsidP="009248C3">
      <w:pPr>
        <w:pStyle w:val="Footnote"/>
      </w:pPr>
      <w:r w:rsidRPr="00102F97">
        <w:rPr>
          <w:vertAlign w:val="superscript"/>
        </w:rPr>
        <w:endnoteRef/>
      </w:r>
      <w:r w:rsidRPr="00102F97">
        <w:t xml:space="preserve"> Banro Corporation, </w:t>
      </w:r>
      <w:r w:rsidRPr="00605E9D">
        <w:rPr>
          <w:i/>
        </w:rPr>
        <w:t>Corporate Presentation</w:t>
      </w:r>
      <w:r>
        <w:rPr>
          <w:i/>
        </w:rPr>
        <w:t xml:space="preserve"> February 2017</w:t>
      </w:r>
      <w:r w:rsidRPr="00102F97">
        <w:t xml:space="preserve">, </w:t>
      </w:r>
      <w:r>
        <w:t xml:space="preserve">11, </w:t>
      </w:r>
      <w:r w:rsidRPr="00102F97">
        <w:t>February 2017, accessed November 13, 2017, https://www.banro.com/assets/pdf/2017-02-23-cp.pdf.</w:t>
      </w:r>
    </w:p>
  </w:endnote>
  <w:endnote w:id="72">
    <w:p w14:paraId="56F6DEE8" w14:textId="7B501DDF" w:rsidR="000512F8" w:rsidRPr="00102F97" w:rsidRDefault="000512F8" w:rsidP="009248C3">
      <w:pPr>
        <w:pStyle w:val="Footnote"/>
      </w:pPr>
      <w:r w:rsidRPr="00102F97">
        <w:rPr>
          <w:rStyle w:val="EndnoteReference"/>
        </w:rPr>
        <w:endnoteRef/>
      </w:r>
      <w:r w:rsidRPr="00102F97">
        <w:t xml:space="preserve"> Laura Cornish, “The </w:t>
      </w:r>
      <w:r>
        <w:t>W</w:t>
      </w:r>
      <w:r w:rsidRPr="00102F97">
        <w:t xml:space="preserve">ay to </w:t>
      </w:r>
      <w:r>
        <w:t>M</w:t>
      </w:r>
      <w:r w:rsidRPr="00102F97">
        <w:t xml:space="preserve">ove </w:t>
      </w:r>
      <w:r>
        <w:t>F</w:t>
      </w:r>
      <w:r w:rsidRPr="00102F97">
        <w:t xml:space="preserve">orward </w:t>
      </w:r>
      <w:r>
        <w:t>I</w:t>
      </w:r>
      <w:r w:rsidRPr="00102F97">
        <w:t xml:space="preserve">s to </w:t>
      </w:r>
      <w:r>
        <w:t>K</w:t>
      </w:r>
      <w:r w:rsidRPr="00102F97">
        <w:t xml:space="preserve">eep </w:t>
      </w:r>
      <w:r>
        <w:t>M</w:t>
      </w:r>
      <w:r w:rsidRPr="00102F97">
        <w:t xml:space="preserve">oving </w:t>
      </w:r>
      <w:r>
        <w:t>F</w:t>
      </w:r>
      <w:r w:rsidRPr="00102F97">
        <w:t xml:space="preserve">orward,” </w:t>
      </w:r>
      <w:r w:rsidRPr="00A02434">
        <w:rPr>
          <w:i/>
        </w:rPr>
        <w:t>Mining Review Africa</w:t>
      </w:r>
      <w:r w:rsidRPr="00102F97">
        <w:t>,</w:t>
      </w:r>
      <w:r>
        <w:t xml:space="preserve"> 2,</w:t>
      </w:r>
      <w:r w:rsidRPr="00102F97">
        <w:t xml:space="preserve"> February 2016, accessed November 13, 2017, https://www.miningreview.com/wp-content/uploads/2016/02/MRA-2-2016.pdf.</w:t>
      </w:r>
    </w:p>
  </w:endnote>
  <w:endnote w:id="73">
    <w:p w14:paraId="57D252BB" w14:textId="22E4604E" w:rsidR="000512F8" w:rsidRPr="00102F97" w:rsidRDefault="000512F8" w:rsidP="009248C3">
      <w:pPr>
        <w:pStyle w:val="Footnote"/>
      </w:pPr>
      <w:r w:rsidRPr="00102F97">
        <w:rPr>
          <w:rStyle w:val="EndnoteReference"/>
        </w:rPr>
        <w:endnoteRef/>
      </w:r>
      <w:r w:rsidRPr="00102F97">
        <w:t xml:space="preserve"> </w:t>
      </w:r>
      <w:r w:rsidRPr="00605E9D">
        <w:rPr>
          <w:i/>
        </w:rPr>
        <w:t>Consolidated Financial Statements: December 31, 2012 and 2011 (Expressed in U.S. Dollars)</w:t>
      </w:r>
      <w:r>
        <w:t>, op. cit</w:t>
      </w:r>
      <w:r w:rsidRPr="00102F97">
        <w:t>.</w:t>
      </w:r>
    </w:p>
  </w:endnote>
  <w:endnote w:id="74">
    <w:p w14:paraId="3ABCB1B7" w14:textId="24CD1663" w:rsidR="000512F8" w:rsidRPr="00102F97" w:rsidRDefault="000512F8" w:rsidP="009248C3">
      <w:pPr>
        <w:pStyle w:val="Footnote"/>
      </w:pPr>
      <w:r w:rsidRPr="00102F97">
        <w:rPr>
          <w:rStyle w:val="EndnoteReference"/>
        </w:rPr>
        <w:endnoteRef/>
      </w:r>
      <w:r w:rsidRPr="00102F97">
        <w:t xml:space="preserve"> “Our </w:t>
      </w:r>
      <w:r>
        <w:t>G</w:t>
      </w:r>
      <w:r w:rsidRPr="00102F97">
        <w:t xml:space="preserve">oal </w:t>
      </w:r>
      <w:r>
        <w:t>I</w:t>
      </w:r>
      <w:r w:rsidRPr="00102F97">
        <w:t xml:space="preserve">s </w:t>
      </w:r>
      <w:r>
        <w:t>T</w:t>
      </w:r>
      <w:r w:rsidRPr="00102F97">
        <w:t xml:space="preserve">o </w:t>
      </w:r>
      <w:r>
        <w:t>B</w:t>
      </w:r>
      <w:r w:rsidRPr="00102F97">
        <w:t xml:space="preserve">e a </w:t>
      </w:r>
      <w:r>
        <w:t>M</w:t>
      </w:r>
      <w:r w:rsidRPr="00102F97">
        <w:t xml:space="preserve">odel of </w:t>
      </w:r>
      <w:r>
        <w:t>E</w:t>
      </w:r>
      <w:r w:rsidRPr="00102F97">
        <w:t xml:space="preserve">xcellence in </w:t>
      </w:r>
      <w:r>
        <w:t>S</w:t>
      </w:r>
      <w:r w:rsidRPr="00102F97">
        <w:t xml:space="preserve">ustainability,” </w:t>
      </w:r>
      <w:r>
        <w:t xml:space="preserve">Banro Corporation, </w:t>
      </w:r>
      <w:r w:rsidRPr="00102F97">
        <w:t>accessed November 13, 2017, https://www.banro.com/sustainability/social-responsibility/sustainability.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ヒラギノ明朝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9528F" w14:textId="77777777" w:rsidR="000512F8" w:rsidRDefault="000512F8" w:rsidP="00D75295">
      <w:r>
        <w:separator/>
      </w:r>
    </w:p>
  </w:footnote>
  <w:footnote w:type="continuationSeparator" w:id="0">
    <w:p w14:paraId="76C157E1" w14:textId="77777777" w:rsidR="000512F8" w:rsidRDefault="000512F8"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3452E" w14:textId="42810458" w:rsidR="000512F8" w:rsidRDefault="000512F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7496B">
      <w:rPr>
        <w:rFonts w:ascii="Arial" w:hAnsi="Arial"/>
        <w:b/>
        <w:noProof/>
      </w:rPr>
      <w:t>10</w:t>
    </w:r>
    <w:r>
      <w:rPr>
        <w:rFonts w:ascii="Arial" w:hAnsi="Arial"/>
        <w:b/>
      </w:rPr>
      <w:fldChar w:fldCharType="end"/>
    </w:r>
    <w:r>
      <w:rPr>
        <w:rFonts w:ascii="Arial" w:hAnsi="Arial"/>
        <w:b/>
      </w:rPr>
      <w:tab/>
    </w:r>
    <w:r w:rsidR="00737977">
      <w:rPr>
        <w:rFonts w:ascii="Arial" w:hAnsi="Arial"/>
        <w:b/>
      </w:rPr>
      <w:t>9B18M031</w:t>
    </w:r>
  </w:p>
  <w:p w14:paraId="7F81BE76" w14:textId="77777777" w:rsidR="000512F8" w:rsidRPr="00C92CC4" w:rsidRDefault="000512F8">
    <w:pPr>
      <w:pStyle w:val="Header"/>
      <w:rPr>
        <w:sz w:val="18"/>
        <w:szCs w:val="18"/>
      </w:rPr>
    </w:pPr>
  </w:p>
  <w:p w14:paraId="2F74C362" w14:textId="77777777" w:rsidR="000512F8" w:rsidRPr="00C92CC4" w:rsidRDefault="000512F8">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7BA"/>
    <w:rsid w:val="00002DFE"/>
    <w:rsid w:val="0000443E"/>
    <w:rsid w:val="00013360"/>
    <w:rsid w:val="000216CE"/>
    <w:rsid w:val="00022A48"/>
    <w:rsid w:val="00025DC7"/>
    <w:rsid w:val="00026486"/>
    <w:rsid w:val="00035B58"/>
    <w:rsid w:val="00044ECC"/>
    <w:rsid w:val="000512F8"/>
    <w:rsid w:val="000531D3"/>
    <w:rsid w:val="0005646B"/>
    <w:rsid w:val="00060EBF"/>
    <w:rsid w:val="000701D0"/>
    <w:rsid w:val="000769F1"/>
    <w:rsid w:val="0008102D"/>
    <w:rsid w:val="000878B7"/>
    <w:rsid w:val="0009203A"/>
    <w:rsid w:val="000926A8"/>
    <w:rsid w:val="00094C0E"/>
    <w:rsid w:val="000A7363"/>
    <w:rsid w:val="000E4D91"/>
    <w:rsid w:val="000F0C22"/>
    <w:rsid w:val="000F6B09"/>
    <w:rsid w:val="000F6FDC"/>
    <w:rsid w:val="00104567"/>
    <w:rsid w:val="00113D3D"/>
    <w:rsid w:val="00123604"/>
    <w:rsid w:val="00126EB2"/>
    <w:rsid w:val="0012732D"/>
    <w:rsid w:val="00154FC9"/>
    <w:rsid w:val="00173AE8"/>
    <w:rsid w:val="0019241A"/>
    <w:rsid w:val="001947E0"/>
    <w:rsid w:val="001A2A84"/>
    <w:rsid w:val="001A5335"/>
    <w:rsid w:val="001A752D"/>
    <w:rsid w:val="001A7855"/>
    <w:rsid w:val="001C7CFC"/>
    <w:rsid w:val="001D2D8D"/>
    <w:rsid w:val="001D6B5B"/>
    <w:rsid w:val="001F7BBC"/>
    <w:rsid w:val="00203AA1"/>
    <w:rsid w:val="00213E98"/>
    <w:rsid w:val="00220775"/>
    <w:rsid w:val="00223A55"/>
    <w:rsid w:val="002324CB"/>
    <w:rsid w:val="00243118"/>
    <w:rsid w:val="00245349"/>
    <w:rsid w:val="00253A15"/>
    <w:rsid w:val="00254266"/>
    <w:rsid w:val="002649DC"/>
    <w:rsid w:val="00272B76"/>
    <w:rsid w:val="002873EA"/>
    <w:rsid w:val="002A7B8A"/>
    <w:rsid w:val="002E32F0"/>
    <w:rsid w:val="002E47DD"/>
    <w:rsid w:val="002F460C"/>
    <w:rsid w:val="002F48D6"/>
    <w:rsid w:val="00310624"/>
    <w:rsid w:val="00312DCB"/>
    <w:rsid w:val="00325307"/>
    <w:rsid w:val="00330AF1"/>
    <w:rsid w:val="00330CD6"/>
    <w:rsid w:val="00343565"/>
    <w:rsid w:val="00354899"/>
    <w:rsid w:val="00355FD6"/>
    <w:rsid w:val="00361C8E"/>
    <w:rsid w:val="00364A5C"/>
    <w:rsid w:val="003715C4"/>
    <w:rsid w:val="00373FB1"/>
    <w:rsid w:val="003B30D8"/>
    <w:rsid w:val="003B7EF2"/>
    <w:rsid w:val="003C3FA4"/>
    <w:rsid w:val="003C4CDF"/>
    <w:rsid w:val="003F243A"/>
    <w:rsid w:val="003F2B0C"/>
    <w:rsid w:val="00413AB6"/>
    <w:rsid w:val="004221E4"/>
    <w:rsid w:val="004243BE"/>
    <w:rsid w:val="004254BB"/>
    <w:rsid w:val="0043539F"/>
    <w:rsid w:val="00466281"/>
    <w:rsid w:val="00471088"/>
    <w:rsid w:val="004761DA"/>
    <w:rsid w:val="00483AF9"/>
    <w:rsid w:val="004B1CCB"/>
    <w:rsid w:val="004D66D2"/>
    <w:rsid w:val="004D73A5"/>
    <w:rsid w:val="004E3690"/>
    <w:rsid w:val="00517456"/>
    <w:rsid w:val="00532CF5"/>
    <w:rsid w:val="005528CB"/>
    <w:rsid w:val="00553DD6"/>
    <w:rsid w:val="00566771"/>
    <w:rsid w:val="005773C8"/>
    <w:rsid w:val="00581E2E"/>
    <w:rsid w:val="00584566"/>
    <w:rsid w:val="00584F15"/>
    <w:rsid w:val="0058558B"/>
    <w:rsid w:val="00593086"/>
    <w:rsid w:val="0059355D"/>
    <w:rsid w:val="005A0624"/>
    <w:rsid w:val="005D61C4"/>
    <w:rsid w:val="005E2573"/>
    <w:rsid w:val="00605E9D"/>
    <w:rsid w:val="006063A3"/>
    <w:rsid w:val="006163F7"/>
    <w:rsid w:val="0064458D"/>
    <w:rsid w:val="00652606"/>
    <w:rsid w:val="00652732"/>
    <w:rsid w:val="00654868"/>
    <w:rsid w:val="00673188"/>
    <w:rsid w:val="00677693"/>
    <w:rsid w:val="00682754"/>
    <w:rsid w:val="00682A4F"/>
    <w:rsid w:val="00683C34"/>
    <w:rsid w:val="006A58A9"/>
    <w:rsid w:val="006A606D"/>
    <w:rsid w:val="006B5278"/>
    <w:rsid w:val="006B7F7A"/>
    <w:rsid w:val="006C0371"/>
    <w:rsid w:val="006C08B6"/>
    <w:rsid w:val="006C0B1A"/>
    <w:rsid w:val="006C4384"/>
    <w:rsid w:val="006C6065"/>
    <w:rsid w:val="006C7F9F"/>
    <w:rsid w:val="006D2E06"/>
    <w:rsid w:val="006E2F6D"/>
    <w:rsid w:val="006E58F6"/>
    <w:rsid w:val="006E77E1"/>
    <w:rsid w:val="006F131D"/>
    <w:rsid w:val="00705B61"/>
    <w:rsid w:val="00737977"/>
    <w:rsid w:val="007432F2"/>
    <w:rsid w:val="00752BCD"/>
    <w:rsid w:val="00754842"/>
    <w:rsid w:val="00756880"/>
    <w:rsid w:val="00756890"/>
    <w:rsid w:val="00761C46"/>
    <w:rsid w:val="00766DA1"/>
    <w:rsid w:val="007706FC"/>
    <w:rsid w:val="00773DC9"/>
    <w:rsid w:val="007772F7"/>
    <w:rsid w:val="007844BC"/>
    <w:rsid w:val="007866A6"/>
    <w:rsid w:val="007A130D"/>
    <w:rsid w:val="007A6A54"/>
    <w:rsid w:val="007A7891"/>
    <w:rsid w:val="007C3731"/>
    <w:rsid w:val="007D4102"/>
    <w:rsid w:val="007D7307"/>
    <w:rsid w:val="007E5921"/>
    <w:rsid w:val="007F51FC"/>
    <w:rsid w:val="00803CD2"/>
    <w:rsid w:val="00810FEC"/>
    <w:rsid w:val="00821FFC"/>
    <w:rsid w:val="00822A4C"/>
    <w:rsid w:val="008254A5"/>
    <w:rsid w:val="008271CA"/>
    <w:rsid w:val="00836D4C"/>
    <w:rsid w:val="008467D5"/>
    <w:rsid w:val="0085190D"/>
    <w:rsid w:val="00853B17"/>
    <w:rsid w:val="00856D9F"/>
    <w:rsid w:val="008575B3"/>
    <w:rsid w:val="008644A0"/>
    <w:rsid w:val="00866F6D"/>
    <w:rsid w:val="00887E53"/>
    <w:rsid w:val="008A2821"/>
    <w:rsid w:val="008A4DC4"/>
    <w:rsid w:val="008C68AA"/>
    <w:rsid w:val="008C7915"/>
    <w:rsid w:val="008E6C53"/>
    <w:rsid w:val="009067A4"/>
    <w:rsid w:val="0090722E"/>
    <w:rsid w:val="009248C3"/>
    <w:rsid w:val="009340DB"/>
    <w:rsid w:val="009414F9"/>
    <w:rsid w:val="00950D69"/>
    <w:rsid w:val="00971C30"/>
    <w:rsid w:val="00971E9F"/>
    <w:rsid w:val="00972498"/>
    <w:rsid w:val="0097496B"/>
    <w:rsid w:val="00974CC6"/>
    <w:rsid w:val="00976AD4"/>
    <w:rsid w:val="009812F4"/>
    <w:rsid w:val="009A2CBF"/>
    <w:rsid w:val="009A312F"/>
    <w:rsid w:val="009A5348"/>
    <w:rsid w:val="009A67BB"/>
    <w:rsid w:val="009A76D8"/>
    <w:rsid w:val="009B3C02"/>
    <w:rsid w:val="009C2B0A"/>
    <w:rsid w:val="009C76D5"/>
    <w:rsid w:val="009E4749"/>
    <w:rsid w:val="009F096D"/>
    <w:rsid w:val="009F7AA4"/>
    <w:rsid w:val="00A062C8"/>
    <w:rsid w:val="00A11214"/>
    <w:rsid w:val="00A114E5"/>
    <w:rsid w:val="00A168DF"/>
    <w:rsid w:val="00A22163"/>
    <w:rsid w:val="00A27B8E"/>
    <w:rsid w:val="00A34C8A"/>
    <w:rsid w:val="00A3504E"/>
    <w:rsid w:val="00A54D53"/>
    <w:rsid w:val="00A559DB"/>
    <w:rsid w:val="00A63661"/>
    <w:rsid w:val="00A655D4"/>
    <w:rsid w:val="00A72D5A"/>
    <w:rsid w:val="00A91452"/>
    <w:rsid w:val="00A9159D"/>
    <w:rsid w:val="00AD0CBE"/>
    <w:rsid w:val="00AD2506"/>
    <w:rsid w:val="00AF35FC"/>
    <w:rsid w:val="00B03639"/>
    <w:rsid w:val="00B0652A"/>
    <w:rsid w:val="00B1337C"/>
    <w:rsid w:val="00B21328"/>
    <w:rsid w:val="00B3757D"/>
    <w:rsid w:val="00B40937"/>
    <w:rsid w:val="00B423EF"/>
    <w:rsid w:val="00B453DE"/>
    <w:rsid w:val="00B4742F"/>
    <w:rsid w:val="00B53A8D"/>
    <w:rsid w:val="00B56E3B"/>
    <w:rsid w:val="00B612B3"/>
    <w:rsid w:val="00B8494A"/>
    <w:rsid w:val="00B901F9"/>
    <w:rsid w:val="00B9144E"/>
    <w:rsid w:val="00B942EA"/>
    <w:rsid w:val="00BB1E3A"/>
    <w:rsid w:val="00BB4CD5"/>
    <w:rsid w:val="00BD6EFB"/>
    <w:rsid w:val="00BE5F83"/>
    <w:rsid w:val="00C02023"/>
    <w:rsid w:val="00C1533B"/>
    <w:rsid w:val="00C15BE2"/>
    <w:rsid w:val="00C22219"/>
    <w:rsid w:val="00C3447F"/>
    <w:rsid w:val="00C5343B"/>
    <w:rsid w:val="00C60E8E"/>
    <w:rsid w:val="00C62B21"/>
    <w:rsid w:val="00C764A8"/>
    <w:rsid w:val="00C81491"/>
    <w:rsid w:val="00C81676"/>
    <w:rsid w:val="00C92CC4"/>
    <w:rsid w:val="00CA0AFB"/>
    <w:rsid w:val="00CA2CE1"/>
    <w:rsid w:val="00CA38EF"/>
    <w:rsid w:val="00CA3976"/>
    <w:rsid w:val="00CA757B"/>
    <w:rsid w:val="00CB7E75"/>
    <w:rsid w:val="00CC1787"/>
    <w:rsid w:val="00CC182C"/>
    <w:rsid w:val="00CD0824"/>
    <w:rsid w:val="00CD2908"/>
    <w:rsid w:val="00CE2381"/>
    <w:rsid w:val="00CE6175"/>
    <w:rsid w:val="00D00730"/>
    <w:rsid w:val="00D03A82"/>
    <w:rsid w:val="00D15344"/>
    <w:rsid w:val="00D171CB"/>
    <w:rsid w:val="00D2125B"/>
    <w:rsid w:val="00D27421"/>
    <w:rsid w:val="00D31BEC"/>
    <w:rsid w:val="00D43A17"/>
    <w:rsid w:val="00D63150"/>
    <w:rsid w:val="00D64A32"/>
    <w:rsid w:val="00D64EFC"/>
    <w:rsid w:val="00D65882"/>
    <w:rsid w:val="00D66DCD"/>
    <w:rsid w:val="00D75295"/>
    <w:rsid w:val="00D76CE9"/>
    <w:rsid w:val="00D81EDA"/>
    <w:rsid w:val="00D90D7F"/>
    <w:rsid w:val="00D97F12"/>
    <w:rsid w:val="00DB0706"/>
    <w:rsid w:val="00DB42E7"/>
    <w:rsid w:val="00DD21B8"/>
    <w:rsid w:val="00DF32C2"/>
    <w:rsid w:val="00DF39AF"/>
    <w:rsid w:val="00E1485F"/>
    <w:rsid w:val="00E4348B"/>
    <w:rsid w:val="00E45867"/>
    <w:rsid w:val="00E471A7"/>
    <w:rsid w:val="00E635CF"/>
    <w:rsid w:val="00E67C06"/>
    <w:rsid w:val="00E718F2"/>
    <w:rsid w:val="00E93D1B"/>
    <w:rsid w:val="00EB5410"/>
    <w:rsid w:val="00EC6E0A"/>
    <w:rsid w:val="00ED4425"/>
    <w:rsid w:val="00ED4E18"/>
    <w:rsid w:val="00EE1F37"/>
    <w:rsid w:val="00F0159C"/>
    <w:rsid w:val="00F02B57"/>
    <w:rsid w:val="00F03107"/>
    <w:rsid w:val="00F105B7"/>
    <w:rsid w:val="00F14B75"/>
    <w:rsid w:val="00F17A21"/>
    <w:rsid w:val="00F44BEE"/>
    <w:rsid w:val="00F50E91"/>
    <w:rsid w:val="00F57D29"/>
    <w:rsid w:val="00F64C67"/>
    <w:rsid w:val="00F71EFD"/>
    <w:rsid w:val="00F92A99"/>
    <w:rsid w:val="00F945EC"/>
    <w:rsid w:val="00F96201"/>
    <w:rsid w:val="00F963C5"/>
    <w:rsid w:val="00FC16E7"/>
    <w:rsid w:val="00FC30E9"/>
    <w:rsid w:val="00FC787B"/>
    <w:rsid w:val="00FD0B18"/>
    <w:rsid w:val="00FD0B44"/>
    <w:rsid w:val="00FD0F82"/>
    <w:rsid w:val="00FE69CC"/>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12BC8F3"/>
  <w15:docId w15:val="{6BC9325B-70FA-4628-9058-A4D6C72A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paragraph" w:customStyle="1" w:styleId="Default">
    <w:name w:val="Default"/>
    <w:rsid w:val="009248C3"/>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thebalance.com/kimberly-amadeo-3305455" TargetMode="External"/><Relationship Id="rId2" Type="http://schemas.openxmlformats.org/officeDocument/2006/relationships/hyperlink" Target="http://raregoldnuggets.com/blog/?p=1886" TargetMode="External"/><Relationship Id="rId1" Type="http://schemas.openxmlformats.org/officeDocument/2006/relationships/hyperlink" Target="https://hbr.org/product/First-Quantum-Minerals-vs/an/112083-PDF-ENG" TargetMode="External"/><Relationship Id="rId4" Type="http://schemas.openxmlformats.org/officeDocument/2006/relationships/hyperlink" Target="https://www.forbes.com/sites/jamesgruber/2013/04/13/gold-opportunity-approache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katabaruka\Downloads\Kabi_Gold%20price%20and%20monetary%20polic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v>BAA share price (US$)</c:v>
          </c:tx>
          <c:spPr>
            <a:ln w="28575" cap="rnd" cmpd="sng" algn="ctr">
              <a:solidFill>
                <a:schemeClr val="dk1">
                  <a:tint val="88500"/>
                  <a:shade val="95000"/>
                  <a:satMod val="105000"/>
                </a:schemeClr>
              </a:solidFill>
              <a:prstDash val="solid"/>
              <a:round/>
            </a:ln>
            <a:effectLst/>
          </c:spPr>
          <c:marker>
            <c:symbol val="none"/>
          </c:marker>
          <c:cat>
            <c:numRef>
              <c:f>BAA!$A$2:$A$124</c:f>
              <c:numCache>
                <c:formatCode>m/d/yyyy</c:formatCode>
                <c:ptCount val="123"/>
                <c:pt idx="0">
                  <c:v>39083</c:v>
                </c:pt>
                <c:pt idx="1">
                  <c:v>39114</c:v>
                </c:pt>
                <c:pt idx="2">
                  <c:v>39142</c:v>
                </c:pt>
                <c:pt idx="3">
                  <c:v>39173</c:v>
                </c:pt>
                <c:pt idx="4">
                  <c:v>39203</c:v>
                </c:pt>
                <c:pt idx="5">
                  <c:v>39234</c:v>
                </c:pt>
                <c:pt idx="6">
                  <c:v>39264</c:v>
                </c:pt>
                <c:pt idx="7">
                  <c:v>39295</c:v>
                </c:pt>
                <c:pt idx="8">
                  <c:v>39326</c:v>
                </c:pt>
                <c:pt idx="9">
                  <c:v>39356</c:v>
                </c:pt>
                <c:pt idx="10">
                  <c:v>39387</c:v>
                </c:pt>
                <c:pt idx="11">
                  <c:v>39417</c:v>
                </c:pt>
                <c:pt idx="12">
                  <c:v>39448</c:v>
                </c:pt>
                <c:pt idx="13">
                  <c:v>39479</c:v>
                </c:pt>
                <c:pt idx="14">
                  <c:v>39508</c:v>
                </c:pt>
                <c:pt idx="15">
                  <c:v>39539</c:v>
                </c:pt>
                <c:pt idx="16">
                  <c:v>39569</c:v>
                </c:pt>
                <c:pt idx="17">
                  <c:v>39600</c:v>
                </c:pt>
                <c:pt idx="18">
                  <c:v>39630</c:v>
                </c:pt>
                <c:pt idx="19">
                  <c:v>39661</c:v>
                </c:pt>
                <c:pt idx="20">
                  <c:v>39692</c:v>
                </c:pt>
                <c:pt idx="21">
                  <c:v>39722</c:v>
                </c:pt>
                <c:pt idx="22">
                  <c:v>39753</c:v>
                </c:pt>
                <c:pt idx="23">
                  <c:v>39783</c:v>
                </c:pt>
                <c:pt idx="24">
                  <c:v>39814</c:v>
                </c:pt>
                <c:pt idx="25">
                  <c:v>39845</c:v>
                </c:pt>
                <c:pt idx="26">
                  <c:v>39873</c:v>
                </c:pt>
                <c:pt idx="27">
                  <c:v>39904</c:v>
                </c:pt>
                <c:pt idx="28">
                  <c:v>39934</c:v>
                </c:pt>
                <c:pt idx="29">
                  <c:v>39965</c:v>
                </c:pt>
                <c:pt idx="30">
                  <c:v>39995</c:v>
                </c:pt>
                <c:pt idx="31">
                  <c:v>40026</c:v>
                </c:pt>
                <c:pt idx="32">
                  <c:v>40057</c:v>
                </c:pt>
                <c:pt idx="33">
                  <c:v>40087</c:v>
                </c:pt>
                <c:pt idx="34">
                  <c:v>40118</c:v>
                </c:pt>
                <c:pt idx="35">
                  <c:v>40148</c:v>
                </c:pt>
                <c:pt idx="36">
                  <c:v>40179</c:v>
                </c:pt>
                <c:pt idx="37">
                  <c:v>40210</c:v>
                </c:pt>
                <c:pt idx="38">
                  <c:v>40238</c:v>
                </c:pt>
                <c:pt idx="39">
                  <c:v>40269</c:v>
                </c:pt>
                <c:pt idx="40">
                  <c:v>40299</c:v>
                </c:pt>
                <c:pt idx="41">
                  <c:v>40330</c:v>
                </c:pt>
                <c:pt idx="42">
                  <c:v>40360</c:v>
                </c:pt>
                <c:pt idx="43">
                  <c:v>40391</c:v>
                </c:pt>
                <c:pt idx="44">
                  <c:v>40422</c:v>
                </c:pt>
                <c:pt idx="45">
                  <c:v>40452</c:v>
                </c:pt>
                <c:pt idx="46">
                  <c:v>40483</c:v>
                </c:pt>
                <c:pt idx="47">
                  <c:v>40513</c:v>
                </c:pt>
                <c:pt idx="48">
                  <c:v>40544</c:v>
                </c:pt>
                <c:pt idx="49">
                  <c:v>40575</c:v>
                </c:pt>
                <c:pt idx="50">
                  <c:v>40603</c:v>
                </c:pt>
                <c:pt idx="51">
                  <c:v>40634</c:v>
                </c:pt>
                <c:pt idx="52">
                  <c:v>40664</c:v>
                </c:pt>
                <c:pt idx="53">
                  <c:v>40695</c:v>
                </c:pt>
                <c:pt idx="54">
                  <c:v>40725</c:v>
                </c:pt>
                <c:pt idx="55">
                  <c:v>40756</c:v>
                </c:pt>
                <c:pt idx="56">
                  <c:v>40787</c:v>
                </c:pt>
                <c:pt idx="57">
                  <c:v>40817</c:v>
                </c:pt>
                <c:pt idx="58">
                  <c:v>40848</c:v>
                </c:pt>
                <c:pt idx="59">
                  <c:v>40878</c:v>
                </c:pt>
                <c:pt idx="60">
                  <c:v>40909</c:v>
                </c:pt>
                <c:pt idx="61">
                  <c:v>40940</c:v>
                </c:pt>
                <c:pt idx="62">
                  <c:v>40969</c:v>
                </c:pt>
                <c:pt idx="63">
                  <c:v>41000</c:v>
                </c:pt>
                <c:pt idx="64">
                  <c:v>41030</c:v>
                </c:pt>
                <c:pt idx="65">
                  <c:v>41061</c:v>
                </c:pt>
                <c:pt idx="66">
                  <c:v>41091</c:v>
                </c:pt>
                <c:pt idx="67">
                  <c:v>41122</c:v>
                </c:pt>
                <c:pt idx="68">
                  <c:v>41153</c:v>
                </c:pt>
                <c:pt idx="69">
                  <c:v>41183</c:v>
                </c:pt>
                <c:pt idx="70">
                  <c:v>41214</c:v>
                </c:pt>
                <c:pt idx="71">
                  <c:v>41244</c:v>
                </c:pt>
                <c:pt idx="72">
                  <c:v>41275</c:v>
                </c:pt>
                <c:pt idx="73">
                  <c:v>41306</c:v>
                </c:pt>
                <c:pt idx="74">
                  <c:v>41334</c:v>
                </c:pt>
                <c:pt idx="75">
                  <c:v>41365</c:v>
                </c:pt>
                <c:pt idx="76">
                  <c:v>41395</c:v>
                </c:pt>
                <c:pt idx="77">
                  <c:v>41426</c:v>
                </c:pt>
                <c:pt idx="78">
                  <c:v>41456</c:v>
                </c:pt>
                <c:pt idx="79">
                  <c:v>41487</c:v>
                </c:pt>
                <c:pt idx="80">
                  <c:v>41518</c:v>
                </c:pt>
                <c:pt idx="81">
                  <c:v>41548</c:v>
                </c:pt>
                <c:pt idx="82">
                  <c:v>41579</c:v>
                </c:pt>
                <c:pt idx="83">
                  <c:v>41609</c:v>
                </c:pt>
                <c:pt idx="84">
                  <c:v>41640</c:v>
                </c:pt>
                <c:pt idx="85">
                  <c:v>41671</c:v>
                </c:pt>
                <c:pt idx="86">
                  <c:v>41699</c:v>
                </c:pt>
                <c:pt idx="87">
                  <c:v>41730</c:v>
                </c:pt>
                <c:pt idx="88">
                  <c:v>41760</c:v>
                </c:pt>
                <c:pt idx="89">
                  <c:v>41791</c:v>
                </c:pt>
                <c:pt idx="90">
                  <c:v>41821</c:v>
                </c:pt>
                <c:pt idx="91">
                  <c:v>41852</c:v>
                </c:pt>
                <c:pt idx="92">
                  <c:v>41883</c:v>
                </c:pt>
                <c:pt idx="93">
                  <c:v>41913</c:v>
                </c:pt>
                <c:pt idx="94">
                  <c:v>41944</c:v>
                </c:pt>
                <c:pt idx="95">
                  <c:v>41974</c:v>
                </c:pt>
                <c:pt idx="96">
                  <c:v>42005</c:v>
                </c:pt>
                <c:pt idx="97">
                  <c:v>42036</c:v>
                </c:pt>
                <c:pt idx="98">
                  <c:v>42064</c:v>
                </c:pt>
                <c:pt idx="99">
                  <c:v>42095</c:v>
                </c:pt>
                <c:pt idx="100">
                  <c:v>42125</c:v>
                </c:pt>
                <c:pt idx="101">
                  <c:v>42156</c:v>
                </c:pt>
                <c:pt idx="102">
                  <c:v>42186</c:v>
                </c:pt>
                <c:pt idx="103">
                  <c:v>42217</c:v>
                </c:pt>
                <c:pt idx="104">
                  <c:v>42248</c:v>
                </c:pt>
                <c:pt idx="105">
                  <c:v>42278</c:v>
                </c:pt>
                <c:pt idx="106">
                  <c:v>42309</c:v>
                </c:pt>
                <c:pt idx="107">
                  <c:v>42339</c:v>
                </c:pt>
                <c:pt idx="108">
                  <c:v>42370</c:v>
                </c:pt>
                <c:pt idx="109">
                  <c:v>42401</c:v>
                </c:pt>
                <c:pt idx="110">
                  <c:v>42430</c:v>
                </c:pt>
                <c:pt idx="111">
                  <c:v>42461</c:v>
                </c:pt>
                <c:pt idx="112">
                  <c:v>42491</c:v>
                </c:pt>
                <c:pt idx="113">
                  <c:v>42522</c:v>
                </c:pt>
                <c:pt idx="114">
                  <c:v>42552</c:v>
                </c:pt>
                <c:pt idx="115">
                  <c:v>42583</c:v>
                </c:pt>
                <c:pt idx="116">
                  <c:v>42614</c:v>
                </c:pt>
                <c:pt idx="117">
                  <c:v>42644</c:v>
                </c:pt>
                <c:pt idx="118">
                  <c:v>42675</c:v>
                </c:pt>
                <c:pt idx="119">
                  <c:v>42705</c:v>
                </c:pt>
                <c:pt idx="120">
                  <c:v>42736</c:v>
                </c:pt>
                <c:pt idx="121">
                  <c:v>42767</c:v>
                </c:pt>
                <c:pt idx="122">
                  <c:v>42795</c:v>
                </c:pt>
              </c:numCache>
            </c:numRef>
          </c:cat>
          <c:val>
            <c:numRef>
              <c:f>BAA!$I$2:$I$124</c:f>
              <c:numCache>
                <c:formatCode>General</c:formatCode>
                <c:ptCount val="123"/>
                <c:pt idx="0">
                  <c:v>11.79</c:v>
                </c:pt>
                <c:pt idx="1">
                  <c:v>11.78</c:v>
                </c:pt>
                <c:pt idx="2">
                  <c:v>11.7</c:v>
                </c:pt>
                <c:pt idx="3">
                  <c:v>9.9499999999999993</c:v>
                </c:pt>
                <c:pt idx="4">
                  <c:v>10.02</c:v>
                </c:pt>
                <c:pt idx="5">
                  <c:v>10.050000000000001</c:v>
                </c:pt>
                <c:pt idx="6">
                  <c:v>11.11</c:v>
                </c:pt>
                <c:pt idx="7">
                  <c:v>10.105</c:v>
                </c:pt>
                <c:pt idx="8">
                  <c:v>10.49</c:v>
                </c:pt>
                <c:pt idx="9">
                  <c:v>12.17</c:v>
                </c:pt>
                <c:pt idx="10">
                  <c:v>12.4</c:v>
                </c:pt>
                <c:pt idx="11">
                  <c:v>10.15</c:v>
                </c:pt>
                <c:pt idx="12">
                  <c:v>10.77</c:v>
                </c:pt>
                <c:pt idx="13">
                  <c:v>9.73</c:v>
                </c:pt>
                <c:pt idx="14">
                  <c:v>9.2750000000000004</c:v>
                </c:pt>
                <c:pt idx="15">
                  <c:v>8.2100000000000009</c:v>
                </c:pt>
                <c:pt idx="16">
                  <c:v>8.0749999999999993</c:v>
                </c:pt>
                <c:pt idx="17">
                  <c:v>7.46</c:v>
                </c:pt>
                <c:pt idx="18">
                  <c:v>5.5249999999999746</c:v>
                </c:pt>
                <c:pt idx="19">
                  <c:v>3.92</c:v>
                </c:pt>
                <c:pt idx="20">
                  <c:v>2.4649999999999999</c:v>
                </c:pt>
                <c:pt idx="21">
                  <c:v>1.7150000000000001</c:v>
                </c:pt>
                <c:pt idx="22">
                  <c:v>0.87</c:v>
                </c:pt>
                <c:pt idx="23">
                  <c:v>1.105</c:v>
                </c:pt>
                <c:pt idx="24">
                  <c:v>1.62</c:v>
                </c:pt>
                <c:pt idx="25">
                  <c:v>1.52</c:v>
                </c:pt>
                <c:pt idx="26">
                  <c:v>1.615</c:v>
                </c:pt>
                <c:pt idx="27">
                  <c:v>1.7450000000000001</c:v>
                </c:pt>
                <c:pt idx="28">
                  <c:v>1.63</c:v>
                </c:pt>
                <c:pt idx="29">
                  <c:v>2.29</c:v>
                </c:pt>
                <c:pt idx="30">
                  <c:v>1.79</c:v>
                </c:pt>
                <c:pt idx="31">
                  <c:v>2.165</c:v>
                </c:pt>
                <c:pt idx="32">
                  <c:v>2.2450000000000001</c:v>
                </c:pt>
                <c:pt idx="33">
                  <c:v>2.6150000000000002</c:v>
                </c:pt>
                <c:pt idx="34">
                  <c:v>2.3549999999999991</c:v>
                </c:pt>
                <c:pt idx="35">
                  <c:v>2.2250000000000001</c:v>
                </c:pt>
                <c:pt idx="36">
                  <c:v>2.0649999999999999</c:v>
                </c:pt>
                <c:pt idx="37">
                  <c:v>1.885</c:v>
                </c:pt>
                <c:pt idx="38">
                  <c:v>2.06</c:v>
                </c:pt>
                <c:pt idx="39">
                  <c:v>2.2400000000000002</c:v>
                </c:pt>
                <c:pt idx="40">
                  <c:v>2.13</c:v>
                </c:pt>
                <c:pt idx="41">
                  <c:v>1.87</c:v>
                </c:pt>
                <c:pt idx="42">
                  <c:v>1.89</c:v>
                </c:pt>
                <c:pt idx="43">
                  <c:v>1.7250000000000001</c:v>
                </c:pt>
                <c:pt idx="44">
                  <c:v>2.15</c:v>
                </c:pt>
                <c:pt idx="45">
                  <c:v>2.6549999999999998</c:v>
                </c:pt>
                <c:pt idx="46">
                  <c:v>2.99</c:v>
                </c:pt>
                <c:pt idx="47">
                  <c:v>3.39</c:v>
                </c:pt>
                <c:pt idx="48">
                  <c:v>3.77</c:v>
                </c:pt>
                <c:pt idx="49">
                  <c:v>3.2050000000000001</c:v>
                </c:pt>
                <c:pt idx="50">
                  <c:v>3.0750000000000002</c:v>
                </c:pt>
                <c:pt idx="51">
                  <c:v>3.0950000000000002</c:v>
                </c:pt>
                <c:pt idx="52">
                  <c:v>3.49</c:v>
                </c:pt>
                <c:pt idx="53">
                  <c:v>3.45</c:v>
                </c:pt>
                <c:pt idx="54">
                  <c:v>4.335</c:v>
                </c:pt>
                <c:pt idx="55">
                  <c:v>4.17</c:v>
                </c:pt>
                <c:pt idx="56">
                  <c:v>4.4400000000000004</c:v>
                </c:pt>
                <c:pt idx="57">
                  <c:v>3.895</c:v>
                </c:pt>
                <c:pt idx="58">
                  <c:v>3.88</c:v>
                </c:pt>
                <c:pt idx="59">
                  <c:v>3.39</c:v>
                </c:pt>
                <c:pt idx="60">
                  <c:v>4.4350000000000014</c:v>
                </c:pt>
                <c:pt idx="61">
                  <c:v>5.25</c:v>
                </c:pt>
                <c:pt idx="62">
                  <c:v>4.9450000000000003</c:v>
                </c:pt>
                <c:pt idx="63">
                  <c:v>4.26</c:v>
                </c:pt>
                <c:pt idx="64">
                  <c:v>4.0500000000000007</c:v>
                </c:pt>
                <c:pt idx="65">
                  <c:v>4.0350000000000001</c:v>
                </c:pt>
                <c:pt idx="66">
                  <c:v>3.68</c:v>
                </c:pt>
                <c:pt idx="67">
                  <c:v>4.18</c:v>
                </c:pt>
                <c:pt idx="68">
                  <c:v>4.6849999999999943</c:v>
                </c:pt>
                <c:pt idx="69">
                  <c:v>4.7</c:v>
                </c:pt>
                <c:pt idx="70">
                  <c:v>3.84</c:v>
                </c:pt>
                <c:pt idx="71">
                  <c:v>2.99</c:v>
                </c:pt>
                <c:pt idx="72">
                  <c:v>2.7050000000000001</c:v>
                </c:pt>
                <c:pt idx="73">
                  <c:v>2.5449999999999999</c:v>
                </c:pt>
                <c:pt idx="74">
                  <c:v>1.9750000000000001</c:v>
                </c:pt>
                <c:pt idx="75">
                  <c:v>1.38</c:v>
                </c:pt>
                <c:pt idx="76">
                  <c:v>1.1100000000000001</c:v>
                </c:pt>
                <c:pt idx="77">
                  <c:v>0.93</c:v>
                </c:pt>
                <c:pt idx="78">
                  <c:v>0.92500000000000004</c:v>
                </c:pt>
                <c:pt idx="79">
                  <c:v>0.95</c:v>
                </c:pt>
                <c:pt idx="80">
                  <c:v>0.74</c:v>
                </c:pt>
                <c:pt idx="81">
                  <c:v>0.74</c:v>
                </c:pt>
                <c:pt idx="82">
                  <c:v>0.75</c:v>
                </c:pt>
                <c:pt idx="83">
                  <c:v>0.54</c:v>
                </c:pt>
                <c:pt idx="84">
                  <c:v>0.6</c:v>
                </c:pt>
                <c:pt idx="85">
                  <c:v>0.58499999999999996</c:v>
                </c:pt>
                <c:pt idx="86">
                  <c:v>0.62</c:v>
                </c:pt>
                <c:pt idx="87">
                  <c:v>0.505</c:v>
                </c:pt>
                <c:pt idx="88">
                  <c:v>0.44500000000000001</c:v>
                </c:pt>
                <c:pt idx="89">
                  <c:v>0.45</c:v>
                </c:pt>
                <c:pt idx="90">
                  <c:v>0.36</c:v>
                </c:pt>
                <c:pt idx="91">
                  <c:v>0.24</c:v>
                </c:pt>
                <c:pt idx="92">
                  <c:v>0.20499999999999999</c:v>
                </c:pt>
                <c:pt idx="93">
                  <c:v>0.16</c:v>
                </c:pt>
                <c:pt idx="94">
                  <c:v>0.16</c:v>
                </c:pt>
                <c:pt idx="95">
                  <c:v>0.14499999999999999</c:v>
                </c:pt>
                <c:pt idx="96">
                  <c:v>0.155</c:v>
                </c:pt>
                <c:pt idx="97">
                  <c:v>0.19</c:v>
                </c:pt>
                <c:pt idx="98">
                  <c:v>0.20499999999999999</c:v>
                </c:pt>
                <c:pt idx="99">
                  <c:v>0.22</c:v>
                </c:pt>
                <c:pt idx="100">
                  <c:v>0.315</c:v>
                </c:pt>
                <c:pt idx="101">
                  <c:v>0.33</c:v>
                </c:pt>
                <c:pt idx="102">
                  <c:v>0.26500000000000001</c:v>
                </c:pt>
                <c:pt idx="103">
                  <c:v>0.21</c:v>
                </c:pt>
                <c:pt idx="104">
                  <c:v>0.17499999999999999</c:v>
                </c:pt>
                <c:pt idx="105">
                  <c:v>0.19500000000000001</c:v>
                </c:pt>
                <c:pt idx="106">
                  <c:v>0.185</c:v>
                </c:pt>
                <c:pt idx="107">
                  <c:v>0.18</c:v>
                </c:pt>
                <c:pt idx="108">
                  <c:v>0.185</c:v>
                </c:pt>
                <c:pt idx="109">
                  <c:v>0.24</c:v>
                </c:pt>
                <c:pt idx="110">
                  <c:v>0.28499999999999998</c:v>
                </c:pt>
                <c:pt idx="111">
                  <c:v>0.30499999999999999</c:v>
                </c:pt>
                <c:pt idx="112">
                  <c:v>0.33</c:v>
                </c:pt>
                <c:pt idx="113">
                  <c:v>0.3</c:v>
                </c:pt>
                <c:pt idx="114">
                  <c:v>0.39</c:v>
                </c:pt>
                <c:pt idx="115">
                  <c:v>0.36499999999999999</c:v>
                </c:pt>
                <c:pt idx="116">
                  <c:v>0.34</c:v>
                </c:pt>
                <c:pt idx="117">
                  <c:v>0.28000000000000003</c:v>
                </c:pt>
                <c:pt idx="118">
                  <c:v>0.23</c:v>
                </c:pt>
                <c:pt idx="119">
                  <c:v>0.18</c:v>
                </c:pt>
                <c:pt idx="120">
                  <c:v>0.17</c:v>
                </c:pt>
                <c:pt idx="121">
                  <c:v>0.155</c:v>
                </c:pt>
                <c:pt idx="122">
                  <c:v>0.125</c:v>
                </c:pt>
              </c:numCache>
            </c:numRef>
          </c:val>
          <c:smooth val="0"/>
        </c:ser>
        <c:dLbls>
          <c:showLegendKey val="0"/>
          <c:showVal val="0"/>
          <c:showCatName val="0"/>
          <c:showSerName val="0"/>
          <c:showPercent val="0"/>
          <c:showBubbleSize val="0"/>
        </c:dLbls>
        <c:smooth val="0"/>
        <c:axId val="127133912"/>
        <c:axId val="161322608"/>
      </c:lineChart>
      <c:dateAx>
        <c:axId val="127133912"/>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prstDash val="solid"/>
            <a:round/>
          </a:ln>
          <a:effectLst/>
        </c:spPr>
        <c:txPr>
          <a:bodyPr rot="-60000000" spcFirstLastPara="1" vertOverflow="ellipsis" vert="horz" wrap="square" anchor="ctr" anchorCtr="1"/>
          <a:lstStyle/>
          <a:p>
            <a:pPr>
              <a:defRPr lang="ja-JP" sz="1050" b="1" i="0" u="none" strike="noStrike" kern="1200" cap="none" spc="0" normalizeH="0" baseline="0">
                <a:solidFill>
                  <a:schemeClr val="dk1">
                    <a:lumMod val="65000"/>
                    <a:lumOff val="35000"/>
                  </a:schemeClr>
                </a:solidFill>
                <a:latin typeface="+mn-lt"/>
                <a:ea typeface="+mn-ea"/>
                <a:cs typeface="+mn-cs"/>
              </a:defRPr>
            </a:pPr>
            <a:endParaRPr lang="en-US"/>
          </a:p>
        </c:txPr>
        <c:crossAx val="161322608"/>
        <c:crosses val="autoZero"/>
        <c:auto val="1"/>
        <c:lblOffset val="100"/>
        <c:baseTimeUnit val="months"/>
      </c:dateAx>
      <c:valAx>
        <c:axId val="161322608"/>
        <c:scaling>
          <c:orientation val="minMax"/>
        </c:scaling>
        <c:delete val="0"/>
        <c:axPos val="l"/>
        <c:majorGridlines>
          <c:spPr>
            <a:ln w="9525" cap="flat" cmpd="sng" algn="ctr">
              <a:solidFill>
                <a:schemeClr val="dk1">
                  <a:lumMod val="15000"/>
                  <a:lumOff val="85000"/>
                  <a:alpha val="54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ja-JP" sz="1200" b="1" i="0" u="none" strike="noStrike" kern="1200" baseline="0">
                <a:solidFill>
                  <a:schemeClr val="dk1">
                    <a:lumMod val="65000"/>
                    <a:lumOff val="35000"/>
                  </a:schemeClr>
                </a:solidFill>
                <a:latin typeface="+mn-lt"/>
                <a:ea typeface="+mn-ea"/>
                <a:cs typeface="+mn-cs"/>
              </a:defRPr>
            </a:pPr>
            <a:endParaRPr lang="en-US"/>
          </a:p>
        </c:txPr>
        <c:crossAx val="127133912"/>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lang="ja-JP" sz="1200" b="1"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solidFill>
      <a:prstDash val="solid"/>
      <a:round/>
    </a:ln>
    <a:effectLst/>
  </c:spPr>
  <c:txPr>
    <a:bodyPr/>
    <a:lstStyle/>
    <a:p>
      <a:pPr>
        <a:defRPr sz="1200" b="1"/>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1"/>
          <c:order val="1"/>
          <c:tx>
            <c:v>PPI of Gold Ore Mining Industry (Index Jun 1985=100)</c:v>
          </c:tx>
          <c:spPr>
            <a:ln w="28575" cap="rnd" cmpd="sng" algn="ctr">
              <a:solidFill>
                <a:schemeClr val="dk1">
                  <a:tint val="55000"/>
                  <a:shade val="95000"/>
                  <a:satMod val="105000"/>
                </a:schemeClr>
              </a:solidFill>
              <a:prstDash val="solid"/>
              <a:round/>
            </a:ln>
            <a:effectLst/>
          </c:spPr>
          <c:marker>
            <c:symbol val="none"/>
          </c:marker>
          <c:cat>
            <c:strRef>
              <c:f>Combined!$A$12:$A$389</c:f>
              <c:strCache>
                <c:ptCount val="378"/>
                <c:pt idx="0">
                  <c:v>86</c:v>
                </c:pt>
                <c:pt idx="1">
                  <c:v>86</c:v>
                </c:pt>
                <c:pt idx="2">
                  <c:v>86</c:v>
                </c:pt>
                <c:pt idx="3">
                  <c:v>86</c:v>
                </c:pt>
                <c:pt idx="4">
                  <c:v>86</c:v>
                </c:pt>
                <c:pt idx="5">
                  <c:v>86</c:v>
                </c:pt>
                <c:pt idx="6">
                  <c:v>86</c:v>
                </c:pt>
                <c:pt idx="7">
                  <c:v>86</c:v>
                </c:pt>
                <c:pt idx="8">
                  <c:v>86</c:v>
                </c:pt>
                <c:pt idx="9">
                  <c:v>86</c:v>
                </c:pt>
                <c:pt idx="10">
                  <c:v>86</c:v>
                </c:pt>
                <c:pt idx="11">
                  <c:v>86</c:v>
                </c:pt>
                <c:pt idx="12">
                  <c:v>87</c:v>
                </c:pt>
                <c:pt idx="13">
                  <c:v>87</c:v>
                </c:pt>
                <c:pt idx="14">
                  <c:v>87</c:v>
                </c:pt>
                <c:pt idx="15">
                  <c:v>87</c:v>
                </c:pt>
                <c:pt idx="16">
                  <c:v>87</c:v>
                </c:pt>
                <c:pt idx="17">
                  <c:v>87</c:v>
                </c:pt>
                <c:pt idx="18">
                  <c:v>87</c:v>
                </c:pt>
                <c:pt idx="19">
                  <c:v>87</c:v>
                </c:pt>
                <c:pt idx="20">
                  <c:v>87</c:v>
                </c:pt>
                <c:pt idx="21">
                  <c:v>87</c:v>
                </c:pt>
                <c:pt idx="22">
                  <c:v>87</c:v>
                </c:pt>
                <c:pt idx="23">
                  <c:v>87</c:v>
                </c:pt>
                <c:pt idx="24">
                  <c:v>88</c:v>
                </c:pt>
                <c:pt idx="25">
                  <c:v>88</c:v>
                </c:pt>
                <c:pt idx="26">
                  <c:v>88</c:v>
                </c:pt>
                <c:pt idx="27">
                  <c:v>88</c:v>
                </c:pt>
                <c:pt idx="28">
                  <c:v>88</c:v>
                </c:pt>
                <c:pt idx="29">
                  <c:v>88</c:v>
                </c:pt>
                <c:pt idx="30">
                  <c:v>88</c:v>
                </c:pt>
                <c:pt idx="31">
                  <c:v>88</c:v>
                </c:pt>
                <c:pt idx="32">
                  <c:v>88</c:v>
                </c:pt>
                <c:pt idx="33">
                  <c:v>88</c:v>
                </c:pt>
                <c:pt idx="34">
                  <c:v>88</c:v>
                </c:pt>
                <c:pt idx="35">
                  <c:v>88</c:v>
                </c:pt>
                <c:pt idx="36">
                  <c:v>89</c:v>
                </c:pt>
                <c:pt idx="37">
                  <c:v>89</c:v>
                </c:pt>
                <c:pt idx="38">
                  <c:v>89</c:v>
                </c:pt>
                <c:pt idx="39">
                  <c:v>89</c:v>
                </c:pt>
                <c:pt idx="40">
                  <c:v>89</c:v>
                </c:pt>
                <c:pt idx="41">
                  <c:v>89</c:v>
                </c:pt>
                <c:pt idx="42">
                  <c:v>89</c:v>
                </c:pt>
                <c:pt idx="43">
                  <c:v>89</c:v>
                </c:pt>
                <c:pt idx="44">
                  <c:v>89</c:v>
                </c:pt>
                <c:pt idx="45">
                  <c:v>89</c:v>
                </c:pt>
                <c:pt idx="46">
                  <c:v>89</c:v>
                </c:pt>
                <c:pt idx="47">
                  <c:v>89</c:v>
                </c:pt>
                <c:pt idx="48">
                  <c:v>90</c:v>
                </c:pt>
                <c:pt idx="49">
                  <c:v>90</c:v>
                </c:pt>
                <c:pt idx="50">
                  <c:v>90</c:v>
                </c:pt>
                <c:pt idx="51">
                  <c:v>90</c:v>
                </c:pt>
                <c:pt idx="52">
                  <c:v>90</c:v>
                </c:pt>
                <c:pt idx="53">
                  <c:v>90</c:v>
                </c:pt>
                <c:pt idx="54">
                  <c:v>90</c:v>
                </c:pt>
                <c:pt idx="55">
                  <c:v>90</c:v>
                </c:pt>
                <c:pt idx="56">
                  <c:v>90</c:v>
                </c:pt>
                <c:pt idx="57">
                  <c:v>90</c:v>
                </c:pt>
                <c:pt idx="58">
                  <c:v>90</c:v>
                </c:pt>
                <c:pt idx="59">
                  <c:v>90</c:v>
                </c:pt>
                <c:pt idx="60">
                  <c:v>91</c:v>
                </c:pt>
                <c:pt idx="61">
                  <c:v>91</c:v>
                </c:pt>
                <c:pt idx="62">
                  <c:v>91</c:v>
                </c:pt>
                <c:pt idx="63">
                  <c:v>91</c:v>
                </c:pt>
                <c:pt idx="64">
                  <c:v>91</c:v>
                </c:pt>
                <c:pt idx="65">
                  <c:v>91</c:v>
                </c:pt>
                <c:pt idx="66">
                  <c:v>91</c:v>
                </c:pt>
                <c:pt idx="67">
                  <c:v>91</c:v>
                </c:pt>
                <c:pt idx="68">
                  <c:v>91</c:v>
                </c:pt>
                <c:pt idx="69">
                  <c:v>91</c:v>
                </c:pt>
                <c:pt idx="70">
                  <c:v>91</c:v>
                </c:pt>
                <c:pt idx="71">
                  <c:v>91</c:v>
                </c:pt>
                <c:pt idx="72">
                  <c:v>92</c:v>
                </c:pt>
                <c:pt idx="73">
                  <c:v>92</c:v>
                </c:pt>
                <c:pt idx="74">
                  <c:v>92</c:v>
                </c:pt>
                <c:pt idx="75">
                  <c:v>92</c:v>
                </c:pt>
                <c:pt idx="76">
                  <c:v>92</c:v>
                </c:pt>
                <c:pt idx="77">
                  <c:v>92</c:v>
                </c:pt>
                <c:pt idx="78">
                  <c:v>92</c:v>
                </c:pt>
                <c:pt idx="79">
                  <c:v>92</c:v>
                </c:pt>
                <c:pt idx="80">
                  <c:v>92</c:v>
                </c:pt>
                <c:pt idx="81">
                  <c:v>92</c:v>
                </c:pt>
                <c:pt idx="82">
                  <c:v>92</c:v>
                </c:pt>
                <c:pt idx="83">
                  <c:v>92</c:v>
                </c:pt>
                <c:pt idx="84">
                  <c:v>93</c:v>
                </c:pt>
                <c:pt idx="85">
                  <c:v>93</c:v>
                </c:pt>
                <c:pt idx="86">
                  <c:v>93</c:v>
                </c:pt>
                <c:pt idx="87">
                  <c:v>93</c:v>
                </c:pt>
                <c:pt idx="88">
                  <c:v>93</c:v>
                </c:pt>
                <c:pt idx="89">
                  <c:v>93</c:v>
                </c:pt>
                <c:pt idx="90">
                  <c:v>93</c:v>
                </c:pt>
                <c:pt idx="91">
                  <c:v>93</c:v>
                </c:pt>
                <c:pt idx="92">
                  <c:v>93</c:v>
                </c:pt>
                <c:pt idx="93">
                  <c:v>93</c:v>
                </c:pt>
                <c:pt idx="94">
                  <c:v>93</c:v>
                </c:pt>
                <c:pt idx="95">
                  <c:v>93</c:v>
                </c:pt>
                <c:pt idx="96">
                  <c:v>94</c:v>
                </c:pt>
                <c:pt idx="97">
                  <c:v>94</c:v>
                </c:pt>
                <c:pt idx="98">
                  <c:v>94</c:v>
                </c:pt>
                <c:pt idx="99">
                  <c:v>94</c:v>
                </c:pt>
                <c:pt idx="100">
                  <c:v>94</c:v>
                </c:pt>
                <c:pt idx="101">
                  <c:v>94</c:v>
                </c:pt>
                <c:pt idx="102">
                  <c:v>94</c:v>
                </c:pt>
                <c:pt idx="103">
                  <c:v>94</c:v>
                </c:pt>
                <c:pt idx="104">
                  <c:v>94</c:v>
                </c:pt>
                <c:pt idx="105">
                  <c:v>94</c:v>
                </c:pt>
                <c:pt idx="106">
                  <c:v>94</c:v>
                </c:pt>
                <c:pt idx="107">
                  <c:v>94</c:v>
                </c:pt>
                <c:pt idx="108">
                  <c:v>95</c:v>
                </c:pt>
                <c:pt idx="109">
                  <c:v>95</c:v>
                </c:pt>
                <c:pt idx="110">
                  <c:v>95</c:v>
                </c:pt>
                <c:pt idx="111">
                  <c:v>95</c:v>
                </c:pt>
                <c:pt idx="112">
                  <c:v>95</c:v>
                </c:pt>
                <c:pt idx="113">
                  <c:v>95</c:v>
                </c:pt>
                <c:pt idx="114">
                  <c:v>95</c:v>
                </c:pt>
                <c:pt idx="115">
                  <c:v>95</c:v>
                </c:pt>
                <c:pt idx="116">
                  <c:v>95</c:v>
                </c:pt>
                <c:pt idx="117">
                  <c:v>95</c:v>
                </c:pt>
                <c:pt idx="118">
                  <c:v>95</c:v>
                </c:pt>
                <c:pt idx="119">
                  <c:v>95</c:v>
                </c:pt>
                <c:pt idx="120">
                  <c:v>96</c:v>
                </c:pt>
                <c:pt idx="121">
                  <c:v>96</c:v>
                </c:pt>
                <c:pt idx="122">
                  <c:v>96</c:v>
                </c:pt>
                <c:pt idx="123">
                  <c:v>96</c:v>
                </c:pt>
                <c:pt idx="124">
                  <c:v>96</c:v>
                </c:pt>
                <c:pt idx="125">
                  <c:v>96</c:v>
                </c:pt>
                <c:pt idx="126">
                  <c:v>96</c:v>
                </c:pt>
                <c:pt idx="127">
                  <c:v>96</c:v>
                </c:pt>
                <c:pt idx="128">
                  <c:v>96</c:v>
                </c:pt>
                <c:pt idx="129">
                  <c:v>96</c:v>
                </c:pt>
                <c:pt idx="130">
                  <c:v>96</c:v>
                </c:pt>
                <c:pt idx="131">
                  <c:v>96</c:v>
                </c:pt>
                <c:pt idx="132">
                  <c:v>97</c:v>
                </c:pt>
                <c:pt idx="133">
                  <c:v>97</c:v>
                </c:pt>
                <c:pt idx="134">
                  <c:v>97</c:v>
                </c:pt>
                <c:pt idx="135">
                  <c:v>97</c:v>
                </c:pt>
                <c:pt idx="136">
                  <c:v>97</c:v>
                </c:pt>
                <c:pt idx="137">
                  <c:v>97</c:v>
                </c:pt>
                <c:pt idx="138">
                  <c:v>97</c:v>
                </c:pt>
                <c:pt idx="139">
                  <c:v>97</c:v>
                </c:pt>
                <c:pt idx="140">
                  <c:v>97</c:v>
                </c:pt>
                <c:pt idx="141">
                  <c:v>97</c:v>
                </c:pt>
                <c:pt idx="142">
                  <c:v>97</c:v>
                </c:pt>
                <c:pt idx="143">
                  <c:v>97</c:v>
                </c:pt>
                <c:pt idx="144">
                  <c:v>98</c:v>
                </c:pt>
                <c:pt idx="145">
                  <c:v>98</c:v>
                </c:pt>
                <c:pt idx="146">
                  <c:v>98</c:v>
                </c:pt>
                <c:pt idx="147">
                  <c:v>98</c:v>
                </c:pt>
                <c:pt idx="148">
                  <c:v>98</c:v>
                </c:pt>
                <c:pt idx="149">
                  <c:v>98</c:v>
                </c:pt>
                <c:pt idx="150">
                  <c:v>98</c:v>
                </c:pt>
                <c:pt idx="151">
                  <c:v>98</c:v>
                </c:pt>
                <c:pt idx="152">
                  <c:v>98</c:v>
                </c:pt>
                <c:pt idx="153">
                  <c:v>98</c:v>
                </c:pt>
                <c:pt idx="154">
                  <c:v>98</c:v>
                </c:pt>
                <c:pt idx="155">
                  <c:v>98</c:v>
                </c:pt>
                <c:pt idx="156">
                  <c:v>99</c:v>
                </c:pt>
                <c:pt idx="157">
                  <c:v>99</c:v>
                </c:pt>
                <c:pt idx="158">
                  <c:v>99</c:v>
                </c:pt>
                <c:pt idx="159">
                  <c:v>99</c:v>
                </c:pt>
                <c:pt idx="160">
                  <c:v>99</c:v>
                </c:pt>
                <c:pt idx="161">
                  <c:v>99</c:v>
                </c:pt>
                <c:pt idx="162">
                  <c:v>99</c:v>
                </c:pt>
                <c:pt idx="163">
                  <c:v>99</c:v>
                </c:pt>
                <c:pt idx="164">
                  <c:v>99</c:v>
                </c:pt>
                <c:pt idx="165">
                  <c:v>99</c:v>
                </c:pt>
                <c:pt idx="166">
                  <c:v>99</c:v>
                </c:pt>
                <c:pt idx="167">
                  <c:v>99</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01</c:v>
                </c:pt>
                <c:pt idx="181">
                  <c:v>01</c:v>
                </c:pt>
                <c:pt idx="182">
                  <c:v>01</c:v>
                </c:pt>
                <c:pt idx="183">
                  <c:v>01</c:v>
                </c:pt>
                <c:pt idx="184">
                  <c:v>01</c:v>
                </c:pt>
                <c:pt idx="185">
                  <c:v>01</c:v>
                </c:pt>
                <c:pt idx="186">
                  <c:v>01</c:v>
                </c:pt>
                <c:pt idx="187">
                  <c:v>01</c:v>
                </c:pt>
                <c:pt idx="188">
                  <c:v>01</c:v>
                </c:pt>
                <c:pt idx="189">
                  <c:v>01</c:v>
                </c:pt>
                <c:pt idx="190">
                  <c:v>01</c:v>
                </c:pt>
                <c:pt idx="191">
                  <c:v>01</c:v>
                </c:pt>
                <c:pt idx="192">
                  <c:v>02</c:v>
                </c:pt>
                <c:pt idx="193">
                  <c:v>02</c:v>
                </c:pt>
                <c:pt idx="194">
                  <c:v>02</c:v>
                </c:pt>
                <c:pt idx="195">
                  <c:v>02</c:v>
                </c:pt>
                <c:pt idx="196">
                  <c:v>02</c:v>
                </c:pt>
                <c:pt idx="197">
                  <c:v>02</c:v>
                </c:pt>
                <c:pt idx="198">
                  <c:v>02</c:v>
                </c:pt>
                <c:pt idx="199">
                  <c:v>02</c:v>
                </c:pt>
                <c:pt idx="200">
                  <c:v>02</c:v>
                </c:pt>
                <c:pt idx="201">
                  <c:v>02</c:v>
                </c:pt>
                <c:pt idx="202">
                  <c:v>02</c:v>
                </c:pt>
                <c:pt idx="203">
                  <c:v>02</c:v>
                </c:pt>
                <c:pt idx="204">
                  <c:v>03</c:v>
                </c:pt>
                <c:pt idx="205">
                  <c:v>03</c:v>
                </c:pt>
                <c:pt idx="206">
                  <c:v>03</c:v>
                </c:pt>
                <c:pt idx="207">
                  <c:v>03</c:v>
                </c:pt>
                <c:pt idx="208">
                  <c:v>03</c:v>
                </c:pt>
                <c:pt idx="209">
                  <c:v>03</c:v>
                </c:pt>
                <c:pt idx="210">
                  <c:v>03</c:v>
                </c:pt>
                <c:pt idx="211">
                  <c:v>03</c:v>
                </c:pt>
                <c:pt idx="212">
                  <c:v>03</c:v>
                </c:pt>
                <c:pt idx="213">
                  <c:v>03</c:v>
                </c:pt>
                <c:pt idx="214">
                  <c:v>03</c:v>
                </c:pt>
                <c:pt idx="215">
                  <c:v>03</c:v>
                </c:pt>
                <c:pt idx="216">
                  <c:v>04</c:v>
                </c:pt>
                <c:pt idx="217">
                  <c:v>04</c:v>
                </c:pt>
                <c:pt idx="218">
                  <c:v>04</c:v>
                </c:pt>
                <c:pt idx="219">
                  <c:v>04</c:v>
                </c:pt>
                <c:pt idx="220">
                  <c:v>04</c:v>
                </c:pt>
                <c:pt idx="221">
                  <c:v>04</c:v>
                </c:pt>
                <c:pt idx="222">
                  <c:v>04</c:v>
                </c:pt>
                <c:pt idx="223">
                  <c:v>04</c:v>
                </c:pt>
                <c:pt idx="224">
                  <c:v>04</c:v>
                </c:pt>
                <c:pt idx="225">
                  <c:v>04</c:v>
                </c:pt>
                <c:pt idx="226">
                  <c:v>04</c:v>
                </c:pt>
                <c:pt idx="227">
                  <c:v>04</c:v>
                </c:pt>
                <c:pt idx="228">
                  <c:v>05</c:v>
                </c:pt>
                <c:pt idx="229">
                  <c:v>05</c:v>
                </c:pt>
                <c:pt idx="230">
                  <c:v>05</c:v>
                </c:pt>
                <c:pt idx="231">
                  <c:v>05</c:v>
                </c:pt>
                <c:pt idx="232">
                  <c:v>05</c:v>
                </c:pt>
                <c:pt idx="233">
                  <c:v>05</c:v>
                </c:pt>
                <c:pt idx="234">
                  <c:v>05</c:v>
                </c:pt>
                <c:pt idx="235">
                  <c:v>05</c:v>
                </c:pt>
                <c:pt idx="236">
                  <c:v>05</c:v>
                </c:pt>
                <c:pt idx="237">
                  <c:v>05</c:v>
                </c:pt>
                <c:pt idx="238">
                  <c:v>05</c:v>
                </c:pt>
                <c:pt idx="239">
                  <c:v>05</c:v>
                </c:pt>
                <c:pt idx="240">
                  <c:v>06</c:v>
                </c:pt>
                <c:pt idx="241">
                  <c:v>06</c:v>
                </c:pt>
                <c:pt idx="242">
                  <c:v>06</c:v>
                </c:pt>
                <c:pt idx="243">
                  <c:v>06</c:v>
                </c:pt>
                <c:pt idx="244">
                  <c:v>06</c:v>
                </c:pt>
                <c:pt idx="245">
                  <c:v>06</c:v>
                </c:pt>
                <c:pt idx="246">
                  <c:v>06</c:v>
                </c:pt>
                <c:pt idx="247">
                  <c:v>06</c:v>
                </c:pt>
                <c:pt idx="248">
                  <c:v>06</c:v>
                </c:pt>
                <c:pt idx="249">
                  <c:v>06</c:v>
                </c:pt>
                <c:pt idx="250">
                  <c:v>06</c:v>
                </c:pt>
                <c:pt idx="251">
                  <c:v>06</c:v>
                </c:pt>
                <c:pt idx="252">
                  <c:v>07</c:v>
                </c:pt>
                <c:pt idx="253">
                  <c:v>07</c:v>
                </c:pt>
                <c:pt idx="254">
                  <c:v>07</c:v>
                </c:pt>
                <c:pt idx="255">
                  <c:v>07</c:v>
                </c:pt>
                <c:pt idx="256">
                  <c:v>07</c:v>
                </c:pt>
                <c:pt idx="257">
                  <c:v>07</c:v>
                </c:pt>
                <c:pt idx="258">
                  <c:v>07</c:v>
                </c:pt>
                <c:pt idx="259">
                  <c:v>07</c:v>
                </c:pt>
                <c:pt idx="260">
                  <c:v>07</c:v>
                </c:pt>
                <c:pt idx="261">
                  <c:v>07</c:v>
                </c:pt>
                <c:pt idx="262">
                  <c:v>07</c:v>
                </c:pt>
                <c:pt idx="263">
                  <c:v>07</c:v>
                </c:pt>
                <c:pt idx="264">
                  <c:v>08</c:v>
                </c:pt>
                <c:pt idx="265">
                  <c:v>08</c:v>
                </c:pt>
                <c:pt idx="266">
                  <c:v>08</c:v>
                </c:pt>
                <c:pt idx="267">
                  <c:v>08</c:v>
                </c:pt>
                <c:pt idx="268">
                  <c:v>08</c:v>
                </c:pt>
                <c:pt idx="269">
                  <c:v>08</c:v>
                </c:pt>
                <c:pt idx="270">
                  <c:v>08</c:v>
                </c:pt>
                <c:pt idx="271">
                  <c:v>08</c:v>
                </c:pt>
                <c:pt idx="272">
                  <c:v>08</c:v>
                </c:pt>
                <c:pt idx="273">
                  <c:v>08</c:v>
                </c:pt>
                <c:pt idx="274">
                  <c:v>08</c:v>
                </c:pt>
                <c:pt idx="275">
                  <c:v>08</c:v>
                </c:pt>
                <c:pt idx="276">
                  <c:v>09</c:v>
                </c:pt>
                <c:pt idx="277">
                  <c:v>09</c:v>
                </c:pt>
                <c:pt idx="278">
                  <c:v>09</c:v>
                </c:pt>
                <c:pt idx="279">
                  <c:v>09</c:v>
                </c:pt>
                <c:pt idx="280">
                  <c:v>09</c:v>
                </c:pt>
                <c:pt idx="281">
                  <c:v>09</c:v>
                </c:pt>
                <c:pt idx="282">
                  <c:v>09</c:v>
                </c:pt>
                <c:pt idx="283">
                  <c:v>09</c:v>
                </c:pt>
                <c:pt idx="284">
                  <c:v>09</c:v>
                </c:pt>
                <c:pt idx="285">
                  <c:v>09</c:v>
                </c:pt>
                <c:pt idx="286">
                  <c:v>09</c:v>
                </c:pt>
                <c:pt idx="287">
                  <c:v>09</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11</c:v>
                </c:pt>
                <c:pt idx="301">
                  <c:v>11</c:v>
                </c:pt>
                <c:pt idx="302">
                  <c:v>11</c:v>
                </c:pt>
                <c:pt idx="303">
                  <c:v>11</c:v>
                </c:pt>
                <c:pt idx="304">
                  <c:v>11</c:v>
                </c:pt>
                <c:pt idx="305">
                  <c:v>11</c:v>
                </c:pt>
                <c:pt idx="306">
                  <c:v>11</c:v>
                </c:pt>
                <c:pt idx="307">
                  <c:v>11</c:v>
                </c:pt>
                <c:pt idx="308">
                  <c:v>11</c:v>
                </c:pt>
                <c:pt idx="309">
                  <c:v>11</c:v>
                </c:pt>
                <c:pt idx="310">
                  <c:v>11</c:v>
                </c:pt>
                <c:pt idx="311">
                  <c:v>11</c:v>
                </c:pt>
                <c:pt idx="312">
                  <c:v>12</c:v>
                </c:pt>
                <c:pt idx="313">
                  <c:v>12</c:v>
                </c:pt>
                <c:pt idx="314">
                  <c:v>12</c:v>
                </c:pt>
                <c:pt idx="315">
                  <c:v>12</c:v>
                </c:pt>
                <c:pt idx="316">
                  <c:v>12</c:v>
                </c:pt>
                <c:pt idx="317">
                  <c:v>12</c:v>
                </c:pt>
                <c:pt idx="318">
                  <c:v>12</c:v>
                </c:pt>
                <c:pt idx="319">
                  <c:v>12</c:v>
                </c:pt>
                <c:pt idx="320">
                  <c:v>12</c:v>
                </c:pt>
                <c:pt idx="321">
                  <c:v>12</c:v>
                </c:pt>
                <c:pt idx="322">
                  <c:v>12</c:v>
                </c:pt>
                <c:pt idx="323">
                  <c:v>12</c:v>
                </c:pt>
                <c:pt idx="324">
                  <c:v>13</c:v>
                </c:pt>
                <c:pt idx="325">
                  <c:v>13</c:v>
                </c:pt>
                <c:pt idx="326">
                  <c:v>13</c:v>
                </c:pt>
                <c:pt idx="327">
                  <c:v>13</c:v>
                </c:pt>
                <c:pt idx="328">
                  <c:v>13</c:v>
                </c:pt>
                <c:pt idx="329">
                  <c:v>13</c:v>
                </c:pt>
                <c:pt idx="330">
                  <c:v>13</c:v>
                </c:pt>
                <c:pt idx="331">
                  <c:v>13</c:v>
                </c:pt>
                <c:pt idx="332">
                  <c:v>13</c:v>
                </c:pt>
                <c:pt idx="333">
                  <c:v>13</c:v>
                </c:pt>
                <c:pt idx="334">
                  <c:v>13</c:v>
                </c:pt>
                <c:pt idx="335">
                  <c:v>13</c:v>
                </c:pt>
                <c:pt idx="336">
                  <c:v>14</c:v>
                </c:pt>
                <c:pt idx="337">
                  <c:v>14</c:v>
                </c:pt>
                <c:pt idx="338">
                  <c:v>14</c:v>
                </c:pt>
                <c:pt idx="339">
                  <c:v>14</c:v>
                </c:pt>
                <c:pt idx="340">
                  <c:v>14</c:v>
                </c:pt>
                <c:pt idx="341">
                  <c:v>14</c:v>
                </c:pt>
                <c:pt idx="342">
                  <c:v>14</c:v>
                </c:pt>
                <c:pt idx="343">
                  <c:v>14</c:v>
                </c:pt>
                <c:pt idx="344">
                  <c:v>14</c:v>
                </c:pt>
                <c:pt idx="345">
                  <c:v>14</c:v>
                </c:pt>
                <c:pt idx="346">
                  <c:v>14</c:v>
                </c:pt>
                <c:pt idx="347">
                  <c:v>14</c:v>
                </c:pt>
                <c:pt idx="348">
                  <c:v>15</c:v>
                </c:pt>
                <c:pt idx="349">
                  <c:v>15</c:v>
                </c:pt>
                <c:pt idx="350">
                  <c:v>15</c:v>
                </c:pt>
                <c:pt idx="351">
                  <c:v>15</c:v>
                </c:pt>
                <c:pt idx="352">
                  <c:v>15</c:v>
                </c:pt>
                <c:pt idx="353">
                  <c:v>15</c:v>
                </c:pt>
                <c:pt idx="354">
                  <c:v>15</c:v>
                </c:pt>
                <c:pt idx="355">
                  <c:v>15</c:v>
                </c:pt>
                <c:pt idx="356">
                  <c:v>15</c:v>
                </c:pt>
                <c:pt idx="357">
                  <c:v>15</c:v>
                </c:pt>
                <c:pt idx="358">
                  <c:v>15</c:v>
                </c:pt>
                <c:pt idx="359">
                  <c:v>15</c:v>
                </c:pt>
                <c:pt idx="360">
                  <c:v>16</c:v>
                </c:pt>
                <c:pt idx="361">
                  <c:v>16</c:v>
                </c:pt>
                <c:pt idx="362">
                  <c:v>16</c:v>
                </c:pt>
                <c:pt idx="363">
                  <c:v>16</c:v>
                </c:pt>
                <c:pt idx="364">
                  <c:v>16</c:v>
                </c:pt>
                <c:pt idx="365">
                  <c:v>16</c:v>
                </c:pt>
                <c:pt idx="366">
                  <c:v>16</c:v>
                </c:pt>
                <c:pt idx="367">
                  <c:v>16</c:v>
                </c:pt>
                <c:pt idx="368">
                  <c:v>16</c:v>
                </c:pt>
                <c:pt idx="369">
                  <c:v>16</c:v>
                </c:pt>
                <c:pt idx="370">
                  <c:v>16</c:v>
                </c:pt>
                <c:pt idx="371">
                  <c:v>16</c:v>
                </c:pt>
                <c:pt idx="372">
                  <c:v>17</c:v>
                </c:pt>
                <c:pt idx="373">
                  <c:v>17</c:v>
                </c:pt>
                <c:pt idx="374">
                  <c:v>17</c:v>
                </c:pt>
                <c:pt idx="375">
                  <c:v>17</c:v>
                </c:pt>
                <c:pt idx="376">
                  <c:v>17</c:v>
                </c:pt>
                <c:pt idx="377">
                  <c:v>17</c:v>
                </c:pt>
              </c:strCache>
            </c:strRef>
          </c:cat>
          <c:val>
            <c:numRef>
              <c:f>Combined!$D$12:$D$389</c:f>
              <c:numCache>
                <c:formatCode>General</c:formatCode>
                <c:ptCount val="378"/>
                <c:pt idx="0">
                  <c:v>96.9</c:v>
                </c:pt>
                <c:pt idx="1">
                  <c:v>100.2</c:v>
                </c:pt>
                <c:pt idx="2">
                  <c:v>102.9</c:v>
                </c:pt>
                <c:pt idx="3">
                  <c:v>101.2</c:v>
                </c:pt>
                <c:pt idx="4">
                  <c:v>104.4</c:v>
                </c:pt>
                <c:pt idx="5">
                  <c:v>102.9</c:v>
                </c:pt>
                <c:pt idx="6">
                  <c:v>100.7</c:v>
                </c:pt>
                <c:pt idx="7">
                  <c:v>106.7</c:v>
                </c:pt>
                <c:pt idx="8">
                  <c:v>108.1</c:v>
                </c:pt>
                <c:pt idx="9">
                  <c:v>112.7</c:v>
                </c:pt>
                <c:pt idx="10">
                  <c:v>113.6</c:v>
                </c:pt>
                <c:pt idx="11">
                  <c:v>107.5</c:v>
                </c:pt>
                <c:pt idx="12">
                  <c:v>114.7</c:v>
                </c:pt>
                <c:pt idx="13">
                  <c:v>122.2</c:v>
                </c:pt>
                <c:pt idx="14">
                  <c:v>120.4</c:v>
                </c:pt>
                <c:pt idx="15">
                  <c:v>125.4</c:v>
                </c:pt>
                <c:pt idx="16">
                  <c:v>128.4</c:v>
                </c:pt>
                <c:pt idx="17">
                  <c:v>136.80000000000001</c:v>
                </c:pt>
                <c:pt idx="18">
                  <c:v>135.80000000000001</c:v>
                </c:pt>
                <c:pt idx="19">
                  <c:v>135.4</c:v>
                </c:pt>
                <c:pt idx="20">
                  <c:v>136.9</c:v>
                </c:pt>
                <c:pt idx="21">
                  <c:v>136.4</c:v>
                </c:pt>
                <c:pt idx="22">
                  <c:v>136.9</c:v>
                </c:pt>
                <c:pt idx="23">
                  <c:v>139.1</c:v>
                </c:pt>
                <c:pt idx="24">
                  <c:v>140.9</c:v>
                </c:pt>
                <c:pt idx="25">
                  <c:v>138.19999999999999</c:v>
                </c:pt>
                <c:pt idx="26">
                  <c:v>133.9</c:v>
                </c:pt>
                <c:pt idx="27">
                  <c:v>133.30000000000001</c:v>
                </c:pt>
                <c:pt idx="28">
                  <c:v>133.19999999999999</c:v>
                </c:pt>
                <c:pt idx="29">
                  <c:v>133.19999999999999</c:v>
                </c:pt>
                <c:pt idx="30">
                  <c:v>130</c:v>
                </c:pt>
                <c:pt idx="31">
                  <c:v>126</c:v>
                </c:pt>
                <c:pt idx="32">
                  <c:v>124</c:v>
                </c:pt>
                <c:pt idx="33">
                  <c:v>120.5</c:v>
                </c:pt>
                <c:pt idx="34">
                  <c:v>121.1</c:v>
                </c:pt>
                <c:pt idx="35">
                  <c:v>122</c:v>
                </c:pt>
                <c:pt idx="36">
                  <c:v>119.7</c:v>
                </c:pt>
                <c:pt idx="37">
                  <c:v>116.3</c:v>
                </c:pt>
                <c:pt idx="38">
                  <c:v>116.1</c:v>
                </c:pt>
                <c:pt idx="39">
                  <c:v>116.2</c:v>
                </c:pt>
                <c:pt idx="40">
                  <c:v>115.2</c:v>
                </c:pt>
                <c:pt idx="41">
                  <c:v>112.6</c:v>
                </c:pt>
                <c:pt idx="42">
                  <c:v>112.3</c:v>
                </c:pt>
                <c:pt idx="43">
                  <c:v>112.2</c:v>
                </c:pt>
                <c:pt idx="44">
                  <c:v>110.1</c:v>
                </c:pt>
                <c:pt idx="45">
                  <c:v>109.6</c:v>
                </c:pt>
                <c:pt idx="46">
                  <c:v>110.3</c:v>
                </c:pt>
                <c:pt idx="47">
                  <c:v>119.7</c:v>
                </c:pt>
                <c:pt idx="48">
                  <c:v>120</c:v>
                </c:pt>
                <c:pt idx="49">
                  <c:v>117.3</c:v>
                </c:pt>
                <c:pt idx="50">
                  <c:v>118.5</c:v>
                </c:pt>
                <c:pt idx="51">
                  <c:v>114.2</c:v>
                </c:pt>
                <c:pt idx="52">
                  <c:v>112</c:v>
                </c:pt>
                <c:pt idx="53">
                  <c:v>108.6</c:v>
                </c:pt>
                <c:pt idx="54">
                  <c:v>106.6</c:v>
                </c:pt>
                <c:pt idx="55">
                  <c:v>111.3</c:v>
                </c:pt>
                <c:pt idx="56">
                  <c:v>116.9</c:v>
                </c:pt>
                <c:pt idx="57">
                  <c:v>117.3</c:v>
                </c:pt>
                <c:pt idx="58">
                  <c:v>111.2</c:v>
                </c:pt>
                <c:pt idx="59">
                  <c:v>111.9</c:v>
                </c:pt>
                <c:pt idx="60">
                  <c:v>115.8</c:v>
                </c:pt>
                <c:pt idx="61">
                  <c:v>110.8</c:v>
                </c:pt>
                <c:pt idx="62">
                  <c:v>107.9</c:v>
                </c:pt>
                <c:pt idx="63">
                  <c:v>107.5</c:v>
                </c:pt>
                <c:pt idx="64">
                  <c:v>105.3</c:v>
                </c:pt>
                <c:pt idx="65">
                  <c:v>105.8</c:v>
                </c:pt>
                <c:pt idx="66">
                  <c:v>108.2</c:v>
                </c:pt>
                <c:pt idx="67">
                  <c:v>109.2</c:v>
                </c:pt>
                <c:pt idx="68">
                  <c:v>105.4</c:v>
                </c:pt>
                <c:pt idx="69">
                  <c:v>104.7</c:v>
                </c:pt>
                <c:pt idx="70">
                  <c:v>106.2</c:v>
                </c:pt>
                <c:pt idx="71">
                  <c:v>109.5</c:v>
                </c:pt>
                <c:pt idx="72">
                  <c:v>106.4</c:v>
                </c:pt>
                <c:pt idx="73">
                  <c:v>106.4</c:v>
                </c:pt>
                <c:pt idx="74">
                  <c:v>106.9</c:v>
                </c:pt>
                <c:pt idx="75">
                  <c:v>103.9</c:v>
                </c:pt>
                <c:pt idx="76">
                  <c:v>102.4</c:v>
                </c:pt>
                <c:pt idx="77">
                  <c:v>103.9</c:v>
                </c:pt>
                <c:pt idx="78">
                  <c:v>104</c:v>
                </c:pt>
                <c:pt idx="79">
                  <c:v>105.7</c:v>
                </c:pt>
                <c:pt idx="80">
                  <c:v>105.2</c:v>
                </c:pt>
                <c:pt idx="81">
                  <c:v>105.5</c:v>
                </c:pt>
                <c:pt idx="82">
                  <c:v>103.3</c:v>
                </c:pt>
                <c:pt idx="83">
                  <c:v>101.7</c:v>
                </c:pt>
                <c:pt idx="84">
                  <c:v>100.8</c:v>
                </c:pt>
                <c:pt idx="85">
                  <c:v>98.9</c:v>
                </c:pt>
                <c:pt idx="86">
                  <c:v>98.9</c:v>
                </c:pt>
                <c:pt idx="87">
                  <c:v>100.1</c:v>
                </c:pt>
                <c:pt idx="88">
                  <c:v>103.5</c:v>
                </c:pt>
                <c:pt idx="89">
                  <c:v>109.2</c:v>
                </c:pt>
                <c:pt idx="90">
                  <c:v>111.9</c:v>
                </c:pt>
                <c:pt idx="91">
                  <c:v>113.2</c:v>
                </c:pt>
                <c:pt idx="92">
                  <c:v>108.3</c:v>
                </c:pt>
                <c:pt idx="93">
                  <c:v>106.5</c:v>
                </c:pt>
                <c:pt idx="94">
                  <c:v>109.2</c:v>
                </c:pt>
                <c:pt idx="95">
                  <c:v>111.6</c:v>
                </c:pt>
                <c:pt idx="96">
                  <c:v>112.6</c:v>
                </c:pt>
                <c:pt idx="97">
                  <c:v>113.3</c:v>
                </c:pt>
                <c:pt idx="98">
                  <c:v>112.5</c:v>
                </c:pt>
                <c:pt idx="99">
                  <c:v>112</c:v>
                </c:pt>
                <c:pt idx="100">
                  <c:v>111.8</c:v>
                </c:pt>
                <c:pt idx="101">
                  <c:v>113.8</c:v>
                </c:pt>
                <c:pt idx="102">
                  <c:v>116.8</c:v>
                </c:pt>
                <c:pt idx="103">
                  <c:v>116.3</c:v>
                </c:pt>
                <c:pt idx="104">
                  <c:v>116.7</c:v>
                </c:pt>
                <c:pt idx="105">
                  <c:v>118.2</c:v>
                </c:pt>
                <c:pt idx="106">
                  <c:v>117.3</c:v>
                </c:pt>
                <c:pt idx="107">
                  <c:v>114.7</c:v>
                </c:pt>
                <c:pt idx="108">
                  <c:v>113.9</c:v>
                </c:pt>
                <c:pt idx="109">
                  <c:v>113.9</c:v>
                </c:pt>
                <c:pt idx="110">
                  <c:v>114.5</c:v>
                </c:pt>
                <c:pt idx="111">
                  <c:v>116.6</c:v>
                </c:pt>
                <c:pt idx="112">
                  <c:v>118</c:v>
                </c:pt>
                <c:pt idx="113">
                  <c:v>116.5</c:v>
                </c:pt>
                <c:pt idx="114">
                  <c:v>116.4</c:v>
                </c:pt>
                <c:pt idx="115">
                  <c:v>116</c:v>
                </c:pt>
                <c:pt idx="116">
                  <c:v>115.4</c:v>
                </c:pt>
                <c:pt idx="117">
                  <c:v>116.1</c:v>
                </c:pt>
                <c:pt idx="118">
                  <c:v>116.3</c:v>
                </c:pt>
                <c:pt idx="119">
                  <c:v>116.6</c:v>
                </c:pt>
                <c:pt idx="120">
                  <c:v>118.4</c:v>
                </c:pt>
                <c:pt idx="121">
                  <c:v>122.2</c:v>
                </c:pt>
                <c:pt idx="122">
                  <c:v>119.5</c:v>
                </c:pt>
                <c:pt idx="123">
                  <c:v>119</c:v>
                </c:pt>
                <c:pt idx="124">
                  <c:v>118.1</c:v>
                </c:pt>
                <c:pt idx="125">
                  <c:v>116.6</c:v>
                </c:pt>
                <c:pt idx="126">
                  <c:v>115.6</c:v>
                </c:pt>
                <c:pt idx="127">
                  <c:v>116.9</c:v>
                </c:pt>
                <c:pt idx="128">
                  <c:v>115.8</c:v>
                </c:pt>
                <c:pt idx="129">
                  <c:v>115.1</c:v>
                </c:pt>
                <c:pt idx="130">
                  <c:v>115.2</c:v>
                </c:pt>
                <c:pt idx="131">
                  <c:v>111.7</c:v>
                </c:pt>
                <c:pt idx="132">
                  <c:v>108.4</c:v>
                </c:pt>
                <c:pt idx="133">
                  <c:v>103.7</c:v>
                </c:pt>
                <c:pt idx="134">
                  <c:v>106.9</c:v>
                </c:pt>
                <c:pt idx="135">
                  <c:v>104.7</c:v>
                </c:pt>
                <c:pt idx="136">
                  <c:v>105.6</c:v>
                </c:pt>
                <c:pt idx="137">
                  <c:v>104.4</c:v>
                </c:pt>
                <c:pt idx="138">
                  <c:v>97.3</c:v>
                </c:pt>
                <c:pt idx="139">
                  <c:v>99.2</c:v>
                </c:pt>
                <c:pt idx="140">
                  <c:v>98</c:v>
                </c:pt>
                <c:pt idx="141">
                  <c:v>99.9</c:v>
                </c:pt>
                <c:pt idx="142">
                  <c:v>95.2</c:v>
                </c:pt>
                <c:pt idx="143">
                  <c:v>87.9</c:v>
                </c:pt>
                <c:pt idx="144">
                  <c:v>86.3</c:v>
                </c:pt>
                <c:pt idx="145">
                  <c:v>91.7</c:v>
                </c:pt>
                <c:pt idx="146">
                  <c:v>90.9</c:v>
                </c:pt>
                <c:pt idx="147">
                  <c:v>93.6</c:v>
                </c:pt>
                <c:pt idx="148">
                  <c:v>91.7</c:v>
                </c:pt>
                <c:pt idx="149">
                  <c:v>90.9</c:v>
                </c:pt>
                <c:pt idx="150">
                  <c:v>90.5</c:v>
                </c:pt>
                <c:pt idx="151">
                  <c:v>86.9</c:v>
                </c:pt>
                <c:pt idx="152">
                  <c:v>88</c:v>
                </c:pt>
                <c:pt idx="153">
                  <c:v>90.2</c:v>
                </c:pt>
                <c:pt idx="154">
                  <c:v>89.9</c:v>
                </c:pt>
                <c:pt idx="155">
                  <c:v>89.8</c:v>
                </c:pt>
                <c:pt idx="156">
                  <c:v>88.1</c:v>
                </c:pt>
                <c:pt idx="157">
                  <c:v>89</c:v>
                </c:pt>
                <c:pt idx="158">
                  <c:v>88.8</c:v>
                </c:pt>
                <c:pt idx="159">
                  <c:v>87.5</c:v>
                </c:pt>
                <c:pt idx="160">
                  <c:v>86.9</c:v>
                </c:pt>
                <c:pt idx="161">
                  <c:v>80.099999999999994</c:v>
                </c:pt>
                <c:pt idx="162">
                  <c:v>79.900000000000006</c:v>
                </c:pt>
                <c:pt idx="163">
                  <c:v>80.099999999999994</c:v>
                </c:pt>
                <c:pt idx="164">
                  <c:v>79.099999999999994</c:v>
                </c:pt>
                <c:pt idx="165">
                  <c:v>96</c:v>
                </c:pt>
                <c:pt idx="166">
                  <c:v>87.5</c:v>
                </c:pt>
                <c:pt idx="167">
                  <c:v>84.4</c:v>
                </c:pt>
                <c:pt idx="168">
                  <c:v>84.9</c:v>
                </c:pt>
                <c:pt idx="169">
                  <c:v>90.4</c:v>
                </c:pt>
                <c:pt idx="170">
                  <c:v>87</c:v>
                </c:pt>
                <c:pt idx="171">
                  <c:v>84.5</c:v>
                </c:pt>
                <c:pt idx="172">
                  <c:v>83.5</c:v>
                </c:pt>
                <c:pt idx="173">
                  <c:v>86.8</c:v>
                </c:pt>
                <c:pt idx="174">
                  <c:v>84.9</c:v>
                </c:pt>
                <c:pt idx="175">
                  <c:v>82.5</c:v>
                </c:pt>
                <c:pt idx="176">
                  <c:v>82.6</c:v>
                </c:pt>
                <c:pt idx="177">
                  <c:v>81.099999999999994</c:v>
                </c:pt>
                <c:pt idx="178">
                  <c:v>79.8</c:v>
                </c:pt>
                <c:pt idx="179">
                  <c:v>81.7</c:v>
                </c:pt>
                <c:pt idx="180">
                  <c:v>79.8</c:v>
                </c:pt>
                <c:pt idx="181">
                  <c:v>78.900000000000006</c:v>
                </c:pt>
                <c:pt idx="182">
                  <c:v>81.3</c:v>
                </c:pt>
                <c:pt idx="183">
                  <c:v>76.900000000000006</c:v>
                </c:pt>
                <c:pt idx="184">
                  <c:v>80.599999999999994</c:v>
                </c:pt>
                <c:pt idx="185">
                  <c:v>81.099999999999994</c:v>
                </c:pt>
                <c:pt idx="186">
                  <c:v>80.3</c:v>
                </c:pt>
                <c:pt idx="187">
                  <c:v>82.6</c:v>
                </c:pt>
                <c:pt idx="188">
                  <c:v>85.3</c:v>
                </c:pt>
                <c:pt idx="189">
                  <c:v>85.6</c:v>
                </c:pt>
                <c:pt idx="190">
                  <c:v>83.4</c:v>
                </c:pt>
                <c:pt idx="191">
                  <c:v>81.5</c:v>
                </c:pt>
                <c:pt idx="192">
                  <c:v>85.2</c:v>
                </c:pt>
                <c:pt idx="193">
                  <c:v>89.3</c:v>
                </c:pt>
                <c:pt idx="194">
                  <c:v>88.1</c:v>
                </c:pt>
                <c:pt idx="195">
                  <c:v>89.6</c:v>
                </c:pt>
                <c:pt idx="196">
                  <c:v>92.2</c:v>
                </c:pt>
                <c:pt idx="197">
                  <c:v>94.7</c:v>
                </c:pt>
                <c:pt idx="198">
                  <c:v>93.9</c:v>
                </c:pt>
                <c:pt idx="199">
                  <c:v>93.1</c:v>
                </c:pt>
                <c:pt idx="200">
                  <c:v>95.6</c:v>
                </c:pt>
                <c:pt idx="201">
                  <c:v>94.8</c:v>
                </c:pt>
                <c:pt idx="202">
                  <c:v>94.9</c:v>
                </c:pt>
                <c:pt idx="203">
                  <c:v>96.8</c:v>
                </c:pt>
                <c:pt idx="204">
                  <c:v>104.1</c:v>
                </c:pt>
                <c:pt idx="205">
                  <c:v>109.7</c:v>
                </c:pt>
                <c:pt idx="206">
                  <c:v>103.8</c:v>
                </c:pt>
                <c:pt idx="207">
                  <c:v>96.8</c:v>
                </c:pt>
                <c:pt idx="208">
                  <c:v>103.1</c:v>
                </c:pt>
                <c:pt idx="209">
                  <c:v>106.3</c:v>
                </c:pt>
                <c:pt idx="210">
                  <c:v>103.2</c:v>
                </c:pt>
                <c:pt idx="211">
                  <c:v>106.6</c:v>
                </c:pt>
                <c:pt idx="212">
                  <c:v>113.1</c:v>
                </c:pt>
                <c:pt idx="213">
                  <c:v>111.5</c:v>
                </c:pt>
                <c:pt idx="214">
                  <c:v>114.4</c:v>
                </c:pt>
                <c:pt idx="215">
                  <c:v>120.1</c:v>
                </c:pt>
                <c:pt idx="216">
                  <c:v>125.6</c:v>
                </c:pt>
                <c:pt idx="217">
                  <c:v>121</c:v>
                </c:pt>
                <c:pt idx="218">
                  <c:v>119.2</c:v>
                </c:pt>
                <c:pt idx="219">
                  <c:v>122.9</c:v>
                </c:pt>
                <c:pt idx="220">
                  <c:v>112.8</c:v>
                </c:pt>
                <c:pt idx="221">
                  <c:v>114.2</c:v>
                </c:pt>
                <c:pt idx="222">
                  <c:v>119.8</c:v>
                </c:pt>
                <c:pt idx="223">
                  <c:v>118.1</c:v>
                </c:pt>
                <c:pt idx="224">
                  <c:v>120.2</c:v>
                </c:pt>
                <c:pt idx="225">
                  <c:v>124.1</c:v>
                </c:pt>
                <c:pt idx="226">
                  <c:v>129.1</c:v>
                </c:pt>
                <c:pt idx="227">
                  <c:v>130.80000000000001</c:v>
                </c:pt>
                <c:pt idx="228">
                  <c:v>125.8</c:v>
                </c:pt>
                <c:pt idx="229">
                  <c:v>124.5</c:v>
                </c:pt>
                <c:pt idx="230">
                  <c:v>131</c:v>
                </c:pt>
                <c:pt idx="231">
                  <c:v>126.3</c:v>
                </c:pt>
                <c:pt idx="232">
                  <c:v>126.2</c:v>
                </c:pt>
                <c:pt idx="233">
                  <c:v>124.9</c:v>
                </c:pt>
                <c:pt idx="234">
                  <c:v>125.4</c:v>
                </c:pt>
                <c:pt idx="235">
                  <c:v>131.6</c:v>
                </c:pt>
                <c:pt idx="236">
                  <c:v>132.9</c:v>
                </c:pt>
                <c:pt idx="237">
                  <c:v>138.6</c:v>
                </c:pt>
                <c:pt idx="238">
                  <c:v>138</c:v>
                </c:pt>
                <c:pt idx="239">
                  <c:v>154.1</c:v>
                </c:pt>
                <c:pt idx="240">
                  <c:v>157.5</c:v>
                </c:pt>
                <c:pt idx="241">
                  <c:v>162.69999999999999</c:v>
                </c:pt>
                <c:pt idx="242">
                  <c:v>159.30000000000001</c:v>
                </c:pt>
                <c:pt idx="243">
                  <c:v>173.4</c:v>
                </c:pt>
                <c:pt idx="244">
                  <c:v>207.7</c:v>
                </c:pt>
                <c:pt idx="245">
                  <c:v>177.8</c:v>
                </c:pt>
                <c:pt idx="246">
                  <c:v>184.6</c:v>
                </c:pt>
                <c:pt idx="247">
                  <c:v>186.7</c:v>
                </c:pt>
                <c:pt idx="248">
                  <c:v>178.5</c:v>
                </c:pt>
                <c:pt idx="249">
                  <c:v>165.5</c:v>
                </c:pt>
                <c:pt idx="250">
                  <c:v>185.2</c:v>
                </c:pt>
                <c:pt idx="251">
                  <c:v>186.9</c:v>
                </c:pt>
                <c:pt idx="252">
                  <c:v>179.7</c:v>
                </c:pt>
                <c:pt idx="253">
                  <c:v>194.7</c:v>
                </c:pt>
                <c:pt idx="254">
                  <c:v>191.3</c:v>
                </c:pt>
                <c:pt idx="255">
                  <c:v>198.8</c:v>
                </c:pt>
                <c:pt idx="256">
                  <c:v>196.1</c:v>
                </c:pt>
                <c:pt idx="257">
                  <c:v>191.9</c:v>
                </c:pt>
                <c:pt idx="258">
                  <c:v>192.4</c:v>
                </c:pt>
                <c:pt idx="259">
                  <c:v>195.8</c:v>
                </c:pt>
                <c:pt idx="260">
                  <c:v>205.3</c:v>
                </c:pt>
                <c:pt idx="261">
                  <c:v>215</c:v>
                </c:pt>
                <c:pt idx="262">
                  <c:v>233.2</c:v>
                </c:pt>
                <c:pt idx="263">
                  <c:v>233.5</c:v>
                </c:pt>
                <c:pt idx="264">
                  <c:v>209.3</c:v>
                </c:pt>
                <c:pt idx="265">
                  <c:v>218.5</c:v>
                </c:pt>
                <c:pt idx="266">
                  <c:v>231.2</c:v>
                </c:pt>
                <c:pt idx="267">
                  <c:v>217.6</c:v>
                </c:pt>
                <c:pt idx="268">
                  <c:v>205.4</c:v>
                </c:pt>
                <c:pt idx="269">
                  <c:v>210.9</c:v>
                </c:pt>
                <c:pt idx="270">
                  <c:v>229.1</c:v>
                </c:pt>
                <c:pt idx="271">
                  <c:v>203.1</c:v>
                </c:pt>
                <c:pt idx="272">
                  <c:v>191.1</c:v>
                </c:pt>
                <c:pt idx="273">
                  <c:v>209.3</c:v>
                </c:pt>
                <c:pt idx="274">
                  <c:v>176.6</c:v>
                </c:pt>
                <c:pt idx="275">
                  <c:v>188.3</c:v>
                </c:pt>
                <c:pt idx="276">
                  <c:v>200.2</c:v>
                </c:pt>
                <c:pt idx="277">
                  <c:v>220.6</c:v>
                </c:pt>
                <c:pt idx="278">
                  <c:v>223</c:v>
                </c:pt>
                <c:pt idx="279">
                  <c:v>214.8</c:v>
                </c:pt>
                <c:pt idx="280">
                  <c:v>219.2</c:v>
                </c:pt>
                <c:pt idx="281">
                  <c:v>233.7</c:v>
                </c:pt>
                <c:pt idx="282">
                  <c:v>225.2</c:v>
                </c:pt>
                <c:pt idx="283">
                  <c:v>231.5</c:v>
                </c:pt>
                <c:pt idx="284">
                  <c:v>241.2</c:v>
                </c:pt>
                <c:pt idx="285">
                  <c:v>254.5</c:v>
                </c:pt>
                <c:pt idx="286">
                  <c:v>269.89999999999992</c:v>
                </c:pt>
                <c:pt idx="287">
                  <c:v>276.5</c:v>
                </c:pt>
                <c:pt idx="288">
                  <c:v>278</c:v>
                </c:pt>
                <c:pt idx="289">
                  <c:v>265.39999999999992</c:v>
                </c:pt>
                <c:pt idx="290">
                  <c:v>274.60000000000002</c:v>
                </c:pt>
                <c:pt idx="291">
                  <c:v>278.3</c:v>
                </c:pt>
                <c:pt idx="292">
                  <c:v>286.89999999999992</c:v>
                </c:pt>
                <c:pt idx="293">
                  <c:v>296.60000000000002</c:v>
                </c:pt>
                <c:pt idx="294">
                  <c:v>290.7</c:v>
                </c:pt>
                <c:pt idx="295">
                  <c:v>290</c:v>
                </c:pt>
                <c:pt idx="296">
                  <c:v>308.3</c:v>
                </c:pt>
                <c:pt idx="297">
                  <c:v>328.2</c:v>
                </c:pt>
                <c:pt idx="298">
                  <c:v>339.3</c:v>
                </c:pt>
                <c:pt idx="299">
                  <c:v>343.2</c:v>
                </c:pt>
                <c:pt idx="300">
                  <c:v>341.4</c:v>
                </c:pt>
                <c:pt idx="301">
                  <c:v>343.4</c:v>
                </c:pt>
                <c:pt idx="302">
                  <c:v>354.5</c:v>
                </c:pt>
                <c:pt idx="303">
                  <c:v>369.9</c:v>
                </c:pt>
                <c:pt idx="304">
                  <c:v>381.4</c:v>
                </c:pt>
                <c:pt idx="305">
                  <c:v>385.1</c:v>
                </c:pt>
                <c:pt idx="306">
                  <c:v>397.6</c:v>
                </c:pt>
                <c:pt idx="307">
                  <c:v>432.4</c:v>
                </c:pt>
                <c:pt idx="308">
                  <c:v>464.3</c:v>
                </c:pt>
                <c:pt idx="309">
                  <c:v>423.1</c:v>
                </c:pt>
                <c:pt idx="310">
                  <c:v>445.3</c:v>
                </c:pt>
                <c:pt idx="311">
                  <c:v>415.7</c:v>
                </c:pt>
                <c:pt idx="312">
                  <c:v>412.2</c:v>
                </c:pt>
                <c:pt idx="313">
                  <c:v>431.7</c:v>
                </c:pt>
                <c:pt idx="314">
                  <c:v>426.2</c:v>
                </c:pt>
                <c:pt idx="315">
                  <c:v>415.7</c:v>
                </c:pt>
                <c:pt idx="316">
                  <c:v>394.1</c:v>
                </c:pt>
                <c:pt idx="317">
                  <c:v>402.9</c:v>
                </c:pt>
                <c:pt idx="318">
                  <c:v>396.6</c:v>
                </c:pt>
                <c:pt idx="319">
                  <c:v>401.4</c:v>
                </c:pt>
                <c:pt idx="320">
                  <c:v>433.9</c:v>
                </c:pt>
                <c:pt idx="321">
                  <c:v>440.2</c:v>
                </c:pt>
                <c:pt idx="322">
                  <c:v>432</c:v>
                </c:pt>
                <c:pt idx="323">
                  <c:v>427.8</c:v>
                </c:pt>
                <c:pt idx="324">
                  <c:v>420.4</c:v>
                </c:pt>
                <c:pt idx="325">
                  <c:v>413.3</c:v>
                </c:pt>
                <c:pt idx="326">
                  <c:v>402.4</c:v>
                </c:pt>
                <c:pt idx="327">
                  <c:v>394.3</c:v>
                </c:pt>
                <c:pt idx="328">
                  <c:v>357.8</c:v>
                </c:pt>
                <c:pt idx="329">
                  <c:v>341.8</c:v>
                </c:pt>
                <c:pt idx="330">
                  <c:v>319.3</c:v>
                </c:pt>
                <c:pt idx="331">
                  <c:v>331.3</c:v>
                </c:pt>
                <c:pt idx="332">
                  <c:v>342</c:v>
                </c:pt>
                <c:pt idx="333">
                  <c:v>325.3</c:v>
                </c:pt>
                <c:pt idx="334">
                  <c:v>325</c:v>
                </c:pt>
                <c:pt idx="335">
                  <c:v>312.5</c:v>
                </c:pt>
                <c:pt idx="336">
                  <c:v>306.89999999999992</c:v>
                </c:pt>
                <c:pt idx="337">
                  <c:v>317.3</c:v>
                </c:pt>
                <c:pt idx="338">
                  <c:v>332.4</c:v>
                </c:pt>
                <c:pt idx="339">
                  <c:v>326.3</c:v>
                </c:pt>
                <c:pt idx="340">
                  <c:v>320.89999999999992</c:v>
                </c:pt>
                <c:pt idx="341">
                  <c:v>311.60000000000002</c:v>
                </c:pt>
                <c:pt idx="342">
                  <c:v>327.2</c:v>
                </c:pt>
                <c:pt idx="343">
                  <c:v>322.89999999999992</c:v>
                </c:pt>
                <c:pt idx="344">
                  <c:v>315.3</c:v>
                </c:pt>
                <c:pt idx="345">
                  <c:v>304.2</c:v>
                </c:pt>
                <c:pt idx="346">
                  <c:v>294.39999999999992</c:v>
                </c:pt>
                <c:pt idx="347">
                  <c:v>297.10000000000002</c:v>
                </c:pt>
                <c:pt idx="348">
                  <c:v>300.3</c:v>
                </c:pt>
                <c:pt idx="349">
                  <c:v>309.10000000000002</c:v>
                </c:pt>
                <c:pt idx="350">
                  <c:v>294.39999999999992</c:v>
                </c:pt>
                <c:pt idx="351">
                  <c:v>297.2</c:v>
                </c:pt>
                <c:pt idx="352">
                  <c:v>295.5</c:v>
                </c:pt>
                <c:pt idx="353">
                  <c:v>291.7</c:v>
                </c:pt>
                <c:pt idx="354">
                  <c:v>288.10000000000002</c:v>
                </c:pt>
                <c:pt idx="355">
                  <c:v>272.3</c:v>
                </c:pt>
                <c:pt idx="356">
                  <c:v>274.60000000000002</c:v>
                </c:pt>
                <c:pt idx="357">
                  <c:v>285.2</c:v>
                </c:pt>
                <c:pt idx="358">
                  <c:v>274.89999999999992</c:v>
                </c:pt>
                <c:pt idx="359">
                  <c:v>271.10000000000002</c:v>
                </c:pt>
                <c:pt idx="360">
                  <c:v>269.7</c:v>
                </c:pt>
                <c:pt idx="361">
                  <c:v>287.2</c:v>
                </c:pt>
                <c:pt idx="362">
                  <c:v>303.3</c:v>
                </c:pt>
                <c:pt idx="363">
                  <c:v>306.7</c:v>
                </c:pt>
                <c:pt idx="364">
                  <c:v>312.2</c:v>
                </c:pt>
                <c:pt idx="365">
                  <c:v>306.3</c:v>
                </c:pt>
                <c:pt idx="366">
                  <c:v>327.5</c:v>
                </c:pt>
                <c:pt idx="367">
                  <c:v>330.9</c:v>
                </c:pt>
                <c:pt idx="368">
                  <c:v>328.1</c:v>
                </c:pt>
                <c:pt idx="369">
                  <c:v>318.39999999999992</c:v>
                </c:pt>
                <c:pt idx="370">
                  <c:v>303.3</c:v>
                </c:pt>
                <c:pt idx="371">
                  <c:v>295</c:v>
                </c:pt>
                <c:pt idx="372">
                  <c:v>288.3</c:v>
                </c:pt>
                <c:pt idx="373">
                  <c:v>300.8</c:v>
                </c:pt>
                <c:pt idx="374">
                  <c:v>303</c:v>
                </c:pt>
                <c:pt idx="375">
                  <c:v>316.3</c:v>
                </c:pt>
                <c:pt idx="376">
                  <c:v>319.39999999999992</c:v>
                </c:pt>
                <c:pt idx="377">
                  <c:v>313.60000000000002</c:v>
                </c:pt>
              </c:numCache>
            </c:numRef>
          </c:val>
          <c:smooth val="0"/>
          <c:extLst xmlns:c16r2="http://schemas.microsoft.com/office/drawing/2015/06/chart">
            <c:ext xmlns:c16="http://schemas.microsoft.com/office/drawing/2014/chart" uri="{C3380CC4-5D6E-409C-BE32-E72D297353CC}">
              <c16:uniqueId val="{00000000-5D6D-45C8-9510-4B9F4E7F208F}"/>
            </c:ext>
          </c:extLst>
        </c:ser>
        <c:dLbls>
          <c:showLegendKey val="0"/>
          <c:showVal val="0"/>
          <c:showCatName val="0"/>
          <c:showSerName val="0"/>
          <c:showPercent val="0"/>
          <c:showBubbleSize val="0"/>
        </c:dLbls>
        <c:marker val="1"/>
        <c:smooth val="0"/>
        <c:axId val="160844440"/>
        <c:axId val="160906544"/>
      </c:lineChart>
      <c:lineChart>
        <c:grouping val="standard"/>
        <c:varyColors val="0"/>
        <c:ser>
          <c:idx val="0"/>
          <c:order val="0"/>
          <c:tx>
            <c:v>FF rate (%)</c:v>
          </c:tx>
          <c:spPr>
            <a:ln w="28575" cap="rnd" cmpd="sng" algn="ctr">
              <a:solidFill>
                <a:schemeClr val="dk1">
                  <a:tint val="88500"/>
                  <a:shade val="95000"/>
                  <a:satMod val="105000"/>
                </a:schemeClr>
              </a:solidFill>
              <a:prstDash val="solid"/>
              <a:round/>
            </a:ln>
            <a:effectLst/>
          </c:spPr>
          <c:marker>
            <c:symbol val="none"/>
          </c:marker>
          <c:cat>
            <c:strRef>
              <c:f>Combined!$A$12:$A$389</c:f>
              <c:strCache>
                <c:ptCount val="378"/>
                <c:pt idx="0">
                  <c:v>86</c:v>
                </c:pt>
                <c:pt idx="1">
                  <c:v>86</c:v>
                </c:pt>
                <c:pt idx="2">
                  <c:v>86</c:v>
                </c:pt>
                <c:pt idx="3">
                  <c:v>86</c:v>
                </c:pt>
                <c:pt idx="4">
                  <c:v>86</c:v>
                </c:pt>
                <c:pt idx="5">
                  <c:v>86</c:v>
                </c:pt>
                <c:pt idx="6">
                  <c:v>86</c:v>
                </c:pt>
                <c:pt idx="7">
                  <c:v>86</c:v>
                </c:pt>
                <c:pt idx="8">
                  <c:v>86</c:v>
                </c:pt>
                <c:pt idx="9">
                  <c:v>86</c:v>
                </c:pt>
                <c:pt idx="10">
                  <c:v>86</c:v>
                </c:pt>
                <c:pt idx="11">
                  <c:v>86</c:v>
                </c:pt>
                <c:pt idx="12">
                  <c:v>87</c:v>
                </c:pt>
                <c:pt idx="13">
                  <c:v>87</c:v>
                </c:pt>
                <c:pt idx="14">
                  <c:v>87</c:v>
                </c:pt>
                <c:pt idx="15">
                  <c:v>87</c:v>
                </c:pt>
                <c:pt idx="16">
                  <c:v>87</c:v>
                </c:pt>
                <c:pt idx="17">
                  <c:v>87</c:v>
                </c:pt>
                <c:pt idx="18">
                  <c:v>87</c:v>
                </c:pt>
                <c:pt idx="19">
                  <c:v>87</c:v>
                </c:pt>
                <c:pt idx="20">
                  <c:v>87</c:v>
                </c:pt>
                <c:pt idx="21">
                  <c:v>87</c:v>
                </c:pt>
                <c:pt idx="22">
                  <c:v>87</c:v>
                </c:pt>
                <c:pt idx="23">
                  <c:v>87</c:v>
                </c:pt>
                <c:pt idx="24">
                  <c:v>88</c:v>
                </c:pt>
                <c:pt idx="25">
                  <c:v>88</c:v>
                </c:pt>
                <c:pt idx="26">
                  <c:v>88</c:v>
                </c:pt>
                <c:pt idx="27">
                  <c:v>88</c:v>
                </c:pt>
                <c:pt idx="28">
                  <c:v>88</c:v>
                </c:pt>
                <c:pt idx="29">
                  <c:v>88</c:v>
                </c:pt>
                <c:pt idx="30">
                  <c:v>88</c:v>
                </c:pt>
                <c:pt idx="31">
                  <c:v>88</c:v>
                </c:pt>
                <c:pt idx="32">
                  <c:v>88</c:v>
                </c:pt>
                <c:pt idx="33">
                  <c:v>88</c:v>
                </c:pt>
                <c:pt idx="34">
                  <c:v>88</c:v>
                </c:pt>
                <c:pt idx="35">
                  <c:v>88</c:v>
                </c:pt>
                <c:pt idx="36">
                  <c:v>89</c:v>
                </c:pt>
                <c:pt idx="37">
                  <c:v>89</c:v>
                </c:pt>
                <c:pt idx="38">
                  <c:v>89</c:v>
                </c:pt>
                <c:pt idx="39">
                  <c:v>89</c:v>
                </c:pt>
                <c:pt idx="40">
                  <c:v>89</c:v>
                </c:pt>
                <c:pt idx="41">
                  <c:v>89</c:v>
                </c:pt>
                <c:pt idx="42">
                  <c:v>89</c:v>
                </c:pt>
                <c:pt idx="43">
                  <c:v>89</c:v>
                </c:pt>
                <c:pt idx="44">
                  <c:v>89</c:v>
                </c:pt>
                <c:pt idx="45">
                  <c:v>89</c:v>
                </c:pt>
                <c:pt idx="46">
                  <c:v>89</c:v>
                </c:pt>
                <c:pt idx="47">
                  <c:v>89</c:v>
                </c:pt>
                <c:pt idx="48">
                  <c:v>90</c:v>
                </c:pt>
                <c:pt idx="49">
                  <c:v>90</c:v>
                </c:pt>
                <c:pt idx="50">
                  <c:v>90</c:v>
                </c:pt>
                <c:pt idx="51">
                  <c:v>90</c:v>
                </c:pt>
                <c:pt idx="52">
                  <c:v>90</c:v>
                </c:pt>
                <c:pt idx="53">
                  <c:v>90</c:v>
                </c:pt>
                <c:pt idx="54">
                  <c:v>90</c:v>
                </c:pt>
                <c:pt idx="55">
                  <c:v>90</c:v>
                </c:pt>
                <c:pt idx="56">
                  <c:v>90</c:v>
                </c:pt>
                <c:pt idx="57">
                  <c:v>90</c:v>
                </c:pt>
                <c:pt idx="58">
                  <c:v>90</c:v>
                </c:pt>
                <c:pt idx="59">
                  <c:v>90</c:v>
                </c:pt>
                <c:pt idx="60">
                  <c:v>91</c:v>
                </c:pt>
                <c:pt idx="61">
                  <c:v>91</c:v>
                </c:pt>
                <c:pt idx="62">
                  <c:v>91</c:v>
                </c:pt>
                <c:pt idx="63">
                  <c:v>91</c:v>
                </c:pt>
                <c:pt idx="64">
                  <c:v>91</c:v>
                </c:pt>
                <c:pt idx="65">
                  <c:v>91</c:v>
                </c:pt>
                <c:pt idx="66">
                  <c:v>91</c:v>
                </c:pt>
                <c:pt idx="67">
                  <c:v>91</c:v>
                </c:pt>
                <c:pt idx="68">
                  <c:v>91</c:v>
                </c:pt>
                <c:pt idx="69">
                  <c:v>91</c:v>
                </c:pt>
                <c:pt idx="70">
                  <c:v>91</c:v>
                </c:pt>
                <c:pt idx="71">
                  <c:v>91</c:v>
                </c:pt>
                <c:pt idx="72">
                  <c:v>92</c:v>
                </c:pt>
                <c:pt idx="73">
                  <c:v>92</c:v>
                </c:pt>
                <c:pt idx="74">
                  <c:v>92</c:v>
                </c:pt>
                <c:pt idx="75">
                  <c:v>92</c:v>
                </c:pt>
                <c:pt idx="76">
                  <c:v>92</c:v>
                </c:pt>
                <c:pt idx="77">
                  <c:v>92</c:v>
                </c:pt>
                <c:pt idx="78">
                  <c:v>92</c:v>
                </c:pt>
                <c:pt idx="79">
                  <c:v>92</c:v>
                </c:pt>
                <c:pt idx="80">
                  <c:v>92</c:v>
                </c:pt>
                <c:pt idx="81">
                  <c:v>92</c:v>
                </c:pt>
                <c:pt idx="82">
                  <c:v>92</c:v>
                </c:pt>
                <c:pt idx="83">
                  <c:v>92</c:v>
                </c:pt>
                <c:pt idx="84">
                  <c:v>93</c:v>
                </c:pt>
                <c:pt idx="85">
                  <c:v>93</c:v>
                </c:pt>
                <c:pt idx="86">
                  <c:v>93</c:v>
                </c:pt>
                <c:pt idx="87">
                  <c:v>93</c:v>
                </c:pt>
                <c:pt idx="88">
                  <c:v>93</c:v>
                </c:pt>
                <c:pt idx="89">
                  <c:v>93</c:v>
                </c:pt>
                <c:pt idx="90">
                  <c:v>93</c:v>
                </c:pt>
                <c:pt idx="91">
                  <c:v>93</c:v>
                </c:pt>
                <c:pt idx="92">
                  <c:v>93</c:v>
                </c:pt>
                <c:pt idx="93">
                  <c:v>93</c:v>
                </c:pt>
                <c:pt idx="94">
                  <c:v>93</c:v>
                </c:pt>
                <c:pt idx="95">
                  <c:v>93</c:v>
                </c:pt>
                <c:pt idx="96">
                  <c:v>94</c:v>
                </c:pt>
                <c:pt idx="97">
                  <c:v>94</c:v>
                </c:pt>
                <c:pt idx="98">
                  <c:v>94</c:v>
                </c:pt>
                <c:pt idx="99">
                  <c:v>94</c:v>
                </c:pt>
                <c:pt idx="100">
                  <c:v>94</c:v>
                </c:pt>
                <c:pt idx="101">
                  <c:v>94</c:v>
                </c:pt>
                <c:pt idx="102">
                  <c:v>94</c:v>
                </c:pt>
                <c:pt idx="103">
                  <c:v>94</c:v>
                </c:pt>
                <c:pt idx="104">
                  <c:v>94</c:v>
                </c:pt>
                <c:pt idx="105">
                  <c:v>94</c:v>
                </c:pt>
                <c:pt idx="106">
                  <c:v>94</c:v>
                </c:pt>
                <c:pt idx="107">
                  <c:v>94</c:v>
                </c:pt>
                <c:pt idx="108">
                  <c:v>95</c:v>
                </c:pt>
                <c:pt idx="109">
                  <c:v>95</c:v>
                </c:pt>
                <c:pt idx="110">
                  <c:v>95</c:v>
                </c:pt>
                <c:pt idx="111">
                  <c:v>95</c:v>
                </c:pt>
                <c:pt idx="112">
                  <c:v>95</c:v>
                </c:pt>
                <c:pt idx="113">
                  <c:v>95</c:v>
                </c:pt>
                <c:pt idx="114">
                  <c:v>95</c:v>
                </c:pt>
                <c:pt idx="115">
                  <c:v>95</c:v>
                </c:pt>
                <c:pt idx="116">
                  <c:v>95</c:v>
                </c:pt>
                <c:pt idx="117">
                  <c:v>95</c:v>
                </c:pt>
                <c:pt idx="118">
                  <c:v>95</c:v>
                </c:pt>
                <c:pt idx="119">
                  <c:v>95</c:v>
                </c:pt>
                <c:pt idx="120">
                  <c:v>96</c:v>
                </c:pt>
                <c:pt idx="121">
                  <c:v>96</c:v>
                </c:pt>
                <c:pt idx="122">
                  <c:v>96</c:v>
                </c:pt>
                <c:pt idx="123">
                  <c:v>96</c:v>
                </c:pt>
                <c:pt idx="124">
                  <c:v>96</c:v>
                </c:pt>
                <c:pt idx="125">
                  <c:v>96</c:v>
                </c:pt>
                <c:pt idx="126">
                  <c:v>96</c:v>
                </c:pt>
                <c:pt idx="127">
                  <c:v>96</c:v>
                </c:pt>
                <c:pt idx="128">
                  <c:v>96</c:v>
                </c:pt>
                <c:pt idx="129">
                  <c:v>96</c:v>
                </c:pt>
                <c:pt idx="130">
                  <c:v>96</c:v>
                </c:pt>
                <c:pt idx="131">
                  <c:v>96</c:v>
                </c:pt>
                <c:pt idx="132">
                  <c:v>97</c:v>
                </c:pt>
                <c:pt idx="133">
                  <c:v>97</c:v>
                </c:pt>
                <c:pt idx="134">
                  <c:v>97</c:v>
                </c:pt>
                <c:pt idx="135">
                  <c:v>97</c:v>
                </c:pt>
                <c:pt idx="136">
                  <c:v>97</c:v>
                </c:pt>
                <c:pt idx="137">
                  <c:v>97</c:v>
                </c:pt>
                <c:pt idx="138">
                  <c:v>97</c:v>
                </c:pt>
                <c:pt idx="139">
                  <c:v>97</c:v>
                </c:pt>
                <c:pt idx="140">
                  <c:v>97</c:v>
                </c:pt>
                <c:pt idx="141">
                  <c:v>97</c:v>
                </c:pt>
                <c:pt idx="142">
                  <c:v>97</c:v>
                </c:pt>
                <c:pt idx="143">
                  <c:v>97</c:v>
                </c:pt>
                <c:pt idx="144">
                  <c:v>98</c:v>
                </c:pt>
                <c:pt idx="145">
                  <c:v>98</c:v>
                </c:pt>
                <c:pt idx="146">
                  <c:v>98</c:v>
                </c:pt>
                <c:pt idx="147">
                  <c:v>98</c:v>
                </c:pt>
                <c:pt idx="148">
                  <c:v>98</c:v>
                </c:pt>
                <c:pt idx="149">
                  <c:v>98</c:v>
                </c:pt>
                <c:pt idx="150">
                  <c:v>98</c:v>
                </c:pt>
                <c:pt idx="151">
                  <c:v>98</c:v>
                </c:pt>
                <c:pt idx="152">
                  <c:v>98</c:v>
                </c:pt>
                <c:pt idx="153">
                  <c:v>98</c:v>
                </c:pt>
                <c:pt idx="154">
                  <c:v>98</c:v>
                </c:pt>
                <c:pt idx="155">
                  <c:v>98</c:v>
                </c:pt>
                <c:pt idx="156">
                  <c:v>99</c:v>
                </c:pt>
                <c:pt idx="157">
                  <c:v>99</c:v>
                </c:pt>
                <c:pt idx="158">
                  <c:v>99</c:v>
                </c:pt>
                <c:pt idx="159">
                  <c:v>99</c:v>
                </c:pt>
                <c:pt idx="160">
                  <c:v>99</c:v>
                </c:pt>
                <c:pt idx="161">
                  <c:v>99</c:v>
                </c:pt>
                <c:pt idx="162">
                  <c:v>99</c:v>
                </c:pt>
                <c:pt idx="163">
                  <c:v>99</c:v>
                </c:pt>
                <c:pt idx="164">
                  <c:v>99</c:v>
                </c:pt>
                <c:pt idx="165">
                  <c:v>99</c:v>
                </c:pt>
                <c:pt idx="166">
                  <c:v>99</c:v>
                </c:pt>
                <c:pt idx="167">
                  <c:v>99</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01</c:v>
                </c:pt>
                <c:pt idx="181">
                  <c:v>01</c:v>
                </c:pt>
                <c:pt idx="182">
                  <c:v>01</c:v>
                </c:pt>
                <c:pt idx="183">
                  <c:v>01</c:v>
                </c:pt>
                <c:pt idx="184">
                  <c:v>01</c:v>
                </c:pt>
                <c:pt idx="185">
                  <c:v>01</c:v>
                </c:pt>
                <c:pt idx="186">
                  <c:v>01</c:v>
                </c:pt>
                <c:pt idx="187">
                  <c:v>01</c:v>
                </c:pt>
                <c:pt idx="188">
                  <c:v>01</c:v>
                </c:pt>
                <c:pt idx="189">
                  <c:v>01</c:v>
                </c:pt>
                <c:pt idx="190">
                  <c:v>01</c:v>
                </c:pt>
                <c:pt idx="191">
                  <c:v>01</c:v>
                </c:pt>
                <c:pt idx="192">
                  <c:v>02</c:v>
                </c:pt>
                <c:pt idx="193">
                  <c:v>02</c:v>
                </c:pt>
                <c:pt idx="194">
                  <c:v>02</c:v>
                </c:pt>
                <c:pt idx="195">
                  <c:v>02</c:v>
                </c:pt>
                <c:pt idx="196">
                  <c:v>02</c:v>
                </c:pt>
                <c:pt idx="197">
                  <c:v>02</c:v>
                </c:pt>
                <c:pt idx="198">
                  <c:v>02</c:v>
                </c:pt>
                <c:pt idx="199">
                  <c:v>02</c:v>
                </c:pt>
                <c:pt idx="200">
                  <c:v>02</c:v>
                </c:pt>
                <c:pt idx="201">
                  <c:v>02</c:v>
                </c:pt>
                <c:pt idx="202">
                  <c:v>02</c:v>
                </c:pt>
                <c:pt idx="203">
                  <c:v>02</c:v>
                </c:pt>
                <c:pt idx="204">
                  <c:v>03</c:v>
                </c:pt>
                <c:pt idx="205">
                  <c:v>03</c:v>
                </c:pt>
                <c:pt idx="206">
                  <c:v>03</c:v>
                </c:pt>
                <c:pt idx="207">
                  <c:v>03</c:v>
                </c:pt>
                <c:pt idx="208">
                  <c:v>03</c:v>
                </c:pt>
                <c:pt idx="209">
                  <c:v>03</c:v>
                </c:pt>
                <c:pt idx="210">
                  <c:v>03</c:v>
                </c:pt>
                <c:pt idx="211">
                  <c:v>03</c:v>
                </c:pt>
                <c:pt idx="212">
                  <c:v>03</c:v>
                </c:pt>
                <c:pt idx="213">
                  <c:v>03</c:v>
                </c:pt>
                <c:pt idx="214">
                  <c:v>03</c:v>
                </c:pt>
                <c:pt idx="215">
                  <c:v>03</c:v>
                </c:pt>
                <c:pt idx="216">
                  <c:v>04</c:v>
                </c:pt>
                <c:pt idx="217">
                  <c:v>04</c:v>
                </c:pt>
                <c:pt idx="218">
                  <c:v>04</c:v>
                </c:pt>
                <c:pt idx="219">
                  <c:v>04</c:v>
                </c:pt>
                <c:pt idx="220">
                  <c:v>04</c:v>
                </c:pt>
                <c:pt idx="221">
                  <c:v>04</c:v>
                </c:pt>
                <c:pt idx="222">
                  <c:v>04</c:v>
                </c:pt>
                <c:pt idx="223">
                  <c:v>04</c:v>
                </c:pt>
                <c:pt idx="224">
                  <c:v>04</c:v>
                </c:pt>
                <c:pt idx="225">
                  <c:v>04</c:v>
                </c:pt>
                <c:pt idx="226">
                  <c:v>04</c:v>
                </c:pt>
                <c:pt idx="227">
                  <c:v>04</c:v>
                </c:pt>
                <c:pt idx="228">
                  <c:v>05</c:v>
                </c:pt>
                <c:pt idx="229">
                  <c:v>05</c:v>
                </c:pt>
                <c:pt idx="230">
                  <c:v>05</c:v>
                </c:pt>
                <c:pt idx="231">
                  <c:v>05</c:v>
                </c:pt>
                <c:pt idx="232">
                  <c:v>05</c:v>
                </c:pt>
                <c:pt idx="233">
                  <c:v>05</c:v>
                </c:pt>
                <c:pt idx="234">
                  <c:v>05</c:v>
                </c:pt>
                <c:pt idx="235">
                  <c:v>05</c:v>
                </c:pt>
                <c:pt idx="236">
                  <c:v>05</c:v>
                </c:pt>
                <c:pt idx="237">
                  <c:v>05</c:v>
                </c:pt>
                <c:pt idx="238">
                  <c:v>05</c:v>
                </c:pt>
                <c:pt idx="239">
                  <c:v>05</c:v>
                </c:pt>
                <c:pt idx="240">
                  <c:v>06</c:v>
                </c:pt>
                <c:pt idx="241">
                  <c:v>06</c:v>
                </c:pt>
                <c:pt idx="242">
                  <c:v>06</c:v>
                </c:pt>
                <c:pt idx="243">
                  <c:v>06</c:v>
                </c:pt>
                <c:pt idx="244">
                  <c:v>06</c:v>
                </c:pt>
                <c:pt idx="245">
                  <c:v>06</c:v>
                </c:pt>
                <c:pt idx="246">
                  <c:v>06</c:v>
                </c:pt>
                <c:pt idx="247">
                  <c:v>06</c:v>
                </c:pt>
                <c:pt idx="248">
                  <c:v>06</c:v>
                </c:pt>
                <c:pt idx="249">
                  <c:v>06</c:v>
                </c:pt>
                <c:pt idx="250">
                  <c:v>06</c:v>
                </c:pt>
                <c:pt idx="251">
                  <c:v>06</c:v>
                </c:pt>
                <c:pt idx="252">
                  <c:v>07</c:v>
                </c:pt>
                <c:pt idx="253">
                  <c:v>07</c:v>
                </c:pt>
                <c:pt idx="254">
                  <c:v>07</c:v>
                </c:pt>
                <c:pt idx="255">
                  <c:v>07</c:v>
                </c:pt>
                <c:pt idx="256">
                  <c:v>07</c:v>
                </c:pt>
                <c:pt idx="257">
                  <c:v>07</c:v>
                </c:pt>
                <c:pt idx="258">
                  <c:v>07</c:v>
                </c:pt>
                <c:pt idx="259">
                  <c:v>07</c:v>
                </c:pt>
                <c:pt idx="260">
                  <c:v>07</c:v>
                </c:pt>
                <c:pt idx="261">
                  <c:v>07</c:v>
                </c:pt>
                <c:pt idx="262">
                  <c:v>07</c:v>
                </c:pt>
                <c:pt idx="263">
                  <c:v>07</c:v>
                </c:pt>
                <c:pt idx="264">
                  <c:v>08</c:v>
                </c:pt>
                <c:pt idx="265">
                  <c:v>08</c:v>
                </c:pt>
                <c:pt idx="266">
                  <c:v>08</c:v>
                </c:pt>
                <c:pt idx="267">
                  <c:v>08</c:v>
                </c:pt>
                <c:pt idx="268">
                  <c:v>08</c:v>
                </c:pt>
                <c:pt idx="269">
                  <c:v>08</c:v>
                </c:pt>
                <c:pt idx="270">
                  <c:v>08</c:v>
                </c:pt>
                <c:pt idx="271">
                  <c:v>08</c:v>
                </c:pt>
                <c:pt idx="272">
                  <c:v>08</c:v>
                </c:pt>
                <c:pt idx="273">
                  <c:v>08</c:v>
                </c:pt>
                <c:pt idx="274">
                  <c:v>08</c:v>
                </c:pt>
                <c:pt idx="275">
                  <c:v>08</c:v>
                </c:pt>
                <c:pt idx="276">
                  <c:v>09</c:v>
                </c:pt>
                <c:pt idx="277">
                  <c:v>09</c:v>
                </c:pt>
                <c:pt idx="278">
                  <c:v>09</c:v>
                </c:pt>
                <c:pt idx="279">
                  <c:v>09</c:v>
                </c:pt>
                <c:pt idx="280">
                  <c:v>09</c:v>
                </c:pt>
                <c:pt idx="281">
                  <c:v>09</c:v>
                </c:pt>
                <c:pt idx="282">
                  <c:v>09</c:v>
                </c:pt>
                <c:pt idx="283">
                  <c:v>09</c:v>
                </c:pt>
                <c:pt idx="284">
                  <c:v>09</c:v>
                </c:pt>
                <c:pt idx="285">
                  <c:v>09</c:v>
                </c:pt>
                <c:pt idx="286">
                  <c:v>09</c:v>
                </c:pt>
                <c:pt idx="287">
                  <c:v>09</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11</c:v>
                </c:pt>
                <c:pt idx="301">
                  <c:v>11</c:v>
                </c:pt>
                <c:pt idx="302">
                  <c:v>11</c:v>
                </c:pt>
                <c:pt idx="303">
                  <c:v>11</c:v>
                </c:pt>
                <c:pt idx="304">
                  <c:v>11</c:v>
                </c:pt>
                <c:pt idx="305">
                  <c:v>11</c:v>
                </c:pt>
                <c:pt idx="306">
                  <c:v>11</c:v>
                </c:pt>
                <c:pt idx="307">
                  <c:v>11</c:v>
                </c:pt>
                <c:pt idx="308">
                  <c:v>11</c:v>
                </c:pt>
                <c:pt idx="309">
                  <c:v>11</c:v>
                </c:pt>
                <c:pt idx="310">
                  <c:v>11</c:v>
                </c:pt>
                <c:pt idx="311">
                  <c:v>11</c:v>
                </c:pt>
                <c:pt idx="312">
                  <c:v>12</c:v>
                </c:pt>
                <c:pt idx="313">
                  <c:v>12</c:v>
                </c:pt>
                <c:pt idx="314">
                  <c:v>12</c:v>
                </c:pt>
                <c:pt idx="315">
                  <c:v>12</c:v>
                </c:pt>
                <c:pt idx="316">
                  <c:v>12</c:v>
                </c:pt>
                <c:pt idx="317">
                  <c:v>12</c:v>
                </c:pt>
                <c:pt idx="318">
                  <c:v>12</c:v>
                </c:pt>
                <c:pt idx="319">
                  <c:v>12</c:v>
                </c:pt>
                <c:pt idx="320">
                  <c:v>12</c:v>
                </c:pt>
                <c:pt idx="321">
                  <c:v>12</c:v>
                </c:pt>
                <c:pt idx="322">
                  <c:v>12</c:v>
                </c:pt>
                <c:pt idx="323">
                  <c:v>12</c:v>
                </c:pt>
                <c:pt idx="324">
                  <c:v>13</c:v>
                </c:pt>
                <c:pt idx="325">
                  <c:v>13</c:v>
                </c:pt>
                <c:pt idx="326">
                  <c:v>13</c:v>
                </c:pt>
                <c:pt idx="327">
                  <c:v>13</c:v>
                </c:pt>
                <c:pt idx="328">
                  <c:v>13</c:v>
                </c:pt>
                <c:pt idx="329">
                  <c:v>13</c:v>
                </c:pt>
                <c:pt idx="330">
                  <c:v>13</c:v>
                </c:pt>
                <c:pt idx="331">
                  <c:v>13</c:v>
                </c:pt>
                <c:pt idx="332">
                  <c:v>13</c:v>
                </c:pt>
                <c:pt idx="333">
                  <c:v>13</c:v>
                </c:pt>
                <c:pt idx="334">
                  <c:v>13</c:v>
                </c:pt>
                <c:pt idx="335">
                  <c:v>13</c:v>
                </c:pt>
                <c:pt idx="336">
                  <c:v>14</c:v>
                </c:pt>
                <c:pt idx="337">
                  <c:v>14</c:v>
                </c:pt>
                <c:pt idx="338">
                  <c:v>14</c:v>
                </c:pt>
                <c:pt idx="339">
                  <c:v>14</c:v>
                </c:pt>
                <c:pt idx="340">
                  <c:v>14</c:v>
                </c:pt>
                <c:pt idx="341">
                  <c:v>14</c:v>
                </c:pt>
                <c:pt idx="342">
                  <c:v>14</c:v>
                </c:pt>
                <c:pt idx="343">
                  <c:v>14</c:v>
                </c:pt>
                <c:pt idx="344">
                  <c:v>14</c:v>
                </c:pt>
                <c:pt idx="345">
                  <c:v>14</c:v>
                </c:pt>
                <c:pt idx="346">
                  <c:v>14</c:v>
                </c:pt>
                <c:pt idx="347">
                  <c:v>14</c:v>
                </c:pt>
                <c:pt idx="348">
                  <c:v>15</c:v>
                </c:pt>
                <c:pt idx="349">
                  <c:v>15</c:v>
                </c:pt>
                <c:pt idx="350">
                  <c:v>15</c:v>
                </c:pt>
                <c:pt idx="351">
                  <c:v>15</c:v>
                </c:pt>
                <c:pt idx="352">
                  <c:v>15</c:v>
                </c:pt>
                <c:pt idx="353">
                  <c:v>15</c:v>
                </c:pt>
                <c:pt idx="354">
                  <c:v>15</c:v>
                </c:pt>
                <c:pt idx="355">
                  <c:v>15</c:v>
                </c:pt>
                <c:pt idx="356">
                  <c:v>15</c:v>
                </c:pt>
                <c:pt idx="357">
                  <c:v>15</c:v>
                </c:pt>
                <c:pt idx="358">
                  <c:v>15</c:v>
                </c:pt>
                <c:pt idx="359">
                  <c:v>15</c:v>
                </c:pt>
                <c:pt idx="360">
                  <c:v>16</c:v>
                </c:pt>
                <c:pt idx="361">
                  <c:v>16</c:v>
                </c:pt>
                <c:pt idx="362">
                  <c:v>16</c:v>
                </c:pt>
                <c:pt idx="363">
                  <c:v>16</c:v>
                </c:pt>
                <c:pt idx="364">
                  <c:v>16</c:v>
                </c:pt>
                <c:pt idx="365">
                  <c:v>16</c:v>
                </c:pt>
                <c:pt idx="366">
                  <c:v>16</c:v>
                </c:pt>
                <c:pt idx="367">
                  <c:v>16</c:v>
                </c:pt>
                <c:pt idx="368">
                  <c:v>16</c:v>
                </c:pt>
                <c:pt idx="369">
                  <c:v>16</c:v>
                </c:pt>
                <c:pt idx="370">
                  <c:v>16</c:v>
                </c:pt>
                <c:pt idx="371">
                  <c:v>16</c:v>
                </c:pt>
                <c:pt idx="372">
                  <c:v>17</c:v>
                </c:pt>
                <c:pt idx="373">
                  <c:v>17</c:v>
                </c:pt>
                <c:pt idx="374">
                  <c:v>17</c:v>
                </c:pt>
                <c:pt idx="375">
                  <c:v>17</c:v>
                </c:pt>
                <c:pt idx="376">
                  <c:v>17</c:v>
                </c:pt>
                <c:pt idx="377">
                  <c:v>17</c:v>
                </c:pt>
              </c:strCache>
            </c:strRef>
          </c:cat>
          <c:val>
            <c:numRef>
              <c:f>Combined!$C$12:$C$389</c:f>
              <c:numCache>
                <c:formatCode>0.00</c:formatCode>
                <c:ptCount val="378"/>
                <c:pt idx="0">
                  <c:v>8.14</c:v>
                </c:pt>
                <c:pt idx="1">
                  <c:v>7.8599999999999977</c:v>
                </c:pt>
                <c:pt idx="2">
                  <c:v>7.48</c:v>
                </c:pt>
                <c:pt idx="3">
                  <c:v>6.99</c:v>
                </c:pt>
                <c:pt idx="4">
                  <c:v>6.85</c:v>
                </c:pt>
                <c:pt idx="5">
                  <c:v>6.92</c:v>
                </c:pt>
                <c:pt idx="6">
                  <c:v>6.56</c:v>
                </c:pt>
                <c:pt idx="7">
                  <c:v>6.17</c:v>
                </c:pt>
                <c:pt idx="8">
                  <c:v>5.89</c:v>
                </c:pt>
                <c:pt idx="9">
                  <c:v>5.85</c:v>
                </c:pt>
                <c:pt idx="10">
                  <c:v>6.04</c:v>
                </c:pt>
                <c:pt idx="11">
                  <c:v>6.91</c:v>
                </c:pt>
                <c:pt idx="12">
                  <c:v>6.43</c:v>
                </c:pt>
                <c:pt idx="13">
                  <c:v>6.1</c:v>
                </c:pt>
                <c:pt idx="14">
                  <c:v>6.13</c:v>
                </c:pt>
                <c:pt idx="15">
                  <c:v>6.37</c:v>
                </c:pt>
                <c:pt idx="16">
                  <c:v>6.85</c:v>
                </c:pt>
                <c:pt idx="17">
                  <c:v>6.73</c:v>
                </c:pt>
                <c:pt idx="18">
                  <c:v>6.58</c:v>
                </c:pt>
                <c:pt idx="19">
                  <c:v>6.73</c:v>
                </c:pt>
                <c:pt idx="20">
                  <c:v>7.22</c:v>
                </c:pt>
                <c:pt idx="21">
                  <c:v>7.29</c:v>
                </c:pt>
                <c:pt idx="22">
                  <c:v>6.6899999999999986</c:v>
                </c:pt>
                <c:pt idx="23">
                  <c:v>6.77</c:v>
                </c:pt>
                <c:pt idx="24">
                  <c:v>6.83</c:v>
                </c:pt>
                <c:pt idx="25">
                  <c:v>6.58</c:v>
                </c:pt>
                <c:pt idx="26">
                  <c:v>6.58</c:v>
                </c:pt>
                <c:pt idx="27">
                  <c:v>6.87</c:v>
                </c:pt>
                <c:pt idx="28">
                  <c:v>7.09</c:v>
                </c:pt>
                <c:pt idx="29">
                  <c:v>7.51</c:v>
                </c:pt>
                <c:pt idx="30">
                  <c:v>7.75</c:v>
                </c:pt>
                <c:pt idx="31">
                  <c:v>8.01</c:v>
                </c:pt>
                <c:pt idx="32">
                  <c:v>8.19</c:v>
                </c:pt>
                <c:pt idx="33">
                  <c:v>8.3000000000000007</c:v>
                </c:pt>
                <c:pt idx="34">
                  <c:v>8.35</c:v>
                </c:pt>
                <c:pt idx="35">
                  <c:v>8.76</c:v>
                </c:pt>
                <c:pt idx="36">
                  <c:v>9.120000000000001</c:v>
                </c:pt>
                <c:pt idx="37">
                  <c:v>9.36</c:v>
                </c:pt>
                <c:pt idx="38">
                  <c:v>9.85</c:v>
                </c:pt>
                <c:pt idx="39">
                  <c:v>9.84</c:v>
                </c:pt>
                <c:pt idx="40">
                  <c:v>9.81</c:v>
                </c:pt>
                <c:pt idx="41">
                  <c:v>9.5300000000000011</c:v>
                </c:pt>
                <c:pt idx="42">
                  <c:v>9.2399999999999984</c:v>
                </c:pt>
                <c:pt idx="43">
                  <c:v>8.99</c:v>
                </c:pt>
                <c:pt idx="44">
                  <c:v>9.02</c:v>
                </c:pt>
                <c:pt idx="45">
                  <c:v>8.84</c:v>
                </c:pt>
                <c:pt idx="46">
                  <c:v>8.5500000000000007</c:v>
                </c:pt>
                <c:pt idx="47">
                  <c:v>8.4499999999999993</c:v>
                </c:pt>
                <c:pt idx="48">
                  <c:v>8.2299999999999986</c:v>
                </c:pt>
                <c:pt idx="49">
                  <c:v>8.2399999999999984</c:v>
                </c:pt>
                <c:pt idx="50">
                  <c:v>8.2800000000000011</c:v>
                </c:pt>
                <c:pt idx="51">
                  <c:v>8.26</c:v>
                </c:pt>
                <c:pt idx="52">
                  <c:v>8.18</c:v>
                </c:pt>
                <c:pt idx="53">
                  <c:v>8.2900000000000009</c:v>
                </c:pt>
                <c:pt idx="54">
                  <c:v>8.15</c:v>
                </c:pt>
                <c:pt idx="55">
                  <c:v>8.1300000000000008</c:v>
                </c:pt>
                <c:pt idx="56">
                  <c:v>8.2000000000000011</c:v>
                </c:pt>
                <c:pt idx="57">
                  <c:v>8.11</c:v>
                </c:pt>
                <c:pt idx="58">
                  <c:v>7.81</c:v>
                </c:pt>
                <c:pt idx="59">
                  <c:v>7.31</c:v>
                </c:pt>
                <c:pt idx="60">
                  <c:v>6.91</c:v>
                </c:pt>
                <c:pt idx="61">
                  <c:v>6.25</c:v>
                </c:pt>
                <c:pt idx="62">
                  <c:v>6.1199999999999974</c:v>
                </c:pt>
                <c:pt idx="63">
                  <c:v>5.91</c:v>
                </c:pt>
                <c:pt idx="64">
                  <c:v>5.78</c:v>
                </c:pt>
                <c:pt idx="65">
                  <c:v>5.9</c:v>
                </c:pt>
                <c:pt idx="66">
                  <c:v>5.8199999999999976</c:v>
                </c:pt>
                <c:pt idx="67">
                  <c:v>5.6599999999999957</c:v>
                </c:pt>
                <c:pt idx="68">
                  <c:v>5.45</c:v>
                </c:pt>
                <c:pt idx="69">
                  <c:v>5.21</c:v>
                </c:pt>
                <c:pt idx="70">
                  <c:v>4.8099999999999996</c:v>
                </c:pt>
                <c:pt idx="71">
                  <c:v>4.43</c:v>
                </c:pt>
                <c:pt idx="72">
                  <c:v>4.03</c:v>
                </c:pt>
                <c:pt idx="73">
                  <c:v>4.0599999999999996</c:v>
                </c:pt>
                <c:pt idx="74">
                  <c:v>3.98</c:v>
                </c:pt>
                <c:pt idx="75">
                  <c:v>3.73</c:v>
                </c:pt>
                <c:pt idx="76">
                  <c:v>3.82</c:v>
                </c:pt>
                <c:pt idx="77">
                  <c:v>3.76</c:v>
                </c:pt>
                <c:pt idx="78">
                  <c:v>3.25</c:v>
                </c:pt>
                <c:pt idx="79">
                  <c:v>3.3</c:v>
                </c:pt>
                <c:pt idx="80">
                  <c:v>3.22</c:v>
                </c:pt>
                <c:pt idx="81">
                  <c:v>3.1</c:v>
                </c:pt>
                <c:pt idx="82">
                  <c:v>3.09</c:v>
                </c:pt>
                <c:pt idx="83">
                  <c:v>2.92</c:v>
                </c:pt>
                <c:pt idx="84">
                  <c:v>3.02</c:v>
                </c:pt>
                <c:pt idx="85">
                  <c:v>3.03</c:v>
                </c:pt>
                <c:pt idx="86">
                  <c:v>3.07</c:v>
                </c:pt>
                <c:pt idx="87">
                  <c:v>2.96</c:v>
                </c:pt>
                <c:pt idx="88">
                  <c:v>3</c:v>
                </c:pt>
                <c:pt idx="89">
                  <c:v>3.04</c:v>
                </c:pt>
                <c:pt idx="90">
                  <c:v>3.06</c:v>
                </c:pt>
                <c:pt idx="91">
                  <c:v>3.03</c:v>
                </c:pt>
                <c:pt idx="92">
                  <c:v>3.09</c:v>
                </c:pt>
                <c:pt idx="93">
                  <c:v>2.99</c:v>
                </c:pt>
                <c:pt idx="94">
                  <c:v>3.02</c:v>
                </c:pt>
                <c:pt idx="95">
                  <c:v>2.96</c:v>
                </c:pt>
                <c:pt idx="96">
                  <c:v>3.05</c:v>
                </c:pt>
                <c:pt idx="97">
                  <c:v>3.25</c:v>
                </c:pt>
                <c:pt idx="98">
                  <c:v>3.34</c:v>
                </c:pt>
                <c:pt idx="99">
                  <c:v>3.56</c:v>
                </c:pt>
                <c:pt idx="100">
                  <c:v>4.01</c:v>
                </c:pt>
                <c:pt idx="101">
                  <c:v>4.25</c:v>
                </c:pt>
                <c:pt idx="102">
                  <c:v>4.26</c:v>
                </c:pt>
                <c:pt idx="103">
                  <c:v>4.47</c:v>
                </c:pt>
                <c:pt idx="104">
                  <c:v>4.7300000000000004</c:v>
                </c:pt>
                <c:pt idx="105">
                  <c:v>4.76</c:v>
                </c:pt>
                <c:pt idx="106">
                  <c:v>5.29</c:v>
                </c:pt>
                <c:pt idx="107">
                  <c:v>5.45</c:v>
                </c:pt>
                <c:pt idx="108">
                  <c:v>5.53</c:v>
                </c:pt>
                <c:pt idx="109">
                  <c:v>5.92</c:v>
                </c:pt>
                <c:pt idx="110">
                  <c:v>5.98</c:v>
                </c:pt>
                <c:pt idx="111">
                  <c:v>6.05</c:v>
                </c:pt>
                <c:pt idx="112">
                  <c:v>6.01</c:v>
                </c:pt>
                <c:pt idx="113">
                  <c:v>6</c:v>
                </c:pt>
                <c:pt idx="114">
                  <c:v>5.85</c:v>
                </c:pt>
                <c:pt idx="115">
                  <c:v>5.74</c:v>
                </c:pt>
                <c:pt idx="116">
                  <c:v>5.8</c:v>
                </c:pt>
                <c:pt idx="117">
                  <c:v>5.76</c:v>
                </c:pt>
                <c:pt idx="118">
                  <c:v>5.8</c:v>
                </c:pt>
                <c:pt idx="119">
                  <c:v>5.6</c:v>
                </c:pt>
                <c:pt idx="120">
                  <c:v>5.56</c:v>
                </c:pt>
                <c:pt idx="121">
                  <c:v>5.22</c:v>
                </c:pt>
                <c:pt idx="122">
                  <c:v>5.31</c:v>
                </c:pt>
                <c:pt idx="123">
                  <c:v>5.22</c:v>
                </c:pt>
                <c:pt idx="124">
                  <c:v>5.24</c:v>
                </c:pt>
                <c:pt idx="125">
                  <c:v>5.27</c:v>
                </c:pt>
                <c:pt idx="126">
                  <c:v>5.4</c:v>
                </c:pt>
                <c:pt idx="127">
                  <c:v>5.22</c:v>
                </c:pt>
                <c:pt idx="128">
                  <c:v>5.3</c:v>
                </c:pt>
                <c:pt idx="129">
                  <c:v>5.24</c:v>
                </c:pt>
                <c:pt idx="130">
                  <c:v>5.31</c:v>
                </c:pt>
                <c:pt idx="131">
                  <c:v>5.29</c:v>
                </c:pt>
                <c:pt idx="132">
                  <c:v>5.25</c:v>
                </c:pt>
                <c:pt idx="133">
                  <c:v>5.1899999999999986</c:v>
                </c:pt>
                <c:pt idx="134">
                  <c:v>5.39</c:v>
                </c:pt>
                <c:pt idx="135">
                  <c:v>5.51</c:v>
                </c:pt>
                <c:pt idx="136">
                  <c:v>5.5</c:v>
                </c:pt>
                <c:pt idx="137">
                  <c:v>5.56</c:v>
                </c:pt>
                <c:pt idx="138">
                  <c:v>5.52</c:v>
                </c:pt>
                <c:pt idx="139">
                  <c:v>5.54</c:v>
                </c:pt>
                <c:pt idx="140">
                  <c:v>5.54</c:v>
                </c:pt>
                <c:pt idx="141">
                  <c:v>5.5</c:v>
                </c:pt>
                <c:pt idx="142">
                  <c:v>5.52</c:v>
                </c:pt>
                <c:pt idx="143">
                  <c:v>5.5</c:v>
                </c:pt>
                <c:pt idx="144">
                  <c:v>5.56</c:v>
                </c:pt>
                <c:pt idx="145">
                  <c:v>5.51</c:v>
                </c:pt>
                <c:pt idx="146">
                  <c:v>5.49</c:v>
                </c:pt>
                <c:pt idx="147">
                  <c:v>5.45</c:v>
                </c:pt>
                <c:pt idx="148">
                  <c:v>5.49</c:v>
                </c:pt>
                <c:pt idx="149">
                  <c:v>5.56</c:v>
                </c:pt>
                <c:pt idx="150">
                  <c:v>5.54</c:v>
                </c:pt>
                <c:pt idx="151">
                  <c:v>5.55</c:v>
                </c:pt>
                <c:pt idx="152">
                  <c:v>5.51</c:v>
                </c:pt>
                <c:pt idx="153">
                  <c:v>5.07</c:v>
                </c:pt>
                <c:pt idx="154">
                  <c:v>4.83</c:v>
                </c:pt>
                <c:pt idx="155">
                  <c:v>4.68</c:v>
                </c:pt>
                <c:pt idx="156">
                  <c:v>4.63</c:v>
                </c:pt>
                <c:pt idx="157">
                  <c:v>4.76</c:v>
                </c:pt>
                <c:pt idx="158">
                  <c:v>4.8099999999999996</c:v>
                </c:pt>
                <c:pt idx="159">
                  <c:v>4.74</c:v>
                </c:pt>
                <c:pt idx="160">
                  <c:v>4.74</c:v>
                </c:pt>
                <c:pt idx="161">
                  <c:v>4.76</c:v>
                </c:pt>
                <c:pt idx="162">
                  <c:v>4.99</c:v>
                </c:pt>
                <c:pt idx="163">
                  <c:v>5.07</c:v>
                </c:pt>
                <c:pt idx="164">
                  <c:v>5.22</c:v>
                </c:pt>
                <c:pt idx="165">
                  <c:v>5.2</c:v>
                </c:pt>
                <c:pt idx="166">
                  <c:v>5.42</c:v>
                </c:pt>
                <c:pt idx="167">
                  <c:v>5.3</c:v>
                </c:pt>
                <c:pt idx="168">
                  <c:v>5.45</c:v>
                </c:pt>
                <c:pt idx="169">
                  <c:v>5.73</c:v>
                </c:pt>
                <c:pt idx="170">
                  <c:v>5.85</c:v>
                </c:pt>
                <c:pt idx="171">
                  <c:v>6.02</c:v>
                </c:pt>
                <c:pt idx="172">
                  <c:v>6.27</c:v>
                </c:pt>
                <c:pt idx="173">
                  <c:v>6.53</c:v>
                </c:pt>
                <c:pt idx="174">
                  <c:v>6.54</c:v>
                </c:pt>
                <c:pt idx="175">
                  <c:v>6.5</c:v>
                </c:pt>
                <c:pt idx="176">
                  <c:v>6.52</c:v>
                </c:pt>
                <c:pt idx="177">
                  <c:v>6.51</c:v>
                </c:pt>
                <c:pt idx="178">
                  <c:v>6.51</c:v>
                </c:pt>
                <c:pt idx="179">
                  <c:v>6.4</c:v>
                </c:pt>
                <c:pt idx="180">
                  <c:v>5.98</c:v>
                </c:pt>
                <c:pt idx="181">
                  <c:v>5.49</c:v>
                </c:pt>
                <c:pt idx="182">
                  <c:v>5.31</c:v>
                </c:pt>
                <c:pt idx="183">
                  <c:v>4.8</c:v>
                </c:pt>
                <c:pt idx="184">
                  <c:v>4.21</c:v>
                </c:pt>
                <c:pt idx="185">
                  <c:v>3.97</c:v>
                </c:pt>
                <c:pt idx="186">
                  <c:v>3.77</c:v>
                </c:pt>
                <c:pt idx="187">
                  <c:v>3.65</c:v>
                </c:pt>
                <c:pt idx="188">
                  <c:v>3.07</c:v>
                </c:pt>
                <c:pt idx="189">
                  <c:v>2.4900000000000002</c:v>
                </c:pt>
                <c:pt idx="190">
                  <c:v>2.09</c:v>
                </c:pt>
                <c:pt idx="191">
                  <c:v>1.82</c:v>
                </c:pt>
                <c:pt idx="192">
                  <c:v>1.73</c:v>
                </c:pt>
                <c:pt idx="193">
                  <c:v>1.74</c:v>
                </c:pt>
                <c:pt idx="194">
                  <c:v>1.73</c:v>
                </c:pt>
                <c:pt idx="195">
                  <c:v>1.75</c:v>
                </c:pt>
                <c:pt idx="196">
                  <c:v>1.75</c:v>
                </c:pt>
                <c:pt idx="197">
                  <c:v>1.75</c:v>
                </c:pt>
                <c:pt idx="198">
                  <c:v>1.73</c:v>
                </c:pt>
                <c:pt idx="199">
                  <c:v>1.74</c:v>
                </c:pt>
                <c:pt idx="200">
                  <c:v>1.75</c:v>
                </c:pt>
                <c:pt idx="201">
                  <c:v>1.75</c:v>
                </c:pt>
                <c:pt idx="202">
                  <c:v>1.34</c:v>
                </c:pt>
                <c:pt idx="203">
                  <c:v>1.24</c:v>
                </c:pt>
                <c:pt idx="204">
                  <c:v>1.24</c:v>
                </c:pt>
                <c:pt idx="205">
                  <c:v>1.26</c:v>
                </c:pt>
                <c:pt idx="206">
                  <c:v>1.25</c:v>
                </c:pt>
                <c:pt idx="207">
                  <c:v>1.26</c:v>
                </c:pt>
                <c:pt idx="208">
                  <c:v>1.26</c:v>
                </c:pt>
                <c:pt idx="209">
                  <c:v>1.22</c:v>
                </c:pt>
                <c:pt idx="210">
                  <c:v>1.01</c:v>
                </c:pt>
                <c:pt idx="211">
                  <c:v>1.03</c:v>
                </c:pt>
                <c:pt idx="212">
                  <c:v>1.01</c:v>
                </c:pt>
                <c:pt idx="213">
                  <c:v>1.01</c:v>
                </c:pt>
                <c:pt idx="214">
                  <c:v>1</c:v>
                </c:pt>
                <c:pt idx="215">
                  <c:v>0.98</c:v>
                </c:pt>
                <c:pt idx="216">
                  <c:v>1</c:v>
                </c:pt>
                <c:pt idx="217">
                  <c:v>1.01</c:v>
                </c:pt>
                <c:pt idx="218">
                  <c:v>1</c:v>
                </c:pt>
                <c:pt idx="219">
                  <c:v>1</c:v>
                </c:pt>
                <c:pt idx="220">
                  <c:v>1</c:v>
                </c:pt>
                <c:pt idx="221">
                  <c:v>1.03</c:v>
                </c:pt>
                <c:pt idx="222">
                  <c:v>1.26</c:v>
                </c:pt>
                <c:pt idx="223">
                  <c:v>1.43</c:v>
                </c:pt>
                <c:pt idx="224">
                  <c:v>1.61</c:v>
                </c:pt>
                <c:pt idx="225">
                  <c:v>1.76</c:v>
                </c:pt>
                <c:pt idx="226">
                  <c:v>1.93</c:v>
                </c:pt>
                <c:pt idx="227">
                  <c:v>2.16</c:v>
                </c:pt>
                <c:pt idx="228">
                  <c:v>2.2799999999999998</c:v>
                </c:pt>
                <c:pt idx="229">
                  <c:v>2.5</c:v>
                </c:pt>
                <c:pt idx="230">
                  <c:v>2.63</c:v>
                </c:pt>
                <c:pt idx="231">
                  <c:v>2.79</c:v>
                </c:pt>
                <c:pt idx="232">
                  <c:v>3</c:v>
                </c:pt>
                <c:pt idx="233">
                  <c:v>3.04</c:v>
                </c:pt>
                <c:pt idx="234">
                  <c:v>3.26</c:v>
                </c:pt>
                <c:pt idx="235">
                  <c:v>3.5</c:v>
                </c:pt>
                <c:pt idx="236">
                  <c:v>3.62</c:v>
                </c:pt>
                <c:pt idx="237">
                  <c:v>3.78</c:v>
                </c:pt>
                <c:pt idx="238">
                  <c:v>4</c:v>
                </c:pt>
                <c:pt idx="239">
                  <c:v>4.1599999999999966</c:v>
                </c:pt>
                <c:pt idx="240">
                  <c:v>4.29</c:v>
                </c:pt>
                <c:pt idx="241">
                  <c:v>4.49</c:v>
                </c:pt>
                <c:pt idx="242">
                  <c:v>4.59</c:v>
                </c:pt>
                <c:pt idx="243">
                  <c:v>4.79</c:v>
                </c:pt>
                <c:pt idx="244">
                  <c:v>4.9400000000000004</c:v>
                </c:pt>
                <c:pt idx="245">
                  <c:v>4.99</c:v>
                </c:pt>
                <c:pt idx="246">
                  <c:v>5.24</c:v>
                </c:pt>
                <c:pt idx="247">
                  <c:v>5.25</c:v>
                </c:pt>
                <c:pt idx="248">
                  <c:v>5.25</c:v>
                </c:pt>
                <c:pt idx="249">
                  <c:v>5.25</c:v>
                </c:pt>
                <c:pt idx="250">
                  <c:v>5.25</c:v>
                </c:pt>
                <c:pt idx="251">
                  <c:v>5.24</c:v>
                </c:pt>
                <c:pt idx="252">
                  <c:v>5.25</c:v>
                </c:pt>
                <c:pt idx="253">
                  <c:v>5.26</c:v>
                </c:pt>
                <c:pt idx="254">
                  <c:v>5.26</c:v>
                </c:pt>
                <c:pt idx="255">
                  <c:v>5.25</c:v>
                </c:pt>
                <c:pt idx="256">
                  <c:v>5.25</c:v>
                </c:pt>
                <c:pt idx="257">
                  <c:v>5.25</c:v>
                </c:pt>
                <c:pt idx="258">
                  <c:v>5.26</c:v>
                </c:pt>
                <c:pt idx="259">
                  <c:v>5.0199999999999996</c:v>
                </c:pt>
                <c:pt idx="260">
                  <c:v>4.9400000000000004</c:v>
                </c:pt>
                <c:pt idx="261">
                  <c:v>4.76</c:v>
                </c:pt>
                <c:pt idx="262">
                  <c:v>4.49</c:v>
                </c:pt>
                <c:pt idx="263">
                  <c:v>4.24</c:v>
                </c:pt>
                <c:pt idx="264">
                  <c:v>3.94</c:v>
                </c:pt>
                <c:pt idx="265">
                  <c:v>2.98</c:v>
                </c:pt>
                <c:pt idx="266">
                  <c:v>2.61</c:v>
                </c:pt>
                <c:pt idx="267">
                  <c:v>2.2799999999999998</c:v>
                </c:pt>
                <c:pt idx="268">
                  <c:v>1.98</c:v>
                </c:pt>
                <c:pt idx="269">
                  <c:v>2</c:v>
                </c:pt>
                <c:pt idx="270">
                  <c:v>2.0099999999999998</c:v>
                </c:pt>
                <c:pt idx="271">
                  <c:v>2</c:v>
                </c:pt>
                <c:pt idx="272">
                  <c:v>1.81</c:v>
                </c:pt>
                <c:pt idx="273">
                  <c:v>0.97</c:v>
                </c:pt>
                <c:pt idx="274">
                  <c:v>0.39</c:v>
                </c:pt>
                <c:pt idx="275">
                  <c:v>0.16</c:v>
                </c:pt>
                <c:pt idx="276">
                  <c:v>0.15</c:v>
                </c:pt>
                <c:pt idx="277">
                  <c:v>0.22</c:v>
                </c:pt>
                <c:pt idx="278">
                  <c:v>0.18</c:v>
                </c:pt>
                <c:pt idx="279">
                  <c:v>0.15</c:v>
                </c:pt>
                <c:pt idx="280">
                  <c:v>0.18</c:v>
                </c:pt>
                <c:pt idx="281">
                  <c:v>0.21</c:v>
                </c:pt>
                <c:pt idx="282">
                  <c:v>0.16</c:v>
                </c:pt>
                <c:pt idx="283">
                  <c:v>0.16</c:v>
                </c:pt>
                <c:pt idx="284">
                  <c:v>0.15</c:v>
                </c:pt>
                <c:pt idx="285">
                  <c:v>0.12</c:v>
                </c:pt>
                <c:pt idx="286">
                  <c:v>0.12</c:v>
                </c:pt>
                <c:pt idx="287">
                  <c:v>0.12</c:v>
                </c:pt>
                <c:pt idx="288">
                  <c:v>0.11</c:v>
                </c:pt>
                <c:pt idx="289">
                  <c:v>0.13</c:v>
                </c:pt>
                <c:pt idx="290">
                  <c:v>0.16</c:v>
                </c:pt>
                <c:pt idx="291">
                  <c:v>0.2</c:v>
                </c:pt>
                <c:pt idx="292">
                  <c:v>0.2</c:v>
                </c:pt>
                <c:pt idx="293">
                  <c:v>0.18</c:v>
                </c:pt>
                <c:pt idx="294">
                  <c:v>0.18</c:v>
                </c:pt>
                <c:pt idx="295">
                  <c:v>0.19</c:v>
                </c:pt>
                <c:pt idx="296">
                  <c:v>0.19</c:v>
                </c:pt>
                <c:pt idx="297">
                  <c:v>0.19</c:v>
                </c:pt>
                <c:pt idx="298">
                  <c:v>0.19</c:v>
                </c:pt>
                <c:pt idx="299">
                  <c:v>0.18</c:v>
                </c:pt>
                <c:pt idx="300">
                  <c:v>0.17</c:v>
                </c:pt>
                <c:pt idx="301">
                  <c:v>0.16</c:v>
                </c:pt>
                <c:pt idx="302">
                  <c:v>0.14000000000000001</c:v>
                </c:pt>
                <c:pt idx="303">
                  <c:v>0.1</c:v>
                </c:pt>
                <c:pt idx="304">
                  <c:v>0.09</c:v>
                </c:pt>
                <c:pt idx="305">
                  <c:v>0.09</c:v>
                </c:pt>
                <c:pt idx="306">
                  <c:v>7.0000000000000007E-2</c:v>
                </c:pt>
                <c:pt idx="307">
                  <c:v>0.1</c:v>
                </c:pt>
                <c:pt idx="308">
                  <c:v>0.08</c:v>
                </c:pt>
                <c:pt idx="309">
                  <c:v>7.0000000000000007E-2</c:v>
                </c:pt>
                <c:pt idx="310">
                  <c:v>0.08</c:v>
                </c:pt>
                <c:pt idx="311">
                  <c:v>7.0000000000000007E-2</c:v>
                </c:pt>
                <c:pt idx="312">
                  <c:v>0.08</c:v>
                </c:pt>
                <c:pt idx="313">
                  <c:v>0.1</c:v>
                </c:pt>
                <c:pt idx="314">
                  <c:v>0.13</c:v>
                </c:pt>
                <c:pt idx="315">
                  <c:v>0.14000000000000001</c:v>
                </c:pt>
                <c:pt idx="316">
                  <c:v>0.16</c:v>
                </c:pt>
                <c:pt idx="317">
                  <c:v>0.16</c:v>
                </c:pt>
                <c:pt idx="318">
                  <c:v>0.16</c:v>
                </c:pt>
                <c:pt idx="319">
                  <c:v>0.13</c:v>
                </c:pt>
                <c:pt idx="320">
                  <c:v>0.14000000000000001</c:v>
                </c:pt>
                <c:pt idx="321">
                  <c:v>0.16</c:v>
                </c:pt>
                <c:pt idx="322">
                  <c:v>0.16</c:v>
                </c:pt>
                <c:pt idx="323">
                  <c:v>0.16</c:v>
                </c:pt>
                <c:pt idx="324">
                  <c:v>0.14000000000000001</c:v>
                </c:pt>
                <c:pt idx="325">
                  <c:v>0.15</c:v>
                </c:pt>
                <c:pt idx="326">
                  <c:v>0.14000000000000001</c:v>
                </c:pt>
                <c:pt idx="327">
                  <c:v>0.15</c:v>
                </c:pt>
                <c:pt idx="328">
                  <c:v>0.11</c:v>
                </c:pt>
                <c:pt idx="329">
                  <c:v>0.09</c:v>
                </c:pt>
                <c:pt idx="330">
                  <c:v>0.09</c:v>
                </c:pt>
                <c:pt idx="331">
                  <c:v>0.08</c:v>
                </c:pt>
                <c:pt idx="332">
                  <c:v>0.08</c:v>
                </c:pt>
                <c:pt idx="333">
                  <c:v>0.09</c:v>
                </c:pt>
                <c:pt idx="334">
                  <c:v>0.08</c:v>
                </c:pt>
                <c:pt idx="335">
                  <c:v>0.09</c:v>
                </c:pt>
                <c:pt idx="336">
                  <c:v>7.0000000000000007E-2</c:v>
                </c:pt>
                <c:pt idx="337">
                  <c:v>7.0000000000000007E-2</c:v>
                </c:pt>
                <c:pt idx="338">
                  <c:v>0.08</c:v>
                </c:pt>
                <c:pt idx="339">
                  <c:v>0.09</c:v>
                </c:pt>
                <c:pt idx="340">
                  <c:v>0.09</c:v>
                </c:pt>
                <c:pt idx="341">
                  <c:v>0.1</c:v>
                </c:pt>
                <c:pt idx="342">
                  <c:v>0.09</c:v>
                </c:pt>
                <c:pt idx="343">
                  <c:v>0.09</c:v>
                </c:pt>
                <c:pt idx="344">
                  <c:v>0.09</c:v>
                </c:pt>
                <c:pt idx="345">
                  <c:v>0.09</c:v>
                </c:pt>
                <c:pt idx="346">
                  <c:v>0.09</c:v>
                </c:pt>
                <c:pt idx="347">
                  <c:v>0.12</c:v>
                </c:pt>
                <c:pt idx="348">
                  <c:v>0.11</c:v>
                </c:pt>
                <c:pt idx="349">
                  <c:v>0.11</c:v>
                </c:pt>
                <c:pt idx="350">
                  <c:v>0.11</c:v>
                </c:pt>
                <c:pt idx="351">
                  <c:v>0.12</c:v>
                </c:pt>
                <c:pt idx="352">
                  <c:v>0.12</c:v>
                </c:pt>
                <c:pt idx="353">
                  <c:v>0.13</c:v>
                </c:pt>
                <c:pt idx="354">
                  <c:v>0.13</c:v>
                </c:pt>
                <c:pt idx="355">
                  <c:v>0.14000000000000001</c:v>
                </c:pt>
                <c:pt idx="356">
                  <c:v>0.14000000000000001</c:v>
                </c:pt>
                <c:pt idx="357">
                  <c:v>0.12</c:v>
                </c:pt>
                <c:pt idx="358">
                  <c:v>0.12</c:v>
                </c:pt>
                <c:pt idx="359">
                  <c:v>0.24</c:v>
                </c:pt>
                <c:pt idx="360">
                  <c:v>0.34</c:v>
                </c:pt>
                <c:pt idx="361">
                  <c:v>0.38</c:v>
                </c:pt>
                <c:pt idx="362">
                  <c:v>0.36</c:v>
                </c:pt>
                <c:pt idx="363">
                  <c:v>0.37</c:v>
                </c:pt>
                <c:pt idx="364">
                  <c:v>0.37</c:v>
                </c:pt>
                <c:pt idx="365">
                  <c:v>0.38</c:v>
                </c:pt>
                <c:pt idx="366">
                  <c:v>0.39</c:v>
                </c:pt>
                <c:pt idx="367">
                  <c:v>0.4</c:v>
                </c:pt>
                <c:pt idx="368">
                  <c:v>0.4</c:v>
                </c:pt>
                <c:pt idx="369">
                  <c:v>0.4</c:v>
                </c:pt>
                <c:pt idx="370">
                  <c:v>0.41</c:v>
                </c:pt>
                <c:pt idx="371">
                  <c:v>0.54</c:v>
                </c:pt>
                <c:pt idx="372">
                  <c:v>0.65</c:v>
                </c:pt>
                <c:pt idx="373">
                  <c:v>0.66</c:v>
                </c:pt>
                <c:pt idx="374">
                  <c:v>0.79</c:v>
                </c:pt>
                <c:pt idx="375">
                  <c:v>0.9</c:v>
                </c:pt>
                <c:pt idx="376">
                  <c:v>0.91</c:v>
                </c:pt>
                <c:pt idx="377">
                  <c:v>1.04</c:v>
                </c:pt>
              </c:numCache>
            </c:numRef>
          </c:val>
          <c:smooth val="0"/>
          <c:extLst xmlns:c16r2="http://schemas.microsoft.com/office/drawing/2015/06/chart">
            <c:ext xmlns:c16="http://schemas.microsoft.com/office/drawing/2014/chart" uri="{C3380CC4-5D6E-409C-BE32-E72D297353CC}">
              <c16:uniqueId val="{00000001-5D6D-45C8-9510-4B9F4E7F208F}"/>
            </c:ext>
          </c:extLst>
        </c:ser>
        <c:dLbls>
          <c:showLegendKey val="0"/>
          <c:showVal val="0"/>
          <c:showCatName val="0"/>
          <c:showSerName val="0"/>
          <c:showPercent val="0"/>
          <c:showBubbleSize val="0"/>
        </c:dLbls>
        <c:marker val="1"/>
        <c:smooth val="0"/>
        <c:axId val="160911408"/>
        <c:axId val="160911024"/>
      </c:lineChart>
      <c:catAx>
        <c:axId val="1608444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latin typeface="Arial" panose="020B0604020202020204" pitchFamily="34" charset="0"/>
                    <a:cs typeface="Arial" panose="020B0604020202020204" pitchFamily="34" charset="0"/>
                  </a:rPr>
                  <a:t>Year</a:t>
                </a:r>
                <a:r>
                  <a:rPr lang="en-US" baseline="0">
                    <a:solidFill>
                      <a:schemeClr val="tx1"/>
                    </a:solidFill>
                    <a:latin typeface="Arial" panose="020B0604020202020204" pitchFamily="34" charset="0"/>
                    <a:cs typeface="Arial" panose="020B0604020202020204" pitchFamily="34" charset="0"/>
                  </a:rPr>
                  <a:t> (from 1986 to 2016)</a:t>
                </a:r>
                <a:endParaRPr lang="en-US">
                  <a:solidFill>
                    <a:schemeClr val="tx1"/>
                  </a:solidFill>
                  <a:latin typeface="Arial" panose="020B0604020202020204" pitchFamily="34" charset="0"/>
                  <a:cs typeface="Arial" panose="020B0604020202020204" pitchFamily="34" charset="0"/>
                </a:endParaRP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prstDash val="solid"/>
            <a:round/>
          </a:ln>
          <a:effectLst/>
        </c:spPr>
        <c:txPr>
          <a:bodyPr rot="-600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0906544"/>
        <c:crosses val="autoZero"/>
        <c:auto val="1"/>
        <c:lblAlgn val="ctr"/>
        <c:lblOffset val="100"/>
        <c:tickLblSkip val="24"/>
        <c:tickMarkSkip val="24"/>
        <c:noMultiLvlLbl val="0"/>
      </c:catAx>
      <c:valAx>
        <c:axId val="160906544"/>
        <c:scaling>
          <c:orientation val="minMax"/>
        </c:scaling>
        <c:delete val="0"/>
        <c:axPos val="l"/>
        <c:majorGridlines>
          <c:spPr>
            <a:ln w="9525" cap="flat" cmpd="sng" algn="ctr">
              <a:solidFill>
                <a:schemeClr val="dk1">
                  <a:shade val="95000"/>
                  <a:satMod val="105000"/>
                </a:schemeClr>
              </a:solidFill>
              <a:prstDash val="solid"/>
              <a:round/>
            </a:ln>
            <a:effectLst/>
          </c:spPr>
        </c:majorGridlines>
        <c:title>
          <c:tx>
            <c:rich>
              <a:bodyPr rot="-5400000" spcFirstLastPara="1" vertOverflow="ellipsis" vert="horz" wrap="square" anchor="ctr" anchorCtr="1"/>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solidFill>
                      <a:sysClr val="windowText" lastClr="000000"/>
                    </a:solidFill>
                    <a:latin typeface="Arial" panose="020B0604020202020204" pitchFamily="34" charset="0"/>
                    <a:cs typeface="Arial" panose="020B0604020202020204" pitchFamily="34" charset="0"/>
                  </a:rPr>
                  <a:t>PPI (Index</a:t>
                </a:r>
                <a:r>
                  <a:rPr lang="en-US" baseline="0">
                    <a:solidFill>
                      <a:sysClr val="windowText" lastClr="000000"/>
                    </a:solidFill>
                    <a:latin typeface="Arial" panose="020B0604020202020204" pitchFamily="34" charset="0"/>
                    <a:cs typeface="Arial" panose="020B0604020202020204" pitchFamily="34" charset="0"/>
                  </a:rPr>
                  <a:t> Jun 1985=100)</a:t>
                </a:r>
                <a:endParaRPr lang="en-US" b="0">
                  <a:solidFill>
                    <a:sysClr val="windowText" lastClr="000000"/>
                  </a:solidFill>
                  <a:latin typeface="Arial" panose="020B0604020202020204" pitchFamily="34" charset="0"/>
                  <a:cs typeface="Arial" panose="020B0604020202020204" pitchFamily="34" charset="0"/>
                </a:endParaRP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0844440"/>
        <c:crosses val="autoZero"/>
        <c:crossBetween val="between"/>
        <c:majorUnit val="100"/>
      </c:valAx>
      <c:valAx>
        <c:axId val="160911024"/>
        <c:scaling>
          <c:orientation val="minMax"/>
        </c:scaling>
        <c:delete val="0"/>
        <c:axPos val="r"/>
        <c:title>
          <c:tx>
            <c:rich>
              <a:bodyPr rot="-5400000" spcFirstLastPara="1" vertOverflow="ellipsis" vert="horz" wrap="square" anchor="ctr" anchorCtr="1"/>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solidFill>
                      <a:sysClr val="windowText" lastClr="000000"/>
                    </a:solidFill>
                    <a:latin typeface="Arial" panose="020B0604020202020204" pitchFamily="34" charset="0"/>
                    <a:cs typeface="Arial" panose="020B0604020202020204" pitchFamily="34" charset="0"/>
                  </a:rPr>
                  <a:t>FF rate </a:t>
                </a:r>
                <a:r>
                  <a:rPr lang="en-US" b="0">
                    <a:solidFill>
                      <a:sysClr val="windowText" lastClr="000000"/>
                    </a:solidFill>
                    <a:latin typeface="Arial" panose="020B0604020202020204" pitchFamily="34" charset="0"/>
                    <a:cs typeface="Arial" panose="020B0604020202020204" pitchFamily="34" charset="0"/>
                  </a:rPr>
                  <a:t>(%)</a:t>
                </a:r>
              </a:p>
            </c:rich>
          </c:tx>
          <c:layout>
            <c:manualLayout>
              <c:xMode val="edge"/>
              <c:yMode val="edge"/>
              <c:x val="0.93633159940674604"/>
              <c:y val="0.2549373596341690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0_);[Red]\(#,##0.0\)" sourceLinked="0"/>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0911408"/>
        <c:crosses val="max"/>
        <c:crossBetween val="between"/>
      </c:valAx>
      <c:catAx>
        <c:axId val="160911408"/>
        <c:scaling>
          <c:orientation val="minMax"/>
        </c:scaling>
        <c:delete val="1"/>
        <c:axPos val="b"/>
        <c:numFmt formatCode="General" sourceLinked="1"/>
        <c:majorTickMark val="none"/>
        <c:minorTickMark val="none"/>
        <c:tickLblPos val="nextTo"/>
        <c:crossAx val="160911024"/>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3175" cap="flat" cmpd="sng" algn="ctr">
      <a:solidFill>
        <a:schemeClr val="tx1"/>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6383A-6376-47B3-9ABC-73ABC9B9D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5715</Words>
  <Characters>32581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2018-02-14T00:39:00Z</cp:lastPrinted>
  <dcterms:created xsi:type="dcterms:W3CDTF">2018-02-22T20:39:00Z</dcterms:created>
  <dcterms:modified xsi:type="dcterms:W3CDTF">2018-03-09T22:24:00Z</dcterms:modified>
</cp:coreProperties>
</file>