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73422E" w14:paraId="28098E36" w14:textId="77777777" w:rsidTr="002E6A9C">
        <w:tc>
          <w:tcPr>
            <w:tcW w:w="4680" w:type="dxa"/>
            <w:shd w:val="clear" w:color="auto" w:fill="auto"/>
          </w:tcPr>
          <w:p w14:paraId="084CCB08" w14:textId="6BBA8D65" w:rsidR="0073422E" w:rsidRPr="00183661" w:rsidRDefault="0073422E" w:rsidP="002E6A9C">
            <w:pPr>
              <w:pStyle w:val="Casehead2"/>
            </w:pPr>
            <w:r w:rsidRPr="00A9392E">
              <w:rPr>
                <w:noProof/>
                <w:lang w:val="en-US"/>
              </w:rPr>
              <w:drawing>
                <wp:inline distT="0" distB="0" distL="0" distR="0" wp14:anchorId="055E9F43" wp14:editId="2C2D9504">
                  <wp:extent cx="261620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05159534" w14:textId="64175157" w:rsidR="0073422E" w:rsidRPr="00183661" w:rsidRDefault="0073422E" w:rsidP="002E6A9C">
            <w:pPr>
              <w:tabs>
                <w:tab w:val="left" w:pos="-1440"/>
                <w:tab w:val="left" w:pos="-720"/>
                <w:tab w:val="left" w:pos="1"/>
              </w:tabs>
              <w:jc w:val="right"/>
              <w:rPr>
                <w:rFonts w:ascii="Arial" w:hAnsi="Arial" w:cs="Calibri"/>
                <w:b/>
                <w:sz w:val="24"/>
              </w:rPr>
            </w:pPr>
            <w:r>
              <w:rPr>
                <w:noProof/>
                <w:lang w:val="en-US"/>
              </w:rPr>
              <mc:AlternateContent>
                <mc:Choice Requires="wpc">
                  <w:drawing>
                    <wp:inline distT="0" distB="0" distL="0" distR="0" wp14:anchorId="7A8CC496" wp14:editId="56F3DAA2">
                      <wp:extent cx="2063115" cy="431800"/>
                      <wp:effectExtent l="38100" t="76200" r="127635" b="2540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5E9B1DF" id="Canvas 3"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1330F41E" w14:textId="77777777" w:rsidR="00856D9F" w:rsidRPr="00E647EB" w:rsidRDefault="00856D9F" w:rsidP="008467D5">
      <w:pPr>
        <w:pBdr>
          <w:bottom w:val="single" w:sz="18" w:space="1" w:color="auto"/>
        </w:pBdr>
        <w:tabs>
          <w:tab w:val="left" w:pos="-1440"/>
          <w:tab w:val="left" w:pos="-720"/>
          <w:tab w:val="left" w:pos="1"/>
        </w:tabs>
        <w:jc w:val="both"/>
        <w:rPr>
          <w:rFonts w:ascii="Arial" w:hAnsi="Arial"/>
          <w:b/>
          <w:sz w:val="2"/>
          <w:szCs w:val="2"/>
        </w:rPr>
      </w:pPr>
    </w:p>
    <w:p w14:paraId="5811DB65" w14:textId="0082DE7B" w:rsidR="00D75295" w:rsidRPr="00CB6B09" w:rsidRDefault="00173677" w:rsidP="00682887">
      <w:pPr>
        <w:pStyle w:val="ProductNumber"/>
        <w:outlineLvl w:val="0"/>
      </w:pPr>
      <w:r>
        <w:t>9B18M032</w:t>
      </w:r>
    </w:p>
    <w:p w14:paraId="401A89E2" w14:textId="77777777" w:rsidR="00D75295" w:rsidRPr="00CB6B09" w:rsidRDefault="00D75295" w:rsidP="00D75295">
      <w:pPr>
        <w:jc w:val="right"/>
        <w:rPr>
          <w:rFonts w:ascii="Arial" w:hAnsi="Arial"/>
          <w:b/>
          <w:sz w:val="28"/>
          <w:szCs w:val="28"/>
        </w:rPr>
      </w:pPr>
    </w:p>
    <w:p w14:paraId="552874EC" w14:textId="77777777" w:rsidR="00866F6D" w:rsidRPr="00CB6B09" w:rsidRDefault="00866F6D" w:rsidP="00D75295">
      <w:pPr>
        <w:jc w:val="right"/>
        <w:rPr>
          <w:rFonts w:ascii="Arial" w:hAnsi="Arial"/>
          <w:b/>
          <w:sz w:val="28"/>
          <w:szCs w:val="28"/>
        </w:rPr>
      </w:pPr>
    </w:p>
    <w:p w14:paraId="0C1A6910" w14:textId="4B98B9A4" w:rsidR="00013360" w:rsidRPr="00CB6B09" w:rsidRDefault="00410E64" w:rsidP="00682887">
      <w:pPr>
        <w:pStyle w:val="CaseTitle"/>
        <w:spacing w:after="0" w:line="240" w:lineRule="auto"/>
        <w:outlineLvl w:val="0"/>
      </w:pPr>
      <w:r>
        <w:t>infosys: The buyout strategy for vision 2020</w:t>
      </w:r>
      <w:r w:rsidR="00473F55">
        <w:rPr>
          <w:rStyle w:val="EndnoteReference"/>
        </w:rPr>
        <w:endnoteReference w:id="1"/>
      </w:r>
    </w:p>
    <w:p w14:paraId="07516E9D" w14:textId="378D3206" w:rsidR="00CA3976" w:rsidRPr="00CB6B09" w:rsidRDefault="00CA3976" w:rsidP="00013360">
      <w:pPr>
        <w:pStyle w:val="CaseTitle"/>
        <w:spacing w:after="0" w:line="240" w:lineRule="auto"/>
        <w:rPr>
          <w:sz w:val="20"/>
          <w:szCs w:val="20"/>
        </w:rPr>
      </w:pPr>
    </w:p>
    <w:p w14:paraId="5A0D420B" w14:textId="77777777" w:rsidR="00013360" w:rsidRPr="00CB6B09" w:rsidRDefault="00013360" w:rsidP="00013360">
      <w:pPr>
        <w:pStyle w:val="CaseTitle"/>
        <w:spacing w:after="0" w:line="240" w:lineRule="auto"/>
        <w:rPr>
          <w:sz w:val="20"/>
          <w:szCs w:val="20"/>
        </w:rPr>
      </w:pPr>
    </w:p>
    <w:p w14:paraId="49AB8500" w14:textId="1427A618" w:rsidR="00013360" w:rsidRPr="00CB6B09" w:rsidRDefault="00410E64" w:rsidP="00104567">
      <w:pPr>
        <w:pStyle w:val="StyleCopyrightStatementAfter0ptBottomSinglesolidline1"/>
      </w:pPr>
      <w:r>
        <w:t>N. P. Singh and Nakul Gupta</w:t>
      </w:r>
      <w:r w:rsidR="007E5921" w:rsidRPr="00CB6B09">
        <w:t xml:space="preserve"> wrote this case sol</w:t>
      </w:r>
      <w:r w:rsidR="00D75295" w:rsidRPr="00CB6B09">
        <w:t>ely to provide material f</w:t>
      </w:r>
      <w:r w:rsidR="001A04F0">
        <w:t>or class discussion. The author</w:t>
      </w:r>
      <w:r w:rsidR="00F13166">
        <w:t>s</w:t>
      </w:r>
      <w:r w:rsidR="00D75295" w:rsidRPr="00CB6B09">
        <w:t xml:space="preserve"> do not intend to illustrate either effective or ineffective handling of a managerial situation. The authors may have disguised certain names and other identifying information to protect confidentiality.</w:t>
      </w:r>
    </w:p>
    <w:p w14:paraId="541A2525" w14:textId="77777777" w:rsidR="00013360" w:rsidRPr="00CB6B09" w:rsidRDefault="00013360" w:rsidP="00104567">
      <w:pPr>
        <w:pStyle w:val="StyleCopyrightStatementAfter0ptBottomSinglesolidline1"/>
      </w:pPr>
    </w:p>
    <w:p w14:paraId="33980BEA" w14:textId="67F8A7AF" w:rsidR="00E647EB" w:rsidRDefault="00E647EB" w:rsidP="00E647EB">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F13166">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B0DF1A3" w14:textId="77777777" w:rsidR="00E647EB" w:rsidRDefault="00E647EB" w:rsidP="00E647EB">
      <w:pPr>
        <w:pStyle w:val="StyleCopyrightStatementAfter0ptBottomSinglesolidline1"/>
        <w:pBdr>
          <w:top w:val="none" w:sz="0" w:space="0" w:color="auto"/>
        </w:pBdr>
      </w:pPr>
    </w:p>
    <w:p w14:paraId="30B9DB81" w14:textId="569B53E8" w:rsidR="003B7EF2" w:rsidRPr="00CB6B09" w:rsidRDefault="00E647EB" w:rsidP="00E647EB">
      <w:pPr>
        <w:pStyle w:val="StyleStyleCopyrightStatementAfter0ptBottomSinglesolid"/>
        <w:outlineLvl w:val="0"/>
      </w:pPr>
      <w:r>
        <w:t xml:space="preserve">Copyright © 2018, </w:t>
      </w:r>
      <w:r w:rsidR="0073422E" w:rsidRPr="003C00BC">
        <w:rPr>
          <w:spacing w:val="-6"/>
        </w:rPr>
        <w:t xml:space="preserve">Management Development Institute Gurgaon </w:t>
      </w:r>
      <w:r w:rsidR="0073422E">
        <w:rPr>
          <w:spacing w:val="-6"/>
        </w:rPr>
        <w:t xml:space="preserve">and </w:t>
      </w:r>
      <w:r>
        <w:t>Ivey Business School Foundation</w:t>
      </w:r>
      <w:r>
        <w:tab/>
        <w:t>Version: 2018-</w:t>
      </w:r>
      <w:r w:rsidR="00481B06">
        <w:t>03-09</w:t>
      </w:r>
    </w:p>
    <w:p w14:paraId="6526B3E2" w14:textId="77777777" w:rsidR="003B7EF2" w:rsidRPr="00CB6B09" w:rsidRDefault="003B7EF2" w:rsidP="00104567">
      <w:pPr>
        <w:pStyle w:val="StyleCopyrightStatementAfter0ptBottomSinglesolidline1"/>
        <w:rPr>
          <w:rFonts w:ascii="Times New Roman" w:hAnsi="Times New Roman"/>
          <w:sz w:val="20"/>
        </w:rPr>
      </w:pPr>
    </w:p>
    <w:p w14:paraId="18CFE502" w14:textId="77777777" w:rsidR="003B7EF2" w:rsidRDefault="003B7EF2" w:rsidP="00BB3AAA">
      <w:pPr>
        <w:pStyle w:val="BodyTextMain"/>
      </w:pPr>
    </w:p>
    <w:p w14:paraId="578C6B88" w14:textId="501BAA01" w:rsidR="00906F6A" w:rsidRDefault="00410E64" w:rsidP="00410E64">
      <w:pPr>
        <w:pStyle w:val="BodyTextMain"/>
        <w:rPr>
          <w:lang w:val="en-CA"/>
        </w:rPr>
      </w:pPr>
      <w:r w:rsidRPr="00E855CA">
        <w:rPr>
          <w:lang w:val="en-CA"/>
        </w:rPr>
        <w:t>Infosys</w:t>
      </w:r>
      <w:r w:rsidR="00EA2346">
        <w:rPr>
          <w:lang w:val="en-CA"/>
        </w:rPr>
        <w:t xml:space="preserve"> Limited</w:t>
      </w:r>
      <w:r w:rsidR="00F13166">
        <w:rPr>
          <w:lang w:val="en-CA"/>
        </w:rPr>
        <w:t xml:space="preserve"> (Infosys)</w:t>
      </w:r>
      <w:r w:rsidRPr="00E855CA">
        <w:rPr>
          <w:lang w:val="en-CA"/>
        </w:rPr>
        <w:t>, India</w:t>
      </w:r>
      <w:r w:rsidR="00682887">
        <w:rPr>
          <w:lang w:val="en-CA"/>
        </w:rPr>
        <w:t>’</w:t>
      </w:r>
      <w:r w:rsidRPr="00E855CA">
        <w:rPr>
          <w:lang w:val="en-CA"/>
        </w:rPr>
        <w:t xml:space="preserve">s second-largest software service provider, </w:t>
      </w:r>
      <w:r w:rsidR="00E01179">
        <w:rPr>
          <w:lang w:val="en-CA"/>
        </w:rPr>
        <w:t xml:space="preserve">released its annual financial report </w:t>
      </w:r>
      <w:r w:rsidR="005742EF">
        <w:rPr>
          <w:lang w:val="en-CA"/>
        </w:rPr>
        <w:t>in June 2017</w:t>
      </w:r>
      <w:r w:rsidR="00682887">
        <w:rPr>
          <w:lang w:val="en-CA"/>
        </w:rPr>
        <w:t>.</w:t>
      </w:r>
      <w:r w:rsidRPr="00824F98">
        <w:rPr>
          <w:rStyle w:val="EndnoteReference"/>
        </w:rPr>
        <w:endnoteReference w:id="2"/>
      </w:r>
      <w:r w:rsidRPr="00E855CA">
        <w:rPr>
          <w:lang w:val="en-CA"/>
        </w:rPr>
        <w:t xml:space="preserve"> The report indicated that</w:t>
      </w:r>
      <w:r w:rsidR="00682887">
        <w:rPr>
          <w:lang w:val="en-CA"/>
        </w:rPr>
        <w:t xml:space="preserve"> although </w:t>
      </w:r>
      <w:r w:rsidRPr="00E855CA">
        <w:rPr>
          <w:lang w:val="en-CA"/>
        </w:rPr>
        <w:t>the company</w:t>
      </w:r>
      <w:r w:rsidR="00682887">
        <w:rPr>
          <w:lang w:val="en-CA"/>
        </w:rPr>
        <w:t xml:space="preserve"> had</w:t>
      </w:r>
      <w:r w:rsidRPr="00E855CA">
        <w:rPr>
          <w:lang w:val="en-CA"/>
        </w:rPr>
        <w:t xml:space="preserve"> grow</w:t>
      </w:r>
      <w:r w:rsidR="00682887">
        <w:rPr>
          <w:lang w:val="en-CA"/>
        </w:rPr>
        <w:t>n</w:t>
      </w:r>
      <w:r w:rsidRPr="00E855CA">
        <w:rPr>
          <w:lang w:val="en-CA"/>
        </w:rPr>
        <w:t xml:space="preserve">, </w:t>
      </w:r>
      <w:r w:rsidR="00682887">
        <w:rPr>
          <w:lang w:val="en-CA"/>
        </w:rPr>
        <w:t xml:space="preserve">it had </w:t>
      </w:r>
      <w:r w:rsidRPr="00E855CA">
        <w:rPr>
          <w:lang w:val="en-CA"/>
        </w:rPr>
        <w:t>grow</w:t>
      </w:r>
      <w:r w:rsidR="00682887">
        <w:rPr>
          <w:lang w:val="en-CA"/>
        </w:rPr>
        <w:t>n</w:t>
      </w:r>
      <w:r w:rsidRPr="00E855CA">
        <w:rPr>
          <w:lang w:val="en-CA"/>
        </w:rPr>
        <w:t xml:space="preserve"> slow</w:t>
      </w:r>
      <w:r w:rsidR="00682887">
        <w:rPr>
          <w:lang w:val="en-CA"/>
        </w:rPr>
        <w:t>ly</w:t>
      </w:r>
      <w:r w:rsidRPr="00E855CA">
        <w:rPr>
          <w:lang w:val="en-CA"/>
        </w:rPr>
        <w:t xml:space="preserve">. </w:t>
      </w:r>
      <w:r w:rsidR="00ED05BB">
        <w:rPr>
          <w:lang w:val="en-CA"/>
        </w:rPr>
        <w:t xml:space="preserve">However, </w:t>
      </w:r>
      <w:r w:rsidRPr="00E855CA">
        <w:rPr>
          <w:lang w:val="en-CA"/>
        </w:rPr>
        <w:t xml:space="preserve">Infosys had set an ambitious </w:t>
      </w:r>
      <w:r w:rsidR="005742EF">
        <w:rPr>
          <w:lang w:val="en-CA"/>
        </w:rPr>
        <w:t>goal</w:t>
      </w:r>
      <w:r w:rsidRPr="00E855CA">
        <w:rPr>
          <w:lang w:val="en-CA"/>
        </w:rPr>
        <w:t xml:space="preserve"> for the coming years, which it referred to as “Vision 2020”</w:t>
      </w:r>
      <w:r w:rsidR="005742EF">
        <w:rPr>
          <w:lang w:val="en-CA"/>
        </w:rPr>
        <w:t>—</w:t>
      </w:r>
      <w:r w:rsidRPr="00E855CA">
        <w:rPr>
          <w:lang w:val="en-CA"/>
        </w:rPr>
        <w:t>achiev</w:t>
      </w:r>
      <w:r w:rsidR="00682887">
        <w:rPr>
          <w:lang w:val="en-CA"/>
        </w:rPr>
        <w:t>e</w:t>
      </w:r>
      <w:r w:rsidRPr="00E855CA">
        <w:rPr>
          <w:lang w:val="en-CA"/>
        </w:rPr>
        <w:t xml:space="preserve"> US$20 billion</w:t>
      </w:r>
      <w:r w:rsidR="00682887">
        <w:rPr>
          <w:rStyle w:val="EndnoteReference"/>
          <w:lang w:val="en-CA"/>
        </w:rPr>
        <w:endnoteReference w:id="3"/>
      </w:r>
      <w:r w:rsidRPr="00E855CA">
        <w:rPr>
          <w:lang w:val="en-CA"/>
        </w:rPr>
        <w:t xml:space="preserve"> in revenue at a 30 per cent net margin and revenue of $80,000</w:t>
      </w:r>
      <w:r w:rsidR="00682887" w:rsidRPr="00682887">
        <w:rPr>
          <w:lang w:val="en-CA"/>
        </w:rPr>
        <w:t xml:space="preserve"> </w:t>
      </w:r>
      <w:r w:rsidR="00682887" w:rsidRPr="00E855CA">
        <w:rPr>
          <w:lang w:val="en-CA"/>
        </w:rPr>
        <w:t>per employee</w:t>
      </w:r>
      <w:r w:rsidRPr="00E855CA">
        <w:rPr>
          <w:lang w:val="en-CA"/>
        </w:rPr>
        <w:t xml:space="preserve">. If Infosys were to realize this goal by 2020 (which had been depicted </w:t>
      </w:r>
      <w:r w:rsidR="005742EF">
        <w:rPr>
          <w:lang w:val="en-CA"/>
        </w:rPr>
        <w:t xml:space="preserve">in the media </w:t>
      </w:r>
      <w:r w:rsidRPr="00E855CA">
        <w:rPr>
          <w:lang w:val="en-CA"/>
        </w:rPr>
        <w:t>as a “far-fetched” goal)</w:t>
      </w:r>
      <w:r w:rsidR="00682887">
        <w:rPr>
          <w:lang w:val="en-CA"/>
        </w:rPr>
        <w:t>,</w:t>
      </w:r>
      <w:r w:rsidRPr="00824F98">
        <w:rPr>
          <w:rStyle w:val="EndnoteReference"/>
        </w:rPr>
        <w:endnoteReference w:id="4"/>
      </w:r>
      <w:r w:rsidRPr="00E855CA">
        <w:rPr>
          <w:lang w:val="en-CA"/>
        </w:rPr>
        <w:t xml:space="preserve"> </w:t>
      </w:r>
      <w:r w:rsidR="000A68ED">
        <w:rPr>
          <w:lang w:val="en-CA"/>
        </w:rPr>
        <w:t>its</w:t>
      </w:r>
      <w:r w:rsidR="000A68ED" w:rsidRPr="00E855CA">
        <w:rPr>
          <w:lang w:val="en-CA"/>
        </w:rPr>
        <w:t xml:space="preserve"> </w:t>
      </w:r>
      <w:r w:rsidRPr="00E855CA">
        <w:rPr>
          <w:lang w:val="en-CA"/>
        </w:rPr>
        <w:t>8–9 per cent annual growth</w:t>
      </w:r>
      <w:r w:rsidRPr="00824F98">
        <w:rPr>
          <w:rStyle w:val="EndnoteReference"/>
        </w:rPr>
        <w:endnoteReference w:id="5"/>
      </w:r>
      <w:r w:rsidRPr="00E855CA">
        <w:rPr>
          <w:lang w:val="en-CA"/>
        </w:rPr>
        <w:t xml:space="preserve"> had to be improved. </w:t>
      </w:r>
    </w:p>
    <w:p w14:paraId="2396C423" w14:textId="77777777" w:rsidR="00906F6A" w:rsidRDefault="00906F6A" w:rsidP="00410E64">
      <w:pPr>
        <w:pStyle w:val="BodyTextMain"/>
        <w:rPr>
          <w:lang w:val="en-CA"/>
        </w:rPr>
      </w:pPr>
    </w:p>
    <w:p w14:paraId="577A6563" w14:textId="220421E9" w:rsidR="00410E64" w:rsidRPr="00E855CA" w:rsidRDefault="000A68ED" w:rsidP="00906F6A">
      <w:pPr>
        <w:pStyle w:val="BodyTextMain"/>
        <w:rPr>
          <w:color w:val="000000"/>
          <w:lang w:val="en-CA"/>
        </w:rPr>
      </w:pPr>
      <w:r>
        <w:rPr>
          <w:lang w:val="en-CA"/>
        </w:rPr>
        <w:t xml:space="preserve">To scale up quickly, </w:t>
      </w:r>
      <w:r w:rsidR="00410E64" w:rsidRPr="00E855CA">
        <w:rPr>
          <w:lang w:val="en-CA"/>
        </w:rPr>
        <w:t xml:space="preserve">Infosys would </w:t>
      </w:r>
      <w:r w:rsidR="00682887">
        <w:rPr>
          <w:lang w:val="en-CA"/>
        </w:rPr>
        <w:t>need</w:t>
      </w:r>
      <w:r w:rsidR="00682887" w:rsidRPr="00E855CA">
        <w:rPr>
          <w:lang w:val="en-CA"/>
        </w:rPr>
        <w:t xml:space="preserve"> </w:t>
      </w:r>
      <w:r w:rsidR="00410E64" w:rsidRPr="00E855CA">
        <w:rPr>
          <w:lang w:val="en-CA"/>
        </w:rPr>
        <w:t>to leverage inorganic growth opportunities such as acquisitions</w:t>
      </w:r>
      <w:r w:rsidR="00682887">
        <w:rPr>
          <w:lang w:val="en-CA"/>
        </w:rPr>
        <w:t>.</w:t>
      </w:r>
      <w:r w:rsidR="00410E64" w:rsidRPr="00E855CA">
        <w:rPr>
          <w:rStyle w:val="EndnoteReference"/>
          <w:color w:val="0D0D0D"/>
          <w:lang w:val="en-CA"/>
        </w:rPr>
        <w:endnoteReference w:id="6"/>
      </w:r>
      <w:r w:rsidR="00906F6A">
        <w:rPr>
          <w:color w:val="000000"/>
          <w:lang w:val="en-CA"/>
        </w:rPr>
        <w:t xml:space="preserve"> </w:t>
      </w:r>
      <w:r w:rsidR="00410E64" w:rsidRPr="00E855CA">
        <w:rPr>
          <w:color w:val="000000"/>
          <w:lang w:val="en-CA"/>
        </w:rPr>
        <w:t xml:space="preserve">Infosys </w:t>
      </w:r>
      <w:r w:rsidR="001B2FE9">
        <w:rPr>
          <w:color w:val="000000"/>
          <w:lang w:val="en-CA"/>
        </w:rPr>
        <w:t xml:space="preserve">had </w:t>
      </w:r>
      <w:r w:rsidR="00906F6A">
        <w:rPr>
          <w:color w:val="000000"/>
          <w:lang w:val="en-CA"/>
        </w:rPr>
        <w:t xml:space="preserve">already </w:t>
      </w:r>
      <w:r w:rsidR="00410E64" w:rsidRPr="00E855CA">
        <w:rPr>
          <w:color w:val="000000"/>
          <w:lang w:val="en-CA"/>
        </w:rPr>
        <w:t>made nine acquisitions</w:t>
      </w:r>
      <w:r>
        <w:rPr>
          <w:color w:val="000000"/>
          <w:lang w:val="en-CA"/>
        </w:rPr>
        <w:t xml:space="preserve"> </w:t>
      </w:r>
      <w:r w:rsidR="00906F6A">
        <w:rPr>
          <w:color w:val="000000"/>
          <w:lang w:val="en-CA"/>
        </w:rPr>
        <w:t xml:space="preserve">between 2000 and 2016 </w:t>
      </w:r>
      <w:r w:rsidR="00A367F0">
        <w:rPr>
          <w:color w:val="000000"/>
          <w:lang w:val="en-CA"/>
        </w:rPr>
        <w:t>(see Exhibit 1</w:t>
      </w:r>
      <w:r w:rsidR="00906F6A">
        <w:rPr>
          <w:color w:val="000000"/>
          <w:lang w:val="en-CA"/>
        </w:rPr>
        <w:t>), but</w:t>
      </w:r>
      <w:r w:rsidR="00906F6A" w:rsidRPr="00E855CA">
        <w:rPr>
          <w:color w:val="000000"/>
          <w:lang w:val="en-CA"/>
        </w:rPr>
        <w:t xml:space="preserve"> </w:t>
      </w:r>
      <w:r w:rsidR="00906F6A">
        <w:rPr>
          <w:color w:val="000000"/>
          <w:lang w:val="en-CA"/>
        </w:rPr>
        <w:t>o</w:t>
      </w:r>
      <w:r w:rsidR="00410E64" w:rsidRPr="00E855CA">
        <w:rPr>
          <w:color w:val="000000"/>
          <w:lang w:val="en-CA"/>
        </w:rPr>
        <w:t>f these, two had led to controversy</w:t>
      </w:r>
      <w:r w:rsidR="00906F6A">
        <w:rPr>
          <w:color w:val="000000"/>
          <w:lang w:val="en-CA"/>
        </w:rPr>
        <w:t>.</w:t>
      </w:r>
      <w:r>
        <w:rPr>
          <w:color w:val="000000"/>
          <w:lang w:val="en-CA"/>
        </w:rPr>
        <w:t xml:space="preserve"> </w:t>
      </w:r>
      <w:r w:rsidR="00410E64" w:rsidRPr="00E855CA">
        <w:rPr>
          <w:color w:val="000000"/>
          <w:lang w:val="en-CA"/>
        </w:rPr>
        <w:t>Lodestone</w:t>
      </w:r>
      <w:r>
        <w:rPr>
          <w:color w:val="000000"/>
          <w:lang w:val="en-CA"/>
        </w:rPr>
        <w:t xml:space="preserve"> </w:t>
      </w:r>
      <w:r w:rsidRPr="00824F98">
        <w:rPr>
          <w:color w:val="000000"/>
          <w:lang w:val="en-CA"/>
        </w:rPr>
        <w:t>Management Consultants</w:t>
      </w:r>
      <w:r w:rsidR="00410E64" w:rsidRPr="00E855CA">
        <w:rPr>
          <w:color w:val="000000"/>
          <w:lang w:val="en-CA"/>
        </w:rPr>
        <w:t xml:space="preserve"> </w:t>
      </w:r>
      <w:r>
        <w:rPr>
          <w:color w:val="000000"/>
          <w:lang w:val="en-CA"/>
        </w:rPr>
        <w:t xml:space="preserve">had been </w:t>
      </w:r>
      <w:r w:rsidR="00410E64" w:rsidRPr="00E855CA">
        <w:rPr>
          <w:color w:val="000000"/>
          <w:lang w:val="en-CA"/>
        </w:rPr>
        <w:t>bought for $345 million</w:t>
      </w:r>
      <w:r>
        <w:rPr>
          <w:color w:val="000000"/>
          <w:lang w:val="en-CA"/>
        </w:rPr>
        <w:t>,</w:t>
      </w:r>
      <w:r w:rsidR="00410E64" w:rsidRPr="00E855CA">
        <w:rPr>
          <w:color w:val="000000"/>
          <w:lang w:val="en-CA"/>
        </w:rPr>
        <w:t xml:space="preserve"> </w:t>
      </w:r>
      <w:r>
        <w:rPr>
          <w:color w:val="000000"/>
          <w:lang w:val="en-CA"/>
        </w:rPr>
        <w:t>then</w:t>
      </w:r>
      <w:r w:rsidRPr="00E855CA">
        <w:rPr>
          <w:color w:val="000000"/>
          <w:lang w:val="en-CA"/>
        </w:rPr>
        <w:t xml:space="preserve"> </w:t>
      </w:r>
      <w:r w:rsidR="00410E64" w:rsidRPr="00E855CA">
        <w:rPr>
          <w:color w:val="000000"/>
          <w:lang w:val="en-CA"/>
        </w:rPr>
        <w:t xml:space="preserve">acknowledged a few years later to have been </w:t>
      </w:r>
      <w:r w:rsidR="001B2FE9">
        <w:rPr>
          <w:color w:val="000000"/>
          <w:lang w:val="en-CA"/>
        </w:rPr>
        <w:t xml:space="preserve">a </w:t>
      </w:r>
      <w:r w:rsidR="00410E64" w:rsidRPr="00E855CA">
        <w:rPr>
          <w:color w:val="000000"/>
          <w:lang w:val="en-CA"/>
        </w:rPr>
        <w:t>bad acquisition</w:t>
      </w:r>
      <w:r>
        <w:rPr>
          <w:color w:val="000000"/>
          <w:lang w:val="en-CA"/>
        </w:rPr>
        <w:t>.</w:t>
      </w:r>
      <w:r w:rsidR="00410E64" w:rsidRPr="00E855CA">
        <w:rPr>
          <w:rStyle w:val="EndnoteReference"/>
          <w:color w:val="000000"/>
          <w:lang w:val="en-CA"/>
        </w:rPr>
        <w:endnoteReference w:id="7"/>
      </w:r>
      <w:r w:rsidR="00410E64" w:rsidRPr="00E855CA">
        <w:rPr>
          <w:color w:val="000000"/>
          <w:lang w:val="en-CA"/>
        </w:rPr>
        <w:t xml:space="preserve"> Panaya</w:t>
      </w:r>
      <w:r>
        <w:rPr>
          <w:color w:val="000000"/>
          <w:lang w:val="en-CA"/>
        </w:rPr>
        <w:t>, acquired</w:t>
      </w:r>
      <w:r w:rsidR="00410E64" w:rsidRPr="00E855CA">
        <w:rPr>
          <w:color w:val="000000"/>
          <w:lang w:val="en-CA"/>
        </w:rPr>
        <w:t xml:space="preserve"> for a value of $200 million</w:t>
      </w:r>
      <w:r>
        <w:rPr>
          <w:color w:val="000000"/>
          <w:lang w:val="en-CA"/>
        </w:rPr>
        <w:t xml:space="preserve">, </w:t>
      </w:r>
      <w:r w:rsidR="00E84DC6">
        <w:rPr>
          <w:color w:val="000000"/>
          <w:lang w:val="en-CA"/>
        </w:rPr>
        <w:t xml:space="preserve">raised questions </w:t>
      </w:r>
      <w:r>
        <w:rPr>
          <w:color w:val="000000"/>
          <w:lang w:val="en-CA"/>
        </w:rPr>
        <w:t>about</w:t>
      </w:r>
      <w:r w:rsidR="00410E64" w:rsidRPr="00E855CA">
        <w:rPr>
          <w:color w:val="000000"/>
          <w:lang w:val="en-CA"/>
        </w:rPr>
        <w:t xml:space="preserve"> the price paid for the acquisition</w:t>
      </w:r>
      <w:r w:rsidR="00034FA8">
        <w:rPr>
          <w:color w:val="000000"/>
          <w:lang w:val="en-CA"/>
        </w:rPr>
        <w:t>:</w:t>
      </w:r>
      <w:r w:rsidR="00410E64" w:rsidRPr="00E855CA">
        <w:rPr>
          <w:color w:val="000000"/>
          <w:lang w:val="en-CA"/>
        </w:rPr>
        <w:t xml:space="preserve"> </w:t>
      </w:r>
      <w:r w:rsidR="00034FA8">
        <w:rPr>
          <w:color w:val="000000"/>
          <w:lang w:val="en-CA"/>
        </w:rPr>
        <w:t>t</w:t>
      </w:r>
      <w:r w:rsidR="00410E64" w:rsidRPr="00E855CA">
        <w:rPr>
          <w:color w:val="000000"/>
          <w:lang w:val="en-CA"/>
        </w:rPr>
        <w:t>he month</w:t>
      </w:r>
      <w:r w:rsidR="00372F3F">
        <w:rPr>
          <w:color w:val="000000"/>
          <w:lang w:val="en-CA"/>
        </w:rPr>
        <w:t xml:space="preserve"> before acquisition</w:t>
      </w:r>
      <w:r w:rsidR="00410E64" w:rsidRPr="00E855CA">
        <w:rPr>
          <w:color w:val="000000"/>
          <w:lang w:val="en-CA"/>
        </w:rPr>
        <w:t xml:space="preserve">, </w:t>
      </w:r>
      <w:r w:rsidR="00906F6A" w:rsidRPr="00E855CA">
        <w:rPr>
          <w:color w:val="000000"/>
          <w:lang w:val="en-CA"/>
        </w:rPr>
        <w:t>Israel Growth Partners</w:t>
      </w:r>
      <w:r w:rsidR="00906F6A" w:rsidRPr="00E855CA" w:rsidDel="00372F3F">
        <w:rPr>
          <w:color w:val="000000"/>
          <w:lang w:val="en-CA"/>
        </w:rPr>
        <w:t xml:space="preserve"> </w:t>
      </w:r>
      <w:r w:rsidR="00906F6A">
        <w:rPr>
          <w:color w:val="000000"/>
          <w:lang w:val="en-CA"/>
        </w:rPr>
        <w:t xml:space="preserve">valued </w:t>
      </w:r>
      <w:r w:rsidR="00372F3F">
        <w:rPr>
          <w:color w:val="000000"/>
          <w:lang w:val="en-CA"/>
        </w:rPr>
        <w:t>Panaya</w:t>
      </w:r>
      <w:r w:rsidR="00410E64" w:rsidRPr="00E855CA">
        <w:rPr>
          <w:color w:val="000000"/>
          <w:lang w:val="en-CA"/>
        </w:rPr>
        <w:t xml:space="preserve"> at </w:t>
      </w:r>
      <w:r w:rsidR="00906F6A">
        <w:rPr>
          <w:color w:val="000000"/>
          <w:lang w:val="en-CA"/>
        </w:rPr>
        <w:t>20 per cent less (</w:t>
      </w:r>
      <w:r w:rsidR="00410E64" w:rsidRPr="00E855CA">
        <w:rPr>
          <w:color w:val="000000"/>
          <w:lang w:val="en-CA"/>
        </w:rPr>
        <w:t>$162 million</w:t>
      </w:r>
      <w:r w:rsidR="00906F6A">
        <w:rPr>
          <w:color w:val="000000"/>
          <w:lang w:val="en-CA"/>
        </w:rPr>
        <w:t>)</w:t>
      </w:r>
      <w:r w:rsidR="00410E64" w:rsidRPr="00E855CA">
        <w:rPr>
          <w:color w:val="000000"/>
          <w:lang w:val="en-CA"/>
        </w:rPr>
        <w:t xml:space="preserve"> </w:t>
      </w:r>
      <w:r w:rsidR="00906F6A">
        <w:rPr>
          <w:color w:val="000000"/>
          <w:lang w:val="en-CA"/>
        </w:rPr>
        <w:t xml:space="preserve">when they </w:t>
      </w:r>
      <w:r w:rsidR="00034FA8">
        <w:rPr>
          <w:color w:val="000000"/>
          <w:lang w:val="en-CA"/>
        </w:rPr>
        <w:t>invested</w:t>
      </w:r>
      <w:r w:rsidR="00410E64" w:rsidRPr="00E855CA">
        <w:rPr>
          <w:color w:val="000000"/>
          <w:lang w:val="en-CA"/>
        </w:rPr>
        <w:t xml:space="preserve"> $20 million </w:t>
      </w:r>
      <w:r w:rsidR="00906F6A">
        <w:rPr>
          <w:color w:val="000000"/>
          <w:lang w:val="en-CA"/>
        </w:rPr>
        <w:t>for</w:t>
      </w:r>
      <w:r w:rsidR="00410E64" w:rsidRPr="00E855CA">
        <w:rPr>
          <w:color w:val="000000"/>
          <w:lang w:val="en-CA"/>
        </w:rPr>
        <w:t xml:space="preserve"> a 12.31</w:t>
      </w:r>
      <w:r w:rsidR="00410E64">
        <w:rPr>
          <w:color w:val="000000"/>
          <w:lang w:val="en-CA"/>
        </w:rPr>
        <w:t xml:space="preserve"> per cent</w:t>
      </w:r>
      <w:r w:rsidR="00410E64" w:rsidRPr="00E855CA">
        <w:rPr>
          <w:color w:val="000000"/>
          <w:lang w:val="en-CA"/>
        </w:rPr>
        <w:t xml:space="preserve"> stake in Panaya</w:t>
      </w:r>
      <w:r w:rsidR="00906F6A">
        <w:rPr>
          <w:color w:val="000000"/>
          <w:lang w:val="en-CA"/>
        </w:rPr>
        <w:t>.</w:t>
      </w:r>
      <w:r w:rsidR="00410E64" w:rsidRPr="00E855CA">
        <w:rPr>
          <w:rStyle w:val="EndnoteReference"/>
          <w:color w:val="000000"/>
          <w:lang w:val="en-CA"/>
        </w:rPr>
        <w:endnoteReference w:id="8"/>
      </w:r>
      <w:r w:rsidR="00410E64" w:rsidRPr="00E855CA">
        <w:rPr>
          <w:color w:val="000000"/>
          <w:lang w:val="en-CA"/>
        </w:rPr>
        <w:t xml:space="preserve"> </w:t>
      </w:r>
    </w:p>
    <w:p w14:paraId="0D9067C7" w14:textId="77777777" w:rsidR="00410E64" w:rsidRPr="00E855CA" w:rsidRDefault="00410E64" w:rsidP="00410E64">
      <w:pPr>
        <w:pStyle w:val="BodyTextMain"/>
        <w:rPr>
          <w:color w:val="000000"/>
          <w:lang w:val="en-CA"/>
        </w:rPr>
      </w:pPr>
    </w:p>
    <w:p w14:paraId="0A2332A2" w14:textId="5055C68C" w:rsidR="00410E64" w:rsidRPr="00E855CA" w:rsidRDefault="00906F6A" w:rsidP="00410E64">
      <w:pPr>
        <w:pStyle w:val="BodyTextMain"/>
        <w:rPr>
          <w:color w:val="000000"/>
          <w:lang w:val="en-CA"/>
        </w:rPr>
      </w:pPr>
      <w:r>
        <w:rPr>
          <w:color w:val="000000"/>
          <w:lang w:val="en-CA"/>
        </w:rPr>
        <w:t xml:space="preserve">Infosys’ growth plans were also challenged </w:t>
      </w:r>
      <w:r w:rsidR="00F13166">
        <w:rPr>
          <w:color w:val="000000"/>
          <w:lang w:val="en-CA"/>
        </w:rPr>
        <w:t>by</w:t>
      </w:r>
      <w:r w:rsidR="00410E64" w:rsidRPr="00E855CA">
        <w:rPr>
          <w:color w:val="000000"/>
          <w:lang w:val="en-CA"/>
        </w:rPr>
        <w:t xml:space="preserve"> labour and revenue uncertainty due to changes in the United States’ </w:t>
      </w:r>
      <w:r>
        <w:rPr>
          <w:color w:val="000000"/>
          <w:lang w:val="en-CA"/>
        </w:rPr>
        <w:t>foreign workers</w:t>
      </w:r>
      <w:r w:rsidR="00410E64" w:rsidRPr="00E855CA">
        <w:rPr>
          <w:color w:val="000000"/>
          <w:lang w:val="en-CA"/>
        </w:rPr>
        <w:t xml:space="preserve"> visa policy</w:t>
      </w:r>
      <w:r w:rsidR="00E84DC6">
        <w:rPr>
          <w:color w:val="000000"/>
          <w:lang w:val="en-CA"/>
        </w:rPr>
        <w:t>.</w:t>
      </w:r>
      <w:r w:rsidR="00410E64" w:rsidRPr="00E855CA">
        <w:rPr>
          <w:rStyle w:val="EndnoteReference"/>
          <w:color w:val="000000"/>
          <w:lang w:val="en-CA"/>
        </w:rPr>
        <w:endnoteReference w:id="9"/>
      </w:r>
      <w:r w:rsidR="00410E64" w:rsidRPr="00E855CA">
        <w:rPr>
          <w:color w:val="000000"/>
          <w:lang w:val="en-CA"/>
        </w:rPr>
        <w:t xml:space="preserve"> </w:t>
      </w:r>
      <w:r w:rsidR="00771B50">
        <w:rPr>
          <w:color w:val="000000"/>
          <w:lang w:val="en-CA"/>
        </w:rPr>
        <w:t xml:space="preserve">The policy had allowed U.S. companies to employ </w:t>
      </w:r>
      <w:r w:rsidR="009F331B">
        <w:rPr>
          <w:color w:val="000000"/>
          <w:lang w:val="en-CA"/>
        </w:rPr>
        <w:t xml:space="preserve">skilled </w:t>
      </w:r>
      <w:r w:rsidR="00771B50">
        <w:rPr>
          <w:color w:val="000000"/>
          <w:lang w:val="en-CA"/>
        </w:rPr>
        <w:t>foreign workers</w:t>
      </w:r>
      <w:r w:rsidR="00034FA8">
        <w:rPr>
          <w:color w:val="000000"/>
          <w:lang w:val="en-CA"/>
        </w:rPr>
        <w:t xml:space="preserve"> </w:t>
      </w:r>
      <w:r w:rsidR="00771B50">
        <w:rPr>
          <w:color w:val="000000"/>
          <w:lang w:val="en-CA"/>
        </w:rPr>
        <w:t>to fill certain occupations</w:t>
      </w:r>
      <w:r w:rsidR="00B42E6F">
        <w:rPr>
          <w:color w:val="000000"/>
          <w:lang w:val="en-CA"/>
        </w:rPr>
        <w:t>,</w:t>
      </w:r>
      <w:r w:rsidR="00771B50">
        <w:rPr>
          <w:color w:val="000000"/>
          <w:lang w:val="en-CA"/>
        </w:rPr>
        <w:t xml:space="preserve"> </w:t>
      </w:r>
      <w:r w:rsidR="00980F10">
        <w:rPr>
          <w:color w:val="000000"/>
          <w:lang w:val="en-CA"/>
        </w:rPr>
        <w:t xml:space="preserve">but </w:t>
      </w:r>
      <w:r w:rsidR="00771B50">
        <w:rPr>
          <w:color w:val="000000"/>
          <w:lang w:val="en-CA"/>
        </w:rPr>
        <w:t>t</w:t>
      </w:r>
      <w:r w:rsidR="00410E64" w:rsidRPr="00E855CA">
        <w:rPr>
          <w:color w:val="000000"/>
          <w:lang w:val="en-CA"/>
        </w:rPr>
        <w:t xml:space="preserve">he Trump </w:t>
      </w:r>
      <w:r w:rsidR="00F84A83">
        <w:rPr>
          <w:color w:val="000000"/>
          <w:lang w:val="en-CA"/>
        </w:rPr>
        <w:t>a</w:t>
      </w:r>
      <w:r w:rsidR="00410E64" w:rsidRPr="00E855CA">
        <w:rPr>
          <w:color w:val="000000"/>
          <w:lang w:val="en-CA"/>
        </w:rPr>
        <w:t>dministration</w:t>
      </w:r>
      <w:r w:rsidR="00410E64" w:rsidRPr="00E855CA">
        <w:rPr>
          <w:rStyle w:val="EndnoteReference"/>
          <w:color w:val="000000"/>
          <w:lang w:val="en-CA"/>
        </w:rPr>
        <w:endnoteReference w:id="10"/>
      </w:r>
      <w:r w:rsidR="00410E64" w:rsidRPr="00E855CA">
        <w:rPr>
          <w:color w:val="000000"/>
          <w:lang w:val="en-CA"/>
        </w:rPr>
        <w:t xml:space="preserve"> </w:t>
      </w:r>
      <w:r w:rsidR="00771B50">
        <w:rPr>
          <w:color w:val="000000"/>
          <w:lang w:val="en-CA"/>
        </w:rPr>
        <w:t xml:space="preserve">had </w:t>
      </w:r>
      <w:r w:rsidR="00410E64" w:rsidRPr="00E855CA">
        <w:rPr>
          <w:color w:val="000000"/>
          <w:lang w:val="en-CA"/>
        </w:rPr>
        <w:t xml:space="preserve">recently </w:t>
      </w:r>
      <w:r w:rsidR="00015120">
        <w:rPr>
          <w:color w:val="000000"/>
          <w:lang w:val="en-CA"/>
        </w:rPr>
        <w:t>changed</w:t>
      </w:r>
      <w:r w:rsidR="00410E64" w:rsidRPr="00E855CA">
        <w:rPr>
          <w:color w:val="000000"/>
          <w:lang w:val="en-CA"/>
        </w:rPr>
        <w:t xml:space="preserve"> the </w:t>
      </w:r>
      <w:r w:rsidR="00B42E6F">
        <w:rPr>
          <w:color w:val="000000"/>
          <w:lang w:val="en-CA"/>
        </w:rPr>
        <w:t xml:space="preserve">system </w:t>
      </w:r>
      <w:r w:rsidR="00771B50">
        <w:rPr>
          <w:color w:val="000000"/>
          <w:lang w:val="en-CA"/>
        </w:rPr>
        <w:t>to</w:t>
      </w:r>
      <w:r w:rsidR="00410E64" w:rsidRPr="00E855CA">
        <w:rPr>
          <w:color w:val="000000"/>
          <w:lang w:val="en-CA"/>
        </w:rPr>
        <w:t xml:space="preserve"> </w:t>
      </w:r>
      <w:r w:rsidR="00B42E6F">
        <w:rPr>
          <w:color w:val="000000"/>
          <w:lang w:val="en-CA"/>
        </w:rPr>
        <w:t>protect the jobs of U.S. workers by limiting the number of foreign</w:t>
      </w:r>
      <w:r w:rsidR="00980F10">
        <w:rPr>
          <w:color w:val="000000"/>
          <w:lang w:val="en-CA"/>
        </w:rPr>
        <w:t xml:space="preserve"> workers</w:t>
      </w:r>
      <w:r w:rsidR="00B42E6F">
        <w:rPr>
          <w:color w:val="000000"/>
          <w:lang w:val="en-CA"/>
        </w:rPr>
        <w:t xml:space="preserve"> with </w:t>
      </w:r>
      <w:r w:rsidR="00410E64" w:rsidRPr="00E855CA">
        <w:rPr>
          <w:color w:val="000000"/>
          <w:lang w:val="en-CA"/>
        </w:rPr>
        <w:t xml:space="preserve">visas. </w:t>
      </w:r>
      <w:r w:rsidR="00980F10">
        <w:rPr>
          <w:color w:val="000000"/>
          <w:lang w:val="en-CA"/>
        </w:rPr>
        <w:t xml:space="preserve">The change was a blow to the </w:t>
      </w:r>
      <w:r w:rsidR="00E01179">
        <w:rPr>
          <w:color w:val="000000"/>
          <w:lang w:val="en-CA"/>
        </w:rPr>
        <w:t xml:space="preserve">U.S. information technology </w:t>
      </w:r>
      <w:r w:rsidR="00980F10">
        <w:rPr>
          <w:color w:val="000000"/>
          <w:lang w:val="en-CA"/>
        </w:rPr>
        <w:t xml:space="preserve">(IT) </w:t>
      </w:r>
      <w:r w:rsidR="00E01179">
        <w:rPr>
          <w:color w:val="000000"/>
          <w:lang w:val="en-CA"/>
        </w:rPr>
        <w:t>sector</w:t>
      </w:r>
      <w:r w:rsidR="00980F10">
        <w:rPr>
          <w:color w:val="000000"/>
          <w:lang w:val="en-CA"/>
        </w:rPr>
        <w:t>, which</w:t>
      </w:r>
      <w:r w:rsidR="00E01179">
        <w:rPr>
          <w:color w:val="000000"/>
          <w:lang w:val="en-CA"/>
        </w:rPr>
        <w:t xml:space="preserve"> was particularly dependent on workers from overseas</w:t>
      </w:r>
      <w:r w:rsidR="00980F10">
        <w:rPr>
          <w:color w:val="000000"/>
          <w:lang w:val="en-CA"/>
        </w:rPr>
        <w:t xml:space="preserve">. A drop in output from the </w:t>
      </w:r>
      <w:r w:rsidR="00015120">
        <w:rPr>
          <w:color w:val="000000"/>
          <w:lang w:val="en-CA"/>
        </w:rPr>
        <w:t>American</w:t>
      </w:r>
      <w:r w:rsidR="00980F10">
        <w:rPr>
          <w:color w:val="000000"/>
          <w:lang w:val="en-CA"/>
        </w:rPr>
        <w:t xml:space="preserve"> IT sector would affect </w:t>
      </w:r>
      <w:r w:rsidR="00E01179">
        <w:rPr>
          <w:color w:val="000000"/>
          <w:lang w:val="en-CA"/>
        </w:rPr>
        <w:t>Infosys</w:t>
      </w:r>
      <w:r w:rsidR="00980F10">
        <w:rPr>
          <w:color w:val="000000"/>
          <w:lang w:val="en-CA"/>
        </w:rPr>
        <w:t xml:space="preserve"> because it</w:t>
      </w:r>
      <w:r w:rsidR="00E01179">
        <w:rPr>
          <w:color w:val="000000"/>
          <w:lang w:val="en-CA"/>
        </w:rPr>
        <w:t xml:space="preserve"> relied on North America for </w:t>
      </w:r>
      <w:r w:rsidR="00410E64" w:rsidRPr="00E855CA">
        <w:rPr>
          <w:color w:val="000000"/>
          <w:lang w:val="en-CA"/>
        </w:rPr>
        <w:t>65</w:t>
      </w:r>
      <w:r w:rsidR="00410E64">
        <w:rPr>
          <w:color w:val="000000"/>
          <w:lang w:val="en-CA"/>
        </w:rPr>
        <w:t xml:space="preserve"> per cent</w:t>
      </w:r>
      <w:r w:rsidR="00410E64" w:rsidRPr="00E855CA">
        <w:rPr>
          <w:color w:val="000000"/>
          <w:lang w:val="en-CA"/>
        </w:rPr>
        <w:t xml:space="preserve"> of </w:t>
      </w:r>
      <w:r w:rsidR="00E01179">
        <w:rPr>
          <w:color w:val="000000"/>
          <w:lang w:val="en-CA"/>
        </w:rPr>
        <w:t>its</w:t>
      </w:r>
      <w:r w:rsidR="00E01179" w:rsidRPr="00E855CA">
        <w:rPr>
          <w:color w:val="000000"/>
          <w:lang w:val="en-CA"/>
        </w:rPr>
        <w:t xml:space="preserve"> </w:t>
      </w:r>
      <w:r w:rsidR="00410E64" w:rsidRPr="00E855CA">
        <w:rPr>
          <w:color w:val="000000"/>
          <w:lang w:val="en-CA"/>
        </w:rPr>
        <w:t xml:space="preserve">segmental revenues. </w:t>
      </w:r>
    </w:p>
    <w:p w14:paraId="035A35F1" w14:textId="77777777" w:rsidR="00410E64" w:rsidRPr="00E855CA" w:rsidRDefault="00410E64" w:rsidP="00410E64">
      <w:pPr>
        <w:pStyle w:val="BodyTextMain"/>
        <w:rPr>
          <w:color w:val="000000"/>
          <w:lang w:val="en-CA"/>
        </w:rPr>
      </w:pPr>
    </w:p>
    <w:p w14:paraId="36D3FDCC" w14:textId="33FE3CD5" w:rsidR="00410E64" w:rsidRPr="00E855CA" w:rsidRDefault="00B35E12" w:rsidP="00410E64">
      <w:pPr>
        <w:pStyle w:val="BodyTextMain"/>
        <w:rPr>
          <w:color w:val="000000"/>
          <w:lang w:val="en-CA"/>
        </w:rPr>
      </w:pPr>
      <w:r>
        <w:rPr>
          <w:color w:val="000000"/>
          <w:lang w:val="en-CA"/>
        </w:rPr>
        <w:t xml:space="preserve">Infosys had improved its </w:t>
      </w:r>
      <w:r w:rsidR="00410E64" w:rsidRPr="00E855CA">
        <w:rPr>
          <w:color w:val="000000"/>
          <w:lang w:val="en-CA"/>
        </w:rPr>
        <w:t>client base</w:t>
      </w:r>
      <w:r>
        <w:rPr>
          <w:color w:val="000000"/>
          <w:lang w:val="en-CA"/>
        </w:rPr>
        <w:t xml:space="preserve"> and</w:t>
      </w:r>
      <w:r w:rsidR="00410E64" w:rsidRPr="00E855CA">
        <w:rPr>
          <w:color w:val="000000"/>
          <w:lang w:val="en-CA"/>
        </w:rPr>
        <w:t xml:space="preserve"> </w:t>
      </w:r>
      <w:r>
        <w:rPr>
          <w:color w:val="000000"/>
          <w:lang w:val="en-CA"/>
        </w:rPr>
        <w:t xml:space="preserve">technical </w:t>
      </w:r>
      <w:r w:rsidR="00410E64" w:rsidRPr="00E855CA">
        <w:rPr>
          <w:color w:val="000000"/>
          <w:lang w:val="en-CA"/>
        </w:rPr>
        <w:t>knowledge</w:t>
      </w:r>
      <w:r w:rsidR="00410E64" w:rsidRPr="00E855CA">
        <w:rPr>
          <w:rStyle w:val="EndnoteReference"/>
          <w:color w:val="000000"/>
          <w:lang w:val="en-CA"/>
        </w:rPr>
        <w:endnoteReference w:id="11"/>
      </w:r>
      <w:r w:rsidR="00410E64" w:rsidRPr="00E855CA">
        <w:rPr>
          <w:color w:val="000000"/>
          <w:lang w:val="en-CA"/>
        </w:rPr>
        <w:t xml:space="preserve"> and </w:t>
      </w:r>
      <w:r w:rsidR="00015120">
        <w:rPr>
          <w:color w:val="000000"/>
          <w:lang w:val="en-CA"/>
        </w:rPr>
        <w:t xml:space="preserve">had </w:t>
      </w:r>
      <w:r>
        <w:rPr>
          <w:color w:val="000000"/>
          <w:lang w:val="en-CA"/>
        </w:rPr>
        <w:t xml:space="preserve">expanded </w:t>
      </w:r>
      <w:r w:rsidR="00410E64" w:rsidRPr="00E855CA">
        <w:rPr>
          <w:color w:val="000000"/>
          <w:lang w:val="en-CA"/>
        </w:rPr>
        <w:t>geographical</w:t>
      </w:r>
      <w:r>
        <w:rPr>
          <w:color w:val="000000"/>
          <w:lang w:val="en-CA"/>
        </w:rPr>
        <w:t>ly</w:t>
      </w:r>
      <w:r w:rsidR="00410E64" w:rsidRPr="00E855CA">
        <w:rPr>
          <w:color w:val="000000"/>
          <w:lang w:val="en-CA"/>
        </w:rPr>
        <w:t xml:space="preserve"> </w:t>
      </w:r>
      <w:r>
        <w:rPr>
          <w:color w:val="000000"/>
          <w:lang w:val="en-CA"/>
        </w:rPr>
        <w:t xml:space="preserve">with its acquisitions, </w:t>
      </w:r>
      <w:r w:rsidR="00410E64" w:rsidRPr="00E855CA">
        <w:rPr>
          <w:color w:val="000000"/>
          <w:lang w:val="en-CA"/>
        </w:rPr>
        <w:t xml:space="preserve">but </w:t>
      </w:r>
      <w:r w:rsidR="00015120">
        <w:rPr>
          <w:color w:val="000000"/>
          <w:lang w:val="en-CA"/>
        </w:rPr>
        <w:t>i</w:t>
      </w:r>
      <w:r>
        <w:rPr>
          <w:color w:val="000000"/>
          <w:lang w:val="en-CA"/>
        </w:rPr>
        <w:t xml:space="preserve">f Infosys was going to use buyouts and acquisitions as </w:t>
      </w:r>
      <w:r w:rsidRPr="00E855CA">
        <w:rPr>
          <w:color w:val="000000"/>
          <w:lang w:val="en-CA"/>
        </w:rPr>
        <w:t>inorganic paths of growth</w:t>
      </w:r>
      <w:r w:rsidR="00410E64" w:rsidRPr="00E855CA">
        <w:rPr>
          <w:color w:val="000000"/>
          <w:lang w:val="en-CA"/>
        </w:rPr>
        <w:t xml:space="preserve">, </w:t>
      </w:r>
      <w:r w:rsidR="00015120">
        <w:rPr>
          <w:color w:val="000000"/>
          <w:lang w:val="en-CA"/>
        </w:rPr>
        <w:t>it</w:t>
      </w:r>
      <w:r w:rsidR="00410E64" w:rsidRPr="00E855CA">
        <w:rPr>
          <w:color w:val="000000"/>
          <w:lang w:val="en-CA"/>
        </w:rPr>
        <w:t xml:space="preserve"> </w:t>
      </w:r>
      <w:r>
        <w:rPr>
          <w:color w:val="000000"/>
          <w:lang w:val="en-CA"/>
        </w:rPr>
        <w:t xml:space="preserve">needed </w:t>
      </w:r>
      <w:r w:rsidR="00410E64" w:rsidRPr="00E855CA">
        <w:rPr>
          <w:color w:val="000000"/>
          <w:lang w:val="en-CA"/>
        </w:rPr>
        <w:t xml:space="preserve">to </w:t>
      </w:r>
      <w:r w:rsidR="00015120">
        <w:rPr>
          <w:color w:val="000000"/>
          <w:lang w:val="en-CA"/>
        </w:rPr>
        <w:t>reconsider its</w:t>
      </w:r>
      <w:r w:rsidR="00410E64" w:rsidRPr="00E855CA">
        <w:rPr>
          <w:color w:val="000000"/>
          <w:lang w:val="en-CA"/>
        </w:rPr>
        <w:t xml:space="preserve"> strategy</w:t>
      </w:r>
      <w:r>
        <w:rPr>
          <w:color w:val="000000"/>
          <w:lang w:val="en-CA"/>
        </w:rPr>
        <w:t>.</w:t>
      </w:r>
      <w:r w:rsidR="00410E64" w:rsidRPr="00E855CA">
        <w:rPr>
          <w:color w:val="000000"/>
          <w:lang w:val="en-CA"/>
        </w:rPr>
        <w:t xml:space="preserve"> Which business and geographical segments should the firm invest in, and what should be the key determining factors that drive the acquisitions</w:t>
      </w:r>
      <w:r>
        <w:rPr>
          <w:color w:val="000000"/>
          <w:lang w:val="en-CA"/>
        </w:rPr>
        <w:t xml:space="preserve">: </w:t>
      </w:r>
      <w:r w:rsidR="00410E64" w:rsidRPr="00E855CA">
        <w:rPr>
          <w:color w:val="000000"/>
          <w:lang w:val="en-CA"/>
        </w:rPr>
        <w:t>increased clientele, enhanced technology</w:t>
      </w:r>
      <w:r>
        <w:rPr>
          <w:color w:val="000000"/>
          <w:lang w:val="en-CA"/>
        </w:rPr>
        <w:t>,</w:t>
      </w:r>
      <w:r w:rsidR="00410E64" w:rsidRPr="00E855CA">
        <w:rPr>
          <w:color w:val="000000"/>
          <w:lang w:val="en-CA"/>
        </w:rPr>
        <w:t xml:space="preserve"> or </w:t>
      </w:r>
      <w:r>
        <w:rPr>
          <w:color w:val="000000"/>
          <w:lang w:val="en-CA"/>
        </w:rPr>
        <w:t>extended</w:t>
      </w:r>
      <w:r w:rsidRPr="00E855CA">
        <w:rPr>
          <w:color w:val="000000"/>
          <w:lang w:val="en-CA"/>
        </w:rPr>
        <w:t xml:space="preserve"> </w:t>
      </w:r>
      <w:r w:rsidR="00410E64" w:rsidRPr="00E855CA">
        <w:rPr>
          <w:color w:val="000000"/>
          <w:lang w:val="en-CA"/>
        </w:rPr>
        <w:t xml:space="preserve">geographical reach? </w:t>
      </w:r>
    </w:p>
    <w:p w14:paraId="7DBC4B21" w14:textId="77777777" w:rsidR="00410E64" w:rsidRDefault="00410E64" w:rsidP="00410E64">
      <w:pPr>
        <w:pStyle w:val="BodyTextMain"/>
        <w:rPr>
          <w:color w:val="000000"/>
          <w:lang w:val="en-CA"/>
        </w:rPr>
      </w:pPr>
    </w:p>
    <w:p w14:paraId="3B9B30E4" w14:textId="77777777" w:rsidR="00410E64" w:rsidRPr="00E855CA" w:rsidRDefault="00410E64" w:rsidP="00410E64">
      <w:pPr>
        <w:pStyle w:val="BodyTextMain"/>
        <w:rPr>
          <w:color w:val="000000"/>
          <w:lang w:val="en-CA"/>
        </w:rPr>
      </w:pPr>
    </w:p>
    <w:p w14:paraId="4BAF7711" w14:textId="24A32C25" w:rsidR="00410E64" w:rsidRPr="00E855CA" w:rsidRDefault="00410E64" w:rsidP="00E866C0">
      <w:pPr>
        <w:pStyle w:val="Casehead1"/>
        <w:keepNext/>
        <w:jc w:val="left"/>
        <w:outlineLvl w:val="0"/>
        <w:rPr>
          <w:rFonts w:eastAsia="Calibri"/>
          <w:color w:val="000000"/>
          <w:lang w:val="en-CA"/>
        </w:rPr>
      </w:pPr>
      <w:r w:rsidRPr="00E855CA">
        <w:rPr>
          <w:rFonts w:eastAsia="Calibri"/>
          <w:color w:val="000000"/>
          <w:lang w:val="en-CA"/>
        </w:rPr>
        <w:lastRenderedPageBreak/>
        <w:t xml:space="preserve">Information TECHNOLOGY </w:t>
      </w:r>
      <w:r w:rsidR="009E0490">
        <w:rPr>
          <w:rFonts w:eastAsia="Calibri"/>
          <w:color w:val="000000"/>
          <w:lang w:val="en-CA"/>
        </w:rPr>
        <w:t xml:space="preserve">and </w:t>
      </w:r>
      <w:r w:rsidRPr="00E855CA">
        <w:rPr>
          <w:rFonts w:eastAsia="Calibri"/>
          <w:color w:val="000000"/>
          <w:lang w:val="en-CA"/>
        </w:rPr>
        <w:t>IT-enabled SERVICES IN INDIA</w:t>
      </w:r>
    </w:p>
    <w:p w14:paraId="257791A8" w14:textId="77777777" w:rsidR="00410E64" w:rsidRPr="00E855CA" w:rsidRDefault="00410E64" w:rsidP="00E866C0">
      <w:pPr>
        <w:pStyle w:val="BodyTextMain"/>
        <w:keepNext/>
        <w:rPr>
          <w:rFonts w:eastAsia="Calibri"/>
          <w:lang w:val="en-CA"/>
        </w:rPr>
      </w:pPr>
    </w:p>
    <w:p w14:paraId="3A3AD3D8" w14:textId="3CDB6955" w:rsidR="007326F7" w:rsidRPr="00E866C0" w:rsidRDefault="00410E64" w:rsidP="00E866C0">
      <w:pPr>
        <w:pStyle w:val="BodyTextMain"/>
        <w:keepNext/>
        <w:rPr>
          <w:spacing w:val="-4"/>
          <w:lang w:val="en-CA" w:eastAsia="en-IN"/>
        </w:rPr>
      </w:pPr>
      <w:r w:rsidRPr="00E866C0">
        <w:rPr>
          <w:spacing w:val="-4"/>
          <w:lang w:val="en-CA" w:eastAsia="en-IN"/>
        </w:rPr>
        <w:t xml:space="preserve">India was the prime outsourcing country for the IT industry, accounting for a </w:t>
      </w:r>
      <w:r w:rsidR="00EC5D6A" w:rsidRPr="00E866C0">
        <w:rPr>
          <w:spacing w:val="-4"/>
          <w:lang w:val="en-CA" w:eastAsia="en-IN"/>
        </w:rPr>
        <w:t xml:space="preserve">market of </w:t>
      </w:r>
      <w:r w:rsidRPr="00E866C0">
        <w:rPr>
          <w:spacing w:val="-4"/>
          <w:lang w:val="en-CA" w:eastAsia="en-IN"/>
        </w:rPr>
        <w:t xml:space="preserve">$154 billion </w:t>
      </w:r>
      <w:r w:rsidR="00EC5D6A" w:rsidRPr="00E866C0">
        <w:rPr>
          <w:spacing w:val="-4"/>
          <w:lang w:val="en-CA" w:eastAsia="en-IN"/>
        </w:rPr>
        <w:t>in</w:t>
      </w:r>
      <w:r w:rsidRPr="00E866C0">
        <w:rPr>
          <w:spacing w:val="-4"/>
          <w:lang w:val="en-CA" w:eastAsia="en-IN"/>
        </w:rPr>
        <w:t xml:space="preserve"> revenue</w:t>
      </w:r>
      <w:r w:rsidR="009E0490" w:rsidRPr="00E866C0">
        <w:rPr>
          <w:spacing w:val="-4"/>
          <w:lang w:val="en-CA" w:eastAsia="en-IN"/>
        </w:rPr>
        <w:t>.</w:t>
      </w:r>
      <w:r w:rsidRPr="00E866C0">
        <w:rPr>
          <w:spacing w:val="-4"/>
          <w:vertAlign w:val="superscript"/>
        </w:rPr>
        <w:endnoteReference w:id="12"/>
      </w:r>
      <w:r w:rsidRPr="00E866C0">
        <w:rPr>
          <w:spacing w:val="-4"/>
        </w:rPr>
        <w:t xml:space="preserve"> </w:t>
      </w:r>
      <w:r w:rsidR="004144F7" w:rsidRPr="00E866C0">
        <w:rPr>
          <w:spacing w:val="-4"/>
          <w:lang w:val="en-CA" w:eastAsia="en-IN"/>
        </w:rPr>
        <w:t>G</w:t>
      </w:r>
      <w:r w:rsidRPr="00E866C0">
        <w:rPr>
          <w:spacing w:val="-4"/>
          <w:lang w:val="en-CA" w:eastAsia="en-IN"/>
        </w:rPr>
        <w:t xml:space="preserve">rowth in the Indian IT sector </w:t>
      </w:r>
      <w:r w:rsidR="004144F7" w:rsidRPr="00E866C0">
        <w:rPr>
          <w:spacing w:val="-4"/>
          <w:lang w:val="en-CA" w:eastAsia="en-IN"/>
        </w:rPr>
        <w:t xml:space="preserve">was evolving, </w:t>
      </w:r>
      <w:r w:rsidRPr="00E866C0">
        <w:rPr>
          <w:spacing w:val="-4"/>
          <w:lang w:val="en-CA" w:eastAsia="en-IN"/>
        </w:rPr>
        <w:t xml:space="preserve">driven </w:t>
      </w:r>
      <w:r w:rsidR="004144F7" w:rsidRPr="00E866C0">
        <w:rPr>
          <w:spacing w:val="-4"/>
          <w:lang w:val="en-CA" w:eastAsia="en-IN"/>
        </w:rPr>
        <w:t xml:space="preserve">more </w:t>
      </w:r>
      <w:r w:rsidRPr="00E866C0">
        <w:rPr>
          <w:spacing w:val="-4"/>
          <w:lang w:val="en-CA" w:eastAsia="en-IN"/>
        </w:rPr>
        <w:t xml:space="preserve">by services </w:t>
      </w:r>
      <w:r w:rsidRPr="00E866C0">
        <w:rPr>
          <w:spacing w:val="-4"/>
        </w:rPr>
        <w:t>than software</w:t>
      </w:r>
      <w:r w:rsidR="00EC5D6A" w:rsidRPr="00E866C0">
        <w:rPr>
          <w:spacing w:val="-4"/>
        </w:rPr>
        <w:t>,</w:t>
      </w:r>
      <w:r w:rsidRPr="00E866C0">
        <w:rPr>
          <w:rStyle w:val="EndnoteReference"/>
          <w:spacing w:val="-4"/>
        </w:rPr>
        <w:endnoteReference w:id="13"/>
      </w:r>
      <w:r w:rsidR="004144F7" w:rsidRPr="00E866C0">
        <w:rPr>
          <w:spacing w:val="-4"/>
        </w:rPr>
        <w:t xml:space="preserve"> </w:t>
      </w:r>
      <w:r w:rsidR="00EC5D6A" w:rsidRPr="00E866C0">
        <w:rPr>
          <w:spacing w:val="-4"/>
        </w:rPr>
        <w:t>and that</w:t>
      </w:r>
      <w:r w:rsidR="007326F7" w:rsidRPr="00E866C0">
        <w:rPr>
          <w:spacing w:val="-4"/>
        </w:rPr>
        <w:t xml:space="preserve"> </w:t>
      </w:r>
      <w:r w:rsidR="00EC5D6A" w:rsidRPr="00E866C0">
        <w:rPr>
          <w:spacing w:val="-4"/>
        </w:rPr>
        <w:t>involved</w:t>
      </w:r>
      <w:r w:rsidR="007326F7" w:rsidRPr="00E866C0">
        <w:rPr>
          <w:spacing w:val="-4"/>
        </w:rPr>
        <w:t xml:space="preserve"> human capital</w:t>
      </w:r>
      <w:r w:rsidR="007326F7" w:rsidRPr="00E866C0">
        <w:rPr>
          <w:rStyle w:val="EndnoteReference"/>
          <w:spacing w:val="-4"/>
        </w:rPr>
        <w:endnoteReference w:id="14"/>
      </w:r>
      <w:r w:rsidR="007326F7" w:rsidRPr="00E866C0">
        <w:rPr>
          <w:spacing w:val="-4"/>
        </w:rPr>
        <w:t xml:space="preserve"> and automation.</w:t>
      </w:r>
      <w:r w:rsidR="007326F7" w:rsidRPr="00E866C0">
        <w:rPr>
          <w:rStyle w:val="EndnoteReference"/>
          <w:spacing w:val="-4"/>
        </w:rPr>
        <w:endnoteReference w:id="15"/>
      </w:r>
      <w:r w:rsidR="007326F7" w:rsidRPr="00E866C0">
        <w:rPr>
          <w:spacing w:val="-4"/>
          <w:lang w:val="en-CA" w:eastAsia="en-IN"/>
        </w:rPr>
        <w:t xml:space="preserve"> As of 2016, the </w:t>
      </w:r>
      <w:r w:rsidR="00EC5D6A" w:rsidRPr="00E866C0">
        <w:rPr>
          <w:spacing w:val="-4"/>
          <w:lang w:val="en-CA" w:eastAsia="en-IN"/>
        </w:rPr>
        <w:t xml:space="preserve">Indian IT </w:t>
      </w:r>
      <w:r w:rsidR="007326F7" w:rsidRPr="00E866C0">
        <w:rPr>
          <w:spacing w:val="-4"/>
          <w:lang w:val="en-CA" w:eastAsia="en-IN"/>
        </w:rPr>
        <w:t>industry employed about 10 million people.</w:t>
      </w:r>
      <w:r w:rsidR="007326F7" w:rsidRPr="00E866C0">
        <w:rPr>
          <w:spacing w:val="-4"/>
          <w:vertAlign w:val="superscript"/>
        </w:rPr>
        <w:endnoteReference w:id="16"/>
      </w:r>
    </w:p>
    <w:p w14:paraId="41C182E9" w14:textId="77777777" w:rsidR="007326F7" w:rsidRDefault="007326F7" w:rsidP="00410E64">
      <w:pPr>
        <w:pStyle w:val="BodyTextMain"/>
        <w:rPr>
          <w:lang w:val="en-CA" w:eastAsia="en-IN"/>
        </w:rPr>
      </w:pPr>
    </w:p>
    <w:p w14:paraId="771BA2A2" w14:textId="2CA16047" w:rsidR="00410E64" w:rsidRPr="00410E64" w:rsidRDefault="00410E64" w:rsidP="00410E64">
      <w:pPr>
        <w:pStyle w:val="BodyTextMain"/>
      </w:pPr>
      <w:r w:rsidRPr="00410E64">
        <w:t>Business process outsourcing, IT consulting</w:t>
      </w:r>
      <w:r w:rsidR="004144F7">
        <w:t>,</w:t>
      </w:r>
      <w:r w:rsidRPr="00410E64">
        <w:t xml:space="preserve"> and cloud-based services were becoming more important with every passing day. </w:t>
      </w:r>
      <w:r w:rsidR="00C82D1F">
        <w:t>In</w:t>
      </w:r>
      <w:r w:rsidR="00792C07">
        <w:t xml:space="preserve"> a recent press release</w:t>
      </w:r>
      <w:r w:rsidR="00C82D1F">
        <w:t>,</w:t>
      </w:r>
      <w:r w:rsidR="00792C07">
        <w:t xml:space="preserve"> </w:t>
      </w:r>
      <w:r w:rsidRPr="00410E64">
        <w:t>Gartner</w:t>
      </w:r>
      <w:r w:rsidR="00B87125">
        <w:t xml:space="preserve"> Consulting</w:t>
      </w:r>
      <w:r w:rsidR="00792C07">
        <w:t xml:space="preserve"> estimated that the cloud services market in India </w:t>
      </w:r>
      <w:r w:rsidR="00C82D1F">
        <w:t>would g</w:t>
      </w:r>
      <w:r w:rsidR="00792C07">
        <w:t>row at 35.9 percent and reach a value of approximately $1.3 billion</w:t>
      </w:r>
      <w:r w:rsidR="00F13166">
        <w:t>.</w:t>
      </w:r>
      <w:r w:rsidRPr="00410E64">
        <w:rPr>
          <w:rStyle w:val="EndnoteReference"/>
        </w:rPr>
        <w:endnoteReference w:id="17"/>
      </w:r>
      <w:r w:rsidRPr="00410E64">
        <w:t xml:space="preserve"> </w:t>
      </w:r>
    </w:p>
    <w:p w14:paraId="7A3B216D" w14:textId="77777777" w:rsidR="00410E64" w:rsidRPr="00410E64" w:rsidRDefault="00410E64" w:rsidP="00410E64">
      <w:pPr>
        <w:pStyle w:val="BodyTextMain"/>
      </w:pPr>
    </w:p>
    <w:p w14:paraId="1349F9AE" w14:textId="05AECF11" w:rsidR="00AC40F0" w:rsidRDefault="00410E64" w:rsidP="00410E64">
      <w:pPr>
        <w:pStyle w:val="BodyTextMain"/>
      </w:pPr>
      <w:r w:rsidRPr="00410E64">
        <w:t>The improved diffusion of Internet and mobile connections in India’s urban and rural areas</w:t>
      </w:r>
      <w:r w:rsidR="007326F7">
        <w:t>,</w:t>
      </w:r>
      <w:r w:rsidRPr="00410E64">
        <w:rPr>
          <w:rStyle w:val="EndnoteReference"/>
        </w:rPr>
        <w:endnoteReference w:id="18"/>
      </w:r>
      <w:r w:rsidRPr="00410E64">
        <w:t xml:space="preserve"> coupled with the swift rise of electronic and mobile commerce, were driving continued demand for hosting and IT-enabled services in India. </w:t>
      </w:r>
      <w:r w:rsidR="001F32BC">
        <w:t>The</w:t>
      </w:r>
      <w:r w:rsidR="001F32BC" w:rsidRPr="00410E64">
        <w:t xml:space="preserve"> </w:t>
      </w:r>
      <w:r w:rsidRPr="00410E64">
        <w:t xml:space="preserve">telecom regulatory authority was also planning a rapid expansion based on the Internet of Things (IoT) and 5G (fifth generation mobile services infrastructure), </w:t>
      </w:r>
      <w:r w:rsidR="00823A0F">
        <w:t xml:space="preserve">bringing </w:t>
      </w:r>
      <w:r w:rsidRPr="00410E64">
        <w:t>standards on par with those in the developed world</w:t>
      </w:r>
      <w:r w:rsidR="00823A0F">
        <w:t>.</w:t>
      </w:r>
      <w:r w:rsidRPr="00410E64">
        <w:rPr>
          <w:rStyle w:val="EndnoteReference"/>
        </w:rPr>
        <w:endnoteReference w:id="19"/>
      </w:r>
      <w:r w:rsidRPr="00410E64">
        <w:t xml:space="preserve"> The Indian healthcare IT market was also growing at an unprecedented rate</w:t>
      </w:r>
      <w:r w:rsidR="00AC40F0">
        <w:t>;</w:t>
      </w:r>
      <w:r w:rsidRPr="00410E64">
        <w:t xml:space="preserve"> it was estimated that by 2020, </w:t>
      </w:r>
      <w:r w:rsidR="00AC40F0">
        <w:t>the market</w:t>
      </w:r>
      <w:r w:rsidR="00AC40F0" w:rsidRPr="00410E64">
        <w:t xml:space="preserve"> </w:t>
      </w:r>
      <w:r w:rsidRPr="00410E64">
        <w:t>would be 1.5 times the size of its then</w:t>
      </w:r>
      <w:r w:rsidR="00A07447">
        <w:t xml:space="preserve"> </w:t>
      </w:r>
      <w:r w:rsidRPr="00410E64">
        <w:t>valuation of $1 billion</w:t>
      </w:r>
      <w:r w:rsidR="00AC40F0">
        <w:t>.</w:t>
      </w:r>
      <w:r w:rsidRPr="00410E64">
        <w:rPr>
          <w:rStyle w:val="EndnoteReference"/>
        </w:rPr>
        <w:endnoteReference w:id="20"/>
      </w:r>
      <w:r w:rsidRPr="00410E64">
        <w:t xml:space="preserve"> The IT-enabled finance and payments sector was also </w:t>
      </w:r>
      <w:r w:rsidR="00AC40F0">
        <w:t>undergoing</w:t>
      </w:r>
      <w:r w:rsidR="00AC40F0" w:rsidRPr="00410E64">
        <w:t xml:space="preserve"> </w:t>
      </w:r>
      <w:r w:rsidRPr="00410E64">
        <w:t>great growth, especially after the Indian government</w:t>
      </w:r>
      <w:r w:rsidR="00AC40F0">
        <w:t xml:space="preserve"> demonetized </w:t>
      </w:r>
      <w:r w:rsidRPr="00410E64">
        <w:t>specific currency denominations</w:t>
      </w:r>
      <w:r w:rsidRPr="00410E64">
        <w:rPr>
          <w:rStyle w:val="EndnoteReference"/>
        </w:rPr>
        <w:endnoteReference w:id="21"/>
      </w:r>
      <w:r w:rsidRPr="00410E64">
        <w:t xml:space="preserve"> and invest</w:t>
      </w:r>
      <w:r w:rsidR="00AC40F0">
        <w:t>ed</w:t>
      </w:r>
      <w:r w:rsidRPr="00410E64">
        <w:t xml:space="preserve"> in resources to upgrade unified payment interfaces</w:t>
      </w:r>
      <w:r w:rsidR="00AC40F0">
        <w:t>.</w:t>
      </w:r>
      <w:r w:rsidRPr="00410E64">
        <w:rPr>
          <w:rStyle w:val="EndnoteReference"/>
        </w:rPr>
        <w:endnoteReference w:id="22"/>
      </w:r>
      <w:r w:rsidRPr="00410E64">
        <w:t xml:space="preserve"> </w:t>
      </w:r>
    </w:p>
    <w:p w14:paraId="468152F5" w14:textId="77777777" w:rsidR="00AC40F0" w:rsidRDefault="00AC40F0" w:rsidP="00410E64">
      <w:pPr>
        <w:pStyle w:val="BodyTextMain"/>
      </w:pPr>
    </w:p>
    <w:p w14:paraId="0DFB5662" w14:textId="757F0113" w:rsidR="00AC40F0" w:rsidRDefault="00410E64" w:rsidP="00410E64">
      <w:pPr>
        <w:pStyle w:val="BodyTextMain"/>
      </w:pPr>
      <w:r w:rsidRPr="00410E64">
        <w:t>This augmented demand in the IT-enabled finance and health sectors meant increased demand for services and platforms. International players in platform-based businesses and innovative IT tools were entering India, and the competition from these international companies (both start-ups and larger firms) was becoming a threat to the domestic Indian IT sector</w:t>
      </w:r>
      <w:r w:rsidR="00AC40F0">
        <w:t>.</w:t>
      </w:r>
      <w:r w:rsidRPr="00410E64">
        <w:rPr>
          <w:rStyle w:val="EndnoteReference"/>
        </w:rPr>
        <w:endnoteReference w:id="23"/>
      </w:r>
      <w:r w:rsidRPr="00410E64">
        <w:t xml:space="preserve"> These international companies included some of the pioneers of automation and artificial intelligence </w:t>
      </w:r>
      <w:r w:rsidR="00F00153">
        <w:t xml:space="preserve">(AI) </w:t>
      </w:r>
      <w:r w:rsidRPr="00410E64">
        <w:t xml:space="preserve">technologies. Head Hunters India </w:t>
      </w:r>
      <w:r w:rsidR="00AC40F0">
        <w:t>f</w:t>
      </w:r>
      <w:r w:rsidRPr="00410E64">
        <w:t xml:space="preserve">ounder and </w:t>
      </w:r>
      <w:r w:rsidR="00AC40F0">
        <w:t>managing director,</w:t>
      </w:r>
      <w:r w:rsidR="00AC40F0" w:rsidRPr="00410E64">
        <w:t xml:space="preserve"> </w:t>
      </w:r>
      <w:r w:rsidRPr="00410E64">
        <w:t>Kris Lakshmikanth, observed this trend and commented</w:t>
      </w:r>
      <w:r w:rsidR="00AC40F0">
        <w:t>:</w:t>
      </w:r>
    </w:p>
    <w:p w14:paraId="37BFEB7B" w14:textId="77777777" w:rsidR="00AC40F0" w:rsidRDefault="00AC40F0" w:rsidP="00410E64">
      <w:pPr>
        <w:pStyle w:val="BodyTextMain"/>
      </w:pPr>
    </w:p>
    <w:p w14:paraId="497E471C" w14:textId="04799122" w:rsidR="00410E64" w:rsidRPr="00410E64" w:rsidRDefault="00410E64" w:rsidP="00824F98">
      <w:pPr>
        <w:pStyle w:val="BodyTextMain"/>
        <w:ind w:left="720"/>
      </w:pPr>
      <w:r w:rsidRPr="00410E64">
        <w:t>Amidst fears that Indian tech companies haven’t kept pace to make the shift from traditional to cutting-edge technologies to meet customer demands, I firmly believe that our top companies</w:t>
      </w:r>
      <w:r w:rsidR="00AC40F0">
        <w:t>,</w:t>
      </w:r>
      <w:r w:rsidRPr="00410E64">
        <w:t xml:space="preserve"> including TCS and Infosys, just as they made India the outsourcing global giant, will lead India in the digital business too</w:t>
      </w:r>
      <w:r w:rsidR="00AC40F0">
        <w:t>.</w:t>
      </w:r>
      <w:r w:rsidRPr="00410E64">
        <w:rPr>
          <w:rStyle w:val="EndnoteReference"/>
        </w:rPr>
        <w:endnoteReference w:id="24"/>
      </w:r>
    </w:p>
    <w:p w14:paraId="0C7AE866" w14:textId="77777777" w:rsidR="00410E64" w:rsidRPr="00410E64" w:rsidRDefault="00410E64" w:rsidP="00410E64">
      <w:pPr>
        <w:pStyle w:val="BodyTextMain"/>
      </w:pPr>
    </w:p>
    <w:p w14:paraId="42B43279" w14:textId="087993F1" w:rsidR="006E1429" w:rsidRDefault="00410E64" w:rsidP="00410E64">
      <w:pPr>
        <w:pStyle w:val="BodyTextMain"/>
      </w:pPr>
      <w:r w:rsidRPr="00410E64">
        <w:t>The reach of venture capital, private equity, angel investments</w:t>
      </w:r>
      <w:r w:rsidR="00E00396">
        <w:t>,</w:t>
      </w:r>
      <w:r w:rsidRPr="00410E64">
        <w:t xml:space="preserve"> and foreign direct investment</w:t>
      </w:r>
      <w:r w:rsidRPr="00410E64">
        <w:rPr>
          <w:rStyle w:val="EndnoteReference"/>
        </w:rPr>
        <w:endnoteReference w:id="25"/>
      </w:r>
      <w:r w:rsidRPr="00410E64">
        <w:t xml:space="preserve"> had increased significantly in India, with a focus on IT-enabled sectors</w:t>
      </w:r>
      <w:r w:rsidR="00E00396">
        <w:t>.</w:t>
      </w:r>
      <w:r w:rsidRPr="00410E64">
        <w:rPr>
          <w:rStyle w:val="EndnoteReference"/>
        </w:rPr>
        <w:endnoteReference w:id="26"/>
      </w:r>
      <w:r w:rsidRPr="00410E64">
        <w:t xml:space="preserve"> </w:t>
      </w:r>
      <w:r w:rsidR="00E00396">
        <w:t>F</w:t>
      </w:r>
      <w:r w:rsidRPr="00410E64">
        <w:t xml:space="preserve">oreign investors were motivated </w:t>
      </w:r>
      <w:r w:rsidR="00A07447" w:rsidRPr="00410E64">
        <w:t>to invest in India’s growing digital economy</w:t>
      </w:r>
      <w:r w:rsidR="00A07447">
        <w:t xml:space="preserve"> </w:t>
      </w:r>
      <w:r w:rsidR="00E00396">
        <w:t xml:space="preserve">by </w:t>
      </w:r>
      <w:r w:rsidRPr="00410E64">
        <w:t>increased transparency</w:t>
      </w:r>
      <w:r w:rsidRPr="00410E64">
        <w:rPr>
          <w:rStyle w:val="EndnoteReference"/>
        </w:rPr>
        <w:endnoteReference w:id="27"/>
      </w:r>
      <w:r w:rsidRPr="00410E64">
        <w:t xml:space="preserve"> and </w:t>
      </w:r>
      <w:r w:rsidR="00E00396">
        <w:t>clear</w:t>
      </w:r>
      <w:r w:rsidRPr="00410E64">
        <w:t xml:space="preserve"> taxation policies. </w:t>
      </w:r>
      <w:r w:rsidR="00E00396">
        <w:t>For example, a</w:t>
      </w:r>
      <w:r w:rsidRPr="00410E64">
        <w:t xml:space="preserve"> </w:t>
      </w:r>
      <w:r w:rsidR="00E00396">
        <w:t>g</w:t>
      </w:r>
      <w:r w:rsidRPr="00410E64">
        <w:t xml:space="preserve">oods and </w:t>
      </w:r>
      <w:r w:rsidR="00E00396">
        <w:t>s</w:t>
      </w:r>
      <w:r w:rsidRPr="00410E64">
        <w:t xml:space="preserve">ervices </w:t>
      </w:r>
      <w:r w:rsidR="00E00396">
        <w:t>t</w:t>
      </w:r>
      <w:r w:rsidRPr="00410E64">
        <w:t>ax (GST)</w:t>
      </w:r>
      <w:r w:rsidR="00E00396">
        <w:t xml:space="preserve"> was introduced as </w:t>
      </w:r>
      <w:r w:rsidRPr="00410E64">
        <w:t xml:space="preserve">an indirect tax levied throughout India to replace </w:t>
      </w:r>
      <w:r w:rsidR="00E00396">
        <w:t xml:space="preserve">the complex structure of </w:t>
      </w:r>
      <w:r w:rsidRPr="00410E64">
        <w:t>taxes imposed separately by the central and state governments</w:t>
      </w:r>
      <w:r w:rsidR="00E00396">
        <w:t>.</w:t>
      </w:r>
      <w:r w:rsidRPr="00410E64">
        <w:rPr>
          <w:rStyle w:val="EndnoteReference"/>
        </w:rPr>
        <w:endnoteReference w:id="28"/>
      </w:r>
      <w:r w:rsidRPr="00410E64">
        <w:t xml:space="preserve"> </w:t>
      </w:r>
    </w:p>
    <w:p w14:paraId="42E34E00" w14:textId="77777777" w:rsidR="006E1429" w:rsidRDefault="006E1429" w:rsidP="00410E64">
      <w:pPr>
        <w:pStyle w:val="BodyTextMain"/>
      </w:pPr>
    </w:p>
    <w:p w14:paraId="623241C2" w14:textId="5FFB00BC" w:rsidR="00410E64" w:rsidRPr="00410E64" w:rsidRDefault="00410E64" w:rsidP="00410E64">
      <w:pPr>
        <w:pStyle w:val="BodyTextMain"/>
      </w:pPr>
      <w:r w:rsidRPr="00410E64">
        <w:t xml:space="preserve">International technology </w:t>
      </w:r>
      <w:r w:rsidR="00E00396">
        <w:t>firms</w:t>
      </w:r>
      <w:r w:rsidRPr="00410E64">
        <w:t xml:space="preserve">, such as Microsoft </w:t>
      </w:r>
      <w:r w:rsidR="00E00396">
        <w:t xml:space="preserve">Corporation </w:t>
      </w:r>
      <w:r w:rsidRPr="00410E64">
        <w:t xml:space="preserve">and </w:t>
      </w:r>
      <w:r w:rsidR="00E00396">
        <w:t xml:space="preserve">Robert </w:t>
      </w:r>
      <w:r w:rsidRPr="00410E64">
        <w:t>Bosch</w:t>
      </w:r>
      <w:r w:rsidR="00E00396">
        <w:t xml:space="preserve"> GmbH</w:t>
      </w:r>
      <w:r w:rsidRPr="00410E64">
        <w:t>, were establishing corporate start-up accelerators in India</w:t>
      </w:r>
      <w:r w:rsidRPr="00410E64">
        <w:rPr>
          <w:rStyle w:val="EndnoteReference"/>
        </w:rPr>
        <w:endnoteReference w:id="29"/>
      </w:r>
      <w:r w:rsidRPr="00410E64">
        <w:t xml:space="preserve"> to tap Indian IT talent and the market. Indian IT firms like Tech Mahindra</w:t>
      </w:r>
      <w:r w:rsidR="00E00396">
        <w:t xml:space="preserve"> Limited</w:t>
      </w:r>
      <w:r w:rsidRPr="00410E64">
        <w:t>, Wipro</w:t>
      </w:r>
      <w:r w:rsidR="00E00396">
        <w:t xml:space="preserve"> Limited</w:t>
      </w:r>
      <w:r w:rsidRPr="00410E64">
        <w:t>, Infosys</w:t>
      </w:r>
      <w:r w:rsidR="00E00396">
        <w:t>,</w:t>
      </w:r>
      <w:r w:rsidRPr="00410E64">
        <w:t xml:space="preserve"> and T</w:t>
      </w:r>
      <w:r w:rsidR="00E00396">
        <w:t xml:space="preserve">ata </w:t>
      </w:r>
      <w:r w:rsidRPr="00410E64">
        <w:t>C</w:t>
      </w:r>
      <w:r w:rsidR="00E00396">
        <w:t xml:space="preserve">onsultancy </w:t>
      </w:r>
      <w:r w:rsidRPr="00410E64">
        <w:t>S</w:t>
      </w:r>
      <w:r w:rsidR="00E00396">
        <w:t>ervices Limited</w:t>
      </w:r>
      <w:r w:rsidRPr="00410E64">
        <w:t xml:space="preserve"> were expanding their offerings beyond their existing capabilities in on-shore and off-shore services</w:t>
      </w:r>
      <w:r w:rsidR="006E1429">
        <w:t>. They were</w:t>
      </w:r>
      <w:r w:rsidRPr="00410E64">
        <w:t xml:space="preserve"> </w:t>
      </w:r>
      <w:r w:rsidR="00A07447" w:rsidRPr="00410E64">
        <w:t xml:space="preserve">using innovation hubs and research and development centres </w:t>
      </w:r>
      <w:r w:rsidR="00A07447">
        <w:t xml:space="preserve">to </w:t>
      </w:r>
      <w:r w:rsidRPr="00410E64">
        <w:t>showcas</w:t>
      </w:r>
      <w:r w:rsidR="00A07447">
        <w:t>e</w:t>
      </w:r>
      <w:r w:rsidRPr="00410E64">
        <w:t xml:space="preserve"> their leading ideas in natural language processing, blockchain</w:t>
      </w:r>
      <w:r w:rsidR="006E1429">
        <w:t xml:space="preserve"> technology</w:t>
      </w:r>
      <w:r w:rsidRPr="00410E64">
        <w:t>, social media, cloud computing, analytics</w:t>
      </w:r>
      <w:r w:rsidR="006E1429">
        <w:t>,</w:t>
      </w:r>
      <w:r w:rsidRPr="00410E64">
        <w:t xml:space="preserve"> and </w:t>
      </w:r>
      <w:r w:rsidR="00F00153">
        <w:t>AI</w:t>
      </w:r>
      <w:r w:rsidRPr="00410E64">
        <w:t xml:space="preserve"> for clients. However, the international players were moving at a much faster pace in these sectors than their Indian counterparts</w:t>
      </w:r>
      <w:r w:rsidR="006E1429">
        <w:t>.</w:t>
      </w:r>
      <w:r w:rsidRPr="00410E64">
        <w:rPr>
          <w:rStyle w:val="EndnoteReference"/>
        </w:rPr>
        <w:endnoteReference w:id="30"/>
      </w:r>
    </w:p>
    <w:p w14:paraId="3D118BDD" w14:textId="77777777" w:rsidR="00410E64" w:rsidRPr="00C82D1F" w:rsidRDefault="00410E64" w:rsidP="00410E64">
      <w:pPr>
        <w:pStyle w:val="BodyTextMain"/>
        <w:rPr>
          <w:lang w:val="en-CA" w:eastAsia="en-IN"/>
        </w:rPr>
      </w:pPr>
    </w:p>
    <w:p w14:paraId="652F75B3" w14:textId="77777777" w:rsidR="00410E64" w:rsidRPr="00C82D1F" w:rsidRDefault="00410E64" w:rsidP="00824F98">
      <w:pPr>
        <w:pStyle w:val="BodyTextMain"/>
        <w:rPr>
          <w:rFonts w:eastAsia="Calibri"/>
          <w:lang w:val="en-CA"/>
        </w:rPr>
      </w:pPr>
    </w:p>
    <w:p w14:paraId="68C33AC0" w14:textId="74A09BAF" w:rsidR="00410E64" w:rsidRDefault="00410E64" w:rsidP="00E866C0">
      <w:pPr>
        <w:pStyle w:val="Casehead1"/>
        <w:keepNext/>
        <w:outlineLvl w:val="0"/>
        <w:rPr>
          <w:rFonts w:eastAsia="Calibri"/>
          <w:color w:val="000000"/>
          <w:lang w:val="en-CA"/>
        </w:rPr>
      </w:pPr>
      <w:r w:rsidRPr="00E855CA">
        <w:rPr>
          <w:rFonts w:eastAsia="Calibri"/>
          <w:color w:val="000000"/>
          <w:lang w:val="en-CA"/>
        </w:rPr>
        <w:lastRenderedPageBreak/>
        <w:t>INFOSYS</w:t>
      </w:r>
      <w:r w:rsidR="00F117BC">
        <w:rPr>
          <w:rFonts w:eastAsia="Calibri"/>
          <w:color w:val="000000"/>
          <w:lang w:val="en-CA"/>
        </w:rPr>
        <w:t xml:space="preserve"> Limited</w:t>
      </w:r>
    </w:p>
    <w:p w14:paraId="24B1D914" w14:textId="77777777" w:rsidR="00410E64" w:rsidRPr="00E855CA" w:rsidRDefault="00410E64" w:rsidP="00E866C0">
      <w:pPr>
        <w:pStyle w:val="BodyTextMain"/>
        <w:keepNext/>
        <w:rPr>
          <w:rFonts w:eastAsia="Calibri"/>
          <w:lang w:val="en-CA"/>
        </w:rPr>
      </w:pPr>
    </w:p>
    <w:p w14:paraId="55E19B5F" w14:textId="1E4A695D" w:rsidR="00410E64" w:rsidRDefault="00410E64" w:rsidP="00E866C0">
      <w:pPr>
        <w:pStyle w:val="BodyTextMain"/>
        <w:keepNext/>
        <w:rPr>
          <w:lang w:val="en-CA"/>
        </w:rPr>
      </w:pPr>
      <w:r w:rsidRPr="00E855CA">
        <w:rPr>
          <w:lang w:val="en-CA"/>
        </w:rPr>
        <w:t>Infosys was a global consulting and IT services company headquartered in Bengaluru, India</w:t>
      </w:r>
      <w:r w:rsidR="006E1429">
        <w:rPr>
          <w:lang w:val="en-CA"/>
        </w:rPr>
        <w:t>, and listed on the New York Stock Exchange</w:t>
      </w:r>
      <w:r w:rsidR="00A07447">
        <w:rPr>
          <w:lang w:val="en-CA"/>
        </w:rPr>
        <w:t xml:space="preserve"> and the Nasdaq</w:t>
      </w:r>
      <w:r w:rsidRPr="00E855CA">
        <w:rPr>
          <w:lang w:val="en-CA"/>
        </w:rPr>
        <w:t>. The company was founded in 1981 by N. R. Narayana Murthy, Nandan Nilekani, N. S. Raghavan, Kris Gopalakrishnan, S. D. Shibulal</w:t>
      </w:r>
      <w:r w:rsidR="006E1429">
        <w:rPr>
          <w:lang w:val="en-CA"/>
        </w:rPr>
        <w:t>,</w:t>
      </w:r>
      <w:r w:rsidRPr="00E855CA">
        <w:rPr>
          <w:lang w:val="en-CA"/>
        </w:rPr>
        <w:t xml:space="preserve"> and Ashok Arora</w:t>
      </w:r>
      <w:r w:rsidR="00F13166">
        <w:rPr>
          <w:lang w:val="en-CA"/>
        </w:rPr>
        <w:t>,</w:t>
      </w:r>
      <w:r w:rsidRPr="00E855CA">
        <w:rPr>
          <w:lang w:val="en-CA"/>
        </w:rPr>
        <w:t xml:space="preserve"> with an initial investment of </w:t>
      </w:r>
      <w:r w:rsidR="006E1429">
        <w:rPr>
          <w:lang w:val="en-CA"/>
        </w:rPr>
        <w:t xml:space="preserve">just </w:t>
      </w:r>
      <w:r w:rsidRPr="00E855CA">
        <w:rPr>
          <w:lang w:val="en-CA"/>
        </w:rPr>
        <w:t>$250</w:t>
      </w:r>
      <w:r w:rsidR="006E1429">
        <w:rPr>
          <w:lang w:val="en-CA"/>
        </w:rPr>
        <w:t>.</w:t>
      </w:r>
      <w:r w:rsidRPr="00E855CA">
        <w:rPr>
          <w:rStyle w:val="EndnoteReference"/>
          <w:color w:val="000000"/>
          <w:lang w:val="en-CA"/>
        </w:rPr>
        <w:endnoteReference w:id="31"/>
      </w:r>
      <w:r w:rsidRPr="00E855CA">
        <w:rPr>
          <w:lang w:val="en-CA"/>
        </w:rPr>
        <w:t xml:space="preserve"> The </w:t>
      </w:r>
      <w:r w:rsidR="00A07447">
        <w:rPr>
          <w:lang w:val="en-CA"/>
        </w:rPr>
        <w:t xml:space="preserve">chief executive officer </w:t>
      </w:r>
      <w:r w:rsidRPr="00E855CA">
        <w:rPr>
          <w:lang w:val="en-CA"/>
        </w:rPr>
        <w:t>in 2017</w:t>
      </w:r>
      <w:r w:rsidR="006E1429">
        <w:rPr>
          <w:lang w:val="en-CA"/>
        </w:rPr>
        <w:t xml:space="preserve"> </w:t>
      </w:r>
      <w:r w:rsidRPr="00E855CA">
        <w:rPr>
          <w:lang w:val="en-CA"/>
        </w:rPr>
        <w:t xml:space="preserve">was Dr. Vishal Sikka. </w:t>
      </w:r>
      <w:r w:rsidR="006E1429">
        <w:rPr>
          <w:lang w:val="en-CA"/>
        </w:rPr>
        <w:t>He</w:t>
      </w:r>
      <w:r w:rsidR="006E1429" w:rsidRPr="00E855CA">
        <w:rPr>
          <w:lang w:val="en-CA"/>
        </w:rPr>
        <w:t xml:space="preserve"> </w:t>
      </w:r>
      <w:r w:rsidRPr="00E855CA">
        <w:rPr>
          <w:lang w:val="en-CA"/>
        </w:rPr>
        <w:t xml:space="preserve">held a </w:t>
      </w:r>
      <w:r w:rsidR="006E1429">
        <w:rPr>
          <w:lang w:val="en-CA"/>
        </w:rPr>
        <w:t xml:space="preserve">bachelor of </w:t>
      </w:r>
      <w:r w:rsidR="00EA2346">
        <w:rPr>
          <w:lang w:val="en-CA"/>
        </w:rPr>
        <w:t>s</w:t>
      </w:r>
      <w:r w:rsidR="006E1429">
        <w:rPr>
          <w:lang w:val="en-CA"/>
        </w:rPr>
        <w:t>cience degree</w:t>
      </w:r>
      <w:r w:rsidRPr="00E855CA">
        <w:rPr>
          <w:lang w:val="en-CA"/>
        </w:rPr>
        <w:t xml:space="preserve"> in </w:t>
      </w:r>
      <w:r w:rsidR="00EA2346">
        <w:rPr>
          <w:lang w:val="en-CA"/>
        </w:rPr>
        <w:t>c</w:t>
      </w:r>
      <w:r w:rsidRPr="00E855CA">
        <w:rPr>
          <w:lang w:val="en-CA"/>
        </w:rPr>
        <w:t xml:space="preserve">omputer </w:t>
      </w:r>
      <w:r w:rsidR="00EA2346">
        <w:rPr>
          <w:lang w:val="en-CA"/>
        </w:rPr>
        <w:t>s</w:t>
      </w:r>
      <w:r w:rsidRPr="00E855CA">
        <w:rPr>
          <w:lang w:val="en-CA"/>
        </w:rPr>
        <w:t xml:space="preserve">cience from Syracuse University and a </w:t>
      </w:r>
      <w:r w:rsidR="00EA2346">
        <w:rPr>
          <w:lang w:val="en-CA"/>
        </w:rPr>
        <w:t>doctorate</w:t>
      </w:r>
      <w:r w:rsidRPr="00E855CA">
        <w:rPr>
          <w:lang w:val="en-CA"/>
        </w:rPr>
        <w:t xml:space="preserve"> in </w:t>
      </w:r>
      <w:r w:rsidR="00EA2346">
        <w:rPr>
          <w:lang w:val="en-CA"/>
        </w:rPr>
        <w:t>c</w:t>
      </w:r>
      <w:r w:rsidRPr="00E855CA">
        <w:rPr>
          <w:lang w:val="en-CA"/>
        </w:rPr>
        <w:t xml:space="preserve">omputer </w:t>
      </w:r>
      <w:r w:rsidR="00EA2346">
        <w:rPr>
          <w:lang w:val="en-CA"/>
        </w:rPr>
        <w:t>s</w:t>
      </w:r>
      <w:r w:rsidRPr="00E855CA">
        <w:rPr>
          <w:lang w:val="en-CA"/>
        </w:rPr>
        <w:t>cience from Stanford University. Prior to joining Infosys, he had been employed at SAP</w:t>
      </w:r>
      <w:r w:rsidR="00EA2346">
        <w:rPr>
          <w:lang w:val="en-CA"/>
        </w:rPr>
        <w:t xml:space="preserve"> SE</w:t>
      </w:r>
      <w:r w:rsidRPr="00E855CA">
        <w:rPr>
          <w:lang w:val="en-CA"/>
        </w:rPr>
        <w:t>.</w:t>
      </w:r>
    </w:p>
    <w:p w14:paraId="4B1273D0" w14:textId="77777777" w:rsidR="00410E64" w:rsidRPr="00E855CA" w:rsidRDefault="00410E64" w:rsidP="00410E64">
      <w:pPr>
        <w:pStyle w:val="BodyTextMain"/>
        <w:rPr>
          <w:lang w:val="en-CA"/>
        </w:rPr>
      </w:pPr>
    </w:p>
    <w:p w14:paraId="1DF1C669" w14:textId="27B8D261" w:rsidR="00410E64" w:rsidRPr="00E866C0" w:rsidRDefault="00410E64" w:rsidP="00410E64">
      <w:pPr>
        <w:pStyle w:val="BodyTextMain"/>
        <w:rPr>
          <w:spacing w:val="-4"/>
          <w:lang w:val="en-CA"/>
        </w:rPr>
      </w:pPr>
      <w:r w:rsidRPr="00E866C0">
        <w:rPr>
          <w:spacing w:val="-4"/>
          <w:lang w:val="en-CA"/>
        </w:rPr>
        <w:t>As of May 2017, Infosys had a market capitalization of $36.2 billion</w:t>
      </w:r>
      <w:r w:rsidR="00EA2346" w:rsidRPr="00E866C0">
        <w:rPr>
          <w:spacing w:val="-4"/>
          <w:lang w:val="en-CA"/>
        </w:rPr>
        <w:t>;</w:t>
      </w:r>
      <w:r w:rsidRPr="00E866C0">
        <w:rPr>
          <w:spacing w:val="-4"/>
          <w:lang w:val="en-CA"/>
        </w:rPr>
        <w:t xml:space="preserve"> yearly revenues </w:t>
      </w:r>
      <w:r w:rsidR="00EA2346" w:rsidRPr="00E866C0">
        <w:rPr>
          <w:spacing w:val="-4"/>
          <w:lang w:val="en-CA"/>
        </w:rPr>
        <w:t xml:space="preserve">for fiscal year 2016–17 </w:t>
      </w:r>
      <w:r w:rsidRPr="00E866C0">
        <w:rPr>
          <w:spacing w:val="-4"/>
          <w:lang w:val="en-CA"/>
        </w:rPr>
        <w:t>totalled $10.2 billion</w:t>
      </w:r>
      <w:r w:rsidR="00EA2346" w:rsidRPr="00E866C0">
        <w:rPr>
          <w:spacing w:val="-4"/>
          <w:lang w:val="en-CA"/>
        </w:rPr>
        <w:t xml:space="preserve"> (see Exhibit 2).</w:t>
      </w:r>
      <w:r w:rsidRPr="00E866C0">
        <w:rPr>
          <w:rStyle w:val="EndnoteReference"/>
          <w:color w:val="000000"/>
          <w:spacing w:val="-4"/>
          <w:lang w:val="en-CA"/>
        </w:rPr>
        <w:endnoteReference w:id="32"/>
      </w:r>
      <w:r w:rsidRPr="00E866C0">
        <w:rPr>
          <w:spacing w:val="-4"/>
          <w:lang w:val="en-CA"/>
        </w:rPr>
        <w:t xml:space="preserve"> </w:t>
      </w:r>
      <w:r w:rsidR="00EA2346" w:rsidRPr="00E866C0">
        <w:rPr>
          <w:spacing w:val="-4"/>
          <w:lang w:val="en-CA"/>
        </w:rPr>
        <w:t xml:space="preserve">According to the company’s </w:t>
      </w:r>
      <w:r w:rsidRPr="00E866C0">
        <w:rPr>
          <w:spacing w:val="-4"/>
          <w:lang w:val="en-CA"/>
        </w:rPr>
        <w:t>annual report for 2016–17</w:t>
      </w:r>
      <w:r w:rsidR="00EA2346" w:rsidRPr="00E866C0">
        <w:rPr>
          <w:spacing w:val="-4"/>
          <w:lang w:val="en-CA"/>
        </w:rPr>
        <w:t>,</w:t>
      </w:r>
      <w:r w:rsidRPr="00E866C0">
        <w:rPr>
          <w:rStyle w:val="EndnoteReference"/>
          <w:color w:val="000000"/>
          <w:spacing w:val="-4"/>
          <w:lang w:val="en-CA"/>
        </w:rPr>
        <w:endnoteReference w:id="33"/>
      </w:r>
      <w:r w:rsidRPr="00E866C0">
        <w:rPr>
          <w:spacing w:val="-4"/>
          <w:lang w:val="en-CA"/>
        </w:rPr>
        <w:t xml:space="preserve"> Infosys had 17 direct subsidiaries, 26 step-down subsidiaries</w:t>
      </w:r>
      <w:r w:rsidR="00EA2346" w:rsidRPr="00E866C0">
        <w:rPr>
          <w:spacing w:val="-4"/>
          <w:lang w:val="en-CA"/>
        </w:rPr>
        <w:t>,</w:t>
      </w:r>
      <w:r w:rsidRPr="00E866C0">
        <w:rPr>
          <w:spacing w:val="-4"/>
          <w:lang w:val="en-CA"/>
        </w:rPr>
        <w:t xml:space="preserve"> and one associate. </w:t>
      </w:r>
      <w:r w:rsidR="00EA2346" w:rsidRPr="00E866C0">
        <w:rPr>
          <w:spacing w:val="-4"/>
          <w:lang w:val="en-CA"/>
        </w:rPr>
        <w:t xml:space="preserve">Its </w:t>
      </w:r>
      <w:r w:rsidRPr="00E866C0">
        <w:rPr>
          <w:spacing w:val="-4"/>
          <w:lang w:val="en-CA"/>
        </w:rPr>
        <w:t xml:space="preserve">workforce stood at 200,364 as of March </w:t>
      </w:r>
      <w:r w:rsidR="00EA2346" w:rsidRPr="00E866C0">
        <w:rPr>
          <w:spacing w:val="-4"/>
          <w:lang w:val="en-CA"/>
        </w:rPr>
        <w:t xml:space="preserve">31, </w:t>
      </w:r>
      <w:r w:rsidRPr="00E866C0">
        <w:rPr>
          <w:spacing w:val="-4"/>
          <w:lang w:val="en-CA"/>
        </w:rPr>
        <w:t xml:space="preserve">2017. </w:t>
      </w:r>
      <w:r w:rsidR="00EA2346" w:rsidRPr="00E866C0">
        <w:rPr>
          <w:spacing w:val="-4"/>
          <w:lang w:val="en-CA"/>
        </w:rPr>
        <w:t>The company added 6,320 employees d</w:t>
      </w:r>
      <w:r w:rsidRPr="00E866C0">
        <w:rPr>
          <w:spacing w:val="-4"/>
          <w:lang w:val="en-CA"/>
        </w:rPr>
        <w:t>uring 2016–17</w:t>
      </w:r>
      <w:r w:rsidR="00EA2346" w:rsidRPr="00E866C0">
        <w:rPr>
          <w:spacing w:val="-4"/>
          <w:lang w:val="en-CA"/>
        </w:rPr>
        <w:t xml:space="preserve"> and had an </w:t>
      </w:r>
      <w:r w:rsidRPr="00E866C0">
        <w:rPr>
          <w:spacing w:val="-4"/>
          <w:lang w:val="en-CA"/>
        </w:rPr>
        <w:t xml:space="preserve">attrition rate </w:t>
      </w:r>
      <w:r w:rsidR="00EA2346" w:rsidRPr="00E866C0">
        <w:rPr>
          <w:spacing w:val="-4"/>
          <w:lang w:val="en-CA"/>
        </w:rPr>
        <w:t xml:space="preserve">of </w:t>
      </w:r>
      <w:r w:rsidRPr="00E866C0">
        <w:rPr>
          <w:spacing w:val="-4"/>
          <w:lang w:val="en-CA"/>
        </w:rPr>
        <w:t xml:space="preserve">15 per cent. </w:t>
      </w:r>
    </w:p>
    <w:p w14:paraId="5F55676F" w14:textId="77777777" w:rsidR="00410E64" w:rsidRPr="00C82D1F" w:rsidRDefault="00410E64" w:rsidP="00410E64">
      <w:pPr>
        <w:pStyle w:val="BodyTextMain"/>
        <w:rPr>
          <w:lang w:val="en-CA"/>
        </w:rPr>
      </w:pPr>
    </w:p>
    <w:p w14:paraId="5FD7AA44" w14:textId="69B4C848" w:rsidR="005742EF" w:rsidRPr="00E866C0" w:rsidRDefault="00410E64" w:rsidP="00410E64">
      <w:pPr>
        <w:pStyle w:val="BodyTextMain"/>
        <w:rPr>
          <w:lang w:val="en-CA"/>
        </w:rPr>
      </w:pPr>
      <w:r w:rsidRPr="00C82D1F">
        <w:rPr>
          <w:lang w:val="en-CA"/>
        </w:rPr>
        <w:t xml:space="preserve">Infosys, along with its subsidiaries, provided business outsourcing, consulting, and information technology services to its clients across the globe. Its </w:t>
      </w:r>
      <w:r w:rsidR="00F117BC" w:rsidRPr="00C82D1F">
        <w:rPr>
          <w:lang w:val="en-CA"/>
        </w:rPr>
        <w:t>primary</w:t>
      </w:r>
      <w:r w:rsidRPr="00C82D1F">
        <w:rPr>
          <w:lang w:val="en-CA"/>
        </w:rPr>
        <w:t xml:space="preserve"> market business segments included financial services; manufacturing; retail, </w:t>
      </w:r>
      <w:r w:rsidR="00F117BC" w:rsidRPr="00C82D1F">
        <w:rPr>
          <w:lang w:val="en-CA"/>
        </w:rPr>
        <w:t>consumer packaged goods,</w:t>
      </w:r>
      <w:r w:rsidRPr="00C82D1F">
        <w:rPr>
          <w:lang w:val="en-CA"/>
        </w:rPr>
        <w:t xml:space="preserve"> and logistics; energy</w:t>
      </w:r>
      <w:r w:rsidR="00F117BC" w:rsidRPr="00C82D1F">
        <w:rPr>
          <w:lang w:val="en-CA"/>
        </w:rPr>
        <w:t>,</w:t>
      </w:r>
      <w:r w:rsidRPr="00C82D1F">
        <w:rPr>
          <w:lang w:val="en-CA"/>
        </w:rPr>
        <w:t xml:space="preserve"> utilities, </w:t>
      </w:r>
      <w:r w:rsidR="00F117BC" w:rsidRPr="00C82D1F">
        <w:rPr>
          <w:lang w:val="en-CA"/>
        </w:rPr>
        <w:t xml:space="preserve">and </w:t>
      </w:r>
      <w:r w:rsidRPr="00C82D1F">
        <w:rPr>
          <w:lang w:val="en-CA"/>
        </w:rPr>
        <w:t xml:space="preserve">communications and services; hi-tech; </w:t>
      </w:r>
      <w:r w:rsidR="00F13166">
        <w:rPr>
          <w:lang w:val="en-CA"/>
        </w:rPr>
        <w:t xml:space="preserve">and </w:t>
      </w:r>
      <w:r w:rsidRPr="00C82D1F">
        <w:rPr>
          <w:lang w:val="en-CA"/>
        </w:rPr>
        <w:t>life sciences, health</w:t>
      </w:r>
      <w:r w:rsidR="00112AED" w:rsidRPr="00C82D1F">
        <w:rPr>
          <w:lang w:val="en-CA"/>
        </w:rPr>
        <w:t xml:space="preserve"> </w:t>
      </w:r>
      <w:r w:rsidRPr="00C82D1F">
        <w:rPr>
          <w:lang w:val="en-CA"/>
        </w:rPr>
        <w:t>care</w:t>
      </w:r>
      <w:r w:rsidR="00F117BC">
        <w:rPr>
          <w:lang w:val="en-CA"/>
        </w:rPr>
        <w:t>,</w:t>
      </w:r>
      <w:r w:rsidRPr="00E855CA">
        <w:rPr>
          <w:lang w:val="en-CA"/>
        </w:rPr>
        <w:t xml:space="preserve"> and insurance</w:t>
      </w:r>
      <w:r w:rsidR="00A367F0">
        <w:rPr>
          <w:lang w:val="en-CA"/>
        </w:rPr>
        <w:t xml:space="preserve"> (see Exhibit 3</w:t>
      </w:r>
      <w:r w:rsidR="00F117BC">
        <w:rPr>
          <w:lang w:val="en-CA"/>
        </w:rPr>
        <w:t>).</w:t>
      </w:r>
      <w:r w:rsidRPr="00E855CA">
        <w:rPr>
          <w:rStyle w:val="EndnoteReference"/>
          <w:color w:val="000000"/>
          <w:lang w:val="en-CA"/>
        </w:rPr>
        <w:endnoteReference w:id="34"/>
      </w:r>
      <w:r w:rsidRPr="00E855CA">
        <w:rPr>
          <w:lang w:val="en-CA"/>
        </w:rPr>
        <w:t xml:space="preserve"> </w:t>
      </w:r>
      <w:r w:rsidR="005742EF" w:rsidRPr="00E855CA">
        <w:rPr>
          <w:color w:val="000000"/>
          <w:lang w:val="en-CA"/>
        </w:rPr>
        <w:t>Geographic</w:t>
      </w:r>
      <w:r w:rsidR="00112AED">
        <w:rPr>
          <w:color w:val="000000"/>
          <w:lang w:val="en-CA"/>
        </w:rPr>
        <w:t>al</w:t>
      </w:r>
      <w:r w:rsidR="005742EF" w:rsidRPr="00E855CA">
        <w:rPr>
          <w:color w:val="000000"/>
          <w:lang w:val="en-CA"/>
        </w:rPr>
        <w:t xml:space="preserve"> segments of Infosys, including on- and off-site locations, spanned North America</w:t>
      </w:r>
      <w:r w:rsidR="00112AED">
        <w:rPr>
          <w:color w:val="000000"/>
          <w:lang w:val="en-CA"/>
        </w:rPr>
        <w:t>,</w:t>
      </w:r>
      <w:r w:rsidR="005742EF" w:rsidRPr="00E855CA">
        <w:rPr>
          <w:color w:val="000000"/>
          <w:lang w:val="en-CA"/>
        </w:rPr>
        <w:t xml:space="preserve"> Europe</w:t>
      </w:r>
      <w:r w:rsidR="00F13166">
        <w:rPr>
          <w:color w:val="000000"/>
          <w:lang w:val="en-CA"/>
        </w:rPr>
        <w:t>—</w:t>
      </w:r>
      <w:r w:rsidR="005742EF" w:rsidRPr="00E855CA">
        <w:rPr>
          <w:color w:val="000000"/>
          <w:lang w:val="en-CA"/>
        </w:rPr>
        <w:t>including Ireland and the United Kingdom</w:t>
      </w:r>
      <w:r w:rsidR="00F13166">
        <w:rPr>
          <w:color w:val="000000"/>
          <w:lang w:val="en-CA"/>
        </w:rPr>
        <w:t>—</w:t>
      </w:r>
      <w:r w:rsidR="005742EF" w:rsidRPr="00E855CA">
        <w:rPr>
          <w:color w:val="000000"/>
          <w:lang w:val="en-CA"/>
        </w:rPr>
        <w:t>India</w:t>
      </w:r>
      <w:r w:rsidR="00112AED">
        <w:rPr>
          <w:color w:val="000000"/>
          <w:lang w:val="en-CA"/>
        </w:rPr>
        <w:t>,</w:t>
      </w:r>
      <w:r w:rsidR="005742EF" w:rsidRPr="00E855CA">
        <w:rPr>
          <w:color w:val="000000"/>
          <w:lang w:val="en-CA"/>
        </w:rPr>
        <w:t xml:space="preserve"> and the rest of the </w:t>
      </w:r>
      <w:r w:rsidR="005742EF" w:rsidRPr="00E866C0">
        <w:rPr>
          <w:lang w:val="en-CA"/>
        </w:rPr>
        <w:t>world.</w:t>
      </w:r>
    </w:p>
    <w:p w14:paraId="18A2A165" w14:textId="77777777" w:rsidR="00410E64" w:rsidRPr="00E866C0" w:rsidRDefault="00410E64" w:rsidP="00E866C0">
      <w:pPr>
        <w:pStyle w:val="BodyTextMain"/>
      </w:pPr>
    </w:p>
    <w:p w14:paraId="32165245" w14:textId="77777777" w:rsidR="00410E64" w:rsidRPr="00E866C0" w:rsidRDefault="00410E64" w:rsidP="00E866C0">
      <w:pPr>
        <w:pStyle w:val="BodyTextMain"/>
      </w:pPr>
    </w:p>
    <w:p w14:paraId="1D5EEBD9" w14:textId="78A43B67" w:rsidR="00410E64" w:rsidRPr="00E855CA" w:rsidRDefault="00F117BC" w:rsidP="00824F98">
      <w:pPr>
        <w:pStyle w:val="Casehead1"/>
        <w:rPr>
          <w:lang w:val="en-CA"/>
        </w:rPr>
      </w:pPr>
      <w:r>
        <w:rPr>
          <w:lang w:val="en-CA"/>
        </w:rPr>
        <w:t xml:space="preserve">Infosys </w:t>
      </w:r>
      <w:r w:rsidR="00410E64" w:rsidRPr="00E855CA">
        <w:rPr>
          <w:lang w:val="en-CA"/>
        </w:rPr>
        <w:t xml:space="preserve">ACQUITIONS </w:t>
      </w:r>
      <w:r>
        <w:rPr>
          <w:lang w:val="en-CA"/>
        </w:rPr>
        <w:t>(</w:t>
      </w:r>
      <w:r w:rsidR="00410E64" w:rsidRPr="00E855CA">
        <w:rPr>
          <w:lang w:val="en-CA"/>
        </w:rPr>
        <w:t>2000–2016</w:t>
      </w:r>
      <w:r>
        <w:rPr>
          <w:lang w:val="en-CA"/>
        </w:rPr>
        <w:t>)</w:t>
      </w:r>
    </w:p>
    <w:p w14:paraId="4FA55D24" w14:textId="77777777" w:rsidR="00F117BC" w:rsidRDefault="00F117BC" w:rsidP="00410E64">
      <w:pPr>
        <w:pStyle w:val="BodyTextMain"/>
        <w:rPr>
          <w:lang w:val="en-CA"/>
        </w:rPr>
      </w:pPr>
    </w:p>
    <w:p w14:paraId="5D8AA1F2" w14:textId="29CD9303" w:rsidR="00410E64" w:rsidRDefault="00410E64" w:rsidP="00410E64">
      <w:pPr>
        <w:pStyle w:val="BodyTextMain"/>
        <w:rPr>
          <w:lang w:val="en-CA"/>
        </w:rPr>
      </w:pPr>
      <w:r w:rsidRPr="00E855CA">
        <w:rPr>
          <w:lang w:val="en-CA"/>
        </w:rPr>
        <w:t>Infosys was a cash-rich company</w:t>
      </w:r>
      <w:r w:rsidR="00F117BC">
        <w:rPr>
          <w:lang w:val="en-CA"/>
        </w:rPr>
        <w:t xml:space="preserve"> able to buy out a number of companies (see </w:t>
      </w:r>
      <w:r w:rsidRPr="00E855CA">
        <w:rPr>
          <w:lang w:val="en-CA"/>
        </w:rPr>
        <w:t>Exhibit</w:t>
      </w:r>
      <w:r w:rsidR="00F117BC">
        <w:rPr>
          <w:lang w:val="en-CA"/>
        </w:rPr>
        <w:t>s</w:t>
      </w:r>
      <w:r w:rsidRPr="00E855CA">
        <w:rPr>
          <w:lang w:val="en-CA"/>
        </w:rPr>
        <w:t xml:space="preserve"> 2</w:t>
      </w:r>
      <w:r w:rsidR="00F117BC">
        <w:rPr>
          <w:lang w:val="en-CA"/>
        </w:rPr>
        <w:t>–</w:t>
      </w:r>
      <w:r w:rsidRPr="00E855CA">
        <w:rPr>
          <w:lang w:val="en-CA"/>
        </w:rPr>
        <w:t>3</w:t>
      </w:r>
      <w:r w:rsidR="00F117BC">
        <w:rPr>
          <w:lang w:val="en-CA"/>
        </w:rPr>
        <w:t>)</w:t>
      </w:r>
      <w:r w:rsidRPr="00E855CA">
        <w:rPr>
          <w:lang w:val="en-CA"/>
        </w:rPr>
        <w:t xml:space="preserve">. </w:t>
      </w:r>
    </w:p>
    <w:p w14:paraId="2A73B102" w14:textId="77777777" w:rsidR="00410E64" w:rsidRPr="00E855CA" w:rsidRDefault="00410E64" w:rsidP="00410E64">
      <w:pPr>
        <w:pStyle w:val="BodyTextMain"/>
        <w:rPr>
          <w:lang w:val="en-CA"/>
        </w:rPr>
      </w:pPr>
    </w:p>
    <w:p w14:paraId="43E04350" w14:textId="2AD5AA0E" w:rsidR="00D35549" w:rsidRDefault="00410E64" w:rsidP="00410E64">
      <w:pPr>
        <w:pStyle w:val="BodyTextMain"/>
        <w:rPr>
          <w:lang w:val="en-CA"/>
        </w:rPr>
      </w:pPr>
      <w:r w:rsidRPr="00AD3128">
        <w:rPr>
          <w:b/>
          <w:lang w:val="en-CA"/>
        </w:rPr>
        <w:t>Expert Information Services</w:t>
      </w:r>
      <w:r w:rsidR="00D35549" w:rsidRPr="00824F98">
        <w:rPr>
          <w:lang w:val="en-CA"/>
        </w:rPr>
        <w:t>,</w:t>
      </w:r>
      <w:r w:rsidRPr="00AD3128">
        <w:rPr>
          <w:b/>
          <w:lang w:val="en-CA"/>
        </w:rPr>
        <w:t xml:space="preserve"> </w:t>
      </w:r>
      <w:r w:rsidRPr="00AD3128">
        <w:rPr>
          <w:lang w:val="en-CA"/>
        </w:rPr>
        <w:t>a Melbourne</w:t>
      </w:r>
      <w:r>
        <w:rPr>
          <w:lang w:val="en-CA"/>
        </w:rPr>
        <w:t>, Australia-</w:t>
      </w:r>
      <w:r w:rsidRPr="00AD3128">
        <w:rPr>
          <w:lang w:val="en-CA"/>
        </w:rPr>
        <w:t>based company</w:t>
      </w:r>
      <w:r w:rsidR="00D35549">
        <w:rPr>
          <w:lang w:val="en-CA"/>
        </w:rPr>
        <w:t xml:space="preserve">, </w:t>
      </w:r>
      <w:r w:rsidR="00D35549" w:rsidRPr="00AD3128">
        <w:rPr>
          <w:lang w:val="en-CA"/>
        </w:rPr>
        <w:t xml:space="preserve">was </w:t>
      </w:r>
      <w:r w:rsidR="00D35549">
        <w:rPr>
          <w:lang w:val="en-CA"/>
        </w:rPr>
        <w:t>Infosys’</w:t>
      </w:r>
      <w:r w:rsidR="00D35549" w:rsidRPr="00AD3128">
        <w:rPr>
          <w:lang w:val="en-CA"/>
        </w:rPr>
        <w:t xml:space="preserve"> first acquisition</w:t>
      </w:r>
      <w:r w:rsidR="00D35549">
        <w:rPr>
          <w:lang w:val="en-CA"/>
        </w:rPr>
        <w:t>,</w:t>
      </w:r>
      <w:r w:rsidR="00D35549" w:rsidRPr="00AD3128">
        <w:rPr>
          <w:lang w:val="en-CA"/>
        </w:rPr>
        <w:t xml:space="preserve"> </w:t>
      </w:r>
      <w:r w:rsidRPr="00AD3128">
        <w:rPr>
          <w:lang w:val="en-CA"/>
        </w:rPr>
        <w:t>acquired in 2003</w:t>
      </w:r>
      <w:r w:rsidR="00D35549">
        <w:rPr>
          <w:lang w:val="en-CA"/>
        </w:rPr>
        <w:t>.</w:t>
      </w:r>
      <w:r w:rsidRPr="00AD3128">
        <w:rPr>
          <w:rStyle w:val="EndnoteReference"/>
          <w:lang w:val="en-CA"/>
        </w:rPr>
        <w:endnoteReference w:id="35"/>
      </w:r>
      <w:r w:rsidRPr="00AD3128">
        <w:rPr>
          <w:lang w:val="en-CA"/>
        </w:rPr>
        <w:t xml:space="preserve"> </w:t>
      </w:r>
      <w:r w:rsidR="00112AED">
        <w:rPr>
          <w:lang w:val="en-CA"/>
        </w:rPr>
        <w:t>The company</w:t>
      </w:r>
      <w:r w:rsidRPr="00AD3128">
        <w:rPr>
          <w:lang w:val="en-CA"/>
        </w:rPr>
        <w:t xml:space="preserve"> earned revenues of $34.6 </w:t>
      </w:r>
      <w:r>
        <w:rPr>
          <w:lang w:val="en-CA"/>
        </w:rPr>
        <w:t>m</w:t>
      </w:r>
      <w:r w:rsidRPr="00AD3128">
        <w:rPr>
          <w:lang w:val="en-CA"/>
        </w:rPr>
        <w:t xml:space="preserve">illion </w:t>
      </w:r>
      <w:r>
        <w:rPr>
          <w:lang w:val="en-CA"/>
        </w:rPr>
        <w:t>and</w:t>
      </w:r>
      <w:r w:rsidRPr="00AD3128">
        <w:rPr>
          <w:lang w:val="en-CA"/>
        </w:rPr>
        <w:t xml:space="preserve"> </w:t>
      </w:r>
      <w:r w:rsidR="00D35549">
        <w:rPr>
          <w:lang w:val="en-CA"/>
        </w:rPr>
        <w:t xml:space="preserve">made </w:t>
      </w:r>
      <w:r w:rsidRPr="00AD3128">
        <w:rPr>
          <w:lang w:val="en-CA"/>
        </w:rPr>
        <w:t xml:space="preserve">a net profit of </w:t>
      </w:r>
      <w:r>
        <w:rPr>
          <w:lang w:val="en-CA"/>
        </w:rPr>
        <w:t>$</w:t>
      </w:r>
      <w:r w:rsidRPr="00AD3128">
        <w:rPr>
          <w:lang w:val="en-CA"/>
        </w:rPr>
        <w:t xml:space="preserve">5.2 </w:t>
      </w:r>
      <w:r>
        <w:rPr>
          <w:lang w:val="en-CA"/>
        </w:rPr>
        <w:t>m</w:t>
      </w:r>
      <w:r w:rsidRPr="00AD3128">
        <w:rPr>
          <w:lang w:val="en-CA"/>
        </w:rPr>
        <w:t xml:space="preserve">illion during </w:t>
      </w:r>
      <w:r w:rsidR="00D35549">
        <w:rPr>
          <w:lang w:val="en-CA"/>
        </w:rPr>
        <w:t>its</w:t>
      </w:r>
      <w:r w:rsidR="00D35549" w:rsidRPr="00AD3128">
        <w:rPr>
          <w:lang w:val="en-CA"/>
        </w:rPr>
        <w:t xml:space="preserve"> </w:t>
      </w:r>
      <w:r w:rsidRPr="00AD3128">
        <w:rPr>
          <w:lang w:val="en-CA"/>
        </w:rPr>
        <w:t xml:space="preserve">fiscal year ending June 30, 2003. </w:t>
      </w:r>
      <w:r w:rsidR="00D35549">
        <w:rPr>
          <w:lang w:val="en-CA"/>
        </w:rPr>
        <w:t>The company</w:t>
      </w:r>
      <w:r w:rsidR="00D35549" w:rsidRPr="00AD3128">
        <w:rPr>
          <w:lang w:val="en-CA"/>
        </w:rPr>
        <w:t xml:space="preserve"> </w:t>
      </w:r>
      <w:r w:rsidRPr="00AD3128">
        <w:rPr>
          <w:lang w:val="en-CA"/>
        </w:rPr>
        <w:t>specialized in designing, building</w:t>
      </w:r>
      <w:r w:rsidR="00D35549">
        <w:rPr>
          <w:lang w:val="en-CA"/>
        </w:rPr>
        <w:t>,</w:t>
      </w:r>
      <w:r w:rsidRPr="00AD3128">
        <w:rPr>
          <w:lang w:val="en-CA"/>
        </w:rPr>
        <w:t xml:space="preserve"> and integrating business solutions and products for medium and large clients across vertical</w:t>
      </w:r>
      <w:r>
        <w:rPr>
          <w:lang w:val="en-CA"/>
        </w:rPr>
        <w:t xml:space="preserve"> sector</w:t>
      </w:r>
      <w:r w:rsidRPr="00AD3128">
        <w:rPr>
          <w:lang w:val="en-CA"/>
        </w:rPr>
        <w:t>s such as telecom, financial services, retail, and government</w:t>
      </w:r>
      <w:r w:rsidR="00D35549">
        <w:rPr>
          <w:lang w:val="en-CA"/>
        </w:rPr>
        <w:t>.</w:t>
      </w:r>
      <w:r w:rsidRPr="00AD3128">
        <w:rPr>
          <w:rStyle w:val="EndnoteReference"/>
          <w:lang w:val="en-CA"/>
        </w:rPr>
        <w:endnoteReference w:id="36"/>
      </w:r>
      <w:r w:rsidRPr="00AD3128">
        <w:rPr>
          <w:lang w:val="en-CA"/>
        </w:rPr>
        <w:t xml:space="preserve"> </w:t>
      </w:r>
    </w:p>
    <w:p w14:paraId="7A5721AD" w14:textId="77777777" w:rsidR="00D35549" w:rsidRDefault="00D35549" w:rsidP="00410E64">
      <w:pPr>
        <w:pStyle w:val="BodyTextMain"/>
        <w:rPr>
          <w:lang w:val="en-CA"/>
        </w:rPr>
      </w:pPr>
    </w:p>
    <w:p w14:paraId="335A6960" w14:textId="3D080524" w:rsidR="00410E64" w:rsidRPr="0073422E" w:rsidRDefault="00410E64" w:rsidP="00410E64">
      <w:pPr>
        <w:pStyle w:val="BodyTextMain"/>
        <w:rPr>
          <w:spacing w:val="-2"/>
          <w:lang w:val="en-CA"/>
        </w:rPr>
      </w:pPr>
      <w:r w:rsidRPr="0073422E">
        <w:rPr>
          <w:spacing w:val="-2"/>
          <w:lang w:val="en-CA"/>
        </w:rPr>
        <w:t xml:space="preserve">Infosys paid $22.9 million to acquire 100 per cent of the </w:t>
      </w:r>
      <w:r w:rsidR="00D35549" w:rsidRPr="0073422E">
        <w:rPr>
          <w:spacing w:val="-2"/>
          <w:lang w:val="en-CA"/>
        </w:rPr>
        <w:t xml:space="preserve">Expert Information Services’ </w:t>
      </w:r>
      <w:r w:rsidRPr="0073422E">
        <w:rPr>
          <w:spacing w:val="-2"/>
          <w:lang w:val="en-CA"/>
        </w:rPr>
        <w:t>equity (a buyout deal). The transaction value included an up-front payment of $14.1 million and an earn-out and transition bonus of $8.9 million, payable over three years for achieving key financial targets and retaining key employees over a period of two years. The company was renamed Infosys Technologies (Australia) Pty Limited</w:t>
      </w:r>
      <w:r w:rsidR="00D35549" w:rsidRPr="0073422E">
        <w:rPr>
          <w:spacing w:val="-2"/>
          <w:lang w:val="en-CA"/>
        </w:rPr>
        <w:t>.</w:t>
      </w:r>
      <w:r w:rsidRPr="0073422E">
        <w:rPr>
          <w:rStyle w:val="EndnoteReference"/>
          <w:spacing w:val="-2"/>
          <w:lang w:val="en-CA"/>
        </w:rPr>
        <w:endnoteReference w:id="37"/>
      </w:r>
      <w:r w:rsidRPr="0073422E">
        <w:rPr>
          <w:spacing w:val="-2"/>
          <w:lang w:val="en-CA"/>
        </w:rPr>
        <w:t xml:space="preserve"> </w:t>
      </w:r>
    </w:p>
    <w:p w14:paraId="2E8964F0" w14:textId="77777777" w:rsidR="00410E64" w:rsidRPr="00AD3128" w:rsidRDefault="00410E64" w:rsidP="00410E64">
      <w:pPr>
        <w:pStyle w:val="BodyTextMain"/>
        <w:rPr>
          <w:lang w:val="en-CA"/>
        </w:rPr>
      </w:pPr>
    </w:p>
    <w:p w14:paraId="67F21597" w14:textId="24F5D767" w:rsidR="00410E64" w:rsidRDefault="00C401BE" w:rsidP="00410E64">
      <w:pPr>
        <w:pStyle w:val="BodyTextMain"/>
        <w:rPr>
          <w:lang w:val="en-CA"/>
        </w:rPr>
      </w:pPr>
      <w:r w:rsidRPr="00824F98">
        <w:rPr>
          <w:b/>
          <w:lang w:val="en-CA"/>
        </w:rPr>
        <w:t>Koninklijke Philips N.V.</w:t>
      </w:r>
      <w:r>
        <w:rPr>
          <w:lang w:val="en-CA"/>
        </w:rPr>
        <w:t xml:space="preserve"> (</w:t>
      </w:r>
      <w:r w:rsidRPr="00AD3128">
        <w:rPr>
          <w:lang w:val="en-CA"/>
        </w:rPr>
        <w:t>Philips</w:t>
      </w:r>
      <w:r>
        <w:rPr>
          <w:lang w:val="en-CA"/>
        </w:rPr>
        <w:t>)</w:t>
      </w:r>
      <w:r w:rsidR="00114976">
        <w:rPr>
          <w:lang w:val="en-CA"/>
        </w:rPr>
        <w:t>’s three shared services centres</w:t>
      </w:r>
      <w:r>
        <w:rPr>
          <w:lang w:val="en-CA"/>
        </w:rPr>
        <w:t xml:space="preserve"> </w:t>
      </w:r>
      <w:r w:rsidR="00410E64" w:rsidRPr="00AD3128">
        <w:rPr>
          <w:lang w:val="en-CA"/>
        </w:rPr>
        <w:t>w</w:t>
      </w:r>
      <w:r w:rsidR="00F13166">
        <w:rPr>
          <w:lang w:val="en-CA"/>
        </w:rPr>
        <w:t>ere</w:t>
      </w:r>
      <w:r w:rsidR="00410E64" w:rsidRPr="00AD3128">
        <w:rPr>
          <w:lang w:val="en-CA"/>
        </w:rPr>
        <w:t xml:space="preserve"> </w:t>
      </w:r>
      <w:r w:rsidR="0061792F">
        <w:rPr>
          <w:lang w:val="en-CA"/>
        </w:rPr>
        <w:t>Infosys’</w:t>
      </w:r>
      <w:r w:rsidR="0061792F" w:rsidRPr="00AD3128">
        <w:rPr>
          <w:lang w:val="en-CA"/>
        </w:rPr>
        <w:t xml:space="preserve"> </w:t>
      </w:r>
      <w:r w:rsidR="00410E64" w:rsidRPr="00AD3128">
        <w:rPr>
          <w:lang w:val="en-CA"/>
        </w:rPr>
        <w:t>second acquisition</w:t>
      </w:r>
      <w:r w:rsidR="0061792F">
        <w:rPr>
          <w:lang w:val="en-CA"/>
        </w:rPr>
        <w:t>,</w:t>
      </w:r>
      <w:r w:rsidR="00410E64" w:rsidRPr="00AD3128">
        <w:rPr>
          <w:lang w:val="en-CA"/>
        </w:rPr>
        <w:t xml:space="preserve"> </w:t>
      </w:r>
      <w:r w:rsidR="00410E64">
        <w:rPr>
          <w:lang w:val="en-CA"/>
        </w:rPr>
        <w:t>completed</w:t>
      </w:r>
      <w:r w:rsidR="00410E64" w:rsidRPr="00AD3128">
        <w:rPr>
          <w:lang w:val="en-CA"/>
        </w:rPr>
        <w:t xml:space="preserve"> at a cost of $28 million in 2007. At that time</w:t>
      </w:r>
      <w:r w:rsidR="00410E64">
        <w:rPr>
          <w:lang w:val="en-CA"/>
        </w:rPr>
        <w:t>,</w:t>
      </w:r>
      <w:r w:rsidR="00410E64" w:rsidRPr="00AD3128">
        <w:rPr>
          <w:lang w:val="en-CA"/>
        </w:rPr>
        <w:t xml:space="preserve"> Infosys had $1.4 billion </w:t>
      </w:r>
      <w:r w:rsidR="00410E64">
        <w:rPr>
          <w:lang w:val="en-CA"/>
        </w:rPr>
        <w:t>in</w:t>
      </w:r>
      <w:r w:rsidR="00410E64" w:rsidRPr="00AD3128">
        <w:rPr>
          <w:lang w:val="en-CA"/>
        </w:rPr>
        <w:t xml:space="preserve"> cash reserves</w:t>
      </w:r>
      <w:r>
        <w:rPr>
          <w:lang w:val="en-CA"/>
        </w:rPr>
        <w:t xml:space="preserve">, and </w:t>
      </w:r>
      <w:r w:rsidR="001B427C">
        <w:rPr>
          <w:lang w:val="en-CA"/>
        </w:rPr>
        <w:t>the company</w:t>
      </w:r>
      <w:r w:rsidR="00410E64" w:rsidRPr="00AD3128">
        <w:rPr>
          <w:lang w:val="en-CA"/>
        </w:rPr>
        <w:t xml:space="preserve"> estimated that </w:t>
      </w:r>
      <w:r w:rsidR="00410E64">
        <w:rPr>
          <w:lang w:val="en-CA"/>
        </w:rPr>
        <w:t>the</w:t>
      </w:r>
      <w:r w:rsidR="00410E64" w:rsidRPr="00AD3128">
        <w:rPr>
          <w:lang w:val="en-CA"/>
        </w:rPr>
        <w:t xml:space="preserve"> deal </w:t>
      </w:r>
      <w:r w:rsidR="00410E64">
        <w:rPr>
          <w:lang w:val="en-CA"/>
        </w:rPr>
        <w:t>would</w:t>
      </w:r>
      <w:r w:rsidR="00410E64" w:rsidRPr="00AD3128">
        <w:rPr>
          <w:lang w:val="en-CA"/>
        </w:rPr>
        <w:t xml:space="preserve"> </w:t>
      </w:r>
      <w:r w:rsidR="0061792F">
        <w:rPr>
          <w:lang w:val="en-CA"/>
        </w:rPr>
        <w:t>augment revenue by</w:t>
      </w:r>
      <w:r w:rsidR="00410E64" w:rsidRPr="00AD3128">
        <w:rPr>
          <w:lang w:val="en-CA"/>
        </w:rPr>
        <w:t xml:space="preserve"> $32 million. This estimated revenue was calculated at $15 per </w:t>
      </w:r>
      <w:r w:rsidR="00BC2F4D">
        <w:rPr>
          <w:lang w:val="en-CA"/>
        </w:rPr>
        <w:t xml:space="preserve">worker </w:t>
      </w:r>
      <w:r w:rsidR="00410E64" w:rsidRPr="00AD3128">
        <w:rPr>
          <w:lang w:val="en-CA"/>
        </w:rPr>
        <w:t>hour</w:t>
      </w:r>
      <w:r w:rsidR="00BC2F4D">
        <w:rPr>
          <w:lang w:val="en-CA"/>
        </w:rPr>
        <w:t>.</w:t>
      </w:r>
      <w:r w:rsidR="00410E64" w:rsidRPr="00AD3128">
        <w:rPr>
          <w:rStyle w:val="EndnoteReference"/>
          <w:lang w:val="en-CA"/>
        </w:rPr>
        <w:endnoteReference w:id="38"/>
      </w:r>
      <w:r w:rsidR="00410E64" w:rsidRPr="00AD3128">
        <w:rPr>
          <w:lang w:val="en-CA"/>
        </w:rPr>
        <w:t xml:space="preserve"> The deal </w:t>
      </w:r>
      <w:r w:rsidR="001C29C6">
        <w:rPr>
          <w:lang w:val="en-CA"/>
        </w:rPr>
        <w:t>included</w:t>
      </w:r>
      <w:r w:rsidR="001C29C6" w:rsidRPr="00AD3128">
        <w:rPr>
          <w:lang w:val="en-CA"/>
        </w:rPr>
        <w:t xml:space="preserve"> </w:t>
      </w:r>
      <w:r w:rsidR="00410E64" w:rsidRPr="00AD3128">
        <w:rPr>
          <w:lang w:val="en-CA"/>
        </w:rPr>
        <w:t xml:space="preserve">a business contract </w:t>
      </w:r>
      <w:r w:rsidR="001C29C6">
        <w:rPr>
          <w:lang w:val="en-CA"/>
        </w:rPr>
        <w:t xml:space="preserve">for </w:t>
      </w:r>
      <w:r w:rsidR="001C29C6" w:rsidRPr="00AD3128">
        <w:rPr>
          <w:lang w:val="en-CA"/>
        </w:rPr>
        <w:t xml:space="preserve">Infosys </w:t>
      </w:r>
      <w:r w:rsidR="00410E64" w:rsidRPr="00AD3128">
        <w:rPr>
          <w:lang w:val="en-CA"/>
        </w:rPr>
        <w:t xml:space="preserve">worth $250 million </w:t>
      </w:r>
      <w:r w:rsidR="00410E64">
        <w:rPr>
          <w:lang w:val="en-CA"/>
        </w:rPr>
        <w:t>to</w:t>
      </w:r>
      <w:r w:rsidR="00410E64" w:rsidRPr="00AD3128">
        <w:rPr>
          <w:lang w:val="en-CA"/>
        </w:rPr>
        <w:t xml:space="preserve"> provid</w:t>
      </w:r>
      <w:r w:rsidR="00410E64">
        <w:rPr>
          <w:lang w:val="en-CA"/>
        </w:rPr>
        <w:t>e</w:t>
      </w:r>
      <w:r w:rsidR="00410E64" w:rsidRPr="00AD3128">
        <w:rPr>
          <w:lang w:val="en-CA"/>
        </w:rPr>
        <w:t xml:space="preserve"> </w:t>
      </w:r>
      <w:r w:rsidR="001C29C6">
        <w:rPr>
          <w:lang w:val="en-CA"/>
        </w:rPr>
        <w:t xml:space="preserve">Philips </w:t>
      </w:r>
      <w:r w:rsidR="00000850">
        <w:rPr>
          <w:lang w:val="en-CA"/>
        </w:rPr>
        <w:t xml:space="preserve">with </w:t>
      </w:r>
      <w:r w:rsidR="00410E64" w:rsidRPr="00AD3128">
        <w:rPr>
          <w:lang w:val="en-CA"/>
        </w:rPr>
        <w:t xml:space="preserve">finance </w:t>
      </w:r>
      <w:r w:rsidR="00410E64">
        <w:rPr>
          <w:lang w:val="en-CA"/>
        </w:rPr>
        <w:t>and</w:t>
      </w:r>
      <w:r w:rsidR="00410E64" w:rsidRPr="00AD3128">
        <w:rPr>
          <w:lang w:val="en-CA"/>
        </w:rPr>
        <w:t xml:space="preserve"> accounting services</w:t>
      </w:r>
      <w:r w:rsidR="00F13166">
        <w:rPr>
          <w:lang w:val="en-CA"/>
        </w:rPr>
        <w:t>,</w:t>
      </w:r>
      <w:r w:rsidR="00410E64" w:rsidRPr="00AD3128">
        <w:rPr>
          <w:lang w:val="en-CA"/>
        </w:rPr>
        <w:t xml:space="preserve"> and process</w:t>
      </w:r>
      <w:r w:rsidR="00786A78">
        <w:rPr>
          <w:lang w:val="en-CA"/>
        </w:rPr>
        <w:t xml:space="preserve"> its</w:t>
      </w:r>
      <w:r w:rsidR="00410E64" w:rsidRPr="00AD3128">
        <w:rPr>
          <w:lang w:val="en-CA"/>
        </w:rPr>
        <w:t xml:space="preserve"> purchas</w:t>
      </w:r>
      <w:r w:rsidR="00410E64">
        <w:rPr>
          <w:lang w:val="en-CA"/>
        </w:rPr>
        <w:t>e</w:t>
      </w:r>
      <w:r w:rsidR="00410E64" w:rsidRPr="00AD3128">
        <w:rPr>
          <w:lang w:val="en-CA"/>
        </w:rPr>
        <w:t xml:space="preserve"> orders. </w:t>
      </w:r>
    </w:p>
    <w:p w14:paraId="57E93E65" w14:textId="77777777" w:rsidR="0061792F" w:rsidRPr="00AD3128" w:rsidRDefault="0061792F" w:rsidP="00410E64">
      <w:pPr>
        <w:pStyle w:val="BodyTextMain"/>
        <w:rPr>
          <w:lang w:val="en-CA"/>
        </w:rPr>
      </w:pPr>
    </w:p>
    <w:p w14:paraId="4D3329DB" w14:textId="3C317C19" w:rsidR="00410E64" w:rsidRPr="00824F98" w:rsidRDefault="00410E64" w:rsidP="00F753F3">
      <w:pPr>
        <w:pStyle w:val="BodyTextMain"/>
        <w:rPr>
          <w:highlight w:val="cyan"/>
        </w:rPr>
      </w:pPr>
      <w:r w:rsidRPr="00AD3128">
        <w:rPr>
          <w:b/>
          <w:lang w:val="en-CA"/>
        </w:rPr>
        <w:t xml:space="preserve">McCamish Systems </w:t>
      </w:r>
      <w:r w:rsidRPr="00AD3128">
        <w:rPr>
          <w:lang w:val="en-CA"/>
        </w:rPr>
        <w:t xml:space="preserve">was founded in 1985 and </w:t>
      </w:r>
      <w:r>
        <w:rPr>
          <w:lang w:val="en-CA"/>
        </w:rPr>
        <w:t>based</w:t>
      </w:r>
      <w:r w:rsidRPr="00AD3128">
        <w:rPr>
          <w:lang w:val="en-CA"/>
        </w:rPr>
        <w:t xml:space="preserve"> its</w:t>
      </w:r>
      <w:r>
        <w:rPr>
          <w:lang w:val="en-CA"/>
        </w:rPr>
        <w:t xml:space="preserve"> </w:t>
      </w:r>
      <w:r w:rsidRPr="00AD3128">
        <w:rPr>
          <w:lang w:val="en-CA"/>
        </w:rPr>
        <w:t>260</w:t>
      </w:r>
      <w:r>
        <w:rPr>
          <w:lang w:val="en-CA"/>
        </w:rPr>
        <w:t>-</w:t>
      </w:r>
      <w:r w:rsidRPr="00AD3128">
        <w:rPr>
          <w:lang w:val="en-CA"/>
        </w:rPr>
        <w:t>employee delivery centr</w:t>
      </w:r>
      <w:r w:rsidR="00786A78">
        <w:rPr>
          <w:lang w:val="en-CA"/>
        </w:rPr>
        <w:t>e</w:t>
      </w:r>
      <w:r w:rsidRPr="00AD3128">
        <w:rPr>
          <w:lang w:val="en-CA"/>
        </w:rPr>
        <w:t xml:space="preserve"> in Atlanta, </w:t>
      </w:r>
      <w:r>
        <w:rPr>
          <w:lang w:val="en-CA"/>
        </w:rPr>
        <w:t>Georgia</w:t>
      </w:r>
      <w:r w:rsidRPr="00AD3128">
        <w:rPr>
          <w:lang w:val="en-CA"/>
        </w:rPr>
        <w:t xml:space="preserve">. It </w:t>
      </w:r>
      <w:r>
        <w:rPr>
          <w:lang w:val="en-CA"/>
        </w:rPr>
        <w:t>posted</w:t>
      </w:r>
      <w:r w:rsidRPr="00AD3128">
        <w:rPr>
          <w:lang w:val="en-CA"/>
        </w:rPr>
        <w:t xml:space="preserve"> earned revenues of $38.2 million for the year ending 2008</w:t>
      </w:r>
      <w:r w:rsidR="001C29C6">
        <w:rPr>
          <w:lang w:val="en-CA"/>
        </w:rPr>
        <w:t>.</w:t>
      </w:r>
      <w:r>
        <w:rPr>
          <w:lang w:val="en-CA"/>
        </w:rPr>
        <w:t xml:space="preserve"> </w:t>
      </w:r>
      <w:r w:rsidRPr="00AD3128">
        <w:rPr>
          <w:lang w:val="en-CA"/>
        </w:rPr>
        <w:t xml:space="preserve">Infosys bought it </w:t>
      </w:r>
      <w:r w:rsidR="007C6D0B">
        <w:rPr>
          <w:lang w:val="en-CA"/>
        </w:rPr>
        <w:t xml:space="preserve">in 2009 </w:t>
      </w:r>
      <w:r w:rsidRPr="00AD3128">
        <w:rPr>
          <w:lang w:val="en-CA"/>
        </w:rPr>
        <w:t xml:space="preserve">for $58 million. </w:t>
      </w:r>
      <w:r w:rsidR="007C6D0B">
        <w:rPr>
          <w:lang w:val="en-CA"/>
        </w:rPr>
        <w:t>According to</w:t>
      </w:r>
      <w:r w:rsidRPr="00AD3128">
        <w:rPr>
          <w:lang w:val="en-CA"/>
        </w:rPr>
        <w:t xml:space="preserve"> the terms</w:t>
      </w:r>
      <w:r w:rsidR="007C6D0B">
        <w:rPr>
          <w:lang w:val="en-CA"/>
        </w:rPr>
        <w:t xml:space="preserve"> of acquisition</w:t>
      </w:r>
      <w:r w:rsidRPr="00AD3128">
        <w:rPr>
          <w:lang w:val="en-CA"/>
        </w:rPr>
        <w:t>, the up</w:t>
      </w:r>
      <w:r>
        <w:rPr>
          <w:lang w:val="en-CA"/>
        </w:rPr>
        <w:t>-</w:t>
      </w:r>
      <w:r w:rsidRPr="00AD3128">
        <w:rPr>
          <w:lang w:val="en-CA"/>
        </w:rPr>
        <w:t xml:space="preserve">front consideration for the deal was $38 million. </w:t>
      </w:r>
      <w:r>
        <w:rPr>
          <w:lang w:val="en-CA"/>
        </w:rPr>
        <w:t xml:space="preserve">Infosys agreed to pay </w:t>
      </w:r>
      <w:r w:rsidR="007C6D0B">
        <w:rPr>
          <w:lang w:val="en-CA"/>
        </w:rPr>
        <w:t xml:space="preserve">an additional </w:t>
      </w:r>
      <w:r w:rsidRPr="00AD3128">
        <w:rPr>
          <w:lang w:val="en-CA"/>
        </w:rPr>
        <w:t xml:space="preserve">$20 million to McCamish Systems if it achieved </w:t>
      </w:r>
      <w:r w:rsidR="007C6D0B">
        <w:rPr>
          <w:lang w:val="en-CA"/>
        </w:rPr>
        <w:t>set</w:t>
      </w:r>
      <w:r w:rsidRPr="00AD3128">
        <w:rPr>
          <w:lang w:val="en-CA"/>
        </w:rPr>
        <w:t xml:space="preserve"> financial targets in the coming years</w:t>
      </w:r>
      <w:r w:rsidR="007C6D0B">
        <w:rPr>
          <w:lang w:val="en-CA"/>
        </w:rPr>
        <w:t>.</w:t>
      </w:r>
      <w:r w:rsidRPr="00AD3128">
        <w:rPr>
          <w:rStyle w:val="EndnoteReference"/>
          <w:lang w:val="en-CA"/>
        </w:rPr>
        <w:endnoteReference w:id="39"/>
      </w:r>
      <w:r w:rsidRPr="00AD3128">
        <w:rPr>
          <w:lang w:val="en-CA"/>
        </w:rPr>
        <w:t xml:space="preserve"> </w:t>
      </w:r>
      <w:r>
        <w:rPr>
          <w:lang w:val="en-CA"/>
        </w:rPr>
        <w:t xml:space="preserve">At the time of the deal, </w:t>
      </w:r>
      <w:r w:rsidRPr="00AD3128">
        <w:rPr>
          <w:lang w:val="en-CA"/>
        </w:rPr>
        <w:t xml:space="preserve">McCamish Systems had </w:t>
      </w:r>
      <w:r>
        <w:rPr>
          <w:lang w:val="en-CA"/>
        </w:rPr>
        <w:t>39 clients and counted</w:t>
      </w:r>
      <w:r w:rsidRPr="00AD3128">
        <w:rPr>
          <w:lang w:val="en-CA"/>
        </w:rPr>
        <w:t xml:space="preserve"> major insurance and financial companies </w:t>
      </w:r>
      <w:r>
        <w:rPr>
          <w:lang w:val="en-CA"/>
        </w:rPr>
        <w:t>among</w:t>
      </w:r>
      <w:r w:rsidRPr="00AD3128">
        <w:rPr>
          <w:lang w:val="en-CA"/>
        </w:rPr>
        <w:t xml:space="preserve"> </w:t>
      </w:r>
      <w:r>
        <w:rPr>
          <w:lang w:val="en-CA"/>
        </w:rPr>
        <w:t>them,</w:t>
      </w:r>
      <w:r w:rsidRPr="00AD3128">
        <w:rPr>
          <w:lang w:val="en-CA"/>
        </w:rPr>
        <w:t xml:space="preserve"> including Nolan Financial Group, Phoenix Companies</w:t>
      </w:r>
      <w:r w:rsidR="007C6D0B">
        <w:rPr>
          <w:lang w:val="en-CA"/>
        </w:rPr>
        <w:t>, Inc.,</w:t>
      </w:r>
      <w:r w:rsidRPr="00AD3128">
        <w:rPr>
          <w:lang w:val="en-CA"/>
        </w:rPr>
        <w:t xml:space="preserve"> and </w:t>
      </w:r>
      <w:r w:rsidRPr="00AD3128">
        <w:rPr>
          <w:lang w:val="en-CA"/>
        </w:rPr>
        <w:lastRenderedPageBreak/>
        <w:t xml:space="preserve">Heritage </w:t>
      </w:r>
      <w:r w:rsidR="007C6D0B">
        <w:rPr>
          <w:lang w:val="en-CA"/>
        </w:rPr>
        <w:t xml:space="preserve">Credit </w:t>
      </w:r>
      <w:r w:rsidRPr="00AD3128">
        <w:rPr>
          <w:lang w:val="en-CA"/>
        </w:rPr>
        <w:t>Union</w:t>
      </w:r>
      <w:r w:rsidR="007C6D0B">
        <w:rPr>
          <w:lang w:val="en-CA"/>
        </w:rPr>
        <w:t>.</w:t>
      </w:r>
      <w:r w:rsidRPr="00AD3128">
        <w:rPr>
          <w:rStyle w:val="EndnoteReference"/>
          <w:lang w:val="en-CA"/>
        </w:rPr>
        <w:endnoteReference w:id="40"/>
      </w:r>
      <w:r w:rsidRPr="00AD3128">
        <w:rPr>
          <w:lang w:val="en-CA"/>
        </w:rPr>
        <w:t xml:space="preserve"> The deal helped </w:t>
      </w:r>
      <w:r w:rsidR="007C6D0B">
        <w:rPr>
          <w:lang w:val="en-CA"/>
        </w:rPr>
        <w:t xml:space="preserve">Infosys’ business process outsourcing subsidiary, </w:t>
      </w:r>
      <w:r w:rsidRPr="00AD3128">
        <w:rPr>
          <w:lang w:val="en-CA"/>
        </w:rPr>
        <w:t>Infosys BPO</w:t>
      </w:r>
      <w:r w:rsidR="007C6D0B">
        <w:rPr>
          <w:lang w:val="en-CA"/>
        </w:rPr>
        <w:t>,</w:t>
      </w:r>
      <w:r w:rsidRPr="00AD3128">
        <w:rPr>
          <w:lang w:val="en-CA"/>
        </w:rPr>
        <w:t xml:space="preserve"> develop an evolved pricing</w:t>
      </w:r>
      <w:r>
        <w:rPr>
          <w:lang w:val="en-CA"/>
        </w:rPr>
        <w:t>-</w:t>
      </w:r>
      <w:r w:rsidRPr="00AD3128">
        <w:rPr>
          <w:lang w:val="en-CA"/>
        </w:rPr>
        <w:t>based business model</w:t>
      </w:r>
      <w:r w:rsidR="007C6D0B">
        <w:rPr>
          <w:lang w:val="en-CA"/>
        </w:rPr>
        <w:t>.</w:t>
      </w:r>
      <w:r w:rsidRPr="00AD3128">
        <w:rPr>
          <w:rStyle w:val="EndnoteReference"/>
          <w:lang w:val="en-CA"/>
        </w:rPr>
        <w:endnoteReference w:id="41"/>
      </w:r>
    </w:p>
    <w:p w14:paraId="3ED994E5" w14:textId="77777777" w:rsidR="00410E64" w:rsidRPr="00AD3128" w:rsidRDefault="00410E64" w:rsidP="00410E64">
      <w:pPr>
        <w:pStyle w:val="BodyTextMain"/>
        <w:rPr>
          <w:b/>
          <w:lang w:val="en-CA"/>
        </w:rPr>
      </w:pPr>
    </w:p>
    <w:p w14:paraId="3C31E2F8" w14:textId="3F6527BE" w:rsidR="00410E64" w:rsidRPr="00AD3128" w:rsidRDefault="00410E64" w:rsidP="00410E64">
      <w:pPr>
        <w:pStyle w:val="BodyTextMain"/>
        <w:rPr>
          <w:lang w:val="en-CA"/>
        </w:rPr>
      </w:pPr>
      <w:r w:rsidRPr="00AD3128">
        <w:rPr>
          <w:b/>
          <w:lang w:val="en-CA"/>
        </w:rPr>
        <w:t xml:space="preserve">Portland Group </w:t>
      </w:r>
      <w:r w:rsidRPr="00AD3128">
        <w:rPr>
          <w:lang w:val="en-CA"/>
        </w:rPr>
        <w:t>was an Australia</w:t>
      </w:r>
      <w:r w:rsidR="00F753F3">
        <w:rPr>
          <w:lang w:val="en-CA"/>
        </w:rPr>
        <w:t xml:space="preserve">n </w:t>
      </w:r>
      <w:r w:rsidRPr="00AD3128">
        <w:rPr>
          <w:lang w:val="en-CA"/>
        </w:rPr>
        <w:t>sourcing and category management services company founded in 1999. It had offices in Melbourne, Brisbane, Perth, New Zealand</w:t>
      </w:r>
      <w:r w:rsidR="00F753F3">
        <w:rPr>
          <w:lang w:val="en-CA"/>
        </w:rPr>
        <w:t>,</w:t>
      </w:r>
      <w:r w:rsidRPr="00AD3128">
        <w:rPr>
          <w:lang w:val="en-CA"/>
        </w:rPr>
        <w:t xml:space="preserve"> and Shanghai. Its revenue was $29.3 </w:t>
      </w:r>
      <w:r>
        <w:rPr>
          <w:lang w:val="en-CA"/>
        </w:rPr>
        <w:t>m</w:t>
      </w:r>
      <w:r w:rsidRPr="00AD3128">
        <w:rPr>
          <w:lang w:val="en-CA"/>
        </w:rPr>
        <w:t>illion at the end of June 2011</w:t>
      </w:r>
      <w:r>
        <w:rPr>
          <w:lang w:val="en-CA"/>
        </w:rPr>
        <w:t>,</w:t>
      </w:r>
      <w:r w:rsidRPr="00AD3128">
        <w:rPr>
          <w:lang w:val="en-CA"/>
        </w:rPr>
        <w:t xml:space="preserve"> </w:t>
      </w:r>
      <w:r w:rsidR="00F753F3">
        <w:rPr>
          <w:lang w:val="en-CA"/>
        </w:rPr>
        <w:t>with</w:t>
      </w:r>
      <w:r w:rsidR="00F753F3" w:rsidRPr="00AD3128">
        <w:rPr>
          <w:lang w:val="en-CA"/>
        </w:rPr>
        <w:t xml:space="preserve"> </w:t>
      </w:r>
      <w:r w:rsidRPr="00AD3128">
        <w:rPr>
          <w:lang w:val="en-CA"/>
        </w:rPr>
        <w:t xml:space="preserve">a </w:t>
      </w:r>
      <w:r>
        <w:rPr>
          <w:lang w:val="en-CA"/>
        </w:rPr>
        <w:t>workforce</w:t>
      </w:r>
      <w:r w:rsidRPr="00AD3128">
        <w:rPr>
          <w:lang w:val="en-CA"/>
        </w:rPr>
        <w:t xml:space="preserve"> of 113. Portland Group was originally a procurement technology company that later expanded into cost reduction consultancy. </w:t>
      </w:r>
      <w:r w:rsidR="00D46DD5">
        <w:rPr>
          <w:lang w:val="en-CA"/>
        </w:rPr>
        <w:t>The</w:t>
      </w:r>
      <w:r w:rsidR="00D46DD5" w:rsidRPr="00AD3128">
        <w:rPr>
          <w:lang w:val="en-CA"/>
        </w:rPr>
        <w:t xml:space="preserve"> company had 42 clients</w:t>
      </w:r>
      <w:r w:rsidR="00D46DD5">
        <w:rPr>
          <w:lang w:val="en-CA"/>
        </w:rPr>
        <w:t>,</w:t>
      </w:r>
      <w:r w:rsidR="00D46DD5" w:rsidRPr="00AD3128">
        <w:rPr>
          <w:lang w:val="en-CA"/>
        </w:rPr>
        <w:t xml:space="preserve"> including two of the four major Australian </w:t>
      </w:r>
      <w:r w:rsidR="00D46DD5">
        <w:rPr>
          <w:lang w:val="en-CA"/>
        </w:rPr>
        <w:t>b</w:t>
      </w:r>
      <w:r w:rsidR="00D46DD5" w:rsidRPr="00AD3128">
        <w:rPr>
          <w:lang w:val="en-CA"/>
        </w:rPr>
        <w:t xml:space="preserve">anks. </w:t>
      </w:r>
      <w:r>
        <w:rPr>
          <w:lang w:val="en-CA"/>
        </w:rPr>
        <w:t>Its</w:t>
      </w:r>
      <w:r w:rsidRPr="00AD3128">
        <w:rPr>
          <w:lang w:val="en-CA"/>
        </w:rPr>
        <w:t xml:space="preserve"> other major clients were ASX, PepsiCo</w:t>
      </w:r>
      <w:r w:rsidR="00D46DD5">
        <w:rPr>
          <w:lang w:val="en-CA"/>
        </w:rPr>
        <w:t>, Inc.</w:t>
      </w:r>
      <w:r w:rsidRPr="00AD3128">
        <w:rPr>
          <w:lang w:val="en-CA"/>
        </w:rPr>
        <w:t>, Commonwealth Bank</w:t>
      </w:r>
      <w:r w:rsidR="00D46DD5">
        <w:rPr>
          <w:lang w:val="en-CA"/>
        </w:rPr>
        <w:t xml:space="preserve"> of Australia</w:t>
      </w:r>
      <w:r w:rsidRPr="00AD3128">
        <w:rPr>
          <w:lang w:val="en-CA"/>
        </w:rPr>
        <w:t>, Westpac</w:t>
      </w:r>
      <w:r w:rsidR="00D46DD5">
        <w:rPr>
          <w:lang w:val="en-CA"/>
        </w:rPr>
        <w:t xml:space="preserve"> Banking Corporation,</w:t>
      </w:r>
      <w:r w:rsidRPr="00AD3128">
        <w:rPr>
          <w:lang w:val="en-CA"/>
        </w:rPr>
        <w:t xml:space="preserve"> and </w:t>
      </w:r>
      <w:r w:rsidR="00D46DD5">
        <w:rPr>
          <w:lang w:val="en-CA"/>
        </w:rPr>
        <w:t>QGC Pty Limited</w:t>
      </w:r>
      <w:r w:rsidR="00F13166">
        <w:rPr>
          <w:lang w:val="en-CA"/>
        </w:rPr>
        <w:t>—</w:t>
      </w:r>
      <w:r>
        <w:rPr>
          <w:lang w:val="en-CA"/>
        </w:rPr>
        <w:t xml:space="preserve">the </w:t>
      </w:r>
      <w:r w:rsidRPr="00AD3128">
        <w:rPr>
          <w:lang w:val="en-CA"/>
        </w:rPr>
        <w:t>Australian coal</w:t>
      </w:r>
      <w:r>
        <w:rPr>
          <w:lang w:val="en-CA"/>
        </w:rPr>
        <w:t>,</w:t>
      </w:r>
      <w:r w:rsidRPr="00AD3128">
        <w:rPr>
          <w:lang w:val="en-CA"/>
        </w:rPr>
        <w:t xml:space="preserve"> steam</w:t>
      </w:r>
      <w:r w:rsidR="00D46DD5">
        <w:rPr>
          <w:lang w:val="en-CA"/>
        </w:rPr>
        <w:t>,</w:t>
      </w:r>
      <w:r>
        <w:rPr>
          <w:lang w:val="en-CA"/>
        </w:rPr>
        <w:t xml:space="preserve"> and</w:t>
      </w:r>
      <w:r w:rsidRPr="00AD3128">
        <w:rPr>
          <w:lang w:val="en-CA"/>
        </w:rPr>
        <w:t xml:space="preserve"> gas company. Infosys acquired Portland Group </w:t>
      </w:r>
      <w:r w:rsidR="004A660C">
        <w:rPr>
          <w:lang w:val="en-CA"/>
        </w:rPr>
        <w:t xml:space="preserve">in 2012 </w:t>
      </w:r>
      <w:r w:rsidRPr="00AD3128">
        <w:rPr>
          <w:lang w:val="en-CA"/>
        </w:rPr>
        <w:t xml:space="preserve">for $32.05 </w:t>
      </w:r>
      <w:r>
        <w:rPr>
          <w:lang w:val="en-CA"/>
        </w:rPr>
        <w:t>m</w:t>
      </w:r>
      <w:r w:rsidRPr="00AD3128">
        <w:rPr>
          <w:lang w:val="en-CA"/>
        </w:rPr>
        <w:t xml:space="preserve">illion </w:t>
      </w:r>
      <w:r>
        <w:rPr>
          <w:lang w:val="en-CA"/>
        </w:rPr>
        <w:t>in</w:t>
      </w:r>
      <w:r w:rsidRPr="00AD3128">
        <w:rPr>
          <w:lang w:val="en-CA"/>
        </w:rPr>
        <w:t xml:space="preserve"> an all-cash deal. </w:t>
      </w:r>
      <w:r w:rsidR="00D46DD5" w:rsidRPr="00AD3128">
        <w:rPr>
          <w:lang w:val="en-CA"/>
        </w:rPr>
        <w:t xml:space="preserve">Before </w:t>
      </w:r>
      <w:r w:rsidR="00D46DD5">
        <w:rPr>
          <w:lang w:val="en-CA"/>
        </w:rPr>
        <w:t>acquiring Portland Group</w:t>
      </w:r>
      <w:r w:rsidR="00D46DD5" w:rsidRPr="00AD3128">
        <w:rPr>
          <w:lang w:val="en-CA"/>
        </w:rPr>
        <w:t xml:space="preserve">, Infosys had only one client in </w:t>
      </w:r>
      <w:r w:rsidR="00130C59">
        <w:rPr>
          <w:lang w:val="en-CA"/>
        </w:rPr>
        <w:t>the natural resources</w:t>
      </w:r>
      <w:r w:rsidR="00130C59" w:rsidRPr="00AD3128">
        <w:rPr>
          <w:lang w:val="en-CA"/>
        </w:rPr>
        <w:t xml:space="preserve"> </w:t>
      </w:r>
      <w:r w:rsidR="00D46DD5" w:rsidRPr="00AD3128">
        <w:rPr>
          <w:lang w:val="en-CA"/>
        </w:rPr>
        <w:t>sector</w:t>
      </w:r>
      <w:r w:rsidR="00D46DD5">
        <w:rPr>
          <w:lang w:val="en-CA"/>
        </w:rPr>
        <w:t>:</w:t>
      </w:r>
      <w:r w:rsidR="00D46DD5" w:rsidRPr="00AD3128">
        <w:rPr>
          <w:lang w:val="en-CA"/>
        </w:rPr>
        <w:t xml:space="preserve"> Rio Tinto. </w:t>
      </w:r>
      <w:r w:rsidRPr="00AD3128">
        <w:rPr>
          <w:lang w:val="en-CA"/>
        </w:rPr>
        <w:t>The deal help</w:t>
      </w:r>
      <w:r>
        <w:rPr>
          <w:lang w:val="en-CA"/>
        </w:rPr>
        <w:t>ed</w:t>
      </w:r>
      <w:r w:rsidRPr="00AD3128">
        <w:rPr>
          <w:lang w:val="en-CA"/>
        </w:rPr>
        <w:t xml:space="preserve"> Infosys establish its presence in several niche segments </w:t>
      </w:r>
      <w:r>
        <w:rPr>
          <w:lang w:val="en-CA"/>
        </w:rPr>
        <w:t>of</w:t>
      </w:r>
      <w:r w:rsidRPr="00AD3128">
        <w:rPr>
          <w:lang w:val="en-CA"/>
        </w:rPr>
        <w:t xml:space="preserve"> the Australian market</w:t>
      </w:r>
      <w:r w:rsidR="001B6AF6">
        <w:rPr>
          <w:lang w:val="en-CA"/>
        </w:rPr>
        <w:t>.</w:t>
      </w:r>
      <w:r w:rsidR="00473F55" w:rsidRPr="00AD3128">
        <w:rPr>
          <w:rStyle w:val="EndnoteReference"/>
          <w:lang w:val="en-CA"/>
        </w:rPr>
        <w:endnoteReference w:id="42"/>
      </w:r>
    </w:p>
    <w:p w14:paraId="60DD0C66" w14:textId="77777777" w:rsidR="00410E64" w:rsidRPr="00AD3128" w:rsidRDefault="00410E64" w:rsidP="00410E64">
      <w:pPr>
        <w:pStyle w:val="BodyTextMain"/>
        <w:rPr>
          <w:b/>
          <w:lang w:val="en-CA"/>
        </w:rPr>
      </w:pPr>
    </w:p>
    <w:p w14:paraId="1B3189C3" w14:textId="5CB4FD52" w:rsidR="00410E64" w:rsidRPr="00AD3128" w:rsidRDefault="00410E64" w:rsidP="00410E64">
      <w:pPr>
        <w:pStyle w:val="BodyTextMain"/>
        <w:rPr>
          <w:b/>
          <w:lang w:val="en-CA"/>
        </w:rPr>
      </w:pPr>
      <w:r w:rsidRPr="00AD3128">
        <w:rPr>
          <w:b/>
          <w:lang w:val="en-CA"/>
        </w:rPr>
        <w:t>Lodestone Management Consultants</w:t>
      </w:r>
      <w:r w:rsidR="007C5EC6" w:rsidRPr="00824F98">
        <w:rPr>
          <w:lang w:val="en-CA"/>
        </w:rPr>
        <w:t>,</w:t>
      </w:r>
      <w:r w:rsidRPr="00AD3128">
        <w:rPr>
          <w:b/>
          <w:lang w:val="en-CA"/>
        </w:rPr>
        <w:t xml:space="preserve"> </w:t>
      </w:r>
      <w:r w:rsidRPr="00AD3128">
        <w:rPr>
          <w:lang w:val="en-CA"/>
        </w:rPr>
        <w:t>headquartered in Zurich</w:t>
      </w:r>
      <w:r w:rsidR="007C5EC6">
        <w:rPr>
          <w:lang w:val="en-CA"/>
        </w:rPr>
        <w:t>,</w:t>
      </w:r>
      <w:r w:rsidRPr="00AD3128">
        <w:rPr>
          <w:lang w:val="en-CA"/>
        </w:rPr>
        <w:t xml:space="preserve"> was bought for </w:t>
      </w:r>
      <w:r w:rsidRPr="00E855CA">
        <w:rPr>
          <w:color w:val="000000"/>
          <w:lang w:val="en-CA"/>
        </w:rPr>
        <w:t>$345 million in 2012</w:t>
      </w:r>
      <w:r w:rsidRPr="00AD3128">
        <w:rPr>
          <w:lang w:val="en-CA"/>
        </w:rPr>
        <w:t>. Lodestone advised international companies on strategy and process optimizations, and provided business transformation solutions enabled by SAP</w:t>
      </w:r>
      <w:r w:rsidR="00C51DBE">
        <w:rPr>
          <w:lang w:val="en-CA"/>
        </w:rPr>
        <w:t xml:space="preserve"> software</w:t>
      </w:r>
      <w:r w:rsidRPr="00AD3128">
        <w:rPr>
          <w:lang w:val="en-CA"/>
        </w:rPr>
        <w:t>. Lodestone</w:t>
      </w:r>
      <w:r>
        <w:rPr>
          <w:lang w:val="en-CA"/>
        </w:rPr>
        <w:t>’s</w:t>
      </w:r>
      <w:r w:rsidRPr="00AD3128">
        <w:rPr>
          <w:lang w:val="en-CA"/>
        </w:rPr>
        <w:t xml:space="preserve"> operations </w:t>
      </w:r>
      <w:r>
        <w:rPr>
          <w:lang w:val="en-CA"/>
        </w:rPr>
        <w:t xml:space="preserve">were </w:t>
      </w:r>
      <w:r w:rsidRPr="00AD3128">
        <w:rPr>
          <w:lang w:val="en-CA"/>
        </w:rPr>
        <w:t>focused primarily in Europe</w:t>
      </w:r>
      <w:r>
        <w:rPr>
          <w:lang w:val="en-CA"/>
        </w:rPr>
        <w:t>,</w:t>
      </w:r>
      <w:r w:rsidRPr="00AD3128">
        <w:rPr>
          <w:lang w:val="en-CA"/>
        </w:rPr>
        <w:t xml:space="preserve"> particularly in </w:t>
      </w:r>
      <w:r>
        <w:rPr>
          <w:lang w:val="en-CA"/>
        </w:rPr>
        <w:t xml:space="preserve">the </w:t>
      </w:r>
      <w:r w:rsidRPr="00AD3128">
        <w:rPr>
          <w:lang w:val="en-CA"/>
        </w:rPr>
        <w:t>U</w:t>
      </w:r>
      <w:r w:rsidR="00523213">
        <w:rPr>
          <w:lang w:val="en-CA"/>
        </w:rPr>
        <w:t xml:space="preserve">nited </w:t>
      </w:r>
      <w:r w:rsidRPr="00AD3128">
        <w:rPr>
          <w:lang w:val="en-CA"/>
        </w:rPr>
        <w:t>K</w:t>
      </w:r>
      <w:r w:rsidR="00523213">
        <w:rPr>
          <w:lang w:val="en-CA"/>
        </w:rPr>
        <w:t>ingdom</w:t>
      </w:r>
      <w:r w:rsidRPr="00AD3128">
        <w:rPr>
          <w:lang w:val="en-CA"/>
        </w:rPr>
        <w:t xml:space="preserve">, Germany, France, Switzerland, </w:t>
      </w:r>
      <w:r>
        <w:rPr>
          <w:lang w:val="en-CA"/>
        </w:rPr>
        <w:t xml:space="preserve">the </w:t>
      </w:r>
      <w:r w:rsidRPr="00AD3128">
        <w:rPr>
          <w:lang w:val="en-CA"/>
        </w:rPr>
        <w:t>Netherlands</w:t>
      </w:r>
      <w:r w:rsidR="00523213">
        <w:rPr>
          <w:lang w:val="en-CA"/>
        </w:rPr>
        <w:t>,</w:t>
      </w:r>
      <w:r w:rsidRPr="00AD3128">
        <w:rPr>
          <w:lang w:val="en-CA"/>
        </w:rPr>
        <w:t xml:space="preserve"> and Belgium. Its major clients were BMW</w:t>
      </w:r>
      <w:r w:rsidR="008B433F">
        <w:rPr>
          <w:lang w:val="en-CA"/>
        </w:rPr>
        <w:t xml:space="preserve"> Group</w:t>
      </w:r>
      <w:r w:rsidRPr="00AD3128">
        <w:rPr>
          <w:lang w:val="en-CA"/>
        </w:rPr>
        <w:t>, Deutsche Telekom</w:t>
      </w:r>
      <w:r w:rsidR="008B433F">
        <w:rPr>
          <w:lang w:val="en-CA"/>
        </w:rPr>
        <w:t xml:space="preserve"> AG</w:t>
      </w:r>
      <w:r w:rsidRPr="00AD3128">
        <w:rPr>
          <w:lang w:val="en-CA"/>
        </w:rPr>
        <w:t xml:space="preserve">, British American Tobacco </w:t>
      </w:r>
      <w:r w:rsidR="008B433F">
        <w:rPr>
          <w:lang w:val="en-CA"/>
        </w:rPr>
        <w:t xml:space="preserve">plc, </w:t>
      </w:r>
      <w:r w:rsidRPr="00AD3128">
        <w:rPr>
          <w:lang w:val="en-CA"/>
        </w:rPr>
        <w:t>and Novartis</w:t>
      </w:r>
      <w:r w:rsidR="008B433F">
        <w:rPr>
          <w:lang w:val="en-CA"/>
        </w:rPr>
        <w:t xml:space="preserve"> Pharmaceuticals</w:t>
      </w:r>
      <w:r w:rsidRPr="00AD3128">
        <w:rPr>
          <w:lang w:val="en-CA"/>
        </w:rPr>
        <w:t>. Lodestone</w:t>
      </w:r>
      <w:r w:rsidR="008B433F">
        <w:rPr>
          <w:lang w:val="en-CA"/>
        </w:rPr>
        <w:t>’</w:t>
      </w:r>
      <w:r w:rsidRPr="00AD3128">
        <w:rPr>
          <w:lang w:val="en-CA"/>
        </w:rPr>
        <w:t>s consultants billed</w:t>
      </w:r>
      <w:r>
        <w:rPr>
          <w:lang w:val="en-CA"/>
        </w:rPr>
        <w:t xml:space="preserve"> clients</w:t>
      </w:r>
      <w:r w:rsidRPr="00AD3128">
        <w:rPr>
          <w:lang w:val="en-CA"/>
        </w:rPr>
        <w:t xml:space="preserve"> at </w:t>
      </w:r>
      <w:r>
        <w:rPr>
          <w:lang w:val="en-CA"/>
        </w:rPr>
        <w:t xml:space="preserve">a rate of </w:t>
      </w:r>
      <w:r w:rsidRPr="00AD3128">
        <w:rPr>
          <w:lang w:val="en-CA"/>
        </w:rPr>
        <w:t xml:space="preserve">$175 </w:t>
      </w:r>
      <w:r>
        <w:rPr>
          <w:lang w:val="en-CA"/>
        </w:rPr>
        <w:t>per</w:t>
      </w:r>
      <w:r w:rsidRPr="00AD3128">
        <w:rPr>
          <w:lang w:val="en-CA"/>
        </w:rPr>
        <w:t xml:space="preserve"> hour, one of the highest</w:t>
      </w:r>
      <w:r>
        <w:rPr>
          <w:lang w:val="en-CA"/>
        </w:rPr>
        <w:t xml:space="preserve"> rates</w:t>
      </w:r>
      <w:r w:rsidRPr="00AD3128">
        <w:rPr>
          <w:lang w:val="en-CA"/>
        </w:rPr>
        <w:t xml:space="preserve"> in the industry at the time of the deal</w:t>
      </w:r>
      <w:r w:rsidR="008B433F">
        <w:rPr>
          <w:lang w:val="en-CA"/>
        </w:rPr>
        <w:t>.</w:t>
      </w:r>
      <w:r w:rsidRPr="00AD3128">
        <w:rPr>
          <w:rStyle w:val="EndnoteReference"/>
          <w:lang w:val="en-CA"/>
        </w:rPr>
        <w:endnoteReference w:id="43"/>
      </w:r>
      <w:r w:rsidRPr="00AD3128">
        <w:rPr>
          <w:lang w:val="en-CA"/>
        </w:rPr>
        <w:t xml:space="preserve"> Lodestone </w:t>
      </w:r>
      <w:r>
        <w:rPr>
          <w:lang w:val="en-CA"/>
        </w:rPr>
        <w:t>employed more than</w:t>
      </w:r>
      <w:r w:rsidRPr="00AD3128">
        <w:rPr>
          <w:lang w:val="en-CA"/>
        </w:rPr>
        <w:t xml:space="preserve"> 850 consultants working in 17 countries</w:t>
      </w:r>
      <w:r>
        <w:rPr>
          <w:lang w:val="en-CA"/>
        </w:rPr>
        <w:t xml:space="preserve">, but none </w:t>
      </w:r>
      <w:r w:rsidR="008B433F">
        <w:rPr>
          <w:lang w:val="en-CA"/>
        </w:rPr>
        <w:t xml:space="preserve">were working </w:t>
      </w:r>
      <w:r>
        <w:rPr>
          <w:lang w:val="en-CA"/>
        </w:rPr>
        <w:t>in</w:t>
      </w:r>
      <w:r w:rsidRPr="00AD3128">
        <w:rPr>
          <w:lang w:val="en-CA"/>
        </w:rPr>
        <w:t xml:space="preserve"> India. The company also had expertise and experience in the verticals of life sciences, automotive</w:t>
      </w:r>
      <w:r w:rsidR="008B433F">
        <w:rPr>
          <w:lang w:val="en-CA"/>
        </w:rPr>
        <w:t>,</w:t>
      </w:r>
      <w:r w:rsidRPr="00AD3128">
        <w:rPr>
          <w:lang w:val="en-CA"/>
        </w:rPr>
        <w:t xml:space="preserve"> and manufacturing</w:t>
      </w:r>
      <w:r w:rsidR="008B433F">
        <w:rPr>
          <w:lang w:val="en-CA"/>
        </w:rPr>
        <w:t>.</w:t>
      </w:r>
      <w:r w:rsidRPr="00AD3128">
        <w:rPr>
          <w:rStyle w:val="EndnoteReference"/>
          <w:lang w:val="en-CA"/>
        </w:rPr>
        <w:endnoteReference w:id="44"/>
      </w:r>
    </w:p>
    <w:p w14:paraId="567EB61C" w14:textId="77777777" w:rsidR="00410E64" w:rsidRPr="00AD3128" w:rsidRDefault="00410E64" w:rsidP="00410E64">
      <w:pPr>
        <w:pStyle w:val="BodyTextMain"/>
        <w:rPr>
          <w:b/>
          <w:lang w:val="en-CA"/>
        </w:rPr>
      </w:pPr>
    </w:p>
    <w:p w14:paraId="561D39D2" w14:textId="3E9FA660" w:rsidR="00410E64" w:rsidRPr="00E866C0" w:rsidRDefault="00410E64" w:rsidP="00410E64">
      <w:pPr>
        <w:pStyle w:val="BodyTextMain"/>
        <w:rPr>
          <w:spacing w:val="-2"/>
          <w:lang w:val="en-CA"/>
        </w:rPr>
      </w:pPr>
      <w:r w:rsidRPr="00E866C0">
        <w:rPr>
          <w:b/>
          <w:color w:val="000000"/>
          <w:spacing w:val="-2"/>
          <w:lang w:val="en-CA"/>
        </w:rPr>
        <w:t>Panaya</w:t>
      </w:r>
      <w:r w:rsidR="008B433F" w:rsidRPr="00E866C0">
        <w:rPr>
          <w:color w:val="000000"/>
          <w:spacing w:val="-2"/>
          <w:lang w:val="en-CA"/>
        </w:rPr>
        <w:t>,</w:t>
      </w:r>
      <w:r w:rsidRPr="00E866C0">
        <w:rPr>
          <w:b/>
          <w:color w:val="000000"/>
          <w:spacing w:val="-2"/>
          <w:lang w:val="en-CA"/>
        </w:rPr>
        <w:t xml:space="preserve"> </w:t>
      </w:r>
      <w:r w:rsidR="008B433F" w:rsidRPr="00E866C0">
        <w:rPr>
          <w:spacing w:val="-2"/>
          <w:lang w:val="en-CA"/>
        </w:rPr>
        <w:t>an Israeli software as a service (SaaS) company headquartered in Ra’anana, Israel,</w:t>
      </w:r>
      <w:r w:rsidR="008B433F" w:rsidRPr="00E866C0" w:rsidDel="008B433F">
        <w:rPr>
          <w:spacing w:val="-2"/>
          <w:lang w:val="en-CA"/>
        </w:rPr>
        <w:t xml:space="preserve"> </w:t>
      </w:r>
      <w:r w:rsidRPr="00E866C0">
        <w:rPr>
          <w:spacing w:val="-2"/>
          <w:lang w:val="en-CA"/>
        </w:rPr>
        <w:t>was founded in 2006 with investment support from Benchmark Capital, Hasso</w:t>
      </w:r>
      <w:r w:rsidR="008B433F" w:rsidRPr="00E866C0">
        <w:rPr>
          <w:spacing w:val="-2"/>
          <w:lang w:val="en-CA"/>
        </w:rPr>
        <w:t xml:space="preserve"> </w:t>
      </w:r>
      <w:r w:rsidRPr="00E866C0">
        <w:rPr>
          <w:spacing w:val="-2"/>
          <w:lang w:val="en-CA"/>
        </w:rPr>
        <w:t>Plattner Venture</w:t>
      </w:r>
      <w:r w:rsidR="008B433F" w:rsidRPr="00E866C0">
        <w:rPr>
          <w:spacing w:val="-2"/>
          <w:lang w:val="en-CA"/>
        </w:rPr>
        <w:t>s,</w:t>
      </w:r>
      <w:r w:rsidRPr="00E866C0">
        <w:rPr>
          <w:spacing w:val="-2"/>
          <w:lang w:val="en-CA"/>
        </w:rPr>
        <w:t xml:space="preserve"> and Battery Ventures. Infosys bought </w:t>
      </w:r>
      <w:r w:rsidR="008B433F" w:rsidRPr="00E866C0">
        <w:rPr>
          <w:spacing w:val="-2"/>
          <w:lang w:val="en-CA"/>
        </w:rPr>
        <w:t xml:space="preserve">the company </w:t>
      </w:r>
      <w:r w:rsidRPr="00E866C0">
        <w:rPr>
          <w:spacing w:val="-2"/>
          <w:lang w:val="en-CA"/>
        </w:rPr>
        <w:t>in 2015 for $200 million</w:t>
      </w:r>
      <w:r w:rsidR="00610B11" w:rsidRPr="00E866C0">
        <w:rPr>
          <w:spacing w:val="-2"/>
          <w:lang w:val="en-CA"/>
        </w:rPr>
        <w:t xml:space="preserve"> and</w:t>
      </w:r>
      <w:r w:rsidRPr="00E866C0">
        <w:rPr>
          <w:spacing w:val="-2"/>
          <w:lang w:val="en-CA"/>
        </w:rPr>
        <w:t xml:space="preserve"> </w:t>
      </w:r>
      <w:r w:rsidR="00610B11" w:rsidRPr="00E866C0">
        <w:rPr>
          <w:spacing w:val="-2"/>
          <w:lang w:val="en-CA"/>
        </w:rPr>
        <w:t xml:space="preserve">incorporated the </w:t>
      </w:r>
      <w:r w:rsidRPr="00E866C0">
        <w:rPr>
          <w:spacing w:val="-2"/>
          <w:lang w:val="en-CA"/>
        </w:rPr>
        <w:t xml:space="preserve">technology from Panaya’s CloudQuality </w:t>
      </w:r>
      <w:r w:rsidR="00C51DBE" w:rsidRPr="00E866C0">
        <w:rPr>
          <w:spacing w:val="-2"/>
          <w:lang w:val="en-CA"/>
        </w:rPr>
        <w:t>S</w:t>
      </w:r>
      <w:r w:rsidRPr="00E866C0">
        <w:rPr>
          <w:spacing w:val="-2"/>
          <w:lang w:val="en-CA"/>
        </w:rPr>
        <w:t xml:space="preserve">uite to bring automation to some of </w:t>
      </w:r>
      <w:r w:rsidR="008B433F" w:rsidRPr="00E866C0">
        <w:rPr>
          <w:spacing w:val="-2"/>
          <w:lang w:val="en-CA"/>
        </w:rPr>
        <w:t xml:space="preserve">Infosys’ </w:t>
      </w:r>
      <w:r w:rsidRPr="00E866C0">
        <w:rPr>
          <w:spacing w:val="-2"/>
          <w:lang w:val="en-CA"/>
        </w:rPr>
        <w:t>software</w:t>
      </w:r>
      <w:r w:rsidR="00C51DBE" w:rsidRPr="00E866C0">
        <w:rPr>
          <w:spacing w:val="-2"/>
          <w:lang w:val="en-CA"/>
        </w:rPr>
        <w:t>. Using the</w:t>
      </w:r>
      <w:r w:rsidRPr="00E866C0">
        <w:rPr>
          <w:spacing w:val="-2"/>
          <w:lang w:val="en-CA"/>
        </w:rPr>
        <w:t xml:space="preserve"> agile SaaS model</w:t>
      </w:r>
      <w:r w:rsidR="00C51DBE" w:rsidRPr="00E866C0">
        <w:rPr>
          <w:spacing w:val="-2"/>
          <w:lang w:val="en-CA"/>
        </w:rPr>
        <w:t xml:space="preserve"> in its software, Infosys was able to </w:t>
      </w:r>
      <w:r w:rsidRPr="00E866C0">
        <w:rPr>
          <w:spacing w:val="-2"/>
          <w:lang w:val="en-CA"/>
        </w:rPr>
        <w:t>mitigate risk, reduce costs</w:t>
      </w:r>
      <w:r w:rsidR="00C51DBE" w:rsidRPr="00E866C0">
        <w:rPr>
          <w:spacing w:val="-2"/>
          <w:lang w:val="en-CA"/>
        </w:rPr>
        <w:t>,</w:t>
      </w:r>
      <w:r w:rsidRPr="00E866C0">
        <w:rPr>
          <w:spacing w:val="-2"/>
          <w:lang w:val="en-CA"/>
        </w:rPr>
        <w:t xml:space="preserve"> and shorten time</w:t>
      </w:r>
      <w:r w:rsidR="00C51DBE" w:rsidRPr="00E866C0">
        <w:rPr>
          <w:spacing w:val="-2"/>
          <w:lang w:val="en-CA"/>
        </w:rPr>
        <w:t xml:space="preserve"> </w:t>
      </w:r>
      <w:r w:rsidRPr="00E866C0">
        <w:rPr>
          <w:spacing w:val="-2"/>
          <w:lang w:val="en-CA"/>
        </w:rPr>
        <w:t>to</w:t>
      </w:r>
      <w:r w:rsidR="00C51DBE" w:rsidRPr="00E866C0">
        <w:rPr>
          <w:spacing w:val="-2"/>
          <w:lang w:val="en-CA"/>
        </w:rPr>
        <w:t xml:space="preserve"> </w:t>
      </w:r>
      <w:r w:rsidRPr="00E866C0">
        <w:rPr>
          <w:spacing w:val="-2"/>
          <w:lang w:val="en-CA"/>
        </w:rPr>
        <w:t>market for its clients. The CloudQuality Suite helped businesses to test changes to Oracle E</w:t>
      </w:r>
      <w:r w:rsidR="00C51DBE" w:rsidRPr="00E866C0">
        <w:rPr>
          <w:spacing w:val="-2"/>
          <w:lang w:val="en-CA"/>
        </w:rPr>
        <w:t>-</w:t>
      </w:r>
      <w:r w:rsidRPr="00E866C0">
        <w:rPr>
          <w:spacing w:val="-2"/>
          <w:lang w:val="en-CA"/>
        </w:rPr>
        <w:t>B</w:t>
      </w:r>
      <w:r w:rsidR="00C51DBE" w:rsidRPr="00E866C0">
        <w:rPr>
          <w:spacing w:val="-2"/>
          <w:lang w:val="en-CA"/>
        </w:rPr>
        <w:t xml:space="preserve">usiness </w:t>
      </w:r>
      <w:r w:rsidRPr="00E866C0">
        <w:rPr>
          <w:spacing w:val="-2"/>
          <w:lang w:val="en-CA"/>
        </w:rPr>
        <w:t>S</w:t>
      </w:r>
      <w:r w:rsidR="00C51DBE" w:rsidRPr="00E866C0">
        <w:rPr>
          <w:spacing w:val="-2"/>
          <w:lang w:val="en-CA"/>
        </w:rPr>
        <w:t>uite and</w:t>
      </w:r>
      <w:r w:rsidRPr="00E866C0">
        <w:rPr>
          <w:spacing w:val="-2"/>
          <w:lang w:val="en-CA"/>
        </w:rPr>
        <w:t xml:space="preserve"> </w:t>
      </w:r>
      <w:r w:rsidR="00C51DBE" w:rsidRPr="00E866C0">
        <w:rPr>
          <w:spacing w:val="-2"/>
          <w:lang w:val="en-CA"/>
        </w:rPr>
        <w:t xml:space="preserve">SAP </w:t>
      </w:r>
      <w:r w:rsidRPr="00E866C0">
        <w:rPr>
          <w:spacing w:val="-2"/>
          <w:lang w:val="en-CA"/>
        </w:rPr>
        <w:t>and Salesforce software by identifying functions that might break and provid</w:t>
      </w:r>
      <w:r w:rsidR="00C51DBE" w:rsidRPr="00E866C0">
        <w:rPr>
          <w:spacing w:val="-2"/>
          <w:lang w:val="en-CA"/>
        </w:rPr>
        <w:t>ing</w:t>
      </w:r>
      <w:r w:rsidRPr="00E866C0">
        <w:rPr>
          <w:spacing w:val="-2"/>
          <w:lang w:val="en-CA"/>
        </w:rPr>
        <w:t xml:space="preserve"> potential solutions, including code corrections. At the time of the </w:t>
      </w:r>
      <w:r w:rsidR="00C51DBE" w:rsidRPr="00E866C0">
        <w:rPr>
          <w:spacing w:val="-2"/>
          <w:lang w:val="en-CA"/>
        </w:rPr>
        <w:t>acquisition</w:t>
      </w:r>
      <w:r w:rsidRPr="00E866C0">
        <w:rPr>
          <w:spacing w:val="-2"/>
          <w:lang w:val="en-CA"/>
        </w:rPr>
        <w:t>, Panaya had more than 400 active customer accounts, including global marquee names such as G</w:t>
      </w:r>
      <w:r w:rsidR="00C51DBE" w:rsidRPr="00E866C0">
        <w:rPr>
          <w:spacing w:val="-2"/>
          <w:lang w:val="en-CA"/>
        </w:rPr>
        <w:t xml:space="preserve">eneral </w:t>
      </w:r>
      <w:r w:rsidRPr="00E866C0">
        <w:rPr>
          <w:spacing w:val="-2"/>
          <w:lang w:val="en-CA"/>
        </w:rPr>
        <w:t>E</w:t>
      </w:r>
      <w:r w:rsidR="00C51DBE" w:rsidRPr="00E866C0">
        <w:rPr>
          <w:spacing w:val="-2"/>
          <w:lang w:val="en-CA"/>
        </w:rPr>
        <w:t>lectric</w:t>
      </w:r>
      <w:r w:rsidRPr="00E866C0">
        <w:rPr>
          <w:spacing w:val="-2"/>
          <w:lang w:val="en-CA"/>
        </w:rPr>
        <w:t>, Mercedes-Benz</w:t>
      </w:r>
      <w:r w:rsidR="00C51DBE" w:rsidRPr="00E866C0">
        <w:rPr>
          <w:spacing w:val="-2"/>
          <w:lang w:val="en-CA"/>
        </w:rPr>
        <w:t xml:space="preserve"> (Daimler AG)</w:t>
      </w:r>
      <w:r w:rsidRPr="00E866C0">
        <w:rPr>
          <w:spacing w:val="-2"/>
          <w:lang w:val="en-CA"/>
        </w:rPr>
        <w:t>, Bosch, Whirlpool</w:t>
      </w:r>
      <w:r w:rsidR="00C51DBE" w:rsidRPr="00E866C0">
        <w:rPr>
          <w:spacing w:val="-2"/>
          <w:lang w:val="en-CA"/>
        </w:rPr>
        <w:t xml:space="preserve"> Corporation</w:t>
      </w:r>
      <w:r w:rsidRPr="00E866C0">
        <w:rPr>
          <w:spacing w:val="-2"/>
          <w:lang w:val="en-CA"/>
        </w:rPr>
        <w:t xml:space="preserve">, </w:t>
      </w:r>
      <w:r w:rsidR="00C51DBE" w:rsidRPr="00E866C0">
        <w:rPr>
          <w:spacing w:val="-2"/>
          <w:lang w:val="en-CA"/>
        </w:rPr>
        <w:t>GlaxoSmithKline plc</w:t>
      </w:r>
      <w:r w:rsidRPr="00E866C0">
        <w:rPr>
          <w:spacing w:val="-2"/>
          <w:lang w:val="en-CA"/>
        </w:rPr>
        <w:t>, Siemens</w:t>
      </w:r>
      <w:r w:rsidR="00C51DBE" w:rsidRPr="00E866C0">
        <w:rPr>
          <w:spacing w:val="-2"/>
          <w:lang w:val="en-CA"/>
        </w:rPr>
        <w:t xml:space="preserve"> AG</w:t>
      </w:r>
      <w:r w:rsidRPr="00E866C0">
        <w:rPr>
          <w:spacing w:val="-2"/>
          <w:lang w:val="en-CA"/>
        </w:rPr>
        <w:t>, Apple</w:t>
      </w:r>
      <w:r w:rsidR="00C51DBE" w:rsidRPr="00E866C0">
        <w:rPr>
          <w:spacing w:val="-2"/>
          <w:lang w:val="en-CA"/>
        </w:rPr>
        <w:t xml:space="preserve"> Inc.</w:t>
      </w:r>
      <w:r w:rsidRPr="00E866C0">
        <w:rPr>
          <w:spacing w:val="-2"/>
          <w:lang w:val="en-CA"/>
        </w:rPr>
        <w:t xml:space="preserve">, </w:t>
      </w:r>
      <w:r w:rsidR="00C51DBE" w:rsidRPr="00E866C0">
        <w:rPr>
          <w:spacing w:val="-2"/>
          <w:lang w:val="en-CA"/>
        </w:rPr>
        <w:t xml:space="preserve">the </w:t>
      </w:r>
      <w:r w:rsidRPr="00E866C0">
        <w:rPr>
          <w:spacing w:val="-2"/>
          <w:lang w:val="en-CA"/>
        </w:rPr>
        <w:t>Co</w:t>
      </w:r>
      <w:r w:rsidR="00C51DBE" w:rsidRPr="00E866C0">
        <w:rPr>
          <w:spacing w:val="-2"/>
          <w:lang w:val="en-CA"/>
        </w:rPr>
        <w:t>ca-Cola Company,</w:t>
      </w:r>
      <w:r w:rsidRPr="00E866C0">
        <w:rPr>
          <w:spacing w:val="-2"/>
          <w:lang w:val="en-CA"/>
        </w:rPr>
        <w:t xml:space="preserve"> and Johnson &amp; Johnson. </w:t>
      </w:r>
      <w:r w:rsidR="00586AB4" w:rsidRPr="00E866C0">
        <w:rPr>
          <w:spacing w:val="-2"/>
          <w:lang w:val="en-CA"/>
        </w:rPr>
        <w:t>Forty</w:t>
      </w:r>
      <w:r w:rsidRPr="00E866C0">
        <w:rPr>
          <w:spacing w:val="-2"/>
          <w:lang w:val="en-CA"/>
        </w:rPr>
        <w:t xml:space="preserve"> per cent of Panaya’s revenue came from the U</w:t>
      </w:r>
      <w:r w:rsidR="00586AB4" w:rsidRPr="00E866C0">
        <w:rPr>
          <w:spacing w:val="-2"/>
          <w:lang w:val="en-CA"/>
        </w:rPr>
        <w:t xml:space="preserve">nited </w:t>
      </w:r>
      <w:r w:rsidRPr="00E866C0">
        <w:rPr>
          <w:spacing w:val="-2"/>
          <w:lang w:val="en-CA"/>
        </w:rPr>
        <w:t>S</w:t>
      </w:r>
      <w:r w:rsidR="00586AB4" w:rsidRPr="00E866C0">
        <w:rPr>
          <w:spacing w:val="-2"/>
          <w:lang w:val="en-CA"/>
        </w:rPr>
        <w:t>tates</w:t>
      </w:r>
      <w:r w:rsidRPr="00E866C0">
        <w:rPr>
          <w:spacing w:val="-2"/>
          <w:lang w:val="en-CA"/>
        </w:rPr>
        <w:t xml:space="preserve">, and another 40 per cent from Europe, </w:t>
      </w:r>
      <w:r w:rsidR="00586AB4" w:rsidRPr="00E866C0">
        <w:rPr>
          <w:spacing w:val="-2"/>
          <w:lang w:val="en-CA"/>
        </w:rPr>
        <w:t xml:space="preserve">the </w:t>
      </w:r>
      <w:r w:rsidRPr="00E866C0">
        <w:rPr>
          <w:spacing w:val="-2"/>
          <w:lang w:val="en-CA"/>
        </w:rPr>
        <w:t>Middle East</w:t>
      </w:r>
      <w:r w:rsidR="00586AB4" w:rsidRPr="00E866C0">
        <w:rPr>
          <w:spacing w:val="-2"/>
          <w:lang w:val="en-CA"/>
        </w:rPr>
        <w:t>,</w:t>
      </w:r>
      <w:r w:rsidRPr="00E866C0">
        <w:rPr>
          <w:spacing w:val="-2"/>
          <w:lang w:val="en-CA"/>
        </w:rPr>
        <w:t xml:space="preserve"> and Africa</w:t>
      </w:r>
      <w:r w:rsidR="00586AB4" w:rsidRPr="00E866C0">
        <w:rPr>
          <w:spacing w:val="-2"/>
          <w:lang w:val="en-CA"/>
        </w:rPr>
        <w:t xml:space="preserve"> (EMEA</w:t>
      </w:r>
      <w:r w:rsidRPr="00E866C0">
        <w:rPr>
          <w:spacing w:val="-2"/>
          <w:lang w:val="en-CA"/>
        </w:rPr>
        <w:t>). Panaya earned the remainder of its revenue from other systems integrators such as IBM, C</w:t>
      </w:r>
      <w:r w:rsidR="00586AB4" w:rsidRPr="00E866C0">
        <w:rPr>
          <w:spacing w:val="-2"/>
          <w:lang w:val="en-CA"/>
        </w:rPr>
        <w:t xml:space="preserve">omputer </w:t>
      </w:r>
      <w:r w:rsidRPr="00E866C0">
        <w:rPr>
          <w:spacing w:val="-2"/>
          <w:lang w:val="en-CA"/>
        </w:rPr>
        <w:t>S</w:t>
      </w:r>
      <w:r w:rsidR="00586AB4" w:rsidRPr="00E866C0">
        <w:rPr>
          <w:spacing w:val="-2"/>
          <w:lang w:val="en-CA"/>
        </w:rPr>
        <w:t xml:space="preserve">ciences </w:t>
      </w:r>
      <w:r w:rsidRPr="00E866C0">
        <w:rPr>
          <w:spacing w:val="-2"/>
          <w:lang w:val="en-CA"/>
        </w:rPr>
        <w:t>C</w:t>
      </w:r>
      <w:r w:rsidR="00586AB4" w:rsidRPr="00E866C0">
        <w:rPr>
          <w:spacing w:val="-2"/>
          <w:lang w:val="en-CA"/>
        </w:rPr>
        <w:t>orporation</w:t>
      </w:r>
      <w:r w:rsidRPr="00E866C0">
        <w:rPr>
          <w:spacing w:val="-2"/>
          <w:lang w:val="en-CA"/>
        </w:rPr>
        <w:t>, Logica</w:t>
      </w:r>
      <w:r w:rsidR="00610B11" w:rsidRPr="00E866C0">
        <w:rPr>
          <w:spacing w:val="-2"/>
          <w:lang w:val="en-CA"/>
        </w:rPr>
        <w:t>,</w:t>
      </w:r>
      <w:r w:rsidRPr="00E866C0">
        <w:rPr>
          <w:spacing w:val="-2"/>
          <w:lang w:val="en-CA"/>
        </w:rPr>
        <w:t xml:space="preserve"> and </w:t>
      </w:r>
      <w:r w:rsidR="00610B11" w:rsidRPr="00E866C0">
        <w:rPr>
          <w:spacing w:val="-2"/>
          <w:lang w:val="en-CA"/>
        </w:rPr>
        <w:t xml:space="preserve">the </w:t>
      </w:r>
      <w:r w:rsidRPr="00E866C0">
        <w:rPr>
          <w:spacing w:val="-2"/>
          <w:lang w:val="en-CA"/>
        </w:rPr>
        <w:t>H</w:t>
      </w:r>
      <w:r w:rsidR="00610B11" w:rsidRPr="00E866C0">
        <w:rPr>
          <w:spacing w:val="-2"/>
          <w:lang w:val="en-CA"/>
        </w:rPr>
        <w:t>ewlett-</w:t>
      </w:r>
      <w:r w:rsidRPr="00E866C0">
        <w:rPr>
          <w:spacing w:val="-2"/>
          <w:lang w:val="en-CA"/>
        </w:rPr>
        <w:t>P</w:t>
      </w:r>
      <w:r w:rsidR="00610B11" w:rsidRPr="00E866C0">
        <w:rPr>
          <w:spacing w:val="-2"/>
          <w:lang w:val="en-CA"/>
        </w:rPr>
        <w:t>ackard Company.</w:t>
      </w:r>
      <w:r w:rsidRPr="00E866C0">
        <w:rPr>
          <w:rStyle w:val="EndnoteReference"/>
          <w:spacing w:val="-2"/>
          <w:lang w:val="en-CA"/>
        </w:rPr>
        <w:endnoteReference w:id="45"/>
      </w:r>
    </w:p>
    <w:p w14:paraId="3A400B79" w14:textId="77777777" w:rsidR="00410E64" w:rsidRPr="00AD3128" w:rsidRDefault="00410E64" w:rsidP="00410E64">
      <w:pPr>
        <w:pStyle w:val="BodyTextMain"/>
        <w:rPr>
          <w:b/>
          <w:lang w:val="en-CA"/>
        </w:rPr>
      </w:pPr>
    </w:p>
    <w:p w14:paraId="46050729" w14:textId="225B6D3C" w:rsidR="00410E64" w:rsidRPr="00AD3128" w:rsidRDefault="00410E64" w:rsidP="00410E64">
      <w:pPr>
        <w:pStyle w:val="BodyTextMain"/>
        <w:rPr>
          <w:highlight w:val="cyan"/>
          <w:lang w:val="en-CA"/>
        </w:rPr>
      </w:pPr>
      <w:r w:rsidRPr="00AD3128">
        <w:rPr>
          <w:b/>
          <w:lang w:val="en-CA"/>
        </w:rPr>
        <w:t xml:space="preserve">Kallidus </w:t>
      </w:r>
      <w:r w:rsidR="005B25C6">
        <w:rPr>
          <w:b/>
          <w:lang w:val="en-CA"/>
        </w:rPr>
        <w:t>Inc</w:t>
      </w:r>
      <w:r w:rsidR="005B25C6" w:rsidRPr="00953146">
        <w:rPr>
          <w:b/>
          <w:lang w:val="en-CA"/>
        </w:rPr>
        <w:t>.</w:t>
      </w:r>
      <w:r w:rsidR="00953146" w:rsidRPr="00824F98">
        <w:rPr>
          <w:lang w:val="en-CA"/>
        </w:rPr>
        <w:t xml:space="preserve">, operating under the brand name </w:t>
      </w:r>
      <w:r w:rsidRPr="00824F98">
        <w:rPr>
          <w:lang w:val="en-CA"/>
        </w:rPr>
        <w:t>Skava</w:t>
      </w:r>
      <w:r w:rsidR="00953146">
        <w:rPr>
          <w:lang w:val="en-CA"/>
        </w:rPr>
        <w:t>,</w:t>
      </w:r>
      <w:r w:rsidRPr="00AD3128">
        <w:rPr>
          <w:b/>
          <w:lang w:val="en-CA"/>
        </w:rPr>
        <w:t xml:space="preserve"> </w:t>
      </w:r>
      <w:r w:rsidRPr="00AD3128">
        <w:rPr>
          <w:lang w:val="en-CA"/>
        </w:rPr>
        <w:t xml:space="preserve">was based in San Francisco </w:t>
      </w:r>
      <w:r>
        <w:rPr>
          <w:lang w:val="en-CA"/>
        </w:rPr>
        <w:t>and</w:t>
      </w:r>
      <w:r w:rsidRPr="00AD3128">
        <w:rPr>
          <w:lang w:val="en-CA"/>
        </w:rPr>
        <w:t xml:space="preserve"> provide</w:t>
      </w:r>
      <w:r>
        <w:rPr>
          <w:lang w:val="en-CA"/>
        </w:rPr>
        <w:t>d</w:t>
      </w:r>
      <w:r w:rsidRPr="00AD3128">
        <w:rPr>
          <w:lang w:val="en-CA"/>
        </w:rPr>
        <w:t xml:space="preserve"> digital and mobile commerce solutions.</w:t>
      </w:r>
      <w:r w:rsidRPr="00AD3128">
        <w:rPr>
          <w:rStyle w:val="EndnoteReference"/>
          <w:lang w:val="en-CA"/>
        </w:rPr>
        <w:endnoteReference w:id="46"/>
      </w:r>
      <w:r w:rsidR="00953146">
        <w:rPr>
          <w:lang w:val="en-CA"/>
        </w:rPr>
        <w:t xml:space="preserve"> </w:t>
      </w:r>
      <w:r w:rsidRPr="00AD3128">
        <w:rPr>
          <w:lang w:val="en-CA"/>
        </w:rPr>
        <w:t xml:space="preserve">Skava </w:t>
      </w:r>
      <w:r w:rsidR="00953146">
        <w:rPr>
          <w:lang w:val="en-CA"/>
        </w:rPr>
        <w:t>was</w:t>
      </w:r>
      <w:r w:rsidR="00953146" w:rsidRPr="00AD3128">
        <w:rPr>
          <w:lang w:val="en-CA"/>
        </w:rPr>
        <w:t xml:space="preserve"> </w:t>
      </w:r>
      <w:r w:rsidRPr="00AD3128">
        <w:rPr>
          <w:lang w:val="en-CA"/>
        </w:rPr>
        <w:t>a cloud-hosted platform for mobile websites</w:t>
      </w:r>
      <w:r w:rsidR="00D41F18">
        <w:rPr>
          <w:lang w:val="en-CA"/>
        </w:rPr>
        <w:t xml:space="preserve"> and</w:t>
      </w:r>
      <w:r w:rsidR="00953146">
        <w:rPr>
          <w:lang w:val="en-CA"/>
        </w:rPr>
        <w:t xml:space="preserve"> applications</w:t>
      </w:r>
      <w:r w:rsidRPr="00AD3128">
        <w:rPr>
          <w:lang w:val="en-CA"/>
        </w:rPr>
        <w:t xml:space="preserve"> </w:t>
      </w:r>
      <w:r w:rsidR="00953146">
        <w:rPr>
          <w:lang w:val="en-CA"/>
        </w:rPr>
        <w:t>(</w:t>
      </w:r>
      <w:r w:rsidRPr="00AD3128">
        <w:rPr>
          <w:lang w:val="en-CA"/>
        </w:rPr>
        <w:t>apps</w:t>
      </w:r>
      <w:r w:rsidR="00953146">
        <w:rPr>
          <w:lang w:val="en-CA"/>
        </w:rPr>
        <w:t>),</w:t>
      </w:r>
      <w:r w:rsidRPr="00AD3128">
        <w:rPr>
          <w:lang w:val="en-CA"/>
        </w:rPr>
        <w:t xml:space="preserve"> and other digital shopping experiences </w:t>
      </w:r>
      <w:r w:rsidR="00953146">
        <w:rPr>
          <w:lang w:val="en-CA"/>
        </w:rPr>
        <w:t xml:space="preserve">delivered </w:t>
      </w:r>
      <w:r w:rsidRPr="00AD3128">
        <w:rPr>
          <w:lang w:val="en-CA"/>
        </w:rPr>
        <w:t>across mobile, tablet, desktop, in-store</w:t>
      </w:r>
      <w:r w:rsidR="00953146">
        <w:rPr>
          <w:lang w:val="en-CA"/>
        </w:rPr>
        <w:t>,</w:t>
      </w:r>
      <w:r w:rsidRPr="00AD3128">
        <w:rPr>
          <w:lang w:val="en-CA"/>
        </w:rPr>
        <w:t xml:space="preserve"> and emerging channels to large retail clients worldwide. </w:t>
      </w:r>
      <w:r>
        <w:rPr>
          <w:lang w:val="en-CA"/>
        </w:rPr>
        <w:t xml:space="preserve">In 2013, </w:t>
      </w:r>
      <w:r w:rsidR="00953146">
        <w:rPr>
          <w:lang w:val="en-CA"/>
        </w:rPr>
        <w:t>Kallidus</w:t>
      </w:r>
      <w:r w:rsidR="00953146" w:rsidRPr="00AD3128">
        <w:rPr>
          <w:lang w:val="en-CA"/>
        </w:rPr>
        <w:t xml:space="preserve"> </w:t>
      </w:r>
      <w:r w:rsidRPr="00AD3128">
        <w:rPr>
          <w:lang w:val="en-CA"/>
        </w:rPr>
        <w:t>had revenues of $22.9 million and logged a three-year revenue growth of 608</w:t>
      </w:r>
      <w:r>
        <w:rPr>
          <w:lang w:val="en-CA"/>
        </w:rPr>
        <w:t xml:space="preserve"> per cent</w:t>
      </w:r>
      <w:r w:rsidR="00953146">
        <w:rPr>
          <w:lang w:val="en-CA"/>
        </w:rPr>
        <w:t>.</w:t>
      </w:r>
      <w:r w:rsidRPr="00AD3128">
        <w:rPr>
          <w:rStyle w:val="EndnoteReference"/>
          <w:lang w:val="en-CA"/>
        </w:rPr>
        <w:endnoteReference w:id="47"/>
      </w:r>
      <w:r w:rsidRPr="00AD3128">
        <w:rPr>
          <w:lang w:val="en-CA"/>
        </w:rPr>
        <w:t xml:space="preserve"> </w:t>
      </w:r>
      <w:r w:rsidR="00953146">
        <w:rPr>
          <w:lang w:val="en-CA"/>
        </w:rPr>
        <w:t>Infosys acquired Kallidus</w:t>
      </w:r>
      <w:r w:rsidR="00953146" w:rsidRPr="00AD3128">
        <w:rPr>
          <w:lang w:val="en-CA"/>
        </w:rPr>
        <w:t xml:space="preserve"> </w:t>
      </w:r>
      <w:r w:rsidR="00953146">
        <w:rPr>
          <w:lang w:val="en-CA"/>
        </w:rPr>
        <w:t>and its affiliate in 2015</w:t>
      </w:r>
      <w:r w:rsidR="00953146" w:rsidRPr="00AD3128">
        <w:rPr>
          <w:b/>
          <w:lang w:val="en-CA"/>
        </w:rPr>
        <w:t xml:space="preserve"> </w:t>
      </w:r>
      <w:r w:rsidR="00953146">
        <w:rPr>
          <w:lang w:val="en-CA"/>
        </w:rPr>
        <w:t>in</w:t>
      </w:r>
      <w:r w:rsidR="00953146" w:rsidRPr="00AD3128">
        <w:rPr>
          <w:lang w:val="en-CA"/>
        </w:rPr>
        <w:t xml:space="preserve"> an all-cash deal </w:t>
      </w:r>
      <w:r w:rsidR="00953146">
        <w:rPr>
          <w:lang w:val="en-CA"/>
        </w:rPr>
        <w:t xml:space="preserve">of $120 million, which </w:t>
      </w:r>
      <w:r w:rsidR="00953146" w:rsidRPr="00AD3128">
        <w:rPr>
          <w:lang w:val="en-CA"/>
        </w:rPr>
        <w:t>included retention bonus</w:t>
      </w:r>
      <w:r w:rsidR="00953146">
        <w:rPr>
          <w:lang w:val="en-CA"/>
        </w:rPr>
        <w:t>es and a deferred component</w:t>
      </w:r>
      <w:r w:rsidRPr="00AD3128">
        <w:rPr>
          <w:lang w:val="en-CA"/>
        </w:rPr>
        <w:t>.</w:t>
      </w:r>
    </w:p>
    <w:p w14:paraId="49F08071" w14:textId="77777777" w:rsidR="00410E64" w:rsidRPr="00AD3128" w:rsidRDefault="00410E64" w:rsidP="00410E64">
      <w:pPr>
        <w:pStyle w:val="BodyTextMain"/>
        <w:rPr>
          <w:b/>
          <w:lang w:val="en-CA"/>
        </w:rPr>
      </w:pPr>
    </w:p>
    <w:p w14:paraId="2A7C5302" w14:textId="24168C57" w:rsidR="00410E64" w:rsidRDefault="00410E64" w:rsidP="00410E64">
      <w:pPr>
        <w:pStyle w:val="BodyTextMain"/>
        <w:rPr>
          <w:lang w:val="en-CA"/>
        </w:rPr>
      </w:pPr>
      <w:r w:rsidRPr="00AD3128">
        <w:rPr>
          <w:b/>
          <w:lang w:val="en-CA"/>
        </w:rPr>
        <w:t>Noah Consulting, LLC</w:t>
      </w:r>
      <w:r w:rsidRPr="00AD3128">
        <w:rPr>
          <w:lang w:val="en-CA"/>
        </w:rPr>
        <w:t xml:space="preserve"> was a leading provider of advanced information management consulting services for the oil and gas industry</w:t>
      </w:r>
      <w:r w:rsidR="00953146">
        <w:rPr>
          <w:lang w:val="en-CA"/>
        </w:rPr>
        <w:t>,</w:t>
      </w:r>
      <w:r w:rsidRPr="00AD3128">
        <w:rPr>
          <w:lang w:val="en-CA"/>
        </w:rPr>
        <w:t xml:space="preserve"> established in 2008</w:t>
      </w:r>
      <w:r>
        <w:rPr>
          <w:lang w:val="en-CA"/>
        </w:rPr>
        <w:t>.</w:t>
      </w:r>
      <w:r w:rsidRPr="00AD3128">
        <w:rPr>
          <w:lang w:val="en-CA"/>
        </w:rPr>
        <w:t xml:space="preserve"> </w:t>
      </w:r>
      <w:r>
        <w:rPr>
          <w:lang w:val="en-CA"/>
        </w:rPr>
        <w:t>It</w:t>
      </w:r>
      <w:r w:rsidRPr="00AD3128">
        <w:rPr>
          <w:lang w:val="en-CA"/>
        </w:rPr>
        <w:t xml:space="preserve"> had 122 employees</w:t>
      </w:r>
      <w:r>
        <w:rPr>
          <w:lang w:val="en-CA"/>
        </w:rPr>
        <w:t xml:space="preserve"> and</w:t>
      </w:r>
      <w:r w:rsidRPr="00AD3128">
        <w:rPr>
          <w:lang w:val="en-CA"/>
        </w:rPr>
        <w:t xml:space="preserve"> was headquartered </w:t>
      </w:r>
      <w:r>
        <w:rPr>
          <w:lang w:val="en-CA"/>
        </w:rPr>
        <w:t>in</w:t>
      </w:r>
      <w:r w:rsidRPr="00AD3128">
        <w:rPr>
          <w:lang w:val="en-CA"/>
        </w:rPr>
        <w:t xml:space="preserve"> Houston, Texas</w:t>
      </w:r>
      <w:r w:rsidR="00953146">
        <w:rPr>
          <w:lang w:val="en-CA"/>
        </w:rPr>
        <w:t>,</w:t>
      </w:r>
      <w:r>
        <w:rPr>
          <w:lang w:val="en-CA"/>
        </w:rPr>
        <w:t xml:space="preserve"> with an additional</w:t>
      </w:r>
      <w:r w:rsidRPr="00AD3128">
        <w:rPr>
          <w:lang w:val="en-CA"/>
        </w:rPr>
        <w:t xml:space="preserve"> office in Calgary, Canada. Its solutions consisted of information management, strategic services, industry solutions, analytics</w:t>
      </w:r>
      <w:r w:rsidR="00953146">
        <w:rPr>
          <w:lang w:val="en-CA"/>
        </w:rPr>
        <w:t>,</w:t>
      </w:r>
      <w:r w:rsidRPr="00AD3128">
        <w:rPr>
          <w:lang w:val="en-CA"/>
        </w:rPr>
        <w:t xml:space="preserve"> and acquisitions. Noah</w:t>
      </w:r>
      <w:r w:rsidR="00953146">
        <w:rPr>
          <w:lang w:val="en-CA"/>
        </w:rPr>
        <w:t>’</w:t>
      </w:r>
      <w:r w:rsidRPr="00AD3128">
        <w:rPr>
          <w:lang w:val="en-CA"/>
        </w:rPr>
        <w:t xml:space="preserve">s deep domain expertise in upstream oil and gas, coupled with </w:t>
      </w:r>
      <w:r>
        <w:rPr>
          <w:lang w:val="en-CA"/>
        </w:rPr>
        <w:t>its</w:t>
      </w:r>
      <w:r w:rsidRPr="00AD3128">
        <w:rPr>
          <w:lang w:val="en-CA"/>
        </w:rPr>
        <w:t xml:space="preserve"> tools, solution accelerators</w:t>
      </w:r>
      <w:r w:rsidR="00953146">
        <w:rPr>
          <w:lang w:val="en-CA"/>
        </w:rPr>
        <w:t>,</w:t>
      </w:r>
      <w:r w:rsidRPr="00AD3128">
        <w:rPr>
          <w:lang w:val="en-CA"/>
        </w:rPr>
        <w:t xml:space="preserve"> and proprietary methodologies, made </w:t>
      </w:r>
      <w:r w:rsidR="00953146">
        <w:rPr>
          <w:lang w:val="en-CA"/>
        </w:rPr>
        <w:t>it</w:t>
      </w:r>
      <w:r w:rsidR="00953146" w:rsidRPr="00AD3128">
        <w:rPr>
          <w:lang w:val="en-CA"/>
        </w:rPr>
        <w:t xml:space="preserve"> </w:t>
      </w:r>
      <w:r w:rsidRPr="00AD3128">
        <w:rPr>
          <w:lang w:val="en-CA"/>
        </w:rPr>
        <w:t xml:space="preserve">a leader in </w:t>
      </w:r>
      <w:r w:rsidRPr="00AD3128">
        <w:rPr>
          <w:lang w:val="en-CA"/>
        </w:rPr>
        <w:lastRenderedPageBreak/>
        <w:t xml:space="preserve">driving strategic data management engagements. The value </w:t>
      </w:r>
      <w:r>
        <w:rPr>
          <w:lang w:val="en-CA"/>
        </w:rPr>
        <w:t>of</w:t>
      </w:r>
      <w:r w:rsidRPr="00AD3128">
        <w:rPr>
          <w:lang w:val="en-CA"/>
        </w:rPr>
        <w:t xml:space="preserve"> </w:t>
      </w:r>
      <w:r w:rsidR="00953146">
        <w:rPr>
          <w:lang w:val="en-CA"/>
        </w:rPr>
        <w:t>Infosys’</w:t>
      </w:r>
      <w:r w:rsidR="00953146" w:rsidRPr="00AD3128">
        <w:rPr>
          <w:lang w:val="en-CA"/>
        </w:rPr>
        <w:t xml:space="preserve"> </w:t>
      </w:r>
      <w:r w:rsidRPr="00AD3128">
        <w:rPr>
          <w:lang w:val="en-CA"/>
        </w:rPr>
        <w:t xml:space="preserve">buyout </w:t>
      </w:r>
      <w:r w:rsidR="00953146">
        <w:rPr>
          <w:lang w:val="en-CA"/>
        </w:rPr>
        <w:t xml:space="preserve">of Noah </w:t>
      </w:r>
      <w:r w:rsidRPr="00AD3128">
        <w:rPr>
          <w:lang w:val="en-CA"/>
        </w:rPr>
        <w:t xml:space="preserve">was $70 </w:t>
      </w:r>
      <w:r>
        <w:rPr>
          <w:lang w:val="en-CA"/>
        </w:rPr>
        <w:t>m</w:t>
      </w:r>
      <w:r w:rsidRPr="00AD3128">
        <w:rPr>
          <w:lang w:val="en-CA"/>
        </w:rPr>
        <w:t>illion</w:t>
      </w:r>
      <w:r w:rsidR="00953146">
        <w:rPr>
          <w:lang w:val="en-CA"/>
        </w:rPr>
        <w:t>.</w:t>
      </w:r>
      <w:r w:rsidRPr="00AD3128">
        <w:rPr>
          <w:rStyle w:val="EndnoteReference"/>
          <w:lang w:val="en-CA"/>
        </w:rPr>
        <w:endnoteReference w:id="48"/>
      </w:r>
      <w:r w:rsidRPr="00AD3128">
        <w:rPr>
          <w:lang w:val="en-CA"/>
        </w:rPr>
        <w:t xml:space="preserve"> </w:t>
      </w:r>
      <w:r w:rsidR="00953146">
        <w:rPr>
          <w:lang w:val="en-CA"/>
        </w:rPr>
        <w:t xml:space="preserve">The </w:t>
      </w:r>
      <w:r w:rsidRPr="00AD3128">
        <w:rPr>
          <w:lang w:val="en-CA"/>
        </w:rPr>
        <w:t>acquisition came at a time when global oil prices had fallen steeply, resulting in a need for oil and gas companies to improve operational efficiency by using data analytics and smarter information technology solutions. Th</w:t>
      </w:r>
      <w:r w:rsidR="00953146">
        <w:rPr>
          <w:lang w:val="en-CA"/>
        </w:rPr>
        <w:t>e</w:t>
      </w:r>
      <w:r w:rsidRPr="00AD3128">
        <w:rPr>
          <w:lang w:val="en-CA"/>
        </w:rPr>
        <w:t xml:space="preserve"> acquisition </w:t>
      </w:r>
      <w:r>
        <w:rPr>
          <w:lang w:val="en-CA"/>
        </w:rPr>
        <w:t>helped</w:t>
      </w:r>
      <w:r w:rsidRPr="00AD3128">
        <w:rPr>
          <w:lang w:val="en-CA"/>
        </w:rPr>
        <w:t xml:space="preserve"> Infosys gain expertise in providing end-to-end data management services to oil and gas industry clients</w:t>
      </w:r>
      <w:r w:rsidR="00953146">
        <w:rPr>
          <w:lang w:val="en-CA"/>
        </w:rPr>
        <w:t>.</w:t>
      </w:r>
      <w:r w:rsidRPr="00AD3128">
        <w:rPr>
          <w:rStyle w:val="EndnoteReference"/>
          <w:lang w:val="en-CA"/>
        </w:rPr>
        <w:endnoteReference w:id="49"/>
      </w:r>
    </w:p>
    <w:p w14:paraId="7E89330A" w14:textId="77777777" w:rsidR="00410E64" w:rsidRPr="00AD3128" w:rsidRDefault="00410E64" w:rsidP="00410E64">
      <w:pPr>
        <w:pStyle w:val="BodyTextMain"/>
        <w:rPr>
          <w:lang w:val="en-CA"/>
        </w:rPr>
      </w:pPr>
    </w:p>
    <w:p w14:paraId="523AE82F" w14:textId="3B6C376E" w:rsidR="00625C04" w:rsidRDefault="00410E64" w:rsidP="00410E64">
      <w:pPr>
        <w:pStyle w:val="BodyTextMain"/>
        <w:rPr>
          <w:color w:val="000000"/>
          <w:lang w:val="en-CA"/>
        </w:rPr>
      </w:pPr>
      <w:r w:rsidRPr="00E855CA">
        <w:rPr>
          <w:color w:val="000000"/>
          <w:lang w:val="en-CA"/>
        </w:rPr>
        <w:t xml:space="preserve">In addition to </w:t>
      </w:r>
      <w:r w:rsidR="00953146">
        <w:rPr>
          <w:color w:val="000000"/>
          <w:lang w:val="en-CA"/>
        </w:rPr>
        <w:t>eight</w:t>
      </w:r>
      <w:r w:rsidR="00C82D1F">
        <w:rPr>
          <w:color w:val="000000"/>
          <w:lang w:val="en-CA"/>
        </w:rPr>
        <w:t xml:space="preserve"> other</w:t>
      </w:r>
      <w:r w:rsidRPr="00E855CA">
        <w:rPr>
          <w:color w:val="000000"/>
          <w:lang w:val="en-CA"/>
        </w:rPr>
        <w:t xml:space="preserve"> deals, Infosys invested $2 million in Airviz</w:t>
      </w:r>
      <w:r w:rsidR="00953146">
        <w:rPr>
          <w:color w:val="000000"/>
          <w:lang w:val="en-CA"/>
        </w:rPr>
        <w:t xml:space="preserve"> Inc.</w:t>
      </w:r>
      <w:r w:rsidRPr="00E855CA">
        <w:rPr>
          <w:color w:val="000000"/>
          <w:lang w:val="en-CA"/>
        </w:rPr>
        <w:t xml:space="preserve">, an air quality monitoring start-up that </w:t>
      </w:r>
      <w:r w:rsidR="00953146">
        <w:rPr>
          <w:color w:val="000000"/>
          <w:lang w:val="en-CA"/>
        </w:rPr>
        <w:t>originated at</w:t>
      </w:r>
      <w:r w:rsidRPr="00E855CA">
        <w:rPr>
          <w:color w:val="000000"/>
          <w:lang w:val="en-CA"/>
        </w:rPr>
        <w:t xml:space="preserve"> Carnegie Mellon University</w:t>
      </w:r>
      <w:r w:rsidR="00625C04">
        <w:rPr>
          <w:color w:val="000000"/>
          <w:lang w:val="en-CA"/>
        </w:rPr>
        <w:t>.</w:t>
      </w:r>
      <w:r w:rsidRPr="00E855CA">
        <w:rPr>
          <w:rStyle w:val="EndnoteReference"/>
          <w:color w:val="000000"/>
          <w:lang w:val="en-CA"/>
        </w:rPr>
        <w:endnoteReference w:id="50"/>
      </w:r>
      <w:r w:rsidRPr="00E855CA">
        <w:rPr>
          <w:color w:val="000000"/>
          <w:lang w:val="en-CA"/>
        </w:rPr>
        <w:t xml:space="preserve"> The investment was made from </w:t>
      </w:r>
      <w:r w:rsidR="00625C04">
        <w:rPr>
          <w:color w:val="000000"/>
          <w:lang w:val="en-CA"/>
        </w:rPr>
        <w:t>an</w:t>
      </w:r>
      <w:r w:rsidR="00625C04" w:rsidRPr="00E855CA">
        <w:rPr>
          <w:color w:val="000000"/>
          <w:lang w:val="en-CA"/>
        </w:rPr>
        <w:t xml:space="preserve"> </w:t>
      </w:r>
      <w:r w:rsidR="00625C04">
        <w:rPr>
          <w:color w:val="000000"/>
          <w:lang w:val="en-CA"/>
        </w:rPr>
        <w:t>i</w:t>
      </w:r>
      <w:r w:rsidRPr="00E855CA">
        <w:rPr>
          <w:color w:val="000000"/>
          <w:lang w:val="en-CA"/>
        </w:rPr>
        <w:t xml:space="preserve">nnovation </w:t>
      </w:r>
      <w:r w:rsidR="00625C04">
        <w:rPr>
          <w:color w:val="000000"/>
          <w:lang w:val="en-CA"/>
        </w:rPr>
        <w:t>f</w:t>
      </w:r>
      <w:r w:rsidRPr="00E855CA">
        <w:rPr>
          <w:color w:val="000000"/>
          <w:lang w:val="en-CA"/>
        </w:rPr>
        <w:t xml:space="preserve">und </w:t>
      </w:r>
      <w:r w:rsidR="00625C04">
        <w:rPr>
          <w:color w:val="000000"/>
          <w:lang w:val="en-CA"/>
        </w:rPr>
        <w:t xml:space="preserve">Infosys had </w:t>
      </w:r>
      <w:r w:rsidRPr="00E855CA">
        <w:rPr>
          <w:color w:val="000000"/>
          <w:lang w:val="en-CA"/>
        </w:rPr>
        <w:t>earmarked for investments in disruptive new technologies.</w:t>
      </w:r>
      <w:r w:rsidRPr="00E855CA">
        <w:rPr>
          <w:rStyle w:val="EndnoteReference"/>
          <w:bCs/>
          <w:color w:val="000000"/>
          <w:lang w:val="en-CA"/>
        </w:rPr>
        <w:endnoteReference w:id="51"/>
      </w:r>
      <w:r w:rsidRPr="00E855CA">
        <w:rPr>
          <w:color w:val="000000"/>
          <w:lang w:val="en-CA"/>
        </w:rPr>
        <w:t xml:space="preserve"> The </w:t>
      </w:r>
      <w:r w:rsidR="00625C04">
        <w:rPr>
          <w:color w:val="000000"/>
          <w:lang w:val="en-CA"/>
        </w:rPr>
        <w:t>i</w:t>
      </w:r>
      <w:r w:rsidRPr="00E855CA">
        <w:rPr>
          <w:color w:val="000000"/>
          <w:lang w:val="en-CA"/>
        </w:rPr>
        <w:t xml:space="preserve">nnovation </w:t>
      </w:r>
      <w:r w:rsidR="00625C04">
        <w:rPr>
          <w:color w:val="000000"/>
          <w:lang w:val="en-CA"/>
        </w:rPr>
        <w:t>f</w:t>
      </w:r>
      <w:r w:rsidRPr="00E855CA">
        <w:rPr>
          <w:color w:val="000000"/>
          <w:lang w:val="en-CA"/>
        </w:rPr>
        <w:t>und was launched in 2013</w:t>
      </w:r>
      <w:r w:rsidRPr="00AD3128">
        <w:rPr>
          <w:lang w:val="en-CA"/>
        </w:rPr>
        <w:t xml:space="preserve"> </w:t>
      </w:r>
      <w:r w:rsidRPr="00E855CA">
        <w:rPr>
          <w:color w:val="000000"/>
          <w:lang w:val="en-CA"/>
        </w:rPr>
        <w:t>with $100 million to further Infosys’ strategic and functional interests</w:t>
      </w:r>
      <w:r w:rsidR="00625C04">
        <w:rPr>
          <w:color w:val="000000"/>
          <w:lang w:val="en-CA"/>
        </w:rPr>
        <w:t>.</w:t>
      </w:r>
      <w:r w:rsidRPr="00E855CA">
        <w:rPr>
          <w:rStyle w:val="EndnoteReference"/>
          <w:bCs/>
          <w:color w:val="000000"/>
          <w:lang w:val="en-CA"/>
        </w:rPr>
        <w:endnoteReference w:id="52"/>
      </w:r>
      <w:r w:rsidRPr="00E855CA">
        <w:rPr>
          <w:color w:val="000000"/>
          <w:lang w:val="en-CA"/>
        </w:rPr>
        <w:t xml:space="preserve"> In 2015, the </w:t>
      </w:r>
      <w:r w:rsidR="00625C04">
        <w:rPr>
          <w:color w:val="000000"/>
          <w:lang w:val="en-CA"/>
        </w:rPr>
        <w:t>f</w:t>
      </w:r>
      <w:r w:rsidRPr="00E855CA">
        <w:rPr>
          <w:color w:val="000000"/>
          <w:lang w:val="en-CA"/>
        </w:rPr>
        <w:t>und was expanded to $500 million</w:t>
      </w:r>
      <w:r w:rsidR="00625C04">
        <w:rPr>
          <w:color w:val="000000"/>
          <w:lang w:val="en-CA"/>
        </w:rPr>
        <w:t>.</w:t>
      </w:r>
      <w:r w:rsidRPr="00E855CA">
        <w:rPr>
          <w:color w:val="000000"/>
          <w:lang w:val="en-CA"/>
        </w:rPr>
        <w:t xml:space="preserve"> </w:t>
      </w:r>
      <w:r w:rsidR="00625C04" w:rsidRPr="00E855CA">
        <w:rPr>
          <w:color w:val="000000"/>
          <w:lang w:val="en-CA"/>
        </w:rPr>
        <w:t xml:space="preserve">As of January 22, 2017, Infosys had invested a little more than $62 million of </w:t>
      </w:r>
      <w:r w:rsidR="00625C04">
        <w:rPr>
          <w:color w:val="000000"/>
          <w:lang w:val="en-CA"/>
        </w:rPr>
        <w:t>the fund</w:t>
      </w:r>
      <w:r w:rsidR="00625C04" w:rsidRPr="00E855CA">
        <w:rPr>
          <w:color w:val="000000"/>
          <w:lang w:val="en-CA"/>
        </w:rPr>
        <w:t xml:space="preserve"> in </w:t>
      </w:r>
      <w:r w:rsidR="00625C04">
        <w:rPr>
          <w:color w:val="000000"/>
          <w:lang w:val="en-CA"/>
        </w:rPr>
        <w:t xml:space="preserve">various </w:t>
      </w:r>
      <w:r w:rsidR="00625C04" w:rsidRPr="00E855CA">
        <w:rPr>
          <w:color w:val="000000"/>
          <w:lang w:val="en-CA"/>
        </w:rPr>
        <w:t>start-ups covering areas such as IoT, automation</w:t>
      </w:r>
      <w:r w:rsidR="00625C04">
        <w:rPr>
          <w:color w:val="000000"/>
          <w:lang w:val="en-CA"/>
        </w:rPr>
        <w:t>,</w:t>
      </w:r>
      <w:r w:rsidR="00625C04" w:rsidRPr="00E855CA">
        <w:rPr>
          <w:color w:val="000000"/>
          <w:lang w:val="en-CA"/>
        </w:rPr>
        <w:t xml:space="preserve"> and drones.</w:t>
      </w:r>
      <w:r w:rsidRPr="00E855CA">
        <w:rPr>
          <w:color w:val="000000"/>
          <w:lang w:val="en-CA"/>
        </w:rPr>
        <w:t xml:space="preserve"> </w:t>
      </w:r>
    </w:p>
    <w:p w14:paraId="0A31858A" w14:textId="77777777" w:rsidR="00625C04" w:rsidRDefault="00625C04" w:rsidP="00410E64">
      <w:pPr>
        <w:pStyle w:val="BodyTextMain"/>
        <w:rPr>
          <w:color w:val="000000"/>
          <w:lang w:val="en-CA"/>
        </w:rPr>
      </w:pPr>
    </w:p>
    <w:p w14:paraId="7077F320" w14:textId="07F351D3" w:rsidR="00410E64" w:rsidRPr="00E855CA" w:rsidRDefault="00410E64" w:rsidP="00410E64">
      <w:pPr>
        <w:pStyle w:val="BodyTextMain"/>
        <w:rPr>
          <w:color w:val="000000"/>
          <w:lang w:val="en-CA"/>
        </w:rPr>
      </w:pPr>
      <w:r w:rsidRPr="00E855CA">
        <w:rPr>
          <w:color w:val="000000"/>
          <w:lang w:val="en-CA"/>
        </w:rPr>
        <w:t xml:space="preserve">Sikka was optimistic about the role that the companies </w:t>
      </w:r>
      <w:r w:rsidR="00625C04">
        <w:rPr>
          <w:color w:val="000000"/>
          <w:lang w:val="en-CA"/>
        </w:rPr>
        <w:t xml:space="preserve">Infosys </w:t>
      </w:r>
      <w:r w:rsidRPr="00E855CA">
        <w:rPr>
          <w:color w:val="000000"/>
          <w:lang w:val="en-CA"/>
        </w:rPr>
        <w:t xml:space="preserve">acquired </w:t>
      </w:r>
      <w:r w:rsidR="00625C04">
        <w:rPr>
          <w:color w:val="000000"/>
          <w:lang w:val="en-CA"/>
        </w:rPr>
        <w:t>with the fund</w:t>
      </w:r>
      <w:r w:rsidRPr="00E855CA">
        <w:rPr>
          <w:color w:val="000000"/>
          <w:lang w:val="en-CA"/>
        </w:rPr>
        <w:t xml:space="preserve"> would play in achieving the firm’s Vision 2020 goals. He noted</w:t>
      </w:r>
      <w:r w:rsidR="00625C04">
        <w:rPr>
          <w:color w:val="000000"/>
          <w:lang w:val="en-CA"/>
        </w:rPr>
        <w:t>,</w:t>
      </w:r>
      <w:r w:rsidRPr="00E855CA">
        <w:rPr>
          <w:rStyle w:val="EndnoteReference"/>
          <w:color w:val="000000"/>
          <w:lang w:val="en-CA"/>
        </w:rPr>
        <w:endnoteReference w:id="53"/>
      </w:r>
      <w:r w:rsidRPr="00E855CA">
        <w:rPr>
          <w:color w:val="000000"/>
          <w:lang w:val="en-CA"/>
        </w:rPr>
        <w:t xml:space="preserve"> “The start</w:t>
      </w:r>
      <w:r w:rsidR="00625C04">
        <w:rPr>
          <w:color w:val="000000"/>
          <w:lang w:val="en-CA"/>
        </w:rPr>
        <w:t>-</w:t>
      </w:r>
      <w:r w:rsidRPr="00E855CA">
        <w:rPr>
          <w:color w:val="000000"/>
          <w:lang w:val="en-CA"/>
        </w:rPr>
        <w:t>up world is incredibly exciting. We have been investing in companies there. We have been bringing these companies to our clients and that rate at which we bring these companies to clients is just exploding. So that’s very exciting.”</w:t>
      </w:r>
      <w:r w:rsidR="00625C04" w:rsidRPr="00625C04">
        <w:rPr>
          <w:color w:val="000000"/>
          <w:lang w:val="en-CA"/>
        </w:rPr>
        <w:t xml:space="preserve"> </w:t>
      </w:r>
    </w:p>
    <w:p w14:paraId="44B7136D" w14:textId="77777777" w:rsidR="00410E64" w:rsidRDefault="00410E64" w:rsidP="00410E64">
      <w:pPr>
        <w:pStyle w:val="BodyTextMain"/>
        <w:rPr>
          <w:rFonts w:ascii="Arial" w:hAnsi="Arial" w:cs="Arial"/>
          <w:b/>
          <w:color w:val="000000"/>
          <w:lang w:val="en-CA"/>
        </w:rPr>
      </w:pPr>
    </w:p>
    <w:p w14:paraId="3E711FBA" w14:textId="77777777" w:rsidR="00410E64" w:rsidRPr="00E855CA" w:rsidRDefault="00410E64" w:rsidP="00410E64">
      <w:pPr>
        <w:pStyle w:val="BodyTextMain"/>
        <w:rPr>
          <w:rFonts w:ascii="Arial" w:hAnsi="Arial" w:cs="Arial"/>
          <w:b/>
          <w:color w:val="000000"/>
          <w:lang w:val="en-CA"/>
        </w:rPr>
      </w:pPr>
    </w:p>
    <w:p w14:paraId="14DB0853" w14:textId="77777777" w:rsidR="00410E64" w:rsidRDefault="00410E64" w:rsidP="00824F98">
      <w:pPr>
        <w:pStyle w:val="Casehead1"/>
        <w:rPr>
          <w:lang w:val="en-CA"/>
        </w:rPr>
      </w:pPr>
      <w:r w:rsidRPr="00E855CA">
        <w:rPr>
          <w:lang w:val="en-CA"/>
        </w:rPr>
        <w:t>THE WAY FORWARD</w:t>
      </w:r>
    </w:p>
    <w:p w14:paraId="39FFCE40" w14:textId="77777777" w:rsidR="00A367F0" w:rsidRPr="00E855CA" w:rsidRDefault="00A367F0" w:rsidP="00824F98">
      <w:pPr>
        <w:pStyle w:val="BodyTextMain"/>
        <w:rPr>
          <w:lang w:val="en-CA"/>
        </w:rPr>
      </w:pPr>
    </w:p>
    <w:p w14:paraId="31DB2541" w14:textId="6CD02215" w:rsidR="00410E64" w:rsidRDefault="00410E64" w:rsidP="00410E64">
      <w:pPr>
        <w:pStyle w:val="BodyTextMain"/>
        <w:rPr>
          <w:lang w:val="en-CA"/>
        </w:rPr>
      </w:pPr>
      <w:r w:rsidRPr="00E855CA">
        <w:rPr>
          <w:lang w:val="en-CA"/>
        </w:rPr>
        <w:t>The coming months would be crucial for Infosys and Sikka. The clock was ticking for achieving Vision 2020</w:t>
      </w:r>
      <w:r w:rsidR="00625C04">
        <w:rPr>
          <w:lang w:val="en-CA"/>
        </w:rPr>
        <w:t>;</w:t>
      </w:r>
      <w:r w:rsidRPr="00E855CA">
        <w:rPr>
          <w:lang w:val="en-CA"/>
        </w:rPr>
        <w:t xml:space="preserve"> shareholder expectations were rising</w:t>
      </w:r>
      <w:r w:rsidR="00625C04">
        <w:rPr>
          <w:lang w:val="en-CA"/>
        </w:rPr>
        <w:t>;</w:t>
      </w:r>
      <w:r w:rsidRPr="00E855CA">
        <w:rPr>
          <w:lang w:val="en-CA"/>
        </w:rPr>
        <w:t xml:space="preserve"> international competition in the domestic and overseas markets was increasing</w:t>
      </w:r>
      <w:r w:rsidR="00625C04">
        <w:rPr>
          <w:lang w:val="en-CA"/>
        </w:rPr>
        <w:t>;</w:t>
      </w:r>
      <w:r w:rsidRPr="00E855CA">
        <w:rPr>
          <w:lang w:val="en-CA"/>
        </w:rPr>
        <w:t xml:space="preserve"> and the geo-political dynamics and U</w:t>
      </w:r>
      <w:r w:rsidR="00625C04">
        <w:rPr>
          <w:lang w:val="en-CA"/>
        </w:rPr>
        <w:t>.</w:t>
      </w:r>
      <w:r w:rsidRPr="00E855CA">
        <w:rPr>
          <w:lang w:val="en-CA"/>
        </w:rPr>
        <w:t>S</w:t>
      </w:r>
      <w:r w:rsidR="00625C04">
        <w:rPr>
          <w:lang w:val="en-CA"/>
        </w:rPr>
        <w:t>.</w:t>
      </w:r>
      <w:r w:rsidRPr="00E855CA">
        <w:rPr>
          <w:lang w:val="en-CA"/>
        </w:rPr>
        <w:t xml:space="preserve"> visa policies were changing. Infosys had myriad uncertainties to deal with, and several critical decisions had to be made. Organic sources of growth were not going to be enough to reach the </w:t>
      </w:r>
      <w:r w:rsidR="00625C04">
        <w:rPr>
          <w:lang w:val="en-CA"/>
        </w:rPr>
        <w:t xml:space="preserve">company’s </w:t>
      </w:r>
      <w:r w:rsidRPr="00E855CA">
        <w:rPr>
          <w:lang w:val="en-CA"/>
        </w:rPr>
        <w:t>target of $20 billion by 2020. Infosys had to devise an appropriate buyout strategy if it hoped to scale up rapidly.</w:t>
      </w:r>
    </w:p>
    <w:p w14:paraId="3F3104EE" w14:textId="77777777" w:rsidR="00410E64" w:rsidRPr="00E855CA" w:rsidRDefault="00410E64" w:rsidP="00410E64">
      <w:pPr>
        <w:pStyle w:val="BodyTextMain"/>
        <w:rPr>
          <w:lang w:val="en-CA"/>
        </w:rPr>
      </w:pPr>
    </w:p>
    <w:p w14:paraId="38ABBC45" w14:textId="63F6B18C" w:rsidR="002E31C8" w:rsidRDefault="00410E64" w:rsidP="00410E64">
      <w:pPr>
        <w:pStyle w:val="BodyTextMain"/>
        <w:rPr>
          <w:lang w:val="en-CA"/>
        </w:rPr>
      </w:pPr>
      <w:r w:rsidRPr="00E855CA">
        <w:rPr>
          <w:lang w:val="en-CA"/>
        </w:rPr>
        <w:t>In the past, buyouts had enhanced Infosys’ client base, increased its product</w:t>
      </w:r>
      <w:r w:rsidR="00625C04">
        <w:rPr>
          <w:lang w:val="en-CA"/>
        </w:rPr>
        <w:t xml:space="preserve"> and </w:t>
      </w:r>
      <w:r w:rsidRPr="00E855CA">
        <w:rPr>
          <w:lang w:val="en-CA"/>
        </w:rPr>
        <w:t>service portfolio</w:t>
      </w:r>
      <w:r w:rsidR="00625C04">
        <w:rPr>
          <w:lang w:val="en-CA"/>
        </w:rPr>
        <w:t>,</w:t>
      </w:r>
      <w:r w:rsidRPr="00E855CA">
        <w:rPr>
          <w:lang w:val="en-CA"/>
        </w:rPr>
        <w:t xml:space="preserve"> and enabled its geographical expansion. The</w:t>
      </w:r>
      <w:r w:rsidR="00F00153">
        <w:rPr>
          <w:lang w:val="en-CA"/>
        </w:rPr>
        <w:t xml:space="preserve"> bu</w:t>
      </w:r>
      <w:r w:rsidRPr="00E855CA">
        <w:rPr>
          <w:lang w:val="en-CA"/>
        </w:rPr>
        <w:t>y</w:t>
      </w:r>
      <w:r w:rsidR="00F00153">
        <w:rPr>
          <w:lang w:val="en-CA"/>
        </w:rPr>
        <w:t>outs</w:t>
      </w:r>
      <w:r w:rsidRPr="00E855CA">
        <w:rPr>
          <w:lang w:val="en-CA"/>
        </w:rPr>
        <w:t xml:space="preserve"> had also enabled Infosys to become agile and better prepared for uncertainties. At the same time, some acquisitions, such as those of Panaya and Lodestone, had also created turmoil and company-wide disagreements for Infosys. With </w:t>
      </w:r>
      <w:r w:rsidR="00F00153">
        <w:rPr>
          <w:lang w:val="en-CA"/>
        </w:rPr>
        <w:t>all that</w:t>
      </w:r>
      <w:r w:rsidRPr="00E855CA">
        <w:rPr>
          <w:lang w:val="en-CA"/>
        </w:rPr>
        <w:t xml:space="preserve"> in mind, it was important for Sikka to strike a balance between risks and rewards in his approach to buying out companies. </w:t>
      </w:r>
    </w:p>
    <w:p w14:paraId="71EB501A" w14:textId="77777777" w:rsidR="002E31C8" w:rsidRDefault="002E31C8" w:rsidP="00410E64">
      <w:pPr>
        <w:pStyle w:val="BodyTextMain"/>
        <w:rPr>
          <w:lang w:val="en-CA"/>
        </w:rPr>
      </w:pPr>
    </w:p>
    <w:p w14:paraId="480A8FAA" w14:textId="41974017" w:rsidR="00410E64" w:rsidRDefault="00410E64" w:rsidP="00410E64">
      <w:pPr>
        <w:pStyle w:val="BodyTextMain"/>
        <w:rPr>
          <w:lang w:val="en-CA"/>
        </w:rPr>
      </w:pPr>
      <w:r w:rsidRPr="00E855CA">
        <w:rPr>
          <w:lang w:val="en-CA"/>
        </w:rPr>
        <w:t xml:space="preserve">Since </w:t>
      </w:r>
      <w:r w:rsidR="00F00153">
        <w:rPr>
          <w:lang w:val="en-CA"/>
        </w:rPr>
        <w:t xml:space="preserve">becoming </w:t>
      </w:r>
      <w:r w:rsidR="00C2388B">
        <w:rPr>
          <w:lang w:val="en-CA"/>
        </w:rPr>
        <w:t>chief executive officer</w:t>
      </w:r>
      <w:r w:rsidRPr="00E855CA">
        <w:rPr>
          <w:lang w:val="en-CA"/>
        </w:rPr>
        <w:t xml:space="preserve"> in August 2014, Sikka had brought several changes to the company, such as overhauling it</w:t>
      </w:r>
      <w:r w:rsidR="00F00153">
        <w:rPr>
          <w:lang w:val="en-CA"/>
        </w:rPr>
        <w:t>s</w:t>
      </w:r>
      <w:r w:rsidRPr="00E855CA">
        <w:rPr>
          <w:lang w:val="en-CA"/>
        </w:rPr>
        <w:t xml:space="preserve"> organi</w:t>
      </w:r>
      <w:r w:rsidR="00F00153">
        <w:rPr>
          <w:lang w:val="en-CA"/>
        </w:rPr>
        <w:t>z</w:t>
      </w:r>
      <w:r w:rsidRPr="00E855CA">
        <w:rPr>
          <w:lang w:val="en-CA"/>
        </w:rPr>
        <w:t>ational structure, increasing the focus on design thinking</w:t>
      </w:r>
      <w:r w:rsidR="00F00153">
        <w:rPr>
          <w:lang w:val="en-CA"/>
        </w:rPr>
        <w:t>,</w:t>
      </w:r>
      <w:r w:rsidRPr="00E855CA">
        <w:rPr>
          <w:lang w:val="en-CA"/>
        </w:rPr>
        <w:t xml:space="preserve"> and focusing efforts on </w:t>
      </w:r>
      <w:r w:rsidR="00F00153">
        <w:rPr>
          <w:lang w:val="en-CA"/>
        </w:rPr>
        <w:t>AI</w:t>
      </w:r>
      <w:r w:rsidRPr="00E855CA">
        <w:rPr>
          <w:lang w:val="en-CA"/>
        </w:rPr>
        <w:t xml:space="preserve">. </w:t>
      </w:r>
      <w:r w:rsidR="00A367F0">
        <w:rPr>
          <w:lang w:val="en-CA"/>
        </w:rPr>
        <w:t xml:space="preserve">But </w:t>
      </w:r>
      <w:r w:rsidR="00F00153">
        <w:rPr>
          <w:lang w:val="en-CA"/>
        </w:rPr>
        <w:t>AI</w:t>
      </w:r>
      <w:r w:rsidRPr="00E855CA">
        <w:rPr>
          <w:lang w:val="en-CA"/>
        </w:rPr>
        <w:t xml:space="preserve"> was just one facet of the industry’s emerging technologies. Infosys had its business spread across a variety of segments and diverse geographies. To continue its swift growth and leverage the way for acquisitions and buyouts, which </w:t>
      </w:r>
      <w:r w:rsidR="00A367F0">
        <w:rPr>
          <w:lang w:val="en-CA"/>
        </w:rPr>
        <w:t xml:space="preserve">of these </w:t>
      </w:r>
      <w:r w:rsidRPr="00E855CA">
        <w:rPr>
          <w:lang w:val="en-CA"/>
        </w:rPr>
        <w:t xml:space="preserve">business and geographical segments </w:t>
      </w:r>
      <w:r w:rsidR="00A367F0">
        <w:rPr>
          <w:lang w:val="en-CA"/>
        </w:rPr>
        <w:t xml:space="preserve">should Infosys </w:t>
      </w:r>
      <w:r w:rsidRPr="00E855CA">
        <w:rPr>
          <w:lang w:val="en-CA"/>
        </w:rPr>
        <w:t>invest in</w:t>
      </w:r>
      <w:r w:rsidR="00A367F0">
        <w:rPr>
          <w:lang w:val="en-CA"/>
        </w:rPr>
        <w:t>?</w:t>
      </w:r>
      <w:r w:rsidRPr="00E855CA">
        <w:rPr>
          <w:lang w:val="en-CA"/>
        </w:rPr>
        <w:t xml:space="preserve"> </w:t>
      </w:r>
      <w:r w:rsidR="00A367F0">
        <w:rPr>
          <w:lang w:val="en-CA"/>
        </w:rPr>
        <w:t>W</w:t>
      </w:r>
      <w:r w:rsidR="00F00153">
        <w:rPr>
          <w:lang w:val="en-CA"/>
        </w:rPr>
        <w:t xml:space="preserve">hich </w:t>
      </w:r>
      <w:r w:rsidRPr="00E855CA">
        <w:rPr>
          <w:lang w:val="en-CA"/>
        </w:rPr>
        <w:t xml:space="preserve">key determining factors </w:t>
      </w:r>
      <w:r w:rsidR="00F00153">
        <w:rPr>
          <w:lang w:val="en-CA"/>
        </w:rPr>
        <w:t xml:space="preserve">should </w:t>
      </w:r>
      <w:r w:rsidRPr="00E855CA">
        <w:rPr>
          <w:lang w:val="en-CA"/>
        </w:rPr>
        <w:t>drive the acquisitions</w:t>
      </w:r>
      <w:r w:rsidR="00A367F0">
        <w:rPr>
          <w:lang w:val="en-CA"/>
        </w:rPr>
        <w:t xml:space="preserve">: </w:t>
      </w:r>
      <w:r w:rsidRPr="00E855CA">
        <w:rPr>
          <w:lang w:val="en-CA"/>
        </w:rPr>
        <w:t>increased clientele, enhanced technology</w:t>
      </w:r>
      <w:r w:rsidR="00F00153">
        <w:rPr>
          <w:lang w:val="en-CA"/>
        </w:rPr>
        <w:t>,</w:t>
      </w:r>
      <w:r w:rsidRPr="00E855CA">
        <w:rPr>
          <w:lang w:val="en-CA"/>
        </w:rPr>
        <w:t xml:space="preserve"> or increased geographical reach</w:t>
      </w:r>
      <w:r w:rsidR="00F00153">
        <w:rPr>
          <w:lang w:val="en-CA"/>
        </w:rPr>
        <w:t>,</w:t>
      </w:r>
      <w:r w:rsidRPr="00E855CA">
        <w:rPr>
          <w:lang w:val="en-CA"/>
        </w:rPr>
        <w:t xml:space="preserve"> and </w:t>
      </w:r>
      <w:r w:rsidR="00F00153">
        <w:rPr>
          <w:lang w:val="en-CA"/>
        </w:rPr>
        <w:t xml:space="preserve">what </w:t>
      </w:r>
      <w:r w:rsidRPr="00E855CA">
        <w:rPr>
          <w:lang w:val="en-CA"/>
        </w:rPr>
        <w:t>investment</w:t>
      </w:r>
      <w:r w:rsidR="00F00153">
        <w:rPr>
          <w:lang w:val="en-CA"/>
        </w:rPr>
        <w:t>s were</w:t>
      </w:r>
      <w:r w:rsidRPr="00E855CA">
        <w:rPr>
          <w:lang w:val="en-CA"/>
        </w:rPr>
        <w:t xml:space="preserve"> priorities</w:t>
      </w:r>
      <w:r w:rsidR="00A367F0">
        <w:rPr>
          <w:lang w:val="en-CA"/>
        </w:rPr>
        <w:t>?</w:t>
      </w:r>
      <w:r w:rsidRPr="00E855CA">
        <w:rPr>
          <w:lang w:val="en-CA"/>
        </w:rPr>
        <w:t xml:space="preserve"> Sikka knew that the journey ahead would be challenging and that tough choices would have to be embraced</w:t>
      </w:r>
      <w:r w:rsidR="00F00153">
        <w:rPr>
          <w:lang w:val="en-CA"/>
        </w:rPr>
        <w:t>.</w:t>
      </w:r>
      <w:r w:rsidRPr="00E855CA">
        <w:rPr>
          <w:rStyle w:val="EndnoteReference"/>
          <w:color w:val="000000"/>
          <w:lang w:val="en-CA"/>
        </w:rPr>
        <w:endnoteReference w:id="54"/>
      </w:r>
      <w:r w:rsidRPr="00E855CA">
        <w:rPr>
          <w:lang w:val="en-CA"/>
        </w:rPr>
        <w:br w:type="page"/>
      </w:r>
    </w:p>
    <w:p w14:paraId="60BF35D8" w14:textId="177FD370" w:rsidR="00A367F0" w:rsidRPr="009E7E2D" w:rsidRDefault="00A367F0" w:rsidP="00A367F0">
      <w:pPr>
        <w:pStyle w:val="ExhibitHeading"/>
        <w:outlineLvl w:val="0"/>
      </w:pPr>
      <w:r w:rsidRPr="009E7E2D">
        <w:lastRenderedPageBreak/>
        <w:t xml:space="preserve">Exhibit </w:t>
      </w:r>
      <w:r>
        <w:t>1</w:t>
      </w:r>
      <w:r w:rsidRPr="009E7E2D">
        <w:t xml:space="preserve">: Infosys </w:t>
      </w:r>
      <w:r>
        <w:t>Limited</w:t>
      </w:r>
      <w:r w:rsidR="00C94D59">
        <w:t xml:space="preserve"> </w:t>
      </w:r>
      <w:r>
        <w:t>Buyouts</w:t>
      </w:r>
    </w:p>
    <w:p w14:paraId="22818BD1" w14:textId="77777777" w:rsidR="00A367F0" w:rsidRPr="007C3253" w:rsidRDefault="00A367F0" w:rsidP="00824F98">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780"/>
        <w:gridCol w:w="1710"/>
        <w:gridCol w:w="985"/>
      </w:tblGrid>
      <w:tr w:rsidR="00A367F0" w:rsidRPr="005742EF" w14:paraId="665EE101" w14:textId="77777777" w:rsidTr="00341EF0">
        <w:trPr>
          <w:trHeight w:val="360"/>
          <w:jc w:val="center"/>
        </w:trPr>
        <w:tc>
          <w:tcPr>
            <w:tcW w:w="2875" w:type="dxa"/>
            <w:shd w:val="clear" w:color="auto" w:fill="auto"/>
            <w:vAlign w:val="center"/>
          </w:tcPr>
          <w:p w14:paraId="5EDD9D6D" w14:textId="77777777" w:rsidR="00A367F0" w:rsidRPr="00E605B9" w:rsidRDefault="00A367F0" w:rsidP="00341EF0">
            <w:pPr>
              <w:pStyle w:val="ExhibitText"/>
              <w:jc w:val="center"/>
              <w:rPr>
                <w:b/>
              </w:rPr>
            </w:pPr>
            <w:r w:rsidRPr="00E605B9">
              <w:rPr>
                <w:b/>
              </w:rPr>
              <w:t>Acquired Company</w:t>
            </w:r>
          </w:p>
        </w:tc>
        <w:tc>
          <w:tcPr>
            <w:tcW w:w="3780" w:type="dxa"/>
            <w:shd w:val="clear" w:color="auto" w:fill="auto"/>
            <w:vAlign w:val="center"/>
          </w:tcPr>
          <w:p w14:paraId="76ED49E4" w14:textId="77777777" w:rsidR="00A367F0" w:rsidRPr="00E605B9" w:rsidRDefault="00A367F0" w:rsidP="00341EF0">
            <w:pPr>
              <w:pStyle w:val="ExhibitText"/>
              <w:jc w:val="center"/>
              <w:rPr>
                <w:b/>
              </w:rPr>
            </w:pPr>
            <w:r w:rsidRPr="00E605B9">
              <w:rPr>
                <w:b/>
              </w:rPr>
              <w:t>Domain</w:t>
            </w:r>
          </w:p>
        </w:tc>
        <w:tc>
          <w:tcPr>
            <w:tcW w:w="1710" w:type="dxa"/>
            <w:shd w:val="clear" w:color="auto" w:fill="auto"/>
            <w:vAlign w:val="center"/>
          </w:tcPr>
          <w:p w14:paraId="0838B43B" w14:textId="77777777" w:rsidR="00A367F0" w:rsidRDefault="00A367F0" w:rsidP="00341EF0">
            <w:pPr>
              <w:pStyle w:val="ExhibitText"/>
              <w:jc w:val="center"/>
              <w:rPr>
                <w:b/>
              </w:rPr>
            </w:pPr>
            <w:r w:rsidRPr="00E605B9">
              <w:rPr>
                <w:b/>
              </w:rPr>
              <w:t>Value</w:t>
            </w:r>
          </w:p>
          <w:p w14:paraId="0266ED6A" w14:textId="77777777" w:rsidR="00A367F0" w:rsidRPr="00E605B9" w:rsidRDefault="00A367F0" w:rsidP="00341EF0">
            <w:pPr>
              <w:pStyle w:val="ExhibitText"/>
              <w:jc w:val="center"/>
              <w:rPr>
                <w:b/>
              </w:rPr>
            </w:pPr>
            <w:r>
              <w:rPr>
                <w:b/>
              </w:rPr>
              <w:t>(in US$ million)</w:t>
            </w:r>
          </w:p>
        </w:tc>
        <w:tc>
          <w:tcPr>
            <w:tcW w:w="985" w:type="dxa"/>
            <w:shd w:val="clear" w:color="auto" w:fill="auto"/>
            <w:vAlign w:val="center"/>
          </w:tcPr>
          <w:p w14:paraId="41AEB4E7" w14:textId="77777777" w:rsidR="00A367F0" w:rsidRPr="00E605B9" w:rsidRDefault="00A367F0" w:rsidP="00341EF0">
            <w:pPr>
              <w:pStyle w:val="ExhibitText"/>
              <w:jc w:val="center"/>
              <w:rPr>
                <w:b/>
              </w:rPr>
            </w:pPr>
            <w:r w:rsidRPr="00E605B9">
              <w:rPr>
                <w:b/>
              </w:rPr>
              <w:t>Year</w:t>
            </w:r>
          </w:p>
        </w:tc>
      </w:tr>
      <w:tr w:rsidR="00A367F0" w:rsidRPr="007C3253" w14:paraId="7BBCE547" w14:textId="77777777" w:rsidTr="00341EF0">
        <w:trPr>
          <w:trHeight w:val="360"/>
          <w:jc w:val="center"/>
        </w:trPr>
        <w:tc>
          <w:tcPr>
            <w:tcW w:w="2875" w:type="dxa"/>
            <w:shd w:val="clear" w:color="auto" w:fill="auto"/>
            <w:vAlign w:val="center"/>
          </w:tcPr>
          <w:p w14:paraId="60EAC119" w14:textId="77777777" w:rsidR="00A367F0" w:rsidRDefault="00A367F0" w:rsidP="00341EF0">
            <w:pPr>
              <w:pStyle w:val="ExhibitText"/>
              <w:jc w:val="left"/>
            </w:pPr>
            <w:r w:rsidRPr="00E855CA">
              <w:t>Expert Information Services,</w:t>
            </w:r>
          </w:p>
          <w:p w14:paraId="28FEBED7" w14:textId="77777777" w:rsidR="00A367F0" w:rsidRPr="00E855CA" w:rsidRDefault="00A367F0" w:rsidP="00341EF0">
            <w:pPr>
              <w:pStyle w:val="ExhibitText"/>
              <w:jc w:val="left"/>
            </w:pPr>
            <w:r w:rsidRPr="00E855CA">
              <w:t>Australia</w:t>
            </w:r>
          </w:p>
        </w:tc>
        <w:tc>
          <w:tcPr>
            <w:tcW w:w="3780" w:type="dxa"/>
            <w:shd w:val="clear" w:color="auto" w:fill="auto"/>
            <w:vAlign w:val="center"/>
          </w:tcPr>
          <w:p w14:paraId="4FEC0104" w14:textId="77777777" w:rsidR="00A367F0" w:rsidRPr="00E855CA" w:rsidRDefault="00A367F0" w:rsidP="00341EF0">
            <w:pPr>
              <w:pStyle w:val="ExhibitText"/>
              <w:jc w:val="left"/>
            </w:pPr>
            <w:r w:rsidRPr="00E855CA">
              <w:t>I</w:t>
            </w:r>
            <w:r>
              <w:t>nformation technology</w:t>
            </w:r>
            <w:r w:rsidRPr="00E855CA">
              <w:t xml:space="preserve"> </w:t>
            </w:r>
            <w:r>
              <w:t>s</w:t>
            </w:r>
            <w:r w:rsidRPr="00E855CA">
              <w:t xml:space="preserve">ervices </w:t>
            </w:r>
          </w:p>
        </w:tc>
        <w:tc>
          <w:tcPr>
            <w:tcW w:w="1710" w:type="dxa"/>
            <w:shd w:val="clear" w:color="auto" w:fill="auto"/>
            <w:vAlign w:val="center"/>
          </w:tcPr>
          <w:p w14:paraId="2BEFD829" w14:textId="77777777" w:rsidR="00A367F0" w:rsidRPr="00E855CA" w:rsidRDefault="00A367F0" w:rsidP="00341EF0">
            <w:pPr>
              <w:pStyle w:val="ExhibitText"/>
              <w:ind w:right="360"/>
              <w:jc w:val="right"/>
            </w:pPr>
            <w:r w:rsidRPr="00E855CA">
              <w:t>23</w:t>
            </w:r>
            <w:r>
              <w:t>.00</w:t>
            </w:r>
          </w:p>
        </w:tc>
        <w:tc>
          <w:tcPr>
            <w:tcW w:w="985" w:type="dxa"/>
            <w:shd w:val="clear" w:color="auto" w:fill="auto"/>
            <w:vAlign w:val="center"/>
          </w:tcPr>
          <w:p w14:paraId="2B447157" w14:textId="77777777" w:rsidR="00A367F0" w:rsidRPr="00E855CA" w:rsidRDefault="00A367F0" w:rsidP="00341EF0">
            <w:pPr>
              <w:pStyle w:val="ExhibitText"/>
              <w:jc w:val="center"/>
            </w:pPr>
            <w:r w:rsidRPr="00E855CA">
              <w:t>2003</w:t>
            </w:r>
          </w:p>
        </w:tc>
      </w:tr>
      <w:tr w:rsidR="00A367F0" w:rsidRPr="007C3253" w14:paraId="6B6D039A" w14:textId="77777777" w:rsidTr="00341EF0">
        <w:trPr>
          <w:trHeight w:val="360"/>
          <w:jc w:val="center"/>
        </w:trPr>
        <w:tc>
          <w:tcPr>
            <w:tcW w:w="2875" w:type="dxa"/>
            <w:shd w:val="clear" w:color="auto" w:fill="auto"/>
            <w:vAlign w:val="center"/>
          </w:tcPr>
          <w:p w14:paraId="18B4CA5C" w14:textId="77777777" w:rsidR="00A367F0" w:rsidRDefault="00A367F0" w:rsidP="00341EF0">
            <w:pPr>
              <w:pStyle w:val="ExhibitText"/>
              <w:jc w:val="left"/>
            </w:pPr>
            <w:r w:rsidRPr="00E855CA">
              <w:t>Philips</w:t>
            </w:r>
            <w:r>
              <w:t xml:space="preserve"> BPO</w:t>
            </w:r>
            <w:r w:rsidRPr="00E855CA">
              <w:t>,</w:t>
            </w:r>
          </w:p>
          <w:p w14:paraId="6AC3DEBF" w14:textId="77777777" w:rsidR="00A367F0" w:rsidRPr="00E855CA" w:rsidRDefault="00A367F0" w:rsidP="00341EF0">
            <w:pPr>
              <w:pStyle w:val="ExhibitText"/>
              <w:jc w:val="left"/>
            </w:pPr>
            <w:r w:rsidRPr="00E855CA">
              <w:t>Netherlands</w:t>
            </w:r>
          </w:p>
        </w:tc>
        <w:tc>
          <w:tcPr>
            <w:tcW w:w="3780" w:type="dxa"/>
            <w:shd w:val="clear" w:color="auto" w:fill="auto"/>
            <w:vAlign w:val="center"/>
          </w:tcPr>
          <w:p w14:paraId="77452F7B" w14:textId="77777777" w:rsidR="00A367F0" w:rsidRPr="005742EF" w:rsidRDefault="00A367F0" w:rsidP="00341EF0">
            <w:pPr>
              <w:pStyle w:val="ExhibitText"/>
              <w:jc w:val="left"/>
            </w:pPr>
            <w:r w:rsidRPr="00E605B9">
              <w:t>Finance and accounts BPO</w:t>
            </w:r>
          </w:p>
        </w:tc>
        <w:tc>
          <w:tcPr>
            <w:tcW w:w="1710" w:type="dxa"/>
            <w:shd w:val="clear" w:color="auto" w:fill="auto"/>
            <w:vAlign w:val="center"/>
          </w:tcPr>
          <w:p w14:paraId="343B89AE" w14:textId="77777777" w:rsidR="00A367F0" w:rsidRPr="00E855CA" w:rsidRDefault="00A367F0" w:rsidP="00341EF0">
            <w:pPr>
              <w:pStyle w:val="ExhibitText"/>
              <w:ind w:right="360"/>
              <w:jc w:val="right"/>
            </w:pPr>
            <w:r w:rsidRPr="00E855CA">
              <w:t>28</w:t>
            </w:r>
            <w:r>
              <w:t>.00</w:t>
            </w:r>
          </w:p>
        </w:tc>
        <w:tc>
          <w:tcPr>
            <w:tcW w:w="985" w:type="dxa"/>
            <w:shd w:val="clear" w:color="auto" w:fill="auto"/>
            <w:vAlign w:val="center"/>
          </w:tcPr>
          <w:p w14:paraId="6B1DA5C2" w14:textId="77777777" w:rsidR="00A367F0" w:rsidRPr="00E855CA" w:rsidRDefault="00A367F0" w:rsidP="00341EF0">
            <w:pPr>
              <w:pStyle w:val="ExhibitText"/>
              <w:jc w:val="center"/>
            </w:pPr>
            <w:r w:rsidRPr="00E855CA">
              <w:t>2007</w:t>
            </w:r>
          </w:p>
        </w:tc>
      </w:tr>
      <w:tr w:rsidR="00A367F0" w:rsidRPr="007C3253" w14:paraId="6A346143" w14:textId="77777777" w:rsidTr="00341EF0">
        <w:trPr>
          <w:trHeight w:val="360"/>
          <w:jc w:val="center"/>
        </w:trPr>
        <w:tc>
          <w:tcPr>
            <w:tcW w:w="2875" w:type="dxa"/>
            <w:shd w:val="clear" w:color="auto" w:fill="auto"/>
            <w:vAlign w:val="center"/>
          </w:tcPr>
          <w:p w14:paraId="50301C29" w14:textId="77777777" w:rsidR="00A367F0" w:rsidRDefault="00A367F0" w:rsidP="00341EF0">
            <w:pPr>
              <w:pStyle w:val="ExhibitText"/>
              <w:jc w:val="left"/>
            </w:pPr>
            <w:r w:rsidRPr="00E855CA">
              <w:t>M</w:t>
            </w:r>
            <w:r>
              <w:t>c</w:t>
            </w:r>
            <w:r w:rsidRPr="00E855CA">
              <w:t>Camish Systems,</w:t>
            </w:r>
          </w:p>
          <w:p w14:paraId="60B53C6A" w14:textId="77777777" w:rsidR="00A367F0" w:rsidRPr="00E855CA" w:rsidRDefault="00A367F0" w:rsidP="00341EF0">
            <w:pPr>
              <w:pStyle w:val="ExhibitText"/>
              <w:jc w:val="left"/>
            </w:pPr>
            <w:r>
              <w:t>United States</w:t>
            </w:r>
          </w:p>
        </w:tc>
        <w:tc>
          <w:tcPr>
            <w:tcW w:w="3780" w:type="dxa"/>
            <w:shd w:val="clear" w:color="auto" w:fill="auto"/>
            <w:vAlign w:val="center"/>
          </w:tcPr>
          <w:p w14:paraId="23DBA173" w14:textId="204BA4E8" w:rsidR="00A367F0" w:rsidRPr="00E855CA" w:rsidRDefault="00A367F0" w:rsidP="00ED69EB">
            <w:pPr>
              <w:pStyle w:val="ExhibitText"/>
              <w:jc w:val="left"/>
            </w:pPr>
            <w:r w:rsidRPr="00E855CA">
              <w:t>End-to-end business solutions for the insurance and financial services industries</w:t>
            </w:r>
            <w:r w:rsidR="00ED69EB" w:rsidRPr="00E855CA">
              <w:t xml:space="preserve"> </w:t>
            </w:r>
          </w:p>
        </w:tc>
        <w:tc>
          <w:tcPr>
            <w:tcW w:w="1710" w:type="dxa"/>
            <w:shd w:val="clear" w:color="auto" w:fill="auto"/>
            <w:vAlign w:val="center"/>
          </w:tcPr>
          <w:p w14:paraId="3BCD84AE" w14:textId="77777777" w:rsidR="00A367F0" w:rsidRPr="00E855CA" w:rsidRDefault="00A367F0" w:rsidP="00341EF0">
            <w:pPr>
              <w:pStyle w:val="ExhibitText"/>
              <w:ind w:right="360"/>
              <w:jc w:val="right"/>
            </w:pPr>
            <w:r w:rsidRPr="00E855CA">
              <w:t>58</w:t>
            </w:r>
            <w:r>
              <w:t>.00</w:t>
            </w:r>
          </w:p>
        </w:tc>
        <w:tc>
          <w:tcPr>
            <w:tcW w:w="985" w:type="dxa"/>
            <w:shd w:val="clear" w:color="auto" w:fill="auto"/>
            <w:vAlign w:val="center"/>
          </w:tcPr>
          <w:p w14:paraId="5667E120" w14:textId="77777777" w:rsidR="00A367F0" w:rsidRPr="00E855CA" w:rsidRDefault="00A367F0" w:rsidP="00341EF0">
            <w:pPr>
              <w:pStyle w:val="ExhibitText"/>
              <w:jc w:val="center"/>
            </w:pPr>
            <w:r w:rsidRPr="00E855CA">
              <w:t>2009</w:t>
            </w:r>
          </w:p>
        </w:tc>
      </w:tr>
      <w:tr w:rsidR="00A367F0" w:rsidRPr="007C3253" w14:paraId="68C4A399" w14:textId="77777777" w:rsidTr="00341EF0">
        <w:trPr>
          <w:trHeight w:val="360"/>
          <w:jc w:val="center"/>
        </w:trPr>
        <w:tc>
          <w:tcPr>
            <w:tcW w:w="2875" w:type="dxa"/>
            <w:shd w:val="clear" w:color="auto" w:fill="auto"/>
            <w:vAlign w:val="center"/>
          </w:tcPr>
          <w:p w14:paraId="768442F8" w14:textId="77777777" w:rsidR="00A367F0" w:rsidRDefault="00A367F0" w:rsidP="00341EF0">
            <w:pPr>
              <w:pStyle w:val="ExhibitText"/>
              <w:jc w:val="left"/>
            </w:pPr>
            <w:r w:rsidRPr="00E855CA">
              <w:t>Portland Group,</w:t>
            </w:r>
          </w:p>
          <w:p w14:paraId="4B0A190E" w14:textId="77777777" w:rsidR="00A367F0" w:rsidRPr="00E855CA" w:rsidRDefault="00A367F0" w:rsidP="00341EF0">
            <w:pPr>
              <w:pStyle w:val="ExhibitText"/>
              <w:jc w:val="left"/>
            </w:pPr>
            <w:r w:rsidRPr="00E855CA">
              <w:t>Australia</w:t>
            </w:r>
          </w:p>
        </w:tc>
        <w:tc>
          <w:tcPr>
            <w:tcW w:w="3780" w:type="dxa"/>
            <w:shd w:val="clear" w:color="auto" w:fill="auto"/>
            <w:vAlign w:val="center"/>
          </w:tcPr>
          <w:p w14:paraId="5D701CC1" w14:textId="77777777" w:rsidR="00A367F0" w:rsidRPr="00E855CA" w:rsidRDefault="00A367F0" w:rsidP="00341EF0">
            <w:pPr>
              <w:pStyle w:val="ExhibitText"/>
              <w:jc w:val="left"/>
            </w:pPr>
            <w:r w:rsidRPr="00E855CA">
              <w:t xml:space="preserve">Sourcing and category management services </w:t>
            </w:r>
          </w:p>
        </w:tc>
        <w:tc>
          <w:tcPr>
            <w:tcW w:w="1710" w:type="dxa"/>
            <w:shd w:val="clear" w:color="auto" w:fill="auto"/>
            <w:vAlign w:val="center"/>
          </w:tcPr>
          <w:p w14:paraId="310BFCD1" w14:textId="77777777" w:rsidR="00A367F0" w:rsidRPr="00E855CA" w:rsidRDefault="00A367F0" w:rsidP="00341EF0">
            <w:pPr>
              <w:pStyle w:val="ExhibitText"/>
              <w:ind w:right="360"/>
              <w:jc w:val="right"/>
            </w:pPr>
            <w:r w:rsidRPr="00E855CA">
              <w:t>32.05</w:t>
            </w:r>
          </w:p>
        </w:tc>
        <w:tc>
          <w:tcPr>
            <w:tcW w:w="985" w:type="dxa"/>
            <w:shd w:val="clear" w:color="auto" w:fill="auto"/>
            <w:vAlign w:val="center"/>
          </w:tcPr>
          <w:p w14:paraId="33EEBC90" w14:textId="77777777" w:rsidR="00A367F0" w:rsidRPr="00E855CA" w:rsidRDefault="00A367F0" w:rsidP="00341EF0">
            <w:pPr>
              <w:pStyle w:val="ExhibitText"/>
              <w:jc w:val="center"/>
            </w:pPr>
            <w:r w:rsidRPr="00E855CA">
              <w:t>2011</w:t>
            </w:r>
          </w:p>
        </w:tc>
      </w:tr>
      <w:tr w:rsidR="00A367F0" w:rsidRPr="007C3253" w14:paraId="512BB74E" w14:textId="77777777" w:rsidTr="00341EF0">
        <w:trPr>
          <w:trHeight w:val="360"/>
          <w:jc w:val="center"/>
        </w:trPr>
        <w:tc>
          <w:tcPr>
            <w:tcW w:w="2875" w:type="dxa"/>
            <w:shd w:val="clear" w:color="auto" w:fill="auto"/>
            <w:vAlign w:val="center"/>
          </w:tcPr>
          <w:p w14:paraId="5AC502C4" w14:textId="77777777" w:rsidR="00A367F0" w:rsidRDefault="00A367F0" w:rsidP="00341EF0">
            <w:pPr>
              <w:pStyle w:val="ExhibitText"/>
              <w:jc w:val="left"/>
            </w:pPr>
            <w:r w:rsidRPr="00E855CA">
              <w:t>Lodestone Management Consultants,</w:t>
            </w:r>
          </w:p>
          <w:p w14:paraId="5307FF68" w14:textId="77777777" w:rsidR="00A367F0" w:rsidRPr="00E855CA" w:rsidRDefault="00A367F0" w:rsidP="00341EF0">
            <w:pPr>
              <w:pStyle w:val="ExhibitText"/>
              <w:jc w:val="left"/>
            </w:pPr>
            <w:r w:rsidRPr="00E855CA">
              <w:t>Switzerland</w:t>
            </w:r>
          </w:p>
        </w:tc>
        <w:tc>
          <w:tcPr>
            <w:tcW w:w="3780" w:type="dxa"/>
            <w:shd w:val="clear" w:color="auto" w:fill="auto"/>
            <w:vAlign w:val="center"/>
          </w:tcPr>
          <w:p w14:paraId="74DE0954" w14:textId="77777777" w:rsidR="00A367F0" w:rsidRPr="00E855CA" w:rsidRDefault="00A367F0" w:rsidP="00341EF0">
            <w:pPr>
              <w:pStyle w:val="ExhibitText"/>
              <w:jc w:val="left"/>
            </w:pPr>
            <w:r w:rsidRPr="00E855CA">
              <w:t>Management consultancy firm with skills in the area of SAP software</w:t>
            </w:r>
          </w:p>
        </w:tc>
        <w:tc>
          <w:tcPr>
            <w:tcW w:w="1710" w:type="dxa"/>
            <w:shd w:val="clear" w:color="auto" w:fill="auto"/>
            <w:vAlign w:val="center"/>
          </w:tcPr>
          <w:p w14:paraId="0518BF79" w14:textId="77777777" w:rsidR="00A367F0" w:rsidRPr="00E855CA" w:rsidRDefault="00A367F0" w:rsidP="00341EF0">
            <w:pPr>
              <w:pStyle w:val="ExhibitText"/>
              <w:ind w:right="360"/>
              <w:jc w:val="right"/>
            </w:pPr>
            <w:r w:rsidRPr="00E855CA">
              <w:t>345</w:t>
            </w:r>
            <w:r>
              <w:t>.00</w:t>
            </w:r>
          </w:p>
        </w:tc>
        <w:tc>
          <w:tcPr>
            <w:tcW w:w="985" w:type="dxa"/>
            <w:shd w:val="clear" w:color="auto" w:fill="auto"/>
            <w:vAlign w:val="center"/>
          </w:tcPr>
          <w:p w14:paraId="2176446C" w14:textId="77777777" w:rsidR="00A367F0" w:rsidRPr="00E855CA" w:rsidRDefault="00A367F0" w:rsidP="00341EF0">
            <w:pPr>
              <w:pStyle w:val="ExhibitText"/>
              <w:jc w:val="center"/>
            </w:pPr>
            <w:r w:rsidRPr="00E855CA">
              <w:t>2012</w:t>
            </w:r>
          </w:p>
        </w:tc>
      </w:tr>
      <w:tr w:rsidR="00A367F0" w:rsidRPr="007C3253" w14:paraId="7C592348" w14:textId="77777777" w:rsidTr="00341EF0">
        <w:trPr>
          <w:trHeight w:val="360"/>
          <w:jc w:val="center"/>
        </w:trPr>
        <w:tc>
          <w:tcPr>
            <w:tcW w:w="2875" w:type="dxa"/>
            <w:shd w:val="clear" w:color="auto" w:fill="auto"/>
            <w:vAlign w:val="center"/>
          </w:tcPr>
          <w:p w14:paraId="1523FD89" w14:textId="77777777" w:rsidR="00A367F0" w:rsidRDefault="00A367F0" w:rsidP="00341EF0">
            <w:pPr>
              <w:pStyle w:val="ExhibitText"/>
              <w:jc w:val="left"/>
            </w:pPr>
            <w:r w:rsidRPr="00E855CA">
              <w:t>Marsh</w:t>
            </w:r>
            <w:r>
              <w:t xml:space="preserve"> and McLennan Companies </w:t>
            </w:r>
            <w:r w:rsidRPr="00E855CA">
              <w:t>BPO,</w:t>
            </w:r>
          </w:p>
          <w:p w14:paraId="20C22E37" w14:textId="77777777" w:rsidR="00A367F0" w:rsidRPr="00E855CA" w:rsidRDefault="00A367F0" w:rsidP="00341EF0">
            <w:pPr>
              <w:pStyle w:val="ExhibitText"/>
              <w:jc w:val="left"/>
            </w:pPr>
            <w:r>
              <w:t>United States</w:t>
            </w:r>
          </w:p>
        </w:tc>
        <w:tc>
          <w:tcPr>
            <w:tcW w:w="3780" w:type="dxa"/>
            <w:shd w:val="clear" w:color="auto" w:fill="auto"/>
            <w:vAlign w:val="center"/>
          </w:tcPr>
          <w:p w14:paraId="5473A55B" w14:textId="77777777" w:rsidR="00A367F0" w:rsidRPr="00E855CA" w:rsidRDefault="00A367F0" w:rsidP="00341EF0">
            <w:pPr>
              <w:pStyle w:val="ExhibitText"/>
              <w:jc w:val="left"/>
            </w:pPr>
            <w:r w:rsidRPr="00E855CA">
              <w:t>Group life insurance platform</w:t>
            </w:r>
            <w:r>
              <w:t xml:space="preserve"> for claims processing, call centre, and accounting units</w:t>
            </w:r>
          </w:p>
        </w:tc>
        <w:tc>
          <w:tcPr>
            <w:tcW w:w="1710" w:type="dxa"/>
            <w:shd w:val="clear" w:color="auto" w:fill="auto"/>
            <w:vAlign w:val="center"/>
          </w:tcPr>
          <w:p w14:paraId="739B88CB" w14:textId="77777777" w:rsidR="00A367F0" w:rsidRPr="00E855CA" w:rsidRDefault="00A367F0" w:rsidP="00341EF0">
            <w:pPr>
              <w:pStyle w:val="ExhibitText"/>
              <w:jc w:val="center"/>
            </w:pPr>
            <w:r w:rsidRPr="00E855CA">
              <w:t>Not Disclosed</w:t>
            </w:r>
          </w:p>
        </w:tc>
        <w:tc>
          <w:tcPr>
            <w:tcW w:w="985" w:type="dxa"/>
            <w:shd w:val="clear" w:color="auto" w:fill="auto"/>
            <w:vAlign w:val="center"/>
          </w:tcPr>
          <w:p w14:paraId="30DBD3CD" w14:textId="77777777" w:rsidR="00A367F0" w:rsidRPr="00E855CA" w:rsidRDefault="00A367F0" w:rsidP="00341EF0">
            <w:pPr>
              <w:pStyle w:val="ExhibitText"/>
              <w:jc w:val="center"/>
            </w:pPr>
            <w:r w:rsidRPr="00E855CA">
              <w:t>2012</w:t>
            </w:r>
          </w:p>
        </w:tc>
      </w:tr>
      <w:tr w:rsidR="00A367F0" w:rsidRPr="007C3253" w14:paraId="0BD2FB1B" w14:textId="77777777" w:rsidTr="00341EF0">
        <w:trPr>
          <w:trHeight w:val="360"/>
          <w:jc w:val="center"/>
        </w:trPr>
        <w:tc>
          <w:tcPr>
            <w:tcW w:w="2875" w:type="dxa"/>
            <w:shd w:val="clear" w:color="auto" w:fill="auto"/>
            <w:vAlign w:val="center"/>
          </w:tcPr>
          <w:p w14:paraId="02AB69C3" w14:textId="77777777" w:rsidR="00A367F0" w:rsidRDefault="00A367F0" w:rsidP="00341EF0">
            <w:pPr>
              <w:pStyle w:val="ExhibitText"/>
              <w:jc w:val="left"/>
            </w:pPr>
            <w:r w:rsidRPr="00E855CA">
              <w:t>Panaya,</w:t>
            </w:r>
          </w:p>
          <w:p w14:paraId="050500D6" w14:textId="77777777" w:rsidR="00A367F0" w:rsidRPr="00E855CA" w:rsidRDefault="00A367F0" w:rsidP="00341EF0">
            <w:pPr>
              <w:pStyle w:val="ExhibitText"/>
              <w:jc w:val="left"/>
            </w:pPr>
            <w:r w:rsidRPr="00E855CA">
              <w:t>Israel</w:t>
            </w:r>
          </w:p>
        </w:tc>
        <w:tc>
          <w:tcPr>
            <w:tcW w:w="3780" w:type="dxa"/>
            <w:shd w:val="clear" w:color="auto" w:fill="auto"/>
            <w:vAlign w:val="center"/>
          </w:tcPr>
          <w:p w14:paraId="2BFDBE8E" w14:textId="77777777" w:rsidR="00A367F0" w:rsidRPr="00E855CA" w:rsidRDefault="00A367F0" w:rsidP="00341EF0">
            <w:pPr>
              <w:pStyle w:val="ExhibitText"/>
              <w:jc w:val="left"/>
            </w:pPr>
            <w:r w:rsidRPr="00E855CA">
              <w:t xml:space="preserve">Provider of </w:t>
            </w:r>
            <w:r>
              <w:t>a</w:t>
            </w:r>
            <w:r w:rsidRPr="00E855CA">
              <w:t xml:space="preserve">utomation </w:t>
            </w:r>
            <w:r>
              <w:t>s</w:t>
            </w:r>
            <w:r w:rsidRPr="00E855CA">
              <w:t>olutions</w:t>
            </w:r>
            <w:r>
              <w:t>; e</w:t>
            </w:r>
            <w:r w:rsidRPr="00E855CA">
              <w:t xml:space="preserve">nterprise resource planning software </w:t>
            </w:r>
            <w:r>
              <w:t>c</w:t>
            </w:r>
            <w:r w:rsidRPr="00E855CA">
              <w:t>ompany</w:t>
            </w:r>
          </w:p>
        </w:tc>
        <w:tc>
          <w:tcPr>
            <w:tcW w:w="1710" w:type="dxa"/>
            <w:shd w:val="clear" w:color="auto" w:fill="auto"/>
            <w:vAlign w:val="center"/>
          </w:tcPr>
          <w:p w14:paraId="40840985" w14:textId="77777777" w:rsidR="00A367F0" w:rsidRPr="00E855CA" w:rsidRDefault="00A367F0" w:rsidP="00341EF0">
            <w:pPr>
              <w:pStyle w:val="ExhibitText"/>
              <w:ind w:right="360"/>
              <w:jc w:val="right"/>
            </w:pPr>
            <w:r w:rsidRPr="00E855CA">
              <w:t>200</w:t>
            </w:r>
            <w:r>
              <w:t>.00</w:t>
            </w:r>
          </w:p>
          <w:p w14:paraId="246E09E6" w14:textId="77777777" w:rsidR="00A367F0" w:rsidRPr="00E855CA" w:rsidRDefault="00A367F0" w:rsidP="00341EF0">
            <w:pPr>
              <w:pStyle w:val="ExhibitText"/>
              <w:ind w:right="360"/>
              <w:jc w:val="right"/>
            </w:pPr>
          </w:p>
        </w:tc>
        <w:tc>
          <w:tcPr>
            <w:tcW w:w="985" w:type="dxa"/>
            <w:shd w:val="clear" w:color="auto" w:fill="auto"/>
            <w:vAlign w:val="center"/>
          </w:tcPr>
          <w:p w14:paraId="2C7E7ECB" w14:textId="77777777" w:rsidR="00A367F0" w:rsidRPr="00E855CA" w:rsidRDefault="00A367F0" w:rsidP="00341EF0">
            <w:pPr>
              <w:pStyle w:val="ExhibitText"/>
              <w:jc w:val="center"/>
            </w:pPr>
            <w:r w:rsidRPr="00E855CA">
              <w:t>2015</w:t>
            </w:r>
          </w:p>
        </w:tc>
      </w:tr>
      <w:tr w:rsidR="00A367F0" w:rsidRPr="007C3253" w14:paraId="425ACFA1" w14:textId="77777777" w:rsidTr="00341EF0">
        <w:trPr>
          <w:trHeight w:val="360"/>
          <w:jc w:val="center"/>
        </w:trPr>
        <w:tc>
          <w:tcPr>
            <w:tcW w:w="2875" w:type="dxa"/>
            <w:shd w:val="clear" w:color="auto" w:fill="auto"/>
            <w:vAlign w:val="center"/>
          </w:tcPr>
          <w:p w14:paraId="37F7E79E" w14:textId="77777777" w:rsidR="00A367F0" w:rsidRDefault="00A367F0" w:rsidP="00341EF0">
            <w:pPr>
              <w:pStyle w:val="ExhibitText"/>
              <w:jc w:val="left"/>
            </w:pPr>
            <w:r w:rsidRPr="00E855CA">
              <w:t xml:space="preserve">Kallidus </w:t>
            </w:r>
            <w:r>
              <w:t xml:space="preserve">Inc. </w:t>
            </w:r>
            <w:r w:rsidRPr="00E855CA">
              <w:t>(Skava),</w:t>
            </w:r>
          </w:p>
          <w:p w14:paraId="3C7D63B4" w14:textId="77777777" w:rsidR="00A367F0" w:rsidRPr="00E855CA" w:rsidRDefault="00A367F0" w:rsidP="00341EF0">
            <w:pPr>
              <w:pStyle w:val="ExhibitText"/>
              <w:jc w:val="left"/>
            </w:pPr>
            <w:r>
              <w:t>United States</w:t>
            </w:r>
          </w:p>
        </w:tc>
        <w:tc>
          <w:tcPr>
            <w:tcW w:w="3780" w:type="dxa"/>
            <w:shd w:val="clear" w:color="auto" w:fill="auto"/>
            <w:vAlign w:val="center"/>
          </w:tcPr>
          <w:p w14:paraId="3166B8EC" w14:textId="77777777" w:rsidR="00A367F0" w:rsidRPr="00E855CA" w:rsidRDefault="00A367F0" w:rsidP="00341EF0">
            <w:pPr>
              <w:pStyle w:val="ExhibitText"/>
              <w:jc w:val="left"/>
            </w:pPr>
            <w:r>
              <w:t>Mobile d</w:t>
            </w:r>
            <w:r w:rsidRPr="00E855CA">
              <w:t>igital</w:t>
            </w:r>
            <w:r>
              <w:t xml:space="preserve"> </w:t>
            </w:r>
            <w:r w:rsidRPr="00E855CA">
              <w:t>commerce solutions</w:t>
            </w:r>
          </w:p>
        </w:tc>
        <w:tc>
          <w:tcPr>
            <w:tcW w:w="1710" w:type="dxa"/>
            <w:shd w:val="clear" w:color="auto" w:fill="auto"/>
            <w:vAlign w:val="center"/>
          </w:tcPr>
          <w:p w14:paraId="4CD108FB" w14:textId="77777777" w:rsidR="00A367F0" w:rsidRPr="00E855CA" w:rsidRDefault="00A367F0" w:rsidP="00341EF0">
            <w:pPr>
              <w:pStyle w:val="ExhibitText"/>
              <w:ind w:right="360"/>
              <w:jc w:val="right"/>
            </w:pPr>
            <w:r w:rsidRPr="00E855CA">
              <w:t>120</w:t>
            </w:r>
            <w:r>
              <w:t>.00</w:t>
            </w:r>
          </w:p>
          <w:p w14:paraId="0A525775" w14:textId="77777777" w:rsidR="00A367F0" w:rsidRPr="00E855CA" w:rsidRDefault="00A367F0" w:rsidP="00341EF0">
            <w:pPr>
              <w:pStyle w:val="ExhibitText"/>
              <w:ind w:right="360"/>
              <w:jc w:val="right"/>
            </w:pPr>
          </w:p>
        </w:tc>
        <w:tc>
          <w:tcPr>
            <w:tcW w:w="985" w:type="dxa"/>
            <w:shd w:val="clear" w:color="auto" w:fill="auto"/>
            <w:vAlign w:val="center"/>
          </w:tcPr>
          <w:p w14:paraId="13F1E7EB" w14:textId="77777777" w:rsidR="00A367F0" w:rsidRPr="00E855CA" w:rsidRDefault="00A367F0" w:rsidP="00341EF0">
            <w:pPr>
              <w:pStyle w:val="ExhibitText"/>
              <w:jc w:val="center"/>
            </w:pPr>
            <w:r w:rsidRPr="00E855CA">
              <w:t>2015</w:t>
            </w:r>
          </w:p>
        </w:tc>
      </w:tr>
      <w:tr w:rsidR="00A367F0" w:rsidRPr="007C3253" w14:paraId="1274ED9F" w14:textId="77777777" w:rsidTr="00341EF0">
        <w:trPr>
          <w:trHeight w:val="360"/>
          <w:jc w:val="center"/>
        </w:trPr>
        <w:tc>
          <w:tcPr>
            <w:tcW w:w="2875" w:type="dxa"/>
            <w:shd w:val="clear" w:color="auto" w:fill="auto"/>
            <w:vAlign w:val="center"/>
          </w:tcPr>
          <w:p w14:paraId="30DC223D" w14:textId="77777777" w:rsidR="00A367F0" w:rsidRDefault="00A367F0" w:rsidP="00341EF0">
            <w:pPr>
              <w:pStyle w:val="ExhibitText"/>
              <w:jc w:val="left"/>
            </w:pPr>
            <w:r w:rsidRPr="00E855CA">
              <w:t>Noah Consulting LLC,</w:t>
            </w:r>
          </w:p>
          <w:p w14:paraId="081A5455" w14:textId="77777777" w:rsidR="00A367F0" w:rsidRPr="00E855CA" w:rsidRDefault="00A367F0" w:rsidP="00341EF0">
            <w:pPr>
              <w:pStyle w:val="ExhibitText"/>
              <w:jc w:val="left"/>
            </w:pPr>
            <w:r>
              <w:t>United States</w:t>
            </w:r>
          </w:p>
        </w:tc>
        <w:tc>
          <w:tcPr>
            <w:tcW w:w="3780" w:type="dxa"/>
            <w:shd w:val="clear" w:color="auto" w:fill="auto"/>
            <w:vAlign w:val="center"/>
          </w:tcPr>
          <w:p w14:paraId="7521F002" w14:textId="1E3FC6ED" w:rsidR="00A367F0" w:rsidRPr="00E855CA" w:rsidRDefault="00A367F0" w:rsidP="00E647EB">
            <w:pPr>
              <w:pStyle w:val="ExhibitText"/>
              <w:jc w:val="left"/>
            </w:pPr>
            <w:r w:rsidRPr="00E855CA">
              <w:t xml:space="preserve">Information </w:t>
            </w:r>
            <w:r>
              <w:t>m</w:t>
            </w:r>
            <w:r w:rsidRPr="00E855CA">
              <w:t xml:space="preserve">anagement </w:t>
            </w:r>
            <w:r w:rsidR="00E647EB">
              <w:t>c</w:t>
            </w:r>
            <w:r w:rsidRPr="00E855CA">
              <w:t xml:space="preserve">onsulting services to </w:t>
            </w:r>
            <w:r>
              <w:t>o</w:t>
            </w:r>
            <w:r w:rsidRPr="00E855CA">
              <w:t xml:space="preserve">il </w:t>
            </w:r>
            <w:r>
              <w:t>and g</w:t>
            </w:r>
            <w:r w:rsidRPr="00E855CA">
              <w:t>as industry</w:t>
            </w:r>
          </w:p>
        </w:tc>
        <w:tc>
          <w:tcPr>
            <w:tcW w:w="1710" w:type="dxa"/>
            <w:shd w:val="clear" w:color="auto" w:fill="auto"/>
            <w:vAlign w:val="center"/>
          </w:tcPr>
          <w:p w14:paraId="3201603C" w14:textId="77777777" w:rsidR="00A367F0" w:rsidRPr="00E855CA" w:rsidRDefault="00A367F0" w:rsidP="00341EF0">
            <w:pPr>
              <w:pStyle w:val="ExhibitText"/>
              <w:ind w:right="360"/>
              <w:jc w:val="right"/>
            </w:pPr>
            <w:r w:rsidRPr="00E855CA">
              <w:t>70</w:t>
            </w:r>
            <w:r>
              <w:t>.00</w:t>
            </w:r>
          </w:p>
        </w:tc>
        <w:tc>
          <w:tcPr>
            <w:tcW w:w="985" w:type="dxa"/>
            <w:shd w:val="clear" w:color="auto" w:fill="auto"/>
            <w:vAlign w:val="center"/>
          </w:tcPr>
          <w:p w14:paraId="79D599A9" w14:textId="77777777" w:rsidR="00A367F0" w:rsidRPr="00E855CA" w:rsidRDefault="00A367F0" w:rsidP="00341EF0">
            <w:pPr>
              <w:pStyle w:val="ExhibitText"/>
              <w:jc w:val="center"/>
            </w:pPr>
            <w:r w:rsidRPr="00E855CA">
              <w:t>2015</w:t>
            </w:r>
          </w:p>
        </w:tc>
      </w:tr>
    </w:tbl>
    <w:p w14:paraId="2ACC9EBE" w14:textId="77777777" w:rsidR="00A367F0" w:rsidRPr="007C3253" w:rsidRDefault="00A367F0" w:rsidP="00824F98">
      <w:pPr>
        <w:pStyle w:val="ExhibitText"/>
      </w:pPr>
    </w:p>
    <w:p w14:paraId="06F2986C" w14:textId="77777777" w:rsidR="00A367F0" w:rsidRDefault="00A367F0" w:rsidP="00A367F0">
      <w:pPr>
        <w:pStyle w:val="Footnote"/>
      </w:pPr>
      <w:r>
        <w:t>Note: BPO = business process outsourcing.</w:t>
      </w:r>
    </w:p>
    <w:p w14:paraId="23CE1FF5" w14:textId="77777777" w:rsidR="00A367F0" w:rsidRDefault="00A367F0" w:rsidP="00A367F0">
      <w:pPr>
        <w:pStyle w:val="Footnote"/>
      </w:pPr>
    </w:p>
    <w:p w14:paraId="35ACC0BD" w14:textId="1DDF35BF" w:rsidR="00A367F0" w:rsidRDefault="00A367F0" w:rsidP="00A367F0">
      <w:pPr>
        <w:pStyle w:val="Footnote"/>
        <w:rPr>
          <w:lang w:val="en-CA"/>
        </w:rPr>
      </w:pPr>
      <w:r w:rsidRPr="007C3253">
        <w:t xml:space="preserve">Source: </w:t>
      </w:r>
      <w:r>
        <w:t xml:space="preserve">Created by the case authors based on “Acquiring Organization: Infosys,” Crunchbase, accessed November 24, 2017, </w:t>
      </w:r>
      <w:r w:rsidRPr="008D25CF">
        <w:t>www.crunchbase.com/organization/infosys/acquisitions</w:t>
      </w:r>
      <w:r>
        <w:t xml:space="preserve">; “About Us,” Infosys (website), accessed November 24, 2017, </w:t>
      </w:r>
      <w:r w:rsidRPr="008D25CF">
        <w:t>www.infosys.com/about/Pages/history.aspx</w:t>
      </w:r>
      <w:r>
        <w:t>.</w:t>
      </w:r>
    </w:p>
    <w:p w14:paraId="518E0EC0" w14:textId="77777777" w:rsidR="00923CE0" w:rsidRDefault="00923CE0" w:rsidP="00824F98">
      <w:pPr>
        <w:pStyle w:val="ExhibitText"/>
      </w:pPr>
      <w:r>
        <w:br w:type="page"/>
      </w:r>
    </w:p>
    <w:p w14:paraId="121F6913" w14:textId="171DB3DC" w:rsidR="00CE7AEC" w:rsidRDefault="00923CE0" w:rsidP="00682887">
      <w:pPr>
        <w:pStyle w:val="ExhibitHeading"/>
        <w:outlineLvl w:val="0"/>
      </w:pPr>
      <w:r w:rsidRPr="00E855CA">
        <w:rPr>
          <w:color w:val="000000"/>
        </w:rPr>
        <w:lastRenderedPageBreak/>
        <w:t>Exhibit 2</w:t>
      </w:r>
      <w:r>
        <w:rPr>
          <w:color w:val="000000"/>
        </w:rPr>
        <w:t xml:space="preserve">: </w:t>
      </w:r>
      <w:r w:rsidRPr="007C3253">
        <w:t xml:space="preserve">Infosys </w:t>
      </w:r>
      <w:r w:rsidR="00CE7AEC">
        <w:t>Limited Balance Sheet</w:t>
      </w:r>
    </w:p>
    <w:p w14:paraId="51D8AD92" w14:textId="648D6DB4" w:rsidR="00923CE0" w:rsidRPr="00923CE0" w:rsidRDefault="00923CE0" w:rsidP="00682887">
      <w:pPr>
        <w:pStyle w:val="ExhibitHeading"/>
        <w:outlineLvl w:val="0"/>
        <w:rPr>
          <w:color w:val="000000"/>
        </w:rPr>
      </w:pPr>
      <w:r w:rsidRPr="007C3253">
        <w:t>(</w:t>
      </w:r>
      <w:r>
        <w:t xml:space="preserve">in </w:t>
      </w:r>
      <w:r w:rsidR="00CE7AEC">
        <w:t xml:space="preserve">US$ </w:t>
      </w:r>
      <w:r w:rsidR="00BA1759">
        <w:t>’000</w:t>
      </w:r>
      <w:r w:rsidRPr="007C3253">
        <w:t>)</w:t>
      </w:r>
    </w:p>
    <w:p w14:paraId="0087A15F" w14:textId="77777777" w:rsidR="00923CE0" w:rsidRDefault="00923CE0" w:rsidP="00824F98">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154"/>
        <w:gridCol w:w="1154"/>
        <w:gridCol w:w="1154"/>
        <w:gridCol w:w="1154"/>
        <w:gridCol w:w="1154"/>
        <w:gridCol w:w="1155"/>
      </w:tblGrid>
      <w:tr w:rsidR="00CE7AEC" w:rsidRPr="00CE7AEC" w14:paraId="4789B309" w14:textId="77777777" w:rsidTr="00CE7AEC">
        <w:trPr>
          <w:trHeight w:val="259"/>
          <w:jc w:val="center"/>
        </w:trPr>
        <w:tc>
          <w:tcPr>
            <w:tcW w:w="2425" w:type="dxa"/>
            <w:shd w:val="clear" w:color="auto" w:fill="auto"/>
            <w:vAlign w:val="center"/>
          </w:tcPr>
          <w:p w14:paraId="6E465921" w14:textId="77777777" w:rsidR="00923CE0" w:rsidRPr="00824F98" w:rsidRDefault="00923CE0" w:rsidP="00CE7AEC">
            <w:pPr>
              <w:pStyle w:val="ExhibitText"/>
              <w:jc w:val="left"/>
              <w:rPr>
                <w:b/>
                <w:sz w:val="18"/>
                <w:szCs w:val="18"/>
              </w:rPr>
            </w:pPr>
          </w:p>
        </w:tc>
        <w:tc>
          <w:tcPr>
            <w:tcW w:w="1154" w:type="dxa"/>
            <w:shd w:val="clear" w:color="auto" w:fill="auto"/>
            <w:vAlign w:val="center"/>
          </w:tcPr>
          <w:p w14:paraId="1BD639DB" w14:textId="77777777" w:rsidR="00923CE0" w:rsidRPr="00824F98" w:rsidRDefault="00923CE0" w:rsidP="00CE7AEC">
            <w:pPr>
              <w:pStyle w:val="ExhibitText"/>
              <w:jc w:val="center"/>
              <w:rPr>
                <w:b/>
                <w:sz w:val="18"/>
                <w:szCs w:val="18"/>
              </w:rPr>
            </w:pPr>
            <w:r w:rsidRPr="00824F98">
              <w:rPr>
                <w:b/>
                <w:sz w:val="18"/>
                <w:szCs w:val="18"/>
              </w:rPr>
              <w:t>2011</w:t>
            </w:r>
          </w:p>
        </w:tc>
        <w:tc>
          <w:tcPr>
            <w:tcW w:w="1154" w:type="dxa"/>
            <w:shd w:val="clear" w:color="auto" w:fill="auto"/>
            <w:vAlign w:val="center"/>
          </w:tcPr>
          <w:p w14:paraId="0476571C" w14:textId="77777777" w:rsidR="00923CE0" w:rsidRPr="00824F98" w:rsidRDefault="00923CE0" w:rsidP="00CE7AEC">
            <w:pPr>
              <w:pStyle w:val="ExhibitText"/>
              <w:jc w:val="center"/>
              <w:rPr>
                <w:b/>
                <w:sz w:val="18"/>
                <w:szCs w:val="18"/>
              </w:rPr>
            </w:pPr>
            <w:r w:rsidRPr="00824F98">
              <w:rPr>
                <w:b/>
                <w:sz w:val="18"/>
                <w:szCs w:val="18"/>
              </w:rPr>
              <w:t>2012</w:t>
            </w:r>
          </w:p>
        </w:tc>
        <w:tc>
          <w:tcPr>
            <w:tcW w:w="1154" w:type="dxa"/>
            <w:shd w:val="clear" w:color="auto" w:fill="auto"/>
            <w:vAlign w:val="center"/>
          </w:tcPr>
          <w:p w14:paraId="4AF88AC3" w14:textId="77777777" w:rsidR="00923CE0" w:rsidRPr="00824F98" w:rsidRDefault="00923CE0" w:rsidP="00CE7AEC">
            <w:pPr>
              <w:pStyle w:val="ExhibitText"/>
              <w:jc w:val="center"/>
              <w:rPr>
                <w:b/>
                <w:sz w:val="18"/>
                <w:szCs w:val="18"/>
              </w:rPr>
            </w:pPr>
            <w:r w:rsidRPr="00824F98">
              <w:rPr>
                <w:b/>
                <w:sz w:val="18"/>
                <w:szCs w:val="18"/>
              </w:rPr>
              <w:t>2013</w:t>
            </w:r>
          </w:p>
        </w:tc>
        <w:tc>
          <w:tcPr>
            <w:tcW w:w="1154" w:type="dxa"/>
            <w:shd w:val="clear" w:color="auto" w:fill="auto"/>
            <w:vAlign w:val="center"/>
          </w:tcPr>
          <w:p w14:paraId="3BF04085" w14:textId="77777777" w:rsidR="00923CE0" w:rsidRPr="00824F98" w:rsidRDefault="00923CE0" w:rsidP="00CE7AEC">
            <w:pPr>
              <w:pStyle w:val="ExhibitText"/>
              <w:jc w:val="center"/>
              <w:rPr>
                <w:b/>
                <w:sz w:val="18"/>
                <w:szCs w:val="18"/>
              </w:rPr>
            </w:pPr>
            <w:r w:rsidRPr="00824F98">
              <w:rPr>
                <w:b/>
                <w:sz w:val="18"/>
                <w:szCs w:val="18"/>
              </w:rPr>
              <w:t>2014</w:t>
            </w:r>
          </w:p>
        </w:tc>
        <w:tc>
          <w:tcPr>
            <w:tcW w:w="1154" w:type="dxa"/>
            <w:shd w:val="clear" w:color="auto" w:fill="auto"/>
            <w:vAlign w:val="center"/>
          </w:tcPr>
          <w:p w14:paraId="0AE7F474" w14:textId="77777777" w:rsidR="00923CE0" w:rsidRPr="00824F98" w:rsidRDefault="00923CE0" w:rsidP="00CE7AEC">
            <w:pPr>
              <w:pStyle w:val="ExhibitText"/>
              <w:jc w:val="center"/>
              <w:rPr>
                <w:b/>
                <w:sz w:val="18"/>
                <w:szCs w:val="18"/>
              </w:rPr>
            </w:pPr>
            <w:r w:rsidRPr="00824F98">
              <w:rPr>
                <w:b/>
                <w:sz w:val="18"/>
                <w:szCs w:val="18"/>
              </w:rPr>
              <w:t>2015</w:t>
            </w:r>
          </w:p>
        </w:tc>
        <w:tc>
          <w:tcPr>
            <w:tcW w:w="1155" w:type="dxa"/>
            <w:shd w:val="clear" w:color="auto" w:fill="auto"/>
            <w:vAlign w:val="center"/>
          </w:tcPr>
          <w:p w14:paraId="7F99BA36" w14:textId="77777777" w:rsidR="00923CE0" w:rsidRPr="00824F98" w:rsidRDefault="00923CE0" w:rsidP="00CE7AEC">
            <w:pPr>
              <w:pStyle w:val="ExhibitText"/>
              <w:jc w:val="center"/>
              <w:rPr>
                <w:b/>
                <w:sz w:val="18"/>
                <w:szCs w:val="18"/>
              </w:rPr>
            </w:pPr>
            <w:r w:rsidRPr="00824F98">
              <w:rPr>
                <w:b/>
                <w:sz w:val="18"/>
                <w:szCs w:val="18"/>
              </w:rPr>
              <w:t>2016</w:t>
            </w:r>
          </w:p>
        </w:tc>
      </w:tr>
      <w:tr w:rsidR="00923CE0" w:rsidRPr="00CE7AEC" w14:paraId="6CD38D0C" w14:textId="77777777" w:rsidTr="00CE7AEC">
        <w:trPr>
          <w:trHeight w:val="259"/>
          <w:jc w:val="center"/>
        </w:trPr>
        <w:tc>
          <w:tcPr>
            <w:tcW w:w="9350" w:type="dxa"/>
            <w:gridSpan w:val="7"/>
            <w:shd w:val="clear" w:color="auto" w:fill="auto"/>
            <w:vAlign w:val="center"/>
          </w:tcPr>
          <w:p w14:paraId="08A63F35" w14:textId="3DADBF04" w:rsidR="00923CE0" w:rsidRPr="00824F98" w:rsidRDefault="002F3E1B" w:rsidP="00CE7AEC">
            <w:pPr>
              <w:pStyle w:val="ExhibitText"/>
              <w:jc w:val="left"/>
              <w:rPr>
                <w:b/>
                <w:sz w:val="18"/>
                <w:szCs w:val="18"/>
              </w:rPr>
            </w:pPr>
            <w:r w:rsidRPr="002F3E1B">
              <w:rPr>
                <w:b/>
                <w:sz w:val="18"/>
                <w:szCs w:val="18"/>
              </w:rPr>
              <w:t>EQUITY &amp; LIABILITIES</w:t>
            </w:r>
          </w:p>
        </w:tc>
      </w:tr>
      <w:tr w:rsidR="002F3E1B" w:rsidRPr="002F3E1B" w14:paraId="51B027EC" w14:textId="77777777" w:rsidTr="00CE7AEC">
        <w:trPr>
          <w:trHeight w:val="259"/>
          <w:jc w:val="center"/>
        </w:trPr>
        <w:tc>
          <w:tcPr>
            <w:tcW w:w="9350" w:type="dxa"/>
            <w:gridSpan w:val="7"/>
            <w:shd w:val="clear" w:color="auto" w:fill="auto"/>
            <w:vAlign w:val="center"/>
          </w:tcPr>
          <w:p w14:paraId="6F2DF8D6" w14:textId="15FB2A18" w:rsidR="002F3E1B" w:rsidRPr="002F3E1B" w:rsidRDefault="002F3E1B" w:rsidP="00CE7AEC">
            <w:pPr>
              <w:pStyle w:val="ExhibitText"/>
              <w:jc w:val="left"/>
              <w:rPr>
                <w:b/>
                <w:sz w:val="18"/>
                <w:szCs w:val="18"/>
              </w:rPr>
            </w:pPr>
            <w:r>
              <w:rPr>
                <w:b/>
                <w:sz w:val="18"/>
                <w:szCs w:val="18"/>
              </w:rPr>
              <w:t>Shareholders</w:t>
            </w:r>
          </w:p>
        </w:tc>
      </w:tr>
      <w:tr w:rsidR="00CE7AEC" w:rsidRPr="00CE7AEC" w14:paraId="04E1ECB8" w14:textId="77777777" w:rsidTr="00CE7AEC">
        <w:trPr>
          <w:trHeight w:val="259"/>
          <w:jc w:val="center"/>
        </w:trPr>
        <w:tc>
          <w:tcPr>
            <w:tcW w:w="2425" w:type="dxa"/>
            <w:shd w:val="clear" w:color="auto" w:fill="auto"/>
            <w:vAlign w:val="center"/>
          </w:tcPr>
          <w:p w14:paraId="45A71885" w14:textId="38CB3A17" w:rsidR="00267781" w:rsidRPr="00CE7AEC" w:rsidRDefault="00267781" w:rsidP="00CE7AEC">
            <w:pPr>
              <w:pStyle w:val="ExhibitText"/>
              <w:jc w:val="left"/>
              <w:rPr>
                <w:sz w:val="18"/>
                <w:szCs w:val="18"/>
              </w:rPr>
            </w:pPr>
            <w:r w:rsidRPr="00CE7AEC">
              <w:rPr>
                <w:sz w:val="18"/>
                <w:szCs w:val="18"/>
              </w:rPr>
              <w:t>Share Capital</w:t>
            </w:r>
          </w:p>
        </w:tc>
        <w:tc>
          <w:tcPr>
            <w:tcW w:w="1154" w:type="dxa"/>
            <w:shd w:val="clear" w:color="auto" w:fill="auto"/>
            <w:vAlign w:val="center"/>
          </w:tcPr>
          <w:p w14:paraId="36648075" w14:textId="6EA89F50" w:rsidR="00267781" w:rsidRPr="00CE7AEC" w:rsidRDefault="00267781" w:rsidP="00CE7AEC">
            <w:pPr>
              <w:pStyle w:val="ExhibitText"/>
              <w:jc w:val="right"/>
              <w:rPr>
                <w:sz w:val="18"/>
                <w:szCs w:val="18"/>
              </w:rPr>
            </w:pPr>
            <w:r w:rsidRPr="00CE7AEC">
              <w:rPr>
                <w:sz w:val="18"/>
                <w:szCs w:val="18"/>
              </w:rPr>
              <w:t xml:space="preserve"> 44,154 </w:t>
            </w:r>
          </w:p>
        </w:tc>
        <w:tc>
          <w:tcPr>
            <w:tcW w:w="1154" w:type="dxa"/>
            <w:shd w:val="clear" w:color="auto" w:fill="auto"/>
            <w:vAlign w:val="center"/>
          </w:tcPr>
          <w:p w14:paraId="48A0CFB0" w14:textId="24B8398B" w:rsidR="00267781" w:rsidRPr="00CE7AEC" w:rsidRDefault="00267781" w:rsidP="00CE7AEC">
            <w:pPr>
              <w:pStyle w:val="ExhibitText"/>
              <w:jc w:val="right"/>
              <w:rPr>
                <w:sz w:val="18"/>
                <w:szCs w:val="18"/>
              </w:rPr>
            </w:pPr>
            <w:r w:rsidRPr="00CE7AEC">
              <w:rPr>
                <w:sz w:val="18"/>
                <w:szCs w:val="18"/>
              </w:rPr>
              <w:t xml:space="preserve"> 44,154 </w:t>
            </w:r>
          </w:p>
        </w:tc>
        <w:tc>
          <w:tcPr>
            <w:tcW w:w="1154" w:type="dxa"/>
            <w:shd w:val="clear" w:color="auto" w:fill="auto"/>
            <w:vAlign w:val="center"/>
          </w:tcPr>
          <w:p w14:paraId="5C4C5BD7" w14:textId="537F1071" w:rsidR="00267781" w:rsidRPr="00CE7AEC" w:rsidRDefault="00267781" w:rsidP="00CE7AEC">
            <w:pPr>
              <w:pStyle w:val="ExhibitText"/>
              <w:jc w:val="right"/>
              <w:rPr>
                <w:sz w:val="18"/>
                <w:szCs w:val="18"/>
              </w:rPr>
            </w:pPr>
            <w:r w:rsidRPr="00CE7AEC">
              <w:rPr>
                <w:sz w:val="18"/>
                <w:szCs w:val="18"/>
              </w:rPr>
              <w:t xml:space="preserve"> 44,154 </w:t>
            </w:r>
          </w:p>
        </w:tc>
        <w:tc>
          <w:tcPr>
            <w:tcW w:w="1154" w:type="dxa"/>
            <w:shd w:val="clear" w:color="auto" w:fill="auto"/>
            <w:vAlign w:val="center"/>
          </w:tcPr>
          <w:p w14:paraId="786C3D30" w14:textId="2CD1652F" w:rsidR="00267781" w:rsidRPr="00CE7AEC" w:rsidRDefault="00267781" w:rsidP="00CE7AEC">
            <w:pPr>
              <w:pStyle w:val="ExhibitText"/>
              <w:jc w:val="right"/>
              <w:rPr>
                <w:sz w:val="18"/>
                <w:szCs w:val="18"/>
              </w:rPr>
            </w:pPr>
            <w:r w:rsidRPr="00CE7AEC">
              <w:rPr>
                <w:sz w:val="18"/>
                <w:szCs w:val="18"/>
              </w:rPr>
              <w:t xml:space="preserve"> 44,000 </w:t>
            </w:r>
          </w:p>
        </w:tc>
        <w:tc>
          <w:tcPr>
            <w:tcW w:w="1154" w:type="dxa"/>
            <w:shd w:val="clear" w:color="auto" w:fill="auto"/>
            <w:vAlign w:val="center"/>
          </w:tcPr>
          <w:p w14:paraId="6B7464D4" w14:textId="0757EDE6" w:rsidR="00267781" w:rsidRPr="00CE7AEC" w:rsidRDefault="00267781" w:rsidP="00CE7AEC">
            <w:pPr>
              <w:pStyle w:val="ExhibitText"/>
              <w:jc w:val="right"/>
              <w:rPr>
                <w:sz w:val="18"/>
                <w:szCs w:val="18"/>
              </w:rPr>
            </w:pPr>
            <w:r w:rsidRPr="00CE7AEC">
              <w:rPr>
                <w:sz w:val="18"/>
                <w:szCs w:val="18"/>
              </w:rPr>
              <w:t xml:space="preserve"> 88,308 </w:t>
            </w:r>
          </w:p>
        </w:tc>
        <w:tc>
          <w:tcPr>
            <w:tcW w:w="1155" w:type="dxa"/>
            <w:shd w:val="clear" w:color="auto" w:fill="auto"/>
            <w:vAlign w:val="center"/>
          </w:tcPr>
          <w:p w14:paraId="6B4D05BC" w14:textId="41D06E08" w:rsidR="00267781" w:rsidRPr="00CE7AEC" w:rsidRDefault="00267781" w:rsidP="00CE7AEC">
            <w:pPr>
              <w:pStyle w:val="ExhibitText"/>
              <w:jc w:val="right"/>
              <w:rPr>
                <w:sz w:val="18"/>
                <w:szCs w:val="18"/>
              </w:rPr>
            </w:pPr>
            <w:r w:rsidRPr="00CE7AEC">
              <w:rPr>
                <w:sz w:val="18"/>
                <w:szCs w:val="18"/>
              </w:rPr>
              <w:t xml:space="preserve"> </w:t>
            </w:r>
            <w:r w:rsidR="003741D0" w:rsidRPr="00CE7AEC">
              <w:rPr>
                <w:sz w:val="18"/>
                <w:szCs w:val="18"/>
              </w:rPr>
              <w:t>1</w:t>
            </w:r>
            <w:r w:rsidRPr="00CE7AEC">
              <w:rPr>
                <w:sz w:val="18"/>
                <w:szCs w:val="18"/>
              </w:rPr>
              <w:t xml:space="preserve">76,615 </w:t>
            </w:r>
          </w:p>
        </w:tc>
      </w:tr>
      <w:tr w:rsidR="00CE7AEC" w:rsidRPr="00CE7AEC" w14:paraId="4955CC22" w14:textId="77777777" w:rsidTr="00CE7AEC">
        <w:trPr>
          <w:trHeight w:val="259"/>
          <w:jc w:val="center"/>
        </w:trPr>
        <w:tc>
          <w:tcPr>
            <w:tcW w:w="2425" w:type="dxa"/>
            <w:shd w:val="clear" w:color="auto" w:fill="auto"/>
            <w:vAlign w:val="center"/>
          </w:tcPr>
          <w:p w14:paraId="6A430637" w14:textId="77777777" w:rsidR="00267781" w:rsidRPr="00CE7AEC" w:rsidRDefault="00267781" w:rsidP="00CE7AEC">
            <w:pPr>
              <w:pStyle w:val="ExhibitText"/>
              <w:jc w:val="left"/>
              <w:rPr>
                <w:sz w:val="18"/>
                <w:szCs w:val="18"/>
              </w:rPr>
            </w:pPr>
            <w:r w:rsidRPr="00CE7AEC">
              <w:rPr>
                <w:sz w:val="18"/>
                <w:szCs w:val="18"/>
              </w:rPr>
              <w:t>Reserve &amp; Surplus</w:t>
            </w:r>
          </w:p>
        </w:tc>
        <w:tc>
          <w:tcPr>
            <w:tcW w:w="1154" w:type="dxa"/>
            <w:shd w:val="clear" w:color="auto" w:fill="auto"/>
            <w:vAlign w:val="center"/>
          </w:tcPr>
          <w:p w14:paraId="28524EBD" w14:textId="29C06D9C" w:rsidR="00267781" w:rsidRPr="00CE7AEC" w:rsidRDefault="003741D0" w:rsidP="00CE7AEC">
            <w:pPr>
              <w:pStyle w:val="ExhibitText"/>
              <w:jc w:val="right"/>
              <w:rPr>
                <w:sz w:val="18"/>
                <w:szCs w:val="18"/>
              </w:rPr>
            </w:pPr>
            <w:r w:rsidRPr="00CE7AEC">
              <w:rPr>
                <w:sz w:val="18"/>
                <w:szCs w:val="18"/>
              </w:rPr>
              <w:t xml:space="preserve"> 3,7</w:t>
            </w:r>
            <w:r w:rsidR="00267781" w:rsidRPr="00CE7AEC">
              <w:rPr>
                <w:sz w:val="18"/>
                <w:szCs w:val="18"/>
              </w:rPr>
              <w:t xml:space="preserve">25,231 </w:t>
            </w:r>
          </w:p>
        </w:tc>
        <w:tc>
          <w:tcPr>
            <w:tcW w:w="1154" w:type="dxa"/>
            <w:shd w:val="clear" w:color="auto" w:fill="auto"/>
            <w:vAlign w:val="center"/>
          </w:tcPr>
          <w:p w14:paraId="78A36B91" w14:textId="203911C6" w:rsidR="00267781" w:rsidRPr="00CE7AEC" w:rsidRDefault="003741D0" w:rsidP="00CE7AEC">
            <w:pPr>
              <w:pStyle w:val="ExhibitText"/>
              <w:jc w:val="right"/>
              <w:rPr>
                <w:sz w:val="18"/>
                <w:szCs w:val="18"/>
              </w:rPr>
            </w:pPr>
            <w:r w:rsidRPr="00CE7AEC">
              <w:rPr>
                <w:sz w:val="18"/>
                <w:szCs w:val="18"/>
              </w:rPr>
              <w:t xml:space="preserve"> 4,5</w:t>
            </w:r>
            <w:r w:rsidR="00267781" w:rsidRPr="00CE7AEC">
              <w:rPr>
                <w:sz w:val="18"/>
                <w:szCs w:val="18"/>
              </w:rPr>
              <w:t xml:space="preserve">33,846 </w:t>
            </w:r>
          </w:p>
        </w:tc>
        <w:tc>
          <w:tcPr>
            <w:tcW w:w="1154" w:type="dxa"/>
            <w:shd w:val="clear" w:color="auto" w:fill="auto"/>
            <w:vAlign w:val="center"/>
          </w:tcPr>
          <w:p w14:paraId="3062A1BF" w14:textId="190B6BEE" w:rsidR="00267781" w:rsidRPr="00CE7AEC" w:rsidRDefault="003741D0" w:rsidP="00CE7AEC">
            <w:pPr>
              <w:pStyle w:val="ExhibitText"/>
              <w:jc w:val="right"/>
              <w:rPr>
                <w:sz w:val="18"/>
                <w:szCs w:val="18"/>
              </w:rPr>
            </w:pPr>
            <w:r w:rsidRPr="00CE7AEC">
              <w:rPr>
                <w:sz w:val="18"/>
                <w:szCs w:val="18"/>
              </w:rPr>
              <w:t xml:space="preserve"> 5,5</w:t>
            </w:r>
            <w:r w:rsidR="00267781" w:rsidRPr="00CE7AEC">
              <w:rPr>
                <w:sz w:val="18"/>
                <w:szCs w:val="18"/>
              </w:rPr>
              <w:t xml:space="preserve">03,385 </w:t>
            </w:r>
          </w:p>
        </w:tc>
        <w:tc>
          <w:tcPr>
            <w:tcW w:w="1154" w:type="dxa"/>
            <w:shd w:val="clear" w:color="auto" w:fill="auto"/>
            <w:vAlign w:val="center"/>
          </w:tcPr>
          <w:p w14:paraId="52E3F0D4" w14:textId="6BE9620A" w:rsidR="00267781" w:rsidRPr="00CE7AEC" w:rsidRDefault="003741D0" w:rsidP="00CE7AEC">
            <w:pPr>
              <w:pStyle w:val="ExhibitText"/>
              <w:jc w:val="right"/>
              <w:rPr>
                <w:sz w:val="18"/>
                <w:szCs w:val="18"/>
              </w:rPr>
            </w:pPr>
            <w:r w:rsidRPr="00CE7AEC">
              <w:rPr>
                <w:sz w:val="18"/>
                <w:szCs w:val="18"/>
              </w:rPr>
              <w:t xml:space="preserve"> 6</w:t>
            </w:r>
            <w:r w:rsidR="00267781" w:rsidRPr="00CE7AEC">
              <w:rPr>
                <w:sz w:val="18"/>
                <w:szCs w:val="18"/>
              </w:rPr>
              <w:t xml:space="preserve">31,692 </w:t>
            </w:r>
          </w:p>
        </w:tc>
        <w:tc>
          <w:tcPr>
            <w:tcW w:w="1154" w:type="dxa"/>
            <w:shd w:val="clear" w:color="auto" w:fill="auto"/>
            <w:vAlign w:val="center"/>
          </w:tcPr>
          <w:p w14:paraId="0D9AEA0F" w14:textId="598F5F6D" w:rsidR="00267781" w:rsidRPr="00CE7AEC" w:rsidRDefault="003741D0" w:rsidP="00CE7AEC">
            <w:pPr>
              <w:pStyle w:val="ExhibitText"/>
              <w:jc w:val="right"/>
              <w:rPr>
                <w:sz w:val="18"/>
                <w:szCs w:val="18"/>
              </w:rPr>
            </w:pPr>
            <w:r w:rsidRPr="00CE7AEC">
              <w:rPr>
                <w:sz w:val="18"/>
                <w:szCs w:val="18"/>
              </w:rPr>
              <w:t xml:space="preserve"> 7,2</w:t>
            </w:r>
            <w:r w:rsidR="00267781" w:rsidRPr="00CE7AEC">
              <w:rPr>
                <w:sz w:val="18"/>
                <w:szCs w:val="18"/>
              </w:rPr>
              <w:t xml:space="preserve">92,923 </w:t>
            </w:r>
          </w:p>
        </w:tc>
        <w:tc>
          <w:tcPr>
            <w:tcW w:w="1155" w:type="dxa"/>
            <w:shd w:val="clear" w:color="auto" w:fill="auto"/>
            <w:vAlign w:val="center"/>
          </w:tcPr>
          <w:p w14:paraId="0B11EA4A" w14:textId="58B8E41C" w:rsidR="00267781" w:rsidRPr="00CE7AEC" w:rsidRDefault="003741D0" w:rsidP="00CE7AEC">
            <w:pPr>
              <w:pStyle w:val="ExhibitText"/>
              <w:jc w:val="right"/>
              <w:rPr>
                <w:sz w:val="18"/>
                <w:szCs w:val="18"/>
              </w:rPr>
            </w:pPr>
            <w:r w:rsidRPr="00CE7AEC">
              <w:rPr>
                <w:sz w:val="18"/>
                <w:szCs w:val="18"/>
              </w:rPr>
              <w:t xml:space="preserve"> 8,6</w:t>
            </w:r>
            <w:r w:rsidR="00267781" w:rsidRPr="00CE7AEC">
              <w:rPr>
                <w:sz w:val="18"/>
                <w:szCs w:val="18"/>
              </w:rPr>
              <w:t xml:space="preserve">16,769 </w:t>
            </w:r>
          </w:p>
        </w:tc>
      </w:tr>
      <w:tr w:rsidR="00CE7AEC" w:rsidRPr="00CE7AEC" w14:paraId="2790BB23" w14:textId="77777777" w:rsidTr="00CE7AEC">
        <w:trPr>
          <w:trHeight w:val="259"/>
          <w:jc w:val="center"/>
        </w:trPr>
        <w:tc>
          <w:tcPr>
            <w:tcW w:w="2425" w:type="dxa"/>
            <w:shd w:val="clear" w:color="auto" w:fill="auto"/>
            <w:vAlign w:val="center"/>
          </w:tcPr>
          <w:p w14:paraId="7B85177A" w14:textId="17DE5529" w:rsidR="00267781" w:rsidRPr="00824F98" w:rsidRDefault="00682887" w:rsidP="00CE7AEC">
            <w:pPr>
              <w:pStyle w:val="ExhibitText"/>
              <w:jc w:val="left"/>
              <w:rPr>
                <w:b/>
                <w:sz w:val="18"/>
                <w:szCs w:val="18"/>
              </w:rPr>
            </w:pPr>
            <w:r w:rsidRPr="00824F98">
              <w:rPr>
                <w:b/>
                <w:sz w:val="18"/>
                <w:szCs w:val="18"/>
              </w:rPr>
              <w:t xml:space="preserve"> </w:t>
            </w:r>
          </w:p>
        </w:tc>
        <w:tc>
          <w:tcPr>
            <w:tcW w:w="1154" w:type="dxa"/>
            <w:shd w:val="clear" w:color="auto" w:fill="auto"/>
            <w:vAlign w:val="center"/>
          </w:tcPr>
          <w:p w14:paraId="3BE2AF70" w14:textId="3CE1CDC4" w:rsidR="00267781" w:rsidRPr="00824F98" w:rsidRDefault="004E36BC" w:rsidP="00CE7AEC">
            <w:pPr>
              <w:pStyle w:val="ExhibitText"/>
              <w:jc w:val="right"/>
              <w:rPr>
                <w:b/>
                <w:sz w:val="18"/>
                <w:szCs w:val="18"/>
              </w:rPr>
            </w:pPr>
            <w:r>
              <w:rPr>
                <w:b/>
                <w:sz w:val="18"/>
                <w:szCs w:val="18"/>
              </w:rPr>
              <w:t xml:space="preserve"> </w:t>
            </w:r>
            <w:r w:rsidRPr="004E36BC">
              <w:rPr>
                <w:b/>
                <w:sz w:val="18"/>
                <w:szCs w:val="18"/>
              </w:rPr>
              <w:t>3</w:t>
            </w:r>
            <w:r>
              <w:rPr>
                <w:b/>
                <w:sz w:val="18"/>
                <w:szCs w:val="18"/>
              </w:rPr>
              <w:t>,</w:t>
            </w:r>
            <w:r w:rsidRPr="004E36BC">
              <w:rPr>
                <w:b/>
                <w:sz w:val="18"/>
                <w:szCs w:val="18"/>
              </w:rPr>
              <w:t>769</w:t>
            </w:r>
            <w:r>
              <w:rPr>
                <w:b/>
                <w:sz w:val="18"/>
                <w:szCs w:val="18"/>
              </w:rPr>
              <w:t>,</w:t>
            </w:r>
            <w:r w:rsidRPr="004E36BC">
              <w:rPr>
                <w:b/>
                <w:sz w:val="18"/>
                <w:szCs w:val="18"/>
              </w:rPr>
              <w:t>385</w:t>
            </w:r>
          </w:p>
        </w:tc>
        <w:tc>
          <w:tcPr>
            <w:tcW w:w="1154" w:type="dxa"/>
            <w:shd w:val="clear" w:color="auto" w:fill="auto"/>
            <w:vAlign w:val="center"/>
          </w:tcPr>
          <w:p w14:paraId="027128F1" w14:textId="3415984D" w:rsidR="00267781" w:rsidRPr="00824F98" w:rsidRDefault="004E36BC" w:rsidP="00CE7AEC">
            <w:pPr>
              <w:pStyle w:val="ExhibitText"/>
              <w:jc w:val="right"/>
              <w:rPr>
                <w:b/>
                <w:sz w:val="18"/>
                <w:szCs w:val="18"/>
              </w:rPr>
            </w:pPr>
            <w:r>
              <w:rPr>
                <w:b/>
                <w:sz w:val="18"/>
                <w:szCs w:val="18"/>
              </w:rPr>
              <w:t xml:space="preserve"> </w:t>
            </w:r>
            <w:r w:rsidRPr="004E36BC">
              <w:rPr>
                <w:b/>
                <w:sz w:val="18"/>
                <w:szCs w:val="18"/>
              </w:rPr>
              <w:t>4</w:t>
            </w:r>
            <w:r>
              <w:rPr>
                <w:b/>
                <w:sz w:val="18"/>
                <w:szCs w:val="18"/>
              </w:rPr>
              <w:t>,</w:t>
            </w:r>
            <w:r w:rsidRPr="004E36BC">
              <w:rPr>
                <w:b/>
                <w:sz w:val="18"/>
                <w:szCs w:val="18"/>
              </w:rPr>
              <w:t>578</w:t>
            </w:r>
            <w:r>
              <w:rPr>
                <w:b/>
                <w:sz w:val="18"/>
                <w:szCs w:val="18"/>
              </w:rPr>
              <w:t>,</w:t>
            </w:r>
            <w:r w:rsidRPr="004E36BC">
              <w:rPr>
                <w:b/>
                <w:sz w:val="18"/>
                <w:szCs w:val="18"/>
              </w:rPr>
              <w:t>000</w:t>
            </w:r>
            <w:r>
              <w:rPr>
                <w:b/>
                <w:sz w:val="18"/>
                <w:szCs w:val="18"/>
              </w:rPr>
              <w:t xml:space="preserve"> </w:t>
            </w:r>
          </w:p>
        </w:tc>
        <w:tc>
          <w:tcPr>
            <w:tcW w:w="1154" w:type="dxa"/>
            <w:shd w:val="clear" w:color="auto" w:fill="auto"/>
            <w:vAlign w:val="center"/>
          </w:tcPr>
          <w:p w14:paraId="4A3C6371" w14:textId="2F1F7F5D" w:rsidR="00267781" w:rsidRPr="00824F98" w:rsidRDefault="004E36BC" w:rsidP="00CE7AEC">
            <w:pPr>
              <w:pStyle w:val="ExhibitText"/>
              <w:jc w:val="right"/>
              <w:rPr>
                <w:b/>
                <w:sz w:val="18"/>
                <w:szCs w:val="18"/>
              </w:rPr>
            </w:pPr>
            <w:r>
              <w:rPr>
                <w:b/>
                <w:sz w:val="18"/>
                <w:szCs w:val="18"/>
              </w:rPr>
              <w:t xml:space="preserve"> </w:t>
            </w:r>
            <w:r w:rsidRPr="004E36BC">
              <w:rPr>
                <w:b/>
                <w:sz w:val="18"/>
                <w:szCs w:val="18"/>
              </w:rPr>
              <w:t>5</w:t>
            </w:r>
            <w:r>
              <w:rPr>
                <w:b/>
                <w:sz w:val="18"/>
                <w:szCs w:val="18"/>
              </w:rPr>
              <w:t>,</w:t>
            </w:r>
            <w:r w:rsidRPr="004E36BC">
              <w:rPr>
                <w:b/>
                <w:sz w:val="18"/>
                <w:szCs w:val="18"/>
              </w:rPr>
              <w:t>547</w:t>
            </w:r>
            <w:r>
              <w:rPr>
                <w:b/>
                <w:sz w:val="18"/>
                <w:szCs w:val="18"/>
              </w:rPr>
              <w:t>,</w:t>
            </w:r>
            <w:r w:rsidRPr="004E36BC">
              <w:rPr>
                <w:b/>
                <w:sz w:val="18"/>
                <w:szCs w:val="18"/>
              </w:rPr>
              <w:t>539</w:t>
            </w:r>
            <w:r>
              <w:rPr>
                <w:b/>
                <w:sz w:val="18"/>
                <w:szCs w:val="18"/>
              </w:rPr>
              <w:t xml:space="preserve"> </w:t>
            </w:r>
          </w:p>
        </w:tc>
        <w:tc>
          <w:tcPr>
            <w:tcW w:w="1154" w:type="dxa"/>
            <w:shd w:val="clear" w:color="auto" w:fill="auto"/>
            <w:vAlign w:val="center"/>
          </w:tcPr>
          <w:p w14:paraId="09BFC13F" w14:textId="5E2039FF" w:rsidR="00267781" w:rsidRPr="00824F98" w:rsidRDefault="004E36BC" w:rsidP="00CE7AEC">
            <w:pPr>
              <w:pStyle w:val="ExhibitText"/>
              <w:jc w:val="right"/>
              <w:rPr>
                <w:b/>
                <w:sz w:val="18"/>
                <w:szCs w:val="18"/>
              </w:rPr>
            </w:pPr>
            <w:r>
              <w:rPr>
                <w:b/>
                <w:sz w:val="18"/>
                <w:szCs w:val="18"/>
              </w:rPr>
              <w:t xml:space="preserve"> </w:t>
            </w:r>
            <w:r w:rsidRPr="004E36BC">
              <w:rPr>
                <w:b/>
                <w:sz w:val="18"/>
                <w:szCs w:val="18"/>
              </w:rPr>
              <w:t>675</w:t>
            </w:r>
            <w:r>
              <w:rPr>
                <w:b/>
                <w:sz w:val="18"/>
                <w:szCs w:val="18"/>
              </w:rPr>
              <w:t>,</w:t>
            </w:r>
            <w:r w:rsidRPr="004E36BC">
              <w:rPr>
                <w:b/>
                <w:sz w:val="18"/>
                <w:szCs w:val="18"/>
              </w:rPr>
              <w:t>692</w:t>
            </w:r>
          </w:p>
        </w:tc>
        <w:tc>
          <w:tcPr>
            <w:tcW w:w="1154" w:type="dxa"/>
            <w:shd w:val="clear" w:color="auto" w:fill="auto"/>
            <w:vAlign w:val="center"/>
          </w:tcPr>
          <w:p w14:paraId="1C65342D" w14:textId="59BB9203" w:rsidR="00267781" w:rsidRPr="00824F98" w:rsidRDefault="00332926" w:rsidP="00CE7AEC">
            <w:pPr>
              <w:pStyle w:val="ExhibitText"/>
              <w:jc w:val="right"/>
              <w:rPr>
                <w:b/>
                <w:sz w:val="18"/>
                <w:szCs w:val="18"/>
              </w:rPr>
            </w:pPr>
            <w:r>
              <w:rPr>
                <w:b/>
                <w:sz w:val="18"/>
                <w:szCs w:val="18"/>
              </w:rPr>
              <w:t xml:space="preserve"> </w:t>
            </w:r>
            <w:r w:rsidRPr="00332926">
              <w:rPr>
                <w:b/>
                <w:sz w:val="18"/>
                <w:szCs w:val="18"/>
              </w:rPr>
              <w:t>7</w:t>
            </w:r>
            <w:r>
              <w:rPr>
                <w:b/>
                <w:sz w:val="18"/>
                <w:szCs w:val="18"/>
              </w:rPr>
              <w:t>,</w:t>
            </w:r>
            <w:r w:rsidRPr="00332926">
              <w:rPr>
                <w:b/>
                <w:sz w:val="18"/>
                <w:szCs w:val="18"/>
              </w:rPr>
              <w:t>381</w:t>
            </w:r>
            <w:r>
              <w:rPr>
                <w:b/>
                <w:sz w:val="18"/>
                <w:szCs w:val="18"/>
              </w:rPr>
              <w:t>,</w:t>
            </w:r>
            <w:r w:rsidRPr="00332926">
              <w:rPr>
                <w:b/>
                <w:sz w:val="18"/>
                <w:szCs w:val="18"/>
              </w:rPr>
              <w:t>231</w:t>
            </w:r>
          </w:p>
        </w:tc>
        <w:tc>
          <w:tcPr>
            <w:tcW w:w="1155" w:type="dxa"/>
            <w:shd w:val="clear" w:color="auto" w:fill="auto"/>
            <w:vAlign w:val="center"/>
          </w:tcPr>
          <w:p w14:paraId="718F7537" w14:textId="34351E6D" w:rsidR="00267781" w:rsidRPr="00824F98" w:rsidRDefault="00332926" w:rsidP="00CE7AEC">
            <w:pPr>
              <w:pStyle w:val="ExhibitText"/>
              <w:jc w:val="right"/>
              <w:rPr>
                <w:b/>
                <w:sz w:val="18"/>
                <w:szCs w:val="18"/>
              </w:rPr>
            </w:pPr>
            <w:r>
              <w:rPr>
                <w:b/>
                <w:sz w:val="18"/>
                <w:szCs w:val="18"/>
              </w:rPr>
              <w:t xml:space="preserve"> </w:t>
            </w:r>
            <w:r w:rsidRPr="00332926">
              <w:rPr>
                <w:b/>
                <w:sz w:val="18"/>
                <w:szCs w:val="18"/>
              </w:rPr>
              <w:t>8</w:t>
            </w:r>
            <w:r>
              <w:rPr>
                <w:b/>
                <w:sz w:val="18"/>
                <w:szCs w:val="18"/>
              </w:rPr>
              <w:t>,</w:t>
            </w:r>
            <w:r w:rsidRPr="00332926">
              <w:rPr>
                <w:b/>
                <w:sz w:val="18"/>
                <w:szCs w:val="18"/>
              </w:rPr>
              <w:t>793</w:t>
            </w:r>
            <w:r>
              <w:rPr>
                <w:b/>
                <w:sz w:val="18"/>
                <w:szCs w:val="18"/>
              </w:rPr>
              <w:t>,</w:t>
            </w:r>
            <w:r w:rsidRPr="00332926">
              <w:rPr>
                <w:b/>
                <w:sz w:val="18"/>
                <w:szCs w:val="18"/>
              </w:rPr>
              <w:t>384</w:t>
            </w:r>
          </w:p>
        </w:tc>
      </w:tr>
      <w:tr w:rsidR="00923CE0" w:rsidRPr="00CE7AEC" w14:paraId="0FD9E58E" w14:textId="77777777" w:rsidTr="00CE7AEC">
        <w:trPr>
          <w:trHeight w:val="259"/>
          <w:jc w:val="center"/>
        </w:trPr>
        <w:tc>
          <w:tcPr>
            <w:tcW w:w="9350" w:type="dxa"/>
            <w:gridSpan w:val="7"/>
            <w:shd w:val="clear" w:color="auto" w:fill="auto"/>
            <w:vAlign w:val="center"/>
          </w:tcPr>
          <w:p w14:paraId="766806CD" w14:textId="77777777" w:rsidR="00923CE0" w:rsidRPr="00824F98" w:rsidRDefault="00923CE0" w:rsidP="00CE7AEC">
            <w:pPr>
              <w:pStyle w:val="ExhibitText"/>
              <w:jc w:val="left"/>
              <w:rPr>
                <w:b/>
                <w:sz w:val="18"/>
                <w:szCs w:val="18"/>
              </w:rPr>
            </w:pPr>
            <w:r w:rsidRPr="00824F98">
              <w:rPr>
                <w:b/>
                <w:sz w:val="18"/>
                <w:szCs w:val="18"/>
              </w:rPr>
              <w:t>Non-Current Liabilities</w:t>
            </w:r>
          </w:p>
        </w:tc>
      </w:tr>
      <w:tr w:rsidR="00CE7AEC" w:rsidRPr="00CE7AEC" w14:paraId="786A5841" w14:textId="77777777" w:rsidTr="00CE7AEC">
        <w:trPr>
          <w:trHeight w:val="259"/>
          <w:jc w:val="center"/>
        </w:trPr>
        <w:tc>
          <w:tcPr>
            <w:tcW w:w="2425" w:type="dxa"/>
            <w:shd w:val="clear" w:color="auto" w:fill="auto"/>
            <w:vAlign w:val="center"/>
          </w:tcPr>
          <w:p w14:paraId="35482E76" w14:textId="77777777" w:rsidR="00923CE0" w:rsidRPr="00CE7AEC" w:rsidRDefault="00923CE0" w:rsidP="00CE7AEC">
            <w:pPr>
              <w:pStyle w:val="ExhibitText"/>
              <w:jc w:val="left"/>
              <w:rPr>
                <w:sz w:val="18"/>
                <w:szCs w:val="18"/>
              </w:rPr>
            </w:pPr>
            <w:r w:rsidRPr="00CE7AEC">
              <w:rPr>
                <w:sz w:val="18"/>
                <w:szCs w:val="18"/>
              </w:rPr>
              <w:t>Deferred Tax Liabilities</w:t>
            </w:r>
          </w:p>
        </w:tc>
        <w:tc>
          <w:tcPr>
            <w:tcW w:w="1154" w:type="dxa"/>
            <w:shd w:val="clear" w:color="auto" w:fill="auto"/>
            <w:vAlign w:val="center"/>
          </w:tcPr>
          <w:p w14:paraId="2D2B2F59"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6CC431EF"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3DBC9E67" w14:textId="31691894" w:rsidR="00923CE0" w:rsidRPr="00CE7AEC" w:rsidRDefault="00923CE0" w:rsidP="00CE7AEC">
            <w:pPr>
              <w:pStyle w:val="ExhibitText"/>
              <w:jc w:val="right"/>
              <w:rPr>
                <w:sz w:val="18"/>
                <w:szCs w:val="18"/>
              </w:rPr>
            </w:pPr>
            <w:r w:rsidRPr="00CE7AEC">
              <w:rPr>
                <w:sz w:val="18"/>
                <w:szCs w:val="18"/>
              </w:rPr>
              <w:t>8,6</w:t>
            </w:r>
            <w:r w:rsidR="00ED01CD" w:rsidRPr="00CE7AEC">
              <w:rPr>
                <w:sz w:val="18"/>
                <w:szCs w:val="18"/>
              </w:rPr>
              <w:t>15</w:t>
            </w:r>
          </w:p>
        </w:tc>
        <w:tc>
          <w:tcPr>
            <w:tcW w:w="1154" w:type="dxa"/>
            <w:shd w:val="clear" w:color="auto" w:fill="auto"/>
            <w:vAlign w:val="center"/>
          </w:tcPr>
          <w:p w14:paraId="0815A392" w14:textId="77777777" w:rsidR="00923CE0" w:rsidRPr="00CE7AEC" w:rsidRDefault="00923CE0" w:rsidP="00CE7AEC">
            <w:pPr>
              <w:pStyle w:val="ExhibitText"/>
              <w:jc w:val="right"/>
              <w:rPr>
                <w:sz w:val="18"/>
                <w:szCs w:val="18"/>
              </w:rPr>
            </w:pPr>
            <w:r w:rsidRPr="00CE7AEC">
              <w:rPr>
                <w:sz w:val="18"/>
                <w:szCs w:val="18"/>
              </w:rPr>
              <w:t xml:space="preserve">- </w:t>
            </w:r>
          </w:p>
        </w:tc>
        <w:tc>
          <w:tcPr>
            <w:tcW w:w="1154" w:type="dxa"/>
            <w:shd w:val="clear" w:color="auto" w:fill="auto"/>
            <w:vAlign w:val="center"/>
          </w:tcPr>
          <w:p w14:paraId="4130DCD3" w14:textId="77777777" w:rsidR="00923CE0" w:rsidRPr="00CE7AEC" w:rsidRDefault="00923CE0" w:rsidP="00CE7AEC">
            <w:pPr>
              <w:pStyle w:val="ExhibitText"/>
              <w:jc w:val="right"/>
              <w:rPr>
                <w:sz w:val="18"/>
                <w:szCs w:val="18"/>
              </w:rPr>
            </w:pPr>
            <w:r w:rsidRPr="00CE7AEC">
              <w:rPr>
                <w:sz w:val="18"/>
                <w:szCs w:val="18"/>
              </w:rPr>
              <w:t>-</w:t>
            </w:r>
          </w:p>
        </w:tc>
        <w:tc>
          <w:tcPr>
            <w:tcW w:w="1155" w:type="dxa"/>
            <w:shd w:val="clear" w:color="auto" w:fill="auto"/>
            <w:vAlign w:val="center"/>
          </w:tcPr>
          <w:p w14:paraId="0A945AC1" w14:textId="77777777" w:rsidR="00923CE0" w:rsidRPr="00CE7AEC" w:rsidRDefault="00923CE0" w:rsidP="00CE7AEC">
            <w:pPr>
              <w:pStyle w:val="ExhibitText"/>
              <w:jc w:val="right"/>
              <w:rPr>
                <w:sz w:val="18"/>
                <w:szCs w:val="18"/>
              </w:rPr>
            </w:pPr>
            <w:r w:rsidRPr="00CE7AEC">
              <w:rPr>
                <w:sz w:val="18"/>
                <w:szCs w:val="18"/>
              </w:rPr>
              <w:t>-</w:t>
            </w:r>
          </w:p>
        </w:tc>
      </w:tr>
      <w:tr w:rsidR="00CE7AEC" w:rsidRPr="00CE7AEC" w14:paraId="779F208C" w14:textId="77777777" w:rsidTr="00CE7AEC">
        <w:trPr>
          <w:trHeight w:val="259"/>
          <w:jc w:val="center"/>
        </w:trPr>
        <w:tc>
          <w:tcPr>
            <w:tcW w:w="2425" w:type="dxa"/>
            <w:shd w:val="clear" w:color="auto" w:fill="auto"/>
            <w:vAlign w:val="center"/>
          </w:tcPr>
          <w:p w14:paraId="22C8B405" w14:textId="3AEDD94F" w:rsidR="00923CE0" w:rsidRPr="00CE7AEC" w:rsidRDefault="00923CE0" w:rsidP="00CE7AEC">
            <w:pPr>
              <w:pStyle w:val="ExhibitText"/>
              <w:jc w:val="left"/>
              <w:rPr>
                <w:sz w:val="18"/>
                <w:szCs w:val="18"/>
              </w:rPr>
            </w:pPr>
            <w:r w:rsidRPr="00CE7AEC">
              <w:rPr>
                <w:sz w:val="18"/>
                <w:szCs w:val="18"/>
              </w:rPr>
              <w:t>Other Long</w:t>
            </w:r>
            <w:r w:rsidR="00CE7AEC">
              <w:rPr>
                <w:sz w:val="18"/>
                <w:szCs w:val="18"/>
              </w:rPr>
              <w:t>-</w:t>
            </w:r>
            <w:r w:rsidRPr="00CE7AEC">
              <w:rPr>
                <w:sz w:val="18"/>
                <w:szCs w:val="18"/>
              </w:rPr>
              <w:t>Term Liabilities</w:t>
            </w:r>
          </w:p>
        </w:tc>
        <w:tc>
          <w:tcPr>
            <w:tcW w:w="1154" w:type="dxa"/>
            <w:shd w:val="clear" w:color="auto" w:fill="auto"/>
            <w:vAlign w:val="center"/>
          </w:tcPr>
          <w:p w14:paraId="08AEE7C8" w14:textId="5E852795" w:rsidR="00923CE0" w:rsidRPr="00CE7AEC" w:rsidRDefault="00923CE0" w:rsidP="00CE7AEC">
            <w:pPr>
              <w:pStyle w:val="ExhibitText"/>
              <w:jc w:val="right"/>
              <w:rPr>
                <w:sz w:val="18"/>
                <w:szCs w:val="18"/>
              </w:rPr>
            </w:pPr>
            <w:r w:rsidRPr="00CE7AEC">
              <w:rPr>
                <w:sz w:val="18"/>
                <w:szCs w:val="18"/>
              </w:rPr>
              <w:t>3,846</w:t>
            </w:r>
          </w:p>
        </w:tc>
        <w:tc>
          <w:tcPr>
            <w:tcW w:w="1154" w:type="dxa"/>
            <w:shd w:val="clear" w:color="auto" w:fill="auto"/>
            <w:vAlign w:val="center"/>
          </w:tcPr>
          <w:p w14:paraId="38FE8D78" w14:textId="22A316EE" w:rsidR="00923CE0" w:rsidRPr="00CE7AEC" w:rsidRDefault="00ED01CD" w:rsidP="00CE7AEC">
            <w:pPr>
              <w:pStyle w:val="ExhibitText"/>
              <w:jc w:val="right"/>
              <w:rPr>
                <w:sz w:val="18"/>
                <w:szCs w:val="18"/>
              </w:rPr>
            </w:pPr>
            <w:r w:rsidRPr="00CE7AEC">
              <w:rPr>
                <w:sz w:val="18"/>
                <w:szCs w:val="18"/>
              </w:rPr>
              <w:t>3,230</w:t>
            </w:r>
          </w:p>
        </w:tc>
        <w:tc>
          <w:tcPr>
            <w:tcW w:w="1154" w:type="dxa"/>
            <w:shd w:val="clear" w:color="auto" w:fill="auto"/>
            <w:vAlign w:val="center"/>
          </w:tcPr>
          <w:p w14:paraId="1885F5B6" w14:textId="09F27464" w:rsidR="00923CE0" w:rsidRPr="00CE7AEC" w:rsidRDefault="00923CE0" w:rsidP="00CE7AEC">
            <w:pPr>
              <w:pStyle w:val="ExhibitText"/>
              <w:jc w:val="right"/>
              <w:rPr>
                <w:sz w:val="18"/>
                <w:szCs w:val="18"/>
              </w:rPr>
            </w:pPr>
            <w:r w:rsidRPr="00CE7AEC">
              <w:rPr>
                <w:sz w:val="18"/>
                <w:szCs w:val="18"/>
              </w:rPr>
              <w:t>18,461</w:t>
            </w:r>
          </w:p>
        </w:tc>
        <w:tc>
          <w:tcPr>
            <w:tcW w:w="1154" w:type="dxa"/>
            <w:shd w:val="clear" w:color="auto" w:fill="auto"/>
            <w:vAlign w:val="center"/>
          </w:tcPr>
          <w:p w14:paraId="662FF4AC" w14:textId="0225E37A" w:rsidR="00923CE0" w:rsidRPr="00CE7AEC" w:rsidRDefault="00923CE0" w:rsidP="00CE7AEC">
            <w:pPr>
              <w:pStyle w:val="ExhibitText"/>
              <w:jc w:val="right"/>
              <w:rPr>
                <w:sz w:val="18"/>
                <w:szCs w:val="18"/>
              </w:rPr>
            </w:pPr>
            <w:r w:rsidRPr="00CE7AEC">
              <w:rPr>
                <w:sz w:val="18"/>
                <w:szCs w:val="18"/>
              </w:rPr>
              <w:t>56,000</w:t>
            </w:r>
          </w:p>
        </w:tc>
        <w:tc>
          <w:tcPr>
            <w:tcW w:w="1154" w:type="dxa"/>
            <w:shd w:val="clear" w:color="auto" w:fill="auto"/>
            <w:vAlign w:val="center"/>
          </w:tcPr>
          <w:p w14:paraId="58CA551B" w14:textId="2FD3FC83" w:rsidR="00923CE0" w:rsidRPr="00CE7AEC" w:rsidRDefault="00923CE0" w:rsidP="00CE7AEC">
            <w:pPr>
              <w:pStyle w:val="ExhibitText"/>
              <w:jc w:val="right"/>
              <w:rPr>
                <w:sz w:val="18"/>
                <w:szCs w:val="18"/>
              </w:rPr>
            </w:pPr>
            <w:r w:rsidRPr="00CE7AEC">
              <w:rPr>
                <w:sz w:val="18"/>
                <w:szCs w:val="18"/>
              </w:rPr>
              <w:t>4,615</w:t>
            </w:r>
          </w:p>
        </w:tc>
        <w:tc>
          <w:tcPr>
            <w:tcW w:w="1155" w:type="dxa"/>
            <w:shd w:val="clear" w:color="auto" w:fill="auto"/>
            <w:vAlign w:val="center"/>
          </w:tcPr>
          <w:p w14:paraId="652FD8DA" w14:textId="33FAFE96" w:rsidR="00923CE0" w:rsidRPr="00CE7AEC" w:rsidRDefault="00923CE0" w:rsidP="00CE7AEC">
            <w:pPr>
              <w:pStyle w:val="ExhibitText"/>
              <w:jc w:val="right"/>
              <w:rPr>
                <w:sz w:val="18"/>
                <w:szCs w:val="18"/>
              </w:rPr>
            </w:pPr>
            <w:r w:rsidRPr="00CE7AEC">
              <w:rPr>
                <w:sz w:val="18"/>
                <w:szCs w:val="18"/>
              </w:rPr>
              <w:t>11,2</w:t>
            </w:r>
            <w:r w:rsidR="00ED01CD" w:rsidRPr="00CE7AEC">
              <w:rPr>
                <w:sz w:val="18"/>
                <w:szCs w:val="18"/>
              </w:rPr>
              <w:t>30</w:t>
            </w:r>
          </w:p>
        </w:tc>
      </w:tr>
      <w:tr w:rsidR="00923CE0" w:rsidRPr="00CE7AEC" w14:paraId="60D9AE6B" w14:textId="77777777" w:rsidTr="00CE7AEC">
        <w:trPr>
          <w:trHeight w:val="259"/>
          <w:jc w:val="center"/>
        </w:trPr>
        <w:tc>
          <w:tcPr>
            <w:tcW w:w="9350" w:type="dxa"/>
            <w:gridSpan w:val="7"/>
            <w:shd w:val="clear" w:color="auto" w:fill="auto"/>
            <w:vAlign w:val="center"/>
          </w:tcPr>
          <w:p w14:paraId="0FB9AACA" w14:textId="77777777" w:rsidR="00923CE0" w:rsidRPr="00824F98" w:rsidRDefault="00923CE0" w:rsidP="00CE7AEC">
            <w:pPr>
              <w:pStyle w:val="ExhibitText"/>
              <w:jc w:val="left"/>
              <w:rPr>
                <w:b/>
                <w:sz w:val="18"/>
                <w:szCs w:val="18"/>
              </w:rPr>
            </w:pPr>
            <w:r w:rsidRPr="00824F98">
              <w:rPr>
                <w:b/>
                <w:sz w:val="18"/>
                <w:szCs w:val="18"/>
              </w:rPr>
              <w:t>Current Liabilities</w:t>
            </w:r>
          </w:p>
        </w:tc>
      </w:tr>
      <w:tr w:rsidR="00CE7AEC" w:rsidRPr="00CE7AEC" w14:paraId="5AE1E658" w14:textId="77777777" w:rsidTr="00CE7AEC">
        <w:trPr>
          <w:trHeight w:val="259"/>
          <w:jc w:val="center"/>
        </w:trPr>
        <w:tc>
          <w:tcPr>
            <w:tcW w:w="2425" w:type="dxa"/>
            <w:shd w:val="clear" w:color="auto" w:fill="auto"/>
            <w:vAlign w:val="center"/>
          </w:tcPr>
          <w:p w14:paraId="1A053110" w14:textId="51B673C8" w:rsidR="00923CE0" w:rsidRPr="00CE7AEC" w:rsidRDefault="00923CE0" w:rsidP="00CE7AEC">
            <w:pPr>
              <w:pStyle w:val="ExhibitText"/>
              <w:jc w:val="left"/>
              <w:rPr>
                <w:sz w:val="18"/>
                <w:szCs w:val="18"/>
              </w:rPr>
            </w:pPr>
            <w:r w:rsidRPr="00CE7AEC">
              <w:rPr>
                <w:sz w:val="18"/>
                <w:szCs w:val="18"/>
              </w:rPr>
              <w:t xml:space="preserve">Trade </w:t>
            </w:r>
            <w:r w:rsidR="00CE7AEC">
              <w:rPr>
                <w:sz w:val="18"/>
                <w:szCs w:val="18"/>
              </w:rPr>
              <w:t>P</w:t>
            </w:r>
            <w:r w:rsidRPr="00CE7AEC">
              <w:rPr>
                <w:sz w:val="18"/>
                <w:szCs w:val="18"/>
              </w:rPr>
              <w:t>ayable</w:t>
            </w:r>
          </w:p>
        </w:tc>
        <w:tc>
          <w:tcPr>
            <w:tcW w:w="1154" w:type="dxa"/>
            <w:shd w:val="clear" w:color="auto" w:fill="auto"/>
            <w:vAlign w:val="center"/>
          </w:tcPr>
          <w:p w14:paraId="543805C2" w14:textId="4BED9168" w:rsidR="00923CE0" w:rsidRPr="00CE7AEC" w:rsidRDefault="00923CE0" w:rsidP="00CE7AEC">
            <w:pPr>
              <w:pStyle w:val="ExhibitText"/>
              <w:jc w:val="right"/>
              <w:rPr>
                <w:sz w:val="18"/>
                <w:szCs w:val="18"/>
              </w:rPr>
            </w:pPr>
            <w:r w:rsidRPr="00CE7AEC">
              <w:rPr>
                <w:sz w:val="18"/>
                <w:szCs w:val="18"/>
              </w:rPr>
              <w:t>13,076</w:t>
            </w:r>
          </w:p>
        </w:tc>
        <w:tc>
          <w:tcPr>
            <w:tcW w:w="1154" w:type="dxa"/>
            <w:shd w:val="clear" w:color="auto" w:fill="auto"/>
            <w:vAlign w:val="center"/>
          </w:tcPr>
          <w:p w14:paraId="0441C03E" w14:textId="6D89FB09" w:rsidR="00923CE0" w:rsidRPr="00CE7AEC" w:rsidRDefault="00923CE0" w:rsidP="00CE7AEC">
            <w:pPr>
              <w:pStyle w:val="ExhibitText"/>
              <w:jc w:val="right"/>
              <w:rPr>
                <w:sz w:val="18"/>
                <w:szCs w:val="18"/>
              </w:rPr>
            </w:pPr>
            <w:r w:rsidRPr="00CE7AEC">
              <w:rPr>
                <w:sz w:val="18"/>
                <w:szCs w:val="18"/>
              </w:rPr>
              <w:t>10,461</w:t>
            </w:r>
          </w:p>
        </w:tc>
        <w:tc>
          <w:tcPr>
            <w:tcW w:w="1154" w:type="dxa"/>
            <w:shd w:val="clear" w:color="auto" w:fill="auto"/>
            <w:vAlign w:val="center"/>
          </w:tcPr>
          <w:p w14:paraId="6978B90D" w14:textId="1DE6E9C5" w:rsidR="00923CE0" w:rsidRPr="00CE7AEC" w:rsidRDefault="00923CE0" w:rsidP="00CE7AEC">
            <w:pPr>
              <w:pStyle w:val="ExhibitText"/>
              <w:jc w:val="right"/>
              <w:rPr>
                <w:sz w:val="18"/>
                <w:szCs w:val="18"/>
              </w:rPr>
            </w:pPr>
            <w:r w:rsidRPr="00CE7AEC">
              <w:rPr>
                <w:sz w:val="18"/>
                <w:szCs w:val="18"/>
              </w:rPr>
              <w:t>27,384</w:t>
            </w:r>
          </w:p>
        </w:tc>
        <w:tc>
          <w:tcPr>
            <w:tcW w:w="1154" w:type="dxa"/>
            <w:shd w:val="clear" w:color="auto" w:fill="auto"/>
            <w:vAlign w:val="center"/>
          </w:tcPr>
          <w:p w14:paraId="57602035" w14:textId="21853BE3" w:rsidR="00923CE0" w:rsidRPr="00CE7AEC" w:rsidRDefault="00923CE0" w:rsidP="00CE7AEC">
            <w:pPr>
              <w:pStyle w:val="ExhibitText"/>
              <w:jc w:val="right"/>
              <w:rPr>
                <w:sz w:val="18"/>
                <w:szCs w:val="18"/>
              </w:rPr>
            </w:pPr>
            <w:r w:rsidRPr="00CE7AEC">
              <w:rPr>
                <w:sz w:val="18"/>
                <w:szCs w:val="18"/>
              </w:rPr>
              <w:t>10,461</w:t>
            </w:r>
          </w:p>
        </w:tc>
        <w:tc>
          <w:tcPr>
            <w:tcW w:w="1154" w:type="dxa"/>
            <w:shd w:val="clear" w:color="auto" w:fill="auto"/>
            <w:vAlign w:val="center"/>
          </w:tcPr>
          <w:p w14:paraId="1DC06E18" w14:textId="77777777" w:rsidR="00923CE0" w:rsidRPr="00CE7AEC" w:rsidRDefault="00923CE0" w:rsidP="00CE7AEC">
            <w:pPr>
              <w:pStyle w:val="ExhibitText"/>
              <w:jc w:val="right"/>
              <w:rPr>
                <w:sz w:val="18"/>
                <w:szCs w:val="18"/>
              </w:rPr>
            </w:pPr>
            <w:r w:rsidRPr="00CE7AEC">
              <w:rPr>
                <w:sz w:val="18"/>
                <w:szCs w:val="18"/>
              </w:rPr>
              <w:t>-</w:t>
            </w:r>
          </w:p>
        </w:tc>
        <w:tc>
          <w:tcPr>
            <w:tcW w:w="1155" w:type="dxa"/>
            <w:shd w:val="clear" w:color="auto" w:fill="auto"/>
            <w:vAlign w:val="center"/>
          </w:tcPr>
          <w:p w14:paraId="7A4C4437" w14:textId="77777777" w:rsidR="00923CE0" w:rsidRPr="00CE7AEC" w:rsidRDefault="00923CE0" w:rsidP="00CE7AEC">
            <w:pPr>
              <w:pStyle w:val="ExhibitText"/>
              <w:jc w:val="right"/>
              <w:rPr>
                <w:sz w:val="18"/>
                <w:szCs w:val="18"/>
              </w:rPr>
            </w:pPr>
            <w:r w:rsidRPr="00CE7AEC">
              <w:rPr>
                <w:sz w:val="18"/>
                <w:szCs w:val="18"/>
              </w:rPr>
              <w:t>-</w:t>
            </w:r>
          </w:p>
        </w:tc>
      </w:tr>
      <w:tr w:rsidR="00CE7AEC" w:rsidRPr="00CE7AEC" w14:paraId="4DD2FEBD" w14:textId="77777777" w:rsidTr="00CE7AEC">
        <w:trPr>
          <w:trHeight w:val="259"/>
          <w:jc w:val="center"/>
        </w:trPr>
        <w:tc>
          <w:tcPr>
            <w:tcW w:w="2425" w:type="dxa"/>
            <w:shd w:val="clear" w:color="auto" w:fill="auto"/>
            <w:vAlign w:val="center"/>
          </w:tcPr>
          <w:p w14:paraId="274E9B42" w14:textId="5F848F74" w:rsidR="00923CE0" w:rsidRPr="00CE7AEC" w:rsidRDefault="00923CE0" w:rsidP="00CE7AEC">
            <w:pPr>
              <w:pStyle w:val="ExhibitText"/>
              <w:jc w:val="left"/>
              <w:rPr>
                <w:sz w:val="18"/>
                <w:szCs w:val="18"/>
              </w:rPr>
            </w:pPr>
            <w:r w:rsidRPr="00CE7AEC">
              <w:rPr>
                <w:sz w:val="18"/>
                <w:szCs w:val="18"/>
              </w:rPr>
              <w:t xml:space="preserve">Outstanding </w:t>
            </w:r>
            <w:r w:rsidR="00CE7AEC">
              <w:rPr>
                <w:sz w:val="18"/>
                <w:szCs w:val="18"/>
              </w:rPr>
              <w:t>D</w:t>
            </w:r>
            <w:r w:rsidRPr="00CE7AEC">
              <w:rPr>
                <w:sz w:val="18"/>
                <w:szCs w:val="18"/>
              </w:rPr>
              <w:t>ues of MSEs</w:t>
            </w:r>
          </w:p>
        </w:tc>
        <w:tc>
          <w:tcPr>
            <w:tcW w:w="1154" w:type="dxa"/>
            <w:shd w:val="clear" w:color="auto" w:fill="auto"/>
            <w:vAlign w:val="center"/>
          </w:tcPr>
          <w:p w14:paraId="0DA6EBED"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57B5985F"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6CA353F8"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50D93AAB"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38AC896A" w14:textId="77777777" w:rsidR="00923CE0" w:rsidRPr="00CE7AEC" w:rsidRDefault="00923CE0" w:rsidP="00CE7AEC">
            <w:pPr>
              <w:pStyle w:val="ExhibitText"/>
              <w:jc w:val="right"/>
              <w:rPr>
                <w:sz w:val="18"/>
                <w:szCs w:val="18"/>
              </w:rPr>
            </w:pPr>
            <w:r w:rsidRPr="00CE7AEC">
              <w:rPr>
                <w:sz w:val="18"/>
                <w:szCs w:val="18"/>
              </w:rPr>
              <w:t>-</w:t>
            </w:r>
          </w:p>
        </w:tc>
        <w:tc>
          <w:tcPr>
            <w:tcW w:w="1155" w:type="dxa"/>
            <w:shd w:val="clear" w:color="auto" w:fill="auto"/>
            <w:vAlign w:val="center"/>
          </w:tcPr>
          <w:p w14:paraId="4E207270" w14:textId="77777777" w:rsidR="00923CE0" w:rsidRPr="00CE7AEC" w:rsidRDefault="00923CE0" w:rsidP="00CE7AEC">
            <w:pPr>
              <w:pStyle w:val="ExhibitText"/>
              <w:jc w:val="right"/>
              <w:rPr>
                <w:sz w:val="18"/>
                <w:szCs w:val="18"/>
              </w:rPr>
            </w:pPr>
            <w:r w:rsidRPr="00CE7AEC">
              <w:rPr>
                <w:sz w:val="18"/>
                <w:szCs w:val="18"/>
              </w:rPr>
              <w:t>-</w:t>
            </w:r>
          </w:p>
        </w:tc>
      </w:tr>
      <w:tr w:rsidR="00CE7AEC" w:rsidRPr="00CE7AEC" w14:paraId="23816287" w14:textId="77777777" w:rsidTr="00CE7AEC">
        <w:trPr>
          <w:trHeight w:val="259"/>
          <w:jc w:val="center"/>
        </w:trPr>
        <w:tc>
          <w:tcPr>
            <w:tcW w:w="2425" w:type="dxa"/>
            <w:shd w:val="clear" w:color="auto" w:fill="auto"/>
            <w:vAlign w:val="center"/>
          </w:tcPr>
          <w:p w14:paraId="32838083" w14:textId="5489DCCF" w:rsidR="00923CE0" w:rsidRPr="00CE7AEC" w:rsidRDefault="00923CE0" w:rsidP="00CE7AEC">
            <w:pPr>
              <w:pStyle w:val="ExhibitText"/>
              <w:jc w:val="left"/>
              <w:rPr>
                <w:sz w:val="18"/>
                <w:szCs w:val="18"/>
              </w:rPr>
            </w:pPr>
            <w:r w:rsidRPr="00CE7AEC">
              <w:rPr>
                <w:sz w:val="18"/>
                <w:szCs w:val="18"/>
              </w:rPr>
              <w:t xml:space="preserve">Outstanding </w:t>
            </w:r>
            <w:r w:rsidR="00CE7AEC">
              <w:rPr>
                <w:sz w:val="18"/>
                <w:szCs w:val="18"/>
              </w:rPr>
              <w:t>D</w:t>
            </w:r>
            <w:r w:rsidRPr="00CE7AEC">
              <w:rPr>
                <w:sz w:val="18"/>
                <w:szCs w:val="18"/>
              </w:rPr>
              <w:t xml:space="preserve">ues </w:t>
            </w:r>
            <w:r w:rsidR="00CE7AEC">
              <w:rPr>
                <w:sz w:val="18"/>
                <w:szCs w:val="18"/>
              </w:rPr>
              <w:t>to C</w:t>
            </w:r>
            <w:r w:rsidRPr="00CE7AEC">
              <w:rPr>
                <w:sz w:val="18"/>
                <w:szCs w:val="18"/>
              </w:rPr>
              <w:t xml:space="preserve">reditors </w:t>
            </w:r>
            <w:r w:rsidR="00CE7AEC">
              <w:rPr>
                <w:sz w:val="18"/>
                <w:szCs w:val="18"/>
              </w:rPr>
              <w:t>Except</w:t>
            </w:r>
            <w:r w:rsidRPr="00CE7AEC">
              <w:rPr>
                <w:sz w:val="18"/>
                <w:szCs w:val="18"/>
              </w:rPr>
              <w:t xml:space="preserve"> MSEs</w:t>
            </w:r>
          </w:p>
        </w:tc>
        <w:tc>
          <w:tcPr>
            <w:tcW w:w="1154" w:type="dxa"/>
            <w:shd w:val="clear" w:color="auto" w:fill="auto"/>
            <w:vAlign w:val="center"/>
          </w:tcPr>
          <w:p w14:paraId="79E5F1FC"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05814CEF"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4C710E04"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28339B34" w14:textId="77777777" w:rsidR="00923CE0" w:rsidRPr="00CE7AEC" w:rsidRDefault="00923CE0" w:rsidP="00CE7AEC">
            <w:pPr>
              <w:pStyle w:val="ExhibitText"/>
              <w:jc w:val="right"/>
              <w:rPr>
                <w:sz w:val="18"/>
                <w:szCs w:val="18"/>
              </w:rPr>
            </w:pPr>
            <w:r w:rsidRPr="00CE7AEC">
              <w:rPr>
                <w:sz w:val="18"/>
                <w:szCs w:val="18"/>
              </w:rPr>
              <w:t xml:space="preserve"> -</w:t>
            </w:r>
          </w:p>
        </w:tc>
        <w:tc>
          <w:tcPr>
            <w:tcW w:w="1154" w:type="dxa"/>
            <w:shd w:val="clear" w:color="auto" w:fill="auto"/>
            <w:vAlign w:val="center"/>
          </w:tcPr>
          <w:p w14:paraId="5ED5D502" w14:textId="7C0218A5" w:rsidR="00923CE0" w:rsidRPr="00CE7AEC" w:rsidRDefault="00923CE0" w:rsidP="00CE7AEC">
            <w:pPr>
              <w:pStyle w:val="ExhibitText"/>
              <w:jc w:val="right"/>
              <w:rPr>
                <w:sz w:val="18"/>
                <w:szCs w:val="18"/>
              </w:rPr>
            </w:pPr>
            <w:r w:rsidRPr="00CE7AEC">
              <w:rPr>
                <w:sz w:val="18"/>
                <w:szCs w:val="18"/>
              </w:rPr>
              <w:t>19,076</w:t>
            </w:r>
          </w:p>
        </w:tc>
        <w:tc>
          <w:tcPr>
            <w:tcW w:w="1155" w:type="dxa"/>
            <w:shd w:val="clear" w:color="auto" w:fill="auto"/>
            <w:vAlign w:val="center"/>
          </w:tcPr>
          <w:p w14:paraId="4C5993A1" w14:textId="303C2679" w:rsidR="00923CE0" w:rsidRPr="00CE7AEC" w:rsidRDefault="00923CE0" w:rsidP="00CE7AEC">
            <w:pPr>
              <w:pStyle w:val="ExhibitText"/>
              <w:jc w:val="right"/>
              <w:rPr>
                <w:sz w:val="18"/>
                <w:szCs w:val="18"/>
              </w:rPr>
            </w:pPr>
            <w:r w:rsidRPr="00CE7AEC">
              <w:rPr>
                <w:sz w:val="18"/>
                <w:szCs w:val="18"/>
              </w:rPr>
              <w:t>95,846</w:t>
            </w:r>
          </w:p>
        </w:tc>
      </w:tr>
      <w:tr w:rsidR="00CE7AEC" w:rsidRPr="00CE7AEC" w14:paraId="77D6874B" w14:textId="77777777" w:rsidTr="00CE7AEC">
        <w:trPr>
          <w:trHeight w:val="259"/>
          <w:jc w:val="center"/>
        </w:trPr>
        <w:tc>
          <w:tcPr>
            <w:tcW w:w="2425" w:type="dxa"/>
            <w:shd w:val="clear" w:color="auto" w:fill="auto"/>
            <w:vAlign w:val="center"/>
          </w:tcPr>
          <w:p w14:paraId="35ADA31F" w14:textId="77777777" w:rsidR="00923CE0" w:rsidRPr="00CE7AEC" w:rsidRDefault="00923CE0" w:rsidP="00CE7AEC">
            <w:pPr>
              <w:pStyle w:val="ExhibitText"/>
              <w:jc w:val="left"/>
              <w:rPr>
                <w:sz w:val="18"/>
                <w:szCs w:val="18"/>
              </w:rPr>
            </w:pPr>
            <w:r w:rsidRPr="00CE7AEC">
              <w:rPr>
                <w:sz w:val="18"/>
                <w:szCs w:val="18"/>
              </w:rPr>
              <w:t>Other Current Liabilities</w:t>
            </w:r>
          </w:p>
        </w:tc>
        <w:tc>
          <w:tcPr>
            <w:tcW w:w="1154" w:type="dxa"/>
            <w:shd w:val="clear" w:color="auto" w:fill="auto"/>
            <w:vAlign w:val="center"/>
          </w:tcPr>
          <w:p w14:paraId="61579A13" w14:textId="4632EEE1" w:rsidR="00923CE0" w:rsidRPr="00CE7AEC" w:rsidRDefault="00923CE0" w:rsidP="00CE7AEC">
            <w:pPr>
              <w:pStyle w:val="ExhibitText"/>
              <w:jc w:val="right"/>
              <w:rPr>
                <w:sz w:val="18"/>
                <w:szCs w:val="18"/>
              </w:rPr>
            </w:pPr>
            <w:r w:rsidRPr="00CE7AEC">
              <w:rPr>
                <w:sz w:val="18"/>
                <w:szCs w:val="18"/>
              </w:rPr>
              <w:t>272,307</w:t>
            </w:r>
          </w:p>
        </w:tc>
        <w:tc>
          <w:tcPr>
            <w:tcW w:w="1154" w:type="dxa"/>
            <w:shd w:val="clear" w:color="auto" w:fill="auto"/>
            <w:vAlign w:val="center"/>
          </w:tcPr>
          <w:p w14:paraId="78BEC57B" w14:textId="78725390" w:rsidR="00923CE0" w:rsidRPr="00CE7AEC" w:rsidRDefault="00923CE0" w:rsidP="00CE7AEC">
            <w:pPr>
              <w:pStyle w:val="ExhibitText"/>
              <w:jc w:val="right"/>
              <w:rPr>
                <w:sz w:val="18"/>
                <w:szCs w:val="18"/>
              </w:rPr>
            </w:pPr>
            <w:r w:rsidRPr="00CE7AEC">
              <w:rPr>
                <w:sz w:val="18"/>
                <w:szCs w:val="18"/>
              </w:rPr>
              <w:t>363,846</w:t>
            </w:r>
          </w:p>
        </w:tc>
        <w:tc>
          <w:tcPr>
            <w:tcW w:w="1154" w:type="dxa"/>
            <w:shd w:val="clear" w:color="auto" w:fill="auto"/>
            <w:vAlign w:val="center"/>
          </w:tcPr>
          <w:p w14:paraId="49AB062E" w14:textId="78BAD925" w:rsidR="00923CE0" w:rsidRPr="00CE7AEC" w:rsidRDefault="00923CE0" w:rsidP="00CE7AEC">
            <w:pPr>
              <w:pStyle w:val="ExhibitText"/>
              <w:jc w:val="right"/>
              <w:rPr>
                <w:sz w:val="18"/>
                <w:szCs w:val="18"/>
              </w:rPr>
            </w:pPr>
            <w:r w:rsidRPr="00CE7AEC">
              <w:rPr>
                <w:sz w:val="18"/>
                <w:szCs w:val="18"/>
              </w:rPr>
              <w:t>434,923</w:t>
            </w:r>
          </w:p>
        </w:tc>
        <w:tc>
          <w:tcPr>
            <w:tcW w:w="1154" w:type="dxa"/>
            <w:shd w:val="clear" w:color="auto" w:fill="auto"/>
            <w:vAlign w:val="center"/>
          </w:tcPr>
          <w:p w14:paraId="4118EE59" w14:textId="42E77171" w:rsidR="00923CE0" w:rsidRPr="00CE7AEC" w:rsidRDefault="00923CE0" w:rsidP="00CE7AEC">
            <w:pPr>
              <w:pStyle w:val="ExhibitText"/>
              <w:jc w:val="right"/>
              <w:rPr>
                <w:sz w:val="18"/>
                <w:szCs w:val="18"/>
              </w:rPr>
            </w:pPr>
            <w:r w:rsidRPr="00CE7AEC">
              <w:rPr>
                <w:sz w:val="18"/>
                <w:szCs w:val="18"/>
              </w:rPr>
              <w:t>626,307</w:t>
            </w:r>
          </w:p>
        </w:tc>
        <w:tc>
          <w:tcPr>
            <w:tcW w:w="1154" w:type="dxa"/>
            <w:shd w:val="clear" w:color="auto" w:fill="auto"/>
            <w:vAlign w:val="center"/>
          </w:tcPr>
          <w:p w14:paraId="747CABCA" w14:textId="0269193B" w:rsidR="00923CE0" w:rsidRPr="00CE7AEC" w:rsidRDefault="00923CE0" w:rsidP="00CE7AEC">
            <w:pPr>
              <w:pStyle w:val="ExhibitText"/>
              <w:jc w:val="right"/>
              <w:rPr>
                <w:sz w:val="18"/>
                <w:szCs w:val="18"/>
              </w:rPr>
            </w:pPr>
            <w:r w:rsidRPr="00CE7AEC">
              <w:rPr>
                <w:sz w:val="18"/>
                <w:szCs w:val="18"/>
              </w:rPr>
              <w:t>853,230</w:t>
            </w:r>
          </w:p>
        </w:tc>
        <w:tc>
          <w:tcPr>
            <w:tcW w:w="1155" w:type="dxa"/>
            <w:shd w:val="clear" w:color="auto" w:fill="auto"/>
            <w:vAlign w:val="center"/>
          </w:tcPr>
          <w:p w14:paraId="6DD74DF4" w14:textId="03D518D7" w:rsidR="00923CE0" w:rsidRPr="00CE7AEC" w:rsidRDefault="00923CE0" w:rsidP="00CE7AEC">
            <w:pPr>
              <w:pStyle w:val="ExhibitText"/>
              <w:jc w:val="right"/>
              <w:rPr>
                <w:sz w:val="18"/>
                <w:szCs w:val="18"/>
              </w:rPr>
            </w:pPr>
            <w:r w:rsidRPr="00CE7AEC">
              <w:rPr>
                <w:sz w:val="18"/>
                <w:szCs w:val="18"/>
              </w:rPr>
              <w:t>939,230</w:t>
            </w:r>
          </w:p>
        </w:tc>
      </w:tr>
      <w:tr w:rsidR="00CE7AEC" w:rsidRPr="00CE7AEC" w14:paraId="3691E020" w14:textId="77777777" w:rsidTr="00CE7AEC">
        <w:trPr>
          <w:trHeight w:val="259"/>
          <w:jc w:val="center"/>
        </w:trPr>
        <w:tc>
          <w:tcPr>
            <w:tcW w:w="2425" w:type="dxa"/>
            <w:shd w:val="clear" w:color="auto" w:fill="auto"/>
            <w:vAlign w:val="center"/>
          </w:tcPr>
          <w:p w14:paraId="7C11399C" w14:textId="1EC264BF" w:rsidR="00923CE0" w:rsidRPr="00CE7AEC" w:rsidRDefault="00923CE0" w:rsidP="00CE7AEC">
            <w:pPr>
              <w:pStyle w:val="ExhibitText"/>
              <w:jc w:val="left"/>
              <w:rPr>
                <w:sz w:val="18"/>
                <w:szCs w:val="18"/>
              </w:rPr>
            </w:pPr>
            <w:r w:rsidRPr="00CE7AEC">
              <w:rPr>
                <w:sz w:val="18"/>
                <w:szCs w:val="18"/>
              </w:rPr>
              <w:t>Short</w:t>
            </w:r>
            <w:r w:rsidR="00CE7AEC">
              <w:rPr>
                <w:sz w:val="18"/>
                <w:szCs w:val="18"/>
              </w:rPr>
              <w:t>-T</w:t>
            </w:r>
            <w:r w:rsidRPr="00CE7AEC">
              <w:rPr>
                <w:sz w:val="18"/>
                <w:szCs w:val="18"/>
              </w:rPr>
              <w:t xml:space="preserve">erm </w:t>
            </w:r>
            <w:r w:rsidR="00CE7AEC">
              <w:rPr>
                <w:sz w:val="18"/>
                <w:szCs w:val="18"/>
              </w:rPr>
              <w:t>P</w:t>
            </w:r>
            <w:r w:rsidRPr="00CE7AEC">
              <w:rPr>
                <w:sz w:val="18"/>
                <w:szCs w:val="18"/>
              </w:rPr>
              <w:t>rovisions</w:t>
            </w:r>
          </w:p>
        </w:tc>
        <w:tc>
          <w:tcPr>
            <w:tcW w:w="1154" w:type="dxa"/>
            <w:shd w:val="clear" w:color="auto" w:fill="auto"/>
            <w:vAlign w:val="center"/>
          </w:tcPr>
          <w:p w14:paraId="3BDC0F22" w14:textId="728488D6" w:rsidR="00923CE0" w:rsidRPr="00CE7AEC" w:rsidRDefault="00923CE0" w:rsidP="00CE7AEC">
            <w:pPr>
              <w:pStyle w:val="ExhibitText"/>
              <w:jc w:val="right"/>
              <w:rPr>
                <w:sz w:val="18"/>
                <w:szCs w:val="18"/>
              </w:rPr>
            </w:pPr>
            <w:r w:rsidRPr="00CE7AEC">
              <w:rPr>
                <w:sz w:val="18"/>
                <w:szCs w:val="18"/>
              </w:rPr>
              <w:t>380,461</w:t>
            </w:r>
          </w:p>
        </w:tc>
        <w:tc>
          <w:tcPr>
            <w:tcW w:w="1154" w:type="dxa"/>
            <w:shd w:val="clear" w:color="auto" w:fill="auto"/>
            <w:vAlign w:val="center"/>
          </w:tcPr>
          <w:p w14:paraId="043D4FC4" w14:textId="53952B2F" w:rsidR="00923CE0" w:rsidRPr="00CE7AEC" w:rsidRDefault="00923CE0" w:rsidP="00CE7AEC">
            <w:pPr>
              <w:pStyle w:val="ExhibitText"/>
              <w:jc w:val="right"/>
              <w:rPr>
                <w:sz w:val="18"/>
                <w:szCs w:val="18"/>
              </w:rPr>
            </w:pPr>
            <w:r w:rsidRPr="00CE7AEC">
              <w:rPr>
                <w:sz w:val="18"/>
                <w:szCs w:val="18"/>
              </w:rPr>
              <w:t>554,461</w:t>
            </w:r>
          </w:p>
        </w:tc>
        <w:tc>
          <w:tcPr>
            <w:tcW w:w="1154" w:type="dxa"/>
            <w:shd w:val="clear" w:color="auto" w:fill="auto"/>
            <w:vAlign w:val="center"/>
          </w:tcPr>
          <w:p w14:paraId="3F29BF76" w14:textId="02F8B357" w:rsidR="00923CE0" w:rsidRPr="00CE7AEC" w:rsidRDefault="00923CE0" w:rsidP="00CE7AEC">
            <w:pPr>
              <w:pStyle w:val="ExhibitText"/>
              <w:jc w:val="right"/>
              <w:rPr>
                <w:sz w:val="18"/>
                <w:szCs w:val="18"/>
              </w:rPr>
            </w:pPr>
            <w:r w:rsidRPr="00CE7AEC">
              <w:rPr>
                <w:sz w:val="18"/>
                <w:szCs w:val="18"/>
              </w:rPr>
              <w:t>582,769</w:t>
            </w:r>
          </w:p>
        </w:tc>
        <w:tc>
          <w:tcPr>
            <w:tcW w:w="1154" w:type="dxa"/>
            <w:shd w:val="clear" w:color="auto" w:fill="auto"/>
            <w:vAlign w:val="center"/>
          </w:tcPr>
          <w:p w14:paraId="3FA2E09E" w14:textId="36F68804" w:rsidR="00923CE0" w:rsidRPr="00CE7AEC" w:rsidRDefault="00923CE0" w:rsidP="00CE7AEC">
            <w:pPr>
              <w:pStyle w:val="ExhibitText"/>
              <w:jc w:val="right"/>
              <w:rPr>
                <w:sz w:val="18"/>
                <w:szCs w:val="18"/>
              </w:rPr>
            </w:pPr>
            <w:r w:rsidRPr="00CE7AEC">
              <w:rPr>
                <w:sz w:val="18"/>
                <w:szCs w:val="18"/>
              </w:rPr>
              <w:t>941,076</w:t>
            </w:r>
          </w:p>
        </w:tc>
        <w:tc>
          <w:tcPr>
            <w:tcW w:w="1154" w:type="dxa"/>
            <w:shd w:val="clear" w:color="auto" w:fill="auto"/>
            <w:vAlign w:val="center"/>
          </w:tcPr>
          <w:p w14:paraId="668FE390" w14:textId="23498F46" w:rsidR="00923CE0" w:rsidRPr="00CE7AEC" w:rsidRDefault="00923CE0" w:rsidP="00CE7AEC">
            <w:pPr>
              <w:pStyle w:val="ExhibitText"/>
              <w:jc w:val="right"/>
              <w:rPr>
                <w:sz w:val="18"/>
                <w:szCs w:val="18"/>
              </w:rPr>
            </w:pPr>
            <w:r w:rsidRPr="00CE7AEC">
              <w:rPr>
                <w:sz w:val="18"/>
                <w:szCs w:val="18"/>
              </w:rPr>
              <w:t>1,237,692</w:t>
            </w:r>
          </w:p>
        </w:tc>
        <w:tc>
          <w:tcPr>
            <w:tcW w:w="1155" w:type="dxa"/>
            <w:shd w:val="clear" w:color="auto" w:fill="auto"/>
            <w:vAlign w:val="center"/>
          </w:tcPr>
          <w:p w14:paraId="391A072B" w14:textId="43CDED58" w:rsidR="00923CE0" w:rsidRPr="00CE7AEC" w:rsidRDefault="00923CE0" w:rsidP="00CE7AEC">
            <w:pPr>
              <w:pStyle w:val="ExhibitText"/>
              <w:jc w:val="right"/>
              <w:rPr>
                <w:sz w:val="18"/>
                <w:szCs w:val="18"/>
              </w:rPr>
            </w:pPr>
            <w:r w:rsidRPr="00CE7AEC">
              <w:rPr>
                <w:sz w:val="18"/>
                <w:szCs w:val="18"/>
              </w:rPr>
              <w:t>1,355,230</w:t>
            </w:r>
          </w:p>
        </w:tc>
      </w:tr>
      <w:tr w:rsidR="00CE7AEC" w:rsidRPr="0053371E" w14:paraId="6C8C00A1" w14:textId="77777777" w:rsidTr="00824F98">
        <w:trPr>
          <w:trHeight w:val="259"/>
          <w:jc w:val="center"/>
        </w:trPr>
        <w:tc>
          <w:tcPr>
            <w:tcW w:w="2425" w:type="dxa"/>
            <w:tcBorders>
              <w:bottom w:val="double" w:sz="4" w:space="0" w:color="auto"/>
            </w:tcBorders>
            <w:shd w:val="clear" w:color="auto" w:fill="auto"/>
            <w:vAlign w:val="center"/>
          </w:tcPr>
          <w:p w14:paraId="15500DDC" w14:textId="0ABB2444" w:rsidR="00923CE0" w:rsidRPr="00824F98" w:rsidRDefault="00682887" w:rsidP="00CE7AEC">
            <w:pPr>
              <w:pStyle w:val="ExhibitText"/>
              <w:jc w:val="left"/>
              <w:rPr>
                <w:b/>
                <w:sz w:val="18"/>
                <w:szCs w:val="18"/>
              </w:rPr>
            </w:pPr>
            <w:r w:rsidRPr="00824F98">
              <w:rPr>
                <w:b/>
                <w:sz w:val="18"/>
                <w:szCs w:val="18"/>
              </w:rPr>
              <w:t xml:space="preserve"> </w:t>
            </w:r>
          </w:p>
        </w:tc>
        <w:tc>
          <w:tcPr>
            <w:tcW w:w="1154" w:type="dxa"/>
            <w:tcBorders>
              <w:bottom w:val="double" w:sz="4" w:space="0" w:color="auto"/>
            </w:tcBorders>
            <w:shd w:val="clear" w:color="auto" w:fill="auto"/>
            <w:vAlign w:val="center"/>
          </w:tcPr>
          <w:p w14:paraId="3B30696B" w14:textId="1A7620FF" w:rsidR="00923CE0" w:rsidRPr="00824F98" w:rsidRDefault="002452FF" w:rsidP="00E647EB">
            <w:pPr>
              <w:pStyle w:val="ExhibitText"/>
              <w:jc w:val="right"/>
              <w:rPr>
                <w:b/>
                <w:sz w:val="18"/>
                <w:szCs w:val="18"/>
              </w:rPr>
            </w:pPr>
            <w:r w:rsidRPr="002452FF">
              <w:rPr>
                <w:b/>
                <w:sz w:val="18"/>
                <w:szCs w:val="18"/>
              </w:rPr>
              <w:t>665,844</w:t>
            </w:r>
          </w:p>
        </w:tc>
        <w:tc>
          <w:tcPr>
            <w:tcW w:w="1154" w:type="dxa"/>
            <w:tcBorders>
              <w:bottom w:val="double" w:sz="4" w:space="0" w:color="auto"/>
            </w:tcBorders>
            <w:shd w:val="clear" w:color="auto" w:fill="auto"/>
            <w:vAlign w:val="center"/>
          </w:tcPr>
          <w:p w14:paraId="4B490610" w14:textId="19D5AF54" w:rsidR="00923CE0" w:rsidRPr="00824F98" w:rsidRDefault="002452FF" w:rsidP="00CE7AEC">
            <w:pPr>
              <w:pStyle w:val="ExhibitText"/>
              <w:jc w:val="right"/>
              <w:rPr>
                <w:b/>
                <w:sz w:val="18"/>
                <w:szCs w:val="18"/>
              </w:rPr>
            </w:pPr>
            <w:r>
              <w:rPr>
                <w:b/>
                <w:sz w:val="18"/>
                <w:szCs w:val="18"/>
              </w:rPr>
              <w:t xml:space="preserve"> </w:t>
            </w:r>
            <w:r w:rsidRPr="002452FF">
              <w:rPr>
                <w:b/>
                <w:sz w:val="18"/>
                <w:szCs w:val="18"/>
              </w:rPr>
              <w:t>928</w:t>
            </w:r>
            <w:r>
              <w:rPr>
                <w:b/>
                <w:sz w:val="18"/>
                <w:szCs w:val="18"/>
              </w:rPr>
              <w:t>,</w:t>
            </w:r>
            <w:r w:rsidRPr="002452FF">
              <w:rPr>
                <w:b/>
                <w:sz w:val="18"/>
                <w:szCs w:val="18"/>
              </w:rPr>
              <w:t>768</w:t>
            </w:r>
          </w:p>
        </w:tc>
        <w:tc>
          <w:tcPr>
            <w:tcW w:w="1154" w:type="dxa"/>
            <w:tcBorders>
              <w:bottom w:val="double" w:sz="4" w:space="0" w:color="auto"/>
            </w:tcBorders>
            <w:shd w:val="clear" w:color="auto" w:fill="auto"/>
            <w:vAlign w:val="center"/>
          </w:tcPr>
          <w:p w14:paraId="4B7A65A2" w14:textId="4E66B14B" w:rsidR="00923CE0" w:rsidRPr="00824F98" w:rsidRDefault="00D1777D" w:rsidP="00CE7AEC">
            <w:pPr>
              <w:pStyle w:val="ExhibitText"/>
              <w:jc w:val="right"/>
              <w:rPr>
                <w:b/>
                <w:sz w:val="18"/>
                <w:szCs w:val="18"/>
              </w:rPr>
            </w:pPr>
            <w:r w:rsidRPr="00824F98">
              <w:rPr>
                <w:b/>
                <w:sz w:val="18"/>
                <w:szCs w:val="18"/>
              </w:rPr>
              <w:t>1,045,0</w:t>
            </w:r>
            <w:r w:rsidR="00923CE0" w:rsidRPr="00824F98">
              <w:rPr>
                <w:b/>
                <w:sz w:val="18"/>
                <w:szCs w:val="18"/>
              </w:rPr>
              <w:t>76</w:t>
            </w:r>
          </w:p>
        </w:tc>
        <w:tc>
          <w:tcPr>
            <w:tcW w:w="1154" w:type="dxa"/>
            <w:tcBorders>
              <w:bottom w:val="double" w:sz="4" w:space="0" w:color="auto"/>
            </w:tcBorders>
            <w:shd w:val="clear" w:color="auto" w:fill="auto"/>
            <w:vAlign w:val="center"/>
          </w:tcPr>
          <w:p w14:paraId="3199DF2E" w14:textId="35B3E768" w:rsidR="00923CE0" w:rsidRPr="00824F98" w:rsidRDefault="00D1777D" w:rsidP="00CE7AEC">
            <w:pPr>
              <w:pStyle w:val="ExhibitText"/>
              <w:jc w:val="right"/>
              <w:rPr>
                <w:b/>
                <w:sz w:val="18"/>
                <w:szCs w:val="18"/>
              </w:rPr>
            </w:pPr>
            <w:r w:rsidRPr="00824F98">
              <w:rPr>
                <w:b/>
                <w:sz w:val="18"/>
                <w:szCs w:val="18"/>
              </w:rPr>
              <w:t>1,57</w:t>
            </w:r>
            <w:r w:rsidR="00923CE0" w:rsidRPr="00824F98">
              <w:rPr>
                <w:b/>
                <w:sz w:val="18"/>
                <w:szCs w:val="18"/>
              </w:rPr>
              <w:t>7</w:t>
            </w:r>
            <w:r w:rsidRPr="00824F98">
              <w:rPr>
                <w:b/>
                <w:sz w:val="18"/>
                <w:szCs w:val="18"/>
              </w:rPr>
              <w:t>,</w:t>
            </w:r>
            <w:r w:rsidR="00923CE0" w:rsidRPr="00824F98">
              <w:rPr>
                <w:b/>
                <w:sz w:val="18"/>
                <w:szCs w:val="18"/>
              </w:rPr>
              <w:t>84</w:t>
            </w:r>
            <w:r w:rsidR="00AF3705">
              <w:rPr>
                <w:b/>
                <w:sz w:val="18"/>
                <w:szCs w:val="18"/>
              </w:rPr>
              <w:t>4</w:t>
            </w:r>
          </w:p>
        </w:tc>
        <w:tc>
          <w:tcPr>
            <w:tcW w:w="1154" w:type="dxa"/>
            <w:tcBorders>
              <w:bottom w:val="double" w:sz="4" w:space="0" w:color="auto"/>
            </w:tcBorders>
            <w:shd w:val="clear" w:color="auto" w:fill="auto"/>
            <w:vAlign w:val="center"/>
          </w:tcPr>
          <w:p w14:paraId="7713ADB1" w14:textId="51C15BF8" w:rsidR="00923CE0" w:rsidRPr="00824F98" w:rsidRDefault="00723D48" w:rsidP="00CE7AEC">
            <w:pPr>
              <w:pStyle w:val="ExhibitText"/>
              <w:jc w:val="right"/>
              <w:rPr>
                <w:b/>
                <w:sz w:val="18"/>
                <w:szCs w:val="18"/>
              </w:rPr>
            </w:pPr>
            <w:r>
              <w:rPr>
                <w:b/>
                <w:sz w:val="18"/>
                <w:szCs w:val="18"/>
              </w:rPr>
              <w:t xml:space="preserve"> </w:t>
            </w:r>
            <w:r w:rsidRPr="00723D48">
              <w:rPr>
                <w:b/>
                <w:sz w:val="18"/>
                <w:szCs w:val="18"/>
              </w:rPr>
              <w:t>2</w:t>
            </w:r>
            <w:r>
              <w:rPr>
                <w:b/>
                <w:sz w:val="18"/>
                <w:szCs w:val="18"/>
              </w:rPr>
              <w:t>,</w:t>
            </w:r>
            <w:r w:rsidRPr="00723D48">
              <w:rPr>
                <w:b/>
                <w:sz w:val="18"/>
                <w:szCs w:val="18"/>
              </w:rPr>
              <w:t>109</w:t>
            </w:r>
            <w:r>
              <w:rPr>
                <w:b/>
                <w:sz w:val="18"/>
                <w:szCs w:val="18"/>
              </w:rPr>
              <w:t>,</w:t>
            </w:r>
            <w:r w:rsidRPr="00723D48">
              <w:rPr>
                <w:b/>
                <w:sz w:val="18"/>
                <w:szCs w:val="18"/>
              </w:rPr>
              <w:t>998</w:t>
            </w:r>
          </w:p>
        </w:tc>
        <w:tc>
          <w:tcPr>
            <w:tcW w:w="1155" w:type="dxa"/>
            <w:tcBorders>
              <w:bottom w:val="double" w:sz="4" w:space="0" w:color="auto"/>
            </w:tcBorders>
            <w:shd w:val="clear" w:color="auto" w:fill="auto"/>
            <w:vAlign w:val="center"/>
          </w:tcPr>
          <w:p w14:paraId="48FB522A" w14:textId="01F2151C" w:rsidR="00923CE0" w:rsidRPr="00824F98" w:rsidRDefault="00923CE0" w:rsidP="00CE7AEC">
            <w:pPr>
              <w:pStyle w:val="ExhibitText"/>
              <w:jc w:val="right"/>
              <w:rPr>
                <w:b/>
                <w:sz w:val="18"/>
                <w:szCs w:val="18"/>
              </w:rPr>
            </w:pPr>
            <w:r w:rsidRPr="00824F98">
              <w:rPr>
                <w:b/>
                <w:sz w:val="18"/>
                <w:szCs w:val="18"/>
              </w:rPr>
              <w:t>2,390,30</w:t>
            </w:r>
            <w:r w:rsidR="00723D48">
              <w:rPr>
                <w:b/>
                <w:sz w:val="18"/>
                <w:szCs w:val="18"/>
              </w:rPr>
              <w:t>6</w:t>
            </w:r>
          </w:p>
        </w:tc>
      </w:tr>
      <w:tr w:rsidR="00CE7AEC" w:rsidRPr="0053371E" w14:paraId="2F6447D7" w14:textId="77777777" w:rsidTr="00824F98">
        <w:trPr>
          <w:trHeight w:val="259"/>
          <w:jc w:val="center"/>
        </w:trPr>
        <w:tc>
          <w:tcPr>
            <w:tcW w:w="2425" w:type="dxa"/>
            <w:tcBorders>
              <w:top w:val="double" w:sz="4" w:space="0" w:color="auto"/>
              <w:bottom w:val="double" w:sz="4" w:space="0" w:color="auto"/>
            </w:tcBorders>
            <w:shd w:val="clear" w:color="auto" w:fill="auto"/>
            <w:vAlign w:val="center"/>
          </w:tcPr>
          <w:p w14:paraId="5201057E" w14:textId="4B160A81" w:rsidR="00923CE0" w:rsidRPr="00824F98" w:rsidRDefault="00682887" w:rsidP="00CE7AEC">
            <w:pPr>
              <w:pStyle w:val="ExhibitText"/>
              <w:jc w:val="left"/>
              <w:rPr>
                <w:b/>
                <w:sz w:val="18"/>
                <w:szCs w:val="18"/>
              </w:rPr>
            </w:pPr>
            <w:r w:rsidRPr="00824F98">
              <w:rPr>
                <w:b/>
                <w:sz w:val="18"/>
                <w:szCs w:val="18"/>
              </w:rPr>
              <w:t xml:space="preserve"> </w:t>
            </w:r>
          </w:p>
        </w:tc>
        <w:tc>
          <w:tcPr>
            <w:tcW w:w="1154" w:type="dxa"/>
            <w:tcBorders>
              <w:top w:val="double" w:sz="4" w:space="0" w:color="auto"/>
              <w:bottom w:val="double" w:sz="4" w:space="0" w:color="auto"/>
            </w:tcBorders>
            <w:shd w:val="clear" w:color="auto" w:fill="auto"/>
            <w:vAlign w:val="center"/>
          </w:tcPr>
          <w:p w14:paraId="0C3C86EC" w14:textId="3F2088BF" w:rsidR="00923CE0" w:rsidRPr="00824F98" w:rsidRDefault="00D1777D" w:rsidP="00CE7AEC">
            <w:pPr>
              <w:pStyle w:val="ExhibitText"/>
              <w:jc w:val="right"/>
              <w:rPr>
                <w:b/>
                <w:sz w:val="18"/>
                <w:szCs w:val="18"/>
              </w:rPr>
            </w:pPr>
            <w:r w:rsidRPr="00824F98">
              <w:rPr>
                <w:b/>
                <w:sz w:val="18"/>
                <w:szCs w:val="18"/>
              </w:rPr>
              <w:t>4,439,0</w:t>
            </w:r>
            <w:r w:rsidR="00923CE0" w:rsidRPr="00824F98">
              <w:rPr>
                <w:b/>
                <w:sz w:val="18"/>
                <w:szCs w:val="18"/>
              </w:rPr>
              <w:t>7</w:t>
            </w:r>
            <w:r w:rsidR="00D274D5">
              <w:rPr>
                <w:b/>
                <w:sz w:val="18"/>
                <w:szCs w:val="18"/>
              </w:rPr>
              <w:t>5</w:t>
            </w:r>
          </w:p>
        </w:tc>
        <w:tc>
          <w:tcPr>
            <w:tcW w:w="1154" w:type="dxa"/>
            <w:tcBorders>
              <w:top w:val="double" w:sz="4" w:space="0" w:color="auto"/>
              <w:bottom w:val="double" w:sz="4" w:space="0" w:color="auto"/>
            </w:tcBorders>
            <w:shd w:val="clear" w:color="auto" w:fill="auto"/>
            <w:vAlign w:val="center"/>
          </w:tcPr>
          <w:p w14:paraId="0910BE8A" w14:textId="2D547F27" w:rsidR="00923CE0" w:rsidRPr="00824F98" w:rsidRDefault="00995F42" w:rsidP="00CE7AEC">
            <w:pPr>
              <w:pStyle w:val="ExhibitText"/>
              <w:jc w:val="right"/>
              <w:rPr>
                <w:b/>
                <w:sz w:val="18"/>
                <w:szCs w:val="18"/>
              </w:rPr>
            </w:pPr>
            <w:r>
              <w:rPr>
                <w:b/>
                <w:sz w:val="18"/>
                <w:szCs w:val="18"/>
              </w:rPr>
              <w:t xml:space="preserve"> </w:t>
            </w:r>
            <w:r w:rsidRPr="00995F42">
              <w:rPr>
                <w:b/>
                <w:sz w:val="18"/>
                <w:szCs w:val="18"/>
              </w:rPr>
              <w:t>5</w:t>
            </w:r>
            <w:r>
              <w:rPr>
                <w:b/>
                <w:sz w:val="18"/>
                <w:szCs w:val="18"/>
              </w:rPr>
              <w:t>,</w:t>
            </w:r>
            <w:r w:rsidRPr="00995F42">
              <w:rPr>
                <w:b/>
                <w:sz w:val="18"/>
                <w:szCs w:val="18"/>
              </w:rPr>
              <w:t>509</w:t>
            </w:r>
            <w:r>
              <w:rPr>
                <w:b/>
                <w:sz w:val="18"/>
                <w:szCs w:val="18"/>
              </w:rPr>
              <w:t>,</w:t>
            </w:r>
            <w:r w:rsidRPr="00995F42">
              <w:rPr>
                <w:b/>
                <w:sz w:val="18"/>
                <w:szCs w:val="18"/>
              </w:rPr>
              <w:t>998</w:t>
            </w:r>
          </w:p>
        </w:tc>
        <w:tc>
          <w:tcPr>
            <w:tcW w:w="1154" w:type="dxa"/>
            <w:tcBorders>
              <w:top w:val="double" w:sz="4" w:space="0" w:color="auto"/>
              <w:bottom w:val="double" w:sz="4" w:space="0" w:color="auto"/>
            </w:tcBorders>
            <w:shd w:val="clear" w:color="auto" w:fill="auto"/>
            <w:vAlign w:val="center"/>
          </w:tcPr>
          <w:p w14:paraId="626A6D74" w14:textId="6FD790FC" w:rsidR="00923CE0" w:rsidRPr="00824F98" w:rsidRDefault="00D1777D" w:rsidP="00CE7AEC">
            <w:pPr>
              <w:pStyle w:val="ExhibitText"/>
              <w:jc w:val="right"/>
              <w:rPr>
                <w:b/>
                <w:sz w:val="18"/>
                <w:szCs w:val="18"/>
              </w:rPr>
            </w:pPr>
            <w:r w:rsidRPr="00824F98">
              <w:rPr>
                <w:b/>
                <w:sz w:val="18"/>
                <w:szCs w:val="18"/>
              </w:rPr>
              <w:t>6,619,</w:t>
            </w:r>
            <w:r w:rsidR="009D5F74" w:rsidRPr="00824F98">
              <w:rPr>
                <w:b/>
                <w:sz w:val="18"/>
                <w:szCs w:val="18"/>
              </w:rPr>
              <w:t>69</w:t>
            </w:r>
            <w:r w:rsidR="009D5F74">
              <w:rPr>
                <w:b/>
                <w:sz w:val="18"/>
                <w:szCs w:val="18"/>
              </w:rPr>
              <w:t>1</w:t>
            </w:r>
          </w:p>
        </w:tc>
        <w:tc>
          <w:tcPr>
            <w:tcW w:w="1154" w:type="dxa"/>
            <w:tcBorders>
              <w:top w:val="double" w:sz="4" w:space="0" w:color="auto"/>
              <w:bottom w:val="double" w:sz="4" w:space="0" w:color="auto"/>
            </w:tcBorders>
            <w:shd w:val="clear" w:color="auto" w:fill="auto"/>
            <w:vAlign w:val="center"/>
          </w:tcPr>
          <w:p w14:paraId="27F5D342" w14:textId="68CC5923" w:rsidR="00923CE0" w:rsidRPr="00824F98" w:rsidRDefault="00DE534D" w:rsidP="00CE7AEC">
            <w:pPr>
              <w:pStyle w:val="ExhibitText"/>
              <w:jc w:val="right"/>
              <w:rPr>
                <w:b/>
                <w:sz w:val="18"/>
                <w:szCs w:val="18"/>
              </w:rPr>
            </w:pPr>
            <w:r>
              <w:rPr>
                <w:b/>
                <w:sz w:val="18"/>
                <w:szCs w:val="18"/>
              </w:rPr>
              <w:t xml:space="preserve"> </w:t>
            </w:r>
            <w:r w:rsidRPr="00DE534D">
              <w:rPr>
                <w:b/>
                <w:sz w:val="18"/>
                <w:szCs w:val="18"/>
              </w:rPr>
              <w:t>2</w:t>
            </w:r>
            <w:r>
              <w:rPr>
                <w:b/>
                <w:sz w:val="18"/>
                <w:szCs w:val="18"/>
              </w:rPr>
              <w:t>,</w:t>
            </w:r>
            <w:r w:rsidRPr="00DE534D">
              <w:rPr>
                <w:b/>
                <w:sz w:val="18"/>
                <w:szCs w:val="18"/>
              </w:rPr>
              <w:t>309</w:t>
            </w:r>
            <w:r>
              <w:rPr>
                <w:b/>
                <w:sz w:val="18"/>
                <w:szCs w:val="18"/>
              </w:rPr>
              <w:t>,</w:t>
            </w:r>
            <w:r w:rsidRPr="00DE534D">
              <w:rPr>
                <w:b/>
                <w:sz w:val="18"/>
                <w:szCs w:val="18"/>
              </w:rPr>
              <w:t>536</w:t>
            </w:r>
          </w:p>
        </w:tc>
        <w:tc>
          <w:tcPr>
            <w:tcW w:w="1154" w:type="dxa"/>
            <w:tcBorders>
              <w:top w:val="double" w:sz="4" w:space="0" w:color="auto"/>
              <w:bottom w:val="double" w:sz="4" w:space="0" w:color="auto"/>
            </w:tcBorders>
            <w:shd w:val="clear" w:color="auto" w:fill="auto"/>
            <w:vAlign w:val="center"/>
          </w:tcPr>
          <w:p w14:paraId="1CB655D5" w14:textId="2F237E79" w:rsidR="00923CE0" w:rsidRPr="00824F98" w:rsidRDefault="0047251C" w:rsidP="00CE7AEC">
            <w:pPr>
              <w:pStyle w:val="ExhibitText"/>
              <w:jc w:val="right"/>
              <w:rPr>
                <w:b/>
                <w:sz w:val="18"/>
                <w:szCs w:val="18"/>
              </w:rPr>
            </w:pPr>
            <w:r>
              <w:rPr>
                <w:b/>
                <w:sz w:val="18"/>
                <w:szCs w:val="18"/>
              </w:rPr>
              <w:t xml:space="preserve"> </w:t>
            </w:r>
            <w:r w:rsidRPr="0047251C">
              <w:rPr>
                <w:b/>
                <w:sz w:val="18"/>
                <w:szCs w:val="18"/>
              </w:rPr>
              <w:t>9</w:t>
            </w:r>
            <w:r>
              <w:rPr>
                <w:b/>
                <w:sz w:val="18"/>
                <w:szCs w:val="18"/>
              </w:rPr>
              <w:t>,</w:t>
            </w:r>
            <w:r w:rsidRPr="0047251C">
              <w:rPr>
                <w:b/>
                <w:sz w:val="18"/>
                <w:szCs w:val="18"/>
              </w:rPr>
              <w:t>495</w:t>
            </w:r>
            <w:r>
              <w:rPr>
                <w:b/>
                <w:sz w:val="18"/>
                <w:szCs w:val="18"/>
              </w:rPr>
              <w:t>,</w:t>
            </w:r>
            <w:r w:rsidRPr="0047251C">
              <w:rPr>
                <w:b/>
                <w:sz w:val="18"/>
                <w:szCs w:val="18"/>
              </w:rPr>
              <w:t>844</w:t>
            </w:r>
          </w:p>
        </w:tc>
        <w:tc>
          <w:tcPr>
            <w:tcW w:w="1155" w:type="dxa"/>
            <w:tcBorders>
              <w:top w:val="double" w:sz="4" w:space="0" w:color="auto"/>
              <w:bottom w:val="double" w:sz="4" w:space="0" w:color="auto"/>
            </w:tcBorders>
            <w:shd w:val="clear" w:color="auto" w:fill="auto"/>
            <w:vAlign w:val="center"/>
          </w:tcPr>
          <w:p w14:paraId="1A079177" w14:textId="45005566" w:rsidR="00923CE0" w:rsidRPr="00824F98" w:rsidRDefault="00D1777D" w:rsidP="00CE7AEC">
            <w:pPr>
              <w:pStyle w:val="ExhibitText"/>
              <w:jc w:val="right"/>
              <w:rPr>
                <w:b/>
                <w:sz w:val="18"/>
                <w:szCs w:val="18"/>
              </w:rPr>
            </w:pPr>
            <w:r w:rsidRPr="00824F98">
              <w:rPr>
                <w:b/>
                <w:sz w:val="18"/>
                <w:szCs w:val="18"/>
              </w:rPr>
              <w:t>11,194,</w:t>
            </w:r>
            <w:r w:rsidR="009D5F74" w:rsidRPr="00824F98">
              <w:rPr>
                <w:b/>
                <w:sz w:val="18"/>
                <w:szCs w:val="18"/>
              </w:rPr>
              <w:t>92</w:t>
            </w:r>
            <w:r w:rsidR="009D5F74">
              <w:rPr>
                <w:b/>
                <w:sz w:val="18"/>
                <w:szCs w:val="18"/>
              </w:rPr>
              <w:t>0</w:t>
            </w:r>
          </w:p>
        </w:tc>
      </w:tr>
      <w:tr w:rsidR="00923CE0" w:rsidRPr="007A72DD" w14:paraId="60C47287" w14:textId="77777777" w:rsidTr="00824F98">
        <w:trPr>
          <w:trHeight w:val="259"/>
          <w:jc w:val="center"/>
        </w:trPr>
        <w:tc>
          <w:tcPr>
            <w:tcW w:w="9350" w:type="dxa"/>
            <w:gridSpan w:val="7"/>
            <w:tcBorders>
              <w:top w:val="double" w:sz="4" w:space="0" w:color="auto"/>
            </w:tcBorders>
            <w:shd w:val="clear" w:color="auto" w:fill="auto"/>
            <w:vAlign w:val="center"/>
          </w:tcPr>
          <w:p w14:paraId="3524D321" w14:textId="168609EB" w:rsidR="00923CE0" w:rsidRPr="00824F98" w:rsidRDefault="002F3E1B" w:rsidP="00CE7AEC">
            <w:pPr>
              <w:pStyle w:val="ExhibitText"/>
              <w:jc w:val="left"/>
              <w:rPr>
                <w:b/>
                <w:sz w:val="18"/>
                <w:szCs w:val="18"/>
              </w:rPr>
            </w:pPr>
            <w:r w:rsidRPr="002F3E1B">
              <w:rPr>
                <w:b/>
                <w:sz w:val="18"/>
                <w:szCs w:val="18"/>
              </w:rPr>
              <w:t>ASSETS</w:t>
            </w:r>
          </w:p>
        </w:tc>
      </w:tr>
      <w:tr w:rsidR="00923CE0" w:rsidRPr="007A72DD" w14:paraId="6FEB91C3" w14:textId="77777777" w:rsidTr="00CE7AEC">
        <w:trPr>
          <w:trHeight w:val="259"/>
          <w:jc w:val="center"/>
        </w:trPr>
        <w:tc>
          <w:tcPr>
            <w:tcW w:w="9350" w:type="dxa"/>
            <w:gridSpan w:val="7"/>
            <w:shd w:val="clear" w:color="auto" w:fill="auto"/>
            <w:vAlign w:val="center"/>
          </w:tcPr>
          <w:p w14:paraId="6B6A8134" w14:textId="77777777" w:rsidR="00923CE0" w:rsidRPr="00824F98" w:rsidRDefault="00923CE0" w:rsidP="00CE7AEC">
            <w:pPr>
              <w:pStyle w:val="ExhibitText"/>
              <w:jc w:val="left"/>
              <w:rPr>
                <w:b/>
                <w:sz w:val="18"/>
                <w:szCs w:val="18"/>
              </w:rPr>
            </w:pPr>
            <w:r w:rsidRPr="00824F98">
              <w:rPr>
                <w:b/>
                <w:sz w:val="18"/>
                <w:szCs w:val="18"/>
              </w:rPr>
              <w:t>Non-Current Assets</w:t>
            </w:r>
          </w:p>
        </w:tc>
      </w:tr>
      <w:tr w:rsidR="002F3E1B" w:rsidRPr="002F3E1B" w14:paraId="696CA8D7" w14:textId="77777777" w:rsidTr="00A07447">
        <w:trPr>
          <w:trHeight w:val="259"/>
          <w:jc w:val="center"/>
        </w:trPr>
        <w:tc>
          <w:tcPr>
            <w:tcW w:w="9350" w:type="dxa"/>
            <w:gridSpan w:val="7"/>
            <w:shd w:val="clear" w:color="auto" w:fill="auto"/>
            <w:vAlign w:val="center"/>
          </w:tcPr>
          <w:p w14:paraId="0860175B" w14:textId="0D5DB7DF" w:rsidR="002F3E1B" w:rsidRPr="00824F98" w:rsidRDefault="002F3E1B" w:rsidP="00824F98">
            <w:pPr>
              <w:pStyle w:val="ExhibitText"/>
              <w:jc w:val="left"/>
              <w:rPr>
                <w:b/>
                <w:sz w:val="18"/>
                <w:szCs w:val="18"/>
              </w:rPr>
            </w:pPr>
            <w:r w:rsidRPr="00824F98">
              <w:rPr>
                <w:b/>
                <w:sz w:val="18"/>
                <w:szCs w:val="18"/>
              </w:rPr>
              <w:t xml:space="preserve">Fixed Assets </w:t>
            </w:r>
          </w:p>
        </w:tc>
      </w:tr>
      <w:tr w:rsidR="00CE7AEC" w:rsidRPr="00CE7AEC" w14:paraId="36BDC2E8" w14:textId="77777777" w:rsidTr="00CE7AEC">
        <w:trPr>
          <w:trHeight w:val="259"/>
          <w:jc w:val="center"/>
        </w:trPr>
        <w:tc>
          <w:tcPr>
            <w:tcW w:w="2425" w:type="dxa"/>
            <w:shd w:val="clear" w:color="auto" w:fill="auto"/>
            <w:vAlign w:val="center"/>
          </w:tcPr>
          <w:p w14:paraId="08963572" w14:textId="77777777" w:rsidR="00923CE0" w:rsidRPr="00CE7AEC" w:rsidRDefault="00923CE0" w:rsidP="00CE7AEC">
            <w:pPr>
              <w:pStyle w:val="ExhibitText"/>
              <w:jc w:val="left"/>
              <w:rPr>
                <w:sz w:val="18"/>
                <w:szCs w:val="18"/>
              </w:rPr>
            </w:pPr>
            <w:r w:rsidRPr="00CE7AEC">
              <w:rPr>
                <w:sz w:val="18"/>
                <w:szCs w:val="18"/>
              </w:rPr>
              <w:t>Tangible Assets</w:t>
            </w:r>
          </w:p>
        </w:tc>
        <w:tc>
          <w:tcPr>
            <w:tcW w:w="1154" w:type="dxa"/>
            <w:shd w:val="clear" w:color="auto" w:fill="auto"/>
            <w:vAlign w:val="center"/>
          </w:tcPr>
          <w:p w14:paraId="058D1B21" w14:textId="3E724DF1" w:rsidR="00923CE0" w:rsidRPr="00CE7AEC" w:rsidRDefault="00D1777D" w:rsidP="00CE7AEC">
            <w:pPr>
              <w:pStyle w:val="ExhibitText"/>
              <w:jc w:val="right"/>
              <w:rPr>
                <w:sz w:val="18"/>
                <w:szCs w:val="18"/>
              </w:rPr>
            </w:pPr>
            <w:r w:rsidRPr="00CE7AEC">
              <w:rPr>
                <w:sz w:val="18"/>
                <w:szCs w:val="18"/>
              </w:rPr>
              <w:t>624,0</w:t>
            </w:r>
            <w:r w:rsidR="00923CE0" w:rsidRPr="00CE7AEC">
              <w:rPr>
                <w:sz w:val="18"/>
                <w:szCs w:val="18"/>
              </w:rPr>
              <w:t>00</w:t>
            </w:r>
          </w:p>
        </w:tc>
        <w:tc>
          <w:tcPr>
            <w:tcW w:w="1154" w:type="dxa"/>
            <w:shd w:val="clear" w:color="auto" w:fill="auto"/>
            <w:vAlign w:val="center"/>
          </w:tcPr>
          <w:p w14:paraId="115663C2" w14:textId="6D36057A" w:rsidR="00923CE0" w:rsidRPr="00CE7AEC" w:rsidRDefault="00D1777D" w:rsidP="00CE7AEC">
            <w:pPr>
              <w:pStyle w:val="ExhibitText"/>
              <w:jc w:val="right"/>
              <w:rPr>
                <w:sz w:val="18"/>
                <w:szCs w:val="18"/>
              </w:rPr>
            </w:pPr>
            <w:r w:rsidRPr="00CE7AEC">
              <w:rPr>
                <w:sz w:val="18"/>
                <w:szCs w:val="18"/>
              </w:rPr>
              <w:t>622,3</w:t>
            </w:r>
            <w:r w:rsidR="00923CE0" w:rsidRPr="00CE7AEC">
              <w:rPr>
                <w:sz w:val="18"/>
                <w:szCs w:val="18"/>
              </w:rPr>
              <w:t>07</w:t>
            </w:r>
          </w:p>
        </w:tc>
        <w:tc>
          <w:tcPr>
            <w:tcW w:w="1154" w:type="dxa"/>
            <w:shd w:val="clear" w:color="auto" w:fill="auto"/>
            <w:vAlign w:val="center"/>
          </w:tcPr>
          <w:p w14:paraId="3A3DC7BE" w14:textId="74D8A3A3" w:rsidR="00923CE0" w:rsidRPr="00CE7AEC" w:rsidRDefault="00D1777D" w:rsidP="00CE7AEC">
            <w:pPr>
              <w:pStyle w:val="ExhibitText"/>
              <w:jc w:val="right"/>
              <w:rPr>
                <w:sz w:val="18"/>
                <w:szCs w:val="18"/>
              </w:rPr>
            </w:pPr>
            <w:r w:rsidRPr="00CE7AEC">
              <w:rPr>
                <w:sz w:val="18"/>
                <w:szCs w:val="18"/>
              </w:rPr>
              <w:t>680,7</w:t>
            </w:r>
            <w:r w:rsidR="00923CE0" w:rsidRPr="00CE7AEC">
              <w:rPr>
                <w:sz w:val="18"/>
                <w:szCs w:val="18"/>
              </w:rPr>
              <w:t>69</w:t>
            </w:r>
          </w:p>
        </w:tc>
        <w:tc>
          <w:tcPr>
            <w:tcW w:w="1154" w:type="dxa"/>
            <w:shd w:val="clear" w:color="auto" w:fill="auto"/>
            <w:vAlign w:val="center"/>
          </w:tcPr>
          <w:p w14:paraId="6F249BB0" w14:textId="25A357D3" w:rsidR="00923CE0" w:rsidRPr="00CE7AEC" w:rsidRDefault="00D1777D" w:rsidP="00CE7AEC">
            <w:pPr>
              <w:pStyle w:val="ExhibitText"/>
              <w:jc w:val="right"/>
              <w:rPr>
                <w:sz w:val="18"/>
                <w:szCs w:val="18"/>
              </w:rPr>
            </w:pPr>
            <w:r w:rsidRPr="00CE7AEC">
              <w:rPr>
                <w:sz w:val="18"/>
                <w:szCs w:val="18"/>
              </w:rPr>
              <w:t>879,8</w:t>
            </w:r>
            <w:r w:rsidR="00923CE0" w:rsidRPr="00CE7AEC">
              <w:rPr>
                <w:sz w:val="18"/>
                <w:szCs w:val="18"/>
              </w:rPr>
              <w:t>46</w:t>
            </w:r>
          </w:p>
        </w:tc>
        <w:tc>
          <w:tcPr>
            <w:tcW w:w="1154" w:type="dxa"/>
            <w:shd w:val="clear" w:color="auto" w:fill="auto"/>
            <w:vAlign w:val="center"/>
          </w:tcPr>
          <w:p w14:paraId="6A759CB5" w14:textId="35875912" w:rsidR="00923CE0" w:rsidRPr="00CE7AEC" w:rsidRDefault="00D1777D" w:rsidP="00CE7AEC">
            <w:pPr>
              <w:pStyle w:val="ExhibitText"/>
              <w:jc w:val="right"/>
              <w:rPr>
                <w:sz w:val="18"/>
                <w:szCs w:val="18"/>
              </w:rPr>
            </w:pPr>
            <w:r w:rsidRPr="00CE7AEC">
              <w:rPr>
                <w:sz w:val="18"/>
                <w:szCs w:val="18"/>
              </w:rPr>
              <w:t>1,130,3</w:t>
            </w:r>
            <w:r w:rsidR="00923CE0" w:rsidRPr="00CE7AEC">
              <w:rPr>
                <w:sz w:val="18"/>
                <w:szCs w:val="18"/>
              </w:rPr>
              <w:t>07</w:t>
            </w:r>
          </w:p>
        </w:tc>
        <w:tc>
          <w:tcPr>
            <w:tcW w:w="1155" w:type="dxa"/>
            <w:shd w:val="clear" w:color="auto" w:fill="auto"/>
            <w:vAlign w:val="center"/>
          </w:tcPr>
          <w:p w14:paraId="3D09A9A4" w14:textId="6BFC48B3" w:rsidR="00923CE0" w:rsidRPr="00CE7AEC" w:rsidRDefault="00D1777D" w:rsidP="00CE7AEC">
            <w:pPr>
              <w:pStyle w:val="ExhibitText"/>
              <w:jc w:val="right"/>
              <w:rPr>
                <w:sz w:val="18"/>
                <w:szCs w:val="18"/>
              </w:rPr>
            </w:pPr>
            <w:r w:rsidRPr="00CE7AEC">
              <w:rPr>
                <w:sz w:val="18"/>
                <w:szCs w:val="18"/>
              </w:rPr>
              <w:t>1,268,9</w:t>
            </w:r>
            <w:r w:rsidR="00923CE0" w:rsidRPr="00CE7AEC">
              <w:rPr>
                <w:sz w:val="18"/>
                <w:szCs w:val="18"/>
              </w:rPr>
              <w:t>23</w:t>
            </w:r>
          </w:p>
        </w:tc>
      </w:tr>
      <w:tr w:rsidR="00CE7AEC" w:rsidRPr="00CE7AEC" w14:paraId="6E0B9190" w14:textId="77777777" w:rsidTr="00CE7AEC">
        <w:trPr>
          <w:trHeight w:val="259"/>
          <w:jc w:val="center"/>
        </w:trPr>
        <w:tc>
          <w:tcPr>
            <w:tcW w:w="2425" w:type="dxa"/>
            <w:shd w:val="clear" w:color="auto" w:fill="auto"/>
            <w:vAlign w:val="center"/>
          </w:tcPr>
          <w:p w14:paraId="28EB1F51" w14:textId="77777777" w:rsidR="00923CE0" w:rsidRPr="00CE7AEC" w:rsidRDefault="00923CE0" w:rsidP="00CE7AEC">
            <w:pPr>
              <w:pStyle w:val="ExhibitText"/>
              <w:jc w:val="left"/>
              <w:rPr>
                <w:sz w:val="18"/>
                <w:szCs w:val="18"/>
              </w:rPr>
            </w:pPr>
            <w:r w:rsidRPr="00CE7AEC">
              <w:rPr>
                <w:sz w:val="18"/>
                <w:szCs w:val="18"/>
              </w:rPr>
              <w:t>Intangible Assets</w:t>
            </w:r>
          </w:p>
        </w:tc>
        <w:tc>
          <w:tcPr>
            <w:tcW w:w="1154" w:type="dxa"/>
            <w:shd w:val="clear" w:color="auto" w:fill="auto"/>
            <w:vAlign w:val="center"/>
          </w:tcPr>
          <w:p w14:paraId="5F1D2284" w14:textId="77777777" w:rsidR="00923CE0" w:rsidRPr="00CE7AEC" w:rsidRDefault="00923CE0" w:rsidP="00CE7AEC">
            <w:pPr>
              <w:pStyle w:val="ExhibitText"/>
              <w:jc w:val="right"/>
              <w:rPr>
                <w:sz w:val="18"/>
                <w:szCs w:val="18"/>
              </w:rPr>
            </w:pPr>
            <w:r w:rsidRPr="00CE7AEC">
              <w:rPr>
                <w:sz w:val="18"/>
                <w:szCs w:val="18"/>
              </w:rPr>
              <w:t>-</w:t>
            </w:r>
          </w:p>
        </w:tc>
        <w:tc>
          <w:tcPr>
            <w:tcW w:w="1154" w:type="dxa"/>
            <w:shd w:val="clear" w:color="auto" w:fill="auto"/>
            <w:vAlign w:val="center"/>
          </w:tcPr>
          <w:p w14:paraId="7BC215B7" w14:textId="42EAD813" w:rsidR="00923CE0" w:rsidRPr="00CE7AEC" w:rsidRDefault="00D1777D" w:rsidP="00CE7AEC">
            <w:pPr>
              <w:pStyle w:val="ExhibitText"/>
              <w:jc w:val="right"/>
              <w:rPr>
                <w:sz w:val="18"/>
                <w:szCs w:val="18"/>
              </w:rPr>
            </w:pPr>
            <w:r w:rsidRPr="00CE7AEC">
              <w:rPr>
                <w:sz w:val="18"/>
                <w:szCs w:val="18"/>
              </w:rPr>
              <w:t>2,4</w:t>
            </w:r>
            <w:r w:rsidR="00A5760D" w:rsidRPr="00CE7AEC">
              <w:rPr>
                <w:sz w:val="18"/>
                <w:szCs w:val="18"/>
              </w:rPr>
              <w:t>61</w:t>
            </w:r>
          </w:p>
        </w:tc>
        <w:tc>
          <w:tcPr>
            <w:tcW w:w="1154" w:type="dxa"/>
            <w:shd w:val="clear" w:color="auto" w:fill="auto"/>
            <w:vAlign w:val="center"/>
          </w:tcPr>
          <w:p w14:paraId="5FC7FFAB" w14:textId="5043C9D4" w:rsidR="00923CE0" w:rsidRPr="00CE7AEC" w:rsidRDefault="00D1777D" w:rsidP="00CE7AEC">
            <w:pPr>
              <w:pStyle w:val="ExhibitText"/>
              <w:jc w:val="right"/>
              <w:rPr>
                <w:sz w:val="18"/>
                <w:szCs w:val="18"/>
              </w:rPr>
            </w:pPr>
            <w:r w:rsidRPr="00CE7AEC">
              <w:rPr>
                <w:sz w:val="18"/>
                <w:szCs w:val="18"/>
              </w:rPr>
              <w:t>4,3</w:t>
            </w:r>
            <w:r w:rsidR="00A5760D" w:rsidRPr="00CE7AEC">
              <w:rPr>
                <w:sz w:val="18"/>
                <w:szCs w:val="18"/>
              </w:rPr>
              <w:t>07</w:t>
            </w:r>
          </w:p>
        </w:tc>
        <w:tc>
          <w:tcPr>
            <w:tcW w:w="1154" w:type="dxa"/>
            <w:shd w:val="clear" w:color="auto" w:fill="auto"/>
            <w:vAlign w:val="center"/>
          </w:tcPr>
          <w:p w14:paraId="16A83C6F" w14:textId="7072795F" w:rsidR="00923CE0" w:rsidRPr="00CE7AEC" w:rsidRDefault="00D1777D" w:rsidP="00CE7AEC">
            <w:pPr>
              <w:pStyle w:val="ExhibitText"/>
              <w:jc w:val="right"/>
              <w:rPr>
                <w:sz w:val="18"/>
                <w:szCs w:val="18"/>
              </w:rPr>
            </w:pPr>
            <w:r w:rsidRPr="00CE7AEC">
              <w:rPr>
                <w:sz w:val="18"/>
                <w:szCs w:val="18"/>
              </w:rPr>
              <w:t>2,0</w:t>
            </w:r>
            <w:r w:rsidR="00923CE0" w:rsidRPr="00CE7AEC">
              <w:rPr>
                <w:sz w:val="18"/>
                <w:szCs w:val="18"/>
              </w:rPr>
              <w:t>00</w:t>
            </w:r>
          </w:p>
        </w:tc>
        <w:tc>
          <w:tcPr>
            <w:tcW w:w="1154" w:type="dxa"/>
            <w:shd w:val="clear" w:color="auto" w:fill="auto"/>
            <w:vAlign w:val="center"/>
          </w:tcPr>
          <w:p w14:paraId="4F2324B9" w14:textId="2F8DB078" w:rsidR="00923CE0" w:rsidRPr="00CE7AEC" w:rsidRDefault="00E412C7" w:rsidP="00CE7AEC">
            <w:pPr>
              <w:pStyle w:val="ExhibitText"/>
              <w:jc w:val="right"/>
              <w:rPr>
                <w:sz w:val="18"/>
                <w:szCs w:val="18"/>
              </w:rPr>
            </w:pPr>
            <w:r w:rsidRPr="00CE7AEC">
              <w:rPr>
                <w:sz w:val="18"/>
                <w:szCs w:val="18"/>
              </w:rPr>
              <w:t>-</w:t>
            </w:r>
            <w:r w:rsidR="00682887" w:rsidRPr="00CE7AEC">
              <w:rPr>
                <w:sz w:val="18"/>
                <w:szCs w:val="18"/>
              </w:rPr>
              <w:t xml:space="preserve"> </w:t>
            </w:r>
          </w:p>
        </w:tc>
        <w:tc>
          <w:tcPr>
            <w:tcW w:w="1155" w:type="dxa"/>
            <w:shd w:val="clear" w:color="auto" w:fill="auto"/>
            <w:vAlign w:val="center"/>
          </w:tcPr>
          <w:p w14:paraId="1244A21B" w14:textId="4A156562" w:rsidR="00923CE0" w:rsidRPr="00CE7AEC" w:rsidRDefault="00E412C7" w:rsidP="00CE7AEC">
            <w:pPr>
              <w:pStyle w:val="ExhibitText"/>
              <w:jc w:val="right"/>
              <w:rPr>
                <w:sz w:val="18"/>
                <w:szCs w:val="18"/>
              </w:rPr>
            </w:pPr>
            <w:r w:rsidRPr="00CE7AEC">
              <w:rPr>
                <w:sz w:val="18"/>
                <w:szCs w:val="18"/>
              </w:rPr>
              <w:t>-</w:t>
            </w:r>
            <w:r w:rsidR="00682887" w:rsidRPr="00CE7AEC">
              <w:rPr>
                <w:sz w:val="18"/>
                <w:szCs w:val="18"/>
              </w:rPr>
              <w:t xml:space="preserve"> </w:t>
            </w:r>
          </w:p>
        </w:tc>
      </w:tr>
      <w:tr w:rsidR="00CE7AEC" w:rsidRPr="00CE7AEC" w14:paraId="3F0D5E84" w14:textId="77777777" w:rsidTr="00CE7AEC">
        <w:trPr>
          <w:trHeight w:val="259"/>
          <w:jc w:val="center"/>
        </w:trPr>
        <w:tc>
          <w:tcPr>
            <w:tcW w:w="2425" w:type="dxa"/>
            <w:shd w:val="clear" w:color="auto" w:fill="auto"/>
            <w:vAlign w:val="center"/>
          </w:tcPr>
          <w:p w14:paraId="4CDC4483" w14:textId="77777777" w:rsidR="00923CE0" w:rsidRPr="00CE7AEC" w:rsidRDefault="00923CE0" w:rsidP="00CE7AEC">
            <w:pPr>
              <w:pStyle w:val="ExhibitText"/>
              <w:jc w:val="left"/>
              <w:rPr>
                <w:sz w:val="18"/>
                <w:szCs w:val="18"/>
              </w:rPr>
            </w:pPr>
            <w:r w:rsidRPr="00CE7AEC">
              <w:rPr>
                <w:sz w:val="18"/>
                <w:szCs w:val="18"/>
              </w:rPr>
              <w:t>Capital Work in Progress</w:t>
            </w:r>
          </w:p>
        </w:tc>
        <w:tc>
          <w:tcPr>
            <w:tcW w:w="1154" w:type="dxa"/>
            <w:shd w:val="clear" w:color="auto" w:fill="auto"/>
            <w:vAlign w:val="center"/>
          </w:tcPr>
          <w:p w14:paraId="393D3187" w14:textId="37F6FFCF" w:rsidR="00923CE0" w:rsidRPr="00CE7AEC" w:rsidRDefault="00D1777D" w:rsidP="00CE7AEC">
            <w:pPr>
              <w:pStyle w:val="ExhibitText"/>
              <w:jc w:val="right"/>
              <w:rPr>
                <w:sz w:val="18"/>
                <w:szCs w:val="18"/>
              </w:rPr>
            </w:pPr>
            <w:r w:rsidRPr="00CE7AEC">
              <w:rPr>
                <w:sz w:val="18"/>
                <w:szCs w:val="18"/>
              </w:rPr>
              <w:t>38,3</w:t>
            </w:r>
            <w:r w:rsidR="00923CE0" w:rsidRPr="00CE7AEC">
              <w:rPr>
                <w:sz w:val="18"/>
                <w:szCs w:val="18"/>
              </w:rPr>
              <w:t>07</w:t>
            </w:r>
          </w:p>
        </w:tc>
        <w:tc>
          <w:tcPr>
            <w:tcW w:w="1154" w:type="dxa"/>
            <w:shd w:val="clear" w:color="auto" w:fill="auto"/>
            <w:vAlign w:val="center"/>
          </w:tcPr>
          <w:p w14:paraId="7BA1DD02" w14:textId="6E3FA769" w:rsidR="00923CE0" w:rsidRPr="00CE7AEC" w:rsidRDefault="00D1777D" w:rsidP="00CE7AEC">
            <w:pPr>
              <w:pStyle w:val="ExhibitText"/>
              <w:jc w:val="right"/>
              <w:rPr>
                <w:sz w:val="18"/>
                <w:szCs w:val="18"/>
              </w:rPr>
            </w:pPr>
            <w:r w:rsidRPr="00CE7AEC">
              <w:rPr>
                <w:sz w:val="18"/>
                <w:szCs w:val="18"/>
              </w:rPr>
              <w:t>90,4</w:t>
            </w:r>
            <w:r w:rsidR="00923CE0" w:rsidRPr="00CE7AEC">
              <w:rPr>
                <w:sz w:val="18"/>
                <w:szCs w:val="18"/>
              </w:rPr>
              <w:t>61</w:t>
            </w:r>
          </w:p>
        </w:tc>
        <w:tc>
          <w:tcPr>
            <w:tcW w:w="1154" w:type="dxa"/>
            <w:shd w:val="clear" w:color="auto" w:fill="auto"/>
            <w:vAlign w:val="center"/>
          </w:tcPr>
          <w:p w14:paraId="0BA8952F" w14:textId="486CA327" w:rsidR="00923CE0" w:rsidRPr="00CE7AEC" w:rsidRDefault="00D1777D" w:rsidP="00CE7AEC">
            <w:pPr>
              <w:pStyle w:val="ExhibitText"/>
              <w:jc w:val="right"/>
              <w:rPr>
                <w:sz w:val="18"/>
                <w:szCs w:val="18"/>
              </w:rPr>
            </w:pPr>
            <w:r w:rsidRPr="00CE7AEC">
              <w:rPr>
                <w:sz w:val="18"/>
                <w:szCs w:val="18"/>
              </w:rPr>
              <w:t>174,6</w:t>
            </w:r>
            <w:r w:rsidR="00923CE0" w:rsidRPr="00CE7AEC">
              <w:rPr>
                <w:sz w:val="18"/>
                <w:szCs w:val="18"/>
              </w:rPr>
              <w:t>15</w:t>
            </w:r>
          </w:p>
        </w:tc>
        <w:tc>
          <w:tcPr>
            <w:tcW w:w="1154" w:type="dxa"/>
            <w:shd w:val="clear" w:color="auto" w:fill="auto"/>
            <w:vAlign w:val="center"/>
          </w:tcPr>
          <w:p w14:paraId="5D6FDE80" w14:textId="1D280ABF" w:rsidR="00923CE0" w:rsidRPr="00CE7AEC" w:rsidRDefault="00D1777D" w:rsidP="00CE7AEC">
            <w:pPr>
              <w:pStyle w:val="ExhibitText"/>
              <w:jc w:val="right"/>
              <w:rPr>
                <w:sz w:val="18"/>
                <w:szCs w:val="18"/>
              </w:rPr>
            </w:pPr>
            <w:r w:rsidRPr="00CE7AEC">
              <w:rPr>
                <w:sz w:val="18"/>
                <w:szCs w:val="18"/>
              </w:rPr>
              <w:t>146,7</w:t>
            </w:r>
            <w:r w:rsidR="00923CE0" w:rsidRPr="00CE7AEC">
              <w:rPr>
                <w:sz w:val="18"/>
                <w:szCs w:val="18"/>
              </w:rPr>
              <w:t>69</w:t>
            </w:r>
          </w:p>
        </w:tc>
        <w:tc>
          <w:tcPr>
            <w:tcW w:w="1154" w:type="dxa"/>
            <w:shd w:val="clear" w:color="auto" w:fill="auto"/>
            <w:vAlign w:val="center"/>
          </w:tcPr>
          <w:p w14:paraId="27B7B7B5" w14:textId="6DD0DE66" w:rsidR="00923CE0" w:rsidRPr="00CE7AEC" w:rsidRDefault="00D1777D" w:rsidP="00CE7AEC">
            <w:pPr>
              <w:pStyle w:val="ExhibitText"/>
              <w:jc w:val="right"/>
              <w:rPr>
                <w:sz w:val="18"/>
                <w:szCs w:val="18"/>
              </w:rPr>
            </w:pPr>
            <w:r w:rsidRPr="00CE7AEC">
              <w:rPr>
                <w:sz w:val="18"/>
                <w:szCs w:val="18"/>
              </w:rPr>
              <w:t>118,3</w:t>
            </w:r>
            <w:r w:rsidR="00923CE0" w:rsidRPr="00CE7AEC">
              <w:rPr>
                <w:sz w:val="18"/>
                <w:szCs w:val="18"/>
              </w:rPr>
              <w:t>07</w:t>
            </w:r>
          </w:p>
        </w:tc>
        <w:tc>
          <w:tcPr>
            <w:tcW w:w="1155" w:type="dxa"/>
            <w:shd w:val="clear" w:color="auto" w:fill="auto"/>
            <w:vAlign w:val="center"/>
          </w:tcPr>
          <w:p w14:paraId="4E0F611C" w14:textId="3C3A9374" w:rsidR="00923CE0" w:rsidRPr="00CE7AEC" w:rsidRDefault="00D1777D" w:rsidP="00CE7AEC">
            <w:pPr>
              <w:pStyle w:val="ExhibitText"/>
              <w:jc w:val="right"/>
              <w:rPr>
                <w:sz w:val="18"/>
                <w:szCs w:val="18"/>
              </w:rPr>
            </w:pPr>
            <w:r w:rsidRPr="00CE7AEC">
              <w:rPr>
                <w:sz w:val="18"/>
                <w:szCs w:val="18"/>
              </w:rPr>
              <w:t>143,6</w:t>
            </w:r>
            <w:r w:rsidR="00923CE0" w:rsidRPr="00CE7AEC">
              <w:rPr>
                <w:sz w:val="18"/>
                <w:szCs w:val="18"/>
              </w:rPr>
              <w:t>92</w:t>
            </w:r>
          </w:p>
        </w:tc>
      </w:tr>
      <w:tr w:rsidR="00CE7AEC" w:rsidRPr="007A72DD" w14:paraId="60C977C4" w14:textId="77777777" w:rsidTr="00CE7AEC">
        <w:trPr>
          <w:trHeight w:val="259"/>
          <w:jc w:val="center"/>
        </w:trPr>
        <w:tc>
          <w:tcPr>
            <w:tcW w:w="2425" w:type="dxa"/>
            <w:shd w:val="clear" w:color="auto" w:fill="auto"/>
            <w:vAlign w:val="center"/>
          </w:tcPr>
          <w:p w14:paraId="7EEFC4A4" w14:textId="5D9ADE29" w:rsidR="00923CE0" w:rsidRPr="00824F98" w:rsidRDefault="00682887" w:rsidP="00CE7AEC">
            <w:pPr>
              <w:pStyle w:val="ExhibitText"/>
              <w:jc w:val="left"/>
              <w:rPr>
                <w:b/>
                <w:sz w:val="18"/>
                <w:szCs w:val="18"/>
              </w:rPr>
            </w:pPr>
            <w:r w:rsidRPr="00824F98">
              <w:rPr>
                <w:b/>
                <w:sz w:val="18"/>
                <w:szCs w:val="18"/>
              </w:rPr>
              <w:t xml:space="preserve"> </w:t>
            </w:r>
          </w:p>
        </w:tc>
        <w:tc>
          <w:tcPr>
            <w:tcW w:w="1154" w:type="dxa"/>
            <w:shd w:val="clear" w:color="auto" w:fill="auto"/>
            <w:vAlign w:val="center"/>
          </w:tcPr>
          <w:p w14:paraId="4F57CDD9" w14:textId="3E7A0239" w:rsidR="00923CE0" w:rsidRPr="00824F98" w:rsidRDefault="00D1777D" w:rsidP="00CE7AEC">
            <w:pPr>
              <w:pStyle w:val="ExhibitText"/>
              <w:jc w:val="right"/>
              <w:rPr>
                <w:b/>
                <w:sz w:val="18"/>
                <w:szCs w:val="18"/>
              </w:rPr>
            </w:pPr>
            <w:r w:rsidRPr="00824F98">
              <w:rPr>
                <w:b/>
                <w:sz w:val="18"/>
                <w:szCs w:val="18"/>
              </w:rPr>
              <w:t>662,3</w:t>
            </w:r>
            <w:r w:rsidR="00923CE0" w:rsidRPr="00824F98">
              <w:rPr>
                <w:b/>
                <w:sz w:val="18"/>
                <w:szCs w:val="18"/>
              </w:rPr>
              <w:t>07</w:t>
            </w:r>
          </w:p>
        </w:tc>
        <w:tc>
          <w:tcPr>
            <w:tcW w:w="1154" w:type="dxa"/>
            <w:shd w:val="clear" w:color="auto" w:fill="auto"/>
            <w:vAlign w:val="center"/>
          </w:tcPr>
          <w:p w14:paraId="7680EADA" w14:textId="40DC9BA5" w:rsidR="00923CE0" w:rsidRPr="00824F98" w:rsidRDefault="00D1777D" w:rsidP="00CE7AEC">
            <w:pPr>
              <w:pStyle w:val="ExhibitText"/>
              <w:jc w:val="right"/>
              <w:rPr>
                <w:b/>
                <w:sz w:val="18"/>
                <w:szCs w:val="18"/>
              </w:rPr>
            </w:pPr>
            <w:r w:rsidRPr="00824F98">
              <w:rPr>
                <w:b/>
                <w:sz w:val="18"/>
                <w:szCs w:val="18"/>
              </w:rPr>
              <w:t>715,2</w:t>
            </w:r>
            <w:r w:rsidR="00E769F6">
              <w:rPr>
                <w:b/>
                <w:sz w:val="18"/>
                <w:szCs w:val="18"/>
              </w:rPr>
              <w:t>29</w:t>
            </w:r>
          </w:p>
        </w:tc>
        <w:tc>
          <w:tcPr>
            <w:tcW w:w="1154" w:type="dxa"/>
            <w:shd w:val="clear" w:color="auto" w:fill="auto"/>
            <w:vAlign w:val="center"/>
          </w:tcPr>
          <w:p w14:paraId="4ABE920C" w14:textId="6A4BEDF1" w:rsidR="00923CE0" w:rsidRPr="00824F98" w:rsidRDefault="00D1777D" w:rsidP="00CE7AEC">
            <w:pPr>
              <w:pStyle w:val="ExhibitText"/>
              <w:jc w:val="right"/>
              <w:rPr>
                <w:b/>
                <w:sz w:val="18"/>
                <w:szCs w:val="18"/>
              </w:rPr>
            </w:pPr>
            <w:r w:rsidRPr="00824F98">
              <w:rPr>
                <w:b/>
                <w:sz w:val="18"/>
                <w:szCs w:val="18"/>
              </w:rPr>
              <w:t>859,6</w:t>
            </w:r>
            <w:r w:rsidR="00923CE0" w:rsidRPr="00824F98">
              <w:rPr>
                <w:b/>
                <w:sz w:val="18"/>
                <w:szCs w:val="18"/>
              </w:rPr>
              <w:t>9</w:t>
            </w:r>
            <w:r w:rsidR="00E769F6">
              <w:rPr>
                <w:b/>
                <w:sz w:val="18"/>
                <w:szCs w:val="18"/>
              </w:rPr>
              <w:t>1</w:t>
            </w:r>
          </w:p>
        </w:tc>
        <w:tc>
          <w:tcPr>
            <w:tcW w:w="1154" w:type="dxa"/>
            <w:shd w:val="clear" w:color="auto" w:fill="auto"/>
            <w:vAlign w:val="center"/>
          </w:tcPr>
          <w:p w14:paraId="0BF5C315" w14:textId="1A1FF1A4" w:rsidR="00923CE0" w:rsidRPr="00824F98" w:rsidRDefault="00D1777D" w:rsidP="00CE7AEC">
            <w:pPr>
              <w:pStyle w:val="ExhibitText"/>
              <w:jc w:val="right"/>
              <w:rPr>
                <w:b/>
                <w:sz w:val="18"/>
                <w:szCs w:val="18"/>
              </w:rPr>
            </w:pPr>
            <w:r w:rsidRPr="00824F98">
              <w:rPr>
                <w:b/>
                <w:sz w:val="18"/>
                <w:szCs w:val="18"/>
              </w:rPr>
              <w:t>1,028,6</w:t>
            </w:r>
            <w:r w:rsidR="00923CE0" w:rsidRPr="00824F98">
              <w:rPr>
                <w:b/>
                <w:sz w:val="18"/>
                <w:szCs w:val="18"/>
              </w:rPr>
              <w:t>15</w:t>
            </w:r>
          </w:p>
        </w:tc>
        <w:tc>
          <w:tcPr>
            <w:tcW w:w="1154" w:type="dxa"/>
            <w:shd w:val="clear" w:color="auto" w:fill="auto"/>
            <w:vAlign w:val="center"/>
          </w:tcPr>
          <w:p w14:paraId="6E49C59B" w14:textId="7DF4310E" w:rsidR="00923CE0" w:rsidRPr="00824F98" w:rsidRDefault="00D1777D" w:rsidP="00CE7AEC">
            <w:pPr>
              <w:pStyle w:val="ExhibitText"/>
              <w:jc w:val="right"/>
              <w:rPr>
                <w:b/>
                <w:sz w:val="18"/>
                <w:szCs w:val="18"/>
              </w:rPr>
            </w:pPr>
            <w:r w:rsidRPr="00824F98">
              <w:rPr>
                <w:b/>
                <w:sz w:val="18"/>
                <w:szCs w:val="18"/>
              </w:rPr>
              <w:t>1,248,6</w:t>
            </w:r>
            <w:r w:rsidR="00923CE0" w:rsidRPr="00824F98">
              <w:rPr>
                <w:b/>
                <w:sz w:val="18"/>
                <w:szCs w:val="18"/>
              </w:rPr>
              <w:t>1</w:t>
            </w:r>
            <w:r w:rsidR="0003517F">
              <w:rPr>
                <w:b/>
                <w:sz w:val="18"/>
                <w:szCs w:val="18"/>
              </w:rPr>
              <w:t>4</w:t>
            </w:r>
          </w:p>
        </w:tc>
        <w:tc>
          <w:tcPr>
            <w:tcW w:w="1155" w:type="dxa"/>
            <w:shd w:val="clear" w:color="auto" w:fill="auto"/>
            <w:vAlign w:val="center"/>
          </w:tcPr>
          <w:p w14:paraId="1F2EC85E" w14:textId="736E974C" w:rsidR="00923CE0" w:rsidRPr="00824F98" w:rsidRDefault="00D1777D" w:rsidP="00CE7AEC">
            <w:pPr>
              <w:pStyle w:val="ExhibitText"/>
              <w:jc w:val="right"/>
              <w:rPr>
                <w:b/>
                <w:sz w:val="18"/>
                <w:szCs w:val="18"/>
              </w:rPr>
            </w:pPr>
            <w:r w:rsidRPr="00824F98">
              <w:rPr>
                <w:b/>
                <w:sz w:val="18"/>
                <w:szCs w:val="18"/>
              </w:rPr>
              <w:t>1,412,6</w:t>
            </w:r>
            <w:r w:rsidR="00923CE0" w:rsidRPr="00824F98">
              <w:rPr>
                <w:b/>
                <w:sz w:val="18"/>
                <w:szCs w:val="18"/>
              </w:rPr>
              <w:t>15</w:t>
            </w:r>
          </w:p>
        </w:tc>
      </w:tr>
      <w:tr w:rsidR="00CE7AEC" w:rsidRPr="00CE7AEC" w14:paraId="72FEB557" w14:textId="77777777" w:rsidTr="00CE7AEC">
        <w:trPr>
          <w:trHeight w:val="259"/>
          <w:jc w:val="center"/>
        </w:trPr>
        <w:tc>
          <w:tcPr>
            <w:tcW w:w="2425" w:type="dxa"/>
            <w:shd w:val="clear" w:color="auto" w:fill="auto"/>
            <w:vAlign w:val="center"/>
          </w:tcPr>
          <w:p w14:paraId="2C048E32" w14:textId="0BE17821" w:rsidR="00923CE0" w:rsidRPr="00CE7AEC" w:rsidRDefault="00923CE0" w:rsidP="00CE7AEC">
            <w:pPr>
              <w:pStyle w:val="ExhibitText"/>
              <w:jc w:val="left"/>
              <w:rPr>
                <w:sz w:val="18"/>
                <w:szCs w:val="18"/>
              </w:rPr>
            </w:pPr>
            <w:r w:rsidRPr="00CE7AEC">
              <w:rPr>
                <w:sz w:val="18"/>
                <w:szCs w:val="18"/>
              </w:rPr>
              <w:t>Non</w:t>
            </w:r>
            <w:r w:rsidR="007A72DD">
              <w:rPr>
                <w:sz w:val="18"/>
                <w:szCs w:val="18"/>
              </w:rPr>
              <w:t>-</w:t>
            </w:r>
            <w:r w:rsidRPr="00CE7AEC">
              <w:rPr>
                <w:sz w:val="18"/>
                <w:szCs w:val="18"/>
              </w:rPr>
              <w:t xml:space="preserve">Current </w:t>
            </w:r>
            <w:r w:rsidR="001967D8">
              <w:rPr>
                <w:sz w:val="18"/>
                <w:szCs w:val="18"/>
              </w:rPr>
              <w:t>I</w:t>
            </w:r>
            <w:r w:rsidRPr="00CE7AEC">
              <w:rPr>
                <w:sz w:val="18"/>
                <w:szCs w:val="18"/>
              </w:rPr>
              <w:t>nvestments</w:t>
            </w:r>
          </w:p>
        </w:tc>
        <w:tc>
          <w:tcPr>
            <w:tcW w:w="1154" w:type="dxa"/>
            <w:shd w:val="clear" w:color="auto" w:fill="auto"/>
            <w:vAlign w:val="center"/>
          </w:tcPr>
          <w:p w14:paraId="45CFCE88" w14:textId="5EC936AF" w:rsidR="00923CE0" w:rsidRPr="00CE7AEC" w:rsidRDefault="00D1777D" w:rsidP="00CE7AEC">
            <w:pPr>
              <w:pStyle w:val="ExhibitText"/>
              <w:jc w:val="right"/>
              <w:rPr>
                <w:sz w:val="18"/>
                <w:szCs w:val="18"/>
              </w:rPr>
            </w:pPr>
            <w:r w:rsidRPr="00CE7AEC">
              <w:rPr>
                <w:sz w:val="18"/>
                <w:szCs w:val="18"/>
              </w:rPr>
              <w:t>185,5</w:t>
            </w:r>
            <w:r w:rsidR="00923CE0" w:rsidRPr="00CE7AEC">
              <w:rPr>
                <w:sz w:val="18"/>
                <w:szCs w:val="18"/>
              </w:rPr>
              <w:t>38</w:t>
            </w:r>
          </w:p>
        </w:tc>
        <w:tc>
          <w:tcPr>
            <w:tcW w:w="1154" w:type="dxa"/>
            <w:shd w:val="clear" w:color="auto" w:fill="auto"/>
            <w:vAlign w:val="center"/>
          </w:tcPr>
          <w:p w14:paraId="5033245A" w14:textId="28C3049C" w:rsidR="00923CE0" w:rsidRPr="00CE7AEC" w:rsidRDefault="00D1777D" w:rsidP="00CE7AEC">
            <w:pPr>
              <w:pStyle w:val="ExhibitText"/>
              <w:jc w:val="right"/>
              <w:rPr>
                <w:sz w:val="18"/>
                <w:szCs w:val="18"/>
              </w:rPr>
            </w:pPr>
            <w:r w:rsidRPr="00CE7AEC">
              <w:rPr>
                <w:sz w:val="18"/>
                <w:szCs w:val="18"/>
              </w:rPr>
              <w:t>164,3</w:t>
            </w:r>
            <w:r w:rsidR="00923CE0" w:rsidRPr="00CE7AEC">
              <w:rPr>
                <w:sz w:val="18"/>
                <w:szCs w:val="18"/>
              </w:rPr>
              <w:t>07</w:t>
            </w:r>
          </w:p>
        </w:tc>
        <w:tc>
          <w:tcPr>
            <w:tcW w:w="1154" w:type="dxa"/>
            <w:shd w:val="clear" w:color="auto" w:fill="auto"/>
            <w:vAlign w:val="center"/>
          </w:tcPr>
          <w:p w14:paraId="55066E94" w14:textId="703C6F91" w:rsidR="00923CE0" w:rsidRPr="00CE7AEC" w:rsidRDefault="00D1777D" w:rsidP="00CE7AEC">
            <w:pPr>
              <w:pStyle w:val="ExhibitText"/>
              <w:jc w:val="right"/>
              <w:rPr>
                <w:sz w:val="18"/>
                <w:szCs w:val="18"/>
              </w:rPr>
            </w:pPr>
            <w:r w:rsidRPr="00CE7AEC">
              <w:rPr>
                <w:sz w:val="18"/>
                <w:szCs w:val="18"/>
              </w:rPr>
              <w:t>425,2</w:t>
            </w:r>
            <w:r w:rsidR="00923CE0" w:rsidRPr="00CE7AEC">
              <w:rPr>
                <w:sz w:val="18"/>
                <w:szCs w:val="18"/>
              </w:rPr>
              <w:t>30</w:t>
            </w:r>
          </w:p>
        </w:tc>
        <w:tc>
          <w:tcPr>
            <w:tcW w:w="1154" w:type="dxa"/>
            <w:shd w:val="clear" w:color="auto" w:fill="auto"/>
            <w:vAlign w:val="center"/>
          </w:tcPr>
          <w:p w14:paraId="72CD1474" w14:textId="02A8E07F" w:rsidR="00923CE0" w:rsidRPr="00CE7AEC" w:rsidRDefault="00D1777D" w:rsidP="00CE7AEC">
            <w:pPr>
              <w:pStyle w:val="ExhibitText"/>
              <w:jc w:val="right"/>
              <w:rPr>
                <w:sz w:val="18"/>
                <w:szCs w:val="18"/>
              </w:rPr>
            </w:pPr>
            <w:r w:rsidRPr="00CE7AEC">
              <w:rPr>
                <w:sz w:val="18"/>
                <w:szCs w:val="18"/>
              </w:rPr>
              <w:t>610,4</w:t>
            </w:r>
            <w:r w:rsidR="00923CE0" w:rsidRPr="00CE7AEC">
              <w:rPr>
                <w:sz w:val="18"/>
                <w:szCs w:val="18"/>
              </w:rPr>
              <w:t>61</w:t>
            </w:r>
          </w:p>
        </w:tc>
        <w:tc>
          <w:tcPr>
            <w:tcW w:w="1154" w:type="dxa"/>
            <w:shd w:val="clear" w:color="auto" w:fill="auto"/>
            <w:vAlign w:val="center"/>
          </w:tcPr>
          <w:p w14:paraId="4096AD89" w14:textId="2C8DA14C" w:rsidR="00923CE0" w:rsidRPr="00CE7AEC" w:rsidRDefault="00D1777D" w:rsidP="00CE7AEC">
            <w:pPr>
              <w:pStyle w:val="ExhibitText"/>
              <w:jc w:val="right"/>
              <w:rPr>
                <w:sz w:val="18"/>
                <w:szCs w:val="18"/>
              </w:rPr>
            </w:pPr>
            <w:r w:rsidRPr="00CE7AEC">
              <w:rPr>
                <w:sz w:val="18"/>
                <w:szCs w:val="18"/>
              </w:rPr>
              <w:t>939,6</w:t>
            </w:r>
            <w:r w:rsidR="00923CE0" w:rsidRPr="00CE7AEC">
              <w:rPr>
                <w:sz w:val="18"/>
                <w:szCs w:val="18"/>
              </w:rPr>
              <w:t>92</w:t>
            </w:r>
          </w:p>
        </w:tc>
        <w:tc>
          <w:tcPr>
            <w:tcW w:w="1155" w:type="dxa"/>
            <w:shd w:val="clear" w:color="auto" w:fill="auto"/>
            <w:vAlign w:val="center"/>
          </w:tcPr>
          <w:p w14:paraId="6F8C434C" w14:textId="053B0F20" w:rsidR="00923CE0" w:rsidRPr="00CE7AEC" w:rsidRDefault="00D1777D" w:rsidP="00CE7AEC">
            <w:pPr>
              <w:pStyle w:val="ExhibitText"/>
              <w:jc w:val="right"/>
              <w:rPr>
                <w:sz w:val="18"/>
                <w:szCs w:val="18"/>
              </w:rPr>
            </w:pPr>
            <w:r w:rsidRPr="00CE7AEC">
              <w:rPr>
                <w:sz w:val="18"/>
                <w:szCs w:val="18"/>
              </w:rPr>
              <w:t>1,709,3</w:t>
            </w:r>
            <w:r w:rsidR="00923CE0" w:rsidRPr="00CE7AEC">
              <w:rPr>
                <w:sz w:val="18"/>
                <w:szCs w:val="18"/>
              </w:rPr>
              <w:t>84</w:t>
            </w:r>
          </w:p>
        </w:tc>
      </w:tr>
      <w:tr w:rsidR="00CE7AEC" w:rsidRPr="00CE7AEC" w14:paraId="6EE453FE" w14:textId="77777777" w:rsidTr="00CE7AEC">
        <w:trPr>
          <w:trHeight w:val="259"/>
          <w:jc w:val="center"/>
        </w:trPr>
        <w:tc>
          <w:tcPr>
            <w:tcW w:w="2425" w:type="dxa"/>
            <w:shd w:val="clear" w:color="auto" w:fill="auto"/>
            <w:vAlign w:val="center"/>
          </w:tcPr>
          <w:p w14:paraId="307FB8D4" w14:textId="77777777" w:rsidR="00923CE0" w:rsidRPr="00CE7AEC" w:rsidRDefault="00923CE0" w:rsidP="00CE7AEC">
            <w:pPr>
              <w:pStyle w:val="ExhibitText"/>
              <w:jc w:val="left"/>
              <w:rPr>
                <w:sz w:val="18"/>
                <w:szCs w:val="18"/>
              </w:rPr>
            </w:pPr>
            <w:r w:rsidRPr="00CE7AEC">
              <w:rPr>
                <w:sz w:val="18"/>
                <w:szCs w:val="18"/>
              </w:rPr>
              <w:t>Deferred Tax Assets</w:t>
            </w:r>
          </w:p>
        </w:tc>
        <w:tc>
          <w:tcPr>
            <w:tcW w:w="1154" w:type="dxa"/>
            <w:shd w:val="clear" w:color="auto" w:fill="auto"/>
            <w:vAlign w:val="center"/>
          </w:tcPr>
          <w:p w14:paraId="2EE257FC" w14:textId="3DB148FD" w:rsidR="00923CE0" w:rsidRPr="00CE7AEC" w:rsidRDefault="00D1777D" w:rsidP="00CE7AEC">
            <w:pPr>
              <w:pStyle w:val="ExhibitText"/>
              <w:jc w:val="right"/>
              <w:rPr>
                <w:sz w:val="18"/>
                <w:szCs w:val="18"/>
              </w:rPr>
            </w:pPr>
            <w:r w:rsidRPr="00CE7AEC">
              <w:rPr>
                <w:sz w:val="18"/>
                <w:szCs w:val="18"/>
              </w:rPr>
              <w:t>35,3</w:t>
            </w:r>
            <w:r w:rsidR="00923CE0" w:rsidRPr="00CE7AEC">
              <w:rPr>
                <w:sz w:val="18"/>
                <w:szCs w:val="18"/>
              </w:rPr>
              <w:t>84</w:t>
            </w:r>
          </w:p>
        </w:tc>
        <w:tc>
          <w:tcPr>
            <w:tcW w:w="1154" w:type="dxa"/>
            <w:shd w:val="clear" w:color="auto" w:fill="auto"/>
            <w:vAlign w:val="center"/>
          </w:tcPr>
          <w:p w14:paraId="3C563683" w14:textId="5771E48C" w:rsidR="00923CE0" w:rsidRPr="00CE7AEC" w:rsidRDefault="00D1777D" w:rsidP="00CE7AEC">
            <w:pPr>
              <w:pStyle w:val="ExhibitText"/>
              <w:jc w:val="right"/>
              <w:rPr>
                <w:sz w:val="18"/>
                <w:szCs w:val="18"/>
              </w:rPr>
            </w:pPr>
            <w:r w:rsidRPr="00CE7AEC">
              <w:rPr>
                <w:sz w:val="18"/>
                <w:szCs w:val="18"/>
              </w:rPr>
              <w:t>29,0</w:t>
            </w:r>
            <w:r w:rsidR="00E412C7" w:rsidRPr="00CE7AEC">
              <w:rPr>
                <w:sz w:val="18"/>
                <w:szCs w:val="18"/>
              </w:rPr>
              <w:t>76</w:t>
            </w:r>
          </w:p>
        </w:tc>
        <w:tc>
          <w:tcPr>
            <w:tcW w:w="1154" w:type="dxa"/>
            <w:shd w:val="clear" w:color="auto" w:fill="auto"/>
            <w:vAlign w:val="center"/>
          </w:tcPr>
          <w:p w14:paraId="527622DE" w14:textId="76BAC000" w:rsidR="00923CE0" w:rsidRPr="00CE7AEC" w:rsidRDefault="00D1777D" w:rsidP="00CE7AEC">
            <w:pPr>
              <w:pStyle w:val="ExhibitText"/>
              <w:jc w:val="right"/>
              <w:rPr>
                <w:sz w:val="18"/>
                <w:szCs w:val="18"/>
              </w:rPr>
            </w:pPr>
            <w:r w:rsidRPr="00CE7AEC">
              <w:rPr>
                <w:sz w:val="18"/>
                <w:szCs w:val="18"/>
              </w:rPr>
              <w:t>58,1</w:t>
            </w:r>
            <w:r w:rsidR="00E412C7" w:rsidRPr="00CE7AEC">
              <w:rPr>
                <w:sz w:val="18"/>
                <w:szCs w:val="18"/>
              </w:rPr>
              <w:t>53</w:t>
            </w:r>
          </w:p>
        </w:tc>
        <w:tc>
          <w:tcPr>
            <w:tcW w:w="1154" w:type="dxa"/>
            <w:shd w:val="clear" w:color="auto" w:fill="auto"/>
            <w:vAlign w:val="center"/>
          </w:tcPr>
          <w:p w14:paraId="19249257" w14:textId="09EEA678" w:rsidR="00923CE0" w:rsidRPr="00CE7AEC" w:rsidRDefault="00D1777D" w:rsidP="00CE7AEC">
            <w:pPr>
              <w:pStyle w:val="ExhibitText"/>
              <w:jc w:val="right"/>
              <w:rPr>
                <w:sz w:val="18"/>
                <w:szCs w:val="18"/>
              </w:rPr>
            </w:pPr>
            <w:r w:rsidRPr="00CE7AEC">
              <w:rPr>
                <w:sz w:val="18"/>
                <w:szCs w:val="18"/>
              </w:rPr>
              <w:t>83,3</w:t>
            </w:r>
            <w:r w:rsidR="00E412C7" w:rsidRPr="00CE7AEC">
              <w:rPr>
                <w:sz w:val="18"/>
                <w:szCs w:val="18"/>
              </w:rPr>
              <w:t>84</w:t>
            </w:r>
          </w:p>
        </w:tc>
        <w:tc>
          <w:tcPr>
            <w:tcW w:w="1154" w:type="dxa"/>
            <w:shd w:val="clear" w:color="auto" w:fill="auto"/>
            <w:vAlign w:val="center"/>
          </w:tcPr>
          <w:p w14:paraId="2B0ED877" w14:textId="65EBC567" w:rsidR="00923CE0" w:rsidRPr="00CE7AEC" w:rsidRDefault="00D1777D" w:rsidP="00CE7AEC">
            <w:pPr>
              <w:pStyle w:val="ExhibitText"/>
              <w:jc w:val="right"/>
              <w:rPr>
                <w:sz w:val="18"/>
                <w:szCs w:val="18"/>
              </w:rPr>
            </w:pPr>
            <w:r w:rsidRPr="00CE7AEC">
              <w:rPr>
                <w:sz w:val="18"/>
                <w:szCs w:val="18"/>
              </w:rPr>
              <w:t>66,6</w:t>
            </w:r>
            <w:r w:rsidR="00E412C7" w:rsidRPr="00CE7AEC">
              <w:rPr>
                <w:sz w:val="18"/>
                <w:szCs w:val="18"/>
              </w:rPr>
              <w:t>15</w:t>
            </w:r>
          </w:p>
        </w:tc>
        <w:tc>
          <w:tcPr>
            <w:tcW w:w="1155" w:type="dxa"/>
            <w:shd w:val="clear" w:color="auto" w:fill="auto"/>
            <w:vAlign w:val="center"/>
          </w:tcPr>
          <w:p w14:paraId="7393244B" w14:textId="4A7AC0CC" w:rsidR="00923CE0" w:rsidRPr="00CE7AEC" w:rsidRDefault="00D1777D" w:rsidP="00CE7AEC">
            <w:pPr>
              <w:pStyle w:val="ExhibitText"/>
              <w:jc w:val="right"/>
              <w:rPr>
                <w:sz w:val="18"/>
                <w:szCs w:val="18"/>
              </w:rPr>
            </w:pPr>
            <w:r w:rsidRPr="00CE7AEC">
              <w:rPr>
                <w:sz w:val="18"/>
                <w:szCs w:val="18"/>
              </w:rPr>
              <w:t>62,3</w:t>
            </w:r>
            <w:r w:rsidR="00E412C7" w:rsidRPr="00CE7AEC">
              <w:rPr>
                <w:sz w:val="18"/>
                <w:szCs w:val="18"/>
              </w:rPr>
              <w:t>07</w:t>
            </w:r>
          </w:p>
        </w:tc>
      </w:tr>
      <w:tr w:rsidR="00CE7AEC" w:rsidRPr="00CE7AEC" w14:paraId="10D0F7F5" w14:textId="77777777" w:rsidTr="00CE7AEC">
        <w:trPr>
          <w:trHeight w:val="259"/>
          <w:jc w:val="center"/>
        </w:trPr>
        <w:tc>
          <w:tcPr>
            <w:tcW w:w="2425" w:type="dxa"/>
            <w:shd w:val="clear" w:color="auto" w:fill="auto"/>
            <w:vAlign w:val="center"/>
          </w:tcPr>
          <w:p w14:paraId="48773620" w14:textId="63CA3299" w:rsidR="00923CE0" w:rsidRPr="00CE7AEC" w:rsidRDefault="00923CE0" w:rsidP="00CE7AEC">
            <w:pPr>
              <w:pStyle w:val="ExhibitText"/>
              <w:jc w:val="left"/>
              <w:rPr>
                <w:sz w:val="18"/>
                <w:szCs w:val="18"/>
              </w:rPr>
            </w:pPr>
            <w:r w:rsidRPr="00CE7AEC">
              <w:rPr>
                <w:sz w:val="18"/>
                <w:szCs w:val="18"/>
              </w:rPr>
              <w:t>Long</w:t>
            </w:r>
            <w:r w:rsidR="007A72DD">
              <w:rPr>
                <w:sz w:val="18"/>
                <w:szCs w:val="18"/>
              </w:rPr>
              <w:t>-</w:t>
            </w:r>
            <w:r w:rsidRPr="00CE7AEC">
              <w:rPr>
                <w:sz w:val="18"/>
                <w:szCs w:val="18"/>
              </w:rPr>
              <w:t>Term Loan &amp; Advances</w:t>
            </w:r>
          </w:p>
        </w:tc>
        <w:tc>
          <w:tcPr>
            <w:tcW w:w="1154" w:type="dxa"/>
            <w:shd w:val="clear" w:color="auto" w:fill="auto"/>
            <w:vAlign w:val="center"/>
          </w:tcPr>
          <w:p w14:paraId="20645766" w14:textId="37F4A591" w:rsidR="00923CE0" w:rsidRPr="00CE7AEC" w:rsidRDefault="00D1777D" w:rsidP="00CE7AEC">
            <w:pPr>
              <w:pStyle w:val="ExhibitText"/>
              <w:jc w:val="right"/>
              <w:rPr>
                <w:sz w:val="18"/>
                <w:szCs w:val="18"/>
              </w:rPr>
            </w:pPr>
            <w:r w:rsidRPr="00CE7AEC">
              <w:rPr>
                <w:sz w:val="18"/>
                <w:szCs w:val="18"/>
              </w:rPr>
              <w:t>191,3</w:t>
            </w:r>
            <w:r w:rsidR="00923CE0" w:rsidRPr="00CE7AEC">
              <w:rPr>
                <w:sz w:val="18"/>
                <w:szCs w:val="18"/>
              </w:rPr>
              <w:t>84</w:t>
            </w:r>
          </w:p>
        </w:tc>
        <w:tc>
          <w:tcPr>
            <w:tcW w:w="1154" w:type="dxa"/>
            <w:shd w:val="clear" w:color="auto" w:fill="auto"/>
            <w:vAlign w:val="center"/>
          </w:tcPr>
          <w:p w14:paraId="44799B80" w14:textId="6DAEB742" w:rsidR="00923CE0" w:rsidRPr="00CE7AEC" w:rsidRDefault="00D1777D" w:rsidP="00CE7AEC">
            <w:pPr>
              <w:pStyle w:val="ExhibitText"/>
              <w:jc w:val="right"/>
              <w:rPr>
                <w:sz w:val="18"/>
                <w:szCs w:val="18"/>
              </w:rPr>
            </w:pPr>
            <w:r w:rsidRPr="00CE7AEC">
              <w:rPr>
                <w:sz w:val="18"/>
                <w:szCs w:val="18"/>
              </w:rPr>
              <w:t>220,1</w:t>
            </w:r>
            <w:r w:rsidR="00923CE0" w:rsidRPr="00CE7AEC">
              <w:rPr>
                <w:sz w:val="18"/>
                <w:szCs w:val="18"/>
              </w:rPr>
              <w:t>53</w:t>
            </w:r>
          </w:p>
        </w:tc>
        <w:tc>
          <w:tcPr>
            <w:tcW w:w="1154" w:type="dxa"/>
            <w:shd w:val="clear" w:color="auto" w:fill="auto"/>
            <w:vAlign w:val="center"/>
          </w:tcPr>
          <w:p w14:paraId="084F673A" w14:textId="10B374EC" w:rsidR="00923CE0" w:rsidRPr="00CE7AEC" w:rsidRDefault="00D1777D" w:rsidP="00CE7AEC">
            <w:pPr>
              <w:pStyle w:val="ExhibitText"/>
              <w:jc w:val="right"/>
              <w:rPr>
                <w:sz w:val="18"/>
                <w:szCs w:val="18"/>
              </w:rPr>
            </w:pPr>
            <w:r w:rsidRPr="00CE7AEC">
              <w:rPr>
                <w:sz w:val="18"/>
                <w:szCs w:val="18"/>
              </w:rPr>
              <w:t>235,2</w:t>
            </w:r>
            <w:r w:rsidR="00923CE0" w:rsidRPr="00CE7AEC">
              <w:rPr>
                <w:sz w:val="18"/>
                <w:szCs w:val="18"/>
              </w:rPr>
              <w:t>30</w:t>
            </w:r>
          </w:p>
        </w:tc>
        <w:tc>
          <w:tcPr>
            <w:tcW w:w="1154" w:type="dxa"/>
            <w:shd w:val="clear" w:color="auto" w:fill="auto"/>
            <w:vAlign w:val="center"/>
          </w:tcPr>
          <w:p w14:paraId="6937DADC" w14:textId="4A96CE29" w:rsidR="00923CE0" w:rsidRPr="00CE7AEC" w:rsidRDefault="00923CE0" w:rsidP="00CE7AEC">
            <w:pPr>
              <w:pStyle w:val="ExhibitText"/>
              <w:jc w:val="right"/>
              <w:rPr>
                <w:sz w:val="18"/>
                <w:szCs w:val="18"/>
              </w:rPr>
            </w:pPr>
            <w:r w:rsidRPr="00CE7AEC">
              <w:rPr>
                <w:sz w:val="18"/>
                <w:szCs w:val="18"/>
              </w:rPr>
              <w:t>34</w:t>
            </w:r>
            <w:r w:rsidR="00D1777D" w:rsidRPr="00CE7AEC">
              <w:rPr>
                <w:sz w:val="18"/>
                <w:szCs w:val="18"/>
              </w:rPr>
              <w:t>2,6</w:t>
            </w:r>
            <w:r w:rsidRPr="00CE7AEC">
              <w:rPr>
                <w:sz w:val="18"/>
                <w:szCs w:val="18"/>
              </w:rPr>
              <w:t>15</w:t>
            </w:r>
          </w:p>
        </w:tc>
        <w:tc>
          <w:tcPr>
            <w:tcW w:w="1154" w:type="dxa"/>
            <w:shd w:val="clear" w:color="auto" w:fill="auto"/>
            <w:vAlign w:val="center"/>
          </w:tcPr>
          <w:p w14:paraId="1ED40C01" w14:textId="0A4E6857" w:rsidR="00923CE0" w:rsidRPr="00CE7AEC" w:rsidRDefault="00D1777D" w:rsidP="00CE7AEC">
            <w:pPr>
              <w:pStyle w:val="ExhibitText"/>
              <w:jc w:val="right"/>
              <w:rPr>
                <w:sz w:val="18"/>
                <w:szCs w:val="18"/>
              </w:rPr>
            </w:pPr>
            <w:r w:rsidRPr="00CE7AEC">
              <w:rPr>
                <w:sz w:val="18"/>
                <w:szCs w:val="18"/>
              </w:rPr>
              <w:t>673,5</w:t>
            </w:r>
            <w:r w:rsidR="00923CE0" w:rsidRPr="00CE7AEC">
              <w:rPr>
                <w:sz w:val="18"/>
                <w:szCs w:val="18"/>
              </w:rPr>
              <w:t>38</w:t>
            </w:r>
          </w:p>
        </w:tc>
        <w:tc>
          <w:tcPr>
            <w:tcW w:w="1155" w:type="dxa"/>
            <w:shd w:val="clear" w:color="auto" w:fill="auto"/>
            <w:vAlign w:val="center"/>
          </w:tcPr>
          <w:p w14:paraId="47DD5349" w14:textId="40E745F2" w:rsidR="00923CE0" w:rsidRPr="00CE7AEC" w:rsidRDefault="00D1777D" w:rsidP="00CE7AEC">
            <w:pPr>
              <w:pStyle w:val="ExhibitText"/>
              <w:jc w:val="right"/>
              <w:rPr>
                <w:sz w:val="18"/>
                <w:szCs w:val="18"/>
              </w:rPr>
            </w:pPr>
            <w:r w:rsidRPr="00CE7AEC">
              <w:rPr>
                <w:sz w:val="18"/>
                <w:szCs w:val="18"/>
              </w:rPr>
              <w:t>918,4</w:t>
            </w:r>
            <w:r w:rsidR="00923CE0" w:rsidRPr="00CE7AEC">
              <w:rPr>
                <w:sz w:val="18"/>
                <w:szCs w:val="18"/>
              </w:rPr>
              <w:t>61</w:t>
            </w:r>
          </w:p>
        </w:tc>
      </w:tr>
      <w:tr w:rsidR="00CE7AEC" w:rsidRPr="00CE7AEC" w14:paraId="3A032D7E" w14:textId="77777777" w:rsidTr="00824F98">
        <w:trPr>
          <w:trHeight w:val="259"/>
          <w:jc w:val="center"/>
        </w:trPr>
        <w:tc>
          <w:tcPr>
            <w:tcW w:w="2425" w:type="dxa"/>
            <w:tcBorders>
              <w:bottom w:val="double" w:sz="4" w:space="0" w:color="auto"/>
            </w:tcBorders>
            <w:shd w:val="clear" w:color="auto" w:fill="auto"/>
            <w:vAlign w:val="center"/>
          </w:tcPr>
          <w:p w14:paraId="3BC51CB7" w14:textId="77777777" w:rsidR="00923CE0" w:rsidRPr="00CE7AEC" w:rsidRDefault="00923CE0" w:rsidP="00CE7AEC">
            <w:pPr>
              <w:pStyle w:val="ExhibitText"/>
              <w:jc w:val="left"/>
              <w:rPr>
                <w:sz w:val="18"/>
                <w:szCs w:val="18"/>
              </w:rPr>
            </w:pPr>
            <w:r w:rsidRPr="00CE7AEC">
              <w:rPr>
                <w:sz w:val="18"/>
                <w:szCs w:val="18"/>
              </w:rPr>
              <w:t>Other Non-Current Assets</w:t>
            </w:r>
          </w:p>
        </w:tc>
        <w:tc>
          <w:tcPr>
            <w:tcW w:w="1154" w:type="dxa"/>
            <w:tcBorders>
              <w:bottom w:val="double" w:sz="4" w:space="0" w:color="auto"/>
            </w:tcBorders>
            <w:shd w:val="clear" w:color="auto" w:fill="auto"/>
            <w:vAlign w:val="center"/>
          </w:tcPr>
          <w:p w14:paraId="13EB607D" w14:textId="77777777" w:rsidR="00923CE0" w:rsidRPr="00CE7AEC" w:rsidRDefault="00923CE0" w:rsidP="00CE7AEC">
            <w:pPr>
              <w:pStyle w:val="ExhibitText"/>
              <w:jc w:val="right"/>
              <w:rPr>
                <w:sz w:val="18"/>
                <w:szCs w:val="18"/>
              </w:rPr>
            </w:pPr>
            <w:r w:rsidRPr="00CE7AEC">
              <w:rPr>
                <w:sz w:val="18"/>
                <w:szCs w:val="18"/>
              </w:rPr>
              <w:t>0</w:t>
            </w:r>
          </w:p>
        </w:tc>
        <w:tc>
          <w:tcPr>
            <w:tcW w:w="1154" w:type="dxa"/>
            <w:tcBorders>
              <w:bottom w:val="double" w:sz="4" w:space="0" w:color="auto"/>
            </w:tcBorders>
            <w:shd w:val="clear" w:color="auto" w:fill="auto"/>
            <w:vAlign w:val="center"/>
          </w:tcPr>
          <w:p w14:paraId="47E1643E" w14:textId="4B7A6220" w:rsidR="00923CE0" w:rsidRPr="00CE7AEC" w:rsidRDefault="00D1777D" w:rsidP="00CE7AEC">
            <w:pPr>
              <w:pStyle w:val="ExhibitText"/>
              <w:jc w:val="right"/>
              <w:rPr>
                <w:sz w:val="18"/>
                <w:szCs w:val="18"/>
              </w:rPr>
            </w:pPr>
            <w:r w:rsidRPr="00CE7AEC">
              <w:rPr>
                <w:sz w:val="18"/>
                <w:szCs w:val="18"/>
              </w:rPr>
              <w:t>2,0</w:t>
            </w:r>
            <w:r w:rsidR="00923CE0" w:rsidRPr="00CE7AEC">
              <w:rPr>
                <w:sz w:val="18"/>
                <w:szCs w:val="18"/>
              </w:rPr>
              <w:t>00</w:t>
            </w:r>
          </w:p>
        </w:tc>
        <w:tc>
          <w:tcPr>
            <w:tcW w:w="1154" w:type="dxa"/>
            <w:tcBorders>
              <w:bottom w:val="double" w:sz="4" w:space="0" w:color="auto"/>
            </w:tcBorders>
            <w:shd w:val="clear" w:color="auto" w:fill="auto"/>
            <w:vAlign w:val="center"/>
          </w:tcPr>
          <w:p w14:paraId="2CCF6748" w14:textId="203B4DE7" w:rsidR="00923CE0" w:rsidRPr="00CE7AEC" w:rsidRDefault="00D1777D" w:rsidP="00CE7AEC">
            <w:pPr>
              <w:pStyle w:val="ExhibitText"/>
              <w:jc w:val="right"/>
              <w:rPr>
                <w:sz w:val="18"/>
                <w:szCs w:val="18"/>
              </w:rPr>
            </w:pPr>
            <w:r w:rsidRPr="00CE7AEC">
              <w:rPr>
                <w:sz w:val="18"/>
                <w:szCs w:val="18"/>
              </w:rPr>
              <w:t>4,7</w:t>
            </w:r>
            <w:r w:rsidR="00923CE0" w:rsidRPr="00CE7AEC">
              <w:rPr>
                <w:sz w:val="18"/>
                <w:szCs w:val="18"/>
              </w:rPr>
              <w:t>69</w:t>
            </w:r>
          </w:p>
        </w:tc>
        <w:tc>
          <w:tcPr>
            <w:tcW w:w="1154" w:type="dxa"/>
            <w:tcBorders>
              <w:bottom w:val="double" w:sz="4" w:space="0" w:color="auto"/>
            </w:tcBorders>
            <w:shd w:val="clear" w:color="auto" w:fill="auto"/>
            <w:vAlign w:val="center"/>
          </w:tcPr>
          <w:p w14:paraId="2BB9F6F2" w14:textId="4B2B581D" w:rsidR="00923CE0" w:rsidRPr="00CE7AEC" w:rsidRDefault="00D1777D" w:rsidP="00CE7AEC">
            <w:pPr>
              <w:pStyle w:val="ExhibitText"/>
              <w:jc w:val="right"/>
              <w:rPr>
                <w:sz w:val="18"/>
                <w:szCs w:val="18"/>
              </w:rPr>
            </w:pPr>
            <w:r w:rsidRPr="00CE7AEC">
              <w:rPr>
                <w:sz w:val="18"/>
                <w:szCs w:val="18"/>
              </w:rPr>
              <w:t>8,0</w:t>
            </w:r>
            <w:r w:rsidR="00923CE0" w:rsidRPr="00CE7AEC">
              <w:rPr>
                <w:sz w:val="18"/>
                <w:szCs w:val="18"/>
              </w:rPr>
              <w:t>00</w:t>
            </w:r>
          </w:p>
        </w:tc>
        <w:tc>
          <w:tcPr>
            <w:tcW w:w="1154" w:type="dxa"/>
            <w:tcBorders>
              <w:bottom w:val="double" w:sz="4" w:space="0" w:color="auto"/>
            </w:tcBorders>
            <w:shd w:val="clear" w:color="auto" w:fill="auto"/>
            <w:vAlign w:val="center"/>
          </w:tcPr>
          <w:p w14:paraId="184367D3" w14:textId="13102689" w:rsidR="00923CE0" w:rsidRPr="00CE7AEC" w:rsidRDefault="00D1777D" w:rsidP="00CE7AEC">
            <w:pPr>
              <w:pStyle w:val="ExhibitText"/>
              <w:jc w:val="right"/>
              <w:rPr>
                <w:sz w:val="18"/>
                <w:szCs w:val="18"/>
              </w:rPr>
            </w:pPr>
            <w:r w:rsidRPr="00CE7AEC">
              <w:rPr>
                <w:sz w:val="18"/>
                <w:szCs w:val="18"/>
              </w:rPr>
              <w:t>4,0</w:t>
            </w:r>
            <w:r w:rsidR="00923CE0" w:rsidRPr="00CE7AEC">
              <w:rPr>
                <w:sz w:val="18"/>
                <w:szCs w:val="18"/>
              </w:rPr>
              <w:t>00</w:t>
            </w:r>
          </w:p>
        </w:tc>
        <w:tc>
          <w:tcPr>
            <w:tcW w:w="1155" w:type="dxa"/>
            <w:tcBorders>
              <w:bottom w:val="double" w:sz="4" w:space="0" w:color="auto"/>
            </w:tcBorders>
            <w:shd w:val="clear" w:color="auto" w:fill="auto"/>
            <w:vAlign w:val="center"/>
          </w:tcPr>
          <w:p w14:paraId="6CF2CF2F" w14:textId="48E30E7E" w:rsidR="00923CE0" w:rsidRPr="00CE7AEC" w:rsidRDefault="00D1777D" w:rsidP="00CE7AEC">
            <w:pPr>
              <w:pStyle w:val="ExhibitText"/>
              <w:jc w:val="right"/>
              <w:rPr>
                <w:sz w:val="18"/>
                <w:szCs w:val="18"/>
              </w:rPr>
            </w:pPr>
            <w:r w:rsidRPr="00CE7AEC">
              <w:rPr>
                <w:sz w:val="18"/>
                <w:szCs w:val="18"/>
              </w:rPr>
              <w:t>3</w:t>
            </w:r>
            <w:r w:rsidR="00923CE0" w:rsidRPr="00CE7AEC">
              <w:rPr>
                <w:sz w:val="18"/>
                <w:szCs w:val="18"/>
              </w:rPr>
              <w:t>07</w:t>
            </w:r>
          </w:p>
        </w:tc>
      </w:tr>
      <w:tr w:rsidR="00CE7AEC" w:rsidRPr="007A72DD" w14:paraId="601C311A" w14:textId="77777777" w:rsidTr="00824F98">
        <w:trPr>
          <w:trHeight w:val="259"/>
          <w:jc w:val="center"/>
        </w:trPr>
        <w:tc>
          <w:tcPr>
            <w:tcW w:w="2425" w:type="dxa"/>
            <w:tcBorders>
              <w:top w:val="double" w:sz="4" w:space="0" w:color="auto"/>
              <w:bottom w:val="double" w:sz="4" w:space="0" w:color="auto"/>
            </w:tcBorders>
            <w:shd w:val="clear" w:color="auto" w:fill="auto"/>
            <w:vAlign w:val="center"/>
          </w:tcPr>
          <w:p w14:paraId="26F51883" w14:textId="38BA780C" w:rsidR="00923CE0" w:rsidRPr="00824F98" w:rsidRDefault="00682887" w:rsidP="00CE7AEC">
            <w:pPr>
              <w:pStyle w:val="ExhibitText"/>
              <w:jc w:val="left"/>
              <w:rPr>
                <w:b/>
                <w:sz w:val="18"/>
                <w:szCs w:val="18"/>
              </w:rPr>
            </w:pPr>
            <w:r w:rsidRPr="00824F98">
              <w:rPr>
                <w:b/>
                <w:sz w:val="18"/>
                <w:szCs w:val="18"/>
              </w:rPr>
              <w:t xml:space="preserve"> </w:t>
            </w:r>
          </w:p>
        </w:tc>
        <w:tc>
          <w:tcPr>
            <w:tcW w:w="1154" w:type="dxa"/>
            <w:tcBorders>
              <w:top w:val="double" w:sz="4" w:space="0" w:color="auto"/>
              <w:bottom w:val="double" w:sz="4" w:space="0" w:color="auto"/>
            </w:tcBorders>
            <w:shd w:val="clear" w:color="auto" w:fill="auto"/>
            <w:vAlign w:val="center"/>
          </w:tcPr>
          <w:p w14:paraId="23BA15FC" w14:textId="691797DE" w:rsidR="00923CE0" w:rsidRPr="00824F98" w:rsidRDefault="00D1777D" w:rsidP="00CE7AEC">
            <w:pPr>
              <w:pStyle w:val="ExhibitText"/>
              <w:jc w:val="right"/>
              <w:rPr>
                <w:b/>
                <w:sz w:val="18"/>
                <w:szCs w:val="18"/>
              </w:rPr>
            </w:pPr>
            <w:r w:rsidRPr="00824F98">
              <w:rPr>
                <w:b/>
                <w:sz w:val="18"/>
                <w:szCs w:val="18"/>
              </w:rPr>
              <w:t>1,074,</w:t>
            </w:r>
            <w:r w:rsidR="00483D84" w:rsidRPr="00824F98">
              <w:rPr>
                <w:b/>
                <w:sz w:val="18"/>
                <w:szCs w:val="18"/>
              </w:rPr>
              <w:t>61</w:t>
            </w:r>
            <w:r w:rsidR="00483D84">
              <w:rPr>
                <w:b/>
                <w:sz w:val="18"/>
                <w:szCs w:val="18"/>
              </w:rPr>
              <w:t>3</w:t>
            </w:r>
          </w:p>
        </w:tc>
        <w:tc>
          <w:tcPr>
            <w:tcW w:w="1154" w:type="dxa"/>
            <w:tcBorders>
              <w:top w:val="double" w:sz="4" w:space="0" w:color="auto"/>
              <w:bottom w:val="double" w:sz="4" w:space="0" w:color="auto"/>
            </w:tcBorders>
            <w:shd w:val="clear" w:color="auto" w:fill="auto"/>
            <w:vAlign w:val="center"/>
          </w:tcPr>
          <w:p w14:paraId="34EA2775" w14:textId="6C298D00" w:rsidR="00923CE0" w:rsidRPr="00824F98" w:rsidRDefault="00D1777D" w:rsidP="00CE7AEC">
            <w:pPr>
              <w:pStyle w:val="ExhibitText"/>
              <w:jc w:val="right"/>
              <w:rPr>
                <w:b/>
                <w:sz w:val="18"/>
                <w:szCs w:val="18"/>
              </w:rPr>
            </w:pPr>
            <w:r w:rsidRPr="00824F98">
              <w:rPr>
                <w:b/>
                <w:sz w:val="18"/>
                <w:szCs w:val="18"/>
              </w:rPr>
              <w:t>1,130,</w:t>
            </w:r>
            <w:r w:rsidR="00866F46" w:rsidRPr="00824F98">
              <w:rPr>
                <w:b/>
                <w:sz w:val="18"/>
                <w:szCs w:val="18"/>
              </w:rPr>
              <w:t>76</w:t>
            </w:r>
            <w:r w:rsidR="00866F46">
              <w:rPr>
                <w:b/>
                <w:sz w:val="18"/>
                <w:szCs w:val="18"/>
              </w:rPr>
              <w:t>5</w:t>
            </w:r>
          </w:p>
        </w:tc>
        <w:tc>
          <w:tcPr>
            <w:tcW w:w="1154" w:type="dxa"/>
            <w:tcBorders>
              <w:top w:val="double" w:sz="4" w:space="0" w:color="auto"/>
              <w:bottom w:val="double" w:sz="4" w:space="0" w:color="auto"/>
            </w:tcBorders>
            <w:shd w:val="clear" w:color="auto" w:fill="auto"/>
            <w:vAlign w:val="center"/>
          </w:tcPr>
          <w:p w14:paraId="15F89537" w14:textId="2686D418" w:rsidR="00923CE0" w:rsidRPr="00824F98" w:rsidRDefault="00866F46" w:rsidP="00CE7AEC">
            <w:pPr>
              <w:pStyle w:val="ExhibitText"/>
              <w:jc w:val="right"/>
              <w:rPr>
                <w:b/>
                <w:sz w:val="18"/>
                <w:szCs w:val="18"/>
              </w:rPr>
            </w:pPr>
            <w:r>
              <w:rPr>
                <w:b/>
                <w:sz w:val="18"/>
                <w:szCs w:val="18"/>
              </w:rPr>
              <w:t xml:space="preserve"> </w:t>
            </w:r>
            <w:r w:rsidRPr="00866F46">
              <w:rPr>
                <w:b/>
                <w:sz w:val="18"/>
                <w:szCs w:val="18"/>
              </w:rPr>
              <w:t>1</w:t>
            </w:r>
            <w:r>
              <w:rPr>
                <w:b/>
                <w:sz w:val="18"/>
                <w:szCs w:val="18"/>
              </w:rPr>
              <w:t>,</w:t>
            </w:r>
            <w:r w:rsidRPr="00866F46">
              <w:rPr>
                <w:b/>
                <w:sz w:val="18"/>
                <w:szCs w:val="18"/>
              </w:rPr>
              <w:t>583</w:t>
            </w:r>
            <w:r>
              <w:rPr>
                <w:b/>
                <w:sz w:val="18"/>
                <w:szCs w:val="18"/>
              </w:rPr>
              <w:t>,</w:t>
            </w:r>
            <w:r w:rsidRPr="00866F46">
              <w:rPr>
                <w:b/>
                <w:sz w:val="18"/>
                <w:szCs w:val="18"/>
              </w:rPr>
              <w:t>073</w:t>
            </w:r>
          </w:p>
        </w:tc>
        <w:tc>
          <w:tcPr>
            <w:tcW w:w="1154" w:type="dxa"/>
            <w:tcBorders>
              <w:top w:val="double" w:sz="4" w:space="0" w:color="auto"/>
              <w:bottom w:val="double" w:sz="4" w:space="0" w:color="auto"/>
            </w:tcBorders>
            <w:shd w:val="clear" w:color="auto" w:fill="auto"/>
            <w:vAlign w:val="center"/>
          </w:tcPr>
          <w:p w14:paraId="7C810D0F" w14:textId="5582537A" w:rsidR="00923CE0" w:rsidRPr="00824F98" w:rsidRDefault="00D1777D" w:rsidP="00CE7AEC">
            <w:pPr>
              <w:pStyle w:val="ExhibitText"/>
              <w:jc w:val="right"/>
              <w:rPr>
                <w:b/>
                <w:sz w:val="18"/>
                <w:szCs w:val="18"/>
              </w:rPr>
            </w:pPr>
            <w:r w:rsidRPr="00824F98">
              <w:rPr>
                <w:b/>
                <w:sz w:val="18"/>
                <w:szCs w:val="18"/>
              </w:rPr>
              <w:t>2,073,</w:t>
            </w:r>
            <w:r w:rsidR="007C5FBE" w:rsidRPr="00824F98">
              <w:rPr>
                <w:b/>
                <w:sz w:val="18"/>
                <w:szCs w:val="18"/>
              </w:rPr>
              <w:t>07</w:t>
            </w:r>
            <w:r w:rsidR="007C5FBE">
              <w:rPr>
                <w:b/>
                <w:sz w:val="18"/>
                <w:szCs w:val="18"/>
              </w:rPr>
              <w:t>5</w:t>
            </w:r>
          </w:p>
        </w:tc>
        <w:tc>
          <w:tcPr>
            <w:tcW w:w="1154" w:type="dxa"/>
            <w:tcBorders>
              <w:top w:val="double" w:sz="4" w:space="0" w:color="auto"/>
              <w:bottom w:val="double" w:sz="4" w:space="0" w:color="auto"/>
            </w:tcBorders>
            <w:shd w:val="clear" w:color="auto" w:fill="auto"/>
            <w:vAlign w:val="center"/>
          </w:tcPr>
          <w:p w14:paraId="7DDEED7C" w14:textId="5CDA5220" w:rsidR="00923CE0" w:rsidRPr="00824F98" w:rsidRDefault="00D1777D" w:rsidP="00CE7AEC">
            <w:pPr>
              <w:pStyle w:val="ExhibitText"/>
              <w:jc w:val="right"/>
              <w:rPr>
                <w:b/>
                <w:sz w:val="18"/>
                <w:szCs w:val="18"/>
              </w:rPr>
            </w:pPr>
            <w:r w:rsidRPr="00824F98">
              <w:rPr>
                <w:b/>
                <w:sz w:val="18"/>
                <w:szCs w:val="18"/>
              </w:rPr>
              <w:t>2,932,</w:t>
            </w:r>
            <w:r w:rsidR="00524A05" w:rsidRPr="00824F98">
              <w:rPr>
                <w:b/>
                <w:sz w:val="18"/>
                <w:szCs w:val="18"/>
              </w:rPr>
              <w:t>4</w:t>
            </w:r>
            <w:r w:rsidR="00524A05">
              <w:rPr>
                <w:b/>
                <w:sz w:val="18"/>
                <w:szCs w:val="18"/>
              </w:rPr>
              <w:t>59</w:t>
            </w:r>
          </w:p>
        </w:tc>
        <w:tc>
          <w:tcPr>
            <w:tcW w:w="1155" w:type="dxa"/>
            <w:tcBorders>
              <w:top w:val="double" w:sz="4" w:space="0" w:color="auto"/>
              <w:bottom w:val="double" w:sz="4" w:space="0" w:color="auto"/>
            </w:tcBorders>
            <w:shd w:val="clear" w:color="auto" w:fill="auto"/>
            <w:vAlign w:val="center"/>
          </w:tcPr>
          <w:p w14:paraId="6C49A3C2" w14:textId="53D19034" w:rsidR="00923CE0" w:rsidRPr="00824F98" w:rsidRDefault="00D1777D" w:rsidP="00CE7AEC">
            <w:pPr>
              <w:pStyle w:val="ExhibitText"/>
              <w:jc w:val="right"/>
              <w:rPr>
                <w:b/>
                <w:sz w:val="18"/>
                <w:szCs w:val="18"/>
              </w:rPr>
            </w:pPr>
            <w:r w:rsidRPr="00824F98">
              <w:rPr>
                <w:b/>
                <w:sz w:val="18"/>
                <w:szCs w:val="18"/>
              </w:rPr>
              <w:t>4,103,</w:t>
            </w:r>
            <w:r w:rsidR="0064167B" w:rsidRPr="00824F98">
              <w:rPr>
                <w:b/>
                <w:sz w:val="18"/>
                <w:szCs w:val="18"/>
              </w:rPr>
              <w:t>07</w:t>
            </w:r>
            <w:r w:rsidR="0064167B">
              <w:rPr>
                <w:b/>
                <w:sz w:val="18"/>
                <w:szCs w:val="18"/>
              </w:rPr>
              <w:t>4</w:t>
            </w:r>
          </w:p>
        </w:tc>
      </w:tr>
      <w:tr w:rsidR="00923CE0" w:rsidRPr="007A72DD" w14:paraId="430D1039" w14:textId="77777777" w:rsidTr="00824F98">
        <w:trPr>
          <w:trHeight w:val="259"/>
          <w:jc w:val="center"/>
        </w:trPr>
        <w:tc>
          <w:tcPr>
            <w:tcW w:w="9350" w:type="dxa"/>
            <w:gridSpan w:val="7"/>
            <w:tcBorders>
              <w:top w:val="double" w:sz="4" w:space="0" w:color="auto"/>
            </w:tcBorders>
            <w:shd w:val="clear" w:color="auto" w:fill="auto"/>
            <w:vAlign w:val="center"/>
          </w:tcPr>
          <w:p w14:paraId="34949461" w14:textId="77777777" w:rsidR="00923CE0" w:rsidRPr="00824F98" w:rsidRDefault="00923CE0" w:rsidP="00CE7AEC">
            <w:pPr>
              <w:pStyle w:val="ExhibitText"/>
              <w:jc w:val="left"/>
              <w:rPr>
                <w:b/>
                <w:sz w:val="18"/>
                <w:szCs w:val="18"/>
              </w:rPr>
            </w:pPr>
            <w:r w:rsidRPr="00824F98">
              <w:rPr>
                <w:b/>
                <w:sz w:val="18"/>
                <w:szCs w:val="18"/>
              </w:rPr>
              <w:t>Current Assets</w:t>
            </w:r>
          </w:p>
        </w:tc>
      </w:tr>
      <w:tr w:rsidR="00CE7AEC" w:rsidRPr="00CE7AEC" w14:paraId="2D8F6FAB" w14:textId="77777777" w:rsidTr="00CE7AEC">
        <w:trPr>
          <w:trHeight w:val="259"/>
          <w:jc w:val="center"/>
        </w:trPr>
        <w:tc>
          <w:tcPr>
            <w:tcW w:w="2425" w:type="dxa"/>
            <w:shd w:val="clear" w:color="auto" w:fill="auto"/>
            <w:vAlign w:val="center"/>
          </w:tcPr>
          <w:p w14:paraId="67344361" w14:textId="77777777" w:rsidR="007B1BD1" w:rsidRPr="00CE7AEC" w:rsidRDefault="007B1BD1" w:rsidP="00CE7AEC">
            <w:pPr>
              <w:pStyle w:val="ExhibitText"/>
              <w:jc w:val="left"/>
              <w:rPr>
                <w:sz w:val="18"/>
                <w:szCs w:val="18"/>
              </w:rPr>
            </w:pPr>
            <w:r w:rsidRPr="00CE7AEC">
              <w:rPr>
                <w:sz w:val="18"/>
                <w:szCs w:val="18"/>
              </w:rPr>
              <w:t>Current Investments</w:t>
            </w:r>
          </w:p>
        </w:tc>
        <w:tc>
          <w:tcPr>
            <w:tcW w:w="1154" w:type="dxa"/>
            <w:shd w:val="clear" w:color="auto" w:fill="auto"/>
            <w:vAlign w:val="center"/>
          </w:tcPr>
          <w:p w14:paraId="5B09D6EC" w14:textId="4F96C95C" w:rsidR="007B1BD1" w:rsidRPr="00CE7AEC" w:rsidRDefault="007B1BD1" w:rsidP="00CE7AEC">
            <w:pPr>
              <w:pStyle w:val="ExhibitText"/>
              <w:jc w:val="right"/>
              <w:rPr>
                <w:sz w:val="18"/>
                <w:szCs w:val="18"/>
              </w:rPr>
            </w:pPr>
            <w:r w:rsidRPr="00CE7AEC">
              <w:rPr>
                <w:sz w:val="18"/>
                <w:szCs w:val="18"/>
              </w:rPr>
              <w:t xml:space="preserve"> 18,308 </w:t>
            </w:r>
          </w:p>
        </w:tc>
        <w:tc>
          <w:tcPr>
            <w:tcW w:w="1154" w:type="dxa"/>
            <w:shd w:val="clear" w:color="auto" w:fill="auto"/>
            <w:vAlign w:val="center"/>
          </w:tcPr>
          <w:p w14:paraId="23871126" w14:textId="2CF2F8B5" w:rsidR="007B1BD1" w:rsidRPr="00CE7AEC" w:rsidRDefault="007B1BD1" w:rsidP="00CE7AEC">
            <w:pPr>
              <w:pStyle w:val="ExhibitText"/>
              <w:jc w:val="right"/>
              <w:rPr>
                <w:sz w:val="18"/>
                <w:szCs w:val="18"/>
              </w:rPr>
            </w:pPr>
            <w:r w:rsidRPr="00CE7AEC">
              <w:rPr>
                <w:sz w:val="18"/>
                <w:szCs w:val="18"/>
              </w:rPr>
              <w:t xml:space="preserve"> 52,462 </w:t>
            </w:r>
          </w:p>
        </w:tc>
        <w:tc>
          <w:tcPr>
            <w:tcW w:w="1154" w:type="dxa"/>
            <w:shd w:val="clear" w:color="auto" w:fill="auto"/>
            <w:vAlign w:val="center"/>
          </w:tcPr>
          <w:p w14:paraId="0FA9AA7C" w14:textId="74813419" w:rsidR="007B1BD1" w:rsidRPr="00CE7AEC" w:rsidRDefault="00D221F5" w:rsidP="00CE7AEC">
            <w:pPr>
              <w:pStyle w:val="ExhibitText"/>
              <w:jc w:val="right"/>
              <w:rPr>
                <w:sz w:val="18"/>
                <w:szCs w:val="18"/>
              </w:rPr>
            </w:pPr>
            <w:r w:rsidRPr="00CE7AEC">
              <w:rPr>
                <w:sz w:val="18"/>
                <w:szCs w:val="18"/>
              </w:rPr>
              <w:t xml:space="preserve"> 2</w:t>
            </w:r>
            <w:r w:rsidR="007B1BD1" w:rsidRPr="00CE7AEC">
              <w:rPr>
                <w:sz w:val="18"/>
                <w:szCs w:val="18"/>
              </w:rPr>
              <w:t xml:space="preserve">43,077 </w:t>
            </w:r>
          </w:p>
        </w:tc>
        <w:tc>
          <w:tcPr>
            <w:tcW w:w="1154" w:type="dxa"/>
            <w:shd w:val="clear" w:color="auto" w:fill="auto"/>
            <w:vAlign w:val="center"/>
          </w:tcPr>
          <w:p w14:paraId="7AFE1C0D" w14:textId="2EB7038A" w:rsidR="007B1BD1" w:rsidRPr="00CE7AEC" w:rsidRDefault="00D221F5" w:rsidP="00CE7AEC">
            <w:pPr>
              <w:pStyle w:val="ExhibitText"/>
              <w:jc w:val="right"/>
              <w:rPr>
                <w:sz w:val="18"/>
                <w:szCs w:val="18"/>
              </w:rPr>
            </w:pPr>
            <w:r w:rsidRPr="00CE7AEC">
              <w:rPr>
                <w:sz w:val="18"/>
                <w:szCs w:val="18"/>
              </w:rPr>
              <w:t xml:space="preserve"> 4</w:t>
            </w:r>
            <w:r w:rsidR="007B1BD1" w:rsidRPr="00CE7AEC">
              <w:rPr>
                <w:sz w:val="18"/>
                <w:szCs w:val="18"/>
              </w:rPr>
              <w:t xml:space="preserve">22,923 </w:t>
            </w:r>
          </w:p>
        </w:tc>
        <w:tc>
          <w:tcPr>
            <w:tcW w:w="1154" w:type="dxa"/>
            <w:shd w:val="clear" w:color="auto" w:fill="auto"/>
            <w:vAlign w:val="center"/>
          </w:tcPr>
          <w:p w14:paraId="01872A18" w14:textId="5BC193E8" w:rsidR="007B1BD1" w:rsidRPr="00CE7AEC" w:rsidRDefault="007B1BD1" w:rsidP="00CE7AEC">
            <w:pPr>
              <w:pStyle w:val="ExhibitText"/>
              <w:jc w:val="right"/>
              <w:rPr>
                <w:sz w:val="18"/>
                <w:szCs w:val="18"/>
              </w:rPr>
            </w:pPr>
            <w:r w:rsidRPr="00CE7AEC">
              <w:rPr>
                <w:sz w:val="18"/>
                <w:szCs w:val="18"/>
              </w:rPr>
              <w:t xml:space="preserve"> 115,231 </w:t>
            </w:r>
          </w:p>
        </w:tc>
        <w:tc>
          <w:tcPr>
            <w:tcW w:w="1155" w:type="dxa"/>
            <w:shd w:val="clear" w:color="auto" w:fill="auto"/>
            <w:vAlign w:val="center"/>
          </w:tcPr>
          <w:p w14:paraId="39668880" w14:textId="04CDB251" w:rsidR="007B1BD1" w:rsidRPr="00CE7AEC" w:rsidRDefault="007B1BD1" w:rsidP="00CE7AEC">
            <w:pPr>
              <w:pStyle w:val="ExhibitText"/>
              <w:jc w:val="right"/>
              <w:rPr>
                <w:sz w:val="18"/>
                <w:szCs w:val="18"/>
              </w:rPr>
            </w:pPr>
            <w:r w:rsidRPr="00CE7AEC">
              <w:rPr>
                <w:sz w:val="18"/>
                <w:szCs w:val="18"/>
              </w:rPr>
              <w:t xml:space="preserve"> 308 </w:t>
            </w:r>
          </w:p>
        </w:tc>
      </w:tr>
      <w:tr w:rsidR="00CE7AEC" w:rsidRPr="00CE7AEC" w14:paraId="7CC95B19" w14:textId="77777777" w:rsidTr="00CE7AEC">
        <w:trPr>
          <w:trHeight w:val="259"/>
          <w:jc w:val="center"/>
        </w:trPr>
        <w:tc>
          <w:tcPr>
            <w:tcW w:w="2425" w:type="dxa"/>
            <w:shd w:val="clear" w:color="auto" w:fill="auto"/>
            <w:vAlign w:val="center"/>
          </w:tcPr>
          <w:p w14:paraId="72BBB7E7" w14:textId="77777777" w:rsidR="007B1BD1" w:rsidRPr="00CE7AEC" w:rsidRDefault="007B1BD1" w:rsidP="00CE7AEC">
            <w:pPr>
              <w:pStyle w:val="ExhibitText"/>
              <w:jc w:val="left"/>
              <w:rPr>
                <w:sz w:val="18"/>
                <w:szCs w:val="18"/>
              </w:rPr>
            </w:pPr>
            <w:r w:rsidRPr="00CE7AEC">
              <w:rPr>
                <w:sz w:val="18"/>
                <w:szCs w:val="18"/>
              </w:rPr>
              <w:t>Trade Receivables</w:t>
            </w:r>
          </w:p>
        </w:tc>
        <w:tc>
          <w:tcPr>
            <w:tcW w:w="1154" w:type="dxa"/>
            <w:shd w:val="clear" w:color="auto" w:fill="auto"/>
            <w:vAlign w:val="center"/>
          </w:tcPr>
          <w:p w14:paraId="268B0F62" w14:textId="128E599A" w:rsidR="007B1BD1" w:rsidRPr="00CE7AEC" w:rsidRDefault="00D221F5" w:rsidP="00CE7AEC">
            <w:pPr>
              <w:pStyle w:val="ExhibitText"/>
              <w:jc w:val="right"/>
              <w:rPr>
                <w:sz w:val="18"/>
                <w:szCs w:val="18"/>
              </w:rPr>
            </w:pPr>
            <w:r w:rsidRPr="00CE7AEC">
              <w:rPr>
                <w:sz w:val="18"/>
                <w:szCs w:val="18"/>
              </w:rPr>
              <w:t xml:space="preserve"> 6</w:t>
            </w:r>
            <w:r w:rsidR="007B1BD1" w:rsidRPr="00CE7AEC">
              <w:rPr>
                <w:sz w:val="18"/>
                <w:szCs w:val="18"/>
              </w:rPr>
              <w:t xml:space="preserve">48,000 </w:t>
            </w:r>
          </w:p>
        </w:tc>
        <w:tc>
          <w:tcPr>
            <w:tcW w:w="1154" w:type="dxa"/>
            <w:shd w:val="clear" w:color="auto" w:fill="auto"/>
            <w:vAlign w:val="center"/>
          </w:tcPr>
          <w:p w14:paraId="3FD9DCD2" w14:textId="53F2BD77" w:rsidR="007B1BD1" w:rsidRPr="00CE7AEC" w:rsidRDefault="00D221F5" w:rsidP="00CE7AEC">
            <w:pPr>
              <w:pStyle w:val="ExhibitText"/>
              <w:jc w:val="right"/>
              <w:rPr>
                <w:sz w:val="18"/>
                <w:szCs w:val="18"/>
              </w:rPr>
            </w:pPr>
            <w:r w:rsidRPr="00CE7AEC">
              <w:rPr>
                <w:sz w:val="18"/>
                <w:szCs w:val="18"/>
              </w:rPr>
              <w:t xml:space="preserve"> 8</w:t>
            </w:r>
            <w:r w:rsidR="007B1BD1" w:rsidRPr="00CE7AEC">
              <w:rPr>
                <w:sz w:val="18"/>
                <w:szCs w:val="18"/>
              </w:rPr>
              <w:t xml:space="preserve">31,385 </w:t>
            </w:r>
          </w:p>
        </w:tc>
        <w:tc>
          <w:tcPr>
            <w:tcW w:w="1154" w:type="dxa"/>
            <w:shd w:val="clear" w:color="auto" w:fill="auto"/>
            <w:vAlign w:val="center"/>
          </w:tcPr>
          <w:p w14:paraId="23F9434D" w14:textId="267311E6" w:rsidR="007B1BD1" w:rsidRPr="00CE7AEC" w:rsidRDefault="00D221F5" w:rsidP="00CE7AEC">
            <w:pPr>
              <w:pStyle w:val="ExhibitText"/>
              <w:jc w:val="right"/>
              <w:rPr>
                <w:sz w:val="18"/>
                <w:szCs w:val="18"/>
              </w:rPr>
            </w:pPr>
            <w:r w:rsidRPr="00CE7AEC">
              <w:rPr>
                <w:sz w:val="18"/>
                <w:szCs w:val="18"/>
              </w:rPr>
              <w:t xml:space="preserve"> 9</w:t>
            </w:r>
            <w:r w:rsidR="007B1BD1" w:rsidRPr="00CE7AEC">
              <w:rPr>
                <w:sz w:val="18"/>
                <w:szCs w:val="18"/>
              </w:rPr>
              <w:t xml:space="preserve">79,231 </w:t>
            </w:r>
          </w:p>
        </w:tc>
        <w:tc>
          <w:tcPr>
            <w:tcW w:w="1154" w:type="dxa"/>
            <w:shd w:val="clear" w:color="auto" w:fill="auto"/>
            <w:vAlign w:val="center"/>
          </w:tcPr>
          <w:p w14:paraId="2C97A0BD" w14:textId="651BCB56" w:rsidR="007B1BD1" w:rsidRPr="00CE7AEC" w:rsidRDefault="007B1BD1" w:rsidP="00CE7AEC">
            <w:pPr>
              <w:pStyle w:val="ExhibitText"/>
              <w:jc w:val="right"/>
              <w:rPr>
                <w:sz w:val="18"/>
                <w:szCs w:val="18"/>
              </w:rPr>
            </w:pPr>
            <w:r w:rsidRPr="00CE7AEC">
              <w:rPr>
                <w:sz w:val="18"/>
                <w:szCs w:val="18"/>
              </w:rPr>
              <w:t xml:space="preserve"> 1</w:t>
            </w:r>
            <w:r w:rsidR="00D221F5" w:rsidRPr="00CE7AEC">
              <w:rPr>
                <w:sz w:val="18"/>
                <w:szCs w:val="18"/>
              </w:rPr>
              <w:t>,</w:t>
            </w:r>
            <w:r w:rsidRPr="00CE7AEC">
              <w:rPr>
                <w:sz w:val="18"/>
                <w:szCs w:val="18"/>
              </w:rPr>
              <w:t xml:space="preserve">128,615 </w:t>
            </w:r>
          </w:p>
        </w:tc>
        <w:tc>
          <w:tcPr>
            <w:tcW w:w="1154" w:type="dxa"/>
            <w:shd w:val="clear" w:color="auto" w:fill="auto"/>
            <w:vAlign w:val="center"/>
          </w:tcPr>
          <w:p w14:paraId="4FFE3C3D" w14:textId="21110ACB" w:rsidR="007B1BD1" w:rsidRPr="00CE7AEC" w:rsidRDefault="00D221F5" w:rsidP="00CE7AEC">
            <w:pPr>
              <w:pStyle w:val="ExhibitText"/>
              <w:jc w:val="right"/>
              <w:rPr>
                <w:sz w:val="18"/>
                <w:szCs w:val="18"/>
              </w:rPr>
            </w:pPr>
            <w:r w:rsidRPr="00CE7AEC">
              <w:rPr>
                <w:sz w:val="18"/>
                <w:szCs w:val="18"/>
              </w:rPr>
              <w:t xml:space="preserve"> 1,3</w:t>
            </w:r>
            <w:r w:rsidR="007B1BD1" w:rsidRPr="00CE7AEC">
              <w:rPr>
                <w:sz w:val="18"/>
                <w:szCs w:val="18"/>
              </w:rPr>
              <w:t xml:space="preserve">27,231 </w:t>
            </w:r>
          </w:p>
        </w:tc>
        <w:tc>
          <w:tcPr>
            <w:tcW w:w="1155" w:type="dxa"/>
            <w:shd w:val="clear" w:color="auto" w:fill="auto"/>
            <w:vAlign w:val="center"/>
          </w:tcPr>
          <w:p w14:paraId="6759D83C" w14:textId="7B9DFA52" w:rsidR="007B1BD1" w:rsidRPr="00CE7AEC" w:rsidRDefault="00D221F5" w:rsidP="00CE7AEC">
            <w:pPr>
              <w:pStyle w:val="ExhibitText"/>
              <w:jc w:val="right"/>
              <w:rPr>
                <w:sz w:val="18"/>
                <w:szCs w:val="18"/>
              </w:rPr>
            </w:pPr>
            <w:r w:rsidRPr="00CE7AEC">
              <w:rPr>
                <w:sz w:val="18"/>
                <w:szCs w:val="18"/>
              </w:rPr>
              <w:t xml:space="preserve"> 1,5</w:t>
            </w:r>
            <w:r w:rsidR="007B1BD1" w:rsidRPr="00CE7AEC">
              <w:rPr>
                <w:sz w:val="18"/>
                <w:szCs w:val="18"/>
              </w:rPr>
              <w:t xml:space="preserve">07,385 </w:t>
            </w:r>
          </w:p>
        </w:tc>
      </w:tr>
      <w:tr w:rsidR="00CE7AEC" w:rsidRPr="00CE7AEC" w14:paraId="24EAFBAE" w14:textId="77777777" w:rsidTr="00CE7AEC">
        <w:trPr>
          <w:trHeight w:val="259"/>
          <w:jc w:val="center"/>
        </w:trPr>
        <w:tc>
          <w:tcPr>
            <w:tcW w:w="2425" w:type="dxa"/>
            <w:shd w:val="clear" w:color="auto" w:fill="auto"/>
            <w:vAlign w:val="center"/>
          </w:tcPr>
          <w:p w14:paraId="53B8BE19" w14:textId="77777777" w:rsidR="007B1BD1" w:rsidRPr="00CE7AEC" w:rsidRDefault="007B1BD1" w:rsidP="00CE7AEC">
            <w:pPr>
              <w:pStyle w:val="ExhibitText"/>
              <w:jc w:val="left"/>
              <w:rPr>
                <w:sz w:val="18"/>
                <w:szCs w:val="18"/>
              </w:rPr>
            </w:pPr>
            <w:r w:rsidRPr="00CE7AEC">
              <w:rPr>
                <w:sz w:val="18"/>
                <w:szCs w:val="18"/>
              </w:rPr>
              <w:t>Cash &amp; Cash Equivalents</w:t>
            </w:r>
          </w:p>
        </w:tc>
        <w:tc>
          <w:tcPr>
            <w:tcW w:w="1154" w:type="dxa"/>
            <w:shd w:val="clear" w:color="auto" w:fill="auto"/>
            <w:vAlign w:val="center"/>
          </w:tcPr>
          <w:p w14:paraId="7161B433" w14:textId="3AC3F14D" w:rsidR="007B1BD1" w:rsidRPr="00CE7AEC" w:rsidRDefault="00D221F5" w:rsidP="00CE7AEC">
            <w:pPr>
              <w:pStyle w:val="ExhibitText"/>
              <w:jc w:val="right"/>
              <w:rPr>
                <w:sz w:val="18"/>
                <w:szCs w:val="18"/>
              </w:rPr>
            </w:pPr>
            <w:r w:rsidRPr="00CE7AEC">
              <w:rPr>
                <w:sz w:val="18"/>
                <w:szCs w:val="18"/>
              </w:rPr>
              <w:t xml:space="preserve"> 2,3</w:t>
            </w:r>
            <w:r w:rsidR="007B1BD1" w:rsidRPr="00CE7AEC">
              <w:rPr>
                <w:sz w:val="18"/>
                <w:szCs w:val="18"/>
              </w:rPr>
              <w:t xml:space="preserve">33,077 </w:t>
            </w:r>
          </w:p>
        </w:tc>
        <w:tc>
          <w:tcPr>
            <w:tcW w:w="1154" w:type="dxa"/>
            <w:shd w:val="clear" w:color="auto" w:fill="auto"/>
            <w:vAlign w:val="center"/>
          </w:tcPr>
          <w:p w14:paraId="4C4AF0AD" w14:textId="32AD808A" w:rsidR="007B1BD1" w:rsidRPr="00CE7AEC" w:rsidRDefault="00D221F5" w:rsidP="00CE7AEC">
            <w:pPr>
              <w:pStyle w:val="ExhibitText"/>
              <w:jc w:val="right"/>
              <w:rPr>
                <w:sz w:val="18"/>
                <w:szCs w:val="18"/>
              </w:rPr>
            </w:pPr>
            <w:r w:rsidRPr="00CE7AEC">
              <w:rPr>
                <w:sz w:val="18"/>
                <w:szCs w:val="18"/>
              </w:rPr>
              <w:t xml:space="preserve"> 3,0</w:t>
            </w:r>
            <w:r w:rsidR="007B1BD1" w:rsidRPr="00CE7AEC">
              <w:rPr>
                <w:sz w:val="18"/>
                <w:szCs w:val="18"/>
              </w:rPr>
              <w:t xml:space="preserve">08,769 </w:t>
            </w:r>
          </w:p>
        </w:tc>
        <w:tc>
          <w:tcPr>
            <w:tcW w:w="1154" w:type="dxa"/>
            <w:shd w:val="clear" w:color="auto" w:fill="auto"/>
            <w:vAlign w:val="center"/>
          </w:tcPr>
          <w:p w14:paraId="72000944" w14:textId="014AA91E" w:rsidR="007B1BD1" w:rsidRPr="00CE7AEC" w:rsidRDefault="00D221F5" w:rsidP="00CE7AEC">
            <w:pPr>
              <w:pStyle w:val="ExhibitText"/>
              <w:jc w:val="right"/>
              <w:rPr>
                <w:sz w:val="18"/>
                <w:szCs w:val="18"/>
              </w:rPr>
            </w:pPr>
            <w:r w:rsidRPr="00CE7AEC">
              <w:rPr>
                <w:sz w:val="18"/>
                <w:szCs w:val="18"/>
              </w:rPr>
              <w:t xml:space="preserve"> 3,1</w:t>
            </w:r>
            <w:r w:rsidR="007B1BD1" w:rsidRPr="00CE7AEC">
              <w:rPr>
                <w:sz w:val="18"/>
                <w:szCs w:val="18"/>
              </w:rPr>
              <w:t xml:space="preserve">38,615 </w:t>
            </w:r>
          </w:p>
        </w:tc>
        <w:tc>
          <w:tcPr>
            <w:tcW w:w="1154" w:type="dxa"/>
            <w:shd w:val="clear" w:color="auto" w:fill="auto"/>
            <w:vAlign w:val="center"/>
          </w:tcPr>
          <w:p w14:paraId="06706F8A" w14:textId="24396D77" w:rsidR="007B1BD1" w:rsidRPr="00CE7AEC" w:rsidRDefault="00D221F5" w:rsidP="00CE7AEC">
            <w:pPr>
              <w:pStyle w:val="ExhibitText"/>
              <w:jc w:val="right"/>
              <w:rPr>
                <w:sz w:val="18"/>
                <w:szCs w:val="18"/>
              </w:rPr>
            </w:pPr>
            <w:r w:rsidRPr="00CE7AEC">
              <w:rPr>
                <w:sz w:val="18"/>
                <w:szCs w:val="18"/>
              </w:rPr>
              <w:t xml:space="preserve"> 3,7</w:t>
            </w:r>
            <w:r w:rsidR="007B1BD1" w:rsidRPr="00CE7AEC">
              <w:rPr>
                <w:sz w:val="18"/>
                <w:szCs w:val="18"/>
              </w:rPr>
              <w:t xml:space="preserve">07,692 </w:t>
            </w:r>
          </w:p>
        </w:tc>
        <w:tc>
          <w:tcPr>
            <w:tcW w:w="1154" w:type="dxa"/>
            <w:shd w:val="clear" w:color="auto" w:fill="auto"/>
            <w:vAlign w:val="center"/>
          </w:tcPr>
          <w:p w14:paraId="2273C219" w14:textId="01552623" w:rsidR="007B1BD1" w:rsidRPr="00CE7AEC" w:rsidRDefault="00D221F5" w:rsidP="00CE7AEC">
            <w:pPr>
              <w:pStyle w:val="ExhibitText"/>
              <w:jc w:val="right"/>
              <w:rPr>
                <w:sz w:val="18"/>
                <w:szCs w:val="18"/>
              </w:rPr>
            </w:pPr>
            <w:r w:rsidRPr="00CE7AEC">
              <w:rPr>
                <w:sz w:val="18"/>
                <w:szCs w:val="18"/>
              </w:rPr>
              <w:t xml:space="preserve"> 4,1</w:t>
            </w:r>
            <w:r w:rsidR="007B1BD1" w:rsidRPr="00CE7AEC">
              <w:rPr>
                <w:sz w:val="18"/>
                <w:szCs w:val="18"/>
              </w:rPr>
              <w:t xml:space="preserve">88,000 </w:t>
            </w:r>
          </w:p>
        </w:tc>
        <w:tc>
          <w:tcPr>
            <w:tcW w:w="1155" w:type="dxa"/>
            <w:shd w:val="clear" w:color="auto" w:fill="auto"/>
            <w:vAlign w:val="center"/>
          </w:tcPr>
          <w:p w14:paraId="4DE9FF11" w14:textId="00924C76" w:rsidR="007B1BD1" w:rsidRPr="00CE7AEC" w:rsidRDefault="00D221F5" w:rsidP="00CE7AEC">
            <w:pPr>
              <w:pStyle w:val="ExhibitText"/>
              <w:jc w:val="right"/>
              <w:rPr>
                <w:sz w:val="18"/>
                <w:szCs w:val="18"/>
              </w:rPr>
            </w:pPr>
            <w:r w:rsidRPr="00CE7AEC">
              <w:rPr>
                <w:sz w:val="18"/>
                <w:szCs w:val="18"/>
              </w:rPr>
              <w:t xml:space="preserve"> 4,4</w:t>
            </w:r>
            <w:r w:rsidR="007B1BD1" w:rsidRPr="00CE7AEC">
              <w:rPr>
                <w:sz w:val="18"/>
                <w:szCs w:val="18"/>
              </w:rPr>
              <w:t xml:space="preserve">88,615 </w:t>
            </w:r>
          </w:p>
        </w:tc>
      </w:tr>
      <w:tr w:rsidR="00CE7AEC" w:rsidRPr="00CE7AEC" w14:paraId="189FBFAE" w14:textId="77777777" w:rsidTr="00CE7AEC">
        <w:trPr>
          <w:trHeight w:val="259"/>
          <w:jc w:val="center"/>
        </w:trPr>
        <w:tc>
          <w:tcPr>
            <w:tcW w:w="2425" w:type="dxa"/>
            <w:shd w:val="clear" w:color="auto" w:fill="auto"/>
            <w:vAlign w:val="center"/>
          </w:tcPr>
          <w:p w14:paraId="65C60725" w14:textId="37E6B029" w:rsidR="007B1BD1" w:rsidRPr="00CE7AEC" w:rsidRDefault="007B1BD1" w:rsidP="00CE7AEC">
            <w:pPr>
              <w:pStyle w:val="ExhibitText"/>
              <w:jc w:val="left"/>
              <w:rPr>
                <w:sz w:val="18"/>
                <w:szCs w:val="18"/>
              </w:rPr>
            </w:pPr>
            <w:r w:rsidRPr="00CE7AEC">
              <w:rPr>
                <w:sz w:val="18"/>
                <w:szCs w:val="18"/>
              </w:rPr>
              <w:t>Short-</w:t>
            </w:r>
            <w:r w:rsidR="001967D8">
              <w:rPr>
                <w:sz w:val="18"/>
                <w:szCs w:val="18"/>
              </w:rPr>
              <w:t>T</w:t>
            </w:r>
            <w:r w:rsidRPr="00CE7AEC">
              <w:rPr>
                <w:sz w:val="18"/>
                <w:szCs w:val="18"/>
              </w:rPr>
              <w:t xml:space="preserve">erm </w:t>
            </w:r>
            <w:r w:rsidR="001967D8">
              <w:rPr>
                <w:sz w:val="18"/>
                <w:szCs w:val="18"/>
              </w:rPr>
              <w:t>L</w:t>
            </w:r>
            <w:r w:rsidRPr="00CE7AEC">
              <w:rPr>
                <w:sz w:val="18"/>
                <w:szCs w:val="18"/>
              </w:rPr>
              <w:t>oan &amp; Advances</w:t>
            </w:r>
          </w:p>
        </w:tc>
        <w:tc>
          <w:tcPr>
            <w:tcW w:w="1154" w:type="dxa"/>
            <w:shd w:val="clear" w:color="auto" w:fill="auto"/>
            <w:vAlign w:val="center"/>
          </w:tcPr>
          <w:p w14:paraId="790CF479" w14:textId="5EF58CAD" w:rsidR="007B1BD1" w:rsidRPr="00CE7AEC" w:rsidRDefault="007B1BD1" w:rsidP="00CE7AEC">
            <w:pPr>
              <w:pStyle w:val="ExhibitText"/>
              <w:jc w:val="right"/>
              <w:rPr>
                <w:sz w:val="18"/>
                <w:szCs w:val="18"/>
              </w:rPr>
            </w:pPr>
            <w:r w:rsidRPr="00CE7AEC">
              <w:rPr>
                <w:sz w:val="18"/>
                <w:szCs w:val="18"/>
              </w:rPr>
              <w:t xml:space="preserve"> 365,077 </w:t>
            </w:r>
          </w:p>
        </w:tc>
        <w:tc>
          <w:tcPr>
            <w:tcW w:w="1154" w:type="dxa"/>
            <w:shd w:val="clear" w:color="auto" w:fill="auto"/>
            <w:vAlign w:val="center"/>
          </w:tcPr>
          <w:p w14:paraId="010BC497" w14:textId="2129E2FB" w:rsidR="007B1BD1" w:rsidRPr="00CE7AEC" w:rsidRDefault="00D221F5" w:rsidP="00CE7AEC">
            <w:pPr>
              <w:pStyle w:val="ExhibitText"/>
              <w:jc w:val="right"/>
              <w:rPr>
                <w:sz w:val="18"/>
                <w:szCs w:val="18"/>
              </w:rPr>
            </w:pPr>
            <w:r w:rsidRPr="00CE7AEC">
              <w:rPr>
                <w:sz w:val="18"/>
                <w:szCs w:val="18"/>
              </w:rPr>
              <w:t xml:space="preserve"> 4</w:t>
            </w:r>
            <w:r w:rsidR="007B1BD1" w:rsidRPr="00CE7AEC">
              <w:rPr>
                <w:sz w:val="18"/>
                <w:szCs w:val="18"/>
              </w:rPr>
              <w:t xml:space="preserve">86,615 </w:t>
            </w:r>
          </w:p>
        </w:tc>
        <w:tc>
          <w:tcPr>
            <w:tcW w:w="1154" w:type="dxa"/>
            <w:shd w:val="clear" w:color="auto" w:fill="auto"/>
            <w:vAlign w:val="center"/>
          </w:tcPr>
          <w:p w14:paraId="3B81876F" w14:textId="402D3090" w:rsidR="007B1BD1" w:rsidRPr="00CE7AEC" w:rsidRDefault="00D221F5" w:rsidP="00CE7AEC">
            <w:pPr>
              <w:pStyle w:val="ExhibitText"/>
              <w:jc w:val="right"/>
              <w:rPr>
                <w:sz w:val="18"/>
                <w:szCs w:val="18"/>
              </w:rPr>
            </w:pPr>
            <w:r w:rsidRPr="00CE7AEC">
              <w:rPr>
                <w:sz w:val="18"/>
                <w:szCs w:val="18"/>
              </w:rPr>
              <w:t xml:space="preserve"> 6</w:t>
            </w:r>
            <w:r w:rsidR="007B1BD1" w:rsidRPr="00CE7AEC">
              <w:rPr>
                <w:sz w:val="18"/>
                <w:szCs w:val="18"/>
              </w:rPr>
              <w:t xml:space="preserve">75,692 </w:t>
            </w:r>
          </w:p>
        </w:tc>
        <w:tc>
          <w:tcPr>
            <w:tcW w:w="1154" w:type="dxa"/>
            <w:shd w:val="clear" w:color="auto" w:fill="auto"/>
            <w:vAlign w:val="center"/>
          </w:tcPr>
          <w:p w14:paraId="7335781A" w14:textId="15647C6C" w:rsidR="007B1BD1" w:rsidRPr="00CE7AEC" w:rsidRDefault="00D221F5" w:rsidP="00CE7AEC">
            <w:pPr>
              <w:pStyle w:val="ExhibitText"/>
              <w:jc w:val="right"/>
              <w:rPr>
                <w:sz w:val="18"/>
                <w:szCs w:val="18"/>
              </w:rPr>
            </w:pPr>
            <w:r w:rsidRPr="00CE7AEC">
              <w:rPr>
                <w:sz w:val="18"/>
                <w:szCs w:val="18"/>
              </w:rPr>
              <w:t xml:space="preserve"> 7</w:t>
            </w:r>
            <w:r w:rsidR="007B1BD1" w:rsidRPr="00CE7AEC">
              <w:rPr>
                <w:sz w:val="18"/>
                <w:szCs w:val="18"/>
              </w:rPr>
              <w:t xml:space="preserve">77,231 </w:t>
            </w:r>
          </w:p>
        </w:tc>
        <w:tc>
          <w:tcPr>
            <w:tcW w:w="1154" w:type="dxa"/>
            <w:shd w:val="clear" w:color="auto" w:fill="auto"/>
            <w:vAlign w:val="center"/>
          </w:tcPr>
          <w:p w14:paraId="654D6D63" w14:textId="048E917A" w:rsidR="007B1BD1" w:rsidRPr="00CE7AEC" w:rsidRDefault="00D221F5" w:rsidP="00CE7AEC">
            <w:pPr>
              <w:pStyle w:val="ExhibitText"/>
              <w:jc w:val="right"/>
              <w:rPr>
                <w:sz w:val="18"/>
                <w:szCs w:val="18"/>
              </w:rPr>
            </w:pPr>
            <w:r w:rsidRPr="00CE7AEC">
              <w:rPr>
                <w:sz w:val="18"/>
                <w:szCs w:val="18"/>
              </w:rPr>
              <w:t xml:space="preserve"> 8</w:t>
            </w:r>
            <w:r w:rsidR="007B1BD1" w:rsidRPr="00CE7AEC">
              <w:rPr>
                <w:sz w:val="18"/>
                <w:szCs w:val="18"/>
              </w:rPr>
              <w:t xml:space="preserve">69,846 </w:t>
            </w:r>
          </w:p>
        </w:tc>
        <w:tc>
          <w:tcPr>
            <w:tcW w:w="1155" w:type="dxa"/>
            <w:shd w:val="clear" w:color="auto" w:fill="auto"/>
            <w:vAlign w:val="center"/>
          </w:tcPr>
          <w:p w14:paraId="666A5730" w14:textId="17475F68" w:rsidR="007B1BD1" w:rsidRPr="00CE7AEC" w:rsidRDefault="00D221F5" w:rsidP="00CE7AEC">
            <w:pPr>
              <w:pStyle w:val="ExhibitText"/>
              <w:jc w:val="right"/>
              <w:rPr>
                <w:sz w:val="18"/>
                <w:szCs w:val="18"/>
              </w:rPr>
            </w:pPr>
            <w:r w:rsidRPr="00CE7AEC">
              <w:rPr>
                <w:sz w:val="18"/>
                <w:szCs w:val="18"/>
              </w:rPr>
              <w:t xml:space="preserve"> 1,0</w:t>
            </w:r>
            <w:r w:rsidR="007B1BD1" w:rsidRPr="00CE7AEC">
              <w:rPr>
                <w:sz w:val="18"/>
                <w:szCs w:val="18"/>
              </w:rPr>
              <w:t xml:space="preserve">95,538 </w:t>
            </w:r>
          </w:p>
        </w:tc>
      </w:tr>
      <w:tr w:rsidR="00CE7AEC" w:rsidRPr="001967D8" w14:paraId="3DF5BACA" w14:textId="77777777" w:rsidTr="00824F98">
        <w:trPr>
          <w:trHeight w:val="259"/>
          <w:jc w:val="center"/>
        </w:trPr>
        <w:tc>
          <w:tcPr>
            <w:tcW w:w="2425" w:type="dxa"/>
            <w:tcBorders>
              <w:bottom w:val="double" w:sz="4" w:space="0" w:color="auto"/>
            </w:tcBorders>
            <w:shd w:val="clear" w:color="auto" w:fill="auto"/>
            <w:vAlign w:val="center"/>
          </w:tcPr>
          <w:p w14:paraId="438937A0" w14:textId="594199BE" w:rsidR="007B1BD1" w:rsidRPr="00824F98" w:rsidRDefault="00682887" w:rsidP="00CE7AEC">
            <w:pPr>
              <w:pStyle w:val="ExhibitText"/>
              <w:jc w:val="left"/>
              <w:rPr>
                <w:b/>
                <w:sz w:val="18"/>
                <w:szCs w:val="18"/>
              </w:rPr>
            </w:pPr>
            <w:r w:rsidRPr="00824F98">
              <w:rPr>
                <w:b/>
                <w:sz w:val="18"/>
                <w:szCs w:val="18"/>
              </w:rPr>
              <w:t xml:space="preserve"> </w:t>
            </w:r>
          </w:p>
        </w:tc>
        <w:tc>
          <w:tcPr>
            <w:tcW w:w="1154" w:type="dxa"/>
            <w:tcBorders>
              <w:bottom w:val="double" w:sz="4" w:space="0" w:color="auto"/>
            </w:tcBorders>
            <w:shd w:val="clear" w:color="auto" w:fill="auto"/>
            <w:vAlign w:val="center"/>
          </w:tcPr>
          <w:p w14:paraId="0227BE8F" w14:textId="6E393994" w:rsidR="007B1BD1" w:rsidRPr="00824F98" w:rsidRDefault="00D221F5" w:rsidP="00E647EB">
            <w:pPr>
              <w:pStyle w:val="ExhibitText"/>
              <w:jc w:val="right"/>
              <w:rPr>
                <w:b/>
                <w:sz w:val="18"/>
                <w:szCs w:val="18"/>
              </w:rPr>
            </w:pPr>
            <w:r w:rsidRPr="00824F98">
              <w:rPr>
                <w:b/>
                <w:sz w:val="18"/>
                <w:szCs w:val="18"/>
              </w:rPr>
              <w:t xml:space="preserve"> 3,3</w:t>
            </w:r>
            <w:r w:rsidR="007B1BD1" w:rsidRPr="00824F98">
              <w:rPr>
                <w:b/>
                <w:sz w:val="18"/>
                <w:szCs w:val="18"/>
              </w:rPr>
              <w:t>64,462</w:t>
            </w:r>
          </w:p>
        </w:tc>
        <w:tc>
          <w:tcPr>
            <w:tcW w:w="1154" w:type="dxa"/>
            <w:tcBorders>
              <w:bottom w:val="double" w:sz="4" w:space="0" w:color="auto"/>
            </w:tcBorders>
            <w:shd w:val="clear" w:color="auto" w:fill="auto"/>
            <w:vAlign w:val="center"/>
          </w:tcPr>
          <w:p w14:paraId="49C627B9" w14:textId="5D244886" w:rsidR="007B1BD1" w:rsidRPr="00824F98" w:rsidRDefault="0072582F" w:rsidP="00CE7AEC">
            <w:pPr>
              <w:pStyle w:val="ExhibitText"/>
              <w:jc w:val="right"/>
              <w:rPr>
                <w:b/>
                <w:sz w:val="18"/>
                <w:szCs w:val="18"/>
              </w:rPr>
            </w:pPr>
            <w:r>
              <w:rPr>
                <w:b/>
                <w:sz w:val="18"/>
                <w:szCs w:val="18"/>
              </w:rPr>
              <w:t xml:space="preserve"> </w:t>
            </w:r>
            <w:r w:rsidRPr="0072582F">
              <w:rPr>
                <w:b/>
                <w:sz w:val="18"/>
                <w:szCs w:val="18"/>
              </w:rPr>
              <w:t>4</w:t>
            </w:r>
            <w:r>
              <w:rPr>
                <w:b/>
                <w:sz w:val="18"/>
                <w:szCs w:val="18"/>
              </w:rPr>
              <w:t>,</w:t>
            </w:r>
            <w:r w:rsidRPr="0072582F">
              <w:rPr>
                <w:b/>
                <w:sz w:val="18"/>
                <w:szCs w:val="18"/>
              </w:rPr>
              <w:t>379</w:t>
            </w:r>
            <w:r>
              <w:rPr>
                <w:b/>
                <w:sz w:val="18"/>
                <w:szCs w:val="18"/>
              </w:rPr>
              <w:t>,</w:t>
            </w:r>
            <w:r w:rsidRPr="0072582F">
              <w:rPr>
                <w:b/>
                <w:sz w:val="18"/>
                <w:szCs w:val="18"/>
              </w:rPr>
              <w:t>231</w:t>
            </w:r>
          </w:p>
        </w:tc>
        <w:tc>
          <w:tcPr>
            <w:tcW w:w="1154" w:type="dxa"/>
            <w:tcBorders>
              <w:bottom w:val="double" w:sz="4" w:space="0" w:color="auto"/>
            </w:tcBorders>
            <w:shd w:val="clear" w:color="auto" w:fill="auto"/>
            <w:vAlign w:val="center"/>
          </w:tcPr>
          <w:p w14:paraId="51EED1C1" w14:textId="2462E00C" w:rsidR="007B1BD1" w:rsidRPr="00824F98" w:rsidRDefault="00D221F5" w:rsidP="00E647EB">
            <w:pPr>
              <w:pStyle w:val="ExhibitText"/>
              <w:jc w:val="right"/>
              <w:rPr>
                <w:b/>
                <w:sz w:val="18"/>
                <w:szCs w:val="18"/>
              </w:rPr>
            </w:pPr>
            <w:r w:rsidRPr="00824F98">
              <w:rPr>
                <w:b/>
                <w:sz w:val="18"/>
                <w:szCs w:val="18"/>
              </w:rPr>
              <w:t xml:space="preserve"> 5,0</w:t>
            </w:r>
            <w:r w:rsidR="007B1BD1" w:rsidRPr="00824F98">
              <w:rPr>
                <w:b/>
                <w:sz w:val="18"/>
                <w:szCs w:val="18"/>
              </w:rPr>
              <w:t>36,615</w:t>
            </w:r>
          </w:p>
        </w:tc>
        <w:tc>
          <w:tcPr>
            <w:tcW w:w="1154" w:type="dxa"/>
            <w:tcBorders>
              <w:bottom w:val="double" w:sz="4" w:space="0" w:color="auto"/>
            </w:tcBorders>
            <w:shd w:val="clear" w:color="auto" w:fill="auto"/>
            <w:vAlign w:val="center"/>
          </w:tcPr>
          <w:p w14:paraId="51F1B905" w14:textId="0039FAD0" w:rsidR="007B1BD1" w:rsidRPr="00824F98" w:rsidRDefault="00D221F5" w:rsidP="00E647EB">
            <w:pPr>
              <w:pStyle w:val="ExhibitText"/>
              <w:jc w:val="right"/>
              <w:rPr>
                <w:b/>
                <w:sz w:val="18"/>
                <w:szCs w:val="18"/>
              </w:rPr>
            </w:pPr>
            <w:r w:rsidRPr="00824F98">
              <w:rPr>
                <w:b/>
                <w:sz w:val="18"/>
                <w:szCs w:val="18"/>
              </w:rPr>
              <w:t xml:space="preserve"> 6,0</w:t>
            </w:r>
            <w:r w:rsidR="007B1BD1" w:rsidRPr="00824F98">
              <w:rPr>
                <w:b/>
                <w:sz w:val="18"/>
                <w:szCs w:val="18"/>
              </w:rPr>
              <w:t>36,46</w:t>
            </w:r>
            <w:r w:rsidR="0072582F">
              <w:rPr>
                <w:b/>
                <w:sz w:val="18"/>
                <w:szCs w:val="18"/>
              </w:rPr>
              <w:t>1</w:t>
            </w:r>
          </w:p>
        </w:tc>
        <w:tc>
          <w:tcPr>
            <w:tcW w:w="1154" w:type="dxa"/>
            <w:tcBorders>
              <w:bottom w:val="double" w:sz="4" w:space="0" w:color="auto"/>
            </w:tcBorders>
            <w:shd w:val="clear" w:color="auto" w:fill="auto"/>
            <w:vAlign w:val="center"/>
          </w:tcPr>
          <w:p w14:paraId="4153E1D6" w14:textId="4B57B7DB" w:rsidR="007B1BD1" w:rsidRPr="00824F98" w:rsidRDefault="0089257F" w:rsidP="00E647EB">
            <w:pPr>
              <w:pStyle w:val="ExhibitText"/>
              <w:jc w:val="right"/>
              <w:rPr>
                <w:b/>
                <w:sz w:val="18"/>
                <w:szCs w:val="18"/>
              </w:rPr>
            </w:pPr>
            <w:r>
              <w:rPr>
                <w:b/>
                <w:sz w:val="18"/>
                <w:szCs w:val="18"/>
              </w:rPr>
              <w:t xml:space="preserve"> </w:t>
            </w:r>
            <w:r w:rsidRPr="0089257F">
              <w:rPr>
                <w:b/>
                <w:sz w:val="18"/>
                <w:szCs w:val="18"/>
              </w:rPr>
              <w:t>6</w:t>
            </w:r>
            <w:r>
              <w:rPr>
                <w:b/>
                <w:sz w:val="18"/>
                <w:szCs w:val="18"/>
              </w:rPr>
              <w:t>,</w:t>
            </w:r>
            <w:r w:rsidRPr="0089257F">
              <w:rPr>
                <w:b/>
                <w:sz w:val="18"/>
                <w:szCs w:val="18"/>
              </w:rPr>
              <w:t>500</w:t>
            </w:r>
            <w:r>
              <w:rPr>
                <w:b/>
                <w:sz w:val="18"/>
                <w:szCs w:val="18"/>
              </w:rPr>
              <w:t>,</w:t>
            </w:r>
            <w:r w:rsidRPr="0089257F">
              <w:rPr>
                <w:b/>
                <w:sz w:val="18"/>
                <w:szCs w:val="18"/>
              </w:rPr>
              <w:t>308</w:t>
            </w:r>
          </w:p>
        </w:tc>
        <w:tc>
          <w:tcPr>
            <w:tcW w:w="1155" w:type="dxa"/>
            <w:tcBorders>
              <w:bottom w:val="double" w:sz="4" w:space="0" w:color="auto"/>
            </w:tcBorders>
            <w:shd w:val="clear" w:color="auto" w:fill="auto"/>
            <w:vAlign w:val="center"/>
          </w:tcPr>
          <w:p w14:paraId="4A0BB398" w14:textId="7F353289" w:rsidR="007B1BD1" w:rsidRPr="00824F98" w:rsidRDefault="00D221F5" w:rsidP="00E647EB">
            <w:pPr>
              <w:pStyle w:val="ExhibitText"/>
              <w:jc w:val="right"/>
              <w:rPr>
                <w:b/>
                <w:sz w:val="18"/>
                <w:szCs w:val="18"/>
              </w:rPr>
            </w:pPr>
            <w:r w:rsidRPr="00824F98">
              <w:rPr>
                <w:b/>
                <w:sz w:val="18"/>
                <w:szCs w:val="18"/>
              </w:rPr>
              <w:t xml:space="preserve"> 7,0</w:t>
            </w:r>
            <w:r w:rsidR="007B1BD1" w:rsidRPr="00824F98">
              <w:rPr>
                <w:b/>
                <w:sz w:val="18"/>
                <w:szCs w:val="18"/>
              </w:rPr>
              <w:t>91,846</w:t>
            </w:r>
          </w:p>
        </w:tc>
      </w:tr>
      <w:tr w:rsidR="00CE7AEC" w:rsidRPr="001967D8" w14:paraId="34458751" w14:textId="77777777" w:rsidTr="00824F98">
        <w:trPr>
          <w:trHeight w:val="259"/>
          <w:jc w:val="center"/>
        </w:trPr>
        <w:tc>
          <w:tcPr>
            <w:tcW w:w="2425" w:type="dxa"/>
            <w:tcBorders>
              <w:top w:val="double" w:sz="4" w:space="0" w:color="auto"/>
              <w:bottom w:val="double" w:sz="4" w:space="0" w:color="auto"/>
            </w:tcBorders>
            <w:shd w:val="clear" w:color="auto" w:fill="auto"/>
            <w:vAlign w:val="center"/>
          </w:tcPr>
          <w:p w14:paraId="170BB8CB" w14:textId="44853E73" w:rsidR="007B1BD1" w:rsidRPr="00824F98" w:rsidRDefault="00682887" w:rsidP="00CE7AEC">
            <w:pPr>
              <w:pStyle w:val="ExhibitText"/>
              <w:jc w:val="left"/>
              <w:rPr>
                <w:b/>
                <w:sz w:val="18"/>
                <w:szCs w:val="18"/>
              </w:rPr>
            </w:pPr>
            <w:r w:rsidRPr="00824F98">
              <w:rPr>
                <w:b/>
                <w:sz w:val="18"/>
                <w:szCs w:val="18"/>
              </w:rPr>
              <w:t xml:space="preserve"> </w:t>
            </w:r>
          </w:p>
        </w:tc>
        <w:tc>
          <w:tcPr>
            <w:tcW w:w="1154" w:type="dxa"/>
            <w:tcBorders>
              <w:top w:val="double" w:sz="4" w:space="0" w:color="auto"/>
              <w:bottom w:val="double" w:sz="4" w:space="0" w:color="auto"/>
            </w:tcBorders>
            <w:shd w:val="clear" w:color="auto" w:fill="auto"/>
            <w:vAlign w:val="center"/>
          </w:tcPr>
          <w:p w14:paraId="37BCFC51" w14:textId="36E0A22A" w:rsidR="007B1BD1" w:rsidRPr="00824F98" w:rsidRDefault="00D221F5" w:rsidP="00CE7AEC">
            <w:pPr>
              <w:pStyle w:val="ExhibitText"/>
              <w:jc w:val="right"/>
              <w:rPr>
                <w:b/>
                <w:sz w:val="18"/>
                <w:szCs w:val="18"/>
              </w:rPr>
            </w:pPr>
            <w:r w:rsidRPr="00824F98">
              <w:rPr>
                <w:b/>
                <w:sz w:val="18"/>
                <w:szCs w:val="18"/>
              </w:rPr>
              <w:t xml:space="preserve"> 4,4</w:t>
            </w:r>
            <w:r w:rsidR="007B1BD1" w:rsidRPr="00824F98">
              <w:rPr>
                <w:b/>
                <w:sz w:val="18"/>
                <w:szCs w:val="18"/>
              </w:rPr>
              <w:t>39,</w:t>
            </w:r>
            <w:r w:rsidR="00600177" w:rsidRPr="00824F98">
              <w:rPr>
                <w:b/>
                <w:sz w:val="18"/>
                <w:szCs w:val="18"/>
              </w:rPr>
              <w:t>07</w:t>
            </w:r>
            <w:r w:rsidR="00600177">
              <w:rPr>
                <w:b/>
                <w:sz w:val="18"/>
                <w:szCs w:val="18"/>
              </w:rPr>
              <w:t>5</w:t>
            </w:r>
            <w:r w:rsidR="00600177" w:rsidRPr="00824F98">
              <w:rPr>
                <w:b/>
                <w:sz w:val="18"/>
                <w:szCs w:val="18"/>
              </w:rPr>
              <w:t xml:space="preserve"> </w:t>
            </w:r>
          </w:p>
        </w:tc>
        <w:tc>
          <w:tcPr>
            <w:tcW w:w="1154" w:type="dxa"/>
            <w:tcBorders>
              <w:top w:val="double" w:sz="4" w:space="0" w:color="auto"/>
              <w:bottom w:val="double" w:sz="4" w:space="0" w:color="auto"/>
            </w:tcBorders>
            <w:shd w:val="clear" w:color="auto" w:fill="auto"/>
            <w:vAlign w:val="center"/>
          </w:tcPr>
          <w:p w14:paraId="68288E95" w14:textId="17F022AF" w:rsidR="007B1BD1" w:rsidRPr="00824F98" w:rsidRDefault="00600177" w:rsidP="00CE7AEC">
            <w:pPr>
              <w:pStyle w:val="ExhibitText"/>
              <w:jc w:val="right"/>
              <w:rPr>
                <w:b/>
                <w:sz w:val="18"/>
                <w:szCs w:val="18"/>
              </w:rPr>
            </w:pPr>
            <w:r>
              <w:rPr>
                <w:b/>
                <w:sz w:val="18"/>
                <w:szCs w:val="18"/>
              </w:rPr>
              <w:t xml:space="preserve"> </w:t>
            </w:r>
            <w:r w:rsidRPr="00600177">
              <w:rPr>
                <w:b/>
                <w:sz w:val="18"/>
                <w:szCs w:val="18"/>
              </w:rPr>
              <w:t>5</w:t>
            </w:r>
            <w:r>
              <w:rPr>
                <w:b/>
                <w:sz w:val="18"/>
                <w:szCs w:val="18"/>
              </w:rPr>
              <w:t>,</w:t>
            </w:r>
            <w:r w:rsidRPr="00600177">
              <w:rPr>
                <w:b/>
                <w:sz w:val="18"/>
                <w:szCs w:val="18"/>
              </w:rPr>
              <w:t>509</w:t>
            </w:r>
            <w:r>
              <w:rPr>
                <w:b/>
                <w:sz w:val="18"/>
                <w:szCs w:val="18"/>
              </w:rPr>
              <w:t>,</w:t>
            </w:r>
            <w:r w:rsidRPr="00600177">
              <w:rPr>
                <w:b/>
                <w:sz w:val="18"/>
                <w:szCs w:val="18"/>
              </w:rPr>
              <w:t>996</w:t>
            </w:r>
          </w:p>
        </w:tc>
        <w:tc>
          <w:tcPr>
            <w:tcW w:w="1154" w:type="dxa"/>
            <w:tcBorders>
              <w:top w:val="double" w:sz="4" w:space="0" w:color="auto"/>
              <w:bottom w:val="double" w:sz="4" w:space="0" w:color="auto"/>
            </w:tcBorders>
            <w:shd w:val="clear" w:color="auto" w:fill="auto"/>
            <w:vAlign w:val="center"/>
          </w:tcPr>
          <w:p w14:paraId="76F2DE31" w14:textId="32086F44" w:rsidR="007B1BD1" w:rsidRPr="00824F98" w:rsidRDefault="00600177" w:rsidP="00CE7AEC">
            <w:pPr>
              <w:pStyle w:val="ExhibitText"/>
              <w:jc w:val="right"/>
              <w:rPr>
                <w:b/>
                <w:sz w:val="18"/>
                <w:szCs w:val="18"/>
              </w:rPr>
            </w:pPr>
            <w:r w:rsidRPr="00600177">
              <w:rPr>
                <w:b/>
                <w:sz w:val="18"/>
                <w:szCs w:val="18"/>
              </w:rPr>
              <w:t>6</w:t>
            </w:r>
            <w:r>
              <w:rPr>
                <w:b/>
                <w:sz w:val="18"/>
                <w:szCs w:val="18"/>
              </w:rPr>
              <w:t>,</w:t>
            </w:r>
            <w:r w:rsidRPr="00600177">
              <w:rPr>
                <w:b/>
                <w:sz w:val="18"/>
                <w:szCs w:val="18"/>
              </w:rPr>
              <w:t>619</w:t>
            </w:r>
            <w:r>
              <w:rPr>
                <w:b/>
                <w:sz w:val="18"/>
                <w:szCs w:val="18"/>
              </w:rPr>
              <w:t>,</w:t>
            </w:r>
            <w:r w:rsidRPr="00600177">
              <w:rPr>
                <w:b/>
                <w:sz w:val="18"/>
                <w:szCs w:val="18"/>
              </w:rPr>
              <w:t>688</w:t>
            </w:r>
          </w:p>
        </w:tc>
        <w:tc>
          <w:tcPr>
            <w:tcW w:w="1154" w:type="dxa"/>
            <w:tcBorders>
              <w:top w:val="double" w:sz="4" w:space="0" w:color="auto"/>
              <w:bottom w:val="double" w:sz="4" w:space="0" w:color="auto"/>
            </w:tcBorders>
            <w:shd w:val="clear" w:color="auto" w:fill="auto"/>
            <w:vAlign w:val="center"/>
          </w:tcPr>
          <w:p w14:paraId="5E42E580" w14:textId="30E1F6EE" w:rsidR="007B1BD1" w:rsidRPr="00824F98" w:rsidRDefault="00D221F5" w:rsidP="00CE7AEC">
            <w:pPr>
              <w:pStyle w:val="ExhibitText"/>
              <w:jc w:val="right"/>
              <w:rPr>
                <w:b/>
                <w:sz w:val="18"/>
                <w:szCs w:val="18"/>
              </w:rPr>
            </w:pPr>
            <w:r w:rsidRPr="00824F98">
              <w:rPr>
                <w:b/>
                <w:sz w:val="18"/>
                <w:szCs w:val="18"/>
              </w:rPr>
              <w:t xml:space="preserve"> 8,1</w:t>
            </w:r>
            <w:r w:rsidR="007B1BD1" w:rsidRPr="00824F98">
              <w:rPr>
                <w:b/>
                <w:sz w:val="18"/>
                <w:szCs w:val="18"/>
              </w:rPr>
              <w:t>09,53</w:t>
            </w:r>
            <w:r w:rsidR="00CB1E6D">
              <w:rPr>
                <w:b/>
                <w:sz w:val="18"/>
                <w:szCs w:val="18"/>
              </w:rPr>
              <w:t xml:space="preserve">6 </w:t>
            </w:r>
          </w:p>
        </w:tc>
        <w:tc>
          <w:tcPr>
            <w:tcW w:w="1154" w:type="dxa"/>
            <w:tcBorders>
              <w:top w:val="double" w:sz="4" w:space="0" w:color="auto"/>
              <w:bottom w:val="double" w:sz="4" w:space="0" w:color="auto"/>
            </w:tcBorders>
            <w:shd w:val="clear" w:color="auto" w:fill="auto"/>
            <w:vAlign w:val="center"/>
          </w:tcPr>
          <w:p w14:paraId="476B4853" w14:textId="09E2200B" w:rsidR="007B1BD1" w:rsidRPr="00824F98" w:rsidRDefault="00CB1E6D" w:rsidP="00CE7AEC">
            <w:pPr>
              <w:pStyle w:val="ExhibitText"/>
              <w:jc w:val="right"/>
              <w:rPr>
                <w:b/>
                <w:sz w:val="18"/>
                <w:szCs w:val="18"/>
              </w:rPr>
            </w:pPr>
            <w:r>
              <w:rPr>
                <w:b/>
                <w:sz w:val="18"/>
                <w:szCs w:val="18"/>
              </w:rPr>
              <w:t xml:space="preserve"> </w:t>
            </w:r>
            <w:r w:rsidRPr="00CB1E6D">
              <w:rPr>
                <w:b/>
                <w:sz w:val="18"/>
                <w:szCs w:val="18"/>
              </w:rPr>
              <w:t>9</w:t>
            </w:r>
            <w:r>
              <w:rPr>
                <w:b/>
                <w:sz w:val="18"/>
                <w:szCs w:val="18"/>
              </w:rPr>
              <w:t>,</w:t>
            </w:r>
            <w:r w:rsidRPr="00CB1E6D">
              <w:rPr>
                <w:b/>
                <w:sz w:val="18"/>
                <w:szCs w:val="18"/>
              </w:rPr>
              <w:t>432</w:t>
            </w:r>
            <w:r>
              <w:rPr>
                <w:b/>
                <w:sz w:val="18"/>
                <w:szCs w:val="18"/>
              </w:rPr>
              <w:t>,</w:t>
            </w:r>
            <w:r w:rsidRPr="00CB1E6D">
              <w:rPr>
                <w:b/>
                <w:sz w:val="18"/>
                <w:szCs w:val="18"/>
              </w:rPr>
              <w:t>767</w:t>
            </w:r>
          </w:p>
        </w:tc>
        <w:tc>
          <w:tcPr>
            <w:tcW w:w="1155" w:type="dxa"/>
            <w:tcBorders>
              <w:top w:val="double" w:sz="4" w:space="0" w:color="auto"/>
              <w:bottom w:val="double" w:sz="4" w:space="0" w:color="auto"/>
            </w:tcBorders>
            <w:shd w:val="clear" w:color="auto" w:fill="auto"/>
            <w:vAlign w:val="center"/>
          </w:tcPr>
          <w:p w14:paraId="79C27669" w14:textId="42F3F44D" w:rsidR="007B1BD1" w:rsidRPr="00824F98" w:rsidRDefault="00D221F5" w:rsidP="00CE7AEC">
            <w:pPr>
              <w:pStyle w:val="ExhibitText"/>
              <w:jc w:val="right"/>
              <w:rPr>
                <w:b/>
                <w:sz w:val="18"/>
                <w:szCs w:val="18"/>
              </w:rPr>
            </w:pPr>
            <w:r w:rsidRPr="00824F98">
              <w:rPr>
                <w:b/>
                <w:sz w:val="18"/>
                <w:szCs w:val="18"/>
              </w:rPr>
              <w:t>11,1</w:t>
            </w:r>
            <w:r w:rsidR="007B1BD1" w:rsidRPr="00824F98">
              <w:rPr>
                <w:b/>
                <w:sz w:val="18"/>
                <w:szCs w:val="18"/>
              </w:rPr>
              <w:t>94,</w:t>
            </w:r>
            <w:r w:rsidR="00CB1E6D" w:rsidRPr="00824F98">
              <w:rPr>
                <w:b/>
                <w:sz w:val="18"/>
                <w:szCs w:val="18"/>
              </w:rPr>
              <w:t>92</w:t>
            </w:r>
            <w:r w:rsidR="00CB1E6D">
              <w:rPr>
                <w:b/>
                <w:sz w:val="18"/>
                <w:szCs w:val="18"/>
              </w:rPr>
              <w:t>0</w:t>
            </w:r>
            <w:r w:rsidR="00CB1E6D" w:rsidRPr="00824F98">
              <w:rPr>
                <w:b/>
                <w:sz w:val="18"/>
                <w:szCs w:val="18"/>
              </w:rPr>
              <w:t xml:space="preserve"> </w:t>
            </w:r>
          </w:p>
        </w:tc>
      </w:tr>
    </w:tbl>
    <w:p w14:paraId="42BB1206" w14:textId="77777777" w:rsidR="00B27F15" w:rsidRDefault="00B27F15" w:rsidP="00824F98">
      <w:pPr>
        <w:pStyle w:val="ExhibitText"/>
      </w:pPr>
    </w:p>
    <w:p w14:paraId="0D97C0D7" w14:textId="5823BAD4" w:rsidR="009E7E2D" w:rsidRDefault="009E7E2D" w:rsidP="00824F98">
      <w:pPr>
        <w:pStyle w:val="Footnote"/>
        <w:rPr>
          <w:sz w:val="22"/>
          <w:szCs w:val="22"/>
        </w:rPr>
      </w:pPr>
      <w:r w:rsidRPr="002E31C8">
        <w:t xml:space="preserve">Source: Created by </w:t>
      </w:r>
      <w:r w:rsidR="00B27F15" w:rsidRPr="002E31C8">
        <w:t xml:space="preserve">the case </w:t>
      </w:r>
      <w:r w:rsidRPr="002E31C8">
        <w:t xml:space="preserve">authors based on </w:t>
      </w:r>
      <w:r w:rsidR="00B27F15" w:rsidRPr="002E31C8">
        <w:t xml:space="preserve">Infosys Limited, </w:t>
      </w:r>
      <w:r w:rsidR="00B27F15" w:rsidRPr="00473F55">
        <w:rPr>
          <w:i/>
        </w:rPr>
        <w:t>Annual Report 2010–11: Powered by Intellect: Driven by Values</w:t>
      </w:r>
      <w:r w:rsidR="00B27F15" w:rsidRPr="00824F98">
        <w:t xml:space="preserve">; Infosys Limited, </w:t>
      </w:r>
      <w:r w:rsidR="00B27F15" w:rsidRPr="00473F55">
        <w:rPr>
          <w:i/>
        </w:rPr>
        <w:t>Annual Report 2011–12: Infosys 3.0—Accelerating Growth</w:t>
      </w:r>
      <w:r w:rsidR="00B27F15" w:rsidRPr="00824F98">
        <w:t xml:space="preserve">; Infosys Limited, </w:t>
      </w:r>
      <w:r w:rsidR="00B27F15" w:rsidRPr="00473F55">
        <w:rPr>
          <w:i/>
        </w:rPr>
        <w:t>Annual Report 2012–13: Relevance through Innovation</w:t>
      </w:r>
      <w:r w:rsidR="00B27F15" w:rsidRPr="00824F98">
        <w:t xml:space="preserve">; Infosys Limited, </w:t>
      </w:r>
      <w:r w:rsidR="00B27F15" w:rsidRPr="00473F55">
        <w:rPr>
          <w:i/>
        </w:rPr>
        <w:t>Annual Report 2013–14: Evolving with Changing Times</w:t>
      </w:r>
      <w:r w:rsidR="00B27F15" w:rsidRPr="00824F98">
        <w:t xml:space="preserve">; Infosys Limited, </w:t>
      </w:r>
      <w:r w:rsidR="00B27F15" w:rsidRPr="00473F55">
        <w:rPr>
          <w:i/>
        </w:rPr>
        <w:t>Annual Report 2014–15: Powered by Intellect, Driven by Values</w:t>
      </w:r>
      <w:r w:rsidR="00B27F15" w:rsidRPr="00824F98">
        <w:t xml:space="preserve">; Infosys Limited, </w:t>
      </w:r>
      <w:r w:rsidR="00B27F15" w:rsidRPr="00473F55">
        <w:rPr>
          <w:i/>
        </w:rPr>
        <w:t>Annual Report 2015–16: Being Infosys. Being More.</w:t>
      </w:r>
      <w:r w:rsidR="00B27F15" w:rsidRPr="00824F98">
        <w:t>; all accessed November 24, 2017, www.infosys.com/investors/reports-filings/annual-report/Pages/annual-reports.aspx</w:t>
      </w:r>
      <w:r w:rsidR="00B27F15">
        <w:rPr>
          <w:shd w:val="clear" w:color="auto" w:fill="FFFFFF"/>
        </w:rPr>
        <w:t>.</w:t>
      </w:r>
      <w:r>
        <w:br w:type="page"/>
      </w:r>
    </w:p>
    <w:p w14:paraId="4372C8FF" w14:textId="0D191F31" w:rsidR="00A367F0" w:rsidRDefault="00A367F0" w:rsidP="00A367F0">
      <w:pPr>
        <w:pStyle w:val="ExhibitHeading"/>
      </w:pPr>
      <w:r w:rsidRPr="00E855CA">
        <w:rPr>
          <w:color w:val="000000"/>
        </w:rPr>
        <w:lastRenderedPageBreak/>
        <w:t xml:space="preserve">Exhibit </w:t>
      </w:r>
      <w:r>
        <w:rPr>
          <w:color w:val="000000"/>
        </w:rPr>
        <w:t xml:space="preserve">3: </w:t>
      </w:r>
      <w:r w:rsidRPr="007C3253">
        <w:t>distribution of revenue</w:t>
      </w:r>
      <w:r>
        <w:t xml:space="preserve"> by </w:t>
      </w:r>
      <w:r w:rsidRPr="007C3253">
        <w:t>Business and geographic</w:t>
      </w:r>
      <w:r>
        <w:t>al</w:t>
      </w:r>
      <w:r w:rsidRPr="007C3253">
        <w:t xml:space="preserve"> segment</w:t>
      </w:r>
    </w:p>
    <w:p w14:paraId="2595A7FE" w14:textId="77777777" w:rsidR="00A367F0" w:rsidRPr="00923CE0" w:rsidRDefault="00A367F0" w:rsidP="00A367F0">
      <w:pPr>
        <w:pStyle w:val="ExhibitHeading"/>
        <w:rPr>
          <w:color w:val="000000"/>
        </w:rPr>
      </w:pPr>
      <w:r w:rsidRPr="007C3253">
        <w:t>(</w:t>
      </w:r>
      <w:r>
        <w:t>in US$ MILLIONS</w:t>
      </w:r>
      <w:r w:rsidRPr="007C3253">
        <w:t>)</w:t>
      </w:r>
    </w:p>
    <w:p w14:paraId="795A8E71" w14:textId="77777777" w:rsidR="00A367F0" w:rsidRDefault="00A367F0" w:rsidP="00824F98">
      <w:pPr>
        <w:pStyle w:val="ExhibitText"/>
      </w:pPr>
    </w:p>
    <w:p w14:paraId="221776B8" w14:textId="77777777" w:rsidR="00A367F0" w:rsidRDefault="00A367F0" w:rsidP="00A367F0">
      <w:pPr>
        <w:pStyle w:val="Casehead2"/>
      </w:pPr>
      <w:r>
        <w:t>By Business Segment</w:t>
      </w:r>
    </w:p>
    <w:p w14:paraId="79323972" w14:textId="77777777" w:rsidR="00A367F0" w:rsidRPr="007C3253" w:rsidRDefault="00A367F0" w:rsidP="00824F98">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845"/>
        <w:gridCol w:w="846"/>
        <w:gridCol w:w="846"/>
        <w:gridCol w:w="846"/>
        <w:gridCol w:w="846"/>
        <w:gridCol w:w="845"/>
        <w:gridCol w:w="846"/>
        <w:gridCol w:w="846"/>
        <w:gridCol w:w="846"/>
        <w:gridCol w:w="846"/>
      </w:tblGrid>
      <w:tr w:rsidR="00A367F0" w:rsidRPr="00923CE0" w14:paraId="6A81CCC5" w14:textId="77777777" w:rsidTr="00341EF0">
        <w:trPr>
          <w:trHeight w:val="360"/>
          <w:jc w:val="center"/>
        </w:trPr>
        <w:tc>
          <w:tcPr>
            <w:tcW w:w="892" w:type="dxa"/>
            <w:shd w:val="clear" w:color="auto" w:fill="auto"/>
            <w:vAlign w:val="center"/>
          </w:tcPr>
          <w:p w14:paraId="16D2CAFE" w14:textId="77777777" w:rsidR="00A367F0" w:rsidRPr="000B636E" w:rsidRDefault="00A367F0" w:rsidP="00341EF0">
            <w:pPr>
              <w:pStyle w:val="ExhibitText"/>
              <w:jc w:val="left"/>
            </w:pPr>
          </w:p>
        </w:tc>
        <w:tc>
          <w:tcPr>
            <w:tcW w:w="845" w:type="dxa"/>
            <w:shd w:val="clear" w:color="auto" w:fill="auto"/>
            <w:vAlign w:val="center"/>
          </w:tcPr>
          <w:p w14:paraId="2FC2406D" w14:textId="77777777" w:rsidR="00A367F0" w:rsidRPr="00E605B9" w:rsidRDefault="00A367F0" w:rsidP="00341EF0">
            <w:pPr>
              <w:pStyle w:val="ExhibitText"/>
              <w:jc w:val="center"/>
              <w:rPr>
                <w:b/>
              </w:rPr>
            </w:pPr>
            <w:r w:rsidRPr="00E605B9">
              <w:rPr>
                <w:b/>
              </w:rPr>
              <w:t>FSI</w:t>
            </w:r>
          </w:p>
        </w:tc>
        <w:tc>
          <w:tcPr>
            <w:tcW w:w="846" w:type="dxa"/>
            <w:shd w:val="clear" w:color="auto" w:fill="auto"/>
            <w:vAlign w:val="center"/>
          </w:tcPr>
          <w:p w14:paraId="4A2E5A62" w14:textId="77777777" w:rsidR="00A367F0" w:rsidRPr="00E605B9" w:rsidRDefault="00A367F0" w:rsidP="00341EF0">
            <w:pPr>
              <w:pStyle w:val="ExhibitText"/>
              <w:jc w:val="center"/>
              <w:rPr>
                <w:b/>
              </w:rPr>
            </w:pPr>
            <w:r w:rsidRPr="00E605B9">
              <w:rPr>
                <w:b/>
              </w:rPr>
              <w:t>FS</w:t>
            </w:r>
          </w:p>
        </w:tc>
        <w:tc>
          <w:tcPr>
            <w:tcW w:w="846" w:type="dxa"/>
            <w:shd w:val="clear" w:color="auto" w:fill="auto"/>
            <w:vAlign w:val="center"/>
          </w:tcPr>
          <w:p w14:paraId="6F4E31B3" w14:textId="77777777" w:rsidR="00A367F0" w:rsidRPr="00E605B9" w:rsidRDefault="00A367F0" w:rsidP="00341EF0">
            <w:pPr>
              <w:pStyle w:val="ExhibitText"/>
              <w:jc w:val="center"/>
              <w:rPr>
                <w:b/>
              </w:rPr>
            </w:pPr>
            <w:r w:rsidRPr="00E605B9">
              <w:rPr>
                <w:b/>
              </w:rPr>
              <w:t>MFG</w:t>
            </w:r>
          </w:p>
        </w:tc>
        <w:tc>
          <w:tcPr>
            <w:tcW w:w="846" w:type="dxa"/>
            <w:shd w:val="clear" w:color="auto" w:fill="auto"/>
            <w:vAlign w:val="center"/>
          </w:tcPr>
          <w:p w14:paraId="25D58089" w14:textId="77777777" w:rsidR="00A367F0" w:rsidRPr="00E605B9" w:rsidRDefault="00A367F0" w:rsidP="00341EF0">
            <w:pPr>
              <w:pStyle w:val="ExhibitText"/>
              <w:jc w:val="center"/>
              <w:rPr>
                <w:b/>
              </w:rPr>
            </w:pPr>
            <w:r w:rsidRPr="00E605B9">
              <w:rPr>
                <w:b/>
              </w:rPr>
              <w:t>ECS</w:t>
            </w:r>
          </w:p>
        </w:tc>
        <w:tc>
          <w:tcPr>
            <w:tcW w:w="846" w:type="dxa"/>
            <w:shd w:val="clear" w:color="auto" w:fill="auto"/>
            <w:vAlign w:val="center"/>
          </w:tcPr>
          <w:p w14:paraId="0AB0DFD0" w14:textId="77777777" w:rsidR="00A367F0" w:rsidRPr="00E605B9" w:rsidRDefault="00A367F0" w:rsidP="00341EF0">
            <w:pPr>
              <w:pStyle w:val="ExhibitText"/>
              <w:jc w:val="center"/>
              <w:rPr>
                <w:b/>
              </w:rPr>
            </w:pPr>
            <w:r w:rsidRPr="00E605B9">
              <w:rPr>
                <w:b/>
              </w:rPr>
              <w:t>RCL</w:t>
            </w:r>
          </w:p>
        </w:tc>
        <w:tc>
          <w:tcPr>
            <w:tcW w:w="845" w:type="dxa"/>
            <w:shd w:val="clear" w:color="auto" w:fill="auto"/>
            <w:vAlign w:val="center"/>
          </w:tcPr>
          <w:p w14:paraId="3E86F273" w14:textId="77777777" w:rsidR="00A367F0" w:rsidRPr="00E605B9" w:rsidRDefault="00A367F0" w:rsidP="00341EF0">
            <w:pPr>
              <w:pStyle w:val="ExhibitText"/>
              <w:jc w:val="center"/>
              <w:rPr>
                <w:b/>
              </w:rPr>
            </w:pPr>
            <w:r w:rsidRPr="00E605B9">
              <w:rPr>
                <w:b/>
              </w:rPr>
              <w:t>LSH</w:t>
            </w:r>
          </w:p>
        </w:tc>
        <w:tc>
          <w:tcPr>
            <w:tcW w:w="846" w:type="dxa"/>
            <w:shd w:val="clear" w:color="auto" w:fill="auto"/>
            <w:vAlign w:val="center"/>
          </w:tcPr>
          <w:p w14:paraId="5A0FEEFB" w14:textId="77777777" w:rsidR="00A367F0" w:rsidRPr="00E605B9" w:rsidRDefault="00A367F0" w:rsidP="00341EF0">
            <w:pPr>
              <w:pStyle w:val="ExhibitText"/>
              <w:jc w:val="center"/>
              <w:rPr>
                <w:b/>
              </w:rPr>
            </w:pPr>
            <w:r w:rsidRPr="00E605B9">
              <w:rPr>
                <w:b/>
              </w:rPr>
              <w:t>HILFE</w:t>
            </w:r>
          </w:p>
        </w:tc>
        <w:tc>
          <w:tcPr>
            <w:tcW w:w="846" w:type="dxa"/>
            <w:shd w:val="clear" w:color="auto" w:fill="auto"/>
            <w:vAlign w:val="center"/>
          </w:tcPr>
          <w:p w14:paraId="304FFEC8" w14:textId="77777777" w:rsidR="00A367F0" w:rsidRPr="00E605B9" w:rsidRDefault="00A367F0" w:rsidP="00341EF0">
            <w:pPr>
              <w:pStyle w:val="ExhibitText"/>
              <w:jc w:val="center"/>
              <w:rPr>
                <w:b/>
              </w:rPr>
            </w:pPr>
            <w:r w:rsidRPr="00E605B9">
              <w:rPr>
                <w:b/>
              </w:rPr>
              <w:t>Hi-Tech</w:t>
            </w:r>
          </w:p>
        </w:tc>
        <w:tc>
          <w:tcPr>
            <w:tcW w:w="846" w:type="dxa"/>
            <w:shd w:val="clear" w:color="auto" w:fill="auto"/>
            <w:vAlign w:val="center"/>
          </w:tcPr>
          <w:p w14:paraId="07EE1234" w14:textId="77777777" w:rsidR="00A367F0" w:rsidRPr="00E605B9" w:rsidRDefault="00A367F0" w:rsidP="00341EF0">
            <w:pPr>
              <w:pStyle w:val="ExhibitText"/>
              <w:jc w:val="center"/>
              <w:rPr>
                <w:b/>
              </w:rPr>
            </w:pPr>
            <w:r w:rsidRPr="00E605B9">
              <w:rPr>
                <w:b/>
              </w:rPr>
              <w:t>Other</w:t>
            </w:r>
          </w:p>
        </w:tc>
        <w:tc>
          <w:tcPr>
            <w:tcW w:w="846" w:type="dxa"/>
            <w:shd w:val="clear" w:color="auto" w:fill="auto"/>
            <w:vAlign w:val="center"/>
          </w:tcPr>
          <w:p w14:paraId="533D1CAC" w14:textId="77777777" w:rsidR="00A367F0" w:rsidRPr="00E605B9" w:rsidRDefault="00A367F0" w:rsidP="00341EF0">
            <w:pPr>
              <w:pStyle w:val="ExhibitText"/>
              <w:jc w:val="center"/>
              <w:rPr>
                <w:b/>
              </w:rPr>
            </w:pPr>
            <w:r w:rsidRPr="00E605B9">
              <w:rPr>
                <w:b/>
              </w:rPr>
              <w:t>Total</w:t>
            </w:r>
          </w:p>
        </w:tc>
      </w:tr>
      <w:tr w:rsidR="00A367F0" w:rsidRPr="00923CE0" w14:paraId="702ABC62" w14:textId="77777777" w:rsidTr="00341EF0">
        <w:trPr>
          <w:trHeight w:val="360"/>
          <w:jc w:val="center"/>
        </w:trPr>
        <w:tc>
          <w:tcPr>
            <w:tcW w:w="9350" w:type="dxa"/>
            <w:gridSpan w:val="11"/>
            <w:shd w:val="clear" w:color="auto" w:fill="auto"/>
            <w:vAlign w:val="center"/>
          </w:tcPr>
          <w:p w14:paraId="10999D0D" w14:textId="77777777" w:rsidR="00A367F0" w:rsidRPr="000B636E" w:rsidRDefault="00A367F0" w:rsidP="00341EF0">
            <w:pPr>
              <w:pStyle w:val="ExhibitText"/>
              <w:jc w:val="left"/>
            </w:pPr>
            <w:r w:rsidRPr="000B636E">
              <w:t>Segment Revenues</w:t>
            </w:r>
          </w:p>
        </w:tc>
      </w:tr>
      <w:tr w:rsidR="00A367F0" w:rsidRPr="00923CE0" w14:paraId="0D3CAF5E" w14:textId="77777777" w:rsidTr="00341EF0">
        <w:trPr>
          <w:trHeight w:val="360"/>
          <w:jc w:val="center"/>
        </w:trPr>
        <w:tc>
          <w:tcPr>
            <w:tcW w:w="892" w:type="dxa"/>
            <w:shd w:val="clear" w:color="auto" w:fill="auto"/>
            <w:vAlign w:val="center"/>
          </w:tcPr>
          <w:p w14:paraId="3289F270" w14:textId="77777777" w:rsidR="00A367F0" w:rsidRPr="000B636E" w:rsidRDefault="00A367F0" w:rsidP="00341EF0">
            <w:pPr>
              <w:pStyle w:val="ExhibitText"/>
              <w:jc w:val="left"/>
            </w:pPr>
            <w:r w:rsidRPr="000B636E">
              <w:t>2013</w:t>
            </w:r>
          </w:p>
        </w:tc>
        <w:tc>
          <w:tcPr>
            <w:tcW w:w="845" w:type="dxa"/>
            <w:shd w:val="clear" w:color="auto" w:fill="auto"/>
            <w:vAlign w:val="center"/>
          </w:tcPr>
          <w:p w14:paraId="71268FD2" w14:textId="77777777" w:rsidR="00A367F0" w:rsidRPr="000B636E" w:rsidRDefault="00A367F0" w:rsidP="00341EF0">
            <w:pPr>
              <w:pStyle w:val="ExhibitText"/>
              <w:jc w:val="right"/>
            </w:pPr>
            <w:r w:rsidRPr="000B636E">
              <w:t>1,965</w:t>
            </w:r>
          </w:p>
        </w:tc>
        <w:tc>
          <w:tcPr>
            <w:tcW w:w="846" w:type="dxa"/>
            <w:shd w:val="clear" w:color="auto" w:fill="auto"/>
            <w:vAlign w:val="center"/>
          </w:tcPr>
          <w:p w14:paraId="6F686306" w14:textId="77777777" w:rsidR="00A367F0" w:rsidRPr="000B636E" w:rsidRDefault="00A367F0" w:rsidP="00341EF0">
            <w:pPr>
              <w:pStyle w:val="ExhibitText"/>
              <w:jc w:val="right"/>
            </w:pPr>
            <w:r w:rsidRPr="000B636E">
              <w:t>-</w:t>
            </w:r>
          </w:p>
        </w:tc>
        <w:tc>
          <w:tcPr>
            <w:tcW w:w="846" w:type="dxa"/>
            <w:shd w:val="clear" w:color="auto" w:fill="auto"/>
            <w:vAlign w:val="center"/>
          </w:tcPr>
          <w:p w14:paraId="12ABC136" w14:textId="77777777" w:rsidR="00A367F0" w:rsidRPr="000B636E" w:rsidRDefault="00A367F0" w:rsidP="00341EF0">
            <w:pPr>
              <w:pStyle w:val="ExhibitText"/>
              <w:jc w:val="right"/>
            </w:pPr>
            <w:r w:rsidRPr="000B636E">
              <w:t>1,178</w:t>
            </w:r>
          </w:p>
        </w:tc>
        <w:tc>
          <w:tcPr>
            <w:tcW w:w="846" w:type="dxa"/>
            <w:shd w:val="clear" w:color="auto" w:fill="auto"/>
            <w:vAlign w:val="center"/>
          </w:tcPr>
          <w:p w14:paraId="621FFAF9" w14:textId="77777777" w:rsidR="00A367F0" w:rsidRPr="000B636E" w:rsidRDefault="00A367F0" w:rsidP="00341EF0">
            <w:pPr>
              <w:pStyle w:val="ExhibitText"/>
              <w:jc w:val="right"/>
            </w:pPr>
            <w:r w:rsidRPr="000B636E">
              <w:t>1,154</w:t>
            </w:r>
          </w:p>
        </w:tc>
        <w:tc>
          <w:tcPr>
            <w:tcW w:w="846" w:type="dxa"/>
            <w:shd w:val="clear" w:color="auto" w:fill="auto"/>
            <w:vAlign w:val="center"/>
          </w:tcPr>
          <w:p w14:paraId="7FEC11CC" w14:textId="77777777" w:rsidR="00A367F0" w:rsidRPr="000B636E" w:rsidRDefault="00A367F0" w:rsidP="00341EF0">
            <w:pPr>
              <w:pStyle w:val="ExhibitText"/>
              <w:jc w:val="right"/>
            </w:pPr>
            <w:r w:rsidRPr="000B636E">
              <w:t>1,048</w:t>
            </w:r>
          </w:p>
        </w:tc>
        <w:tc>
          <w:tcPr>
            <w:tcW w:w="845" w:type="dxa"/>
            <w:shd w:val="clear" w:color="auto" w:fill="auto"/>
            <w:vAlign w:val="center"/>
          </w:tcPr>
          <w:p w14:paraId="1E73BC2B" w14:textId="77777777" w:rsidR="00A367F0" w:rsidRPr="000B636E" w:rsidRDefault="00A367F0" w:rsidP="00341EF0">
            <w:pPr>
              <w:pStyle w:val="ExhibitText"/>
              <w:jc w:val="right"/>
            </w:pPr>
            <w:r w:rsidRPr="000B636E">
              <w:t>3,096</w:t>
            </w:r>
          </w:p>
        </w:tc>
        <w:tc>
          <w:tcPr>
            <w:tcW w:w="846" w:type="dxa"/>
            <w:shd w:val="clear" w:color="auto" w:fill="auto"/>
            <w:vAlign w:val="center"/>
          </w:tcPr>
          <w:p w14:paraId="5906773D" w14:textId="77777777" w:rsidR="00A367F0" w:rsidRPr="000B636E" w:rsidRDefault="00A367F0" w:rsidP="00341EF0">
            <w:pPr>
              <w:pStyle w:val="ExhibitText"/>
              <w:jc w:val="right"/>
            </w:pPr>
            <w:r w:rsidRPr="000B636E">
              <w:t>-</w:t>
            </w:r>
          </w:p>
        </w:tc>
        <w:tc>
          <w:tcPr>
            <w:tcW w:w="846" w:type="dxa"/>
            <w:shd w:val="clear" w:color="auto" w:fill="auto"/>
            <w:vAlign w:val="center"/>
          </w:tcPr>
          <w:p w14:paraId="68195326" w14:textId="77777777" w:rsidR="00A367F0" w:rsidRPr="000B636E" w:rsidRDefault="00A367F0" w:rsidP="00341EF0">
            <w:pPr>
              <w:pStyle w:val="ExhibitText"/>
              <w:jc w:val="right"/>
            </w:pPr>
            <w:r w:rsidRPr="000B636E">
              <w:t>-</w:t>
            </w:r>
          </w:p>
        </w:tc>
        <w:tc>
          <w:tcPr>
            <w:tcW w:w="846" w:type="dxa"/>
            <w:shd w:val="clear" w:color="auto" w:fill="auto"/>
            <w:vAlign w:val="center"/>
          </w:tcPr>
          <w:p w14:paraId="2E97B98A" w14:textId="77777777" w:rsidR="00A367F0" w:rsidRPr="000B636E" w:rsidRDefault="00A367F0" w:rsidP="00341EF0">
            <w:pPr>
              <w:pStyle w:val="ExhibitText"/>
              <w:jc w:val="right"/>
            </w:pPr>
            <w:r w:rsidRPr="000B636E">
              <w:t>-</w:t>
            </w:r>
          </w:p>
        </w:tc>
        <w:tc>
          <w:tcPr>
            <w:tcW w:w="846" w:type="dxa"/>
            <w:shd w:val="clear" w:color="auto" w:fill="auto"/>
            <w:vAlign w:val="center"/>
          </w:tcPr>
          <w:p w14:paraId="0DB5A9B8" w14:textId="77777777" w:rsidR="00A367F0" w:rsidRPr="000B636E" w:rsidRDefault="00A367F0" w:rsidP="00341EF0">
            <w:pPr>
              <w:pStyle w:val="ExhibitText"/>
              <w:jc w:val="right"/>
            </w:pPr>
            <w:r w:rsidRPr="000B636E">
              <w:t>5,656</w:t>
            </w:r>
          </w:p>
        </w:tc>
      </w:tr>
      <w:tr w:rsidR="00A367F0" w:rsidRPr="00923CE0" w14:paraId="1801DAA2" w14:textId="77777777" w:rsidTr="00341EF0">
        <w:trPr>
          <w:trHeight w:val="360"/>
          <w:jc w:val="center"/>
        </w:trPr>
        <w:tc>
          <w:tcPr>
            <w:tcW w:w="892" w:type="dxa"/>
            <w:shd w:val="clear" w:color="auto" w:fill="auto"/>
            <w:vAlign w:val="center"/>
          </w:tcPr>
          <w:p w14:paraId="6C20737A" w14:textId="77777777" w:rsidR="00A367F0" w:rsidRPr="000B636E" w:rsidRDefault="00A367F0" w:rsidP="00341EF0">
            <w:pPr>
              <w:pStyle w:val="ExhibitText"/>
              <w:jc w:val="left"/>
            </w:pPr>
            <w:r w:rsidRPr="000B636E">
              <w:t>2014</w:t>
            </w:r>
          </w:p>
        </w:tc>
        <w:tc>
          <w:tcPr>
            <w:tcW w:w="845" w:type="dxa"/>
            <w:shd w:val="clear" w:color="auto" w:fill="auto"/>
            <w:vAlign w:val="center"/>
          </w:tcPr>
          <w:p w14:paraId="33FAF05B" w14:textId="77777777" w:rsidR="00A367F0" w:rsidRPr="000B636E" w:rsidRDefault="00A367F0" w:rsidP="00341EF0">
            <w:pPr>
              <w:pStyle w:val="ExhibitText"/>
              <w:jc w:val="right"/>
            </w:pPr>
            <w:r w:rsidRPr="000B636E">
              <w:t>2,365</w:t>
            </w:r>
          </w:p>
        </w:tc>
        <w:tc>
          <w:tcPr>
            <w:tcW w:w="846" w:type="dxa"/>
            <w:shd w:val="clear" w:color="auto" w:fill="auto"/>
            <w:vAlign w:val="center"/>
          </w:tcPr>
          <w:p w14:paraId="3CE38F3A" w14:textId="77777777" w:rsidR="00A367F0" w:rsidRPr="000B636E" w:rsidRDefault="00A367F0" w:rsidP="00341EF0">
            <w:pPr>
              <w:pStyle w:val="ExhibitText"/>
              <w:jc w:val="right"/>
            </w:pPr>
            <w:r w:rsidRPr="000B636E">
              <w:t>-</w:t>
            </w:r>
          </w:p>
        </w:tc>
        <w:tc>
          <w:tcPr>
            <w:tcW w:w="846" w:type="dxa"/>
            <w:shd w:val="clear" w:color="auto" w:fill="auto"/>
            <w:vAlign w:val="center"/>
          </w:tcPr>
          <w:p w14:paraId="00FA7872" w14:textId="77777777" w:rsidR="00A367F0" w:rsidRPr="000B636E" w:rsidRDefault="00A367F0" w:rsidP="00341EF0">
            <w:pPr>
              <w:pStyle w:val="ExhibitText"/>
              <w:jc w:val="right"/>
            </w:pPr>
            <w:r w:rsidRPr="000B636E">
              <w:t>1,451</w:t>
            </w:r>
          </w:p>
        </w:tc>
        <w:tc>
          <w:tcPr>
            <w:tcW w:w="846" w:type="dxa"/>
            <w:shd w:val="clear" w:color="auto" w:fill="auto"/>
            <w:vAlign w:val="center"/>
          </w:tcPr>
          <w:p w14:paraId="23EB4EC2" w14:textId="77777777" w:rsidR="00A367F0" w:rsidRPr="000B636E" w:rsidRDefault="00A367F0" w:rsidP="00341EF0">
            <w:pPr>
              <w:pStyle w:val="ExhibitText"/>
              <w:jc w:val="right"/>
            </w:pPr>
            <w:r w:rsidRPr="000B636E">
              <w:t>1,363</w:t>
            </w:r>
          </w:p>
        </w:tc>
        <w:tc>
          <w:tcPr>
            <w:tcW w:w="846" w:type="dxa"/>
            <w:shd w:val="clear" w:color="auto" w:fill="auto"/>
            <w:vAlign w:val="center"/>
          </w:tcPr>
          <w:p w14:paraId="15393BCD" w14:textId="77777777" w:rsidR="00A367F0" w:rsidRPr="000B636E" w:rsidRDefault="00A367F0" w:rsidP="00341EF0">
            <w:pPr>
              <w:pStyle w:val="ExhibitText"/>
              <w:jc w:val="right"/>
            </w:pPr>
            <w:r w:rsidRPr="000B636E">
              <w:t>1,247</w:t>
            </w:r>
          </w:p>
        </w:tc>
        <w:tc>
          <w:tcPr>
            <w:tcW w:w="845" w:type="dxa"/>
            <w:shd w:val="clear" w:color="auto" w:fill="auto"/>
            <w:vAlign w:val="center"/>
          </w:tcPr>
          <w:p w14:paraId="4FB7E5DA" w14:textId="77777777" w:rsidR="00A367F0" w:rsidRPr="000B636E" w:rsidRDefault="00A367F0" w:rsidP="00341EF0">
            <w:pPr>
              <w:pStyle w:val="ExhibitText"/>
              <w:jc w:val="right"/>
            </w:pPr>
            <w:r w:rsidRPr="000B636E">
              <w:t>394</w:t>
            </w:r>
          </w:p>
        </w:tc>
        <w:tc>
          <w:tcPr>
            <w:tcW w:w="846" w:type="dxa"/>
            <w:shd w:val="clear" w:color="auto" w:fill="auto"/>
            <w:vAlign w:val="center"/>
          </w:tcPr>
          <w:p w14:paraId="5CF9AB21" w14:textId="77777777" w:rsidR="00A367F0" w:rsidRPr="000B636E" w:rsidRDefault="00A367F0" w:rsidP="00341EF0">
            <w:pPr>
              <w:pStyle w:val="ExhibitText"/>
              <w:jc w:val="right"/>
            </w:pPr>
            <w:r w:rsidRPr="000B636E">
              <w:t>-</w:t>
            </w:r>
          </w:p>
        </w:tc>
        <w:tc>
          <w:tcPr>
            <w:tcW w:w="846" w:type="dxa"/>
            <w:shd w:val="clear" w:color="auto" w:fill="auto"/>
            <w:vAlign w:val="center"/>
          </w:tcPr>
          <w:p w14:paraId="71270BB8" w14:textId="77777777" w:rsidR="00A367F0" w:rsidRPr="000B636E" w:rsidRDefault="00A367F0" w:rsidP="00341EF0">
            <w:pPr>
              <w:pStyle w:val="ExhibitText"/>
              <w:jc w:val="right"/>
            </w:pPr>
            <w:r w:rsidRPr="000B636E">
              <w:t>-</w:t>
            </w:r>
          </w:p>
        </w:tc>
        <w:tc>
          <w:tcPr>
            <w:tcW w:w="846" w:type="dxa"/>
            <w:shd w:val="clear" w:color="auto" w:fill="auto"/>
            <w:vAlign w:val="center"/>
          </w:tcPr>
          <w:p w14:paraId="01F97FEB" w14:textId="77777777" w:rsidR="00A367F0" w:rsidRPr="000B636E" w:rsidRDefault="00A367F0" w:rsidP="00341EF0">
            <w:pPr>
              <w:pStyle w:val="ExhibitText"/>
              <w:jc w:val="right"/>
            </w:pPr>
            <w:r w:rsidRPr="000B636E">
              <w:t>-</w:t>
            </w:r>
          </w:p>
        </w:tc>
        <w:tc>
          <w:tcPr>
            <w:tcW w:w="846" w:type="dxa"/>
            <w:shd w:val="clear" w:color="auto" w:fill="auto"/>
            <w:vAlign w:val="center"/>
          </w:tcPr>
          <w:p w14:paraId="5BAD0767" w14:textId="77777777" w:rsidR="00A367F0" w:rsidRPr="000B636E" w:rsidRDefault="00A367F0" w:rsidP="00341EF0">
            <w:pPr>
              <w:pStyle w:val="ExhibitText"/>
              <w:jc w:val="right"/>
            </w:pPr>
            <w:r w:rsidRPr="000B636E">
              <w:t>6,821</w:t>
            </w:r>
          </w:p>
        </w:tc>
      </w:tr>
      <w:tr w:rsidR="00A367F0" w:rsidRPr="00923CE0" w14:paraId="0F777579" w14:textId="77777777" w:rsidTr="00341EF0">
        <w:trPr>
          <w:trHeight w:val="360"/>
          <w:jc w:val="center"/>
        </w:trPr>
        <w:tc>
          <w:tcPr>
            <w:tcW w:w="892" w:type="dxa"/>
            <w:shd w:val="clear" w:color="auto" w:fill="auto"/>
            <w:vAlign w:val="center"/>
          </w:tcPr>
          <w:p w14:paraId="1A2D25A9" w14:textId="77777777" w:rsidR="00A367F0" w:rsidRPr="000B636E" w:rsidRDefault="00A367F0" w:rsidP="00341EF0">
            <w:pPr>
              <w:pStyle w:val="ExhibitText"/>
              <w:jc w:val="left"/>
            </w:pPr>
            <w:r w:rsidRPr="000B636E">
              <w:t>2015</w:t>
            </w:r>
          </w:p>
        </w:tc>
        <w:tc>
          <w:tcPr>
            <w:tcW w:w="845" w:type="dxa"/>
            <w:shd w:val="clear" w:color="auto" w:fill="auto"/>
            <w:vAlign w:val="center"/>
          </w:tcPr>
          <w:p w14:paraId="510A8FB2" w14:textId="77777777" w:rsidR="00A367F0" w:rsidRPr="000B636E" w:rsidRDefault="00A367F0" w:rsidP="00341EF0">
            <w:pPr>
              <w:pStyle w:val="ExhibitText"/>
              <w:jc w:val="right"/>
            </w:pPr>
            <w:r w:rsidRPr="000B636E">
              <w:t>2,488</w:t>
            </w:r>
          </w:p>
        </w:tc>
        <w:tc>
          <w:tcPr>
            <w:tcW w:w="846" w:type="dxa"/>
            <w:shd w:val="clear" w:color="auto" w:fill="auto"/>
            <w:vAlign w:val="center"/>
          </w:tcPr>
          <w:p w14:paraId="1D378E8F" w14:textId="77777777" w:rsidR="00A367F0" w:rsidRPr="000B636E" w:rsidRDefault="00A367F0" w:rsidP="00341EF0">
            <w:pPr>
              <w:pStyle w:val="ExhibitText"/>
              <w:jc w:val="right"/>
            </w:pPr>
            <w:r w:rsidRPr="000B636E">
              <w:t>-</w:t>
            </w:r>
          </w:p>
        </w:tc>
        <w:tc>
          <w:tcPr>
            <w:tcW w:w="846" w:type="dxa"/>
            <w:shd w:val="clear" w:color="auto" w:fill="auto"/>
            <w:vAlign w:val="center"/>
          </w:tcPr>
          <w:p w14:paraId="7764D731" w14:textId="77777777" w:rsidR="00A367F0" w:rsidRPr="000B636E" w:rsidRDefault="00A367F0" w:rsidP="00341EF0">
            <w:pPr>
              <w:pStyle w:val="ExhibitText"/>
              <w:jc w:val="right"/>
            </w:pPr>
            <w:r w:rsidRPr="000B636E">
              <w:t>1,573</w:t>
            </w:r>
          </w:p>
        </w:tc>
        <w:tc>
          <w:tcPr>
            <w:tcW w:w="846" w:type="dxa"/>
            <w:shd w:val="clear" w:color="auto" w:fill="auto"/>
            <w:vAlign w:val="center"/>
          </w:tcPr>
          <w:p w14:paraId="72A06B6F" w14:textId="77777777" w:rsidR="00A367F0" w:rsidRPr="000B636E" w:rsidRDefault="00A367F0" w:rsidP="00341EF0">
            <w:pPr>
              <w:pStyle w:val="ExhibitText"/>
              <w:jc w:val="right"/>
            </w:pPr>
            <w:r w:rsidRPr="000B636E">
              <w:t>1,500</w:t>
            </w:r>
          </w:p>
        </w:tc>
        <w:tc>
          <w:tcPr>
            <w:tcW w:w="846" w:type="dxa"/>
            <w:shd w:val="clear" w:color="auto" w:fill="auto"/>
            <w:vAlign w:val="center"/>
          </w:tcPr>
          <w:p w14:paraId="0F466C40" w14:textId="77777777" w:rsidR="00A367F0" w:rsidRPr="000B636E" w:rsidRDefault="00A367F0" w:rsidP="00341EF0">
            <w:pPr>
              <w:pStyle w:val="ExhibitText"/>
              <w:jc w:val="right"/>
            </w:pPr>
            <w:r w:rsidRPr="000B636E">
              <w:t>1,287</w:t>
            </w:r>
          </w:p>
        </w:tc>
        <w:tc>
          <w:tcPr>
            <w:tcW w:w="845" w:type="dxa"/>
            <w:shd w:val="clear" w:color="auto" w:fill="auto"/>
            <w:vAlign w:val="center"/>
          </w:tcPr>
          <w:p w14:paraId="1BB38E85" w14:textId="77777777" w:rsidR="00A367F0" w:rsidRPr="000B636E" w:rsidRDefault="00A367F0" w:rsidP="00341EF0">
            <w:pPr>
              <w:pStyle w:val="ExhibitText"/>
              <w:jc w:val="right"/>
            </w:pPr>
            <w:r w:rsidRPr="000B636E">
              <w:t>426</w:t>
            </w:r>
          </w:p>
        </w:tc>
        <w:tc>
          <w:tcPr>
            <w:tcW w:w="846" w:type="dxa"/>
            <w:shd w:val="clear" w:color="auto" w:fill="auto"/>
            <w:vAlign w:val="center"/>
          </w:tcPr>
          <w:p w14:paraId="526F51CB" w14:textId="77777777" w:rsidR="00A367F0" w:rsidRPr="000B636E" w:rsidRDefault="00A367F0" w:rsidP="00341EF0">
            <w:pPr>
              <w:pStyle w:val="ExhibitText"/>
              <w:jc w:val="right"/>
            </w:pPr>
            <w:r w:rsidRPr="000B636E">
              <w:t>-</w:t>
            </w:r>
          </w:p>
        </w:tc>
        <w:tc>
          <w:tcPr>
            <w:tcW w:w="846" w:type="dxa"/>
            <w:shd w:val="clear" w:color="auto" w:fill="auto"/>
            <w:vAlign w:val="center"/>
          </w:tcPr>
          <w:p w14:paraId="13A1AB8B" w14:textId="77777777" w:rsidR="00A367F0" w:rsidRPr="000B636E" w:rsidRDefault="00A367F0" w:rsidP="00341EF0">
            <w:pPr>
              <w:pStyle w:val="ExhibitText"/>
              <w:jc w:val="right"/>
            </w:pPr>
            <w:r w:rsidRPr="000B636E">
              <w:t>-</w:t>
            </w:r>
          </w:p>
        </w:tc>
        <w:tc>
          <w:tcPr>
            <w:tcW w:w="846" w:type="dxa"/>
            <w:shd w:val="clear" w:color="auto" w:fill="auto"/>
            <w:vAlign w:val="center"/>
          </w:tcPr>
          <w:p w14:paraId="3C3EC252" w14:textId="77777777" w:rsidR="00A367F0" w:rsidRPr="000B636E" w:rsidRDefault="00A367F0" w:rsidP="00341EF0">
            <w:pPr>
              <w:pStyle w:val="ExhibitText"/>
              <w:jc w:val="right"/>
            </w:pPr>
            <w:r w:rsidRPr="000B636E">
              <w:t>-</w:t>
            </w:r>
          </w:p>
        </w:tc>
        <w:tc>
          <w:tcPr>
            <w:tcW w:w="846" w:type="dxa"/>
            <w:shd w:val="clear" w:color="auto" w:fill="auto"/>
            <w:vAlign w:val="center"/>
          </w:tcPr>
          <w:p w14:paraId="4EB1A0ED" w14:textId="77777777" w:rsidR="00A367F0" w:rsidRPr="000B636E" w:rsidRDefault="00A367F0" w:rsidP="00341EF0">
            <w:pPr>
              <w:pStyle w:val="ExhibitText"/>
              <w:jc w:val="right"/>
            </w:pPr>
            <w:r w:rsidRPr="000B636E">
              <w:t>7,276</w:t>
            </w:r>
          </w:p>
        </w:tc>
      </w:tr>
      <w:tr w:rsidR="00A367F0" w:rsidRPr="00923CE0" w14:paraId="7A5CAEE8" w14:textId="77777777" w:rsidTr="00341EF0">
        <w:trPr>
          <w:trHeight w:val="360"/>
          <w:jc w:val="center"/>
        </w:trPr>
        <w:tc>
          <w:tcPr>
            <w:tcW w:w="892" w:type="dxa"/>
            <w:shd w:val="clear" w:color="auto" w:fill="auto"/>
            <w:vAlign w:val="center"/>
          </w:tcPr>
          <w:p w14:paraId="74E26078" w14:textId="77777777" w:rsidR="00A367F0" w:rsidRPr="000B636E" w:rsidRDefault="00A367F0" w:rsidP="00341EF0">
            <w:pPr>
              <w:pStyle w:val="ExhibitText"/>
              <w:jc w:val="left"/>
            </w:pPr>
            <w:r w:rsidRPr="000B636E">
              <w:t>2016</w:t>
            </w:r>
          </w:p>
        </w:tc>
        <w:tc>
          <w:tcPr>
            <w:tcW w:w="845" w:type="dxa"/>
            <w:shd w:val="clear" w:color="auto" w:fill="auto"/>
            <w:vAlign w:val="center"/>
          </w:tcPr>
          <w:p w14:paraId="2B9BE0AB" w14:textId="77777777" w:rsidR="00A367F0" w:rsidRPr="000B636E" w:rsidRDefault="00A367F0" w:rsidP="00341EF0">
            <w:pPr>
              <w:pStyle w:val="ExhibitText"/>
              <w:jc w:val="right"/>
            </w:pPr>
            <w:r w:rsidRPr="000B636E">
              <w:t>-</w:t>
            </w:r>
          </w:p>
        </w:tc>
        <w:tc>
          <w:tcPr>
            <w:tcW w:w="846" w:type="dxa"/>
            <w:shd w:val="clear" w:color="auto" w:fill="auto"/>
            <w:vAlign w:val="center"/>
          </w:tcPr>
          <w:p w14:paraId="1606CA61" w14:textId="77777777" w:rsidR="00A367F0" w:rsidRPr="000B636E" w:rsidRDefault="00A367F0" w:rsidP="00341EF0">
            <w:pPr>
              <w:pStyle w:val="ExhibitText"/>
              <w:jc w:val="right"/>
            </w:pPr>
            <w:r w:rsidRPr="000B636E">
              <w:t>2,284</w:t>
            </w:r>
          </w:p>
        </w:tc>
        <w:tc>
          <w:tcPr>
            <w:tcW w:w="846" w:type="dxa"/>
            <w:shd w:val="clear" w:color="auto" w:fill="auto"/>
            <w:vAlign w:val="center"/>
          </w:tcPr>
          <w:p w14:paraId="1D8E9EF1" w14:textId="77777777" w:rsidR="00A367F0" w:rsidRPr="000B636E" w:rsidRDefault="00A367F0" w:rsidP="00341EF0">
            <w:pPr>
              <w:pStyle w:val="ExhibitText"/>
              <w:jc w:val="right"/>
            </w:pPr>
            <w:r w:rsidRPr="000B636E">
              <w:t>836</w:t>
            </w:r>
          </w:p>
        </w:tc>
        <w:tc>
          <w:tcPr>
            <w:tcW w:w="846" w:type="dxa"/>
            <w:shd w:val="clear" w:color="auto" w:fill="auto"/>
            <w:vAlign w:val="center"/>
          </w:tcPr>
          <w:p w14:paraId="037443C5" w14:textId="77777777" w:rsidR="00A367F0" w:rsidRPr="000B636E" w:rsidRDefault="00A367F0" w:rsidP="00341EF0">
            <w:pPr>
              <w:pStyle w:val="ExhibitText"/>
              <w:jc w:val="right"/>
            </w:pPr>
            <w:r w:rsidRPr="000B636E">
              <w:t>1,865</w:t>
            </w:r>
          </w:p>
        </w:tc>
        <w:tc>
          <w:tcPr>
            <w:tcW w:w="846" w:type="dxa"/>
            <w:shd w:val="clear" w:color="auto" w:fill="auto"/>
            <w:vAlign w:val="center"/>
          </w:tcPr>
          <w:p w14:paraId="1E58833B" w14:textId="77777777" w:rsidR="00A367F0" w:rsidRPr="000B636E" w:rsidRDefault="00A367F0" w:rsidP="00341EF0">
            <w:pPr>
              <w:pStyle w:val="ExhibitText"/>
              <w:jc w:val="right"/>
            </w:pPr>
            <w:r w:rsidRPr="000B636E">
              <w:t>1,447</w:t>
            </w:r>
          </w:p>
        </w:tc>
        <w:tc>
          <w:tcPr>
            <w:tcW w:w="845" w:type="dxa"/>
            <w:shd w:val="clear" w:color="auto" w:fill="auto"/>
            <w:vAlign w:val="center"/>
          </w:tcPr>
          <w:p w14:paraId="44AF3DC8" w14:textId="77777777" w:rsidR="00A367F0" w:rsidRPr="000B636E" w:rsidRDefault="00A367F0" w:rsidP="00341EF0">
            <w:pPr>
              <w:pStyle w:val="ExhibitText"/>
              <w:jc w:val="right"/>
            </w:pPr>
            <w:r w:rsidRPr="000B636E">
              <w:t>-</w:t>
            </w:r>
          </w:p>
        </w:tc>
        <w:tc>
          <w:tcPr>
            <w:tcW w:w="846" w:type="dxa"/>
            <w:shd w:val="clear" w:color="auto" w:fill="auto"/>
            <w:vAlign w:val="center"/>
          </w:tcPr>
          <w:p w14:paraId="11E20936" w14:textId="77777777" w:rsidR="00A367F0" w:rsidRPr="000B636E" w:rsidRDefault="00A367F0" w:rsidP="00341EF0">
            <w:pPr>
              <w:pStyle w:val="ExhibitText"/>
              <w:jc w:val="right"/>
            </w:pPr>
            <w:r w:rsidRPr="000B636E">
              <w:t>983</w:t>
            </w:r>
          </w:p>
        </w:tc>
        <w:tc>
          <w:tcPr>
            <w:tcW w:w="846" w:type="dxa"/>
            <w:shd w:val="clear" w:color="auto" w:fill="auto"/>
            <w:vAlign w:val="center"/>
          </w:tcPr>
          <w:p w14:paraId="27881125" w14:textId="77777777" w:rsidR="00A367F0" w:rsidRPr="000B636E" w:rsidRDefault="00A367F0" w:rsidP="00341EF0">
            <w:pPr>
              <w:pStyle w:val="ExhibitText"/>
              <w:jc w:val="right"/>
            </w:pPr>
            <w:r w:rsidRPr="000B636E">
              <w:t>728</w:t>
            </w:r>
          </w:p>
        </w:tc>
        <w:tc>
          <w:tcPr>
            <w:tcW w:w="846" w:type="dxa"/>
            <w:shd w:val="clear" w:color="auto" w:fill="auto"/>
            <w:vAlign w:val="center"/>
          </w:tcPr>
          <w:p w14:paraId="2A067895" w14:textId="77777777" w:rsidR="00A367F0" w:rsidRPr="000B636E" w:rsidRDefault="00A367F0" w:rsidP="00341EF0">
            <w:pPr>
              <w:pStyle w:val="ExhibitText"/>
              <w:jc w:val="right"/>
            </w:pPr>
            <w:r w:rsidRPr="000B636E">
              <w:t>160</w:t>
            </w:r>
          </w:p>
        </w:tc>
        <w:tc>
          <w:tcPr>
            <w:tcW w:w="846" w:type="dxa"/>
            <w:shd w:val="clear" w:color="auto" w:fill="auto"/>
            <w:vAlign w:val="center"/>
          </w:tcPr>
          <w:p w14:paraId="554CB230" w14:textId="77777777" w:rsidR="00A367F0" w:rsidRPr="000B636E" w:rsidRDefault="00A367F0" w:rsidP="00341EF0">
            <w:pPr>
              <w:pStyle w:val="ExhibitText"/>
              <w:jc w:val="right"/>
            </w:pPr>
            <w:r w:rsidRPr="000B636E">
              <w:t>8,305</w:t>
            </w:r>
          </w:p>
        </w:tc>
      </w:tr>
      <w:tr w:rsidR="00A367F0" w:rsidRPr="00923CE0" w14:paraId="18AE78AB" w14:textId="77777777" w:rsidTr="00341EF0">
        <w:trPr>
          <w:trHeight w:val="360"/>
          <w:jc w:val="center"/>
        </w:trPr>
        <w:tc>
          <w:tcPr>
            <w:tcW w:w="892" w:type="dxa"/>
            <w:shd w:val="clear" w:color="auto" w:fill="auto"/>
            <w:vAlign w:val="center"/>
          </w:tcPr>
          <w:p w14:paraId="50AEE175" w14:textId="77777777" w:rsidR="00A367F0" w:rsidRPr="000B636E" w:rsidRDefault="00A367F0" w:rsidP="00341EF0">
            <w:pPr>
              <w:pStyle w:val="ExhibitText"/>
              <w:jc w:val="left"/>
            </w:pPr>
            <w:r w:rsidRPr="000B636E">
              <w:t>2017</w:t>
            </w:r>
          </w:p>
        </w:tc>
        <w:tc>
          <w:tcPr>
            <w:tcW w:w="845" w:type="dxa"/>
            <w:shd w:val="clear" w:color="auto" w:fill="auto"/>
            <w:vAlign w:val="center"/>
          </w:tcPr>
          <w:p w14:paraId="600C23FD" w14:textId="77777777" w:rsidR="00A367F0" w:rsidRPr="000B636E" w:rsidRDefault="00A367F0" w:rsidP="00341EF0">
            <w:pPr>
              <w:pStyle w:val="ExhibitText"/>
              <w:jc w:val="right"/>
            </w:pPr>
            <w:r w:rsidRPr="000B636E">
              <w:t>-</w:t>
            </w:r>
          </w:p>
        </w:tc>
        <w:tc>
          <w:tcPr>
            <w:tcW w:w="846" w:type="dxa"/>
            <w:shd w:val="clear" w:color="auto" w:fill="auto"/>
            <w:vAlign w:val="center"/>
          </w:tcPr>
          <w:p w14:paraId="4CCD7C9F" w14:textId="77777777" w:rsidR="00A367F0" w:rsidRPr="000B636E" w:rsidRDefault="00A367F0" w:rsidP="00341EF0">
            <w:pPr>
              <w:pStyle w:val="ExhibitText"/>
              <w:jc w:val="right"/>
            </w:pPr>
            <w:r w:rsidRPr="000B636E">
              <w:t>2,420</w:t>
            </w:r>
          </w:p>
        </w:tc>
        <w:tc>
          <w:tcPr>
            <w:tcW w:w="846" w:type="dxa"/>
            <w:shd w:val="clear" w:color="auto" w:fill="auto"/>
            <w:vAlign w:val="center"/>
          </w:tcPr>
          <w:p w14:paraId="0232C631" w14:textId="77777777" w:rsidR="00A367F0" w:rsidRPr="000B636E" w:rsidRDefault="00A367F0" w:rsidP="00341EF0">
            <w:pPr>
              <w:pStyle w:val="ExhibitText"/>
              <w:jc w:val="right"/>
            </w:pPr>
            <w:r w:rsidRPr="000B636E">
              <w:t>936</w:t>
            </w:r>
          </w:p>
        </w:tc>
        <w:tc>
          <w:tcPr>
            <w:tcW w:w="846" w:type="dxa"/>
            <w:shd w:val="clear" w:color="auto" w:fill="auto"/>
            <w:vAlign w:val="center"/>
          </w:tcPr>
          <w:p w14:paraId="70EA04E3" w14:textId="77777777" w:rsidR="00A367F0" w:rsidRPr="000B636E" w:rsidRDefault="00A367F0" w:rsidP="00341EF0">
            <w:pPr>
              <w:pStyle w:val="ExhibitText"/>
              <w:jc w:val="right"/>
            </w:pPr>
            <w:r w:rsidRPr="000B636E">
              <w:t>2,153</w:t>
            </w:r>
          </w:p>
        </w:tc>
        <w:tc>
          <w:tcPr>
            <w:tcW w:w="846" w:type="dxa"/>
            <w:shd w:val="clear" w:color="auto" w:fill="auto"/>
            <w:vAlign w:val="center"/>
          </w:tcPr>
          <w:p w14:paraId="5CCA766C" w14:textId="77777777" w:rsidR="00A367F0" w:rsidRPr="000B636E" w:rsidRDefault="00A367F0" w:rsidP="00341EF0">
            <w:pPr>
              <w:pStyle w:val="ExhibitText"/>
              <w:jc w:val="right"/>
            </w:pPr>
            <w:r w:rsidRPr="000B636E">
              <w:t>1,581</w:t>
            </w:r>
          </w:p>
        </w:tc>
        <w:tc>
          <w:tcPr>
            <w:tcW w:w="845" w:type="dxa"/>
            <w:shd w:val="clear" w:color="auto" w:fill="auto"/>
            <w:vAlign w:val="center"/>
          </w:tcPr>
          <w:p w14:paraId="5E2DE4AD" w14:textId="77777777" w:rsidR="00A367F0" w:rsidRPr="000B636E" w:rsidRDefault="00A367F0" w:rsidP="00341EF0">
            <w:pPr>
              <w:pStyle w:val="ExhibitText"/>
              <w:jc w:val="right"/>
            </w:pPr>
            <w:r w:rsidRPr="000B636E">
              <w:t>-</w:t>
            </w:r>
          </w:p>
        </w:tc>
        <w:tc>
          <w:tcPr>
            <w:tcW w:w="846" w:type="dxa"/>
            <w:shd w:val="clear" w:color="auto" w:fill="auto"/>
            <w:vAlign w:val="center"/>
          </w:tcPr>
          <w:p w14:paraId="21AA99B7" w14:textId="77777777" w:rsidR="00A367F0" w:rsidRPr="000B636E" w:rsidRDefault="00A367F0" w:rsidP="00341EF0">
            <w:pPr>
              <w:pStyle w:val="ExhibitText"/>
              <w:jc w:val="right"/>
            </w:pPr>
            <w:r w:rsidRPr="000B636E">
              <w:t>1,086</w:t>
            </w:r>
          </w:p>
        </w:tc>
        <w:tc>
          <w:tcPr>
            <w:tcW w:w="846" w:type="dxa"/>
            <w:shd w:val="clear" w:color="auto" w:fill="auto"/>
            <w:vAlign w:val="center"/>
          </w:tcPr>
          <w:p w14:paraId="28D7C54B" w14:textId="77777777" w:rsidR="00A367F0" w:rsidRPr="000B636E" w:rsidRDefault="00A367F0" w:rsidP="00341EF0">
            <w:pPr>
              <w:pStyle w:val="ExhibitText"/>
              <w:jc w:val="right"/>
            </w:pPr>
            <w:r w:rsidRPr="000B636E">
              <w:t>754</w:t>
            </w:r>
          </w:p>
        </w:tc>
        <w:tc>
          <w:tcPr>
            <w:tcW w:w="846" w:type="dxa"/>
            <w:shd w:val="clear" w:color="auto" w:fill="auto"/>
            <w:vAlign w:val="center"/>
          </w:tcPr>
          <w:p w14:paraId="78B8907B" w14:textId="77777777" w:rsidR="00A367F0" w:rsidRPr="000B636E" w:rsidRDefault="00A367F0" w:rsidP="00341EF0">
            <w:pPr>
              <w:pStyle w:val="ExhibitText"/>
              <w:jc w:val="right"/>
            </w:pPr>
            <w:r w:rsidRPr="000B636E">
              <w:t>188</w:t>
            </w:r>
          </w:p>
        </w:tc>
        <w:tc>
          <w:tcPr>
            <w:tcW w:w="846" w:type="dxa"/>
            <w:shd w:val="clear" w:color="auto" w:fill="auto"/>
            <w:vAlign w:val="center"/>
          </w:tcPr>
          <w:p w14:paraId="5B8BAE66" w14:textId="77777777" w:rsidR="00A367F0" w:rsidRPr="000B636E" w:rsidRDefault="00A367F0" w:rsidP="00341EF0">
            <w:pPr>
              <w:pStyle w:val="ExhibitText"/>
              <w:jc w:val="right"/>
            </w:pPr>
            <w:r w:rsidRPr="000B636E">
              <w:t>9,121</w:t>
            </w:r>
          </w:p>
        </w:tc>
      </w:tr>
    </w:tbl>
    <w:p w14:paraId="7857E407" w14:textId="77777777" w:rsidR="00A367F0" w:rsidRDefault="00A367F0" w:rsidP="00824F98">
      <w:pPr>
        <w:pStyle w:val="ExhibitText"/>
      </w:pPr>
    </w:p>
    <w:p w14:paraId="5ED3CB50" w14:textId="77777777" w:rsidR="00A367F0" w:rsidRDefault="00A367F0" w:rsidP="00824F98">
      <w:pPr>
        <w:pStyle w:val="ExhibitText"/>
      </w:pPr>
    </w:p>
    <w:p w14:paraId="7E2BB61E" w14:textId="77777777" w:rsidR="00A367F0" w:rsidRDefault="00A367F0" w:rsidP="00A367F0">
      <w:pPr>
        <w:pStyle w:val="Casehead2"/>
      </w:pPr>
      <w:r>
        <w:t>By Geographical Segment</w:t>
      </w:r>
    </w:p>
    <w:p w14:paraId="6DF698FA" w14:textId="77777777" w:rsidR="00A367F0" w:rsidRDefault="00A367F0" w:rsidP="00824F98">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691"/>
        <w:gridCol w:w="1691"/>
        <w:gridCol w:w="1691"/>
        <w:gridCol w:w="1691"/>
        <w:gridCol w:w="1691"/>
      </w:tblGrid>
      <w:tr w:rsidR="00A367F0" w:rsidRPr="007C3253" w14:paraId="58AE32AC" w14:textId="77777777" w:rsidTr="00341EF0">
        <w:trPr>
          <w:trHeight w:val="360"/>
          <w:jc w:val="center"/>
        </w:trPr>
        <w:tc>
          <w:tcPr>
            <w:tcW w:w="895" w:type="dxa"/>
            <w:shd w:val="clear" w:color="auto" w:fill="auto"/>
          </w:tcPr>
          <w:p w14:paraId="2857A73B" w14:textId="77777777" w:rsidR="00A367F0" w:rsidRPr="000B636E" w:rsidRDefault="00A367F0" w:rsidP="00341EF0">
            <w:pPr>
              <w:pStyle w:val="ExhibitText"/>
            </w:pPr>
          </w:p>
        </w:tc>
        <w:tc>
          <w:tcPr>
            <w:tcW w:w="1691" w:type="dxa"/>
            <w:shd w:val="clear" w:color="auto" w:fill="auto"/>
            <w:vAlign w:val="center"/>
          </w:tcPr>
          <w:p w14:paraId="45B75860" w14:textId="77777777" w:rsidR="00A367F0" w:rsidRPr="00E605B9" w:rsidRDefault="00A367F0" w:rsidP="00341EF0">
            <w:pPr>
              <w:pStyle w:val="ExhibitText"/>
              <w:jc w:val="center"/>
              <w:rPr>
                <w:b/>
              </w:rPr>
            </w:pPr>
            <w:r w:rsidRPr="00E605B9">
              <w:rPr>
                <w:b/>
              </w:rPr>
              <w:t>North America</w:t>
            </w:r>
          </w:p>
        </w:tc>
        <w:tc>
          <w:tcPr>
            <w:tcW w:w="1691" w:type="dxa"/>
            <w:shd w:val="clear" w:color="auto" w:fill="auto"/>
            <w:vAlign w:val="center"/>
          </w:tcPr>
          <w:p w14:paraId="25C641D4" w14:textId="77777777" w:rsidR="00A367F0" w:rsidRPr="00E605B9" w:rsidRDefault="00A367F0" w:rsidP="00341EF0">
            <w:pPr>
              <w:pStyle w:val="ExhibitText"/>
              <w:jc w:val="center"/>
              <w:rPr>
                <w:b/>
              </w:rPr>
            </w:pPr>
            <w:r w:rsidRPr="00E605B9">
              <w:rPr>
                <w:b/>
              </w:rPr>
              <w:t>Europe</w:t>
            </w:r>
          </w:p>
        </w:tc>
        <w:tc>
          <w:tcPr>
            <w:tcW w:w="1691" w:type="dxa"/>
            <w:shd w:val="clear" w:color="auto" w:fill="auto"/>
            <w:vAlign w:val="center"/>
          </w:tcPr>
          <w:p w14:paraId="41D82B85" w14:textId="77777777" w:rsidR="00A367F0" w:rsidRPr="00E605B9" w:rsidRDefault="00A367F0" w:rsidP="00341EF0">
            <w:pPr>
              <w:pStyle w:val="ExhibitText"/>
              <w:jc w:val="center"/>
              <w:rPr>
                <w:b/>
              </w:rPr>
            </w:pPr>
            <w:r w:rsidRPr="00E605B9">
              <w:rPr>
                <w:b/>
              </w:rPr>
              <w:t>India</w:t>
            </w:r>
          </w:p>
        </w:tc>
        <w:tc>
          <w:tcPr>
            <w:tcW w:w="1691" w:type="dxa"/>
            <w:shd w:val="clear" w:color="auto" w:fill="auto"/>
            <w:vAlign w:val="center"/>
          </w:tcPr>
          <w:p w14:paraId="1D0A6E6D" w14:textId="77777777" w:rsidR="00A367F0" w:rsidRPr="00E605B9" w:rsidRDefault="00A367F0" w:rsidP="00341EF0">
            <w:pPr>
              <w:pStyle w:val="ExhibitText"/>
              <w:jc w:val="center"/>
              <w:rPr>
                <w:b/>
              </w:rPr>
            </w:pPr>
            <w:r w:rsidRPr="00E605B9">
              <w:rPr>
                <w:b/>
              </w:rPr>
              <w:t>Rest of the World</w:t>
            </w:r>
          </w:p>
        </w:tc>
        <w:tc>
          <w:tcPr>
            <w:tcW w:w="1691" w:type="dxa"/>
            <w:shd w:val="clear" w:color="auto" w:fill="auto"/>
            <w:vAlign w:val="center"/>
          </w:tcPr>
          <w:p w14:paraId="343B0EA9" w14:textId="77777777" w:rsidR="00A367F0" w:rsidRPr="00E605B9" w:rsidRDefault="00A367F0" w:rsidP="00341EF0">
            <w:pPr>
              <w:pStyle w:val="ExhibitText"/>
              <w:jc w:val="center"/>
              <w:rPr>
                <w:b/>
              </w:rPr>
            </w:pPr>
            <w:r w:rsidRPr="00E605B9">
              <w:rPr>
                <w:b/>
              </w:rPr>
              <w:t>Total</w:t>
            </w:r>
          </w:p>
        </w:tc>
      </w:tr>
      <w:tr w:rsidR="00A367F0" w:rsidRPr="007C3253" w14:paraId="41453926" w14:textId="77777777" w:rsidTr="00341EF0">
        <w:trPr>
          <w:trHeight w:val="360"/>
          <w:jc w:val="center"/>
        </w:trPr>
        <w:tc>
          <w:tcPr>
            <w:tcW w:w="9350" w:type="dxa"/>
            <w:gridSpan w:val="6"/>
            <w:shd w:val="clear" w:color="auto" w:fill="auto"/>
            <w:vAlign w:val="center"/>
          </w:tcPr>
          <w:p w14:paraId="2DDAE30D" w14:textId="77777777" w:rsidR="00A367F0" w:rsidRPr="000B636E" w:rsidRDefault="00A367F0" w:rsidP="00341EF0">
            <w:pPr>
              <w:pStyle w:val="ExhibitText"/>
              <w:jc w:val="left"/>
            </w:pPr>
            <w:r w:rsidRPr="000B636E">
              <w:t>Segment Revenues</w:t>
            </w:r>
          </w:p>
        </w:tc>
      </w:tr>
      <w:tr w:rsidR="00A367F0" w:rsidRPr="007C3253" w14:paraId="2AF543E9" w14:textId="77777777" w:rsidTr="00341EF0">
        <w:trPr>
          <w:trHeight w:val="360"/>
          <w:jc w:val="center"/>
        </w:trPr>
        <w:tc>
          <w:tcPr>
            <w:tcW w:w="895" w:type="dxa"/>
            <w:shd w:val="clear" w:color="auto" w:fill="auto"/>
            <w:vAlign w:val="center"/>
          </w:tcPr>
          <w:p w14:paraId="17AE2EF7" w14:textId="77777777" w:rsidR="00A367F0" w:rsidRPr="000B636E" w:rsidRDefault="00A367F0" w:rsidP="00341EF0">
            <w:pPr>
              <w:pStyle w:val="ExhibitText"/>
              <w:jc w:val="left"/>
            </w:pPr>
            <w:r w:rsidRPr="000B636E">
              <w:t>2013</w:t>
            </w:r>
          </w:p>
        </w:tc>
        <w:tc>
          <w:tcPr>
            <w:tcW w:w="1691" w:type="dxa"/>
            <w:shd w:val="clear" w:color="auto" w:fill="auto"/>
            <w:vAlign w:val="center"/>
          </w:tcPr>
          <w:p w14:paraId="104C6A23" w14:textId="77777777" w:rsidR="00A367F0" w:rsidRPr="000B636E" w:rsidRDefault="00A367F0" w:rsidP="00341EF0">
            <w:pPr>
              <w:pStyle w:val="ExhibitText"/>
              <w:ind w:right="432"/>
              <w:jc w:val="right"/>
            </w:pPr>
            <w:r w:rsidRPr="000B636E">
              <w:t>3,608</w:t>
            </w:r>
          </w:p>
        </w:tc>
        <w:tc>
          <w:tcPr>
            <w:tcW w:w="1691" w:type="dxa"/>
            <w:shd w:val="clear" w:color="auto" w:fill="auto"/>
            <w:vAlign w:val="center"/>
          </w:tcPr>
          <w:p w14:paraId="5E90813A" w14:textId="77777777" w:rsidR="00A367F0" w:rsidRPr="000B636E" w:rsidRDefault="00A367F0" w:rsidP="00341EF0">
            <w:pPr>
              <w:pStyle w:val="ExhibitText"/>
              <w:ind w:right="432"/>
              <w:jc w:val="right"/>
            </w:pPr>
            <w:r w:rsidRPr="000B636E">
              <w:t>1,234</w:t>
            </w:r>
          </w:p>
        </w:tc>
        <w:tc>
          <w:tcPr>
            <w:tcW w:w="1691" w:type="dxa"/>
            <w:shd w:val="clear" w:color="auto" w:fill="auto"/>
            <w:vAlign w:val="center"/>
          </w:tcPr>
          <w:p w14:paraId="68BA76F8" w14:textId="77777777" w:rsidR="00A367F0" w:rsidRPr="000B636E" w:rsidRDefault="00A367F0" w:rsidP="00341EF0">
            <w:pPr>
              <w:pStyle w:val="ExhibitText"/>
              <w:ind w:right="432"/>
              <w:jc w:val="right"/>
            </w:pPr>
            <w:r w:rsidRPr="000B636E">
              <w:t>128</w:t>
            </w:r>
          </w:p>
        </w:tc>
        <w:tc>
          <w:tcPr>
            <w:tcW w:w="1691" w:type="dxa"/>
            <w:shd w:val="clear" w:color="auto" w:fill="auto"/>
            <w:vAlign w:val="center"/>
          </w:tcPr>
          <w:p w14:paraId="5472ED52" w14:textId="77777777" w:rsidR="00A367F0" w:rsidRPr="000B636E" w:rsidRDefault="00A367F0" w:rsidP="00341EF0">
            <w:pPr>
              <w:pStyle w:val="ExhibitText"/>
              <w:ind w:right="432"/>
              <w:jc w:val="right"/>
            </w:pPr>
            <w:r w:rsidRPr="000B636E">
              <w:t>684</w:t>
            </w:r>
          </w:p>
        </w:tc>
        <w:tc>
          <w:tcPr>
            <w:tcW w:w="1691" w:type="dxa"/>
            <w:shd w:val="clear" w:color="auto" w:fill="auto"/>
            <w:vAlign w:val="center"/>
          </w:tcPr>
          <w:p w14:paraId="58074BD6" w14:textId="77777777" w:rsidR="00A367F0" w:rsidRPr="000B636E" w:rsidRDefault="00A367F0" w:rsidP="00341EF0">
            <w:pPr>
              <w:pStyle w:val="ExhibitText"/>
              <w:ind w:right="432"/>
              <w:jc w:val="right"/>
            </w:pPr>
            <w:r w:rsidRPr="000B636E">
              <w:t>5,656</w:t>
            </w:r>
          </w:p>
        </w:tc>
      </w:tr>
      <w:tr w:rsidR="00A367F0" w:rsidRPr="007C3253" w14:paraId="4A62F6A3" w14:textId="77777777" w:rsidTr="00341EF0">
        <w:trPr>
          <w:trHeight w:val="360"/>
          <w:jc w:val="center"/>
        </w:trPr>
        <w:tc>
          <w:tcPr>
            <w:tcW w:w="895" w:type="dxa"/>
            <w:shd w:val="clear" w:color="auto" w:fill="auto"/>
            <w:vAlign w:val="center"/>
          </w:tcPr>
          <w:p w14:paraId="1E3AFC17" w14:textId="77777777" w:rsidR="00A367F0" w:rsidRPr="000B636E" w:rsidRDefault="00A367F0" w:rsidP="00341EF0">
            <w:pPr>
              <w:pStyle w:val="ExhibitText"/>
              <w:jc w:val="left"/>
            </w:pPr>
            <w:r w:rsidRPr="000B636E">
              <w:t>2014</w:t>
            </w:r>
          </w:p>
        </w:tc>
        <w:tc>
          <w:tcPr>
            <w:tcW w:w="1691" w:type="dxa"/>
            <w:shd w:val="clear" w:color="auto" w:fill="auto"/>
            <w:vAlign w:val="center"/>
          </w:tcPr>
          <w:p w14:paraId="57E5CBE8" w14:textId="77777777" w:rsidR="00A367F0" w:rsidRPr="000B636E" w:rsidRDefault="00A367F0" w:rsidP="00341EF0">
            <w:pPr>
              <w:pStyle w:val="ExhibitText"/>
              <w:ind w:right="432"/>
              <w:jc w:val="right"/>
            </w:pPr>
            <w:r w:rsidRPr="000B636E">
              <w:t>4,302</w:t>
            </w:r>
          </w:p>
        </w:tc>
        <w:tc>
          <w:tcPr>
            <w:tcW w:w="1691" w:type="dxa"/>
            <w:shd w:val="clear" w:color="auto" w:fill="auto"/>
            <w:vAlign w:val="center"/>
          </w:tcPr>
          <w:p w14:paraId="25CC5D0C" w14:textId="77777777" w:rsidR="00A367F0" w:rsidRPr="000B636E" w:rsidRDefault="00A367F0" w:rsidP="00341EF0">
            <w:pPr>
              <w:pStyle w:val="ExhibitText"/>
              <w:ind w:right="432"/>
              <w:jc w:val="right"/>
            </w:pPr>
            <w:r w:rsidRPr="000B636E">
              <w:t>1,507</w:t>
            </w:r>
          </w:p>
        </w:tc>
        <w:tc>
          <w:tcPr>
            <w:tcW w:w="1691" w:type="dxa"/>
            <w:shd w:val="clear" w:color="auto" w:fill="auto"/>
            <w:vAlign w:val="center"/>
          </w:tcPr>
          <w:p w14:paraId="2C1A6010" w14:textId="77777777" w:rsidR="00A367F0" w:rsidRPr="000B636E" w:rsidRDefault="00A367F0" w:rsidP="00341EF0">
            <w:pPr>
              <w:pStyle w:val="ExhibitText"/>
              <w:ind w:right="432"/>
              <w:jc w:val="right"/>
            </w:pPr>
            <w:r w:rsidRPr="000B636E">
              <w:t>196</w:t>
            </w:r>
          </w:p>
        </w:tc>
        <w:tc>
          <w:tcPr>
            <w:tcW w:w="1691" w:type="dxa"/>
            <w:shd w:val="clear" w:color="auto" w:fill="auto"/>
            <w:vAlign w:val="center"/>
          </w:tcPr>
          <w:p w14:paraId="0AE42354" w14:textId="77777777" w:rsidR="00A367F0" w:rsidRPr="000B636E" w:rsidRDefault="00A367F0" w:rsidP="00341EF0">
            <w:pPr>
              <w:pStyle w:val="ExhibitText"/>
              <w:ind w:right="432"/>
              <w:jc w:val="right"/>
            </w:pPr>
            <w:r w:rsidRPr="000B636E">
              <w:t>815</w:t>
            </w:r>
          </w:p>
        </w:tc>
        <w:tc>
          <w:tcPr>
            <w:tcW w:w="1691" w:type="dxa"/>
            <w:shd w:val="clear" w:color="auto" w:fill="auto"/>
            <w:vAlign w:val="center"/>
          </w:tcPr>
          <w:p w14:paraId="6D2BF500" w14:textId="77777777" w:rsidR="00A367F0" w:rsidRPr="000B636E" w:rsidRDefault="00A367F0" w:rsidP="00341EF0">
            <w:pPr>
              <w:pStyle w:val="ExhibitText"/>
              <w:ind w:right="432"/>
              <w:jc w:val="right"/>
            </w:pPr>
            <w:r w:rsidRPr="000B636E">
              <w:t>6,821</w:t>
            </w:r>
          </w:p>
        </w:tc>
      </w:tr>
      <w:tr w:rsidR="00A367F0" w:rsidRPr="007C3253" w14:paraId="4C669142" w14:textId="77777777" w:rsidTr="00341EF0">
        <w:trPr>
          <w:trHeight w:val="360"/>
          <w:jc w:val="center"/>
        </w:trPr>
        <w:tc>
          <w:tcPr>
            <w:tcW w:w="895" w:type="dxa"/>
            <w:shd w:val="clear" w:color="auto" w:fill="auto"/>
            <w:vAlign w:val="center"/>
          </w:tcPr>
          <w:p w14:paraId="519CABF2" w14:textId="77777777" w:rsidR="00A367F0" w:rsidRPr="000B636E" w:rsidRDefault="00A367F0" w:rsidP="00341EF0">
            <w:pPr>
              <w:pStyle w:val="ExhibitText"/>
              <w:jc w:val="left"/>
            </w:pPr>
            <w:r w:rsidRPr="000B636E">
              <w:t>2015</w:t>
            </w:r>
          </w:p>
        </w:tc>
        <w:tc>
          <w:tcPr>
            <w:tcW w:w="1691" w:type="dxa"/>
            <w:shd w:val="clear" w:color="auto" w:fill="auto"/>
            <w:vAlign w:val="center"/>
          </w:tcPr>
          <w:p w14:paraId="027D4FDD" w14:textId="77777777" w:rsidR="00A367F0" w:rsidRPr="000B636E" w:rsidRDefault="00A367F0" w:rsidP="00341EF0">
            <w:pPr>
              <w:pStyle w:val="ExhibitText"/>
              <w:ind w:right="432"/>
              <w:jc w:val="right"/>
            </w:pPr>
            <w:r w:rsidRPr="000B636E">
              <w:t>4,657</w:t>
            </w:r>
          </w:p>
        </w:tc>
        <w:tc>
          <w:tcPr>
            <w:tcW w:w="1691" w:type="dxa"/>
            <w:shd w:val="clear" w:color="auto" w:fill="auto"/>
            <w:vAlign w:val="center"/>
          </w:tcPr>
          <w:p w14:paraId="1C6D88CF" w14:textId="77777777" w:rsidR="00A367F0" w:rsidRPr="000B636E" w:rsidRDefault="00A367F0" w:rsidP="00341EF0">
            <w:pPr>
              <w:pStyle w:val="ExhibitText"/>
              <w:ind w:right="432"/>
              <w:jc w:val="right"/>
            </w:pPr>
            <w:r w:rsidRPr="000B636E">
              <w:t>1,584</w:t>
            </w:r>
          </w:p>
        </w:tc>
        <w:tc>
          <w:tcPr>
            <w:tcW w:w="1691" w:type="dxa"/>
            <w:shd w:val="clear" w:color="auto" w:fill="auto"/>
            <w:vAlign w:val="center"/>
          </w:tcPr>
          <w:p w14:paraId="31263788" w14:textId="77777777" w:rsidR="00A367F0" w:rsidRPr="000B636E" w:rsidRDefault="00A367F0" w:rsidP="00341EF0">
            <w:pPr>
              <w:pStyle w:val="ExhibitText"/>
              <w:ind w:right="432"/>
              <w:jc w:val="right"/>
            </w:pPr>
            <w:r w:rsidRPr="000B636E">
              <w:t>201</w:t>
            </w:r>
          </w:p>
        </w:tc>
        <w:tc>
          <w:tcPr>
            <w:tcW w:w="1691" w:type="dxa"/>
            <w:shd w:val="clear" w:color="auto" w:fill="auto"/>
            <w:vAlign w:val="center"/>
          </w:tcPr>
          <w:p w14:paraId="222D2E15" w14:textId="77777777" w:rsidR="00A367F0" w:rsidRPr="000B636E" w:rsidRDefault="00A367F0" w:rsidP="00341EF0">
            <w:pPr>
              <w:pStyle w:val="ExhibitText"/>
              <w:ind w:right="432"/>
              <w:jc w:val="right"/>
            </w:pPr>
            <w:r w:rsidRPr="000B636E">
              <w:t>833</w:t>
            </w:r>
          </w:p>
        </w:tc>
        <w:tc>
          <w:tcPr>
            <w:tcW w:w="1691" w:type="dxa"/>
            <w:shd w:val="clear" w:color="auto" w:fill="auto"/>
            <w:vAlign w:val="center"/>
          </w:tcPr>
          <w:p w14:paraId="3A4D8EA8" w14:textId="77777777" w:rsidR="00A367F0" w:rsidRPr="000B636E" w:rsidRDefault="00A367F0" w:rsidP="00341EF0">
            <w:pPr>
              <w:pStyle w:val="ExhibitText"/>
              <w:ind w:right="432"/>
              <w:jc w:val="right"/>
            </w:pPr>
            <w:r w:rsidRPr="000B636E">
              <w:t>7,276</w:t>
            </w:r>
          </w:p>
        </w:tc>
      </w:tr>
      <w:tr w:rsidR="00A367F0" w:rsidRPr="007C3253" w14:paraId="7CC6299D" w14:textId="77777777" w:rsidTr="00341EF0">
        <w:trPr>
          <w:trHeight w:val="360"/>
          <w:jc w:val="center"/>
        </w:trPr>
        <w:tc>
          <w:tcPr>
            <w:tcW w:w="895" w:type="dxa"/>
            <w:shd w:val="clear" w:color="auto" w:fill="auto"/>
            <w:vAlign w:val="center"/>
          </w:tcPr>
          <w:p w14:paraId="15DF5CBB" w14:textId="77777777" w:rsidR="00A367F0" w:rsidRPr="000B636E" w:rsidRDefault="00A367F0" w:rsidP="00341EF0">
            <w:pPr>
              <w:pStyle w:val="ExhibitText"/>
              <w:jc w:val="left"/>
            </w:pPr>
            <w:r w:rsidRPr="000B636E">
              <w:t>2016</w:t>
            </w:r>
          </w:p>
        </w:tc>
        <w:tc>
          <w:tcPr>
            <w:tcW w:w="1691" w:type="dxa"/>
            <w:shd w:val="clear" w:color="auto" w:fill="auto"/>
            <w:vAlign w:val="center"/>
          </w:tcPr>
          <w:p w14:paraId="34F53DE9" w14:textId="77777777" w:rsidR="00A367F0" w:rsidRPr="000B636E" w:rsidRDefault="00A367F0" w:rsidP="00341EF0">
            <w:pPr>
              <w:pStyle w:val="ExhibitText"/>
              <w:ind w:right="432"/>
              <w:jc w:val="right"/>
            </w:pPr>
            <w:r w:rsidRPr="000B636E">
              <w:t>5,482</w:t>
            </w:r>
          </w:p>
        </w:tc>
        <w:tc>
          <w:tcPr>
            <w:tcW w:w="1691" w:type="dxa"/>
            <w:shd w:val="clear" w:color="auto" w:fill="auto"/>
            <w:vAlign w:val="center"/>
          </w:tcPr>
          <w:p w14:paraId="3F54F487" w14:textId="77777777" w:rsidR="00A367F0" w:rsidRPr="000B636E" w:rsidRDefault="00A367F0" w:rsidP="00341EF0">
            <w:pPr>
              <w:pStyle w:val="ExhibitText"/>
              <w:ind w:right="432"/>
              <w:jc w:val="right"/>
            </w:pPr>
            <w:r w:rsidRPr="000B636E">
              <w:t>1,811</w:t>
            </w:r>
          </w:p>
        </w:tc>
        <w:tc>
          <w:tcPr>
            <w:tcW w:w="1691" w:type="dxa"/>
            <w:shd w:val="clear" w:color="auto" w:fill="auto"/>
            <w:vAlign w:val="center"/>
          </w:tcPr>
          <w:p w14:paraId="3935B390" w14:textId="77777777" w:rsidR="00A367F0" w:rsidRPr="000B636E" w:rsidRDefault="00A367F0" w:rsidP="00341EF0">
            <w:pPr>
              <w:pStyle w:val="ExhibitText"/>
              <w:ind w:right="432"/>
              <w:jc w:val="right"/>
            </w:pPr>
            <w:r w:rsidRPr="000B636E">
              <w:t>196</w:t>
            </w:r>
          </w:p>
        </w:tc>
        <w:tc>
          <w:tcPr>
            <w:tcW w:w="1691" w:type="dxa"/>
            <w:shd w:val="clear" w:color="auto" w:fill="auto"/>
            <w:vAlign w:val="center"/>
          </w:tcPr>
          <w:p w14:paraId="5C3670F4" w14:textId="77777777" w:rsidR="00A367F0" w:rsidRPr="000B636E" w:rsidRDefault="00A367F0" w:rsidP="00341EF0">
            <w:pPr>
              <w:pStyle w:val="ExhibitText"/>
              <w:ind w:right="432"/>
              <w:jc w:val="right"/>
            </w:pPr>
            <w:r w:rsidRPr="000B636E">
              <w:t>814</w:t>
            </w:r>
          </w:p>
        </w:tc>
        <w:tc>
          <w:tcPr>
            <w:tcW w:w="1691" w:type="dxa"/>
            <w:shd w:val="clear" w:color="auto" w:fill="auto"/>
            <w:vAlign w:val="center"/>
          </w:tcPr>
          <w:p w14:paraId="2F983215" w14:textId="77777777" w:rsidR="00A367F0" w:rsidRPr="000B636E" w:rsidRDefault="00A367F0" w:rsidP="00341EF0">
            <w:pPr>
              <w:pStyle w:val="ExhibitText"/>
              <w:ind w:right="432"/>
              <w:jc w:val="right"/>
            </w:pPr>
            <w:r w:rsidRPr="000B636E">
              <w:t>8,305</w:t>
            </w:r>
          </w:p>
        </w:tc>
      </w:tr>
      <w:tr w:rsidR="00A367F0" w:rsidRPr="007C3253" w14:paraId="35663FDC" w14:textId="77777777" w:rsidTr="00341EF0">
        <w:trPr>
          <w:trHeight w:val="360"/>
          <w:jc w:val="center"/>
        </w:trPr>
        <w:tc>
          <w:tcPr>
            <w:tcW w:w="895" w:type="dxa"/>
            <w:shd w:val="clear" w:color="auto" w:fill="auto"/>
            <w:vAlign w:val="center"/>
          </w:tcPr>
          <w:p w14:paraId="59377201" w14:textId="77777777" w:rsidR="00A367F0" w:rsidRPr="000B636E" w:rsidRDefault="00A367F0" w:rsidP="00341EF0">
            <w:pPr>
              <w:pStyle w:val="ExhibitText"/>
              <w:jc w:val="left"/>
            </w:pPr>
            <w:r w:rsidRPr="000B636E">
              <w:t>2017</w:t>
            </w:r>
          </w:p>
        </w:tc>
        <w:tc>
          <w:tcPr>
            <w:tcW w:w="1691" w:type="dxa"/>
            <w:shd w:val="clear" w:color="auto" w:fill="auto"/>
            <w:vAlign w:val="center"/>
          </w:tcPr>
          <w:p w14:paraId="3F1D87E0" w14:textId="77777777" w:rsidR="00A367F0" w:rsidRPr="000B636E" w:rsidRDefault="00A367F0" w:rsidP="00341EF0">
            <w:pPr>
              <w:pStyle w:val="ExhibitText"/>
              <w:ind w:right="432"/>
              <w:jc w:val="right"/>
            </w:pPr>
            <w:r w:rsidRPr="000B636E">
              <w:t>5,935</w:t>
            </w:r>
          </w:p>
        </w:tc>
        <w:tc>
          <w:tcPr>
            <w:tcW w:w="1691" w:type="dxa"/>
            <w:shd w:val="clear" w:color="auto" w:fill="auto"/>
            <w:vAlign w:val="center"/>
          </w:tcPr>
          <w:p w14:paraId="6AF26B59" w14:textId="77777777" w:rsidR="00A367F0" w:rsidRPr="000B636E" w:rsidRDefault="00A367F0" w:rsidP="00341EF0">
            <w:pPr>
              <w:pStyle w:val="ExhibitText"/>
              <w:ind w:right="432"/>
              <w:jc w:val="right"/>
            </w:pPr>
            <w:r w:rsidRPr="000B636E">
              <w:t>2,002</w:t>
            </w:r>
          </w:p>
        </w:tc>
        <w:tc>
          <w:tcPr>
            <w:tcW w:w="1691" w:type="dxa"/>
            <w:shd w:val="clear" w:color="auto" w:fill="auto"/>
            <w:vAlign w:val="center"/>
          </w:tcPr>
          <w:p w14:paraId="710D2067" w14:textId="77777777" w:rsidR="00A367F0" w:rsidRPr="000B636E" w:rsidRDefault="00A367F0" w:rsidP="00341EF0">
            <w:pPr>
              <w:pStyle w:val="ExhibitText"/>
              <w:ind w:right="432"/>
              <w:jc w:val="right"/>
            </w:pPr>
            <w:r w:rsidRPr="000B636E">
              <w:t>276</w:t>
            </w:r>
          </w:p>
        </w:tc>
        <w:tc>
          <w:tcPr>
            <w:tcW w:w="1691" w:type="dxa"/>
            <w:shd w:val="clear" w:color="auto" w:fill="auto"/>
            <w:vAlign w:val="center"/>
          </w:tcPr>
          <w:p w14:paraId="1FA0FEFD" w14:textId="77777777" w:rsidR="00A367F0" w:rsidRPr="000B636E" w:rsidRDefault="00A367F0" w:rsidP="00341EF0">
            <w:pPr>
              <w:pStyle w:val="ExhibitText"/>
              <w:ind w:right="432"/>
              <w:jc w:val="right"/>
            </w:pPr>
            <w:r w:rsidRPr="000B636E">
              <w:t>906</w:t>
            </w:r>
          </w:p>
        </w:tc>
        <w:tc>
          <w:tcPr>
            <w:tcW w:w="1691" w:type="dxa"/>
            <w:shd w:val="clear" w:color="auto" w:fill="auto"/>
            <w:vAlign w:val="center"/>
          </w:tcPr>
          <w:p w14:paraId="7E62F537" w14:textId="77777777" w:rsidR="00A367F0" w:rsidRPr="000B636E" w:rsidRDefault="00A367F0" w:rsidP="00341EF0">
            <w:pPr>
              <w:pStyle w:val="ExhibitText"/>
              <w:ind w:right="432"/>
              <w:jc w:val="right"/>
            </w:pPr>
            <w:r w:rsidRPr="000B636E">
              <w:t>9,121</w:t>
            </w:r>
          </w:p>
        </w:tc>
      </w:tr>
    </w:tbl>
    <w:p w14:paraId="2EAC9E95" w14:textId="77777777" w:rsidR="00A367F0" w:rsidRDefault="00A367F0" w:rsidP="00824F98">
      <w:pPr>
        <w:pStyle w:val="ExhibitText"/>
      </w:pPr>
    </w:p>
    <w:p w14:paraId="2F4C94CB" w14:textId="77777777" w:rsidR="00A367F0" w:rsidRDefault="00A367F0" w:rsidP="00A367F0">
      <w:pPr>
        <w:pStyle w:val="Footnote"/>
      </w:pPr>
      <w:r w:rsidRPr="00923CE0">
        <w:t>Note: FSI</w:t>
      </w:r>
      <w:r>
        <w:t xml:space="preserve"> = </w:t>
      </w:r>
      <w:r w:rsidRPr="00923CE0">
        <w:t xml:space="preserve">Financial Services </w:t>
      </w:r>
      <w:r>
        <w:t>and</w:t>
      </w:r>
      <w:r w:rsidRPr="00923CE0">
        <w:t xml:space="preserve"> Insurance</w:t>
      </w:r>
      <w:r>
        <w:t>;</w:t>
      </w:r>
      <w:r w:rsidRPr="00923CE0">
        <w:t xml:space="preserve"> FS</w:t>
      </w:r>
      <w:r>
        <w:t xml:space="preserve"> = </w:t>
      </w:r>
      <w:r w:rsidRPr="00923CE0">
        <w:t>Financial Services</w:t>
      </w:r>
      <w:r>
        <w:t xml:space="preserve">; </w:t>
      </w:r>
      <w:r w:rsidRPr="00923CE0">
        <w:t>MFG</w:t>
      </w:r>
      <w:r>
        <w:t xml:space="preserve"> = </w:t>
      </w:r>
      <w:r w:rsidRPr="00923CE0">
        <w:t>Manufacturing</w:t>
      </w:r>
      <w:r>
        <w:t xml:space="preserve">; </w:t>
      </w:r>
      <w:r w:rsidRPr="00923CE0">
        <w:t>ECS</w:t>
      </w:r>
      <w:r>
        <w:t xml:space="preserve"> = </w:t>
      </w:r>
      <w:r w:rsidRPr="00923CE0">
        <w:t>Energy</w:t>
      </w:r>
      <w:r>
        <w:t xml:space="preserve"> and U</w:t>
      </w:r>
      <w:r w:rsidRPr="00923CE0">
        <w:t xml:space="preserve">tilities, Communication </w:t>
      </w:r>
      <w:r>
        <w:t>and</w:t>
      </w:r>
      <w:r w:rsidRPr="00923CE0">
        <w:t xml:space="preserve"> Services</w:t>
      </w:r>
      <w:r>
        <w:t>;</w:t>
      </w:r>
      <w:r w:rsidRPr="00923CE0">
        <w:t xml:space="preserve"> RCL</w:t>
      </w:r>
      <w:r>
        <w:t xml:space="preserve"> = </w:t>
      </w:r>
      <w:r w:rsidRPr="00923CE0">
        <w:t xml:space="preserve">Retail, Consumer </w:t>
      </w:r>
      <w:r>
        <w:t>P</w:t>
      </w:r>
      <w:r w:rsidRPr="00923CE0">
        <w:t xml:space="preserve">ackaged </w:t>
      </w:r>
      <w:r>
        <w:t>G</w:t>
      </w:r>
      <w:r w:rsidRPr="00923CE0">
        <w:t>oods</w:t>
      </w:r>
      <w:r>
        <w:t>, and</w:t>
      </w:r>
      <w:r w:rsidRPr="00923CE0">
        <w:t xml:space="preserve"> </w:t>
      </w:r>
      <w:r>
        <w:t>L</w:t>
      </w:r>
      <w:r w:rsidRPr="00923CE0">
        <w:t>ogistics</w:t>
      </w:r>
      <w:r>
        <w:t xml:space="preserve">; </w:t>
      </w:r>
      <w:r w:rsidRPr="00923CE0">
        <w:t>LSH</w:t>
      </w:r>
      <w:r>
        <w:t xml:space="preserve"> = </w:t>
      </w:r>
      <w:r w:rsidRPr="00923CE0">
        <w:t>Life Sciences</w:t>
      </w:r>
      <w:r>
        <w:t xml:space="preserve"> and</w:t>
      </w:r>
      <w:r w:rsidRPr="00923CE0">
        <w:t xml:space="preserve"> Health</w:t>
      </w:r>
      <w:r>
        <w:t xml:space="preserve"> C</w:t>
      </w:r>
      <w:r w:rsidRPr="00923CE0">
        <w:t>are</w:t>
      </w:r>
      <w:r>
        <w:t>;</w:t>
      </w:r>
      <w:r w:rsidRPr="00923CE0">
        <w:t xml:space="preserve"> HILIFE</w:t>
      </w:r>
      <w:r>
        <w:t xml:space="preserve"> = Health Care, </w:t>
      </w:r>
      <w:r w:rsidRPr="00923CE0">
        <w:t>Life Sciences, and Insurance</w:t>
      </w:r>
      <w:r>
        <w:t>.</w:t>
      </w:r>
    </w:p>
    <w:p w14:paraId="27F50158" w14:textId="77777777" w:rsidR="00A367F0" w:rsidRPr="00923CE0" w:rsidRDefault="00A367F0" w:rsidP="00A367F0">
      <w:pPr>
        <w:pStyle w:val="Footnote"/>
      </w:pPr>
    </w:p>
    <w:p w14:paraId="7D415F63" w14:textId="77777777" w:rsidR="00A367F0" w:rsidRDefault="00A367F0" w:rsidP="00A367F0">
      <w:pPr>
        <w:pStyle w:val="Footnote"/>
      </w:pPr>
      <w:r w:rsidRPr="00923CE0">
        <w:t xml:space="preserve">Source: Created by </w:t>
      </w:r>
      <w:r>
        <w:t xml:space="preserve">the case </w:t>
      </w:r>
      <w:r w:rsidRPr="00923CE0">
        <w:t xml:space="preserve">authors based on </w:t>
      </w:r>
      <w:r>
        <w:t xml:space="preserve">Infosys Limited, </w:t>
      </w:r>
      <w:r w:rsidRPr="00EB4950">
        <w:rPr>
          <w:i/>
          <w:shd w:val="clear" w:color="auto" w:fill="FFFFFF"/>
        </w:rPr>
        <w:t xml:space="preserve">Annual Report </w:t>
      </w:r>
      <w:r>
        <w:rPr>
          <w:i/>
          <w:shd w:val="clear" w:color="auto" w:fill="FFFFFF"/>
        </w:rPr>
        <w:t>2010–11: Powered by Intellect: Driven by Values</w:t>
      </w:r>
      <w:r>
        <w:rPr>
          <w:shd w:val="clear" w:color="auto" w:fill="FFFFFF"/>
        </w:rPr>
        <w:t xml:space="preserve">; Infosys Limited, </w:t>
      </w:r>
      <w:r w:rsidRPr="00E605B9">
        <w:rPr>
          <w:i/>
          <w:shd w:val="clear" w:color="auto" w:fill="FFFFFF"/>
        </w:rPr>
        <w:t>Annual Report 2011–12: Infosys 3.0—Accelerating Growth</w:t>
      </w:r>
      <w:r>
        <w:rPr>
          <w:shd w:val="clear" w:color="auto" w:fill="FFFFFF"/>
        </w:rPr>
        <w:t xml:space="preserve">; Infosys Limited, </w:t>
      </w:r>
      <w:r w:rsidRPr="00E605B9">
        <w:rPr>
          <w:i/>
          <w:shd w:val="clear" w:color="auto" w:fill="FFFFFF"/>
        </w:rPr>
        <w:t>Annual Report 2012–13: Relevance through Innovation</w:t>
      </w:r>
      <w:r>
        <w:rPr>
          <w:shd w:val="clear" w:color="auto" w:fill="FFFFFF"/>
        </w:rPr>
        <w:t xml:space="preserve">; Infosys Limited, </w:t>
      </w:r>
      <w:r w:rsidRPr="00E605B9">
        <w:rPr>
          <w:i/>
          <w:shd w:val="clear" w:color="auto" w:fill="FFFFFF"/>
        </w:rPr>
        <w:t>Annual Report 2013–14: Evolving with Changing Times</w:t>
      </w:r>
      <w:r>
        <w:rPr>
          <w:shd w:val="clear" w:color="auto" w:fill="FFFFFF"/>
        </w:rPr>
        <w:t xml:space="preserve">; Infosys Limited, </w:t>
      </w:r>
      <w:r w:rsidRPr="00E605B9">
        <w:rPr>
          <w:i/>
          <w:shd w:val="clear" w:color="auto" w:fill="FFFFFF"/>
        </w:rPr>
        <w:t>Annual Report 2014–15: Powered by Intellect, Driven by Values</w:t>
      </w:r>
      <w:r>
        <w:rPr>
          <w:shd w:val="clear" w:color="auto" w:fill="FFFFFF"/>
        </w:rPr>
        <w:t xml:space="preserve">; Infosys Limited, </w:t>
      </w:r>
      <w:r w:rsidRPr="00E605B9">
        <w:rPr>
          <w:i/>
          <w:shd w:val="clear" w:color="auto" w:fill="FFFFFF"/>
        </w:rPr>
        <w:t>Annual Report 2015–16: Being Infosys. Being More.</w:t>
      </w:r>
      <w:r>
        <w:rPr>
          <w:shd w:val="clear" w:color="auto" w:fill="FFFFFF"/>
        </w:rPr>
        <w:t xml:space="preserve">; Infosys Limited, </w:t>
      </w:r>
      <w:r w:rsidRPr="00E605B9">
        <w:rPr>
          <w:i/>
          <w:shd w:val="clear" w:color="auto" w:fill="FFFFFF"/>
        </w:rPr>
        <w:t>Annual Report 2016–17: Automate, Innovate, Educate</w:t>
      </w:r>
      <w:r>
        <w:rPr>
          <w:shd w:val="clear" w:color="auto" w:fill="FFFFFF"/>
        </w:rPr>
        <w:t xml:space="preserve">; all accessed November 24, 2017, </w:t>
      </w:r>
      <w:r w:rsidRPr="00B27F15">
        <w:rPr>
          <w:shd w:val="clear" w:color="auto" w:fill="FFFFFF"/>
        </w:rPr>
        <w:t>www.infosys.com/investors/reports-filings/annual-report/Pages/annual-reports.aspx</w:t>
      </w:r>
      <w:r>
        <w:rPr>
          <w:shd w:val="clear" w:color="auto" w:fill="FFFFFF"/>
        </w:rPr>
        <w:t>.</w:t>
      </w:r>
    </w:p>
    <w:p w14:paraId="4FF551AC" w14:textId="07BC307E" w:rsidR="00A367F0" w:rsidRDefault="00A367F0" w:rsidP="00824F98">
      <w:pPr>
        <w:pStyle w:val="ExhibitText"/>
        <w:rPr>
          <w:sz w:val="22"/>
          <w:szCs w:val="22"/>
        </w:rPr>
      </w:pPr>
      <w:r>
        <w:br w:type="page"/>
      </w:r>
    </w:p>
    <w:p w14:paraId="32BED075" w14:textId="77777777" w:rsidR="009E7E2D" w:rsidRPr="00410E64" w:rsidRDefault="009E7E2D" w:rsidP="00682887">
      <w:pPr>
        <w:pStyle w:val="Casehead1"/>
        <w:outlineLvl w:val="0"/>
        <w:rPr>
          <w:lang w:val="en-CA"/>
        </w:rPr>
      </w:pPr>
      <w:r>
        <w:rPr>
          <w:lang w:val="en-CA"/>
        </w:rPr>
        <w:lastRenderedPageBreak/>
        <w:t>ENDNOTES</w:t>
      </w:r>
    </w:p>
    <w:sectPr w:rsidR="009E7E2D" w:rsidRPr="00410E64"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7AE6E" w16cid:durableId="1DC99576"/>
  <w16cid:commentId w16cid:paraId="264D4001" w16cid:durableId="1DC99577"/>
  <w16cid:commentId w16cid:paraId="32F285FC" w16cid:durableId="1DC99578"/>
  <w16cid:commentId w16cid:paraId="10480530" w16cid:durableId="1DC99579"/>
  <w16cid:commentId w16cid:paraId="765BEFC4" w16cid:durableId="1DC9957A"/>
  <w16cid:commentId w16cid:paraId="2E5AAEB0" w16cid:durableId="1DC9957B"/>
  <w16cid:commentId w16cid:paraId="4712F1F9" w16cid:durableId="1DC995A7"/>
  <w16cid:commentId w16cid:paraId="17B02F16" w16cid:durableId="1DC9957C"/>
  <w16cid:commentId w16cid:paraId="240B0621" w16cid:durableId="1DC9957D"/>
  <w16cid:commentId w16cid:paraId="4BC51709" w16cid:durableId="1DDD0052"/>
  <w16cid:commentId w16cid:paraId="3A82CABD" w16cid:durableId="1DC9957E"/>
  <w16cid:commentId w16cid:paraId="31A2429A" w16cid:durableId="1DC995FF"/>
  <w16cid:commentId w16cid:paraId="1888F101" w16cid:durableId="1DC9957F"/>
  <w16cid:commentId w16cid:paraId="375F2E14" w16cid:durableId="1DC99580"/>
  <w16cid:commentId w16cid:paraId="492EA229" w16cid:durableId="1DC99581"/>
  <w16cid:commentId w16cid:paraId="4A767307" w16cid:durableId="1DC9961E"/>
  <w16cid:commentId w16cid:paraId="7F7AA6EF" w16cid:durableId="1DC99582"/>
  <w16cid:commentId w16cid:paraId="11D1541C" w16cid:durableId="1DC99583"/>
  <w16cid:commentId w16cid:paraId="7C761223" w16cid:durableId="1DC996B2"/>
  <w16cid:commentId w16cid:paraId="1CC775CC" w16cid:durableId="1DC99584"/>
  <w16cid:commentId w16cid:paraId="02E5253C" w16cid:durableId="1DC996E4"/>
  <w16cid:commentId w16cid:paraId="4868E874" w16cid:durableId="1DC99585"/>
  <w16cid:commentId w16cid:paraId="25438E01" w16cid:durableId="1DDD008D"/>
  <w16cid:commentId w16cid:paraId="77CA2AF3" w16cid:durableId="1DC99586"/>
  <w16cid:commentId w16cid:paraId="41F48C50" w16cid:durableId="1DC99707"/>
  <w16cid:commentId w16cid:paraId="11EF3C85" w16cid:durableId="1DC99587"/>
  <w16cid:commentId w16cid:paraId="00F1DF5A" w16cid:durableId="1DC99588"/>
  <w16cid:commentId w16cid:paraId="52D1DD25" w16cid:durableId="1DDD0101"/>
  <w16cid:commentId w16cid:paraId="1753577E" w16cid:durableId="1DC99589"/>
  <w16cid:commentId w16cid:paraId="28A71201" w16cid:durableId="1DDD05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EB9DA" w14:textId="77777777" w:rsidR="009E2F25" w:rsidRDefault="009E2F25" w:rsidP="00D75295">
      <w:r>
        <w:separator/>
      </w:r>
    </w:p>
  </w:endnote>
  <w:endnote w:type="continuationSeparator" w:id="0">
    <w:p w14:paraId="70DD2FE5" w14:textId="77777777" w:rsidR="009E2F25" w:rsidRDefault="009E2F25" w:rsidP="00D75295">
      <w:r>
        <w:continuationSeparator/>
      </w:r>
    </w:p>
  </w:endnote>
  <w:endnote w:id="1">
    <w:p w14:paraId="3D16A890" w14:textId="2EC01DDE" w:rsidR="00473F55" w:rsidRPr="00473F55" w:rsidRDefault="00473F55" w:rsidP="00473F55">
      <w:pPr>
        <w:pStyle w:val="Footnote"/>
      </w:pPr>
      <w:r w:rsidRPr="00473F55">
        <w:rPr>
          <w:rStyle w:val="EndnoteReference"/>
        </w:rPr>
        <w:endnoteRef/>
      </w:r>
      <w:r w:rsidRPr="00473F55">
        <w:t xml:space="preserve"> </w:t>
      </w:r>
      <w:r w:rsidRPr="00473F55">
        <w:rPr>
          <w:spacing w:val="-2"/>
        </w:rPr>
        <w:t>This case has been written on the basis of published sources only. Consequently, the interpretation and perspectives presented in this case are not necessarily those of Infosys Limited or any of its employees</w:t>
      </w:r>
      <w:r w:rsidRPr="00473F55">
        <w:t>.</w:t>
      </w:r>
    </w:p>
  </w:endnote>
  <w:endnote w:id="2">
    <w:p w14:paraId="07220C70" w14:textId="19430014" w:rsidR="00A70242" w:rsidRPr="00E866C0" w:rsidRDefault="00A70242" w:rsidP="00E647EB">
      <w:pPr>
        <w:pStyle w:val="Footnote"/>
        <w:rPr>
          <w:spacing w:val="-4"/>
          <w:lang w:val="en-IN"/>
        </w:rPr>
      </w:pPr>
      <w:r w:rsidRPr="00E866C0">
        <w:rPr>
          <w:rStyle w:val="EndnoteReference"/>
          <w:spacing w:val="-2"/>
        </w:rPr>
        <w:endnoteRef/>
      </w:r>
      <w:r w:rsidRPr="00E866C0">
        <w:rPr>
          <w:spacing w:val="-2"/>
        </w:rPr>
        <w:t xml:space="preserve"> </w:t>
      </w:r>
      <w:r w:rsidRPr="00E866C0">
        <w:rPr>
          <w:spacing w:val="-4"/>
          <w:sz w:val="18"/>
        </w:rPr>
        <w:t>Venkatesha Babu, “</w:t>
      </w:r>
      <w:r w:rsidRPr="00E866C0">
        <w:rPr>
          <w:spacing w:val="-4"/>
        </w:rPr>
        <w:t>Why Vishal Sikka Needs to Make Some Big Acquisitions,”</w:t>
      </w:r>
      <w:r w:rsidRPr="00E866C0">
        <w:rPr>
          <w:i/>
          <w:spacing w:val="-4"/>
        </w:rPr>
        <w:t xml:space="preserve"> Business Today, </w:t>
      </w:r>
      <w:r w:rsidRPr="00E866C0">
        <w:rPr>
          <w:spacing w:val="-4"/>
        </w:rPr>
        <w:t>January 13, 2017, accessed May</w:t>
      </w:r>
      <w:r w:rsidR="00473F55">
        <w:rPr>
          <w:spacing w:val="-4"/>
        </w:rPr>
        <w:t xml:space="preserve"> </w:t>
      </w:r>
      <w:r w:rsidRPr="00E866C0">
        <w:rPr>
          <w:spacing w:val="-4"/>
        </w:rPr>
        <w:t>10, 2017, www.businesstoday.in/opinion/perspective/vishal-sikka-chief-infosys-needs-to-make-big-acquisitions/story/244167.html.</w:t>
      </w:r>
    </w:p>
  </w:endnote>
  <w:endnote w:id="3">
    <w:p w14:paraId="7B7115D0" w14:textId="3A66CE77" w:rsidR="00A70242" w:rsidRPr="00E866C0" w:rsidRDefault="00A70242" w:rsidP="00E647EB">
      <w:pPr>
        <w:pStyle w:val="Footnote"/>
        <w:rPr>
          <w:spacing w:val="-2"/>
        </w:rPr>
      </w:pPr>
      <w:r w:rsidRPr="00E866C0">
        <w:rPr>
          <w:rStyle w:val="EndnoteReference"/>
          <w:spacing w:val="-2"/>
        </w:rPr>
        <w:endnoteRef/>
      </w:r>
      <w:r w:rsidRPr="00E866C0">
        <w:rPr>
          <w:spacing w:val="-2"/>
        </w:rPr>
        <w:t xml:space="preserve"> All dollar amounts are in US</w:t>
      </w:r>
      <w:r w:rsidR="00BA1759">
        <w:rPr>
          <w:spacing w:val="-2"/>
        </w:rPr>
        <w:t>$</w:t>
      </w:r>
      <w:r w:rsidRPr="00E866C0">
        <w:rPr>
          <w:spacing w:val="-2"/>
        </w:rPr>
        <w:t xml:space="preserve"> unless otherwise indicated.</w:t>
      </w:r>
    </w:p>
  </w:endnote>
  <w:endnote w:id="4">
    <w:p w14:paraId="4043E1E7" w14:textId="150B84D9" w:rsidR="00A70242" w:rsidRPr="00E866C0" w:rsidRDefault="00A70242" w:rsidP="00E647EB">
      <w:pPr>
        <w:pStyle w:val="Footnote"/>
        <w:rPr>
          <w:spacing w:val="-4"/>
          <w:lang w:val="en-IN"/>
        </w:rPr>
      </w:pPr>
      <w:r w:rsidRPr="00E866C0">
        <w:rPr>
          <w:rStyle w:val="EndnoteReference"/>
          <w:spacing w:val="-2"/>
          <w:szCs w:val="22"/>
        </w:rPr>
        <w:endnoteRef/>
      </w:r>
      <w:r w:rsidRPr="00E866C0">
        <w:rPr>
          <w:spacing w:val="-2"/>
        </w:rPr>
        <w:t xml:space="preserve"> </w:t>
      </w:r>
      <w:r w:rsidRPr="00E866C0">
        <w:rPr>
          <w:spacing w:val="-4"/>
        </w:rPr>
        <w:t>Varun Sood, “Infosys Weighed Down by $20 Billion Revenue Target by Vishal Sikka,” Livemint, April 21, 2017, accessed May 21, 2017, www.livemint.com/Companies/I9zOulsXPb2kcVSzTenbdJ/How-Infosyss-20-billion-revenue-target-by-202021-is-hurti.html.</w:t>
      </w:r>
    </w:p>
  </w:endnote>
  <w:endnote w:id="5">
    <w:p w14:paraId="073E441F" w14:textId="75F43599"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“Narayan Murthy Says IT Industry ‘Ebbing’ Calls for Salary Cuts to Protect Jobs,” Money Control, June 1, 2017, accessed June</w:t>
      </w:r>
      <w:r w:rsidR="00BA1759">
        <w:rPr>
          <w:spacing w:val="-2"/>
        </w:rPr>
        <w:t> </w:t>
      </w:r>
      <w:r w:rsidRPr="00E866C0">
        <w:rPr>
          <w:spacing w:val="-2"/>
        </w:rPr>
        <w:t>11, 2017, www.moneycontrol.com/news/interview/narayana-murthy-says-it-industry-ebbing-calls-for-salary-cuts-to-protect-jobs-2295071.html.</w:t>
      </w:r>
    </w:p>
  </w:endnote>
  <w:endnote w:id="6">
    <w:p w14:paraId="7AC80DA2" w14:textId="5FB94BCA"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“Top Indian IT Cos Will Lead in Digital Business,” PTI News, May 28, 2017, accessed May 31, 2017, http://ptinews.com/news/8744716_-Top-Indian-IT-cos-will-lead-in-digital-business-.html.</w:t>
      </w:r>
    </w:p>
  </w:endnote>
  <w:endnote w:id="7">
    <w:p w14:paraId="67BFFEC7" w14:textId="4F68B5D3"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“Infosys Will Fine Tune M&amp;A Strategy in Coming Months: COO UB Pravin Rao,” </w:t>
      </w:r>
      <w:r w:rsidRPr="00E866C0">
        <w:rPr>
          <w:i/>
          <w:spacing w:val="-2"/>
        </w:rPr>
        <w:t>Economic Times</w:t>
      </w:r>
      <w:r w:rsidRPr="00E866C0">
        <w:rPr>
          <w:spacing w:val="-2"/>
        </w:rPr>
        <w:t>, October 16, 2016, accessed June 1, 2017, http://economictimes.indiatimes.com/tech/ites/infosys-will-fine-tune-ma-strategy-in-coming-months-coo-ub-pravin-rao/articleshow/54907161.cms.</w:t>
      </w:r>
    </w:p>
  </w:endnote>
  <w:endnote w:id="8">
    <w:p w14:paraId="4B9E0D1B" w14:textId="7F6EF0DE"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Varun Sood, “Rajiv Bansal Walked out of Infosys Board Meeting on Panaya Acquisition,” </w:t>
      </w:r>
      <w:r w:rsidRPr="00E866C0">
        <w:rPr>
          <w:i/>
          <w:spacing w:val="-2"/>
        </w:rPr>
        <w:t>Hindustan Times</w:t>
      </w:r>
      <w:r w:rsidRPr="00E866C0">
        <w:rPr>
          <w:spacing w:val="-2"/>
        </w:rPr>
        <w:t>, February 20, 2017, accessed June 1, 2017, www.hindustantimes.com/business-news/rajiv-bansal-walked-out-of-infosys-board-meet-on-panaya-acquisition/story-1GPyUFAk3IGhboFSHJwk5J.html.</w:t>
      </w:r>
    </w:p>
  </w:endnote>
  <w:endnote w:id="9">
    <w:p w14:paraId="0969A578" w14:textId="7CA55FC3" w:rsidR="00A70242" w:rsidRPr="00481B06" w:rsidRDefault="00A70242" w:rsidP="00E647EB">
      <w:pPr>
        <w:pStyle w:val="Footnote"/>
        <w:rPr>
          <w:spacing w:val="-6"/>
          <w:lang w:val="en-IN"/>
        </w:rPr>
      </w:pPr>
      <w:r w:rsidRPr="00E866C0">
        <w:rPr>
          <w:rStyle w:val="EndnoteReference"/>
          <w:spacing w:val="-2"/>
          <w:szCs w:val="22"/>
        </w:rPr>
        <w:endnoteRef/>
      </w:r>
      <w:r w:rsidRPr="00E866C0">
        <w:rPr>
          <w:spacing w:val="-2"/>
        </w:rPr>
        <w:t xml:space="preserve"> “</w:t>
      </w:r>
      <w:r w:rsidRPr="00481B06">
        <w:rPr>
          <w:spacing w:val="-6"/>
        </w:rPr>
        <w:t xml:space="preserve">Vision 2020 </w:t>
      </w:r>
      <w:r w:rsidR="00BA1759" w:rsidRPr="00481B06">
        <w:rPr>
          <w:spacing w:val="-6"/>
        </w:rPr>
        <w:t>I</w:t>
      </w:r>
      <w:r w:rsidRPr="00481B06">
        <w:rPr>
          <w:spacing w:val="-6"/>
        </w:rPr>
        <w:t xml:space="preserve">s a Moon Shot: Vishal Sikka Infosys,” ET Markets, April 13, 2017, accessed June 10, 2017, </w:t>
      </w:r>
      <w:r w:rsidR="00481B06" w:rsidRPr="00481B06">
        <w:rPr>
          <w:spacing w:val="-6"/>
        </w:rPr>
        <w:t>http://economictimes.indiatimes.com/markets/expert-view/vision-2020-is-a-moon-shot-vishal-sikka-infosys/articleshow/</w:t>
      </w:r>
      <w:r w:rsidRPr="00481B06">
        <w:rPr>
          <w:spacing w:val="-6"/>
        </w:rPr>
        <w:t>58162250.cms.</w:t>
      </w:r>
    </w:p>
  </w:endnote>
  <w:endnote w:id="10">
    <w:p w14:paraId="34FDAC35" w14:textId="411EEC07" w:rsidR="00A70242" w:rsidRPr="00E866C0" w:rsidRDefault="00A70242" w:rsidP="00E647EB">
      <w:pPr>
        <w:pStyle w:val="Footnote"/>
        <w:rPr>
          <w:spacing w:val="-4"/>
          <w:lang w:val="en-IN"/>
        </w:rPr>
      </w:pPr>
      <w:r w:rsidRPr="00E866C0">
        <w:rPr>
          <w:rStyle w:val="EndnoteReference"/>
          <w:spacing w:val="-2"/>
          <w:szCs w:val="22"/>
        </w:rPr>
        <w:endnoteRef/>
      </w:r>
      <w:r w:rsidRPr="00E866C0">
        <w:rPr>
          <w:spacing w:val="-2"/>
        </w:rPr>
        <w:t xml:space="preserve"> </w:t>
      </w:r>
      <w:r w:rsidRPr="00E866C0">
        <w:rPr>
          <w:spacing w:val="-4"/>
        </w:rPr>
        <w:t xml:space="preserve">The White House, </w:t>
      </w:r>
      <w:r w:rsidRPr="00E866C0">
        <w:rPr>
          <w:spacing w:val="-4"/>
          <w:lang w:val="en-IN"/>
        </w:rPr>
        <w:t>“Background Briefing on Buy American, Hire American Executive Order,” press release, April 17, 2017, accessed May 2, 2017, www.whitehouse.gov/the-press-office/2017/04/17/background-briefing-buy-american-hire-american-executive-order.</w:t>
      </w:r>
    </w:p>
  </w:endnote>
  <w:endnote w:id="11">
    <w:p w14:paraId="02C44F44" w14:textId="2C76FF08"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Ovum Ltd., </w:t>
      </w:r>
      <w:r w:rsidRPr="00E866C0">
        <w:rPr>
          <w:i/>
          <w:spacing w:val="-2"/>
        </w:rPr>
        <w:t>A Design-Driven, Knowledge-Based Approach to CSP Digital and Business Transformation</w:t>
      </w:r>
      <w:r w:rsidRPr="00E866C0">
        <w:rPr>
          <w:spacing w:val="-2"/>
        </w:rPr>
        <w:t xml:space="preserve"> (London, UK: Ovum Ltd., September 26, 2016), accessed June 1, 2017, www.infosys.com/industries/communication-services/features-opinions/Documents/design-driven-knowledge-approach.pdf.</w:t>
      </w:r>
    </w:p>
  </w:endnote>
  <w:endnote w:id="12">
    <w:p w14:paraId="4021874B" w14:textId="17079FC9" w:rsidR="00A70242" w:rsidRPr="00E866C0" w:rsidRDefault="00A70242" w:rsidP="00E647EB">
      <w:pPr>
        <w:pStyle w:val="Footnote"/>
        <w:rPr>
          <w:spacing w:val="-4"/>
          <w:lang w:val="en-IN"/>
        </w:rPr>
      </w:pPr>
      <w:r w:rsidRPr="00E866C0">
        <w:rPr>
          <w:rStyle w:val="EndnoteReference"/>
          <w:spacing w:val="-4"/>
          <w:szCs w:val="22"/>
        </w:rPr>
        <w:endnoteRef/>
      </w:r>
      <w:r w:rsidRPr="00E866C0">
        <w:rPr>
          <w:spacing w:val="-4"/>
        </w:rPr>
        <w:t xml:space="preserve"> Devjyot Ghosal, “India’s $150 Billion IT industry Has a New Mantra</w:t>
      </w:r>
      <w:r w:rsidR="00BA1759">
        <w:rPr>
          <w:spacing w:val="-4"/>
        </w:rPr>
        <w:t>:</w:t>
      </w:r>
      <w:r w:rsidRPr="00E866C0">
        <w:rPr>
          <w:spacing w:val="-4"/>
        </w:rPr>
        <w:t xml:space="preserve"> Re-Skill Employees, or Perish,” Scroll.in, May 22, 2017, accessed June 2, 2017, https://scroll.in/article/838132/indias-150-billion-it-industry-has-a-new-mantra-re-skill-employees-or-perish.</w:t>
      </w:r>
    </w:p>
  </w:endnote>
  <w:endnote w:id="13">
    <w:p w14:paraId="5BD39C2C" w14:textId="35C3D6DB"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“Indian IT Spend in Securities, Banking to Rise by 86 Per Cent in 2017,” News 18, June 16, 2017, accessed June 3, 2017, www.news18.com/news/tech/indian-it-spend-in-securities-banking-to-rise-by-8-6-in-2017-1435179.html.</w:t>
      </w:r>
    </w:p>
  </w:endnote>
  <w:endnote w:id="14">
    <w:p w14:paraId="67CA83D7" w14:textId="3F426AAD"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Suman Layak, “War of the Machines: The Opportunities in Machine Learning for Businesses,” </w:t>
      </w:r>
      <w:r w:rsidRPr="00E866C0">
        <w:rPr>
          <w:i/>
          <w:spacing w:val="-2"/>
        </w:rPr>
        <w:t>Economic Times</w:t>
      </w:r>
      <w:r w:rsidRPr="00E866C0">
        <w:rPr>
          <w:spacing w:val="-2"/>
        </w:rPr>
        <w:t>, June 11, 2017, accessed June 4, 2017, http://economictimes.indiatimes.com/news/science/war-of-the-machine-the-opportunities-in-machine-learning-for-businesses/articleshow/59087129.cms.</w:t>
      </w:r>
    </w:p>
  </w:endnote>
  <w:endnote w:id="15">
    <w:p w14:paraId="5F30B60E" w14:textId="576A02B4"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Ibid. </w:t>
      </w:r>
      <w:bookmarkStart w:id="0" w:name="_GoBack"/>
      <w:bookmarkEnd w:id="0"/>
    </w:p>
  </w:endnote>
  <w:endnote w:id="16">
    <w:p w14:paraId="6AC526F4" w14:textId="01BB1014"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“IT and ITeS industry in India,” IBEF, May 2017, accessed June 1, 2017, www.ibef.org/industry/information-technology-india.aspx.</w:t>
      </w:r>
    </w:p>
  </w:endnote>
  <w:endnote w:id="17">
    <w:p w14:paraId="569378AC" w14:textId="38A96A07"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Priyanka Sangani, “Public Cloud Services to Grow 35.9 Per Cent in India to $1.3 Billion in 2016,” </w:t>
      </w:r>
      <w:r w:rsidRPr="00E866C0">
        <w:rPr>
          <w:i/>
          <w:spacing w:val="-2"/>
        </w:rPr>
        <w:t>Economic Times</w:t>
      </w:r>
      <w:r w:rsidRPr="00E866C0">
        <w:rPr>
          <w:spacing w:val="-2"/>
        </w:rPr>
        <w:t>, November</w:t>
      </w:r>
      <w:r w:rsidR="00BA1759">
        <w:rPr>
          <w:spacing w:val="-2"/>
        </w:rPr>
        <w:t> </w:t>
      </w:r>
      <w:r w:rsidRPr="00E866C0">
        <w:rPr>
          <w:spacing w:val="-2"/>
        </w:rPr>
        <w:t>18, 2016, accessed June 3, 2017, http://economictimes.indiatimes.com/articleshow/55492449.cms.</w:t>
      </w:r>
    </w:p>
  </w:endnote>
  <w:endnote w:id="18">
    <w:p w14:paraId="72895146" w14:textId="0FBF2414"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Aloke Bajpai, “The Rise of Online Content Consumption in India: Looking Beyond Metros,” Inc 42 (blog), March 23, 2017, accessed June 1, 2017, https://inc42.com/resources/rise-online-content-consumption.</w:t>
      </w:r>
    </w:p>
  </w:endnote>
  <w:endnote w:id="19">
    <w:p w14:paraId="18FFCEC3" w14:textId="0F80DF8A"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Amrit Raj, “Move over 4G, IoT and 5G Will Be the Flavour of 2017: Trai Chairman,” Livemint, December 30, 2016, accessed May 5, 2017, www.livemint.com/Industry/tpScJ4s7g74Nd3v42CnKuO/Move-over-4G-Internet-of-Things-and-5G-will-be-the-flavour.html.</w:t>
      </w:r>
    </w:p>
  </w:endnote>
  <w:endnote w:id="20">
    <w:p w14:paraId="28ABCAB6" w14:textId="440B5997"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Anandhi Ramachandran, “New Frontiers in Medicine,” </w:t>
      </w:r>
      <w:r w:rsidRPr="00E866C0">
        <w:rPr>
          <w:i/>
          <w:spacing w:val="-2"/>
        </w:rPr>
        <w:t>Hindu</w:t>
      </w:r>
      <w:r w:rsidRPr="00E866C0">
        <w:rPr>
          <w:spacing w:val="-2"/>
        </w:rPr>
        <w:t>, June 11, 2017, accessed June 15, 2017, www.thehindu.com/education/new-frontiers-in-medicine/article18955097.ece.</w:t>
      </w:r>
    </w:p>
  </w:endnote>
  <w:endnote w:id="21">
    <w:p w14:paraId="618C609D" w14:textId="766BA7EE"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“Paytm, Mobikwik, Free Charge Growth Spurred by Demonetization: RBI Data,” </w:t>
      </w:r>
      <w:r w:rsidRPr="00E866C0">
        <w:rPr>
          <w:i/>
          <w:spacing w:val="-2"/>
        </w:rPr>
        <w:t>Financial Express</w:t>
      </w:r>
      <w:r w:rsidRPr="00E866C0">
        <w:rPr>
          <w:spacing w:val="-2"/>
        </w:rPr>
        <w:t>, June 9, 2017, accessed June 15, 2017, www.financialexpress.com/india-news/paytm-mobikwik-freecharge-growth-spurred-by-demonetization-rbi-data/708977.</w:t>
      </w:r>
    </w:p>
  </w:endnote>
  <w:endnote w:id="22">
    <w:p w14:paraId="61633F39" w14:textId="565569BB" w:rsidR="00A70242" w:rsidRPr="00E866C0" w:rsidRDefault="00A70242" w:rsidP="00E647EB">
      <w:pPr>
        <w:pStyle w:val="Footnote"/>
        <w:rPr>
          <w:spacing w:val="-2"/>
          <w:lang w:val="en-IN"/>
        </w:rPr>
      </w:pPr>
      <w:r w:rsidRPr="00E866C0">
        <w:rPr>
          <w:spacing w:val="-2"/>
          <w:vertAlign w:val="superscript"/>
        </w:rPr>
        <w:endnoteRef/>
      </w:r>
      <w:r w:rsidRPr="00E866C0">
        <w:rPr>
          <w:spacing w:val="-2"/>
          <w:vertAlign w:val="superscript"/>
        </w:rPr>
        <w:t xml:space="preserve"> “</w:t>
      </w:r>
      <w:r w:rsidRPr="00E866C0">
        <w:rPr>
          <w:spacing w:val="-2"/>
          <w:lang w:val="en-IN"/>
        </w:rPr>
        <w:t xml:space="preserve">Change the Way You Pay with Unified Payment Interface,” </w:t>
      </w:r>
      <w:r w:rsidRPr="00E866C0">
        <w:rPr>
          <w:i/>
          <w:spacing w:val="-2"/>
          <w:lang w:val="en-IN"/>
        </w:rPr>
        <w:t>Hindu</w:t>
      </w:r>
      <w:r w:rsidRPr="00E866C0">
        <w:rPr>
          <w:spacing w:val="-2"/>
          <w:lang w:val="en-IN"/>
        </w:rPr>
        <w:t>, April 13, 2016, accessed May 5, 2017, www.thehindu.com/business/Economy/Change-the-way-you-pay-with-Unified-Payments-Interface/article14235265.ece.</w:t>
      </w:r>
    </w:p>
  </w:endnote>
  <w:endnote w:id="23">
    <w:p w14:paraId="377D65E5" w14:textId="25C606F3"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Gaurav Bisht, “Industry Stalwart Threatening </w:t>
      </w:r>
      <w:r w:rsidR="00B0720D">
        <w:rPr>
          <w:spacing w:val="-2"/>
        </w:rPr>
        <w:t>T</w:t>
      </w:r>
      <w:r w:rsidRPr="00E866C0">
        <w:rPr>
          <w:spacing w:val="-2"/>
        </w:rPr>
        <w:t>his Indian Startup Against an International Giant Entering Indian Market,” Coworking India, April 21, 2017, accessed May 23, 2017, https://coworkingindiamag.com/industry-stalwart-threaten-startup-international-giant-entering-indian-market.</w:t>
      </w:r>
    </w:p>
  </w:endnote>
  <w:endnote w:id="24">
    <w:p w14:paraId="60BAC327" w14:textId="39054DDA"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“Top Indian IT Cos Will Lead in Digital Business,” op. cit.</w:t>
      </w:r>
    </w:p>
  </w:endnote>
  <w:endnote w:id="25">
    <w:p w14:paraId="77DD9B83" w14:textId="5D9D1959"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“As India’s Economic Indicators Slump, FDI Inflows Have Never Looked Better. Why?” Wire, June 20, 2017, accessed June</w:t>
      </w:r>
      <w:r w:rsidR="00DE7620">
        <w:rPr>
          <w:spacing w:val="-2"/>
        </w:rPr>
        <w:t> </w:t>
      </w:r>
      <w:r w:rsidRPr="00E866C0">
        <w:rPr>
          <w:spacing w:val="-2"/>
        </w:rPr>
        <w:t>30, 2017, https://thewire.in/149210/indias-economic-indicators-slump-fdi-inflows-never-looked-better.</w:t>
      </w:r>
    </w:p>
  </w:endnote>
  <w:endnote w:id="26">
    <w:p w14:paraId="0BA3E375" w14:textId="0C0EACB7"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“PE-VC Investment in Mobile Payment Firms at 6 Years High; Paytm Leads with $1.4 Bn,” </w:t>
      </w:r>
      <w:r w:rsidRPr="00E866C0">
        <w:rPr>
          <w:i/>
          <w:spacing w:val="-2"/>
        </w:rPr>
        <w:t>Business Standard</w:t>
      </w:r>
      <w:r w:rsidRPr="00E866C0">
        <w:rPr>
          <w:spacing w:val="-2"/>
        </w:rPr>
        <w:t>, June 16, 2017, accessed June 30, 2017, www.business-standard.com/article/companies/pe-vc-investment-in-mobile-payment-firms-at-6-yr-high-paytm-leads-with-1-4-bn-117061600166_1.html.</w:t>
      </w:r>
    </w:p>
  </w:endnote>
  <w:endnote w:id="27">
    <w:p w14:paraId="2959C484" w14:textId="3D9DB5C0"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“Fact-Check: India’s Standing in Global Indices,” Hans India, June 16, 2017, accessed June 20, 2017, www.thehansindia.com/posts/index/News-Analysis/2017-06-16/Fact-Check-Indias-standing-in-global-indices/306772.</w:t>
      </w:r>
    </w:p>
  </w:endnote>
  <w:endnote w:id="28">
    <w:p w14:paraId="73D4BA97" w14:textId="437A1655"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“About GST in India,” GSTIndia.com, June 2017, accessed June 21, 2017, www.gstindia.com/about.</w:t>
      </w:r>
    </w:p>
  </w:endnote>
  <w:endnote w:id="29">
    <w:p w14:paraId="43072D5D" w14:textId="79595C98"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“Why Tech Companies Like Microsoft, Bosch are Rushing to Open Startup Accelerates In India?” Money Control, June 12, 2017</w:t>
      </w:r>
      <w:r w:rsidR="00DE7620">
        <w:rPr>
          <w:spacing w:val="-2"/>
        </w:rPr>
        <w:t>,</w:t>
      </w:r>
      <w:r w:rsidRPr="00E866C0">
        <w:rPr>
          <w:spacing w:val="-2"/>
        </w:rPr>
        <w:t xml:space="preserve"> accessed June 23, 2017, www.moneycontrol.com/news/business/startup/why-tech-companies-like-microsoft-bosch-are-rushing-to-open-startup-accelerators-in-india-2301181.html.</w:t>
      </w:r>
    </w:p>
  </w:endnote>
  <w:endnote w:id="30">
    <w:p w14:paraId="05642207" w14:textId="338F2C1F"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“90% of Indian Startups Will Fail Because of Lack of Innovation, Study Says,” </w:t>
      </w:r>
      <w:r w:rsidRPr="00E866C0">
        <w:rPr>
          <w:i/>
          <w:spacing w:val="-2"/>
        </w:rPr>
        <w:t>Forbes</w:t>
      </w:r>
      <w:r w:rsidRPr="00E866C0">
        <w:rPr>
          <w:spacing w:val="-2"/>
        </w:rPr>
        <w:t>, May 18, 2017, accessed May 30, 2017,www.forbes.com/sites/suparnadutt/2017/05/18/startups-in-india-fail-due-lack-of-innovation-according-to-a-new-ibm-study/#2a1e7da9657b.</w:t>
      </w:r>
    </w:p>
  </w:endnote>
  <w:endnote w:id="31">
    <w:p w14:paraId="6D7A26D4" w14:textId="03A7C50A"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“Management Profiles,” Infosys (website), accessed June 21, 2017, www.infosys.com/about/management-profiles/Pages/founders.aspx.</w:t>
      </w:r>
    </w:p>
  </w:endnote>
  <w:endnote w:id="32">
    <w:p w14:paraId="02308D61" w14:textId="6E09B574"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“About Us: History,” Infosys (website), accessed June 15, 2017, www.infosys.com/about/Pages/history.aspx.</w:t>
      </w:r>
    </w:p>
  </w:endnote>
  <w:endnote w:id="33">
    <w:p w14:paraId="1BAC672E" w14:textId="261170B2"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Infosys Limited, </w:t>
      </w:r>
      <w:r w:rsidRPr="00E866C0">
        <w:rPr>
          <w:i/>
          <w:spacing w:val="-2"/>
        </w:rPr>
        <w:t>Automate, Innovate, Educate: Annual Report 2016–17</w:t>
      </w:r>
      <w:r w:rsidRPr="00E866C0">
        <w:rPr>
          <w:spacing w:val="-2"/>
        </w:rPr>
        <w:t>, accessed June 15, 2017, www.infosys.com/investors/reports-filings/annual-report/annual/Documents/infosys-AR-17.pdf.</w:t>
      </w:r>
    </w:p>
  </w:endnote>
  <w:endnote w:id="34">
    <w:p w14:paraId="3FFF183F" w14:textId="18F699F8"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Ibid. </w:t>
      </w:r>
    </w:p>
  </w:endnote>
  <w:endnote w:id="35">
    <w:p w14:paraId="3851ECC6" w14:textId="7EA3C2DD"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“Infosys to Buy Australian Firm Expert for $22.9m,” </w:t>
      </w:r>
      <w:r w:rsidRPr="00E866C0">
        <w:rPr>
          <w:i/>
          <w:spacing w:val="-2"/>
        </w:rPr>
        <w:t>Hindu Business Line</w:t>
      </w:r>
      <w:r w:rsidRPr="00E866C0">
        <w:rPr>
          <w:spacing w:val="-2"/>
        </w:rPr>
        <w:t>, December 18, 2003, accessed May 12, 2017, www.thehindubusinessline.com/bline/2003/12/19/stories/2003121902640100.htm.</w:t>
      </w:r>
    </w:p>
  </w:endnote>
  <w:endnote w:id="36">
    <w:p w14:paraId="39F53123" w14:textId="097C0F39"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“Infosys to Buy Australian Firm for $23 mn,” Rediff, December 18, 2003, accessed May 12, 2017, www.rediff.com/money/2003/dec/18infy.htm.</w:t>
      </w:r>
    </w:p>
  </w:endnote>
  <w:endnote w:id="37">
    <w:p w14:paraId="0E6AD0F4" w14:textId="40C097BC"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“Infosys Acquires Australian IT Firm,” </w:t>
      </w:r>
      <w:r w:rsidRPr="00E866C0">
        <w:rPr>
          <w:i/>
          <w:spacing w:val="-2"/>
        </w:rPr>
        <w:t>Economic Times</w:t>
      </w:r>
      <w:r w:rsidRPr="00E866C0">
        <w:rPr>
          <w:spacing w:val="-2"/>
        </w:rPr>
        <w:t>, December 18, 2013, accessed May 12, 2017, http://economictimes.indiatimes.com/news/industry/tech/software/ Infosys-acquires-Australian-IT-firm/articleshow/366076.cms.</w:t>
      </w:r>
    </w:p>
  </w:endnote>
  <w:endnote w:id="38">
    <w:p w14:paraId="32DECDD3" w14:textId="53CFB20F"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Manas Chakravarty and Mobis Phiipose, “</w:t>
      </w:r>
      <w:r w:rsidRPr="00E866C0">
        <w:rPr>
          <w:color w:val="000000"/>
          <w:spacing w:val="-2"/>
        </w:rPr>
        <w:t xml:space="preserve">Mark to Market: Infosys—Finally, an Acquisition,” Livemint, July 26, 2007, accessed May 11, 2017, </w:t>
      </w:r>
      <w:r w:rsidRPr="00E866C0">
        <w:rPr>
          <w:spacing w:val="-2"/>
        </w:rPr>
        <w:t>www.livemint.com/Money/0PKh8yHs7X9TnJSlmwMGsJ/Mark-to-Market-Infosysfinally-an-acquisition.html.</w:t>
      </w:r>
    </w:p>
  </w:endnote>
  <w:endnote w:id="39">
    <w:p w14:paraId="288ADF6F" w14:textId="74422422"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“Infosys Acquires McCamish Systems to Strengthen End to End Solutions,” </w:t>
      </w:r>
      <w:r w:rsidRPr="00E866C0">
        <w:rPr>
          <w:i/>
          <w:spacing w:val="-2"/>
        </w:rPr>
        <w:t>Economic Times</w:t>
      </w:r>
      <w:r w:rsidRPr="00E866C0">
        <w:rPr>
          <w:spacing w:val="-2"/>
        </w:rPr>
        <w:t>, November 15, 2009, accessed May 10, 2017, http://economictimes.indiatimes.com/companies/infosys-acquires-mccamish-systems-to-strengthen-end-to-end-solutions/articleshow/5231516.cms.</w:t>
      </w:r>
    </w:p>
  </w:endnote>
  <w:endnote w:id="40">
    <w:p w14:paraId="72AA7F9C" w14:textId="03F766BD"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“Infosys BPO to Acquire US-Based McCamish Systems,” Livemint, November 12, 2009, accessed May 10, 2017, www.livemint.com/Companies/nwXk5guiy9xvxB8WqXMjsM/Infosys-BPO-to-acquire-USbased-McCamish-Systems.html.</w:t>
      </w:r>
    </w:p>
  </w:endnote>
  <w:endnote w:id="41">
    <w:p w14:paraId="11EE7F28" w14:textId="4C0A3ECD"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John Ribeiro, “Infosys Acquires BPO Company in the U.S.,” PC World, November 11, 2009, accessed May 9, 2017, www.pcworld.com/article/181992/article.html.</w:t>
      </w:r>
    </w:p>
  </w:endnote>
  <w:endnote w:id="42">
    <w:p w14:paraId="1B9B4970" w14:textId="174026ED" w:rsidR="00473F55" w:rsidRPr="00473F55" w:rsidRDefault="00473F55" w:rsidP="00473F55">
      <w:pPr>
        <w:pStyle w:val="Footnote"/>
        <w:rPr>
          <w:spacing w:val="-4"/>
        </w:rPr>
      </w:pPr>
      <w:r w:rsidRPr="00E866C0">
        <w:rPr>
          <w:rStyle w:val="EndnoteReference"/>
          <w:spacing w:val="-2"/>
          <w:szCs w:val="22"/>
        </w:rPr>
        <w:endnoteRef/>
      </w:r>
      <w:r w:rsidRPr="00E866C0">
        <w:rPr>
          <w:spacing w:val="-2"/>
        </w:rPr>
        <w:t xml:space="preserve"> </w:t>
      </w:r>
      <w:r w:rsidRPr="00473F55">
        <w:rPr>
          <w:spacing w:val="-4"/>
        </w:rPr>
        <w:t>“INFY Procures Portland to Soup Up Its Sourcing,” Horses for Sources, December 20, 2011, accessed May 8, 2017, www.horsesforsources.com/infy-procures-portland_122011; Dhanya Ann Thoppil,” “</w:t>
      </w:r>
      <w:r w:rsidRPr="00473F55">
        <w:rPr>
          <w:bCs/>
          <w:spacing w:val="-4"/>
          <w:kern w:val="36"/>
        </w:rPr>
        <w:t xml:space="preserve">Infosys BPO to Acquire Portland Group in Australia,” </w:t>
      </w:r>
      <w:r w:rsidRPr="00473F55">
        <w:rPr>
          <w:bCs/>
          <w:i/>
          <w:spacing w:val="-4"/>
          <w:kern w:val="36"/>
        </w:rPr>
        <w:t>Wall Street Journal</w:t>
      </w:r>
      <w:r w:rsidRPr="00473F55">
        <w:rPr>
          <w:bCs/>
          <w:spacing w:val="-4"/>
          <w:kern w:val="36"/>
        </w:rPr>
        <w:t xml:space="preserve">, December 20, 2011, accessed May 8, 2017, http://blogs.wsj.com/dealjournalindia/2011/12/20/infosys-bpo-to-acquire-portland-group-in-australia; </w:t>
      </w:r>
      <w:r w:rsidRPr="00473F55">
        <w:rPr>
          <w:spacing w:val="-4"/>
        </w:rPr>
        <w:t xml:space="preserve">“Infosys BPO Buys Australia-Based Portland Group for AUD 37mn,” </w:t>
      </w:r>
      <w:r w:rsidRPr="00473F55">
        <w:rPr>
          <w:i/>
          <w:spacing w:val="-4"/>
        </w:rPr>
        <w:t>Economic Times</w:t>
      </w:r>
      <w:r w:rsidRPr="00473F55">
        <w:rPr>
          <w:spacing w:val="-4"/>
        </w:rPr>
        <w:t>, December 21, 2011, accessed May 2, 2017, http://economictimes.indiatimes.com/tech/ites/infosys-bpo-buys-australia-based-portland-group-for-aud-37-mn/articleshow/11187711.cms; “</w:t>
      </w:r>
      <w:r w:rsidRPr="00473F55">
        <w:rPr>
          <w:bCs/>
          <w:spacing w:val="-4"/>
          <w:kern w:val="36"/>
        </w:rPr>
        <w:t>Australian Consulting Firm Sold to Indian Giant Infosys for $37 Million,” Smart Company, January 4, 2012, accessed May 3, 2017, www.smartcompany.com.au/technology/emerging-technology/23735-20120104-australian-consulting-firm-sold-to-indian-giant-infosys-for-37-million.</w:t>
      </w:r>
    </w:p>
  </w:endnote>
  <w:endnote w:id="43">
    <w:p w14:paraId="511A1446" w14:textId="477D8C1F" w:rsidR="00A70242" w:rsidRPr="00E866C0" w:rsidRDefault="00A70242" w:rsidP="00E647EB">
      <w:pPr>
        <w:pStyle w:val="Footnote"/>
        <w:rPr>
          <w:spacing w:val="-2"/>
        </w:rPr>
      </w:pPr>
      <w:r w:rsidRPr="00E866C0">
        <w:rPr>
          <w:rStyle w:val="EndnoteReference"/>
          <w:spacing w:val="-2"/>
          <w:szCs w:val="22"/>
        </w:rPr>
        <w:endnoteRef/>
      </w:r>
      <w:r w:rsidRPr="00E866C0">
        <w:rPr>
          <w:i/>
          <w:spacing w:val="-2"/>
        </w:rPr>
        <w:t xml:space="preserve"> </w:t>
      </w:r>
      <w:r w:rsidRPr="00E866C0">
        <w:rPr>
          <w:spacing w:val="-2"/>
        </w:rPr>
        <w:t xml:space="preserve">Goutam Das, “Infosys to Acquire Swiss Consulting Giant Lodestone,” </w:t>
      </w:r>
      <w:r w:rsidRPr="00E866C0">
        <w:rPr>
          <w:i/>
          <w:spacing w:val="-2"/>
        </w:rPr>
        <w:t>India Today</w:t>
      </w:r>
      <w:r w:rsidRPr="00E866C0">
        <w:rPr>
          <w:spacing w:val="-2"/>
        </w:rPr>
        <w:t>, September 11, 2012, accessed May 3, 2017, http://indiatoday.intoday.in/story/infosys-to-acquire-swiss-consulting-giant-lodestone/1/216812.html.</w:t>
      </w:r>
    </w:p>
  </w:endnote>
  <w:endnote w:id="44">
    <w:p w14:paraId="70889F63" w14:textId="19F7D8B1"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“Well Stone the Lodes… Infosys Cranks Up </w:t>
      </w:r>
      <w:r w:rsidR="00DE7620">
        <w:rPr>
          <w:spacing w:val="-2"/>
        </w:rPr>
        <w:t>I</w:t>
      </w:r>
      <w:r w:rsidRPr="00E866C0">
        <w:rPr>
          <w:spacing w:val="-2"/>
        </w:rPr>
        <w:t>ts SAP-ness with the Acquisition of Lodestone,” Horses for Sources, September</w:t>
      </w:r>
      <w:r w:rsidR="00DE7620">
        <w:rPr>
          <w:spacing w:val="-2"/>
        </w:rPr>
        <w:t> </w:t>
      </w:r>
      <w:r w:rsidRPr="00E866C0">
        <w:rPr>
          <w:spacing w:val="-2"/>
        </w:rPr>
        <w:t>10, 2012, accessed May 1, 2017, www.horsesforsources.com/infosys-lodestone_091012.</w:t>
      </w:r>
    </w:p>
  </w:endnote>
  <w:endnote w:id="45">
    <w:p w14:paraId="445790A0" w14:textId="7EB61F88"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Catherine Shu, “Infosys Acquires SaaS Provider Panaya in Deal Valued at $200M,” Tech Crunch, February 15, 2015, accessed May 30, 2017, https://techcrunch.com/2015/02/15/infosys-panaya.</w:t>
      </w:r>
    </w:p>
  </w:endnote>
  <w:endnote w:id="46">
    <w:p w14:paraId="6E54271C" w14:textId="5440B6A5" w:rsidR="00A70242" w:rsidRPr="00E866C0" w:rsidRDefault="00A70242" w:rsidP="00E647EB">
      <w:pPr>
        <w:pStyle w:val="Footnote"/>
        <w:rPr>
          <w:color w:val="000000"/>
          <w:spacing w:val="-2"/>
        </w:rPr>
      </w:pPr>
      <w:r w:rsidRPr="00E866C0">
        <w:rPr>
          <w:rStyle w:val="EndnoteReference"/>
          <w:spacing w:val="-2"/>
          <w:szCs w:val="22"/>
        </w:rPr>
        <w:endnoteRef/>
      </w:r>
      <w:r w:rsidRPr="00E866C0">
        <w:rPr>
          <w:spacing w:val="-2"/>
        </w:rPr>
        <w:t xml:space="preserve"> “</w:t>
      </w:r>
      <w:r w:rsidRPr="00E866C0">
        <w:rPr>
          <w:color w:val="000000"/>
          <w:spacing w:val="-2"/>
        </w:rPr>
        <w:t>Infosys to Acquire Digital Experience Solutions Provider Kallidus for $120 Million</w:t>
      </w:r>
      <w:r w:rsidRPr="00E866C0">
        <w:rPr>
          <w:spacing w:val="-2"/>
        </w:rPr>
        <w:t xml:space="preserve">,” Net Indian, April 24, 2015, </w:t>
      </w:r>
      <w:r w:rsidRPr="00E866C0">
        <w:rPr>
          <w:color w:val="000000"/>
          <w:spacing w:val="-2"/>
        </w:rPr>
        <w:t>accessed May</w:t>
      </w:r>
      <w:r w:rsidR="00DE7620">
        <w:rPr>
          <w:color w:val="000000"/>
          <w:spacing w:val="-2"/>
        </w:rPr>
        <w:t> </w:t>
      </w:r>
      <w:r w:rsidRPr="00E866C0">
        <w:rPr>
          <w:color w:val="000000"/>
          <w:spacing w:val="-2"/>
        </w:rPr>
        <w:t>23, 2017, http://netindian.in/news/2015/04/24/00033487/infosys-acquire-digital-experience-solutions-provider-kallidus-120-million.</w:t>
      </w:r>
    </w:p>
  </w:endnote>
  <w:endnote w:id="47">
    <w:p w14:paraId="2D6D46F9" w14:textId="51ABC88F" w:rsidR="00A70242" w:rsidRPr="00E866C0" w:rsidRDefault="00A70242" w:rsidP="00E647EB">
      <w:pPr>
        <w:pStyle w:val="Footnote"/>
        <w:rPr>
          <w:color w:val="000000"/>
          <w:spacing w:val="-2"/>
        </w:rPr>
      </w:pPr>
      <w:r w:rsidRPr="00E866C0">
        <w:rPr>
          <w:rStyle w:val="EndnoteReference"/>
          <w:spacing w:val="-2"/>
          <w:szCs w:val="22"/>
        </w:rPr>
        <w:endnoteRef/>
      </w:r>
      <w:r w:rsidRPr="00E866C0">
        <w:rPr>
          <w:spacing w:val="-2"/>
        </w:rPr>
        <w:t xml:space="preserve"> “</w:t>
      </w:r>
      <w:r w:rsidRPr="00E866C0">
        <w:rPr>
          <w:color w:val="000000"/>
          <w:spacing w:val="-2"/>
        </w:rPr>
        <w:t xml:space="preserve">Infosys Completes $120 Million Buyout of Kallidus,” </w:t>
      </w:r>
      <w:r w:rsidRPr="00E866C0">
        <w:rPr>
          <w:i/>
          <w:color w:val="000000"/>
          <w:spacing w:val="-2"/>
        </w:rPr>
        <w:t>Economic Times</w:t>
      </w:r>
      <w:r w:rsidRPr="00E866C0">
        <w:rPr>
          <w:color w:val="000000"/>
          <w:spacing w:val="-2"/>
        </w:rPr>
        <w:t>, June 4, 2015, accessed May 21, 2017, http://economictimes.indiatimes.com/tech/ites/infosys-completes-120-million-buyout-of-kallidus/articleshow/47545387.cms.</w:t>
      </w:r>
    </w:p>
  </w:endnote>
  <w:endnote w:id="48">
    <w:p w14:paraId="54488437" w14:textId="37B989AB" w:rsidR="00A70242" w:rsidRPr="00E866C0" w:rsidRDefault="00A70242" w:rsidP="00E647EB">
      <w:pPr>
        <w:pStyle w:val="Footnote"/>
        <w:rPr>
          <w:color w:val="000000"/>
          <w:spacing w:val="-2"/>
        </w:rPr>
      </w:pPr>
      <w:r w:rsidRPr="00E866C0">
        <w:rPr>
          <w:rStyle w:val="EndnoteReference"/>
          <w:spacing w:val="-2"/>
        </w:rPr>
        <w:endnoteRef/>
      </w:r>
      <w:r w:rsidRPr="00E866C0">
        <w:rPr>
          <w:color w:val="000000"/>
          <w:spacing w:val="-2"/>
        </w:rPr>
        <w:t xml:space="preserve"> “</w:t>
      </w:r>
      <w:r w:rsidRPr="00E866C0">
        <w:rPr>
          <w:spacing w:val="-2"/>
        </w:rPr>
        <w:t>India</w:t>
      </w:r>
      <w:r w:rsidR="00DE7620">
        <w:rPr>
          <w:spacing w:val="-2"/>
        </w:rPr>
        <w:t>’</w:t>
      </w:r>
      <w:r w:rsidRPr="00E866C0">
        <w:rPr>
          <w:spacing w:val="-2"/>
        </w:rPr>
        <w:t xml:space="preserve">s Infosys to Acquire Oil Consultancy Noah Consulting in Deal Worth $70 Million,” </w:t>
      </w:r>
      <w:r w:rsidRPr="00E866C0">
        <w:rPr>
          <w:i/>
          <w:spacing w:val="-2"/>
        </w:rPr>
        <w:t>International Business Times</w:t>
      </w:r>
      <w:r w:rsidRPr="00E866C0">
        <w:rPr>
          <w:spacing w:val="-2"/>
        </w:rPr>
        <w:t>, October</w:t>
      </w:r>
      <w:r w:rsidR="00DE7620">
        <w:rPr>
          <w:spacing w:val="-2"/>
        </w:rPr>
        <w:t> </w:t>
      </w:r>
      <w:r w:rsidRPr="00E866C0">
        <w:rPr>
          <w:spacing w:val="-2"/>
        </w:rPr>
        <w:t>19, 2017, accessed May 31, 2017, www.ibtimes.com/indias-infosys-acquire-oil-consultancy-noah-consulting-deal-worth-70-million-2145988.</w:t>
      </w:r>
    </w:p>
  </w:endnote>
  <w:endnote w:id="49">
    <w:p w14:paraId="7D050FF0" w14:textId="63E33225"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w:t>
      </w:r>
      <w:r w:rsidRPr="00E866C0">
        <w:rPr>
          <w:color w:val="000000"/>
          <w:spacing w:val="-2"/>
        </w:rPr>
        <w:t>Infosys to Acquire Noah Consulting for $70 Million,” Livemint, October 20, 2015, accessed June 1, 2017, www.livemint.com/Companies/BNxDKvSYPU9wWSHvQeS5YK/Infosys-acquires-Noah-Consulting-for-70-million.html.</w:t>
      </w:r>
    </w:p>
  </w:endnote>
  <w:endnote w:id="50">
    <w:p w14:paraId="464161D9" w14:textId="3F21BA2D" w:rsidR="00A70242" w:rsidRPr="00E866C0" w:rsidRDefault="00A70242" w:rsidP="00E647EB">
      <w:pPr>
        <w:pStyle w:val="Footnote"/>
        <w:rPr>
          <w:spacing w:val="-2"/>
        </w:rPr>
      </w:pPr>
      <w:r w:rsidRPr="00E866C0">
        <w:rPr>
          <w:rStyle w:val="EndnoteReference"/>
          <w:spacing w:val="-2"/>
          <w:szCs w:val="22"/>
        </w:rPr>
        <w:endnoteRef/>
      </w:r>
      <w:r w:rsidRPr="00E866C0">
        <w:rPr>
          <w:spacing w:val="-2"/>
        </w:rPr>
        <w:t xml:space="preserve"> Jon Russell, “</w:t>
      </w:r>
      <w:r w:rsidRPr="00E866C0">
        <w:rPr>
          <w:color w:val="000000"/>
          <w:spacing w:val="-2"/>
        </w:rPr>
        <w:t>Infosys to Acquire E- Commerce Service Provider Kallidus for $120M,” Tech Crunch, April 24, 2015, accessed June 2, 2017, https://techcrunch.com/2015/04/24/infosys-kallidus-skala-120-million.</w:t>
      </w:r>
    </w:p>
  </w:endnote>
  <w:endnote w:id="51">
    <w:p w14:paraId="55539ED1" w14:textId="09055A6F"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w:t>
      </w:r>
      <w:r w:rsidRPr="00E866C0">
        <w:rPr>
          <w:color w:val="000000"/>
          <w:spacing w:val="-2"/>
        </w:rPr>
        <w:t>How We Work with Start-Ups,” Infosys (website), accessed May 21, 2017, www.infosys.com/about/innovation-fund/Pages/our</w:t>
      </w:r>
      <w:r w:rsidRPr="00E866C0">
        <w:rPr>
          <w:spacing w:val="-2"/>
        </w:rPr>
        <w:t>-process.aspx.</w:t>
      </w:r>
    </w:p>
  </w:endnote>
  <w:endnote w:id="52">
    <w:p w14:paraId="0400A1BA" w14:textId="783A2765"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“Fund Overview,” Infosys (website), accessed June 1, 2017, www.infosys.com/about/innovation-fund/Pages/index.aspx.</w:t>
      </w:r>
    </w:p>
  </w:endnote>
  <w:endnote w:id="53">
    <w:p w14:paraId="27492255" w14:textId="6B7AA9A6" w:rsidR="00A70242" w:rsidRPr="00E866C0" w:rsidRDefault="00A70242" w:rsidP="00E647EB">
      <w:pPr>
        <w:pStyle w:val="Footnote"/>
        <w:rPr>
          <w:spacing w:val="-2"/>
          <w:lang w:val="en-IN"/>
        </w:rPr>
      </w:pPr>
      <w:r w:rsidRPr="00E866C0">
        <w:rPr>
          <w:rStyle w:val="EndnoteReference"/>
          <w:spacing w:val="-2"/>
          <w:szCs w:val="22"/>
        </w:rPr>
        <w:endnoteRef/>
      </w:r>
      <w:r w:rsidRPr="00E866C0">
        <w:rPr>
          <w:spacing w:val="-2"/>
        </w:rPr>
        <w:t xml:space="preserve"> “Infosys Pumps in $62M in Startups from Innovation Fund,” Your Story, January 22, 2017, accessed April 22, 2017, https://yourstory.com/2017/01/infosys-startups-innovation-fund.</w:t>
      </w:r>
    </w:p>
  </w:endnote>
  <w:endnote w:id="54">
    <w:p w14:paraId="6F1BEF9D" w14:textId="0B9613BC" w:rsidR="00A70242" w:rsidRPr="00E866C0" w:rsidRDefault="00A70242" w:rsidP="00E647EB">
      <w:pPr>
        <w:pStyle w:val="Footnote"/>
        <w:rPr>
          <w:color w:val="000000"/>
          <w:spacing w:val="-2"/>
          <w:sz w:val="22"/>
          <w:lang w:val="en-CA"/>
        </w:rPr>
      </w:pPr>
      <w:r w:rsidRPr="00E866C0">
        <w:rPr>
          <w:rStyle w:val="EndnoteReference"/>
          <w:spacing w:val="-2"/>
          <w:szCs w:val="22"/>
        </w:rPr>
        <w:endnoteRef/>
      </w:r>
      <w:r w:rsidRPr="00E866C0">
        <w:rPr>
          <w:spacing w:val="-2"/>
        </w:rPr>
        <w:t xml:space="preserve"> “</w:t>
      </w:r>
      <w:r w:rsidRPr="00E866C0">
        <w:rPr>
          <w:color w:val="000000"/>
          <w:spacing w:val="-2"/>
          <w:shd w:val="clear" w:color="auto" w:fill="FFFFFF"/>
        </w:rPr>
        <w:t xml:space="preserve">Vishal Sikka </w:t>
      </w:r>
      <w:r w:rsidR="00DE7620">
        <w:rPr>
          <w:color w:val="000000"/>
          <w:spacing w:val="-2"/>
          <w:shd w:val="clear" w:color="auto" w:fill="FFFFFF"/>
        </w:rPr>
        <w:t>S</w:t>
      </w:r>
      <w:r w:rsidRPr="00E866C0">
        <w:rPr>
          <w:color w:val="000000"/>
          <w:spacing w:val="-2"/>
          <w:shd w:val="clear" w:color="auto" w:fill="FFFFFF"/>
        </w:rPr>
        <w:t xml:space="preserve">ays Journey Ahead </w:t>
      </w:r>
      <w:r w:rsidR="00F75835">
        <w:rPr>
          <w:color w:val="000000"/>
          <w:spacing w:val="-2"/>
          <w:shd w:val="clear" w:color="auto" w:fill="FFFFFF"/>
        </w:rPr>
        <w:t>‘</w:t>
      </w:r>
      <w:r w:rsidRPr="00E866C0">
        <w:rPr>
          <w:color w:val="000000"/>
          <w:spacing w:val="-2"/>
          <w:shd w:val="clear" w:color="auto" w:fill="FFFFFF"/>
        </w:rPr>
        <w:t>Challenging,</w:t>
      </w:r>
      <w:r w:rsidR="00F75835">
        <w:rPr>
          <w:color w:val="000000"/>
          <w:spacing w:val="-2"/>
          <w:shd w:val="clear" w:color="auto" w:fill="FFFFFF"/>
        </w:rPr>
        <w:t>’</w:t>
      </w:r>
      <w:r w:rsidRPr="00E866C0">
        <w:rPr>
          <w:color w:val="000000"/>
          <w:spacing w:val="-2"/>
          <w:shd w:val="clear" w:color="auto" w:fill="FFFFFF"/>
        </w:rPr>
        <w:t xml:space="preserve"> Worth Fighting For,” </w:t>
      </w:r>
      <w:r w:rsidRPr="00E866C0">
        <w:rPr>
          <w:i/>
          <w:color w:val="000000"/>
          <w:spacing w:val="-2"/>
          <w:shd w:val="clear" w:color="auto" w:fill="FFFFFF"/>
        </w:rPr>
        <w:t>Economic Times</w:t>
      </w:r>
      <w:r w:rsidRPr="00E866C0">
        <w:rPr>
          <w:color w:val="000000"/>
          <w:spacing w:val="-2"/>
          <w:shd w:val="clear" w:color="auto" w:fill="FFFFFF"/>
        </w:rPr>
        <w:t xml:space="preserve">, May 23, 2017, </w:t>
      </w:r>
      <w:r w:rsidRPr="00E866C0">
        <w:rPr>
          <w:color w:val="000000"/>
          <w:spacing w:val="-2"/>
        </w:rPr>
        <w:t xml:space="preserve">accessed June 21, 2017, </w:t>
      </w:r>
      <w:r w:rsidRPr="00E866C0">
        <w:rPr>
          <w:spacing w:val="-2"/>
        </w:rPr>
        <w:t>http://economictimes.indiatimes.com/articleshow/58801912.cms.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0FED2" w14:textId="77777777" w:rsidR="009E2F25" w:rsidRDefault="009E2F25" w:rsidP="00D75295">
      <w:r>
        <w:separator/>
      </w:r>
    </w:p>
  </w:footnote>
  <w:footnote w:type="continuationSeparator" w:id="0">
    <w:p w14:paraId="4838A8C7" w14:textId="77777777" w:rsidR="009E2F25" w:rsidRDefault="009E2F2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6EF76" w14:textId="535E0239" w:rsidR="00A70242" w:rsidRDefault="00A7024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81B06">
      <w:rPr>
        <w:rFonts w:ascii="Arial" w:hAnsi="Arial"/>
        <w:b/>
        <w:noProof/>
      </w:rPr>
      <w:t>10</w:t>
    </w:r>
    <w:r>
      <w:rPr>
        <w:rFonts w:ascii="Arial" w:hAnsi="Arial"/>
        <w:b/>
      </w:rPr>
      <w:fldChar w:fldCharType="end"/>
    </w:r>
    <w:r>
      <w:rPr>
        <w:rFonts w:ascii="Arial" w:hAnsi="Arial"/>
        <w:b/>
      </w:rPr>
      <w:tab/>
    </w:r>
    <w:r w:rsidR="00173677">
      <w:rPr>
        <w:rFonts w:ascii="Arial" w:hAnsi="Arial"/>
        <w:b/>
      </w:rPr>
      <w:t>9B18M032</w:t>
    </w:r>
  </w:p>
  <w:p w14:paraId="3DBD5770" w14:textId="77777777" w:rsidR="00A70242" w:rsidRPr="00C92CC4" w:rsidRDefault="00A70242">
    <w:pPr>
      <w:pStyle w:val="Header"/>
      <w:rPr>
        <w:sz w:val="18"/>
        <w:szCs w:val="18"/>
      </w:rPr>
    </w:pPr>
  </w:p>
  <w:p w14:paraId="23D027CD" w14:textId="77777777" w:rsidR="00A70242" w:rsidRPr="00C92CC4" w:rsidRDefault="00A7024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A047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2EAD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6D6772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8A015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DC062E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040924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52CFCD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70AF5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E049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32B1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2A1B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230EA"/>
    <w:multiLevelType w:val="multilevel"/>
    <w:tmpl w:val="5CE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C06BF"/>
    <w:multiLevelType w:val="hybridMultilevel"/>
    <w:tmpl w:val="F10AD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D27ED0"/>
    <w:multiLevelType w:val="hybridMultilevel"/>
    <w:tmpl w:val="B178D694"/>
    <w:lvl w:ilvl="0" w:tplc="04090001">
      <w:start w:val="1"/>
      <w:numFmt w:val="bullet"/>
      <w:lvlText w:val=""/>
      <w:lvlJc w:val="left"/>
      <w:pPr>
        <w:ind w:left="948" w:hanging="360"/>
      </w:pPr>
      <w:rPr>
        <w:rFonts w:ascii="Symbol" w:hAnsi="Symbol" w:hint="default"/>
      </w:rPr>
    </w:lvl>
    <w:lvl w:ilvl="1" w:tplc="04090003">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5" w15:restartNumberingAfterBreak="0">
    <w:nsid w:val="10105F98"/>
    <w:multiLevelType w:val="hybridMultilevel"/>
    <w:tmpl w:val="1F88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4A7BE1"/>
    <w:multiLevelType w:val="hybridMultilevel"/>
    <w:tmpl w:val="79B22AA6"/>
    <w:lvl w:ilvl="0" w:tplc="2B76B05E">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AA2293"/>
    <w:multiLevelType w:val="hybridMultilevel"/>
    <w:tmpl w:val="16D8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B93416"/>
    <w:multiLevelType w:val="hybridMultilevel"/>
    <w:tmpl w:val="E7CE73D4"/>
    <w:lvl w:ilvl="0" w:tplc="2B76B05E">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433CE0"/>
    <w:multiLevelType w:val="hybridMultilevel"/>
    <w:tmpl w:val="8CA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22618"/>
    <w:multiLevelType w:val="hybridMultilevel"/>
    <w:tmpl w:val="4F1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645522"/>
    <w:multiLevelType w:val="hybridMultilevel"/>
    <w:tmpl w:val="8A76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1571CF"/>
    <w:multiLevelType w:val="hybridMultilevel"/>
    <w:tmpl w:val="AF34F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6561B96"/>
    <w:multiLevelType w:val="multilevel"/>
    <w:tmpl w:val="F7F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04A2D"/>
    <w:multiLevelType w:val="hybridMultilevel"/>
    <w:tmpl w:val="B1D49BF8"/>
    <w:lvl w:ilvl="0" w:tplc="04090001">
      <w:start w:val="1"/>
      <w:numFmt w:val="bullet"/>
      <w:lvlText w:val=""/>
      <w:lvlJc w:val="left"/>
      <w:pPr>
        <w:ind w:left="948" w:hanging="360"/>
      </w:pPr>
      <w:rPr>
        <w:rFonts w:ascii="Symbol" w:hAnsi="Symbol" w:hint="default"/>
      </w:rPr>
    </w:lvl>
    <w:lvl w:ilvl="1" w:tplc="04090003">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32" w15:restartNumberingAfterBreak="0">
    <w:nsid w:val="47A121AD"/>
    <w:multiLevelType w:val="hybridMultilevel"/>
    <w:tmpl w:val="293C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B640C3"/>
    <w:multiLevelType w:val="hybridMultilevel"/>
    <w:tmpl w:val="5D1A0E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5" w15:restartNumberingAfterBreak="0">
    <w:nsid w:val="4FCE4F0B"/>
    <w:multiLevelType w:val="hybridMultilevel"/>
    <w:tmpl w:val="50DA49C4"/>
    <w:lvl w:ilvl="0" w:tplc="3768F1B6">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15:restartNumberingAfterBreak="0">
    <w:nsid w:val="718C5A58"/>
    <w:multiLevelType w:val="hybridMultilevel"/>
    <w:tmpl w:val="75AA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4617200"/>
    <w:multiLevelType w:val="multilevel"/>
    <w:tmpl w:val="751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B142A"/>
    <w:multiLevelType w:val="hybridMultilevel"/>
    <w:tmpl w:val="61E8A0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15:restartNumberingAfterBreak="0">
    <w:nsid w:val="7F8903F6"/>
    <w:multiLevelType w:val="hybridMultilevel"/>
    <w:tmpl w:val="45C27E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34"/>
  </w:num>
  <w:num w:numId="13">
    <w:abstractNumId w:val="17"/>
  </w:num>
  <w:num w:numId="14">
    <w:abstractNumId w:val="36"/>
  </w:num>
  <w:num w:numId="15">
    <w:abstractNumId w:val="37"/>
  </w:num>
  <w:num w:numId="16">
    <w:abstractNumId w:val="38"/>
  </w:num>
  <w:num w:numId="17">
    <w:abstractNumId w:val="23"/>
  </w:num>
  <w:num w:numId="18">
    <w:abstractNumId w:val="39"/>
  </w:num>
  <w:num w:numId="19">
    <w:abstractNumId w:val="16"/>
  </w:num>
  <w:num w:numId="20">
    <w:abstractNumId w:val="13"/>
  </w:num>
  <w:num w:numId="21">
    <w:abstractNumId w:val="41"/>
  </w:num>
  <w:num w:numId="22">
    <w:abstractNumId w:val="29"/>
  </w:num>
  <w:num w:numId="23">
    <w:abstractNumId w:val="4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2"/>
  </w:num>
  <w:num w:numId="27">
    <w:abstractNumId w:val="28"/>
  </w:num>
  <w:num w:numId="28">
    <w:abstractNumId w:val="45"/>
  </w:num>
  <w:num w:numId="29">
    <w:abstractNumId w:val="43"/>
  </w:num>
  <w:num w:numId="30">
    <w:abstractNumId w:val="32"/>
  </w:num>
  <w:num w:numId="31">
    <w:abstractNumId w:val="26"/>
  </w:num>
  <w:num w:numId="32">
    <w:abstractNumId w:val="12"/>
  </w:num>
  <w:num w:numId="33">
    <w:abstractNumId w:val="24"/>
  </w:num>
  <w:num w:numId="34">
    <w:abstractNumId w:val="21"/>
  </w:num>
  <w:num w:numId="35">
    <w:abstractNumId w:val="33"/>
  </w:num>
  <w:num w:numId="36">
    <w:abstractNumId w:val="14"/>
  </w:num>
  <w:num w:numId="37">
    <w:abstractNumId w:val="27"/>
  </w:num>
  <w:num w:numId="38">
    <w:abstractNumId w:val="40"/>
  </w:num>
  <w:num w:numId="39">
    <w:abstractNumId w:val="25"/>
  </w:num>
  <w:num w:numId="40">
    <w:abstractNumId w:val="15"/>
  </w:num>
  <w:num w:numId="41">
    <w:abstractNumId w:val="18"/>
  </w:num>
  <w:num w:numId="42">
    <w:abstractNumId w:val="31"/>
  </w:num>
  <w:num w:numId="43">
    <w:abstractNumId w:val="20"/>
  </w:num>
  <w:num w:numId="44">
    <w:abstractNumId w:val="35"/>
  </w:num>
  <w:num w:numId="45">
    <w:abstractNumId w:val="11"/>
  </w:num>
  <w:num w:numId="46">
    <w:abstractNumId w:val="42"/>
  </w:num>
  <w:num w:numId="47">
    <w:abstractNumId w:val="3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0"/>
    <w:rsid w:val="0000085A"/>
    <w:rsid w:val="000046AB"/>
    <w:rsid w:val="00013360"/>
    <w:rsid w:val="00015120"/>
    <w:rsid w:val="000216CE"/>
    <w:rsid w:val="00025DC7"/>
    <w:rsid w:val="00026486"/>
    <w:rsid w:val="00032D2E"/>
    <w:rsid w:val="00034FA8"/>
    <w:rsid w:val="0003517F"/>
    <w:rsid w:val="00044ECC"/>
    <w:rsid w:val="000531D3"/>
    <w:rsid w:val="0005461D"/>
    <w:rsid w:val="0005646B"/>
    <w:rsid w:val="00063252"/>
    <w:rsid w:val="0008102D"/>
    <w:rsid w:val="00083C71"/>
    <w:rsid w:val="000908CA"/>
    <w:rsid w:val="00094C0E"/>
    <w:rsid w:val="00096345"/>
    <w:rsid w:val="000A68ED"/>
    <w:rsid w:val="000B636E"/>
    <w:rsid w:val="000F0C22"/>
    <w:rsid w:val="000F6B09"/>
    <w:rsid w:val="000F6FDC"/>
    <w:rsid w:val="00104567"/>
    <w:rsid w:val="00112AED"/>
    <w:rsid w:val="00114976"/>
    <w:rsid w:val="0012732D"/>
    <w:rsid w:val="00130C59"/>
    <w:rsid w:val="00154FC9"/>
    <w:rsid w:val="00167013"/>
    <w:rsid w:val="00173677"/>
    <w:rsid w:val="0019241A"/>
    <w:rsid w:val="001967D8"/>
    <w:rsid w:val="001A04F0"/>
    <w:rsid w:val="001A5335"/>
    <w:rsid w:val="001A752D"/>
    <w:rsid w:val="001B2FE9"/>
    <w:rsid w:val="001B427C"/>
    <w:rsid w:val="001B6AF6"/>
    <w:rsid w:val="001C29C6"/>
    <w:rsid w:val="001E7CB5"/>
    <w:rsid w:val="001F2172"/>
    <w:rsid w:val="001F32BC"/>
    <w:rsid w:val="00201D77"/>
    <w:rsid w:val="00203AA1"/>
    <w:rsid w:val="00213E98"/>
    <w:rsid w:val="00216E70"/>
    <w:rsid w:val="002241E0"/>
    <w:rsid w:val="00233BD0"/>
    <w:rsid w:val="002452FF"/>
    <w:rsid w:val="00267781"/>
    <w:rsid w:val="00275DCC"/>
    <w:rsid w:val="00290292"/>
    <w:rsid w:val="002B2FB2"/>
    <w:rsid w:val="002D2A2B"/>
    <w:rsid w:val="002E31C8"/>
    <w:rsid w:val="002E32F0"/>
    <w:rsid w:val="002F11B0"/>
    <w:rsid w:val="002F3E1B"/>
    <w:rsid w:val="002F460C"/>
    <w:rsid w:val="002F48D6"/>
    <w:rsid w:val="00332926"/>
    <w:rsid w:val="00341EF0"/>
    <w:rsid w:val="00354899"/>
    <w:rsid w:val="00355FD6"/>
    <w:rsid w:val="00361C8E"/>
    <w:rsid w:val="00364A5C"/>
    <w:rsid w:val="00372F3F"/>
    <w:rsid w:val="00373FB1"/>
    <w:rsid w:val="003741D0"/>
    <w:rsid w:val="003A2093"/>
    <w:rsid w:val="003A57DB"/>
    <w:rsid w:val="003A5B70"/>
    <w:rsid w:val="003B30D8"/>
    <w:rsid w:val="003B3D71"/>
    <w:rsid w:val="003B7EF2"/>
    <w:rsid w:val="003C0FB4"/>
    <w:rsid w:val="003C3FA4"/>
    <w:rsid w:val="003C473D"/>
    <w:rsid w:val="003E12E0"/>
    <w:rsid w:val="003F2B0C"/>
    <w:rsid w:val="003F5565"/>
    <w:rsid w:val="00410E64"/>
    <w:rsid w:val="004144F7"/>
    <w:rsid w:val="004221E4"/>
    <w:rsid w:val="00444311"/>
    <w:rsid w:val="00471088"/>
    <w:rsid w:val="0047251C"/>
    <w:rsid w:val="004725FC"/>
    <w:rsid w:val="00473F55"/>
    <w:rsid w:val="00481B06"/>
    <w:rsid w:val="00483AF9"/>
    <w:rsid w:val="00483D84"/>
    <w:rsid w:val="004A4B80"/>
    <w:rsid w:val="004A660C"/>
    <w:rsid w:val="004B1CCB"/>
    <w:rsid w:val="004C286F"/>
    <w:rsid w:val="004D0373"/>
    <w:rsid w:val="004D73A5"/>
    <w:rsid w:val="004E20F3"/>
    <w:rsid w:val="004E36BC"/>
    <w:rsid w:val="00523213"/>
    <w:rsid w:val="00524A05"/>
    <w:rsid w:val="00532CF5"/>
    <w:rsid w:val="0053371E"/>
    <w:rsid w:val="0053795C"/>
    <w:rsid w:val="005528CB"/>
    <w:rsid w:val="00554523"/>
    <w:rsid w:val="00566771"/>
    <w:rsid w:val="005742EF"/>
    <w:rsid w:val="00581E2E"/>
    <w:rsid w:val="00584F15"/>
    <w:rsid w:val="00586AB4"/>
    <w:rsid w:val="005879A7"/>
    <w:rsid w:val="00595689"/>
    <w:rsid w:val="005A38B1"/>
    <w:rsid w:val="005A7980"/>
    <w:rsid w:val="005B25C6"/>
    <w:rsid w:val="005B3C2D"/>
    <w:rsid w:val="005B4DF7"/>
    <w:rsid w:val="005D0BA6"/>
    <w:rsid w:val="00600177"/>
    <w:rsid w:val="00610A76"/>
    <w:rsid w:val="00610B11"/>
    <w:rsid w:val="006133C3"/>
    <w:rsid w:val="006163F7"/>
    <w:rsid w:val="0061792F"/>
    <w:rsid w:val="00625C04"/>
    <w:rsid w:val="0064167B"/>
    <w:rsid w:val="00643227"/>
    <w:rsid w:val="00652606"/>
    <w:rsid w:val="00661D3F"/>
    <w:rsid w:val="006668B9"/>
    <w:rsid w:val="00680998"/>
    <w:rsid w:val="00682754"/>
    <w:rsid w:val="00682887"/>
    <w:rsid w:val="006946BF"/>
    <w:rsid w:val="0069589F"/>
    <w:rsid w:val="006A58A9"/>
    <w:rsid w:val="006A606D"/>
    <w:rsid w:val="006B7B5D"/>
    <w:rsid w:val="006B7F7A"/>
    <w:rsid w:val="006C0371"/>
    <w:rsid w:val="006C08B6"/>
    <w:rsid w:val="006C0B1A"/>
    <w:rsid w:val="006C4384"/>
    <w:rsid w:val="006C6065"/>
    <w:rsid w:val="006C7F9F"/>
    <w:rsid w:val="006D5BD1"/>
    <w:rsid w:val="006E1429"/>
    <w:rsid w:val="006E2F6D"/>
    <w:rsid w:val="006E58F6"/>
    <w:rsid w:val="006E77E1"/>
    <w:rsid w:val="006F131D"/>
    <w:rsid w:val="006F1D9E"/>
    <w:rsid w:val="00701630"/>
    <w:rsid w:val="00707B6E"/>
    <w:rsid w:val="00722461"/>
    <w:rsid w:val="00723D48"/>
    <w:rsid w:val="0072582F"/>
    <w:rsid w:val="007326F7"/>
    <w:rsid w:val="0073422E"/>
    <w:rsid w:val="00752BCD"/>
    <w:rsid w:val="00766DA1"/>
    <w:rsid w:val="00771B50"/>
    <w:rsid w:val="007866A6"/>
    <w:rsid w:val="00786A78"/>
    <w:rsid w:val="00792C07"/>
    <w:rsid w:val="007A130D"/>
    <w:rsid w:val="007A72DD"/>
    <w:rsid w:val="007B1BD1"/>
    <w:rsid w:val="007B491B"/>
    <w:rsid w:val="007C5EC6"/>
    <w:rsid w:val="007C5FBE"/>
    <w:rsid w:val="007C6D0B"/>
    <w:rsid w:val="007D4102"/>
    <w:rsid w:val="007E5921"/>
    <w:rsid w:val="00802E97"/>
    <w:rsid w:val="0080330D"/>
    <w:rsid w:val="008146E6"/>
    <w:rsid w:val="00821FFC"/>
    <w:rsid w:val="00823A0F"/>
    <w:rsid w:val="00824F98"/>
    <w:rsid w:val="008271CA"/>
    <w:rsid w:val="008467D5"/>
    <w:rsid w:val="00856D9F"/>
    <w:rsid w:val="00866F46"/>
    <w:rsid w:val="00866F6D"/>
    <w:rsid w:val="00870B8D"/>
    <w:rsid w:val="0089257F"/>
    <w:rsid w:val="008A4DC4"/>
    <w:rsid w:val="008B2F3F"/>
    <w:rsid w:val="008B433F"/>
    <w:rsid w:val="009067A4"/>
    <w:rsid w:val="00906F6A"/>
    <w:rsid w:val="0090722E"/>
    <w:rsid w:val="00917A2E"/>
    <w:rsid w:val="00923CE0"/>
    <w:rsid w:val="00933165"/>
    <w:rsid w:val="009340DB"/>
    <w:rsid w:val="0093617E"/>
    <w:rsid w:val="00943D79"/>
    <w:rsid w:val="00945F9E"/>
    <w:rsid w:val="00953146"/>
    <w:rsid w:val="009644A8"/>
    <w:rsid w:val="00972498"/>
    <w:rsid w:val="00974CC6"/>
    <w:rsid w:val="00976AD4"/>
    <w:rsid w:val="00980F10"/>
    <w:rsid w:val="00995F42"/>
    <w:rsid w:val="009A312F"/>
    <w:rsid w:val="009A5348"/>
    <w:rsid w:val="009A67BB"/>
    <w:rsid w:val="009C76D5"/>
    <w:rsid w:val="009D2AA5"/>
    <w:rsid w:val="009D5F74"/>
    <w:rsid w:val="009E0490"/>
    <w:rsid w:val="009E2F25"/>
    <w:rsid w:val="009E7E2D"/>
    <w:rsid w:val="009F21F3"/>
    <w:rsid w:val="009F331B"/>
    <w:rsid w:val="009F7AA4"/>
    <w:rsid w:val="00A07447"/>
    <w:rsid w:val="00A14C31"/>
    <w:rsid w:val="00A1533D"/>
    <w:rsid w:val="00A255BD"/>
    <w:rsid w:val="00A367F0"/>
    <w:rsid w:val="00A559DB"/>
    <w:rsid w:val="00A5760D"/>
    <w:rsid w:val="00A70242"/>
    <w:rsid w:val="00A77DB5"/>
    <w:rsid w:val="00A83514"/>
    <w:rsid w:val="00A9042B"/>
    <w:rsid w:val="00AC40F0"/>
    <w:rsid w:val="00AD23CC"/>
    <w:rsid w:val="00AD47B4"/>
    <w:rsid w:val="00AF35FC"/>
    <w:rsid w:val="00AF3705"/>
    <w:rsid w:val="00AF6D19"/>
    <w:rsid w:val="00B031AF"/>
    <w:rsid w:val="00B03639"/>
    <w:rsid w:val="00B0652A"/>
    <w:rsid w:val="00B0720D"/>
    <w:rsid w:val="00B27F15"/>
    <w:rsid w:val="00B35E12"/>
    <w:rsid w:val="00B3757D"/>
    <w:rsid w:val="00B40937"/>
    <w:rsid w:val="00B40E30"/>
    <w:rsid w:val="00B423EF"/>
    <w:rsid w:val="00B42E6F"/>
    <w:rsid w:val="00B44D12"/>
    <w:rsid w:val="00B453DE"/>
    <w:rsid w:val="00B4742F"/>
    <w:rsid w:val="00B87125"/>
    <w:rsid w:val="00B901F9"/>
    <w:rsid w:val="00BA1759"/>
    <w:rsid w:val="00BB3AAA"/>
    <w:rsid w:val="00BC2F4D"/>
    <w:rsid w:val="00BD6EFB"/>
    <w:rsid w:val="00C14D16"/>
    <w:rsid w:val="00C15BE2"/>
    <w:rsid w:val="00C22219"/>
    <w:rsid w:val="00C2388B"/>
    <w:rsid w:val="00C3447F"/>
    <w:rsid w:val="00C401BE"/>
    <w:rsid w:val="00C51DBE"/>
    <w:rsid w:val="00C752FA"/>
    <w:rsid w:val="00C81491"/>
    <w:rsid w:val="00C81676"/>
    <w:rsid w:val="00C82D1F"/>
    <w:rsid w:val="00C85ED2"/>
    <w:rsid w:val="00C91F50"/>
    <w:rsid w:val="00C92CC4"/>
    <w:rsid w:val="00C94D59"/>
    <w:rsid w:val="00CA0AFB"/>
    <w:rsid w:val="00CA2CE1"/>
    <w:rsid w:val="00CA3976"/>
    <w:rsid w:val="00CA3D37"/>
    <w:rsid w:val="00CA757B"/>
    <w:rsid w:val="00CB1E6D"/>
    <w:rsid w:val="00CB4B1B"/>
    <w:rsid w:val="00CB6B09"/>
    <w:rsid w:val="00CC1787"/>
    <w:rsid w:val="00CC182C"/>
    <w:rsid w:val="00CD0824"/>
    <w:rsid w:val="00CD2908"/>
    <w:rsid w:val="00CE7AEC"/>
    <w:rsid w:val="00CF1EAF"/>
    <w:rsid w:val="00CF535E"/>
    <w:rsid w:val="00D03A82"/>
    <w:rsid w:val="00D04E0C"/>
    <w:rsid w:val="00D07D73"/>
    <w:rsid w:val="00D15344"/>
    <w:rsid w:val="00D1777D"/>
    <w:rsid w:val="00D221F5"/>
    <w:rsid w:val="00D274D5"/>
    <w:rsid w:val="00D31BEC"/>
    <w:rsid w:val="00D35549"/>
    <w:rsid w:val="00D41F18"/>
    <w:rsid w:val="00D4513F"/>
    <w:rsid w:val="00D45EE0"/>
    <w:rsid w:val="00D46DD5"/>
    <w:rsid w:val="00D5179A"/>
    <w:rsid w:val="00D54BDC"/>
    <w:rsid w:val="00D63150"/>
    <w:rsid w:val="00D64A32"/>
    <w:rsid w:val="00D64EFC"/>
    <w:rsid w:val="00D75295"/>
    <w:rsid w:val="00D76CE9"/>
    <w:rsid w:val="00D87E70"/>
    <w:rsid w:val="00D97F12"/>
    <w:rsid w:val="00DA3351"/>
    <w:rsid w:val="00DB2611"/>
    <w:rsid w:val="00DB42E7"/>
    <w:rsid w:val="00DE534D"/>
    <w:rsid w:val="00DE7620"/>
    <w:rsid w:val="00DF32C2"/>
    <w:rsid w:val="00E00396"/>
    <w:rsid w:val="00E01179"/>
    <w:rsid w:val="00E0740B"/>
    <w:rsid w:val="00E26EEF"/>
    <w:rsid w:val="00E35302"/>
    <w:rsid w:val="00E412C7"/>
    <w:rsid w:val="00E41AA4"/>
    <w:rsid w:val="00E471A7"/>
    <w:rsid w:val="00E635CF"/>
    <w:rsid w:val="00E647EB"/>
    <w:rsid w:val="00E769F6"/>
    <w:rsid w:val="00E84DC6"/>
    <w:rsid w:val="00E866C0"/>
    <w:rsid w:val="00EA2346"/>
    <w:rsid w:val="00EB5410"/>
    <w:rsid w:val="00EC5D6A"/>
    <w:rsid w:val="00EC6E0A"/>
    <w:rsid w:val="00ED01CD"/>
    <w:rsid w:val="00ED05BB"/>
    <w:rsid w:val="00ED4E18"/>
    <w:rsid w:val="00ED6050"/>
    <w:rsid w:val="00ED69EB"/>
    <w:rsid w:val="00EE1F37"/>
    <w:rsid w:val="00EF0100"/>
    <w:rsid w:val="00F00153"/>
    <w:rsid w:val="00F0159C"/>
    <w:rsid w:val="00F054E1"/>
    <w:rsid w:val="00F10364"/>
    <w:rsid w:val="00F105B7"/>
    <w:rsid w:val="00F117BC"/>
    <w:rsid w:val="00F11E96"/>
    <w:rsid w:val="00F13166"/>
    <w:rsid w:val="00F17A21"/>
    <w:rsid w:val="00F50E91"/>
    <w:rsid w:val="00F52B3C"/>
    <w:rsid w:val="00F57D29"/>
    <w:rsid w:val="00F753F3"/>
    <w:rsid w:val="00F75835"/>
    <w:rsid w:val="00F84A83"/>
    <w:rsid w:val="00F92A99"/>
    <w:rsid w:val="00F96201"/>
    <w:rsid w:val="00FA5ECD"/>
    <w:rsid w:val="00FC30E9"/>
    <w:rsid w:val="00FD0B18"/>
    <w:rsid w:val="00FD0F82"/>
    <w:rsid w:val="00FE714F"/>
    <w:rsid w:val="00FF5AE1"/>
    <w:rsid w:val="00FF5ED0"/>
    <w:rsid w:val="00FF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686549"/>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10E64"/>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rsid w:val="00410E64"/>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rsid w:val="00410E64"/>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iPriority w:val="9"/>
    <w:unhideWhenUsed/>
    <w:rsid w:val="00410E64"/>
    <w:pPr>
      <w:keepNext/>
      <w:keepLines/>
      <w:spacing w:before="200"/>
      <w:outlineLvl w:val="3"/>
    </w:pPr>
    <w:rPr>
      <w:rFonts w:ascii="Cambria" w:eastAsia="MS Gothic" w:hAnsi="Cambria"/>
      <w:b/>
      <w:bCs/>
      <w:i/>
      <w:iCs/>
      <w:color w:val="4F81BD"/>
    </w:rPr>
  </w:style>
  <w:style w:type="paragraph" w:styleId="Heading7">
    <w:name w:val="heading 7"/>
    <w:basedOn w:val="Normal"/>
    <w:next w:val="Normal"/>
    <w:link w:val="Heading7Char"/>
    <w:rsid w:val="00410E64"/>
    <w:pPr>
      <w:keepNext/>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473F55"/>
    <w:pPr>
      <w:jc w:val="both"/>
    </w:pPr>
    <w:rPr>
      <w:rFonts w:ascii="Arial" w:hAnsi="Arial" w:cs="Arial"/>
      <w:sz w:val="17"/>
      <w:szCs w:val="17"/>
    </w:rPr>
  </w:style>
  <w:style w:type="character" w:customStyle="1" w:styleId="FootnoteChar">
    <w:name w:val="Footnote Char"/>
    <w:basedOn w:val="FootnoteTextChar"/>
    <w:link w:val="Footnote"/>
    <w:rsid w:val="00473F5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rsid w:val="00FD0F82"/>
    <w:rPr>
      <w:i/>
      <w:iCs/>
    </w:rPr>
  </w:style>
  <w:style w:type="character" w:styleId="Strong">
    <w:name w:val="Strong"/>
    <w:basedOn w:val="DefaultParagraphFont"/>
    <w:uiPriority w:val="22"/>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BB3AAA"/>
    <w:rPr>
      <w:b w:val="0"/>
      <w:color w:val="auto"/>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410E64"/>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10E64"/>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10E64"/>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uiPriority w:val="9"/>
    <w:rsid w:val="00410E64"/>
    <w:rPr>
      <w:rFonts w:ascii="Cambria" w:eastAsia="MS Gothic" w:hAnsi="Cambria" w:cs="Times New Roman"/>
      <w:b/>
      <w:bCs/>
      <w:i/>
      <w:iCs/>
      <w:color w:val="4F81BD"/>
      <w:sz w:val="20"/>
      <w:szCs w:val="20"/>
    </w:rPr>
  </w:style>
  <w:style w:type="character" w:customStyle="1" w:styleId="Heading7Char">
    <w:name w:val="Heading 7 Char"/>
    <w:basedOn w:val="DefaultParagraphFont"/>
    <w:link w:val="Heading7"/>
    <w:rsid w:val="00410E64"/>
    <w:rPr>
      <w:rFonts w:ascii="Times New Roman" w:eastAsia="Times New Roman" w:hAnsi="Times New Roman" w:cs="Times New Roman"/>
      <w:b/>
      <w:bCs/>
      <w:sz w:val="24"/>
      <w:szCs w:val="24"/>
      <w:lang w:val="en-GB"/>
    </w:rPr>
  </w:style>
  <w:style w:type="character" w:styleId="IntenseReference">
    <w:name w:val="Intense Reference"/>
    <w:uiPriority w:val="32"/>
    <w:rsid w:val="00410E64"/>
    <w:rPr>
      <w:b/>
      <w:bCs/>
      <w:smallCaps/>
      <w:color w:val="C0504D"/>
      <w:spacing w:val="5"/>
      <w:u w:val="single"/>
    </w:rPr>
  </w:style>
  <w:style w:type="paragraph" w:styleId="NoSpacing">
    <w:name w:val="No Spacing"/>
    <w:link w:val="NoSpacingChar"/>
    <w:uiPriority w:val="1"/>
    <w:rsid w:val="00410E64"/>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10E64"/>
    <w:rPr>
      <w:rFonts w:ascii="Calibri" w:eastAsia="Calibri" w:hAnsi="Calibri" w:cs="Times New Roman"/>
      <w:lang w:val="en-IN"/>
    </w:rPr>
  </w:style>
  <w:style w:type="character" w:styleId="FollowedHyperlink">
    <w:name w:val="FollowedHyperlink"/>
    <w:uiPriority w:val="99"/>
    <w:semiHidden/>
    <w:unhideWhenUsed/>
    <w:rsid w:val="00410E64"/>
    <w:rPr>
      <w:color w:val="800080"/>
      <w:u w:val="single"/>
    </w:rPr>
  </w:style>
  <w:style w:type="character" w:customStyle="1" w:styleId="Mention1">
    <w:name w:val="Mention1"/>
    <w:uiPriority w:val="99"/>
    <w:semiHidden/>
    <w:unhideWhenUsed/>
    <w:rsid w:val="00410E64"/>
    <w:rPr>
      <w:color w:val="2B579A"/>
      <w:shd w:val="clear" w:color="auto" w:fill="E6E6E6"/>
    </w:rPr>
  </w:style>
  <w:style w:type="character" w:customStyle="1" w:styleId="UnresolvedMention1">
    <w:name w:val="Unresolved Mention1"/>
    <w:uiPriority w:val="99"/>
    <w:semiHidden/>
    <w:unhideWhenUsed/>
    <w:rsid w:val="00410E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8B825-88FE-4C92-A5C8-8FA5C831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2018-02-14T22:08:00Z</cp:lastPrinted>
  <dcterms:created xsi:type="dcterms:W3CDTF">2018-02-23T21:11:00Z</dcterms:created>
  <dcterms:modified xsi:type="dcterms:W3CDTF">2018-03-09T21:18:00Z</dcterms:modified>
</cp:coreProperties>
</file>