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C118C" w14:textId="568D4E6D" w:rsidR="008467D5" w:rsidRPr="00A92D75" w:rsidRDefault="004B267E" w:rsidP="00013360">
      <w:pPr>
        <w:tabs>
          <w:tab w:val="left" w:pos="-1440"/>
          <w:tab w:val="left" w:pos="-720"/>
          <w:tab w:val="left" w:pos="1"/>
          <w:tab w:val="right" w:pos="9360"/>
        </w:tabs>
        <w:jc w:val="both"/>
        <w:rPr>
          <w:rFonts w:ascii="Arial" w:hAnsi="Arial"/>
          <w:sz w:val="24"/>
          <w:lang w:val="en-GB"/>
        </w:rPr>
      </w:pPr>
      <w:r>
        <w:rPr>
          <w:rFonts w:ascii="Arial" w:hAnsi="Arial"/>
          <w:b/>
          <w:noProof/>
          <w:sz w:val="24"/>
        </w:rPr>
        <w:drawing>
          <wp:inline distT="0" distB="0" distL="0" distR="0" wp14:anchorId="06069B78" wp14:editId="46870556">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5D3B49B" w14:textId="77777777" w:rsidR="00856D9F" w:rsidRPr="004B267E"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25C44234" w14:textId="3A56C19B" w:rsidR="00D75295" w:rsidRPr="00A92D75" w:rsidRDefault="00E91210" w:rsidP="00F105B7">
      <w:pPr>
        <w:pStyle w:val="ProductNumber"/>
        <w:rPr>
          <w:lang w:val="en-GB"/>
        </w:rPr>
      </w:pPr>
      <w:r>
        <w:rPr>
          <w:lang w:val="en-GB"/>
        </w:rPr>
        <w:t>9B18</w:t>
      </w:r>
      <w:r w:rsidR="00EF4DBA">
        <w:rPr>
          <w:lang w:val="en-GB"/>
        </w:rPr>
        <w:t>M033</w:t>
      </w:r>
    </w:p>
    <w:p w14:paraId="752C7897" w14:textId="77777777" w:rsidR="00D75295" w:rsidRPr="00A92D75" w:rsidRDefault="00D75295" w:rsidP="00D75295">
      <w:pPr>
        <w:jc w:val="right"/>
        <w:rPr>
          <w:rFonts w:ascii="Arial" w:hAnsi="Arial"/>
          <w:b/>
          <w:sz w:val="28"/>
          <w:szCs w:val="28"/>
          <w:lang w:val="en-GB"/>
        </w:rPr>
      </w:pPr>
    </w:p>
    <w:p w14:paraId="461B1F6F" w14:textId="77777777" w:rsidR="00866F6D" w:rsidRPr="00A92D75" w:rsidRDefault="00866F6D" w:rsidP="00D75295">
      <w:pPr>
        <w:jc w:val="right"/>
        <w:rPr>
          <w:rFonts w:ascii="Arial" w:hAnsi="Arial"/>
          <w:b/>
          <w:sz w:val="28"/>
          <w:szCs w:val="28"/>
          <w:lang w:val="en-GB"/>
        </w:rPr>
      </w:pPr>
    </w:p>
    <w:p w14:paraId="1991B26E" w14:textId="3EA81CFF" w:rsidR="00013360" w:rsidRPr="00A92D75" w:rsidRDefault="00923475" w:rsidP="00013360">
      <w:pPr>
        <w:pStyle w:val="CaseTitle"/>
        <w:spacing w:after="0" w:line="240" w:lineRule="auto"/>
        <w:rPr>
          <w:lang w:val="en-GB"/>
        </w:rPr>
      </w:pPr>
      <w:r w:rsidRPr="00A92D75">
        <w:rPr>
          <w:lang w:val="en-GB"/>
        </w:rPr>
        <w:t>Tesla: Testing a Business Model at Its (R)evolutionary Best</w:t>
      </w:r>
      <w:r w:rsidR="00C74511">
        <w:rPr>
          <w:rStyle w:val="EndnoteReference"/>
          <w:lang w:val="en-GB"/>
        </w:rPr>
        <w:endnoteReference w:id="1"/>
      </w:r>
    </w:p>
    <w:p w14:paraId="3AF95570" w14:textId="77777777" w:rsidR="00CA3976" w:rsidRPr="00A92D75" w:rsidRDefault="00CA3976" w:rsidP="00013360">
      <w:pPr>
        <w:pStyle w:val="CaseTitle"/>
        <w:spacing w:after="0" w:line="240" w:lineRule="auto"/>
        <w:rPr>
          <w:sz w:val="20"/>
          <w:szCs w:val="20"/>
          <w:lang w:val="en-GB"/>
        </w:rPr>
      </w:pPr>
    </w:p>
    <w:p w14:paraId="0A4F84F4" w14:textId="77777777" w:rsidR="00013360" w:rsidRPr="00A92D75" w:rsidRDefault="00013360" w:rsidP="00013360">
      <w:pPr>
        <w:pStyle w:val="CaseTitle"/>
        <w:spacing w:after="0" w:line="240" w:lineRule="auto"/>
        <w:rPr>
          <w:sz w:val="20"/>
          <w:szCs w:val="20"/>
          <w:lang w:val="en-GB"/>
        </w:rPr>
      </w:pPr>
    </w:p>
    <w:p w14:paraId="27AC4142" w14:textId="77777777" w:rsidR="00013360" w:rsidRPr="00A92D75" w:rsidRDefault="00923475" w:rsidP="00104567">
      <w:pPr>
        <w:pStyle w:val="StyleCopyrightStatementAfter0ptBottomSinglesolidline1"/>
        <w:rPr>
          <w:lang w:val="en-GB"/>
        </w:rPr>
      </w:pPr>
      <w:r w:rsidRPr="00A92D75">
        <w:rPr>
          <w:lang w:val="en-GB"/>
        </w:rPr>
        <w:t>Sayan Chatterjee and Dennis Terez</w:t>
      </w:r>
      <w:r w:rsidR="007E5921" w:rsidRPr="00A92D75">
        <w:rPr>
          <w:lang w:val="en-GB"/>
        </w:rPr>
        <w:t xml:space="preserve"> wrote this case sol</w:t>
      </w:r>
      <w:r w:rsidR="00D75295" w:rsidRPr="00A92D75">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165058CC" w14:textId="77777777" w:rsidR="00013360" w:rsidRPr="00A92D75" w:rsidRDefault="00013360" w:rsidP="00104567">
      <w:pPr>
        <w:pStyle w:val="StyleCopyrightStatementAfter0ptBottomSinglesolidline1"/>
        <w:rPr>
          <w:lang w:val="en-GB"/>
        </w:rPr>
      </w:pPr>
    </w:p>
    <w:p w14:paraId="241B51F5" w14:textId="77777777" w:rsidR="004B267E" w:rsidRDefault="004B267E" w:rsidP="004B267E">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4723D89A" w14:textId="77777777" w:rsidR="004B267E" w:rsidRDefault="004B267E" w:rsidP="004B267E">
      <w:pPr>
        <w:pStyle w:val="StyleCopyrightStatementAfter0ptBottomSinglesolidline1"/>
        <w:pBdr>
          <w:top w:val="none" w:sz="0" w:space="0" w:color="auto"/>
        </w:pBdr>
      </w:pPr>
    </w:p>
    <w:p w14:paraId="62DA727C" w14:textId="336540C7" w:rsidR="003B7EF2" w:rsidRPr="00A92D75" w:rsidRDefault="004B267E" w:rsidP="004B267E">
      <w:pPr>
        <w:pStyle w:val="StyleStyleCopyrightStatementAfter0ptBottomSinglesolid"/>
        <w:rPr>
          <w:lang w:val="en-GB"/>
        </w:rPr>
      </w:pPr>
      <w:r>
        <w:t>Copyright © 2018, Ivey Business School Foundation</w:t>
      </w:r>
      <w:r>
        <w:tab/>
        <w:t>Version: 2018-</w:t>
      </w:r>
      <w:r w:rsidR="00FE0727">
        <w:t>03-02</w:t>
      </w:r>
    </w:p>
    <w:p w14:paraId="7166E2A0" w14:textId="77777777" w:rsidR="003B7EF2" w:rsidRPr="00A92D75" w:rsidRDefault="003B7EF2" w:rsidP="00104567">
      <w:pPr>
        <w:pStyle w:val="StyleCopyrightStatementAfter0ptBottomSinglesolidline1"/>
        <w:rPr>
          <w:rFonts w:ascii="Times New Roman" w:hAnsi="Times New Roman"/>
          <w:sz w:val="20"/>
          <w:lang w:val="en-GB"/>
        </w:rPr>
      </w:pPr>
    </w:p>
    <w:p w14:paraId="1310FD54" w14:textId="77777777" w:rsidR="003B7EF2" w:rsidRPr="00A92D75" w:rsidRDefault="003B7EF2" w:rsidP="006B7F7A">
      <w:pPr>
        <w:pStyle w:val="BodyTextMain"/>
        <w:rPr>
          <w:lang w:val="en-GB"/>
        </w:rPr>
      </w:pPr>
    </w:p>
    <w:p w14:paraId="0DD333E5" w14:textId="261D7C30" w:rsidR="00923475" w:rsidRPr="00A92D75" w:rsidRDefault="00923475" w:rsidP="00923475">
      <w:pPr>
        <w:pStyle w:val="BodyTextMain"/>
        <w:rPr>
          <w:lang w:val="en-GB"/>
        </w:rPr>
      </w:pPr>
      <w:r w:rsidRPr="00A92D75">
        <w:rPr>
          <w:lang w:val="en-GB"/>
        </w:rPr>
        <w:t>Tesla</w:t>
      </w:r>
      <w:r w:rsidR="00C74511" w:rsidRPr="00C74511">
        <w:rPr>
          <w:spacing w:val="-2"/>
          <w:lang w:val="en-GB"/>
        </w:rPr>
        <w:t xml:space="preserve"> </w:t>
      </w:r>
      <w:r w:rsidR="00C74511" w:rsidRPr="00A92D75">
        <w:rPr>
          <w:spacing w:val="-2"/>
          <w:lang w:val="en-GB"/>
        </w:rPr>
        <w:t>Motors, Inc.</w:t>
      </w:r>
      <w:r w:rsidR="00C74511">
        <w:rPr>
          <w:spacing w:val="-2"/>
          <w:lang w:val="en-GB"/>
        </w:rPr>
        <w:t xml:space="preserve"> (Tesla)</w:t>
      </w:r>
      <w:r w:rsidRPr="00A92D75">
        <w:rPr>
          <w:lang w:val="en-GB"/>
        </w:rPr>
        <w:t xml:space="preserve">, the electric car company, unveiled </w:t>
      </w:r>
      <w:r w:rsidR="00C33FD2">
        <w:rPr>
          <w:lang w:val="en-GB"/>
        </w:rPr>
        <w:t>its</w:t>
      </w:r>
      <w:r w:rsidR="00C33FD2" w:rsidRPr="00A92D75">
        <w:rPr>
          <w:lang w:val="en-GB"/>
        </w:rPr>
        <w:t xml:space="preserve"> </w:t>
      </w:r>
      <w:r w:rsidRPr="00A92D75">
        <w:rPr>
          <w:lang w:val="en-GB"/>
        </w:rPr>
        <w:t xml:space="preserve">Model 3 in late July 2017 </w:t>
      </w:r>
      <w:r w:rsidR="00A92D75">
        <w:rPr>
          <w:lang w:val="en-GB"/>
        </w:rPr>
        <w:t>as its stock price</w:t>
      </w:r>
      <w:r w:rsidR="00A92D75" w:rsidRPr="00A92D75">
        <w:rPr>
          <w:lang w:val="en-GB"/>
        </w:rPr>
        <w:t xml:space="preserve"> </w:t>
      </w:r>
      <w:r w:rsidRPr="00A92D75">
        <w:rPr>
          <w:lang w:val="en-GB"/>
        </w:rPr>
        <w:t xml:space="preserve">continued </w:t>
      </w:r>
      <w:r w:rsidR="00A92D75">
        <w:rPr>
          <w:lang w:val="en-GB"/>
        </w:rPr>
        <w:t xml:space="preserve">to </w:t>
      </w:r>
      <w:r w:rsidR="00A92D75" w:rsidRPr="00A92D75">
        <w:rPr>
          <w:lang w:val="en-GB"/>
        </w:rPr>
        <w:t>appreciat</w:t>
      </w:r>
      <w:r w:rsidR="00A92D75">
        <w:rPr>
          <w:lang w:val="en-GB"/>
        </w:rPr>
        <w:t>e</w:t>
      </w:r>
      <w:r w:rsidRPr="00A92D75">
        <w:rPr>
          <w:lang w:val="en-GB"/>
        </w:rPr>
        <w:t>.</w:t>
      </w:r>
      <w:r w:rsidR="00A92D75" w:rsidRPr="00A92D75">
        <w:rPr>
          <w:lang w:val="en-GB"/>
        </w:rPr>
        <w:t xml:space="preserve"> </w:t>
      </w:r>
      <w:r w:rsidRPr="00A92D75">
        <w:rPr>
          <w:lang w:val="en-GB"/>
        </w:rPr>
        <w:t xml:space="preserve">The Model 3 was priced to sell to the mass market and </w:t>
      </w:r>
      <w:r w:rsidR="00A92D75">
        <w:rPr>
          <w:lang w:val="en-GB"/>
        </w:rPr>
        <w:t xml:space="preserve">to </w:t>
      </w:r>
      <w:r w:rsidRPr="00A92D75">
        <w:rPr>
          <w:lang w:val="en-GB"/>
        </w:rPr>
        <w:t xml:space="preserve">potentially compete with the mass-market leaders such as Toyota. The stock market had also </w:t>
      </w:r>
      <w:r w:rsidR="00C33FD2">
        <w:rPr>
          <w:lang w:val="en-GB"/>
        </w:rPr>
        <w:t>respond</w:t>
      </w:r>
      <w:r w:rsidR="00C33FD2" w:rsidRPr="00A92D75">
        <w:rPr>
          <w:lang w:val="en-GB"/>
        </w:rPr>
        <w:t xml:space="preserve">ed </w:t>
      </w:r>
      <w:r w:rsidR="00C33FD2">
        <w:rPr>
          <w:lang w:val="en-GB"/>
        </w:rPr>
        <w:t xml:space="preserve">favourably to </w:t>
      </w:r>
      <w:r w:rsidRPr="00A92D75">
        <w:rPr>
          <w:lang w:val="en-GB"/>
        </w:rPr>
        <w:t xml:space="preserve">Tesla’s decision </w:t>
      </w:r>
      <w:r w:rsidR="00C33FD2">
        <w:rPr>
          <w:lang w:val="en-GB"/>
        </w:rPr>
        <w:t xml:space="preserve">in 2016 </w:t>
      </w:r>
      <w:r w:rsidRPr="00A92D75">
        <w:rPr>
          <w:lang w:val="en-GB"/>
        </w:rPr>
        <w:t>to acquire SolarCity</w:t>
      </w:r>
      <w:r w:rsidR="00A92D75">
        <w:rPr>
          <w:lang w:val="en-GB"/>
        </w:rPr>
        <w:t>,</w:t>
      </w:r>
      <w:r w:rsidRPr="00A92D75">
        <w:rPr>
          <w:lang w:val="en-GB"/>
        </w:rPr>
        <w:t xml:space="preserve"> a manufacturer of solar cells</w:t>
      </w:r>
      <w:r w:rsidR="00A92D75">
        <w:rPr>
          <w:lang w:val="en-GB"/>
        </w:rPr>
        <w:t>,</w:t>
      </w:r>
      <w:r w:rsidRPr="00A92D75">
        <w:rPr>
          <w:lang w:val="en-GB"/>
        </w:rPr>
        <w:t xml:space="preserve"> </w:t>
      </w:r>
      <w:r w:rsidR="00A92D75">
        <w:rPr>
          <w:lang w:val="en-GB"/>
        </w:rPr>
        <w:t>and its</w:t>
      </w:r>
      <w:r w:rsidRPr="00A92D75">
        <w:rPr>
          <w:lang w:val="en-GB"/>
        </w:rPr>
        <w:t xml:space="preserve"> decision to build the Gigafactory</w:t>
      </w:r>
      <w:r w:rsidR="00A92D75">
        <w:rPr>
          <w:lang w:val="en-GB"/>
        </w:rPr>
        <w:t>,</w:t>
      </w:r>
      <w:r w:rsidRPr="00A92D75">
        <w:rPr>
          <w:lang w:val="en-GB"/>
        </w:rPr>
        <w:t xml:space="preserve"> the world’s largest lithium battery plant.</w:t>
      </w:r>
      <w:r w:rsidR="00A92D75" w:rsidRPr="00A92D75">
        <w:rPr>
          <w:lang w:val="en-GB"/>
        </w:rPr>
        <w:t xml:space="preserve"> </w:t>
      </w:r>
      <w:r w:rsidRPr="00A92D75">
        <w:rPr>
          <w:lang w:val="en-GB"/>
        </w:rPr>
        <w:t>Could Tesla justify its sky</w:t>
      </w:r>
      <w:r w:rsidR="00A92D75">
        <w:rPr>
          <w:lang w:val="en-GB"/>
        </w:rPr>
        <w:t>-</w:t>
      </w:r>
      <w:r w:rsidRPr="00A92D75">
        <w:rPr>
          <w:lang w:val="en-GB"/>
        </w:rPr>
        <w:t>high stock price multiple by simply selling electric cars, or was the market expecting Tesla to become a battery company that could fundamentally change the energy storage industry</w:t>
      </w:r>
      <w:r w:rsidR="00A92D75">
        <w:rPr>
          <w:lang w:val="en-GB"/>
        </w:rPr>
        <w:t>—or for that matter,</w:t>
      </w:r>
      <w:r w:rsidRPr="00A92D75">
        <w:rPr>
          <w:lang w:val="en-GB"/>
        </w:rPr>
        <w:t xml:space="preserve"> some other type of company?</w:t>
      </w:r>
    </w:p>
    <w:p w14:paraId="7A7A8A64" w14:textId="77777777" w:rsidR="00923475" w:rsidRPr="00A92D75" w:rsidRDefault="00923475" w:rsidP="00923475">
      <w:pPr>
        <w:pStyle w:val="BodyTextMain"/>
        <w:rPr>
          <w:lang w:val="en-GB"/>
        </w:rPr>
      </w:pPr>
    </w:p>
    <w:p w14:paraId="4A1C12FE" w14:textId="77777777" w:rsidR="00923475" w:rsidRPr="00A92D75" w:rsidRDefault="00923475" w:rsidP="00923475">
      <w:pPr>
        <w:pStyle w:val="BodyTextMain"/>
        <w:rPr>
          <w:lang w:val="en-GB"/>
        </w:rPr>
      </w:pPr>
    </w:p>
    <w:p w14:paraId="32116D12" w14:textId="053E739F" w:rsidR="00923475" w:rsidRPr="00A92D75" w:rsidRDefault="00923475" w:rsidP="00923475">
      <w:pPr>
        <w:pStyle w:val="Casehead1"/>
        <w:rPr>
          <w:lang w:val="en-GB"/>
        </w:rPr>
      </w:pPr>
      <w:r w:rsidRPr="00A92D75">
        <w:rPr>
          <w:lang w:val="en-GB"/>
        </w:rPr>
        <w:t>A BRIEF HISTORY OF TESLA</w:t>
      </w:r>
      <w:r w:rsidR="00CC31A5">
        <w:rPr>
          <w:lang w:val="en-GB"/>
        </w:rPr>
        <w:t xml:space="preserve"> motors inc. (tesla)</w:t>
      </w:r>
    </w:p>
    <w:p w14:paraId="61921A5D" w14:textId="77777777" w:rsidR="00923475" w:rsidRPr="00A92D75" w:rsidRDefault="00923475" w:rsidP="00923475">
      <w:pPr>
        <w:pStyle w:val="BodyTextMain"/>
        <w:rPr>
          <w:lang w:val="en-GB"/>
        </w:rPr>
      </w:pPr>
    </w:p>
    <w:p w14:paraId="3D0A3EEC" w14:textId="4E72F44C" w:rsidR="00923475" w:rsidRPr="004B267E" w:rsidRDefault="00923475" w:rsidP="00923475">
      <w:pPr>
        <w:pStyle w:val="BodyTextMain"/>
        <w:rPr>
          <w:spacing w:val="-4"/>
          <w:lang w:val="en-GB"/>
        </w:rPr>
      </w:pPr>
      <w:r w:rsidRPr="004B267E">
        <w:rPr>
          <w:spacing w:val="-4"/>
          <w:lang w:val="en-GB"/>
        </w:rPr>
        <w:t xml:space="preserve">Tesla (NASDAQ: TSLA), was started </w:t>
      </w:r>
      <w:r w:rsidR="00C33FD2" w:rsidRPr="004B267E">
        <w:rPr>
          <w:spacing w:val="-4"/>
          <w:lang w:val="en-GB"/>
        </w:rPr>
        <w:t xml:space="preserve">on July 1, 2003, </w:t>
      </w:r>
      <w:r w:rsidRPr="004B267E">
        <w:rPr>
          <w:spacing w:val="-4"/>
          <w:lang w:val="en-GB"/>
        </w:rPr>
        <w:t>by two Silicon Valley-based entrepreneurs, Martin Eberhard and Marc Tarpenning,</w:t>
      </w:r>
      <w:r w:rsidRPr="004B267E" w:rsidDel="00B65138">
        <w:rPr>
          <w:spacing w:val="-4"/>
          <w:lang w:val="en-GB"/>
        </w:rPr>
        <w:t xml:space="preserve"> </w:t>
      </w:r>
      <w:r w:rsidR="00C33FD2" w:rsidRPr="004B267E">
        <w:rPr>
          <w:spacing w:val="-4"/>
          <w:lang w:val="en-GB"/>
        </w:rPr>
        <w:t>whose</w:t>
      </w:r>
      <w:r w:rsidRPr="004B267E">
        <w:rPr>
          <w:spacing w:val="-4"/>
          <w:lang w:val="en-GB"/>
        </w:rPr>
        <w:t xml:space="preserve"> initial goal </w:t>
      </w:r>
      <w:r w:rsidR="00C33FD2" w:rsidRPr="004B267E">
        <w:rPr>
          <w:spacing w:val="-4"/>
          <w:lang w:val="en-GB"/>
        </w:rPr>
        <w:t xml:space="preserve">was to </w:t>
      </w:r>
      <w:r w:rsidRPr="004B267E">
        <w:rPr>
          <w:spacing w:val="-4"/>
          <w:lang w:val="en-GB"/>
        </w:rPr>
        <w:t>develop a fully electric sports car.</w:t>
      </w:r>
      <w:r w:rsidR="00A92D75" w:rsidRPr="004B267E">
        <w:rPr>
          <w:spacing w:val="-4"/>
          <w:lang w:val="en-GB"/>
        </w:rPr>
        <w:t xml:space="preserve"> Elon </w:t>
      </w:r>
      <w:r w:rsidRPr="004B267E">
        <w:rPr>
          <w:spacing w:val="-4"/>
          <w:lang w:val="en-GB"/>
        </w:rPr>
        <w:t xml:space="preserve">Musk was one of its most celebrated early investors and eventually became the </w:t>
      </w:r>
      <w:r w:rsidR="00A92D75" w:rsidRPr="004B267E">
        <w:rPr>
          <w:spacing w:val="-4"/>
          <w:lang w:val="en-GB"/>
        </w:rPr>
        <w:t>chief executive officer (</w:t>
      </w:r>
      <w:r w:rsidRPr="004B267E">
        <w:rPr>
          <w:spacing w:val="-4"/>
          <w:lang w:val="en-GB"/>
        </w:rPr>
        <w:t>CEO</w:t>
      </w:r>
      <w:r w:rsidR="00A92D75" w:rsidRPr="004B267E">
        <w:rPr>
          <w:spacing w:val="-4"/>
          <w:lang w:val="en-GB"/>
        </w:rPr>
        <w:t>)</w:t>
      </w:r>
      <w:r w:rsidRPr="004B267E">
        <w:rPr>
          <w:spacing w:val="-4"/>
          <w:lang w:val="en-GB"/>
        </w:rPr>
        <w:t xml:space="preserve"> and driving force behind the new company.</w:t>
      </w:r>
      <w:r w:rsidR="00A92D75" w:rsidRPr="004B267E">
        <w:rPr>
          <w:spacing w:val="-4"/>
          <w:lang w:val="en-GB"/>
        </w:rPr>
        <w:t xml:space="preserve"> </w:t>
      </w:r>
      <w:r w:rsidRPr="004B267E">
        <w:rPr>
          <w:spacing w:val="-4"/>
          <w:lang w:val="en-GB"/>
        </w:rPr>
        <w:t xml:space="preserve">Tesla released the fully electric Roadster in 2008 with a base </w:t>
      </w:r>
      <w:r w:rsidR="00A92D75" w:rsidRPr="004B267E">
        <w:rPr>
          <w:spacing w:val="-4"/>
          <w:lang w:val="en-GB"/>
        </w:rPr>
        <w:t xml:space="preserve">manufacturer’s suggested retail price </w:t>
      </w:r>
      <w:r w:rsidRPr="004B267E">
        <w:rPr>
          <w:spacing w:val="-4"/>
          <w:lang w:val="en-GB"/>
        </w:rPr>
        <w:t xml:space="preserve">of </w:t>
      </w:r>
      <w:r w:rsidR="00FE0727">
        <w:rPr>
          <w:spacing w:val="-4"/>
          <w:lang w:val="en-GB"/>
        </w:rPr>
        <w:t>US</w:t>
      </w:r>
      <w:r w:rsidRPr="004B267E">
        <w:rPr>
          <w:spacing w:val="-4"/>
          <w:lang w:val="en-GB"/>
        </w:rPr>
        <w:t>$109,000</w:t>
      </w:r>
      <w:r w:rsidR="00373B07" w:rsidRPr="004B267E">
        <w:rPr>
          <w:rStyle w:val="EndnoteReference"/>
          <w:spacing w:val="-4"/>
          <w:lang w:val="en-GB"/>
        </w:rPr>
        <w:endnoteReference w:id="2"/>
      </w:r>
      <w:r w:rsidRPr="004B267E">
        <w:rPr>
          <w:spacing w:val="-4"/>
          <w:lang w:val="en-GB"/>
        </w:rPr>
        <w:t xml:space="preserve"> and sold it online.</w:t>
      </w:r>
      <w:r w:rsidR="00A92D75" w:rsidRPr="004B267E">
        <w:rPr>
          <w:spacing w:val="-4"/>
          <w:lang w:val="en-GB"/>
        </w:rPr>
        <w:t xml:space="preserve"> </w:t>
      </w:r>
      <w:r w:rsidRPr="004B267E">
        <w:rPr>
          <w:spacing w:val="-4"/>
          <w:lang w:val="en-GB"/>
        </w:rPr>
        <w:t>Tesla then announced that in late 2011 it would start manufacturing the Model S, a more affordable sports sedan with a starting price of $59,350.</w:t>
      </w:r>
      <w:r w:rsidR="00A92D75" w:rsidRPr="004B267E">
        <w:rPr>
          <w:spacing w:val="-4"/>
          <w:lang w:val="en-GB"/>
        </w:rPr>
        <w:t xml:space="preserve"> </w:t>
      </w:r>
      <w:r w:rsidRPr="004B267E">
        <w:rPr>
          <w:spacing w:val="-4"/>
          <w:lang w:val="en-GB"/>
        </w:rPr>
        <w:t xml:space="preserve">More than 500 people placed </w:t>
      </w:r>
      <w:r w:rsidR="00C33FD2" w:rsidRPr="004B267E">
        <w:rPr>
          <w:spacing w:val="-4"/>
          <w:lang w:val="en-GB"/>
        </w:rPr>
        <w:t xml:space="preserve">orders </w:t>
      </w:r>
      <w:r w:rsidRPr="004B267E">
        <w:rPr>
          <w:spacing w:val="-4"/>
          <w:lang w:val="en-GB"/>
        </w:rPr>
        <w:t xml:space="preserve">for the Model S in the first week </w:t>
      </w:r>
      <w:r w:rsidR="00C33FD2" w:rsidRPr="004B267E">
        <w:rPr>
          <w:spacing w:val="-4"/>
          <w:lang w:val="en-GB"/>
        </w:rPr>
        <w:t>it was available</w:t>
      </w:r>
      <w:r w:rsidRPr="004B267E">
        <w:rPr>
          <w:spacing w:val="-4"/>
          <w:lang w:val="en-GB"/>
        </w:rPr>
        <w:t>.</w:t>
      </w:r>
      <w:r w:rsidR="00A92D75" w:rsidRPr="004B267E">
        <w:rPr>
          <w:spacing w:val="-4"/>
          <w:lang w:val="en-GB"/>
        </w:rPr>
        <w:t xml:space="preserve"> </w:t>
      </w:r>
      <w:r w:rsidRPr="004B267E">
        <w:rPr>
          <w:spacing w:val="-4"/>
          <w:lang w:val="en-GB"/>
        </w:rPr>
        <w:t>Over the next several years, Tesla aligned its capabilities to accommodate larger Model S order quantities.</w:t>
      </w:r>
      <w:r w:rsidR="00A92D75" w:rsidRPr="004B267E">
        <w:rPr>
          <w:spacing w:val="-4"/>
          <w:lang w:val="en-GB"/>
        </w:rPr>
        <w:t xml:space="preserve"> </w:t>
      </w:r>
      <w:r w:rsidRPr="004B267E">
        <w:rPr>
          <w:spacing w:val="-4"/>
          <w:lang w:val="en-GB"/>
        </w:rPr>
        <w:t>This alignment included the purchase of a former automobile manufacturing location, procurement of a low-interest loan from the U.S. Department of Energy, an initial public offering, and an electric vehicle development co</w:t>
      </w:r>
      <w:r w:rsidR="00373B07" w:rsidRPr="004B267E">
        <w:rPr>
          <w:spacing w:val="-4"/>
          <w:lang w:val="en-GB"/>
        </w:rPr>
        <w:t>-</w:t>
      </w:r>
      <w:r w:rsidRPr="004B267E">
        <w:rPr>
          <w:spacing w:val="-4"/>
          <w:lang w:val="en-GB"/>
        </w:rPr>
        <w:t xml:space="preserve">operation agreement with Toyota. </w:t>
      </w:r>
    </w:p>
    <w:p w14:paraId="4D1CB51B" w14:textId="77777777" w:rsidR="00923475" w:rsidRPr="00A92D75" w:rsidRDefault="00923475" w:rsidP="00923475">
      <w:pPr>
        <w:pStyle w:val="BodyTextMain"/>
        <w:rPr>
          <w:lang w:val="en-GB"/>
        </w:rPr>
      </w:pPr>
    </w:p>
    <w:p w14:paraId="615CB0B0" w14:textId="240ECEBC" w:rsidR="00923475" w:rsidRPr="00A92D75" w:rsidRDefault="00923475" w:rsidP="00923475">
      <w:pPr>
        <w:pStyle w:val="BodyTextMain"/>
        <w:rPr>
          <w:lang w:val="en-GB"/>
        </w:rPr>
      </w:pPr>
      <w:r w:rsidRPr="00A92D75">
        <w:rPr>
          <w:lang w:val="en-GB"/>
        </w:rPr>
        <w:t>Tesla delivered the first Model S in June 2012.</w:t>
      </w:r>
      <w:r w:rsidR="00A92D75" w:rsidRPr="00A92D75">
        <w:rPr>
          <w:lang w:val="en-GB"/>
        </w:rPr>
        <w:t xml:space="preserve"> </w:t>
      </w:r>
      <w:r w:rsidRPr="00A92D75">
        <w:rPr>
          <w:lang w:val="en-GB"/>
        </w:rPr>
        <w:t xml:space="preserve">The car earned the highest </w:t>
      </w:r>
      <w:r w:rsidR="00373B07">
        <w:rPr>
          <w:lang w:val="en-GB"/>
        </w:rPr>
        <w:t xml:space="preserve">U.S. </w:t>
      </w:r>
      <w:r w:rsidRPr="00A92D75">
        <w:rPr>
          <w:lang w:val="en-GB"/>
        </w:rPr>
        <w:t>N</w:t>
      </w:r>
      <w:r w:rsidR="00373B07">
        <w:rPr>
          <w:lang w:val="en-GB"/>
        </w:rPr>
        <w:t xml:space="preserve">ational </w:t>
      </w:r>
      <w:r w:rsidRPr="00A92D75">
        <w:rPr>
          <w:lang w:val="en-GB"/>
        </w:rPr>
        <w:t>H</w:t>
      </w:r>
      <w:r w:rsidR="00373B07">
        <w:rPr>
          <w:lang w:val="en-GB"/>
        </w:rPr>
        <w:t xml:space="preserve">ighway </w:t>
      </w:r>
      <w:r w:rsidRPr="00A92D75">
        <w:rPr>
          <w:lang w:val="en-GB"/>
        </w:rPr>
        <w:t>T</w:t>
      </w:r>
      <w:r w:rsidR="00373B07">
        <w:rPr>
          <w:lang w:val="en-GB"/>
        </w:rPr>
        <w:t xml:space="preserve">raffic </w:t>
      </w:r>
      <w:r w:rsidRPr="00A92D75">
        <w:rPr>
          <w:lang w:val="en-GB"/>
        </w:rPr>
        <w:t>S</w:t>
      </w:r>
      <w:r w:rsidR="00373B07">
        <w:rPr>
          <w:lang w:val="en-GB"/>
        </w:rPr>
        <w:t xml:space="preserve">afety </w:t>
      </w:r>
      <w:r w:rsidRPr="00A92D75">
        <w:rPr>
          <w:lang w:val="en-GB"/>
        </w:rPr>
        <w:t>A</w:t>
      </w:r>
      <w:r w:rsidR="00373B07">
        <w:rPr>
          <w:lang w:val="en-GB"/>
        </w:rPr>
        <w:t>dministration</w:t>
      </w:r>
      <w:r w:rsidRPr="00A92D75">
        <w:rPr>
          <w:lang w:val="en-GB"/>
        </w:rPr>
        <w:t xml:space="preserve"> rating and was </w:t>
      </w:r>
      <w:r w:rsidR="00373B07">
        <w:rPr>
          <w:lang w:val="en-GB"/>
        </w:rPr>
        <w:t xml:space="preserve">also </w:t>
      </w:r>
      <w:r w:rsidRPr="00A92D75">
        <w:rPr>
          <w:lang w:val="en-GB"/>
        </w:rPr>
        <w:t>widely applauded in Europe.</w:t>
      </w:r>
      <w:r w:rsidRPr="00A92D75">
        <w:rPr>
          <w:rStyle w:val="EndnoteReference"/>
          <w:lang w:val="en-GB"/>
        </w:rPr>
        <w:endnoteReference w:id="3"/>
      </w:r>
      <w:r w:rsidR="00A92D75" w:rsidRPr="00A92D75">
        <w:rPr>
          <w:lang w:val="en-GB"/>
        </w:rPr>
        <w:t xml:space="preserve"> </w:t>
      </w:r>
      <w:r w:rsidRPr="00A92D75">
        <w:rPr>
          <w:lang w:val="en-GB"/>
        </w:rPr>
        <w:t>At the same time, Tesla discontinued the Roadster so it could focus its efforts on Model S production.</w:t>
      </w:r>
      <w:r w:rsidRPr="00A92D75">
        <w:rPr>
          <w:rStyle w:val="EndnoteReference"/>
          <w:lang w:val="en-GB"/>
        </w:rPr>
        <w:endnoteReference w:id="4"/>
      </w:r>
      <w:r w:rsidR="00A92D75" w:rsidRPr="00A92D75">
        <w:rPr>
          <w:lang w:val="en-GB"/>
        </w:rPr>
        <w:t xml:space="preserve"> </w:t>
      </w:r>
      <w:r w:rsidRPr="00A92D75">
        <w:rPr>
          <w:lang w:val="en-GB"/>
        </w:rPr>
        <w:t xml:space="preserve">In February 2012, Tesla announced its next model: a small </w:t>
      </w:r>
      <w:r w:rsidR="00373B07">
        <w:rPr>
          <w:lang w:val="en-GB"/>
        </w:rPr>
        <w:t xml:space="preserve">sport-utility vehicle </w:t>
      </w:r>
      <w:r w:rsidRPr="00A92D75">
        <w:rPr>
          <w:lang w:val="en-GB"/>
        </w:rPr>
        <w:t>called the Model X</w:t>
      </w:r>
      <w:r w:rsidR="00373B07">
        <w:rPr>
          <w:lang w:val="en-GB"/>
        </w:rPr>
        <w:t>,</w:t>
      </w:r>
      <w:r w:rsidRPr="00A92D75">
        <w:rPr>
          <w:lang w:val="en-GB"/>
        </w:rPr>
        <w:t xml:space="preserve"> </w:t>
      </w:r>
      <w:r w:rsidR="00373B07">
        <w:rPr>
          <w:lang w:val="en-GB"/>
        </w:rPr>
        <w:t>which had</w:t>
      </w:r>
      <w:r w:rsidR="00373B07" w:rsidRPr="00A92D75">
        <w:rPr>
          <w:lang w:val="en-GB"/>
        </w:rPr>
        <w:t xml:space="preserve"> </w:t>
      </w:r>
      <w:r w:rsidRPr="00A92D75">
        <w:rPr>
          <w:lang w:val="en-GB"/>
        </w:rPr>
        <w:t xml:space="preserve">an ambitious delivery </w:t>
      </w:r>
      <w:r w:rsidR="00CC31A5">
        <w:rPr>
          <w:lang w:val="en-GB"/>
        </w:rPr>
        <w:t xml:space="preserve">date of </w:t>
      </w:r>
      <w:r w:rsidRPr="00A92D75">
        <w:rPr>
          <w:lang w:val="en-GB"/>
        </w:rPr>
        <w:t>August 2016.</w:t>
      </w:r>
      <w:r w:rsidR="00A92D75" w:rsidRPr="00A92D75">
        <w:rPr>
          <w:lang w:val="en-GB"/>
        </w:rPr>
        <w:t xml:space="preserve"> </w:t>
      </w:r>
      <w:r w:rsidRPr="00A92D75">
        <w:rPr>
          <w:lang w:val="en-GB"/>
        </w:rPr>
        <w:t xml:space="preserve">In April 2016, Tesla started taking </w:t>
      </w:r>
      <w:r w:rsidR="002B4D2D">
        <w:rPr>
          <w:lang w:val="en-GB"/>
        </w:rPr>
        <w:t>order</w:t>
      </w:r>
      <w:r w:rsidR="002B4D2D" w:rsidRPr="00A92D75">
        <w:rPr>
          <w:lang w:val="en-GB"/>
        </w:rPr>
        <w:t xml:space="preserve">s </w:t>
      </w:r>
      <w:r w:rsidRPr="00A92D75">
        <w:rPr>
          <w:lang w:val="en-GB"/>
        </w:rPr>
        <w:t>for a lower</w:t>
      </w:r>
      <w:r w:rsidR="00373B07">
        <w:rPr>
          <w:lang w:val="en-GB"/>
        </w:rPr>
        <w:t>-</w:t>
      </w:r>
      <w:r w:rsidRPr="00A92D75">
        <w:rPr>
          <w:lang w:val="en-GB"/>
        </w:rPr>
        <w:t>priced vehicle intended for mass-market distribution</w:t>
      </w:r>
      <w:r w:rsidR="00373B07">
        <w:rPr>
          <w:lang w:val="en-GB"/>
        </w:rPr>
        <w:t>,</w:t>
      </w:r>
      <w:r w:rsidRPr="00A92D75">
        <w:rPr>
          <w:lang w:val="en-GB"/>
        </w:rPr>
        <w:t xml:space="preserve"> the Model 3.</w:t>
      </w:r>
      <w:r w:rsidR="00A92D75" w:rsidRPr="00A92D75">
        <w:rPr>
          <w:lang w:val="en-GB"/>
        </w:rPr>
        <w:t xml:space="preserve"> </w:t>
      </w:r>
      <w:r w:rsidRPr="00A92D75">
        <w:rPr>
          <w:lang w:val="en-GB"/>
        </w:rPr>
        <w:t>Musk unveiled the Model 3 to great fanfare on July 28, 2017</w:t>
      </w:r>
      <w:r w:rsidR="00373B07">
        <w:rPr>
          <w:lang w:val="en-GB"/>
        </w:rPr>
        <w:t>,</w:t>
      </w:r>
      <w:r w:rsidRPr="00A92D75">
        <w:rPr>
          <w:lang w:val="en-GB"/>
        </w:rPr>
        <w:t xml:space="preserve"> with the initial delivery to 30 Tesla employees.</w:t>
      </w:r>
      <w:r w:rsidRPr="00A92D75">
        <w:rPr>
          <w:rStyle w:val="EndnoteReference"/>
          <w:lang w:val="en-GB"/>
        </w:rPr>
        <w:endnoteReference w:id="5"/>
      </w:r>
      <w:r w:rsidR="00A92D75" w:rsidRPr="00A92D75">
        <w:rPr>
          <w:lang w:val="en-GB"/>
        </w:rPr>
        <w:t xml:space="preserve"> </w:t>
      </w:r>
    </w:p>
    <w:p w14:paraId="3BF32EA6" w14:textId="77777777" w:rsidR="00923475" w:rsidRPr="00A92D75" w:rsidRDefault="00923475" w:rsidP="00923475">
      <w:pPr>
        <w:pStyle w:val="BodyTextMain"/>
        <w:rPr>
          <w:lang w:val="en-GB"/>
        </w:rPr>
      </w:pPr>
    </w:p>
    <w:p w14:paraId="7B51608E" w14:textId="671DC9C7" w:rsidR="00923475" w:rsidRPr="00EA0692" w:rsidRDefault="00923475" w:rsidP="00923475">
      <w:pPr>
        <w:pStyle w:val="BodyTextMain"/>
        <w:rPr>
          <w:spacing w:val="-2"/>
          <w:lang w:val="en-GB"/>
        </w:rPr>
      </w:pPr>
      <w:r w:rsidRPr="00EA0692">
        <w:rPr>
          <w:spacing w:val="-2"/>
          <w:lang w:val="en-GB"/>
        </w:rPr>
        <w:lastRenderedPageBreak/>
        <w:t>The company was becoming a disruptive force in the automotive industry, and Musk was quickly becoming synonymous with big</w:t>
      </w:r>
      <w:r w:rsidR="00ED6224" w:rsidRPr="00EA0692">
        <w:rPr>
          <w:spacing w:val="-2"/>
          <w:lang w:val="en-GB"/>
        </w:rPr>
        <w:t>-</w:t>
      </w:r>
      <w:r w:rsidRPr="00EA0692">
        <w:rPr>
          <w:spacing w:val="-2"/>
          <w:lang w:val="en-GB"/>
        </w:rPr>
        <w:t>picture ideas.</w:t>
      </w:r>
      <w:r w:rsidR="00A92D75" w:rsidRPr="00EA0692">
        <w:rPr>
          <w:spacing w:val="-2"/>
          <w:lang w:val="en-GB"/>
        </w:rPr>
        <w:t xml:space="preserve"> </w:t>
      </w:r>
      <w:r w:rsidRPr="00EA0692">
        <w:rPr>
          <w:spacing w:val="-2"/>
          <w:lang w:val="en-GB"/>
        </w:rPr>
        <w:t>Tesla was not the only business idea on this big thinker’s mind.</w:t>
      </w:r>
      <w:r w:rsidR="00A92D75" w:rsidRPr="00EA0692">
        <w:rPr>
          <w:spacing w:val="-2"/>
          <w:lang w:val="en-GB"/>
        </w:rPr>
        <w:t xml:space="preserve"> </w:t>
      </w:r>
      <w:r w:rsidRPr="00EA0692">
        <w:rPr>
          <w:spacing w:val="-2"/>
          <w:lang w:val="en-GB"/>
        </w:rPr>
        <w:t xml:space="preserve">In a TED talk in March 2013, </w:t>
      </w:r>
      <w:r w:rsidR="002B4D2D" w:rsidRPr="00EA0692">
        <w:rPr>
          <w:spacing w:val="-2"/>
          <w:lang w:val="en-GB"/>
        </w:rPr>
        <w:t xml:space="preserve">Musk </w:t>
      </w:r>
      <w:r w:rsidRPr="00EA0692">
        <w:rPr>
          <w:spacing w:val="-2"/>
          <w:lang w:val="en-GB"/>
        </w:rPr>
        <w:t>laid out his modest plans for a mass-marketed electric car, a solar energy leasing company, and a fully reusable rocket.</w:t>
      </w:r>
      <w:r w:rsidRPr="00EA0692">
        <w:rPr>
          <w:rStyle w:val="EndnoteReference"/>
          <w:spacing w:val="-2"/>
          <w:lang w:val="en-GB"/>
        </w:rPr>
        <w:endnoteReference w:id="6"/>
      </w:r>
      <w:r w:rsidR="00A92D75" w:rsidRPr="00EA0692">
        <w:rPr>
          <w:spacing w:val="-2"/>
          <w:lang w:val="en-GB"/>
        </w:rPr>
        <w:t xml:space="preserve"> </w:t>
      </w:r>
      <w:r w:rsidR="002B4D2D" w:rsidRPr="00EA0692">
        <w:rPr>
          <w:spacing w:val="-2"/>
          <w:lang w:val="en-GB"/>
        </w:rPr>
        <w:t xml:space="preserve">But that </w:t>
      </w:r>
      <w:r w:rsidRPr="00EA0692">
        <w:rPr>
          <w:spacing w:val="-2"/>
          <w:lang w:val="en-GB"/>
        </w:rPr>
        <w:t>was not all.</w:t>
      </w:r>
      <w:r w:rsidR="00A92D75" w:rsidRPr="00EA0692">
        <w:rPr>
          <w:spacing w:val="-2"/>
          <w:lang w:val="en-GB"/>
        </w:rPr>
        <w:t xml:space="preserve"> </w:t>
      </w:r>
      <w:r w:rsidRPr="00EA0692">
        <w:rPr>
          <w:spacing w:val="-2"/>
          <w:lang w:val="en-GB"/>
        </w:rPr>
        <w:t>In May 2017</w:t>
      </w:r>
      <w:r w:rsidR="00ED6224" w:rsidRPr="00EA0692">
        <w:rPr>
          <w:spacing w:val="-2"/>
          <w:lang w:val="en-GB"/>
        </w:rPr>
        <w:t>,</w:t>
      </w:r>
      <w:r w:rsidRPr="00EA0692">
        <w:rPr>
          <w:spacing w:val="-2"/>
          <w:lang w:val="en-GB"/>
        </w:rPr>
        <w:t xml:space="preserve"> as Tesla was preparing to unveil the Model 3, Musk started drawing attention to another of his new ventures</w:t>
      </w:r>
      <w:r w:rsidR="00ED6224" w:rsidRPr="00EA0692">
        <w:rPr>
          <w:spacing w:val="-2"/>
          <w:lang w:val="en-GB"/>
        </w:rPr>
        <w:t>,</w:t>
      </w:r>
      <w:r w:rsidRPr="00EA0692">
        <w:rPr>
          <w:spacing w:val="-2"/>
          <w:lang w:val="en-GB"/>
        </w:rPr>
        <w:t xml:space="preserve"> The Boring Company.</w:t>
      </w:r>
      <w:r w:rsidR="00A92D75" w:rsidRPr="00EA0692">
        <w:rPr>
          <w:spacing w:val="-2"/>
          <w:lang w:val="en-GB"/>
        </w:rPr>
        <w:t xml:space="preserve"> </w:t>
      </w:r>
      <w:r w:rsidRPr="00EA0692">
        <w:rPr>
          <w:spacing w:val="-2"/>
          <w:lang w:val="en-GB"/>
        </w:rPr>
        <w:t>Anything but boring, this company envisioned the creation of tunnels that would allow high-speed traffic to avoid urban congestion.</w:t>
      </w:r>
      <w:r w:rsidRPr="00EA0692">
        <w:rPr>
          <w:rStyle w:val="EndnoteReference"/>
          <w:spacing w:val="-2"/>
          <w:lang w:val="en-GB"/>
        </w:rPr>
        <w:endnoteReference w:id="7"/>
      </w:r>
      <w:r w:rsidR="00A92D75" w:rsidRPr="00EA0692">
        <w:rPr>
          <w:spacing w:val="-2"/>
          <w:lang w:val="en-GB"/>
        </w:rPr>
        <w:t xml:space="preserve"> </w:t>
      </w:r>
      <w:r w:rsidR="00A85E4F" w:rsidRPr="00EA0692">
        <w:rPr>
          <w:spacing w:val="-2"/>
          <w:lang w:val="en-GB"/>
        </w:rPr>
        <w:t xml:space="preserve">These ideas </w:t>
      </w:r>
      <w:r w:rsidRPr="00EA0692">
        <w:rPr>
          <w:spacing w:val="-2"/>
          <w:lang w:val="en-GB"/>
        </w:rPr>
        <w:t xml:space="preserve">all came </w:t>
      </w:r>
      <w:r w:rsidRPr="00EA0692">
        <w:rPr>
          <w:i/>
          <w:spacing w:val="-2"/>
          <w:lang w:val="en-GB"/>
        </w:rPr>
        <w:t>after</w:t>
      </w:r>
      <w:r w:rsidRPr="00EA0692">
        <w:rPr>
          <w:spacing w:val="-2"/>
          <w:lang w:val="en-GB"/>
        </w:rPr>
        <w:t xml:space="preserve"> he had founded PayPal, and then sold it for a considerable fortune.</w:t>
      </w:r>
      <w:r w:rsidR="00A92D75" w:rsidRPr="00EA0692">
        <w:rPr>
          <w:spacing w:val="-2"/>
          <w:lang w:val="en-GB"/>
        </w:rPr>
        <w:t xml:space="preserve"> </w:t>
      </w:r>
      <w:r w:rsidRPr="00EA0692">
        <w:rPr>
          <w:spacing w:val="-2"/>
          <w:lang w:val="en-GB"/>
        </w:rPr>
        <w:t>In his TED talk, Musk dramatized how his newly founded company, SpaceX, would create a reusable rocket.</w:t>
      </w:r>
      <w:r w:rsidR="00A92D75" w:rsidRPr="00EA0692">
        <w:rPr>
          <w:spacing w:val="-2"/>
          <w:lang w:val="en-GB"/>
        </w:rPr>
        <w:t xml:space="preserve"> </w:t>
      </w:r>
      <w:r w:rsidRPr="00EA0692">
        <w:rPr>
          <w:spacing w:val="-2"/>
          <w:lang w:val="en-GB"/>
        </w:rPr>
        <w:t>That idea became a reality three years later.</w:t>
      </w:r>
      <w:r w:rsidR="00A92D75" w:rsidRPr="00EA0692">
        <w:rPr>
          <w:spacing w:val="-2"/>
          <w:lang w:val="en-GB"/>
        </w:rPr>
        <w:t xml:space="preserve"> </w:t>
      </w:r>
      <w:r w:rsidRPr="00EA0692">
        <w:rPr>
          <w:spacing w:val="-2"/>
          <w:lang w:val="en-GB"/>
        </w:rPr>
        <w:t>Four years later, it had become almost commonplace—if it is even possible to use the</w:t>
      </w:r>
      <w:r w:rsidR="00D4681A" w:rsidRPr="00EA0692">
        <w:rPr>
          <w:spacing w:val="-2"/>
          <w:lang w:val="en-GB"/>
        </w:rPr>
        <w:t xml:space="preserve"> word</w:t>
      </w:r>
      <w:r w:rsidRPr="00EA0692">
        <w:rPr>
          <w:spacing w:val="-2"/>
          <w:lang w:val="en-GB"/>
        </w:rPr>
        <w:t xml:space="preserve"> </w:t>
      </w:r>
      <w:r w:rsidRPr="00EA0692">
        <w:rPr>
          <w:i/>
          <w:spacing w:val="-2"/>
          <w:lang w:val="en-GB"/>
        </w:rPr>
        <w:t>commonplace</w:t>
      </w:r>
      <w:r w:rsidRPr="00EA0692">
        <w:rPr>
          <w:spacing w:val="-2"/>
          <w:lang w:val="en-GB"/>
        </w:rPr>
        <w:t xml:space="preserve"> when </w:t>
      </w:r>
      <w:r w:rsidR="002B4D2D" w:rsidRPr="00EA0692">
        <w:rPr>
          <w:spacing w:val="-2"/>
          <w:lang w:val="en-GB"/>
        </w:rPr>
        <w:t>describing</w:t>
      </w:r>
      <w:r w:rsidRPr="00EA0692">
        <w:rPr>
          <w:spacing w:val="-2"/>
          <w:lang w:val="en-GB"/>
        </w:rPr>
        <w:t xml:space="preserve"> Musk’s </w:t>
      </w:r>
      <w:r w:rsidR="002B4D2D" w:rsidRPr="00EA0692">
        <w:rPr>
          <w:spacing w:val="-2"/>
          <w:lang w:val="en-GB"/>
        </w:rPr>
        <w:t xml:space="preserve">ideas and </w:t>
      </w:r>
      <w:r w:rsidRPr="00EA0692">
        <w:rPr>
          <w:spacing w:val="-2"/>
          <w:lang w:val="en-GB"/>
        </w:rPr>
        <w:t>inventions.</w:t>
      </w:r>
    </w:p>
    <w:p w14:paraId="7BF22802" w14:textId="77777777" w:rsidR="00923475" w:rsidRPr="00A92D75" w:rsidRDefault="00923475" w:rsidP="00923475">
      <w:pPr>
        <w:pStyle w:val="BodyTextMain"/>
        <w:rPr>
          <w:lang w:val="en-GB"/>
        </w:rPr>
      </w:pPr>
    </w:p>
    <w:p w14:paraId="13F5E1D2" w14:textId="77777777" w:rsidR="00923475" w:rsidRPr="00A92D75" w:rsidRDefault="00923475" w:rsidP="00923475">
      <w:pPr>
        <w:pStyle w:val="BodyTextMain"/>
        <w:rPr>
          <w:lang w:val="en-GB"/>
        </w:rPr>
      </w:pPr>
    </w:p>
    <w:p w14:paraId="5AE4E9F6" w14:textId="77777777" w:rsidR="00923475" w:rsidRPr="00A92D75" w:rsidRDefault="00923475" w:rsidP="00923475">
      <w:pPr>
        <w:pStyle w:val="Casehead1"/>
        <w:rPr>
          <w:lang w:val="en-GB"/>
        </w:rPr>
      </w:pPr>
      <w:r w:rsidRPr="00A92D75">
        <w:rPr>
          <w:lang w:val="en-GB"/>
        </w:rPr>
        <w:t xml:space="preserve">THE OPPORTUNITY AND CHALLENGES DRIVING TESLA’S BUSINESS MODEL </w:t>
      </w:r>
    </w:p>
    <w:p w14:paraId="1AF076CF" w14:textId="77777777" w:rsidR="00923475" w:rsidRPr="00A92D75" w:rsidRDefault="00923475" w:rsidP="00923475">
      <w:pPr>
        <w:pStyle w:val="BodyTextMain"/>
        <w:rPr>
          <w:lang w:val="en-GB"/>
        </w:rPr>
      </w:pPr>
    </w:p>
    <w:p w14:paraId="160AA105" w14:textId="29B1DC9A" w:rsidR="00923475" w:rsidRPr="00A92D75" w:rsidRDefault="00923475" w:rsidP="00923475">
      <w:pPr>
        <w:pStyle w:val="BodyTextMain"/>
        <w:rPr>
          <w:spacing w:val="-2"/>
          <w:lang w:val="en-GB"/>
        </w:rPr>
      </w:pPr>
      <w:r w:rsidRPr="00A92D75">
        <w:rPr>
          <w:spacing w:val="-2"/>
          <w:lang w:val="en-GB"/>
        </w:rPr>
        <w:t xml:space="preserve">Tesla’s disruptive business model had been </w:t>
      </w:r>
      <w:r w:rsidR="00A85E4F">
        <w:rPr>
          <w:spacing w:val="-2"/>
          <w:lang w:val="en-GB"/>
        </w:rPr>
        <w:t>seen before</w:t>
      </w:r>
      <w:r w:rsidR="00A85E4F" w:rsidRPr="00A92D75">
        <w:rPr>
          <w:spacing w:val="-2"/>
          <w:lang w:val="en-GB"/>
        </w:rPr>
        <w:t xml:space="preserve"> </w:t>
      </w:r>
      <w:r w:rsidRPr="00A92D75">
        <w:rPr>
          <w:spacing w:val="-2"/>
          <w:lang w:val="en-GB"/>
        </w:rPr>
        <w:t>many times in other industries.</w:t>
      </w:r>
      <w:r w:rsidR="00A92D75" w:rsidRPr="00A92D75">
        <w:rPr>
          <w:spacing w:val="-2"/>
          <w:lang w:val="en-GB"/>
        </w:rPr>
        <w:t xml:space="preserve"> </w:t>
      </w:r>
      <w:r w:rsidRPr="00A92D75">
        <w:rPr>
          <w:spacing w:val="-2"/>
          <w:lang w:val="en-GB"/>
        </w:rPr>
        <w:t>Typically, a key</w:t>
      </w:r>
      <w:r w:rsidR="00A85E4F">
        <w:rPr>
          <w:spacing w:val="-2"/>
          <w:lang w:val="en-GB"/>
        </w:rPr>
        <w:t xml:space="preserve"> resource—</w:t>
      </w:r>
      <w:r w:rsidRPr="00A92D75">
        <w:rPr>
          <w:spacing w:val="-2"/>
          <w:lang w:val="en-GB"/>
        </w:rPr>
        <w:t>and usually the most expensive resource of the incumbent business model</w:t>
      </w:r>
      <w:r w:rsidR="00A85E4F">
        <w:rPr>
          <w:spacing w:val="-2"/>
          <w:lang w:val="en-GB"/>
        </w:rPr>
        <w:t>—</w:t>
      </w:r>
      <w:r w:rsidRPr="00A92D75">
        <w:rPr>
          <w:spacing w:val="-2"/>
          <w:lang w:val="en-GB"/>
        </w:rPr>
        <w:t xml:space="preserve">was </w:t>
      </w:r>
      <w:r w:rsidR="00A85E4F">
        <w:rPr>
          <w:spacing w:val="-2"/>
          <w:lang w:val="en-GB"/>
        </w:rPr>
        <w:t>replaced</w:t>
      </w:r>
      <w:r w:rsidR="00A85E4F" w:rsidRPr="00A92D75">
        <w:rPr>
          <w:spacing w:val="-2"/>
          <w:lang w:val="en-GB"/>
        </w:rPr>
        <w:t xml:space="preserve"> </w:t>
      </w:r>
      <w:r w:rsidRPr="00A92D75">
        <w:rPr>
          <w:spacing w:val="-2"/>
          <w:lang w:val="en-GB"/>
        </w:rPr>
        <w:t>by a new technology that over time became cost</w:t>
      </w:r>
      <w:r w:rsidR="00A85E4F">
        <w:rPr>
          <w:spacing w:val="-2"/>
          <w:lang w:val="en-GB"/>
        </w:rPr>
        <w:t>-</w:t>
      </w:r>
      <w:r w:rsidRPr="00A92D75">
        <w:rPr>
          <w:spacing w:val="-2"/>
          <w:lang w:val="en-GB"/>
        </w:rPr>
        <w:t xml:space="preserve">competitive with the resources </w:t>
      </w:r>
      <w:r w:rsidR="00A85E4F">
        <w:rPr>
          <w:spacing w:val="-2"/>
          <w:lang w:val="en-GB"/>
        </w:rPr>
        <w:t xml:space="preserve">that were </w:t>
      </w:r>
      <w:r w:rsidRPr="00A92D75">
        <w:rPr>
          <w:spacing w:val="-2"/>
          <w:lang w:val="en-GB"/>
        </w:rPr>
        <w:t>key to incumbents.</w:t>
      </w:r>
      <w:r w:rsidR="00A92D75" w:rsidRPr="00A92D75">
        <w:rPr>
          <w:spacing w:val="-2"/>
          <w:lang w:val="en-GB"/>
        </w:rPr>
        <w:t xml:space="preserve"> </w:t>
      </w:r>
      <w:r w:rsidRPr="00A92D75">
        <w:rPr>
          <w:spacing w:val="-2"/>
          <w:lang w:val="en-GB"/>
        </w:rPr>
        <w:t xml:space="preserve">This </w:t>
      </w:r>
      <w:r w:rsidR="00A85E4F">
        <w:rPr>
          <w:spacing w:val="-2"/>
          <w:lang w:val="en-GB"/>
        </w:rPr>
        <w:t xml:space="preserve">scenario </w:t>
      </w:r>
      <w:r w:rsidRPr="00A92D75">
        <w:rPr>
          <w:spacing w:val="-2"/>
          <w:lang w:val="en-GB"/>
        </w:rPr>
        <w:t>had happened to the steam engine (</w:t>
      </w:r>
      <w:r w:rsidR="00B462DC">
        <w:rPr>
          <w:spacing w:val="-2"/>
          <w:lang w:val="en-GB"/>
        </w:rPr>
        <w:t>disrupted by</w:t>
      </w:r>
      <w:r w:rsidR="00A85E4F">
        <w:rPr>
          <w:spacing w:val="-2"/>
          <w:lang w:val="en-GB"/>
        </w:rPr>
        <w:t xml:space="preserve"> the </w:t>
      </w:r>
      <w:r w:rsidRPr="00A92D75">
        <w:rPr>
          <w:spacing w:val="-2"/>
          <w:lang w:val="en-GB"/>
        </w:rPr>
        <w:t xml:space="preserve">gasoline engine), VHS </w:t>
      </w:r>
      <w:r w:rsidR="002B4D2D">
        <w:rPr>
          <w:spacing w:val="-2"/>
          <w:lang w:val="en-GB"/>
        </w:rPr>
        <w:t>video</w:t>
      </w:r>
      <w:r w:rsidR="00B462DC">
        <w:rPr>
          <w:spacing w:val="-2"/>
          <w:lang w:val="en-GB"/>
        </w:rPr>
        <w:t xml:space="preserve">cassettes </w:t>
      </w:r>
      <w:r w:rsidRPr="00A92D75">
        <w:rPr>
          <w:spacing w:val="-2"/>
          <w:lang w:val="en-GB"/>
        </w:rPr>
        <w:t>(</w:t>
      </w:r>
      <w:r w:rsidR="00B462DC">
        <w:rPr>
          <w:spacing w:val="-2"/>
          <w:lang w:val="en-GB"/>
        </w:rPr>
        <w:t xml:space="preserve">disrupted by </w:t>
      </w:r>
      <w:r w:rsidRPr="00A92D75">
        <w:rPr>
          <w:spacing w:val="-2"/>
          <w:lang w:val="en-GB"/>
        </w:rPr>
        <w:t>DVD</w:t>
      </w:r>
      <w:r w:rsidR="00B462DC">
        <w:rPr>
          <w:spacing w:val="-2"/>
          <w:lang w:val="en-GB"/>
        </w:rPr>
        <w:t>s</w:t>
      </w:r>
      <w:r w:rsidRPr="00A92D75">
        <w:rPr>
          <w:spacing w:val="-2"/>
          <w:lang w:val="en-GB"/>
        </w:rPr>
        <w:t xml:space="preserve">), </w:t>
      </w:r>
      <w:r w:rsidR="002B4D2D">
        <w:rPr>
          <w:spacing w:val="-2"/>
          <w:lang w:val="en-GB"/>
        </w:rPr>
        <w:t xml:space="preserve">computer </w:t>
      </w:r>
      <w:r w:rsidRPr="00A92D75">
        <w:rPr>
          <w:spacing w:val="-2"/>
          <w:lang w:val="en-GB"/>
        </w:rPr>
        <w:t>hard drives (</w:t>
      </w:r>
      <w:r w:rsidR="00B462DC">
        <w:rPr>
          <w:spacing w:val="-2"/>
          <w:lang w:val="en-GB"/>
        </w:rPr>
        <w:t xml:space="preserve">disrupted by </w:t>
      </w:r>
      <w:r w:rsidRPr="00A92D75">
        <w:rPr>
          <w:spacing w:val="-2"/>
          <w:lang w:val="en-GB"/>
        </w:rPr>
        <w:t>flash memory)</w:t>
      </w:r>
      <w:r w:rsidR="00B462DC">
        <w:rPr>
          <w:spacing w:val="-2"/>
          <w:lang w:val="en-GB"/>
        </w:rPr>
        <w:t>,</w:t>
      </w:r>
      <w:r w:rsidRPr="00A92D75">
        <w:rPr>
          <w:spacing w:val="-2"/>
          <w:lang w:val="en-GB"/>
        </w:rPr>
        <w:t xml:space="preserve"> and</w:t>
      </w:r>
      <w:r w:rsidR="00B462DC">
        <w:rPr>
          <w:spacing w:val="-2"/>
          <w:lang w:val="en-GB"/>
        </w:rPr>
        <w:t>,</w:t>
      </w:r>
      <w:r w:rsidRPr="00A92D75">
        <w:rPr>
          <w:spacing w:val="-2"/>
          <w:lang w:val="en-GB"/>
        </w:rPr>
        <w:t xml:space="preserve"> starting in 2003</w:t>
      </w:r>
      <w:r w:rsidR="00B462DC">
        <w:rPr>
          <w:spacing w:val="-2"/>
          <w:lang w:val="en-GB"/>
        </w:rPr>
        <w:t>,</w:t>
      </w:r>
      <w:r w:rsidRPr="00A92D75">
        <w:rPr>
          <w:spacing w:val="-2"/>
          <w:lang w:val="en-GB"/>
        </w:rPr>
        <w:t xml:space="preserve"> the gasoline engine was under threat from the lithium battery power train.</w:t>
      </w:r>
      <w:r w:rsidR="00A92D75" w:rsidRPr="00A92D75">
        <w:rPr>
          <w:spacing w:val="-2"/>
          <w:lang w:val="en-GB"/>
        </w:rPr>
        <w:t xml:space="preserve"> </w:t>
      </w:r>
      <w:r w:rsidRPr="00A92D75">
        <w:rPr>
          <w:spacing w:val="-2"/>
          <w:lang w:val="en-GB"/>
        </w:rPr>
        <w:t xml:space="preserve">However, </w:t>
      </w:r>
      <w:r w:rsidR="00B462DC">
        <w:rPr>
          <w:spacing w:val="-2"/>
          <w:lang w:val="en-GB"/>
        </w:rPr>
        <w:t xml:space="preserve">history </w:t>
      </w:r>
      <w:r w:rsidRPr="00A92D75">
        <w:rPr>
          <w:spacing w:val="-2"/>
          <w:lang w:val="en-GB"/>
        </w:rPr>
        <w:t xml:space="preserve">had also </w:t>
      </w:r>
      <w:r w:rsidR="00B462DC">
        <w:rPr>
          <w:spacing w:val="-2"/>
          <w:lang w:val="en-GB"/>
        </w:rPr>
        <w:t>recorded</w:t>
      </w:r>
      <w:r w:rsidR="00B462DC" w:rsidRPr="00A92D75">
        <w:rPr>
          <w:spacing w:val="-2"/>
          <w:lang w:val="en-GB"/>
        </w:rPr>
        <w:t xml:space="preserve"> </w:t>
      </w:r>
      <w:r w:rsidRPr="00A92D75">
        <w:rPr>
          <w:spacing w:val="-2"/>
          <w:lang w:val="en-GB"/>
        </w:rPr>
        <w:t>notable failures</w:t>
      </w:r>
      <w:r w:rsidR="00B462DC">
        <w:rPr>
          <w:spacing w:val="-2"/>
          <w:lang w:val="en-GB"/>
        </w:rPr>
        <w:t>,</w:t>
      </w:r>
      <w:r w:rsidRPr="00A92D75">
        <w:rPr>
          <w:spacing w:val="-2"/>
          <w:lang w:val="en-GB"/>
        </w:rPr>
        <w:t xml:space="preserve"> including Apple’s attempt at putting a computer in your pocket</w:t>
      </w:r>
      <w:r w:rsidR="00B462DC">
        <w:rPr>
          <w:spacing w:val="-2"/>
          <w:lang w:val="en-GB"/>
        </w:rPr>
        <w:t>—</w:t>
      </w:r>
      <w:r w:rsidRPr="00A92D75">
        <w:rPr>
          <w:spacing w:val="-2"/>
          <w:lang w:val="en-GB"/>
        </w:rPr>
        <w:t xml:space="preserve">the Newton in </w:t>
      </w:r>
      <w:r w:rsidR="002B4D2D">
        <w:rPr>
          <w:spacing w:val="-2"/>
          <w:lang w:val="en-GB"/>
        </w:rPr>
        <w:t xml:space="preserve">the </w:t>
      </w:r>
      <w:r w:rsidRPr="00A92D75">
        <w:rPr>
          <w:spacing w:val="-2"/>
          <w:lang w:val="en-GB"/>
        </w:rPr>
        <w:t>early 1990s.</w:t>
      </w:r>
      <w:r w:rsidR="00A92D75" w:rsidRPr="00A92D75">
        <w:rPr>
          <w:spacing w:val="-2"/>
          <w:lang w:val="en-GB"/>
        </w:rPr>
        <w:t xml:space="preserve"> </w:t>
      </w:r>
      <w:r w:rsidRPr="00A92D75">
        <w:rPr>
          <w:spacing w:val="-2"/>
          <w:lang w:val="en-GB"/>
        </w:rPr>
        <w:t>In his seminal work</w:t>
      </w:r>
      <w:r w:rsidR="00B462DC">
        <w:rPr>
          <w:spacing w:val="-2"/>
          <w:lang w:val="en-GB"/>
        </w:rPr>
        <w:t>,</w:t>
      </w:r>
      <w:r w:rsidRPr="00A92D75">
        <w:rPr>
          <w:spacing w:val="-2"/>
          <w:lang w:val="en-GB"/>
        </w:rPr>
        <w:t xml:space="preserve"> </w:t>
      </w:r>
      <w:r w:rsidRPr="00A92D75">
        <w:rPr>
          <w:i/>
          <w:spacing w:val="-2"/>
          <w:lang w:val="en-GB"/>
        </w:rPr>
        <w:t>The Innovator’s Dilemma</w:t>
      </w:r>
      <w:r w:rsidRPr="00A92D75">
        <w:rPr>
          <w:spacing w:val="-2"/>
          <w:lang w:val="en-GB"/>
        </w:rPr>
        <w:t>,</w:t>
      </w:r>
      <w:r w:rsidR="00B462DC">
        <w:rPr>
          <w:rStyle w:val="EndnoteReference"/>
          <w:spacing w:val="-2"/>
          <w:lang w:val="en-GB"/>
        </w:rPr>
        <w:endnoteReference w:id="8"/>
      </w:r>
      <w:r w:rsidRPr="00A92D75">
        <w:rPr>
          <w:spacing w:val="-2"/>
          <w:lang w:val="en-GB"/>
        </w:rPr>
        <w:t xml:space="preserve"> Clayton Christensen identified a simple formula for </w:t>
      </w:r>
      <w:r w:rsidR="00B462DC">
        <w:rPr>
          <w:spacing w:val="-2"/>
          <w:lang w:val="en-GB"/>
        </w:rPr>
        <w:t xml:space="preserve">achieving </w:t>
      </w:r>
      <w:r w:rsidRPr="00A92D75">
        <w:rPr>
          <w:spacing w:val="-2"/>
          <w:lang w:val="en-GB"/>
        </w:rPr>
        <w:t xml:space="preserve">success </w:t>
      </w:r>
      <w:r w:rsidR="002B4D2D">
        <w:rPr>
          <w:spacing w:val="-2"/>
          <w:lang w:val="en-GB"/>
        </w:rPr>
        <w:t>through</w:t>
      </w:r>
      <w:r w:rsidR="002B4D2D" w:rsidRPr="00A92D75">
        <w:rPr>
          <w:spacing w:val="-2"/>
          <w:lang w:val="en-GB"/>
        </w:rPr>
        <w:t xml:space="preserve"> </w:t>
      </w:r>
      <w:r w:rsidRPr="00A92D75">
        <w:rPr>
          <w:spacing w:val="-2"/>
          <w:lang w:val="en-GB"/>
        </w:rPr>
        <w:t>disruptive innovation.</w:t>
      </w:r>
      <w:r w:rsidR="00A92D75" w:rsidRPr="00A92D75">
        <w:rPr>
          <w:spacing w:val="-2"/>
          <w:lang w:val="en-GB"/>
        </w:rPr>
        <w:t xml:space="preserve"> </w:t>
      </w:r>
      <w:r w:rsidRPr="00A92D75">
        <w:rPr>
          <w:spacing w:val="-2"/>
          <w:lang w:val="en-GB"/>
        </w:rPr>
        <w:t xml:space="preserve">Because new technology was initially prohibitively expensive, </w:t>
      </w:r>
      <w:r w:rsidR="00B462DC" w:rsidRPr="00A92D75">
        <w:rPr>
          <w:spacing w:val="-2"/>
          <w:lang w:val="en-GB"/>
        </w:rPr>
        <w:t>to be initially profitable</w:t>
      </w:r>
      <w:r w:rsidR="00B462DC">
        <w:rPr>
          <w:spacing w:val="-2"/>
          <w:lang w:val="en-GB"/>
        </w:rPr>
        <w:t>,</w:t>
      </w:r>
      <w:r w:rsidR="00B462DC" w:rsidRPr="00A92D75">
        <w:rPr>
          <w:spacing w:val="-2"/>
          <w:lang w:val="en-GB"/>
        </w:rPr>
        <w:t xml:space="preserve"> </w:t>
      </w:r>
      <w:r w:rsidRPr="00A92D75">
        <w:rPr>
          <w:spacing w:val="-2"/>
          <w:lang w:val="en-GB"/>
        </w:rPr>
        <w:t xml:space="preserve">the disruptive business model </w:t>
      </w:r>
      <w:r w:rsidR="00B462DC">
        <w:rPr>
          <w:spacing w:val="-2"/>
          <w:lang w:val="en-GB"/>
        </w:rPr>
        <w:t>needed</w:t>
      </w:r>
      <w:r w:rsidR="00B462DC" w:rsidRPr="00A92D75">
        <w:rPr>
          <w:spacing w:val="-2"/>
          <w:lang w:val="en-GB"/>
        </w:rPr>
        <w:t xml:space="preserve"> </w:t>
      </w:r>
      <w:r w:rsidRPr="00A92D75">
        <w:rPr>
          <w:spacing w:val="-2"/>
          <w:lang w:val="en-GB"/>
        </w:rPr>
        <w:t>to target a niche segment that was willing to pay for it.</w:t>
      </w:r>
      <w:r w:rsidR="00A92D75" w:rsidRPr="00A92D75">
        <w:rPr>
          <w:spacing w:val="-2"/>
          <w:lang w:val="en-GB"/>
        </w:rPr>
        <w:t xml:space="preserve"> </w:t>
      </w:r>
      <w:r w:rsidR="00B462DC">
        <w:rPr>
          <w:spacing w:val="-2"/>
          <w:lang w:val="en-GB"/>
        </w:rPr>
        <w:t>I</w:t>
      </w:r>
      <w:r w:rsidRPr="00A92D75">
        <w:rPr>
          <w:spacing w:val="-2"/>
          <w:lang w:val="en-GB"/>
        </w:rPr>
        <w:t xml:space="preserve">f </w:t>
      </w:r>
      <w:r w:rsidR="00B462DC">
        <w:rPr>
          <w:spacing w:val="-2"/>
          <w:lang w:val="en-GB"/>
        </w:rPr>
        <w:t xml:space="preserve">and when </w:t>
      </w:r>
      <w:r w:rsidRPr="00A92D75">
        <w:rPr>
          <w:spacing w:val="-2"/>
          <w:lang w:val="en-GB"/>
        </w:rPr>
        <w:t xml:space="preserve">the cost of the technology </w:t>
      </w:r>
      <w:r w:rsidR="00B462DC">
        <w:rPr>
          <w:spacing w:val="-2"/>
          <w:lang w:val="en-GB"/>
        </w:rPr>
        <w:t>descended</w:t>
      </w:r>
      <w:r w:rsidRPr="00A92D75">
        <w:rPr>
          <w:spacing w:val="-2"/>
          <w:lang w:val="en-GB"/>
        </w:rPr>
        <w:t xml:space="preserve"> the cost curve</w:t>
      </w:r>
      <w:r w:rsidR="00B462DC">
        <w:rPr>
          <w:spacing w:val="-2"/>
          <w:lang w:val="en-GB"/>
        </w:rPr>
        <w:t>,</w:t>
      </w:r>
      <w:r w:rsidRPr="00A92D75">
        <w:rPr>
          <w:spacing w:val="-2"/>
          <w:lang w:val="en-GB"/>
        </w:rPr>
        <w:t xml:space="preserve"> it could lead to wider adoption and </w:t>
      </w:r>
      <w:r w:rsidR="00B462DC">
        <w:rPr>
          <w:spacing w:val="-2"/>
          <w:lang w:val="en-GB"/>
        </w:rPr>
        <w:t>ultimate</w:t>
      </w:r>
      <w:r w:rsidR="00B462DC" w:rsidRPr="00A92D75">
        <w:rPr>
          <w:spacing w:val="-2"/>
          <w:lang w:val="en-GB"/>
        </w:rPr>
        <w:t xml:space="preserve">ly </w:t>
      </w:r>
      <w:r w:rsidRPr="00A92D75">
        <w:rPr>
          <w:spacing w:val="-2"/>
          <w:lang w:val="en-GB"/>
        </w:rPr>
        <w:t xml:space="preserve">disruption of the existing business model. However, the key phrase </w:t>
      </w:r>
      <w:r w:rsidR="00B462DC">
        <w:rPr>
          <w:spacing w:val="-2"/>
          <w:lang w:val="en-GB"/>
        </w:rPr>
        <w:t>wa</w:t>
      </w:r>
      <w:r w:rsidR="00B462DC" w:rsidRPr="00A92D75">
        <w:rPr>
          <w:spacing w:val="-2"/>
          <w:lang w:val="en-GB"/>
        </w:rPr>
        <w:t xml:space="preserve">s </w:t>
      </w:r>
      <w:r w:rsidR="00B462DC">
        <w:rPr>
          <w:spacing w:val="-2"/>
          <w:lang w:val="en-GB"/>
        </w:rPr>
        <w:t>“</w:t>
      </w:r>
      <w:r w:rsidRPr="00A92D75">
        <w:rPr>
          <w:spacing w:val="-2"/>
          <w:lang w:val="en-GB"/>
        </w:rPr>
        <w:t>initially profitable.</w:t>
      </w:r>
      <w:r w:rsidR="00B462DC">
        <w:rPr>
          <w:spacing w:val="-2"/>
          <w:lang w:val="en-GB"/>
        </w:rPr>
        <w:t>”</w:t>
      </w:r>
      <w:r w:rsidRPr="00A92D75">
        <w:rPr>
          <w:spacing w:val="-2"/>
          <w:lang w:val="en-GB"/>
        </w:rPr>
        <w:t xml:space="preserve"> Many potential disruptors </w:t>
      </w:r>
      <w:r w:rsidR="00B462DC" w:rsidRPr="00A92D75">
        <w:rPr>
          <w:spacing w:val="-2"/>
          <w:lang w:val="en-GB"/>
        </w:rPr>
        <w:t>ha</w:t>
      </w:r>
      <w:r w:rsidR="00B462DC">
        <w:rPr>
          <w:spacing w:val="-2"/>
          <w:lang w:val="en-GB"/>
        </w:rPr>
        <w:t>d</w:t>
      </w:r>
      <w:r w:rsidR="00B462DC" w:rsidRPr="00A92D75">
        <w:rPr>
          <w:spacing w:val="-2"/>
          <w:lang w:val="en-GB"/>
        </w:rPr>
        <w:t xml:space="preserve"> </w:t>
      </w:r>
      <w:r w:rsidRPr="00A92D75">
        <w:rPr>
          <w:spacing w:val="-2"/>
          <w:lang w:val="en-GB"/>
        </w:rPr>
        <w:t>burned through cash in the</w:t>
      </w:r>
      <w:r w:rsidR="00B462DC">
        <w:rPr>
          <w:spacing w:val="-2"/>
          <w:lang w:val="en-GB"/>
        </w:rPr>
        <w:t>ir</w:t>
      </w:r>
      <w:r w:rsidRPr="00A92D75">
        <w:rPr>
          <w:spacing w:val="-2"/>
          <w:lang w:val="en-GB"/>
        </w:rPr>
        <w:t xml:space="preserve"> early days</w:t>
      </w:r>
      <w:r w:rsidR="00B462DC">
        <w:rPr>
          <w:spacing w:val="-2"/>
          <w:lang w:val="en-GB"/>
        </w:rPr>
        <w:t>—</w:t>
      </w:r>
      <w:r w:rsidRPr="00A92D75">
        <w:rPr>
          <w:spacing w:val="-2"/>
          <w:lang w:val="en-GB"/>
        </w:rPr>
        <w:t>and failed.</w:t>
      </w:r>
      <w:r w:rsidR="00A92D75" w:rsidRPr="00A92D75">
        <w:rPr>
          <w:spacing w:val="-2"/>
          <w:lang w:val="en-GB"/>
        </w:rPr>
        <w:t xml:space="preserve"> </w:t>
      </w:r>
    </w:p>
    <w:p w14:paraId="30CFEAAC" w14:textId="77777777" w:rsidR="00923475" w:rsidRPr="00A92D75" w:rsidRDefault="00923475" w:rsidP="00923475">
      <w:pPr>
        <w:pStyle w:val="BodyTextMain"/>
        <w:rPr>
          <w:lang w:val="en-GB"/>
        </w:rPr>
      </w:pPr>
    </w:p>
    <w:p w14:paraId="336AA89E" w14:textId="466A8E5E" w:rsidR="00923475" w:rsidRPr="00EA0692" w:rsidRDefault="00923475" w:rsidP="00923475">
      <w:pPr>
        <w:pStyle w:val="BodyTextMain"/>
        <w:rPr>
          <w:spacing w:val="-2"/>
          <w:lang w:val="en-GB"/>
        </w:rPr>
      </w:pPr>
      <w:r w:rsidRPr="00EA0692">
        <w:rPr>
          <w:spacing w:val="-2"/>
          <w:lang w:val="en-GB"/>
        </w:rPr>
        <w:t>Tesla positioned the Roadster as a high-performance sports car</w:t>
      </w:r>
      <w:r w:rsidR="00C04F2D" w:rsidRPr="00EA0692">
        <w:rPr>
          <w:spacing w:val="-2"/>
          <w:lang w:val="en-GB"/>
        </w:rPr>
        <w:t>, capable of</w:t>
      </w:r>
      <w:r w:rsidRPr="00EA0692">
        <w:rPr>
          <w:spacing w:val="-2"/>
          <w:lang w:val="en-GB"/>
        </w:rPr>
        <w:t xml:space="preserve"> 0</w:t>
      </w:r>
      <w:r w:rsidR="00B462DC" w:rsidRPr="00EA0692">
        <w:rPr>
          <w:spacing w:val="-2"/>
          <w:lang w:val="en-GB"/>
        </w:rPr>
        <w:t>–</w:t>
      </w:r>
      <w:r w:rsidRPr="00EA0692">
        <w:rPr>
          <w:spacing w:val="-2"/>
          <w:lang w:val="en-GB"/>
        </w:rPr>
        <w:t xml:space="preserve">60 </w:t>
      </w:r>
      <w:r w:rsidR="00B241CD" w:rsidRPr="00EA0692">
        <w:rPr>
          <w:spacing w:val="-2"/>
          <w:lang w:val="en-GB"/>
        </w:rPr>
        <w:t>miles per hour</w:t>
      </w:r>
      <w:r w:rsidR="002B4D2D" w:rsidRPr="00EA0692">
        <w:rPr>
          <w:spacing w:val="-2"/>
          <w:lang w:val="en-GB"/>
        </w:rPr>
        <w:t xml:space="preserve"> </w:t>
      </w:r>
      <w:r w:rsidR="00C04F2D" w:rsidRPr="00EA0692">
        <w:rPr>
          <w:spacing w:val="-2"/>
          <w:lang w:val="en-GB"/>
        </w:rPr>
        <w:t>(</w:t>
      </w:r>
      <w:r w:rsidR="002B4D2D" w:rsidRPr="00EA0692">
        <w:rPr>
          <w:spacing w:val="-2"/>
          <w:lang w:val="en-GB"/>
        </w:rPr>
        <w:t>0–96 kilometres</w:t>
      </w:r>
      <w:r w:rsidR="00C04F2D" w:rsidRPr="00EA0692">
        <w:rPr>
          <w:spacing w:val="-2"/>
          <w:lang w:val="en-GB"/>
        </w:rPr>
        <w:t>)</w:t>
      </w:r>
      <w:r w:rsidR="00B241CD" w:rsidRPr="00EA0692">
        <w:rPr>
          <w:spacing w:val="-2"/>
          <w:lang w:val="en-GB"/>
        </w:rPr>
        <w:t xml:space="preserve"> </w:t>
      </w:r>
      <w:r w:rsidRPr="00EA0692">
        <w:rPr>
          <w:spacing w:val="-2"/>
          <w:lang w:val="en-GB"/>
        </w:rPr>
        <w:t xml:space="preserve">in </w:t>
      </w:r>
      <w:r w:rsidR="00FE0727">
        <w:rPr>
          <w:spacing w:val="-2"/>
          <w:lang w:val="en-GB"/>
        </w:rPr>
        <w:t>three</w:t>
      </w:r>
      <w:r w:rsidRPr="00EA0692">
        <w:rPr>
          <w:spacing w:val="-2"/>
          <w:lang w:val="en-GB"/>
        </w:rPr>
        <w:t xml:space="preserve"> seconds.</w:t>
      </w:r>
      <w:r w:rsidR="00A92D75" w:rsidRPr="00EA0692">
        <w:rPr>
          <w:spacing w:val="-2"/>
          <w:lang w:val="en-GB"/>
        </w:rPr>
        <w:t xml:space="preserve"> </w:t>
      </w:r>
      <w:r w:rsidRPr="00EA0692">
        <w:rPr>
          <w:spacing w:val="-2"/>
          <w:lang w:val="en-GB"/>
        </w:rPr>
        <w:t xml:space="preserve">This market segment was dominated by Porsche at the low end and </w:t>
      </w:r>
      <w:r w:rsidR="002616B0" w:rsidRPr="00EA0692">
        <w:rPr>
          <w:spacing w:val="-2"/>
          <w:lang w:val="en-GB"/>
        </w:rPr>
        <w:t xml:space="preserve">by </w:t>
      </w:r>
      <w:r w:rsidRPr="00EA0692">
        <w:rPr>
          <w:spacing w:val="-2"/>
          <w:lang w:val="en-GB"/>
        </w:rPr>
        <w:t>Ferrari and Lamborghini at the high end.</w:t>
      </w:r>
      <w:r w:rsidR="00A92D75" w:rsidRPr="00EA0692">
        <w:rPr>
          <w:spacing w:val="-2"/>
          <w:lang w:val="en-GB"/>
        </w:rPr>
        <w:t xml:space="preserve"> </w:t>
      </w:r>
      <w:r w:rsidRPr="00EA0692">
        <w:rPr>
          <w:spacing w:val="-2"/>
          <w:lang w:val="en-GB"/>
        </w:rPr>
        <w:t>Given the cost of the lithium battery in 2003 and the 248 horsepower</w:t>
      </w:r>
      <w:r w:rsidR="002616B0" w:rsidRPr="00EA0692">
        <w:rPr>
          <w:spacing w:val="-2"/>
          <w:lang w:val="en-GB"/>
        </w:rPr>
        <w:t xml:space="preserve"> (hp; 182 kilowatts</w:t>
      </w:r>
      <w:r w:rsidR="009373A3" w:rsidRPr="00EA0692">
        <w:rPr>
          <w:spacing w:val="-2"/>
          <w:lang w:val="en-GB"/>
        </w:rPr>
        <w:t xml:space="preserve"> [kW]</w:t>
      </w:r>
      <w:r w:rsidR="002616B0" w:rsidRPr="00EA0692">
        <w:rPr>
          <w:spacing w:val="-2"/>
          <w:lang w:val="en-GB"/>
        </w:rPr>
        <w:t>)</w:t>
      </w:r>
      <w:r w:rsidRPr="00EA0692">
        <w:rPr>
          <w:rStyle w:val="EndnoteReference"/>
          <w:spacing w:val="-2"/>
          <w:lang w:val="en-GB"/>
        </w:rPr>
        <w:endnoteReference w:id="9"/>
      </w:r>
      <w:r w:rsidRPr="00EA0692">
        <w:rPr>
          <w:spacing w:val="-2"/>
          <w:lang w:val="en-GB"/>
        </w:rPr>
        <w:t xml:space="preserve"> needed to drive a sports car, it was clear that the Roadster would be expensive to produce.</w:t>
      </w:r>
      <w:r w:rsidR="00A92D75" w:rsidRPr="00EA0692">
        <w:rPr>
          <w:spacing w:val="-2"/>
          <w:lang w:val="en-GB"/>
        </w:rPr>
        <w:t xml:space="preserve"> </w:t>
      </w:r>
      <w:r w:rsidRPr="00EA0692">
        <w:rPr>
          <w:spacing w:val="-2"/>
          <w:lang w:val="en-GB"/>
        </w:rPr>
        <w:t xml:space="preserve">The good news was that </w:t>
      </w:r>
      <w:r w:rsidR="000845A6" w:rsidRPr="00EA0692">
        <w:rPr>
          <w:spacing w:val="-2"/>
          <w:lang w:val="en-GB"/>
        </w:rPr>
        <w:t xml:space="preserve">the </w:t>
      </w:r>
      <w:r w:rsidRPr="00EA0692">
        <w:rPr>
          <w:spacing w:val="-2"/>
          <w:lang w:val="en-GB"/>
        </w:rPr>
        <w:t>cost of the lithium battery</w:t>
      </w:r>
      <w:r w:rsidR="00C04F2D" w:rsidRPr="00EA0692">
        <w:rPr>
          <w:spacing w:val="-2"/>
          <w:lang w:val="en-GB"/>
        </w:rPr>
        <w:t xml:space="preserve"> had</w:t>
      </w:r>
      <w:r w:rsidRPr="00EA0692">
        <w:rPr>
          <w:spacing w:val="-2"/>
          <w:lang w:val="en-GB"/>
        </w:rPr>
        <w:t xml:space="preserve"> dropped 80</w:t>
      </w:r>
      <w:r w:rsidR="00B241CD" w:rsidRPr="00EA0692">
        <w:rPr>
          <w:spacing w:val="-2"/>
          <w:lang w:val="en-GB"/>
        </w:rPr>
        <w:t xml:space="preserve"> per cent</w:t>
      </w:r>
      <w:r w:rsidRPr="00EA0692">
        <w:rPr>
          <w:spacing w:val="-2"/>
          <w:lang w:val="en-GB"/>
        </w:rPr>
        <w:t xml:space="preserve"> in </w:t>
      </w:r>
      <w:r w:rsidR="00B241CD" w:rsidRPr="00EA0692">
        <w:rPr>
          <w:spacing w:val="-2"/>
          <w:lang w:val="en-GB"/>
        </w:rPr>
        <w:t>six</w:t>
      </w:r>
      <w:r w:rsidRPr="00EA0692">
        <w:rPr>
          <w:spacing w:val="-2"/>
          <w:lang w:val="en-GB"/>
        </w:rPr>
        <w:t xml:space="preserve"> years to $227</w:t>
      </w:r>
      <w:r w:rsidR="00B241CD" w:rsidRPr="00EA0692">
        <w:rPr>
          <w:spacing w:val="-2"/>
          <w:lang w:val="en-GB"/>
        </w:rPr>
        <w:t xml:space="preserve"> per kilowatt hour (</w:t>
      </w:r>
      <w:r w:rsidRPr="00EA0692">
        <w:rPr>
          <w:spacing w:val="-2"/>
          <w:lang w:val="en-GB"/>
        </w:rPr>
        <w:t>kWh</w:t>
      </w:r>
      <w:r w:rsidR="00B241CD" w:rsidRPr="00EA0692">
        <w:rPr>
          <w:spacing w:val="-2"/>
          <w:lang w:val="en-GB"/>
        </w:rPr>
        <w:t>)</w:t>
      </w:r>
      <w:r w:rsidRPr="00EA0692">
        <w:rPr>
          <w:spacing w:val="-2"/>
          <w:lang w:val="en-GB"/>
        </w:rPr>
        <w:t>. Despite this</w:t>
      </w:r>
      <w:r w:rsidR="00B241CD" w:rsidRPr="00EA0692">
        <w:rPr>
          <w:spacing w:val="-2"/>
          <w:lang w:val="en-GB"/>
        </w:rPr>
        <w:t xml:space="preserve"> decrease</w:t>
      </w:r>
      <w:r w:rsidRPr="00EA0692">
        <w:rPr>
          <w:spacing w:val="-2"/>
          <w:lang w:val="en-GB"/>
        </w:rPr>
        <w:t xml:space="preserve">, an electric car </w:t>
      </w:r>
      <w:r w:rsidR="00C04F2D" w:rsidRPr="00EA0692">
        <w:rPr>
          <w:spacing w:val="-2"/>
          <w:lang w:val="en-GB"/>
        </w:rPr>
        <w:t xml:space="preserve">remained </w:t>
      </w:r>
      <w:r w:rsidRPr="00EA0692">
        <w:rPr>
          <w:spacing w:val="-2"/>
          <w:lang w:val="en-GB"/>
        </w:rPr>
        <w:t>prohibitively more expensive than the gasoline car</w:t>
      </w:r>
      <w:r w:rsidR="00B241CD" w:rsidRPr="00EA0692">
        <w:rPr>
          <w:spacing w:val="-2"/>
          <w:lang w:val="en-GB"/>
        </w:rPr>
        <w:t>,</w:t>
      </w:r>
      <w:r w:rsidRPr="00EA0692">
        <w:rPr>
          <w:spacing w:val="-2"/>
          <w:lang w:val="en-GB"/>
        </w:rPr>
        <w:t xml:space="preserve"> </w:t>
      </w:r>
      <w:r w:rsidR="00B241CD" w:rsidRPr="00EA0692">
        <w:rPr>
          <w:spacing w:val="-2"/>
          <w:lang w:val="en-GB"/>
        </w:rPr>
        <w:t xml:space="preserve">leading </w:t>
      </w:r>
      <w:r w:rsidRPr="00EA0692">
        <w:rPr>
          <w:spacing w:val="-2"/>
          <w:lang w:val="en-GB"/>
        </w:rPr>
        <w:t xml:space="preserve">the incumbent auto manufacturers </w:t>
      </w:r>
      <w:r w:rsidR="00B241CD" w:rsidRPr="00EA0692">
        <w:rPr>
          <w:spacing w:val="-2"/>
          <w:lang w:val="en-GB"/>
        </w:rPr>
        <w:t xml:space="preserve">to make </w:t>
      </w:r>
      <w:r w:rsidRPr="00EA0692">
        <w:rPr>
          <w:spacing w:val="-2"/>
          <w:lang w:val="en-GB"/>
        </w:rPr>
        <w:t xml:space="preserve">only token investments in the lithium battery power train. It was estimated that the lithium battery cost </w:t>
      </w:r>
      <w:r w:rsidR="00B241CD" w:rsidRPr="00EA0692">
        <w:rPr>
          <w:spacing w:val="-2"/>
          <w:lang w:val="en-GB"/>
        </w:rPr>
        <w:t xml:space="preserve">needed </w:t>
      </w:r>
      <w:r w:rsidRPr="00EA0692">
        <w:rPr>
          <w:spacing w:val="-2"/>
          <w:lang w:val="en-GB"/>
        </w:rPr>
        <w:t xml:space="preserve">to fall to $100/kWh to be comparable </w:t>
      </w:r>
      <w:r w:rsidR="00B241CD" w:rsidRPr="00EA0692">
        <w:rPr>
          <w:spacing w:val="-2"/>
          <w:lang w:val="en-GB"/>
        </w:rPr>
        <w:t xml:space="preserve">with the </w:t>
      </w:r>
      <w:r w:rsidR="00BE3BAA" w:rsidRPr="00EA0692">
        <w:rPr>
          <w:spacing w:val="-2"/>
          <w:lang w:val="en-GB"/>
        </w:rPr>
        <w:t>cost of</w:t>
      </w:r>
      <w:r w:rsidR="00B241CD" w:rsidRPr="00EA0692">
        <w:rPr>
          <w:spacing w:val="-2"/>
          <w:lang w:val="en-GB"/>
        </w:rPr>
        <w:t xml:space="preserve"> </w:t>
      </w:r>
      <w:r w:rsidRPr="00EA0692">
        <w:rPr>
          <w:spacing w:val="-2"/>
          <w:lang w:val="en-GB"/>
        </w:rPr>
        <w:t>gasoline engines.</w:t>
      </w:r>
      <w:r w:rsidRPr="00EA0692">
        <w:rPr>
          <w:rStyle w:val="EndnoteReference"/>
          <w:spacing w:val="-2"/>
          <w:lang w:val="en-GB"/>
        </w:rPr>
        <w:endnoteReference w:id="10"/>
      </w:r>
      <w:r w:rsidRPr="00EA0692">
        <w:rPr>
          <w:spacing w:val="-2"/>
          <w:lang w:val="en-GB"/>
        </w:rPr>
        <w:t xml:space="preserve"> The few all-electric cars targeted </w:t>
      </w:r>
      <w:r w:rsidR="00BE3BAA" w:rsidRPr="00EA0692">
        <w:rPr>
          <w:spacing w:val="-2"/>
          <w:lang w:val="en-GB"/>
        </w:rPr>
        <w:t xml:space="preserve">at </w:t>
      </w:r>
      <w:r w:rsidRPr="00EA0692">
        <w:rPr>
          <w:spacing w:val="-2"/>
          <w:lang w:val="en-GB"/>
        </w:rPr>
        <w:t xml:space="preserve">the low end </w:t>
      </w:r>
      <w:r w:rsidR="00BE3BAA" w:rsidRPr="00EA0692">
        <w:rPr>
          <w:spacing w:val="-2"/>
          <w:lang w:val="en-GB"/>
        </w:rPr>
        <w:t>were</w:t>
      </w:r>
      <w:r w:rsidRPr="00EA0692">
        <w:rPr>
          <w:spacing w:val="-2"/>
          <w:lang w:val="en-GB"/>
        </w:rPr>
        <w:t xml:space="preserve"> still priced around $40,000 (</w:t>
      </w:r>
      <w:r w:rsidR="00BE3BAA" w:rsidRPr="00EA0692">
        <w:rPr>
          <w:spacing w:val="-2"/>
          <w:lang w:val="en-GB"/>
        </w:rPr>
        <w:t xml:space="preserve">e.g., </w:t>
      </w:r>
      <w:r w:rsidR="00C04F2D" w:rsidRPr="00EA0692">
        <w:rPr>
          <w:spacing w:val="-2"/>
          <w:lang w:val="en-GB"/>
        </w:rPr>
        <w:t xml:space="preserve">the </w:t>
      </w:r>
      <w:r w:rsidRPr="00EA0692">
        <w:rPr>
          <w:spacing w:val="-2"/>
          <w:lang w:val="en-GB"/>
        </w:rPr>
        <w:t>Nissan Leaf).</w:t>
      </w:r>
      <w:r w:rsidR="00A92D75" w:rsidRPr="00EA0692">
        <w:rPr>
          <w:spacing w:val="-2"/>
          <w:lang w:val="en-GB"/>
        </w:rPr>
        <w:t xml:space="preserve"> </w:t>
      </w:r>
      <w:r w:rsidRPr="00EA0692">
        <w:rPr>
          <w:spacing w:val="-2"/>
          <w:lang w:val="en-GB"/>
        </w:rPr>
        <w:t>Further, the incumbent automotive firms were waiting for the battery companies to lower the cost of making the battery.</w:t>
      </w:r>
      <w:r w:rsidR="00A92D75" w:rsidRPr="00EA0692">
        <w:rPr>
          <w:spacing w:val="-2"/>
          <w:lang w:val="en-GB"/>
        </w:rPr>
        <w:t xml:space="preserve"> </w:t>
      </w:r>
      <w:r w:rsidRPr="00EA0692">
        <w:rPr>
          <w:spacing w:val="-2"/>
          <w:lang w:val="en-GB"/>
        </w:rPr>
        <w:t>Therefore, the opportunity for first-mover Tesla was to own the market for the electric car and internalize the battery value chain to control the cost reduction.</w:t>
      </w:r>
      <w:r w:rsidR="00A92D75" w:rsidRPr="00EA0692">
        <w:rPr>
          <w:spacing w:val="-2"/>
          <w:lang w:val="en-GB"/>
        </w:rPr>
        <w:t xml:space="preserve"> </w:t>
      </w:r>
      <w:r w:rsidR="00BC1CB1" w:rsidRPr="00EA0692">
        <w:rPr>
          <w:spacing w:val="-2"/>
          <w:lang w:val="en-GB"/>
        </w:rPr>
        <w:t>L</w:t>
      </w:r>
      <w:r w:rsidRPr="00EA0692">
        <w:rPr>
          <w:spacing w:val="-2"/>
          <w:lang w:val="en-GB"/>
        </w:rPr>
        <w:t xml:space="preserve">ike all disruptive innovators before it, </w:t>
      </w:r>
      <w:r w:rsidR="00BC1CB1" w:rsidRPr="00EA0692">
        <w:rPr>
          <w:spacing w:val="-2"/>
          <w:lang w:val="en-GB"/>
        </w:rPr>
        <w:t xml:space="preserve">however, </w:t>
      </w:r>
      <w:r w:rsidRPr="00EA0692">
        <w:rPr>
          <w:spacing w:val="-2"/>
          <w:lang w:val="en-GB"/>
        </w:rPr>
        <w:t>Tesla’s challenge was how not to run out of cash. Stated differently, Tesla’s first challenge was to convince its target market that it</w:t>
      </w:r>
      <w:r w:rsidR="00BE3BAA" w:rsidRPr="00EA0692">
        <w:rPr>
          <w:spacing w:val="-2"/>
          <w:lang w:val="en-GB"/>
        </w:rPr>
        <w:t>s product</w:t>
      </w:r>
      <w:r w:rsidRPr="00EA0692">
        <w:rPr>
          <w:spacing w:val="-2"/>
          <w:lang w:val="en-GB"/>
        </w:rPr>
        <w:t xml:space="preserve"> was worth paying for.</w:t>
      </w:r>
      <w:r w:rsidR="00A92D75" w:rsidRPr="00EA0692">
        <w:rPr>
          <w:spacing w:val="-2"/>
          <w:lang w:val="en-GB"/>
        </w:rPr>
        <w:t xml:space="preserve"> </w:t>
      </w:r>
    </w:p>
    <w:p w14:paraId="1DD390F7" w14:textId="77777777" w:rsidR="00923475" w:rsidRPr="00A92D75" w:rsidRDefault="00923475" w:rsidP="00923475">
      <w:pPr>
        <w:pStyle w:val="BodyTextMain"/>
        <w:rPr>
          <w:lang w:val="en-GB"/>
        </w:rPr>
      </w:pPr>
    </w:p>
    <w:p w14:paraId="586D05DB" w14:textId="77777777" w:rsidR="00923475" w:rsidRPr="00A92D75" w:rsidRDefault="00923475" w:rsidP="00923475">
      <w:pPr>
        <w:pStyle w:val="BodyTextMain"/>
        <w:rPr>
          <w:lang w:val="en-GB"/>
        </w:rPr>
      </w:pPr>
    </w:p>
    <w:p w14:paraId="69869040" w14:textId="77777777" w:rsidR="00923475" w:rsidRPr="00A92D75" w:rsidRDefault="00923475" w:rsidP="008E469F">
      <w:pPr>
        <w:pStyle w:val="Casehead2"/>
        <w:keepNext/>
        <w:rPr>
          <w:lang w:val="en-GB"/>
        </w:rPr>
      </w:pPr>
      <w:r w:rsidRPr="00A92D75">
        <w:rPr>
          <w:lang w:val="en-GB"/>
        </w:rPr>
        <w:t>Customers</w:t>
      </w:r>
    </w:p>
    <w:p w14:paraId="6A58E474" w14:textId="77777777" w:rsidR="00923475" w:rsidRPr="00A92D75" w:rsidRDefault="00923475" w:rsidP="008E469F">
      <w:pPr>
        <w:pStyle w:val="BodyTextMain"/>
        <w:keepNext/>
        <w:rPr>
          <w:lang w:val="en-GB"/>
        </w:rPr>
      </w:pPr>
    </w:p>
    <w:p w14:paraId="6F4123FC" w14:textId="5938FEDE" w:rsidR="00923475" w:rsidRPr="00A92D75" w:rsidRDefault="00923475" w:rsidP="008E469F">
      <w:pPr>
        <w:pStyle w:val="BodyTextMain"/>
        <w:keepNext/>
        <w:rPr>
          <w:lang w:val="en-GB"/>
        </w:rPr>
      </w:pPr>
      <w:r w:rsidRPr="00A92D75">
        <w:rPr>
          <w:lang w:val="en-GB"/>
        </w:rPr>
        <w:t xml:space="preserve">The rap against the high-end sports car was that </w:t>
      </w:r>
      <w:r w:rsidR="000845A6">
        <w:rPr>
          <w:lang w:val="en-GB"/>
        </w:rPr>
        <w:t>it</w:t>
      </w:r>
      <w:r w:rsidRPr="00A92D75">
        <w:rPr>
          <w:lang w:val="en-GB"/>
        </w:rPr>
        <w:t xml:space="preserve"> consumed a lot of fuel.</w:t>
      </w:r>
      <w:r w:rsidR="00A92D75" w:rsidRPr="00A92D75">
        <w:rPr>
          <w:lang w:val="en-GB"/>
        </w:rPr>
        <w:t xml:space="preserve"> </w:t>
      </w:r>
      <w:r w:rsidRPr="00A92D75">
        <w:rPr>
          <w:lang w:val="en-GB"/>
        </w:rPr>
        <w:t>Tesla exploited this point by targeting wealthy customers who were not only performance enthusiasts but also environmentally conscious.</w:t>
      </w:r>
      <w:r w:rsidR="00A92D75" w:rsidRPr="00A92D75">
        <w:rPr>
          <w:lang w:val="en-GB"/>
        </w:rPr>
        <w:t xml:space="preserve"> </w:t>
      </w:r>
      <w:r w:rsidRPr="00A92D75">
        <w:rPr>
          <w:lang w:val="en-GB"/>
        </w:rPr>
        <w:t>They wanted a car with a striking design that performed like a race</w:t>
      </w:r>
      <w:r w:rsidR="00BE3BAA">
        <w:rPr>
          <w:lang w:val="en-GB"/>
        </w:rPr>
        <w:t xml:space="preserve"> </w:t>
      </w:r>
      <w:r w:rsidRPr="00A92D75">
        <w:rPr>
          <w:lang w:val="en-GB"/>
        </w:rPr>
        <w:t xml:space="preserve">car but </w:t>
      </w:r>
      <w:r w:rsidR="00C04F2D">
        <w:rPr>
          <w:lang w:val="en-GB"/>
        </w:rPr>
        <w:t>incurred</w:t>
      </w:r>
      <w:r w:rsidR="00C04F2D" w:rsidRPr="00A92D75">
        <w:rPr>
          <w:lang w:val="en-GB"/>
        </w:rPr>
        <w:t xml:space="preserve"> </w:t>
      </w:r>
      <w:r w:rsidRPr="00A92D75">
        <w:rPr>
          <w:lang w:val="en-GB"/>
        </w:rPr>
        <w:t>a minimal carbon footprint.</w:t>
      </w:r>
      <w:r w:rsidR="00A92D75" w:rsidRPr="00A92D75">
        <w:rPr>
          <w:lang w:val="en-GB"/>
        </w:rPr>
        <w:t xml:space="preserve"> </w:t>
      </w:r>
      <w:r w:rsidRPr="00A92D75">
        <w:rPr>
          <w:lang w:val="en-GB"/>
        </w:rPr>
        <w:t xml:space="preserve">Tesla similarly focused on customers who liked the latest in technology </w:t>
      </w:r>
      <w:r w:rsidR="00BE3BAA">
        <w:rPr>
          <w:lang w:val="en-GB"/>
        </w:rPr>
        <w:t xml:space="preserve">and </w:t>
      </w:r>
      <w:r w:rsidRPr="00A92D75">
        <w:rPr>
          <w:lang w:val="en-GB"/>
        </w:rPr>
        <w:t xml:space="preserve">sought out </w:t>
      </w:r>
      <w:r w:rsidRPr="00A92D75">
        <w:rPr>
          <w:lang w:val="en-GB"/>
        </w:rPr>
        <w:lastRenderedPageBreak/>
        <w:t>exclusivity and status symbol</w:t>
      </w:r>
      <w:r w:rsidR="00C04F2D">
        <w:rPr>
          <w:lang w:val="en-GB"/>
        </w:rPr>
        <w:t>s</w:t>
      </w:r>
      <w:r w:rsidRPr="00A92D75">
        <w:rPr>
          <w:lang w:val="en-GB"/>
        </w:rPr>
        <w:t xml:space="preserve"> to increase their social capital.</w:t>
      </w:r>
      <w:r w:rsidR="00A92D75" w:rsidRPr="00A92D75">
        <w:rPr>
          <w:lang w:val="en-GB"/>
        </w:rPr>
        <w:t xml:space="preserve"> </w:t>
      </w:r>
      <w:r w:rsidRPr="00A92D75">
        <w:rPr>
          <w:lang w:val="en-GB"/>
        </w:rPr>
        <w:t>The Roadster’s design was sleek but not too flashy (</w:t>
      </w:r>
      <w:r w:rsidR="00BE3BAA">
        <w:rPr>
          <w:lang w:val="en-GB"/>
        </w:rPr>
        <w:t>compared with</w:t>
      </w:r>
      <w:r w:rsidRPr="00A92D75">
        <w:rPr>
          <w:lang w:val="en-GB"/>
        </w:rPr>
        <w:t xml:space="preserve"> a Lamborghini) with advanced gadgets such as piezoelectric door handles that open</w:t>
      </w:r>
      <w:r w:rsidR="00BE3BAA">
        <w:rPr>
          <w:lang w:val="en-GB"/>
        </w:rPr>
        <w:t>ed</w:t>
      </w:r>
      <w:r w:rsidRPr="00A92D75">
        <w:rPr>
          <w:lang w:val="en-GB"/>
        </w:rPr>
        <w:t xml:space="preserve"> out as the owner approached the car.</w:t>
      </w:r>
      <w:r w:rsidR="00A92D75" w:rsidRPr="00A92D75">
        <w:rPr>
          <w:lang w:val="en-GB"/>
        </w:rPr>
        <w:t xml:space="preserve"> </w:t>
      </w:r>
      <w:r w:rsidRPr="00A92D75">
        <w:rPr>
          <w:lang w:val="en-GB"/>
        </w:rPr>
        <w:t>Performance enthusiasts wanted a vehicle that could stand up to other muscle cars.</w:t>
      </w:r>
      <w:r w:rsidR="00A92D75" w:rsidRPr="00A92D75">
        <w:rPr>
          <w:lang w:val="en-GB"/>
        </w:rPr>
        <w:t xml:space="preserve"> </w:t>
      </w:r>
      <w:r w:rsidRPr="00A92D75">
        <w:rPr>
          <w:lang w:val="en-GB"/>
        </w:rPr>
        <w:t>Tesla obliged.</w:t>
      </w:r>
      <w:r w:rsidR="00A92D75" w:rsidRPr="00A92D75">
        <w:rPr>
          <w:lang w:val="en-GB"/>
        </w:rPr>
        <w:t xml:space="preserve"> </w:t>
      </w:r>
      <w:r w:rsidRPr="00A92D75">
        <w:rPr>
          <w:lang w:val="en-GB"/>
        </w:rPr>
        <w:t xml:space="preserve">Its battery-operated powertrains </w:t>
      </w:r>
      <w:r w:rsidR="00BE3BAA">
        <w:rPr>
          <w:lang w:val="en-GB"/>
        </w:rPr>
        <w:t>featured</w:t>
      </w:r>
      <w:r w:rsidR="00BE3BAA" w:rsidRPr="00A92D75">
        <w:rPr>
          <w:lang w:val="en-GB"/>
        </w:rPr>
        <w:t xml:space="preserve"> </w:t>
      </w:r>
      <w:r w:rsidRPr="00A92D75">
        <w:rPr>
          <w:lang w:val="en-GB"/>
        </w:rPr>
        <w:t>horsepower ranging from 302 to 416</w:t>
      </w:r>
      <w:r w:rsidR="00BE3BAA">
        <w:rPr>
          <w:lang w:val="en-GB"/>
        </w:rPr>
        <w:t xml:space="preserve"> (</w:t>
      </w:r>
      <w:r w:rsidR="00AF0900">
        <w:rPr>
          <w:lang w:val="en-GB"/>
        </w:rPr>
        <w:t>225–310 kW)</w:t>
      </w:r>
      <w:r w:rsidRPr="00A92D75">
        <w:rPr>
          <w:lang w:val="en-GB"/>
        </w:rPr>
        <w:t xml:space="preserve">, 0 to 60 miles </w:t>
      </w:r>
      <w:r w:rsidR="00AF0900">
        <w:rPr>
          <w:lang w:val="en-GB"/>
        </w:rPr>
        <w:t xml:space="preserve">(0–96 kilometres) </w:t>
      </w:r>
      <w:r w:rsidRPr="00A92D75">
        <w:rPr>
          <w:lang w:val="en-GB"/>
        </w:rPr>
        <w:t>per hour in 2.</w:t>
      </w:r>
      <w:r w:rsidR="00E5491A">
        <w:rPr>
          <w:lang w:val="en-GB"/>
        </w:rPr>
        <w:t>5</w:t>
      </w:r>
      <w:r w:rsidR="00E5491A" w:rsidRPr="00A92D75">
        <w:rPr>
          <w:lang w:val="en-GB"/>
        </w:rPr>
        <w:t xml:space="preserve"> </w:t>
      </w:r>
      <w:r w:rsidRPr="00A92D75">
        <w:rPr>
          <w:lang w:val="en-GB"/>
        </w:rPr>
        <w:t>seconds, and road</w:t>
      </w:r>
      <w:r w:rsidR="000845A6">
        <w:rPr>
          <w:lang w:val="en-GB"/>
        </w:rPr>
        <w:t>-</w:t>
      </w:r>
      <w:r w:rsidRPr="00A92D75">
        <w:rPr>
          <w:lang w:val="en-GB"/>
        </w:rPr>
        <w:t xml:space="preserve">holding that was equal to </w:t>
      </w:r>
      <w:r w:rsidR="00AF0900">
        <w:rPr>
          <w:lang w:val="en-GB"/>
        </w:rPr>
        <w:t xml:space="preserve">that of </w:t>
      </w:r>
      <w:r w:rsidRPr="00A92D75">
        <w:rPr>
          <w:lang w:val="en-GB"/>
        </w:rPr>
        <w:t>the best sports cars.</w:t>
      </w:r>
    </w:p>
    <w:p w14:paraId="310E5F54" w14:textId="77777777" w:rsidR="00923475" w:rsidRPr="00A92D75" w:rsidRDefault="00923475" w:rsidP="00923475">
      <w:pPr>
        <w:pStyle w:val="BodyTextMain"/>
        <w:rPr>
          <w:lang w:val="en-GB"/>
        </w:rPr>
      </w:pPr>
    </w:p>
    <w:p w14:paraId="0F6BD8D5" w14:textId="7A966D53" w:rsidR="00923475" w:rsidRPr="00A92D75" w:rsidRDefault="00923475" w:rsidP="00923475">
      <w:pPr>
        <w:pStyle w:val="BodyTextMain"/>
        <w:rPr>
          <w:spacing w:val="-2"/>
          <w:lang w:val="en-GB"/>
        </w:rPr>
      </w:pPr>
      <w:r w:rsidRPr="00A92D75">
        <w:rPr>
          <w:spacing w:val="-2"/>
          <w:lang w:val="en-GB"/>
        </w:rPr>
        <w:t xml:space="preserve">While this narrow segment would not lead to many sales, if successful, the </w:t>
      </w:r>
      <w:r w:rsidR="00AF0900">
        <w:rPr>
          <w:spacing w:val="-2"/>
          <w:lang w:val="en-GB"/>
        </w:rPr>
        <w:t xml:space="preserve">companies that manufactured </w:t>
      </w:r>
      <w:r w:rsidRPr="00A92D75">
        <w:rPr>
          <w:spacing w:val="-2"/>
          <w:lang w:val="en-GB"/>
        </w:rPr>
        <w:t>traditional performance car</w:t>
      </w:r>
      <w:r w:rsidR="00AF0900">
        <w:rPr>
          <w:spacing w:val="-2"/>
          <w:lang w:val="en-GB"/>
        </w:rPr>
        <w:t>s</w:t>
      </w:r>
      <w:r w:rsidRPr="00A92D75">
        <w:rPr>
          <w:spacing w:val="-2"/>
          <w:lang w:val="en-GB"/>
        </w:rPr>
        <w:t xml:space="preserve"> could not directly attack this segment.</w:t>
      </w:r>
      <w:r w:rsidR="00A92D75" w:rsidRPr="00A92D75">
        <w:rPr>
          <w:spacing w:val="-2"/>
          <w:lang w:val="en-GB"/>
        </w:rPr>
        <w:t xml:space="preserve"> </w:t>
      </w:r>
      <w:r w:rsidRPr="00A92D75">
        <w:rPr>
          <w:spacing w:val="-2"/>
          <w:lang w:val="en-GB"/>
        </w:rPr>
        <w:t>More importantly, if Tesla could sell to these customers, it would be profitable from the beginning.</w:t>
      </w:r>
      <w:r w:rsidR="00A92D75" w:rsidRPr="00A92D75">
        <w:rPr>
          <w:spacing w:val="-2"/>
          <w:lang w:val="en-GB"/>
        </w:rPr>
        <w:t xml:space="preserve"> </w:t>
      </w:r>
      <w:r w:rsidRPr="00A92D75">
        <w:rPr>
          <w:spacing w:val="-2"/>
          <w:lang w:val="en-GB"/>
        </w:rPr>
        <w:t>Tesla would then be in a much better position to expand or modify its product portfolio and to attract additional funding—the mother’s milk of start</w:t>
      </w:r>
      <w:r w:rsidR="00AF0900">
        <w:rPr>
          <w:spacing w:val="-2"/>
          <w:lang w:val="en-GB"/>
        </w:rPr>
        <w:t>-</w:t>
      </w:r>
      <w:r w:rsidRPr="00A92D75">
        <w:rPr>
          <w:spacing w:val="-2"/>
          <w:lang w:val="en-GB"/>
        </w:rPr>
        <w:t>ups</w:t>
      </w:r>
      <w:r w:rsidR="00E5491A">
        <w:rPr>
          <w:spacing w:val="-2"/>
          <w:lang w:val="en-GB"/>
        </w:rPr>
        <w:t xml:space="preserve"> </w:t>
      </w:r>
      <w:r w:rsidR="00E5491A">
        <w:t>(i.e., an essential factor to nurture and support their growth)</w:t>
      </w:r>
      <w:r w:rsidRPr="00A92D75">
        <w:rPr>
          <w:spacing w:val="-2"/>
          <w:lang w:val="en-GB"/>
        </w:rPr>
        <w:t>.</w:t>
      </w:r>
      <w:r w:rsidR="00A92D75" w:rsidRPr="00A92D75">
        <w:rPr>
          <w:spacing w:val="-2"/>
          <w:lang w:val="en-GB"/>
        </w:rPr>
        <w:t xml:space="preserve"> </w:t>
      </w:r>
    </w:p>
    <w:p w14:paraId="376A2983" w14:textId="77777777" w:rsidR="00923475" w:rsidRPr="00A92D75" w:rsidRDefault="00923475" w:rsidP="00923475">
      <w:pPr>
        <w:pStyle w:val="BodyTextMain"/>
        <w:rPr>
          <w:lang w:val="en-GB"/>
        </w:rPr>
      </w:pPr>
    </w:p>
    <w:p w14:paraId="7EC76106" w14:textId="5CD18B1D" w:rsidR="00923475" w:rsidRPr="00A92D75" w:rsidRDefault="00923475" w:rsidP="00923475">
      <w:pPr>
        <w:pStyle w:val="BodyTextMain"/>
        <w:rPr>
          <w:lang w:val="en-GB"/>
        </w:rPr>
      </w:pPr>
      <w:r w:rsidRPr="00A92D75">
        <w:rPr>
          <w:lang w:val="en-GB"/>
        </w:rPr>
        <w:t xml:space="preserve">Tesla focused on a few other </w:t>
      </w:r>
      <w:r w:rsidR="00FD28C5">
        <w:rPr>
          <w:lang w:val="en-GB"/>
        </w:rPr>
        <w:t xml:space="preserve">visible </w:t>
      </w:r>
      <w:r w:rsidRPr="00A92D75">
        <w:rPr>
          <w:lang w:val="en-GB"/>
        </w:rPr>
        <w:t>attributes that underlined the core reason why some customers would choose a Tesla.</w:t>
      </w:r>
      <w:r w:rsidR="00A92D75" w:rsidRPr="00A92D75">
        <w:rPr>
          <w:lang w:val="en-GB"/>
        </w:rPr>
        <w:t xml:space="preserve"> </w:t>
      </w:r>
      <w:r w:rsidRPr="00A92D75">
        <w:rPr>
          <w:lang w:val="en-GB"/>
        </w:rPr>
        <w:t xml:space="preserve">These customers wanted to feel </w:t>
      </w:r>
      <w:r w:rsidR="00FD28C5">
        <w:rPr>
          <w:lang w:val="en-GB"/>
        </w:rPr>
        <w:t>that</w:t>
      </w:r>
      <w:r w:rsidRPr="00A92D75">
        <w:rPr>
          <w:lang w:val="en-GB"/>
        </w:rPr>
        <w:t xml:space="preserve"> their purchase was helping reduce our </w:t>
      </w:r>
      <w:r w:rsidR="009373A3">
        <w:rPr>
          <w:lang w:val="en-GB"/>
        </w:rPr>
        <w:t xml:space="preserve">society’s </w:t>
      </w:r>
      <w:r w:rsidRPr="00A92D75">
        <w:rPr>
          <w:lang w:val="en-GB"/>
        </w:rPr>
        <w:t>reliance on fossil fuels.</w:t>
      </w:r>
      <w:r w:rsidR="00A92D75" w:rsidRPr="00A92D75">
        <w:rPr>
          <w:lang w:val="en-GB"/>
        </w:rPr>
        <w:t xml:space="preserve"> </w:t>
      </w:r>
      <w:r w:rsidRPr="00A92D75">
        <w:rPr>
          <w:lang w:val="en-GB"/>
        </w:rPr>
        <w:t>They wanted to be part of a larger environmental movement.</w:t>
      </w:r>
      <w:r w:rsidR="00A92D75" w:rsidRPr="00A92D75">
        <w:rPr>
          <w:lang w:val="en-GB"/>
        </w:rPr>
        <w:t xml:space="preserve"> </w:t>
      </w:r>
      <w:r w:rsidRPr="00A92D75">
        <w:rPr>
          <w:lang w:val="en-GB"/>
        </w:rPr>
        <w:t>As a result, they were much more aware of the nuanced environmental benefits and disadvantages of owning an electric vehicle.</w:t>
      </w:r>
      <w:r w:rsidR="00A92D75" w:rsidRPr="00A92D75">
        <w:rPr>
          <w:lang w:val="en-GB"/>
        </w:rPr>
        <w:t xml:space="preserve"> </w:t>
      </w:r>
      <w:r w:rsidRPr="00A92D75">
        <w:rPr>
          <w:lang w:val="en-GB"/>
        </w:rPr>
        <w:t xml:space="preserve">While these customers cared about performance and luxury, they were </w:t>
      </w:r>
      <w:r w:rsidR="00FD28C5">
        <w:rPr>
          <w:lang w:val="en-GB"/>
        </w:rPr>
        <w:t>also</w:t>
      </w:r>
      <w:r w:rsidR="00FD28C5" w:rsidRPr="00A92D75">
        <w:rPr>
          <w:lang w:val="en-GB"/>
        </w:rPr>
        <w:t xml:space="preserve"> </w:t>
      </w:r>
      <w:r w:rsidRPr="00A92D75">
        <w:rPr>
          <w:lang w:val="en-GB"/>
        </w:rPr>
        <w:t xml:space="preserve">willing to </w:t>
      </w:r>
      <w:r w:rsidR="00FD28C5">
        <w:rPr>
          <w:lang w:val="en-GB"/>
        </w:rPr>
        <w:t xml:space="preserve">make some </w:t>
      </w:r>
      <w:r w:rsidRPr="00A92D75">
        <w:rPr>
          <w:lang w:val="en-GB"/>
        </w:rPr>
        <w:t xml:space="preserve">sacrifice if it meant that their </w:t>
      </w:r>
      <w:r w:rsidR="00FD28C5">
        <w:rPr>
          <w:lang w:val="en-GB"/>
        </w:rPr>
        <w:t>vehicle choice</w:t>
      </w:r>
      <w:r w:rsidR="00FD28C5" w:rsidRPr="00A92D75">
        <w:rPr>
          <w:lang w:val="en-GB"/>
        </w:rPr>
        <w:t xml:space="preserve"> </w:t>
      </w:r>
      <w:r w:rsidR="00FD28C5">
        <w:rPr>
          <w:lang w:val="en-GB"/>
        </w:rPr>
        <w:t>incurred</w:t>
      </w:r>
      <w:r w:rsidR="00FD28C5" w:rsidRPr="00A92D75">
        <w:rPr>
          <w:lang w:val="en-GB"/>
        </w:rPr>
        <w:t xml:space="preserve"> </w:t>
      </w:r>
      <w:r w:rsidRPr="00A92D75">
        <w:rPr>
          <w:lang w:val="en-GB"/>
        </w:rPr>
        <w:t>a lower environmental impact.</w:t>
      </w:r>
      <w:r w:rsidRPr="00A92D75">
        <w:rPr>
          <w:rStyle w:val="EndnoteReference"/>
          <w:lang w:val="en-GB"/>
        </w:rPr>
        <w:endnoteReference w:id="11"/>
      </w:r>
    </w:p>
    <w:p w14:paraId="41E22C99" w14:textId="77777777" w:rsidR="00923475" w:rsidRPr="00A92D75" w:rsidRDefault="00923475" w:rsidP="00923475">
      <w:pPr>
        <w:pStyle w:val="BodyTextMain"/>
        <w:rPr>
          <w:lang w:val="en-GB"/>
        </w:rPr>
      </w:pPr>
    </w:p>
    <w:p w14:paraId="1CD5C885" w14:textId="4582931F" w:rsidR="00923475" w:rsidRPr="004B267E" w:rsidRDefault="00923475" w:rsidP="00923475">
      <w:pPr>
        <w:pStyle w:val="BodyTextMain"/>
        <w:rPr>
          <w:spacing w:val="-2"/>
          <w:lang w:val="en-GB"/>
        </w:rPr>
      </w:pPr>
      <w:r w:rsidRPr="004B267E">
        <w:rPr>
          <w:spacing w:val="-2"/>
          <w:lang w:val="en-GB"/>
        </w:rPr>
        <w:t>To satisfy these customers, Tesla empowered drivers to monitor their own energy consumption by designing a high-efficiency driving mode that allowed customers to maximize energy usage.</w:t>
      </w:r>
      <w:r w:rsidR="00A92D75" w:rsidRPr="004B267E">
        <w:rPr>
          <w:spacing w:val="-2"/>
          <w:lang w:val="en-GB"/>
        </w:rPr>
        <w:t xml:space="preserve"> </w:t>
      </w:r>
      <w:r w:rsidRPr="004B267E">
        <w:rPr>
          <w:spacing w:val="-2"/>
          <w:lang w:val="en-GB"/>
        </w:rPr>
        <w:t>Possibly even bigger was Tesla’s creation of a solar-powered recharging network.</w:t>
      </w:r>
      <w:r w:rsidR="00A92D75" w:rsidRPr="004B267E">
        <w:rPr>
          <w:spacing w:val="-2"/>
          <w:lang w:val="en-GB"/>
        </w:rPr>
        <w:t xml:space="preserve"> </w:t>
      </w:r>
      <w:r w:rsidRPr="004B267E">
        <w:rPr>
          <w:spacing w:val="-2"/>
          <w:lang w:val="en-GB"/>
        </w:rPr>
        <w:t xml:space="preserve">While battery-powered vehicles had much lower </w:t>
      </w:r>
      <w:r w:rsidR="00EC6E3A" w:rsidRPr="004B267E">
        <w:rPr>
          <w:spacing w:val="-2"/>
          <w:lang w:val="en-GB"/>
        </w:rPr>
        <w:t>carbon dioxide (</w:t>
      </w:r>
      <w:r w:rsidRPr="004B267E">
        <w:rPr>
          <w:spacing w:val="-2"/>
          <w:lang w:val="en-GB"/>
        </w:rPr>
        <w:t>CO</w:t>
      </w:r>
      <w:r w:rsidRPr="004B267E">
        <w:rPr>
          <w:spacing w:val="-2"/>
          <w:vertAlign w:val="subscript"/>
          <w:lang w:val="en-GB"/>
        </w:rPr>
        <w:t>2</w:t>
      </w:r>
      <w:r w:rsidR="00EC6E3A" w:rsidRPr="004B267E">
        <w:rPr>
          <w:spacing w:val="-2"/>
          <w:lang w:val="en-GB"/>
        </w:rPr>
        <w:t>)</w:t>
      </w:r>
      <w:r w:rsidRPr="004B267E">
        <w:rPr>
          <w:spacing w:val="-2"/>
          <w:lang w:val="en-GB"/>
        </w:rPr>
        <w:t xml:space="preserve"> emissions, batteries recharged by electricity generated from coal actually led to higher CO</w:t>
      </w:r>
      <w:r w:rsidRPr="004B267E">
        <w:rPr>
          <w:spacing w:val="-2"/>
          <w:vertAlign w:val="subscript"/>
          <w:lang w:val="en-GB"/>
        </w:rPr>
        <w:t>2</w:t>
      </w:r>
      <w:r w:rsidRPr="004B267E">
        <w:rPr>
          <w:spacing w:val="-2"/>
          <w:lang w:val="en-GB"/>
        </w:rPr>
        <w:t xml:space="preserve"> emissions than their gasoline counterparts.</w:t>
      </w:r>
      <w:r w:rsidRPr="004B267E">
        <w:rPr>
          <w:rStyle w:val="EndnoteReference"/>
          <w:spacing w:val="-2"/>
          <w:lang w:val="en-GB"/>
        </w:rPr>
        <w:endnoteReference w:id="12"/>
      </w:r>
      <w:r w:rsidR="00A92D75" w:rsidRPr="004B267E">
        <w:rPr>
          <w:noProof/>
          <w:spacing w:val="-2"/>
          <w:lang w:val="en-GB"/>
        </w:rPr>
        <w:t xml:space="preserve"> </w:t>
      </w:r>
      <w:r w:rsidRPr="004B267E">
        <w:rPr>
          <w:noProof/>
          <w:spacing w:val="-2"/>
          <w:lang w:val="en-GB"/>
        </w:rPr>
        <w:t xml:space="preserve">The solar-powered recharging stations addressed this concern. These </w:t>
      </w:r>
      <w:r w:rsidRPr="004B267E">
        <w:rPr>
          <w:spacing w:val="-2"/>
          <w:lang w:val="en-GB"/>
        </w:rPr>
        <w:t>stations were designed to generate excess capacity that would be sold back to the electric</w:t>
      </w:r>
      <w:r w:rsidR="00EC6E3A" w:rsidRPr="004B267E">
        <w:rPr>
          <w:spacing w:val="-2"/>
          <w:lang w:val="en-GB"/>
        </w:rPr>
        <w:t>ity</w:t>
      </w:r>
      <w:r w:rsidRPr="004B267E">
        <w:rPr>
          <w:spacing w:val="-2"/>
          <w:lang w:val="en-GB"/>
        </w:rPr>
        <w:t xml:space="preserve"> grid</w:t>
      </w:r>
      <w:r w:rsidR="0061618A" w:rsidRPr="004B267E">
        <w:rPr>
          <w:spacing w:val="-2"/>
          <w:lang w:val="en-GB"/>
        </w:rPr>
        <w:t>, which in turn</w:t>
      </w:r>
      <w:r w:rsidR="00EC6E3A" w:rsidRPr="004B267E">
        <w:rPr>
          <w:spacing w:val="-2"/>
          <w:lang w:val="en-GB"/>
        </w:rPr>
        <w:t xml:space="preserve"> </w:t>
      </w:r>
      <w:r w:rsidRPr="004B267E">
        <w:rPr>
          <w:spacing w:val="-2"/>
          <w:lang w:val="en-GB"/>
        </w:rPr>
        <w:t xml:space="preserve">generated the necessary funds </w:t>
      </w:r>
      <w:r w:rsidR="0061618A" w:rsidRPr="004B267E">
        <w:rPr>
          <w:spacing w:val="-2"/>
          <w:lang w:val="en-GB"/>
        </w:rPr>
        <w:t>for Tesla</w:t>
      </w:r>
      <w:r w:rsidRPr="004B267E">
        <w:rPr>
          <w:spacing w:val="-2"/>
          <w:lang w:val="en-GB"/>
        </w:rPr>
        <w:t xml:space="preserve"> to offer its recharging services to its customers for free.</w:t>
      </w:r>
      <w:r w:rsidR="00A92D75" w:rsidRPr="004B267E">
        <w:rPr>
          <w:spacing w:val="-2"/>
          <w:lang w:val="en-GB"/>
        </w:rPr>
        <w:t xml:space="preserve"> </w:t>
      </w:r>
      <w:r w:rsidRPr="004B267E">
        <w:rPr>
          <w:spacing w:val="-2"/>
          <w:lang w:val="en-GB"/>
        </w:rPr>
        <w:t>It also allowed the company to market that it was helping reduce the nation’s reliance on fossil fuel-powered electricity.</w:t>
      </w:r>
      <w:r w:rsidRPr="004B267E">
        <w:rPr>
          <w:rStyle w:val="EndnoteReference"/>
          <w:spacing w:val="-2"/>
          <w:lang w:val="en-GB"/>
        </w:rPr>
        <w:endnoteReference w:id="13"/>
      </w:r>
      <w:r w:rsidR="00A92D75" w:rsidRPr="004B267E">
        <w:rPr>
          <w:noProof/>
          <w:spacing w:val="-2"/>
          <w:lang w:val="en-GB"/>
        </w:rPr>
        <w:t xml:space="preserve"> </w:t>
      </w:r>
      <w:r w:rsidRPr="004B267E">
        <w:rPr>
          <w:noProof/>
          <w:spacing w:val="-2"/>
          <w:lang w:val="en-GB"/>
        </w:rPr>
        <w:t xml:space="preserve">To make these product attributes visible to its customers, Tesla </w:t>
      </w:r>
      <w:r w:rsidRPr="004B267E">
        <w:rPr>
          <w:spacing w:val="-2"/>
          <w:lang w:val="en-GB"/>
        </w:rPr>
        <w:t xml:space="preserve">designed its website to enable customers to track electricity transfer and to see how it directly </w:t>
      </w:r>
      <w:r w:rsidR="0061618A" w:rsidRPr="004B267E">
        <w:rPr>
          <w:spacing w:val="-2"/>
          <w:lang w:val="en-GB"/>
        </w:rPr>
        <w:t xml:space="preserve">benefited </w:t>
      </w:r>
      <w:r w:rsidRPr="004B267E">
        <w:rPr>
          <w:spacing w:val="-2"/>
          <w:lang w:val="en-GB"/>
        </w:rPr>
        <w:t>the environment.</w:t>
      </w:r>
      <w:r w:rsidRPr="004B267E">
        <w:rPr>
          <w:rStyle w:val="EndnoteReference"/>
          <w:spacing w:val="-2"/>
          <w:lang w:val="en-GB"/>
        </w:rPr>
        <w:endnoteReference w:id="14"/>
      </w:r>
    </w:p>
    <w:p w14:paraId="507A4F1D" w14:textId="77777777" w:rsidR="00923475" w:rsidRPr="00A92D75" w:rsidRDefault="00923475" w:rsidP="00923475">
      <w:pPr>
        <w:pStyle w:val="BodyTextMain"/>
        <w:rPr>
          <w:lang w:val="en-GB"/>
        </w:rPr>
      </w:pPr>
    </w:p>
    <w:p w14:paraId="7F39D93B" w14:textId="4BD0C929" w:rsidR="00923475" w:rsidRPr="00A92D75" w:rsidRDefault="00923475" w:rsidP="00923475">
      <w:pPr>
        <w:pStyle w:val="BodyTextMain"/>
        <w:rPr>
          <w:lang w:val="en-GB"/>
        </w:rPr>
      </w:pPr>
      <w:r w:rsidRPr="00A92D75">
        <w:rPr>
          <w:lang w:val="en-GB"/>
        </w:rPr>
        <w:t>Beyond the above attributes, in 2014 Tesla increased the warranty for the Model S to eight years.</w:t>
      </w:r>
      <w:r w:rsidR="00A92D75" w:rsidRPr="00A92D75">
        <w:rPr>
          <w:lang w:val="en-GB"/>
        </w:rPr>
        <w:t xml:space="preserve"> </w:t>
      </w:r>
      <w:r w:rsidRPr="00A92D75">
        <w:rPr>
          <w:lang w:val="en-GB"/>
        </w:rPr>
        <w:t xml:space="preserve">Electric powertrains </w:t>
      </w:r>
      <w:r w:rsidR="00E1117E" w:rsidRPr="00A92D75">
        <w:rPr>
          <w:lang w:val="en-GB"/>
        </w:rPr>
        <w:t>ha</w:t>
      </w:r>
      <w:r w:rsidR="00E1117E">
        <w:rPr>
          <w:lang w:val="en-GB"/>
        </w:rPr>
        <w:t>d</w:t>
      </w:r>
      <w:r w:rsidR="00E1117E" w:rsidRPr="00A92D75">
        <w:rPr>
          <w:lang w:val="en-GB"/>
        </w:rPr>
        <w:t xml:space="preserve"> </w:t>
      </w:r>
      <w:r w:rsidRPr="00A92D75">
        <w:rPr>
          <w:lang w:val="en-GB"/>
        </w:rPr>
        <w:t xml:space="preserve">fewer moving parts </w:t>
      </w:r>
      <w:r w:rsidR="00E1117E">
        <w:rPr>
          <w:lang w:val="en-GB"/>
        </w:rPr>
        <w:t xml:space="preserve">than </w:t>
      </w:r>
      <w:r w:rsidR="0061618A">
        <w:rPr>
          <w:lang w:val="en-GB"/>
        </w:rPr>
        <w:t>their</w:t>
      </w:r>
      <w:r w:rsidR="00E1117E">
        <w:rPr>
          <w:lang w:val="en-GB"/>
        </w:rPr>
        <w:t xml:space="preserve"> gasoline-powered counterparts </w:t>
      </w:r>
      <w:r w:rsidRPr="00A92D75">
        <w:rPr>
          <w:lang w:val="en-GB"/>
        </w:rPr>
        <w:t xml:space="preserve">and </w:t>
      </w:r>
      <w:r w:rsidR="0061618A">
        <w:rPr>
          <w:lang w:val="en-GB"/>
        </w:rPr>
        <w:t xml:space="preserve">produced </w:t>
      </w:r>
      <w:r w:rsidRPr="00A92D75">
        <w:rPr>
          <w:lang w:val="en-GB"/>
        </w:rPr>
        <w:t>no residue or by</w:t>
      </w:r>
      <w:r w:rsidR="00E1117E">
        <w:rPr>
          <w:lang w:val="en-GB"/>
        </w:rPr>
        <w:t>-</w:t>
      </w:r>
      <w:r w:rsidRPr="00A92D75">
        <w:rPr>
          <w:lang w:val="en-GB"/>
        </w:rPr>
        <w:t xml:space="preserve">products that </w:t>
      </w:r>
      <w:r w:rsidR="00E1117E" w:rsidRPr="00A92D75">
        <w:rPr>
          <w:lang w:val="en-GB"/>
        </w:rPr>
        <w:t>c</w:t>
      </w:r>
      <w:r w:rsidR="00E1117E">
        <w:rPr>
          <w:lang w:val="en-GB"/>
        </w:rPr>
        <w:t>ould</w:t>
      </w:r>
      <w:r w:rsidR="00E1117E" w:rsidRPr="00A92D75">
        <w:rPr>
          <w:lang w:val="en-GB"/>
        </w:rPr>
        <w:t xml:space="preserve"> </w:t>
      </w:r>
      <w:r w:rsidRPr="00A92D75">
        <w:rPr>
          <w:lang w:val="en-GB"/>
        </w:rPr>
        <w:t>choke the engine.</w:t>
      </w:r>
      <w:r w:rsidR="00A92D75" w:rsidRPr="00A92D75">
        <w:rPr>
          <w:lang w:val="en-GB"/>
        </w:rPr>
        <w:t xml:space="preserve"> </w:t>
      </w:r>
      <w:r w:rsidRPr="00A92D75">
        <w:rPr>
          <w:lang w:val="en-GB"/>
        </w:rPr>
        <w:t>Therefore, an electric car should last much longer.</w:t>
      </w:r>
      <w:r w:rsidR="00A92D75" w:rsidRPr="00A92D75">
        <w:rPr>
          <w:lang w:val="en-GB"/>
        </w:rPr>
        <w:t xml:space="preserve"> </w:t>
      </w:r>
      <w:r w:rsidRPr="00A92D75">
        <w:rPr>
          <w:lang w:val="en-GB"/>
        </w:rPr>
        <w:t>The warranty on the battery was eight years, so it made sense to extend the car’s warranty for that same period.</w:t>
      </w:r>
      <w:r w:rsidR="00A92D75" w:rsidRPr="00A92D75">
        <w:rPr>
          <w:lang w:val="en-GB"/>
        </w:rPr>
        <w:t xml:space="preserve"> </w:t>
      </w:r>
      <w:r w:rsidRPr="00A92D75">
        <w:rPr>
          <w:lang w:val="en-GB"/>
        </w:rPr>
        <w:t>As a further sign of product confidence, Tesla applied this warranty retroactively to all previously sold Model S cars.</w:t>
      </w:r>
      <w:r w:rsidR="00A92D75" w:rsidRPr="00A92D75">
        <w:rPr>
          <w:lang w:val="en-GB"/>
        </w:rPr>
        <w:t xml:space="preserve"> </w:t>
      </w:r>
      <w:r w:rsidRPr="00A92D75">
        <w:rPr>
          <w:lang w:val="en-GB"/>
        </w:rPr>
        <w:t xml:space="preserve">It </w:t>
      </w:r>
      <w:r w:rsidR="0061618A">
        <w:rPr>
          <w:lang w:val="en-GB"/>
        </w:rPr>
        <w:t xml:space="preserve">also </w:t>
      </w:r>
      <w:r w:rsidRPr="00A92D75">
        <w:rPr>
          <w:lang w:val="en-GB"/>
        </w:rPr>
        <w:t xml:space="preserve">gave </w:t>
      </w:r>
      <w:r w:rsidR="00E1117E">
        <w:rPr>
          <w:lang w:val="en-GB"/>
        </w:rPr>
        <w:t xml:space="preserve">Tesla </w:t>
      </w:r>
      <w:r w:rsidR="00BA287F">
        <w:rPr>
          <w:lang w:val="en-GB"/>
        </w:rPr>
        <w:t xml:space="preserve">owners </w:t>
      </w:r>
      <w:r w:rsidR="00BA287F" w:rsidRPr="00A92D75">
        <w:rPr>
          <w:lang w:val="en-GB"/>
        </w:rPr>
        <w:t>additional</w:t>
      </w:r>
      <w:r w:rsidRPr="00A92D75">
        <w:rPr>
          <w:lang w:val="en-GB"/>
        </w:rPr>
        <w:t xml:space="preserve"> assurance that </w:t>
      </w:r>
      <w:r w:rsidR="0061618A">
        <w:rPr>
          <w:lang w:val="en-GB"/>
        </w:rPr>
        <w:t>their</w:t>
      </w:r>
      <w:r w:rsidR="0061618A" w:rsidRPr="00A92D75">
        <w:rPr>
          <w:lang w:val="en-GB"/>
        </w:rPr>
        <w:t xml:space="preserve"> </w:t>
      </w:r>
      <w:r w:rsidRPr="00A92D75">
        <w:rPr>
          <w:lang w:val="en-GB"/>
        </w:rPr>
        <w:t>cars would hold their value by offering a three-year buyback guarantee.</w:t>
      </w:r>
    </w:p>
    <w:p w14:paraId="0DF98EDE" w14:textId="77777777" w:rsidR="004B267E" w:rsidRDefault="004B267E" w:rsidP="00923475">
      <w:pPr>
        <w:pStyle w:val="BodyTextMain"/>
        <w:rPr>
          <w:lang w:val="en-GB"/>
        </w:rPr>
      </w:pPr>
    </w:p>
    <w:p w14:paraId="694FBA7F" w14:textId="23C209BB" w:rsidR="00923475" w:rsidRPr="00A92D75" w:rsidRDefault="00923475" w:rsidP="00923475">
      <w:pPr>
        <w:pStyle w:val="BodyTextMain"/>
        <w:rPr>
          <w:lang w:val="en-GB"/>
        </w:rPr>
      </w:pPr>
      <w:r w:rsidRPr="00A92D75">
        <w:rPr>
          <w:lang w:val="en-GB"/>
        </w:rPr>
        <w:t>Tesla’s customer care did not end with the purchase.</w:t>
      </w:r>
      <w:r w:rsidR="00A92D75" w:rsidRPr="00A92D75">
        <w:rPr>
          <w:lang w:val="en-GB"/>
        </w:rPr>
        <w:t xml:space="preserve"> </w:t>
      </w:r>
      <w:r w:rsidRPr="00A92D75">
        <w:rPr>
          <w:lang w:val="en-GB"/>
        </w:rPr>
        <w:t>Once a customer took delivery of the car, Tesla offered a “white glove” service</w:t>
      </w:r>
      <w:r w:rsidR="002B5042">
        <w:rPr>
          <w:lang w:val="en-GB"/>
        </w:rPr>
        <w:t xml:space="preserve"> (i.e., a premium service that included special attention to detail)</w:t>
      </w:r>
      <w:r w:rsidRPr="00A92D75">
        <w:rPr>
          <w:lang w:val="en-GB"/>
        </w:rPr>
        <w:t>.</w:t>
      </w:r>
      <w:r w:rsidR="00A92D75" w:rsidRPr="00A92D75">
        <w:rPr>
          <w:lang w:val="en-GB"/>
        </w:rPr>
        <w:t xml:space="preserve"> </w:t>
      </w:r>
      <w:r w:rsidR="002B5042">
        <w:rPr>
          <w:lang w:val="en-GB"/>
        </w:rPr>
        <w:t>For example, w</w:t>
      </w:r>
      <w:r w:rsidRPr="00A92D75">
        <w:rPr>
          <w:lang w:val="en-GB"/>
        </w:rPr>
        <w:t>hen customer</w:t>
      </w:r>
      <w:r w:rsidR="00910E35">
        <w:rPr>
          <w:lang w:val="en-GB"/>
        </w:rPr>
        <w:t>s</w:t>
      </w:r>
      <w:r w:rsidRPr="00A92D75">
        <w:rPr>
          <w:lang w:val="en-GB"/>
        </w:rPr>
        <w:t xml:space="preserve"> </w:t>
      </w:r>
      <w:r w:rsidR="002B5042">
        <w:rPr>
          <w:lang w:val="en-GB"/>
        </w:rPr>
        <w:t>took their car</w:t>
      </w:r>
      <w:r w:rsidR="0061618A" w:rsidRPr="00A92D75">
        <w:rPr>
          <w:lang w:val="en-GB"/>
        </w:rPr>
        <w:t xml:space="preserve"> </w:t>
      </w:r>
      <w:r w:rsidRPr="00A92D75">
        <w:rPr>
          <w:lang w:val="en-GB"/>
        </w:rPr>
        <w:t>in for service, the company provided a valet.</w:t>
      </w:r>
      <w:r w:rsidR="00A92D75" w:rsidRPr="00A92D75">
        <w:rPr>
          <w:lang w:val="en-GB"/>
        </w:rPr>
        <w:t xml:space="preserve"> </w:t>
      </w:r>
      <w:r w:rsidRPr="00A92D75">
        <w:rPr>
          <w:lang w:val="en-GB"/>
        </w:rPr>
        <w:t>If a customer was stranded and needed mechanical help, Tesla service technicians known as “rangers” performed “house calls</w:t>
      </w:r>
      <w:r w:rsidR="00E1117E">
        <w:rPr>
          <w:lang w:val="en-GB"/>
        </w:rPr>
        <w:t>,</w:t>
      </w:r>
      <w:r w:rsidRPr="00A92D75">
        <w:rPr>
          <w:lang w:val="en-GB"/>
        </w:rPr>
        <w:t xml:space="preserve">” even </w:t>
      </w:r>
      <w:r w:rsidR="00E1117E">
        <w:rPr>
          <w:lang w:val="en-GB"/>
        </w:rPr>
        <w:t>aiding a Tesla driver stranded</w:t>
      </w:r>
      <w:r w:rsidRPr="00A92D75">
        <w:rPr>
          <w:lang w:val="en-GB"/>
        </w:rPr>
        <w:t xml:space="preserve"> on a deserted highway.</w:t>
      </w:r>
      <w:r w:rsidR="00A92D75" w:rsidRPr="00A92D75">
        <w:rPr>
          <w:lang w:val="en-GB"/>
        </w:rPr>
        <w:t xml:space="preserve"> </w:t>
      </w:r>
    </w:p>
    <w:p w14:paraId="32B282F6" w14:textId="77777777" w:rsidR="00923475" w:rsidRPr="00A92D75" w:rsidRDefault="00923475" w:rsidP="00923475">
      <w:pPr>
        <w:pStyle w:val="BodyTextMain"/>
        <w:rPr>
          <w:lang w:val="en-GB"/>
        </w:rPr>
      </w:pPr>
    </w:p>
    <w:p w14:paraId="0556F5A2" w14:textId="152D5658" w:rsidR="00923475" w:rsidRPr="00A92D75" w:rsidRDefault="00923475" w:rsidP="00923475">
      <w:pPr>
        <w:pStyle w:val="BodyTextMain"/>
        <w:rPr>
          <w:lang w:val="en-GB"/>
        </w:rPr>
      </w:pPr>
      <w:bookmarkStart w:id="0" w:name="temp"/>
      <w:bookmarkEnd w:id="0"/>
      <w:r w:rsidRPr="00A92D75">
        <w:rPr>
          <w:lang w:val="en-GB"/>
        </w:rPr>
        <w:t>While Tesla successfully navigated the first hurdle of a disruptive business model</w:t>
      </w:r>
      <w:r w:rsidR="00E1117E">
        <w:rPr>
          <w:lang w:val="en-GB"/>
        </w:rPr>
        <w:t>—</w:t>
      </w:r>
      <w:r w:rsidRPr="00A92D75">
        <w:rPr>
          <w:lang w:val="en-GB"/>
        </w:rPr>
        <w:t>being profitable at a small scale in its initial rollout</w:t>
      </w:r>
      <w:r w:rsidR="00E1117E">
        <w:rPr>
          <w:lang w:val="en-GB"/>
        </w:rPr>
        <w:t>—</w:t>
      </w:r>
      <w:r w:rsidRPr="00A92D75">
        <w:rPr>
          <w:lang w:val="en-GB"/>
        </w:rPr>
        <w:t xml:space="preserve">it faced significant challenges in other parts of the value chain, especially if it </w:t>
      </w:r>
      <w:r w:rsidR="002B5042">
        <w:rPr>
          <w:lang w:val="en-GB"/>
        </w:rPr>
        <w:t xml:space="preserve">intended to </w:t>
      </w:r>
      <w:r w:rsidRPr="00A92D75">
        <w:rPr>
          <w:lang w:val="en-GB"/>
        </w:rPr>
        <w:t>expand to the mass market.</w:t>
      </w:r>
      <w:r w:rsidR="00A92D75" w:rsidRPr="00A92D75">
        <w:rPr>
          <w:lang w:val="en-GB"/>
        </w:rPr>
        <w:t xml:space="preserve"> </w:t>
      </w:r>
      <w:r w:rsidRPr="00A92D75">
        <w:rPr>
          <w:lang w:val="en-GB"/>
        </w:rPr>
        <w:t xml:space="preserve">These </w:t>
      </w:r>
      <w:r w:rsidR="00E1117E">
        <w:rPr>
          <w:lang w:val="en-GB"/>
        </w:rPr>
        <w:t xml:space="preserve">additional challenges </w:t>
      </w:r>
      <w:r w:rsidRPr="00A92D75">
        <w:rPr>
          <w:lang w:val="en-GB"/>
        </w:rPr>
        <w:t>are detailed below.</w:t>
      </w:r>
    </w:p>
    <w:p w14:paraId="7419E84B" w14:textId="77777777" w:rsidR="00923475" w:rsidRPr="00A92D75" w:rsidRDefault="00923475" w:rsidP="00923475">
      <w:pPr>
        <w:pStyle w:val="BodyTextMain"/>
        <w:rPr>
          <w:lang w:val="en-GB"/>
        </w:rPr>
      </w:pPr>
    </w:p>
    <w:p w14:paraId="6A96D599" w14:textId="77777777" w:rsidR="00923475" w:rsidRPr="00A92D75" w:rsidRDefault="00923475" w:rsidP="00923475">
      <w:pPr>
        <w:pStyle w:val="Casehead2"/>
        <w:keepNext/>
        <w:rPr>
          <w:lang w:val="en-GB"/>
        </w:rPr>
      </w:pPr>
      <w:r w:rsidRPr="00A92D75">
        <w:rPr>
          <w:lang w:val="en-GB"/>
        </w:rPr>
        <w:lastRenderedPageBreak/>
        <w:t>Distribution Channels</w:t>
      </w:r>
    </w:p>
    <w:p w14:paraId="378D30BD" w14:textId="77777777" w:rsidR="00923475" w:rsidRPr="00A92D75" w:rsidRDefault="00923475" w:rsidP="00923475">
      <w:pPr>
        <w:pStyle w:val="BodyTextMain"/>
        <w:keepNext/>
        <w:rPr>
          <w:lang w:val="en-GB"/>
        </w:rPr>
      </w:pPr>
    </w:p>
    <w:p w14:paraId="3E939A8D" w14:textId="65FC0A9F" w:rsidR="00923475" w:rsidRPr="008E469F" w:rsidRDefault="00E5491A" w:rsidP="00923475">
      <w:pPr>
        <w:pStyle w:val="BodyTextMain"/>
        <w:keepNext/>
        <w:rPr>
          <w:spacing w:val="-2"/>
          <w:lang w:val="en-GB"/>
        </w:rPr>
      </w:pPr>
      <w:r>
        <w:t>Tesla had been a vocal critic of the traditional dealer-based distribution model, claiming the model was outdated and costly for consumers. The latter claim was supported by a Goldman Sachs report that estimated a direct-to-consumer distribution model would save customers approximately $2,225 on a $26,000 car or approximately 8.6 per cent</w:t>
      </w:r>
      <w:r w:rsidR="00923475" w:rsidRPr="008E469F">
        <w:rPr>
          <w:spacing w:val="-2"/>
          <w:lang w:val="en-GB"/>
        </w:rPr>
        <w:t>.</w:t>
      </w:r>
      <w:r w:rsidR="00923475" w:rsidRPr="008E469F">
        <w:rPr>
          <w:rStyle w:val="EndnoteReference"/>
          <w:spacing w:val="-2"/>
          <w:lang w:val="en-GB"/>
        </w:rPr>
        <w:endnoteReference w:id="15"/>
      </w:r>
      <w:r w:rsidR="00A92D75" w:rsidRPr="008E469F">
        <w:rPr>
          <w:spacing w:val="-2"/>
          <w:lang w:val="en-GB"/>
        </w:rPr>
        <w:t xml:space="preserve"> </w:t>
      </w:r>
      <w:r w:rsidR="00923475" w:rsidRPr="008E469F">
        <w:rPr>
          <w:spacing w:val="-2"/>
          <w:lang w:val="en-GB"/>
        </w:rPr>
        <w:t>The criticism was justified.</w:t>
      </w:r>
      <w:r w:rsidR="00A92D75" w:rsidRPr="008E469F">
        <w:rPr>
          <w:spacing w:val="-2"/>
          <w:lang w:val="en-GB"/>
        </w:rPr>
        <w:t xml:space="preserve"> </w:t>
      </w:r>
      <w:r w:rsidR="00923475" w:rsidRPr="008E469F">
        <w:rPr>
          <w:bCs/>
          <w:spacing w:val="-2"/>
          <w:lang w:val="en-GB"/>
        </w:rPr>
        <w:t xml:space="preserve">According to the National Automobile Dealers Association, </w:t>
      </w:r>
      <w:r w:rsidR="004710AD" w:rsidRPr="008E469F">
        <w:rPr>
          <w:bCs/>
          <w:spacing w:val="-2"/>
          <w:lang w:val="en-GB"/>
        </w:rPr>
        <w:t>in 2012, the United S</w:t>
      </w:r>
      <w:r w:rsidR="00C73E5F" w:rsidRPr="008E469F">
        <w:rPr>
          <w:bCs/>
          <w:spacing w:val="-2"/>
          <w:lang w:val="en-GB"/>
        </w:rPr>
        <w:t>tates had</w:t>
      </w:r>
      <w:r w:rsidR="00923475" w:rsidRPr="008E469F">
        <w:rPr>
          <w:bCs/>
          <w:spacing w:val="-2"/>
          <w:lang w:val="en-GB"/>
        </w:rPr>
        <w:t xml:space="preserve"> 17,635 franchised dealerships.</w:t>
      </w:r>
      <w:r w:rsidR="00A92D75" w:rsidRPr="008E469F">
        <w:rPr>
          <w:bCs/>
          <w:spacing w:val="-2"/>
          <w:lang w:val="en-GB"/>
        </w:rPr>
        <w:t xml:space="preserve"> </w:t>
      </w:r>
      <w:r w:rsidR="00923475" w:rsidRPr="008E469F">
        <w:rPr>
          <w:bCs/>
          <w:spacing w:val="-2"/>
          <w:lang w:val="en-GB"/>
        </w:rPr>
        <w:t xml:space="preserve">Total dealership revenue </w:t>
      </w:r>
      <w:r w:rsidR="00900E13" w:rsidRPr="008E469F">
        <w:rPr>
          <w:bCs/>
          <w:spacing w:val="-2"/>
          <w:lang w:val="en-GB"/>
        </w:rPr>
        <w:t xml:space="preserve">in 2012 </w:t>
      </w:r>
      <w:r w:rsidR="00923475" w:rsidRPr="008E469F">
        <w:rPr>
          <w:bCs/>
          <w:spacing w:val="-2"/>
          <w:lang w:val="en-GB"/>
        </w:rPr>
        <w:t>reached $676 billion, up 9.8</w:t>
      </w:r>
      <w:r w:rsidR="00900E13" w:rsidRPr="008E469F">
        <w:rPr>
          <w:bCs/>
          <w:spacing w:val="-2"/>
          <w:lang w:val="en-GB"/>
        </w:rPr>
        <w:t xml:space="preserve"> per cent</w:t>
      </w:r>
      <w:r w:rsidR="00923475" w:rsidRPr="008E469F">
        <w:rPr>
          <w:bCs/>
          <w:spacing w:val="-2"/>
          <w:lang w:val="en-GB"/>
        </w:rPr>
        <w:t xml:space="preserve"> over 2011</w:t>
      </w:r>
      <w:r w:rsidR="00900E13" w:rsidRPr="008E469F">
        <w:rPr>
          <w:bCs/>
          <w:spacing w:val="-2"/>
          <w:lang w:val="en-GB"/>
        </w:rPr>
        <w:t>; however,</w:t>
      </w:r>
      <w:r w:rsidR="00A92D75" w:rsidRPr="008E469F">
        <w:rPr>
          <w:bCs/>
          <w:spacing w:val="-2"/>
          <w:lang w:val="en-GB"/>
        </w:rPr>
        <w:t xml:space="preserve"> </w:t>
      </w:r>
      <w:r w:rsidR="00900E13" w:rsidRPr="008E469F">
        <w:rPr>
          <w:bCs/>
          <w:spacing w:val="-2"/>
          <w:lang w:val="en-GB"/>
        </w:rPr>
        <w:t>t</w:t>
      </w:r>
      <w:r w:rsidR="00923475" w:rsidRPr="008E469F">
        <w:rPr>
          <w:bCs/>
          <w:spacing w:val="-2"/>
          <w:lang w:val="en-GB"/>
        </w:rPr>
        <w:t>otal gross margins fell in 2012 due to increased costs and expenses</w:t>
      </w:r>
      <w:r w:rsidR="00900E13" w:rsidRPr="008E469F">
        <w:rPr>
          <w:bCs/>
          <w:spacing w:val="-2"/>
          <w:lang w:val="en-GB"/>
        </w:rPr>
        <w:t xml:space="preserve"> in such areas as</w:t>
      </w:r>
      <w:r w:rsidR="00923475" w:rsidRPr="008E469F">
        <w:rPr>
          <w:bCs/>
          <w:spacing w:val="-2"/>
          <w:lang w:val="en-GB"/>
        </w:rPr>
        <w:t xml:space="preserve"> advertising, rent, and payroll.</w:t>
      </w:r>
      <w:r w:rsidR="00923475" w:rsidRPr="008E469F">
        <w:rPr>
          <w:rStyle w:val="EndnoteReference"/>
          <w:bCs/>
          <w:spacing w:val="-2"/>
          <w:lang w:val="en-GB"/>
        </w:rPr>
        <w:endnoteReference w:id="16"/>
      </w:r>
      <w:r w:rsidR="00A92D75" w:rsidRPr="008E469F">
        <w:rPr>
          <w:bCs/>
          <w:spacing w:val="-2"/>
          <w:lang w:val="en-GB"/>
        </w:rPr>
        <w:t xml:space="preserve"> </w:t>
      </w:r>
      <w:r w:rsidR="00923475" w:rsidRPr="008E469F">
        <w:rPr>
          <w:spacing w:val="-2"/>
          <w:lang w:val="en-GB"/>
        </w:rPr>
        <w:t>The dealer-based distribution system that allocated sales territories rested on the theory that a protected market compensated dealers for the risk of investing in buildings and large inventories.</w:t>
      </w:r>
      <w:r w:rsidR="00A92D75" w:rsidRPr="008E469F">
        <w:rPr>
          <w:spacing w:val="-2"/>
          <w:lang w:val="en-GB"/>
        </w:rPr>
        <w:t xml:space="preserve"> </w:t>
      </w:r>
      <w:r w:rsidR="00923475" w:rsidRPr="008E469F">
        <w:rPr>
          <w:spacing w:val="-2"/>
          <w:lang w:val="en-GB"/>
        </w:rPr>
        <w:t>State laws generally prohibited anyone but a licensed franchisee from selling new cars.</w:t>
      </w:r>
      <w:r w:rsidR="00923475" w:rsidRPr="008E469F">
        <w:rPr>
          <w:rStyle w:val="EndnoteReference"/>
          <w:spacing w:val="-2"/>
          <w:lang w:val="en-GB"/>
        </w:rPr>
        <w:endnoteReference w:id="17"/>
      </w:r>
    </w:p>
    <w:p w14:paraId="3F9CEF89" w14:textId="77777777" w:rsidR="00923475" w:rsidRPr="00A92D75" w:rsidRDefault="00923475" w:rsidP="00923475">
      <w:pPr>
        <w:pStyle w:val="BodyTextMain"/>
        <w:rPr>
          <w:lang w:val="en-GB"/>
        </w:rPr>
      </w:pPr>
    </w:p>
    <w:p w14:paraId="0CF6C034" w14:textId="0E2C5048" w:rsidR="00AE54B3" w:rsidRPr="00FE0727" w:rsidRDefault="00923475" w:rsidP="00923475">
      <w:pPr>
        <w:pStyle w:val="BodyTextMain"/>
        <w:rPr>
          <w:spacing w:val="-4"/>
          <w:lang w:val="en-GB"/>
        </w:rPr>
      </w:pPr>
      <w:r w:rsidRPr="00FE0727">
        <w:rPr>
          <w:spacing w:val="-4"/>
          <w:lang w:val="en-GB"/>
        </w:rPr>
        <w:t>Tesla’s business model entirely sidestepped the structural entry barrier of dealerships.</w:t>
      </w:r>
      <w:r w:rsidR="00A92D75" w:rsidRPr="00FE0727">
        <w:rPr>
          <w:spacing w:val="-4"/>
          <w:lang w:val="en-GB"/>
        </w:rPr>
        <w:t xml:space="preserve"> </w:t>
      </w:r>
      <w:r w:rsidRPr="00FE0727">
        <w:rPr>
          <w:spacing w:val="-4"/>
          <w:lang w:val="en-GB"/>
        </w:rPr>
        <w:t xml:space="preserve">U.S. customers </w:t>
      </w:r>
      <w:r w:rsidR="00445908" w:rsidRPr="00FE0727">
        <w:rPr>
          <w:spacing w:val="-4"/>
          <w:lang w:val="en-GB"/>
        </w:rPr>
        <w:t xml:space="preserve">could </w:t>
      </w:r>
      <w:r w:rsidRPr="00FE0727">
        <w:rPr>
          <w:spacing w:val="-4"/>
          <w:lang w:val="en-GB"/>
        </w:rPr>
        <w:t>view the cars at Tesla showrooms</w:t>
      </w:r>
      <w:r w:rsidR="00445908" w:rsidRPr="00FE0727">
        <w:rPr>
          <w:spacing w:val="-4"/>
          <w:lang w:val="en-GB"/>
        </w:rPr>
        <w:t>,</w:t>
      </w:r>
      <w:r w:rsidRPr="00FE0727">
        <w:rPr>
          <w:spacing w:val="-4"/>
          <w:lang w:val="en-GB"/>
        </w:rPr>
        <w:t xml:space="preserve"> as they would a Ford or a Chevy.</w:t>
      </w:r>
      <w:r w:rsidR="00A92D75" w:rsidRPr="00FE0727">
        <w:rPr>
          <w:spacing w:val="-4"/>
          <w:lang w:val="en-GB"/>
        </w:rPr>
        <w:t xml:space="preserve"> </w:t>
      </w:r>
      <w:r w:rsidR="00900E13" w:rsidRPr="00FE0727">
        <w:rPr>
          <w:spacing w:val="-4"/>
          <w:lang w:val="en-GB"/>
        </w:rPr>
        <w:t>C</w:t>
      </w:r>
      <w:r w:rsidRPr="00FE0727">
        <w:rPr>
          <w:spacing w:val="-4"/>
          <w:lang w:val="en-GB"/>
        </w:rPr>
        <w:t>ustomer</w:t>
      </w:r>
      <w:r w:rsidR="00900E13" w:rsidRPr="00FE0727">
        <w:rPr>
          <w:spacing w:val="-4"/>
          <w:lang w:val="en-GB"/>
        </w:rPr>
        <w:t>s</w:t>
      </w:r>
      <w:r w:rsidRPr="00FE0727">
        <w:rPr>
          <w:spacing w:val="-4"/>
          <w:lang w:val="en-GB"/>
        </w:rPr>
        <w:t xml:space="preserve"> could then purchase a Tesla online after customizing it to </w:t>
      </w:r>
      <w:r w:rsidR="00900E13" w:rsidRPr="00FE0727">
        <w:rPr>
          <w:spacing w:val="-4"/>
          <w:lang w:val="en-GB"/>
        </w:rPr>
        <w:t>their</w:t>
      </w:r>
      <w:r w:rsidRPr="00FE0727">
        <w:rPr>
          <w:spacing w:val="-4"/>
          <w:lang w:val="en-GB"/>
        </w:rPr>
        <w:t xml:space="preserve"> liking.</w:t>
      </w:r>
      <w:r w:rsidR="00A92D75" w:rsidRPr="00FE0727">
        <w:rPr>
          <w:spacing w:val="-4"/>
          <w:lang w:val="en-GB"/>
        </w:rPr>
        <w:t xml:space="preserve"> </w:t>
      </w:r>
      <w:r w:rsidRPr="00FE0727">
        <w:rPr>
          <w:spacing w:val="-4"/>
          <w:lang w:val="en-GB"/>
        </w:rPr>
        <w:t>Because of production delays, all Tesla customers were put on a waiting list.</w:t>
      </w:r>
      <w:r w:rsidR="00A92D75" w:rsidRPr="00FE0727">
        <w:rPr>
          <w:spacing w:val="-4"/>
          <w:lang w:val="en-GB"/>
        </w:rPr>
        <w:t xml:space="preserve"> </w:t>
      </w:r>
    </w:p>
    <w:p w14:paraId="16A64359" w14:textId="77777777" w:rsidR="00AE54B3" w:rsidRDefault="00AE54B3" w:rsidP="00923475">
      <w:pPr>
        <w:pStyle w:val="BodyTextMain"/>
        <w:rPr>
          <w:lang w:val="en-GB"/>
        </w:rPr>
      </w:pPr>
    </w:p>
    <w:p w14:paraId="029E2C38" w14:textId="00E477AE" w:rsidR="00923475" w:rsidRPr="00A92D75" w:rsidRDefault="00923475" w:rsidP="00923475">
      <w:pPr>
        <w:pStyle w:val="BodyTextMain"/>
        <w:rPr>
          <w:highlight w:val="yellow"/>
          <w:lang w:val="en-GB"/>
        </w:rPr>
      </w:pPr>
      <w:r w:rsidRPr="00A92D75">
        <w:rPr>
          <w:lang w:val="en-GB"/>
        </w:rPr>
        <w:t xml:space="preserve">First in Los Angeles and </w:t>
      </w:r>
      <w:r w:rsidR="00900E13">
        <w:rPr>
          <w:lang w:val="en-GB"/>
        </w:rPr>
        <w:t xml:space="preserve">later, in </w:t>
      </w:r>
      <w:r w:rsidRPr="00A92D75">
        <w:rPr>
          <w:lang w:val="en-GB"/>
        </w:rPr>
        <w:t>Menlo Park, California</w:t>
      </w:r>
      <w:r w:rsidR="00445908">
        <w:rPr>
          <w:lang w:val="en-GB"/>
        </w:rPr>
        <w:t>,</w:t>
      </w:r>
      <w:r w:rsidRPr="00A92D75">
        <w:rPr>
          <w:lang w:val="en-GB"/>
        </w:rPr>
        <w:t xml:space="preserve"> in 2008, Tesla opened display showrooms</w:t>
      </w:r>
      <w:r w:rsidR="00445908">
        <w:rPr>
          <w:lang w:val="en-GB"/>
        </w:rPr>
        <w:t xml:space="preserve"> </w:t>
      </w:r>
      <w:r w:rsidR="00AE54B3">
        <w:rPr>
          <w:lang w:val="en-GB"/>
        </w:rPr>
        <w:t>(</w:t>
      </w:r>
      <w:r w:rsidR="00445908">
        <w:rPr>
          <w:lang w:val="en-GB"/>
        </w:rPr>
        <w:t>often in downtown areas where access to likely customers was significant</w:t>
      </w:r>
      <w:r w:rsidR="00AE54B3">
        <w:rPr>
          <w:lang w:val="en-GB"/>
        </w:rPr>
        <w:t>)</w:t>
      </w:r>
      <w:r w:rsidR="00900E13">
        <w:rPr>
          <w:lang w:val="en-GB"/>
        </w:rPr>
        <w:t>,</w:t>
      </w:r>
      <w:r w:rsidRPr="00A92D75">
        <w:rPr>
          <w:lang w:val="en-GB"/>
        </w:rPr>
        <w:t xml:space="preserve"> </w:t>
      </w:r>
      <w:r w:rsidR="00445908">
        <w:rPr>
          <w:lang w:val="en-GB"/>
        </w:rPr>
        <w:t xml:space="preserve">and </w:t>
      </w:r>
      <w:r w:rsidR="00900E13">
        <w:rPr>
          <w:lang w:val="en-GB"/>
        </w:rPr>
        <w:t>expand</w:t>
      </w:r>
      <w:r w:rsidR="00445908">
        <w:rPr>
          <w:lang w:val="en-GB"/>
        </w:rPr>
        <w:t>ed</w:t>
      </w:r>
      <w:r w:rsidR="00900E13">
        <w:rPr>
          <w:lang w:val="en-GB"/>
        </w:rPr>
        <w:t xml:space="preserve"> to</w:t>
      </w:r>
      <w:r w:rsidR="00900E13" w:rsidRPr="00A92D75">
        <w:rPr>
          <w:lang w:val="en-GB"/>
        </w:rPr>
        <w:t xml:space="preserve"> </w:t>
      </w:r>
      <w:r w:rsidRPr="00A92D75">
        <w:rPr>
          <w:lang w:val="en-GB"/>
        </w:rPr>
        <w:t>other cities, including Seattle</w:t>
      </w:r>
      <w:r w:rsidR="00900E13">
        <w:rPr>
          <w:lang w:val="en-GB"/>
        </w:rPr>
        <w:t>;</w:t>
      </w:r>
      <w:r w:rsidRPr="00A92D75">
        <w:rPr>
          <w:lang w:val="en-GB"/>
        </w:rPr>
        <w:t xml:space="preserve"> Washington, D.C.</w:t>
      </w:r>
      <w:r w:rsidR="00900E13">
        <w:rPr>
          <w:lang w:val="en-GB"/>
        </w:rPr>
        <w:t>;</w:t>
      </w:r>
      <w:r w:rsidRPr="00A92D75">
        <w:rPr>
          <w:lang w:val="en-GB"/>
        </w:rPr>
        <w:t xml:space="preserve"> New York City</w:t>
      </w:r>
      <w:r w:rsidR="00900E13">
        <w:rPr>
          <w:lang w:val="en-GB"/>
        </w:rPr>
        <w:t>;</w:t>
      </w:r>
      <w:r w:rsidRPr="00A92D75">
        <w:rPr>
          <w:lang w:val="en-GB"/>
        </w:rPr>
        <w:t xml:space="preserve"> Chicago</w:t>
      </w:r>
      <w:r w:rsidR="00900E13">
        <w:rPr>
          <w:lang w:val="en-GB"/>
        </w:rPr>
        <w:t>;</w:t>
      </w:r>
      <w:r w:rsidRPr="00A92D75">
        <w:rPr>
          <w:lang w:val="en-GB"/>
        </w:rPr>
        <w:t xml:space="preserve"> </w:t>
      </w:r>
      <w:r w:rsidR="00FE0727">
        <w:rPr>
          <w:lang w:val="en-GB"/>
        </w:rPr>
        <w:t xml:space="preserve">and </w:t>
      </w:r>
      <w:r w:rsidRPr="00A92D75">
        <w:rPr>
          <w:lang w:val="en-GB"/>
        </w:rPr>
        <w:t>Denver.</w:t>
      </w:r>
      <w:r w:rsidRPr="00A92D75">
        <w:rPr>
          <w:rStyle w:val="EndnoteReference"/>
          <w:lang w:val="en-GB"/>
        </w:rPr>
        <w:endnoteReference w:id="18"/>
      </w:r>
      <w:r w:rsidR="00A92D75" w:rsidRPr="00A92D75">
        <w:rPr>
          <w:lang w:val="en-GB"/>
        </w:rPr>
        <w:t xml:space="preserve"> </w:t>
      </w:r>
      <w:r w:rsidRPr="00A92D75">
        <w:rPr>
          <w:lang w:val="en-GB"/>
        </w:rPr>
        <w:t xml:space="preserve">In states </w:t>
      </w:r>
      <w:r w:rsidR="00445908">
        <w:rPr>
          <w:lang w:val="en-GB"/>
        </w:rPr>
        <w:t xml:space="preserve">that </w:t>
      </w:r>
      <w:r w:rsidR="00445908" w:rsidRPr="00A92D75">
        <w:rPr>
          <w:lang w:val="en-GB"/>
        </w:rPr>
        <w:t>prohibit</w:t>
      </w:r>
      <w:r w:rsidR="00445908">
        <w:rPr>
          <w:lang w:val="en-GB"/>
        </w:rPr>
        <w:t>ed</w:t>
      </w:r>
      <w:r w:rsidR="00445908" w:rsidRPr="00A92D75">
        <w:rPr>
          <w:lang w:val="en-GB"/>
        </w:rPr>
        <w:t xml:space="preserve"> </w:t>
      </w:r>
      <w:r w:rsidRPr="00A92D75">
        <w:rPr>
          <w:lang w:val="en-GB"/>
        </w:rPr>
        <w:t xml:space="preserve">direct manufacturer-to-consumer car sales, consumers </w:t>
      </w:r>
      <w:r w:rsidR="00E230AE">
        <w:rPr>
          <w:lang w:val="en-GB"/>
        </w:rPr>
        <w:t>needed</w:t>
      </w:r>
      <w:r w:rsidR="00E230AE" w:rsidRPr="00A92D75">
        <w:rPr>
          <w:lang w:val="en-GB"/>
        </w:rPr>
        <w:t xml:space="preserve"> </w:t>
      </w:r>
      <w:r w:rsidRPr="00A92D75">
        <w:rPr>
          <w:lang w:val="en-GB"/>
        </w:rPr>
        <w:t xml:space="preserve">to order their Tesla vehicle online, have it shipped via a third-party transport company, complete the vehicle registration process in another state, and then </w:t>
      </w:r>
      <w:r w:rsidR="00445908">
        <w:rPr>
          <w:lang w:val="en-GB"/>
        </w:rPr>
        <w:t>contact</w:t>
      </w:r>
      <w:r w:rsidRPr="00A92D75">
        <w:rPr>
          <w:lang w:val="en-GB"/>
        </w:rPr>
        <w:t xml:space="preserve"> customer service in California for warranty service maintenance.</w:t>
      </w:r>
      <w:r w:rsidR="00A92D75" w:rsidRPr="00A92D75">
        <w:rPr>
          <w:lang w:val="en-GB"/>
        </w:rPr>
        <w:t xml:space="preserve"> </w:t>
      </w:r>
      <w:r w:rsidRPr="00A92D75">
        <w:rPr>
          <w:lang w:val="en-GB"/>
        </w:rPr>
        <w:t xml:space="preserve">In the end, Tesla’s business model effectuated a two-prong consumer distribution channel strategy: (1) online purchasing and (2) direct sales at company-owned and </w:t>
      </w:r>
      <w:r w:rsidR="00E230AE">
        <w:rPr>
          <w:lang w:val="en-GB"/>
        </w:rPr>
        <w:t>-</w:t>
      </w:r>
      <w:r w:rsidRPr="00A92D75">
        <w:rPr>
          <w:lang w:val="en-GB"/>
        </w:rPr>
        <w:t>operated retail stores where little inventory was needed, thereby creating a unified direct-to-consumer strategy.</w:t>
      </w:r>
      <w:r w:rsidRPr="00A92D75">
        <w:rPr>
          <w:rStyle w:val="EndnoteReference"/>
          <w:lang w:val="en-GB"/>
        </w:rPr>
        <w:endnoteReference w:id="19"/>
      </w:r>
    </w:p>
    <w:p w14:paraId="091324D5" w14:textId="77777777" w:rsidR="00923475" w:rsidRPr="00A92D75" w:rsidRDefault="00923475" w:rsidP="00923475">
      <w:pPr>
        <w:pStyle w:val="BodyTextMain"/>
        <w:rPr>
          <w:highlight w:val="yellow"/>
          <w:lang w:val="en-GB"/>
        </w:rPr>
      </w:pPr>
    </w:p>
    <w:p w14:paraId="3E78B39B" w14:textId="77777777" w:rsidR="00923475" w:rsidRPr="00A92D75" w:rsidRDefault="00923475" w:rsidP="00923475">
      <w:pPr>
        <w:pStyle w:val="BodyTextMain"/>
        <w:rPr>
          <w:highlight w:val="yellow"/>
          <w:lang w:val="en-GB"/>
        </w:rPr>
      </w:pPr>
    </w:p>
    <w:p w14:paraId="378F22EE" w14:textId="77777777" w:rsidR="00923475" w:rsidRPr="00A92D75" w:rsidRDefault="00923475" w:rsidP="00923475">
      <w:pPr>
        <w:pStyle w:val="Casehead2"/>
        <w:rPr>
          <w:lang w:val="en-GB"/>
        </w:rPr>
      </w:pPr>
      <w:r w:rsidRPr="00A92D75">
        <w:rPr>
          <w:lang w:val="en-GB"/>
        </w:rPr>
        <w:t>Manufacturing and Assembly</w:t>
      </w:r>
    </w:p>
    <w:p w14:paraId="093BE905" w14:textId="77777777" w:rsidR="00923475" w:rsidRPr="00A92D75" w:rsidRDefault="00923475" w:rsidP="00923475">
      <w:pPr>
        <w:pStyle w:val="BodyTextMain"/>
        <w:rPr>
          <w:lang w:val="en-GB"/>
        </w:rPr>
      </w:pPr>
    </w:p>
    <w:p w14:paraId="5A670F26" w14:textId="682914A4" w:rsidR="00923475" w:rsidRPr="00EA0692" w:rsidRDefault="00923475" w:rsidP="00923475">
      <w:pPr>
        <w:pStyle w:val="BodyTextMain"/>
        <w:rPr>
          <w:spacing w:val="-2"/>
          <w:lang w:val="en-GB"/>
        </w:rPr>
      </w:pPr>
      <w:r w:rsidRPr="00EA0692">
        <w:rPr>
          <w:spacing w:val="-2"/>
          <w:lang w:val="en-GB"/>
        </w:rPr>
        <w:t>Tesla manufactured all its cars at one factory in Fremont</w:t>
      </w:r>
      <w:r w:rsidR="00610C41" w:rsidRPr="00EA0692">
        <w:rPr>
          <w:spacing w:val="-2"/>
          <w:lang w:val="en-GB"/>
        </w:rPr>
        <w:t>,</w:t>
      </w:r>
      <w:r w:rsidRPr="00EA0692">
        <w:rPr>
          <w:spacing w:val="-2"/>
          <w:lang w:val="en-GB"/>
        </w:rPr>
        <w:t xml:space="preserve"> California</w:t>
      </w:r>
      <w:r w:rsidR="00610C41" w:rsidRPr="00EA0692">
        <w:rPr>
          <w:spacing w:val="-2"/>
          <w:lang w:val="en-GB"/>
        </w:rPr>
        <w:t>, which</w:t>
      </w:r>
      <w:r w:rsidRPr="00EA0692">
        <w:rPr>
          <w:spacing w:val="-2"/>
          <w:lang w:val="en-GB"/>
        </w:rPr>
        <w:t xml:space="preserve"> allowed it to benefit from scale economies even </w:t>
      </w:r>
      <w:r w:rsidR="00AE54B3" w:rsidRPr="00EA0692">
        <w:rPr>
          <w:spacing w:val="-2"/>
          <w:lang w:val="en-GB"/>
        </w:rPr>
        <w:t xml:space="preserve">despite </w:t>
      </w:r>
      <w:r w:rsidRPr="00EA0692">
        <w:rPr>
          <w:spacing w:val="-2"/>
          <w:lang w:val="en-GB"/>
        </w:rPr>
        <w:t xml:space="preserve">the small volume of cars it </w:t>
      </w:r>
      <w:r w:rsidR="00AE54B3" w:rsidRPr="00EA0692">
        <w:rPr>
          <w:spacing w:val="-2"/>
          <w:lang w:val="en-GB"/>
        </w:rPr>
        <w:t>produced</w:t>
      </w:r>
      <w:r w:rsidRPr="00EA0692">
        <w:rPr>
          <w:spacing w:val="-2"/>
          <w:lang w:val="en-GB"/>
        </w:rPr>
        <w:t>.</w:t>
      </w:r>
      <w:r w:rsidR="00A92D75" w:rsidRPr="00EA0692">
        <w:rPr>
          <w:spacing w:val="-2"/>
          <w:lang w:val="en-GB"/>
        </w:rPr>
        <w:t xml:space="preserve"> </w:t>
      </w:r>
      <w:r w:rsidRPr="00EA0692">
        <w:rPr>
          <w:spacing w:val="-2"/>
          <w:lang w:val="en-GB"/>
        </w:rPr>
        <w:t>Having one centralized location was key, but Tesla became notorious for production delays from the Model X</w:t>
      </w:r>
      <w:r w:rsidRPr="00EA0692">
        <w:rPr>
          <w:rStyle w:val="EndnoteReference"/>
          <w:spacing w:val="-2"/>
          <w:lang w:val="en-GB"/>
        </w:rPr>
        <w:endnoteReference w:id="20"/>
      </w:r>
      <w:r w:rsidRPr="00EA0692">
        <w:rPr>
          <w:spacing w:val="-2"/>
          <w:lang w:val="en-GB"/>
        </w:rPr>
        <w:t xml:space="preserve"> to </w:t>
      </w:r>
      <w:r w:rsidR="00D97CAB" w:rsidRPr="00EA0692">
        <w:rPr>
          <w:spacing w:val="-2"/>
          <w:lang w:val="en-GB"/>
        </w:rPr>
        <w:t xml:space="preserve">the </w:t>
      </w:r>
      <w:r w:rsidRPr="00EA0692">
        <w:rPr>
          <w:spacing w:val="-2"/>
          <w:lang w:val="en-GB"/>
        </w:rPr>
        <w:t>Model 3.</w:t>
      </w:r>
      <w:r w:rsidRPr="00EA0692">
        <w:rPr>
          <w:rStyle w:val="EndnoteReference"/>
          <w:spacing w:val="-2"/>
          <w:lang w:val="en-GB"/>
        </w:rPr>
        <w:endnoteReference w:id="21"/>
      </w:r>
      <w:r w:rsidR="00A92D75" w:rsidRPr="00EA0692">
        <w:rPr>
          <w:spacing w:val="-2"/>
          <w:lang w:val="en-GB"/>
        </w:rPr>
        <w:t xml:space="preserve"> </w:t>
      </w:r>
      <w:r w:rsidRPr="00EA0692">
        <w:rPr>
          <w:spacing w:val="-2"/>
          <w:lang w:val="en-GB"/>
        </w:rPr>
        <w:t xml:space="preserve">Earlier, customers and investors </w:t>
      </w:r>
      <w:r w:rsidR="00610C41" w:rsidRPr="00EA0692">
        <w:rPr>
          <w:spacing w:val="-2"/>
          <w:lang w:val="en-GB"/>
        </w:rPr>
        <w:t xml:space="preserve">had been </w:t>
      </w:r>
      <w:r w:rsidRPr="00EA0692">
        <w:rPr>
          <w:spacing w:val="-2"/>
          <w:lang w:val="en-GB"/>
        </w:rPr>
        <w:t>willing to overlook delays.</w:t>
      </w:r>
      <w:r w:rsidR="00A92D75" w:rsidRPr="00EA0692">
        <w:rPr>
          <w:spacing w:val="-2"/>
          <w:lang w:val="en-GB"/>
        </w:rPr>
        <w:t xml:space="preserve"> </w:t>
      </w:r>
      <w:r w:rsidRPr="00EA0692">
        <w:rPr>
          <w:spacing w:val="-2"/>
          <w:lang w:val="en-GB"/>
        </w:rPr>
        <w:t>Customers who had placed orders for the Model S were usually wealthy and had alternat</w:t>
      </w:r>
      <w:r w:rsidR="00910E35" w:rsidRPr="00EA0692">
        <w:rPr>
          <w:spacing w:val="-2"/>
          <w:lang w:val="en-GB"/>
        </w:rPr>
        <w:t>ive</w:t>
      </w:r>
      <w:r w:rsidRPr="00EA0692">
        <w:rPr>
          <w:spacing w:val="-2"/>
          <w:lang w:val="en-GB"/>
        </w:rPr>
        <w:t xml:space="preserve"> vehicles.</w:t>
      </w:r>
      <w:r w:rsidR="00A92D75" w:rsidRPr="00EA0692">
        <w:rPr>
          <w:spacing w:val="-2"/>
          <w:lang w:val="en-GB"/>
        </w:rPr>
        <w:t xml:space="preserve"> </w:t>
      </w:r>
      <w:r w:rsidR="00610C41" w:rsidRPr="00EA0692">
        <w:rPr>
          <w:spacing w:val="-2"/>
          <w:lang w:val="en-GB"/>
        </w:rPr>
        <w:t>However, a second vehicle</w:t>
      </w:r>
      <w:r w:rsidRPr="00EA0692">
        <w:rPr>
          <w:spacing w:val="-2"/>
          <w:lang w:val="en-GB"/>
        </w:rPr>
        <w:t xml:space="preserve"> might not be the case for Model 3 customers who put down a refundable deposit of $1,000 for a car priced at $35,000 or more</w:t>
      </w:r>
      <w:r w:rsidR="00610C41" w:rsidRPr="00EA0692">
        <w:rPr>
          <w:spacing w:val="-2"/>
          <w:lang w:val="en-GB"/>
        </w:rPr>
        <w:t>,</w:t>
      </w:r>
      <w:r w:rsidRPr="00EA0692">
        <w:rPr>
          <w:spacing w:val="-2"/>
          <w:lang w:val="en-GB"/>
        </w:rPr>
        <w:t xml:space="preserve"> excluding government incentives.</w:t>
      </w:r>
      <w:r w:rsidR="00A92D75" w:rsidRPr="00EA0692">
        <w:rPr>
          <w:spacing w:val="-2"/>
          <w:lang w:val="en-GB"/>
        </w:rPr>
        <w:t xml:space="preserve"> </w:t>
      </w:r>
      <w:r w:rsidRPr="00EA0692">
        <w:rPr>
          <w:spacing w:val="-2"/>
          <w:lang w:val="en-GB"/>
        </w:rPr>
        <w:t xml:space="preserve">If these customers did not </w:t>
      </w:r>
      <w:r w:rsidR="00610C41" w:rsidRPr="00EA0692">
        <w:rPr>
          <w:spacing w:val="-2"/>
          <w:lang w:val="en-GB"/>
        </w:rPr>
        <w:t xml:space="preserve">receive </w:t>
      </w:r>
      <w:r w:rsidRPr="00EA0692">
        <w:rPr>
          <w:spacing w:val="-2"/>
          <w:lang w:val="en-GB"/>
        </w:rPr>
        <w:t>delivery on time, they could cancel or even resell their place in line—</w:t>
      </w:r>
      <w:r w:rsidR="00AE54B3" w:rsidRPr="00EA0692">
        <w:rPr>
          <w:spacing w:val="-2"/>
          <w:lang w:val="en-GB"/>
        </w:rPr>
        <w:t xml:space="preserve">as </w:t>
      </w:r>
      <w:r w:rsidRPr="00EA0692">
        <w:rPr>
          <w:spacing w:val="-2"/>
          <w:lang w:val="en-GB"/>
        </w:rPr>
        <w:t>some have</w:t>
      </w:r>
      <w:r w:rsidR="00AE54B3" w:rsidRPr="00EA0692">
        <w:rPr>
          <w:spacing w:val="-2"/>
          <w:lang w:val="en-GB"/>
        </w:rPr>
        <w:t xml:space="preserve"> done</w:t>
      </w:r>
      <w:r w:rsidRPr="00EA0692">
        <w:rPr>
          <w:spacing w:val="-2"/>
          <w:lang w:val="en-GB"/>
        </w:rPr>
        <w:t>.</w:t>
      </w:r>
      <w:r w:rsidR="00A92D75" w:rsidRPr="00EA0692">
        <w:rPr>
          <w:spacing w:val="-2"/>
          <w:lang w:val="en-GB"/>
        </w:rPr>
        <w:t xml:space="preserve"> </w:t>
      </w:r>
      <w:r w:rsidRPr="00EA0692">
        <w:rPr>
          <w:spacing w:val="-2"/>
          <w:lang w:val="en-GB"/>
        </w:rPr>
        <w:t xml:space="preserve">If </w:t>
      </w:r>
      <w:r w:rsidR="00610C41" w:rsidRPr="00EA0692">
        <w:rPr>
          <w:spacing w:val="-2"/>
          <w:lang w:val="en-GB"/>
        </w:rPr>
        <w:t xml:space="preserve">the cancelling of orders </w:t>
      </w:r>
      <w:r w:rsidRPr="00EA0692">
        <w:rPr>
          <w:spacing w:val="-2"/>
          <w:lang w:val="en-GB"/>
        </w:rPr>
        <w:t>were to happen on a large scale, investors might not be as patient.</w:t>
      </w:r>
      <w:r w:rsidR="00A92D75" w:rsidRPr="00EA0692">
        <w:rPr>
          <w:spacing w:val="-2"/>
          <w:lang w:val="en-GB"/>
        </w:rPr>
        <w:t xml:space="preserve"> </w:t>
      </w:r>
      <w:r w:rsidRPr="00EA0692">
        <w:rPr>
          <w:spacing w:val="-2"/>
          <w:lang w:val="en-GB"/>
        </w:rPr>
        <w:t xml:space="preserve">Apart from production delays, complaints </w:t>
      </w:r>
      <w:r w:rsidR="00610C41" w:rsidRPr="00EA0692">
        <w:rPr>
          <w:spacing w:val="-2"/>
          <w:lang w:val="en-GB"/>
        </w:rPr>
        <w:t xml:space="preserve">surfaced </w:t>
      </w:r>
      <w:r w:rsidRPr="00EA0692">
        <w:rPr>
          <w:spacing w:val="-2"/>
          <w:lang w:val="en-GB"/>
        </w:rPr>
        <w:t>about the fit and finish of the Model S.</w:t>
      </w:r>
      <w:r w:rsidR="00A92D75" w:rsidRPr="00EA0692">
        <w:rPr>
          <w:spacing w:val="-2"/>
          <w:lang w:val="en-GB"/>
        </w:rPr>
        <w:t xml:space="preserve"> </w:t>
      </w:r>
      <w:r w:rsidR="00D97CAB" w:rsidRPr="00EA0692">
        <w:rPr>
          <w:spacing w:val="-2"/>
          <w:lang w:val="en-GB"/>
        </w:rPr>
        <w:t>As before</w:t>
      </w:r>
      <w:r w:rsidRPr="00EA0692">
        <w:rPr>
          <w:spacing w:val="-2"/>
          <w:lang w:val="en-GB"/>
        </w:rPr>
        <w:t>, customers seemed to focus on the driving performance</w:t>
      </w:r>
      <w:r w:rsidR="00711CD5" w:rsidRPr="00EA0692">
        <w:rPr>
          <w:spacing w:val="-2"/>
          <w:lang w:val="en-GB"/>
        </w:rPr>
        <w:t xml:space="preserve"> </w:t>
      </w:r>
      <w:r w:rsidRPr="00EA0692">
        <w:rPr>
          <w:spacing w:val="-2"/>
          <w:lang w:val="en-GB"/>
        </w:rPr>
        <w:t>and were willing to overlook some of the fit and finish issues.</w:t>
      </w:r>
      <w:r w:rsidRPr="00EA0692">
        <w:rPr>
          <w:rStyle w:val="EndnoteReference"/>
          <w:spacing w:val="-2"/>
          <w:lang w:val="en-GB"/>
        </w:rPr>
        <w:endnoteReference w:id="22"/>
      </w:r>
      <w:r w:rsidR="00A92D75" w:rsidRPr="00EA0692">
        <w:rPr>
          <w:spacing w:val="-2"/>
          <w:lang w:val="en-GB"/>
        </w:rPr>
        <w:t xml:space="preserve"> </w:t>
      </w:r>
      <w:r w:rsidRPr="00EA0692">
        <w:rPr>
          <w:spacing w:val="-2"/>
          <w:lang w:val="en-GB"/>
        </w:rPr>
        <w:t xml:space="preserve">Once Tesla reached the mass market, however, its car production </w:t>
      </w:r>
      <w:r w:rsidR="00AE54B3" w:rsidRPr="00EA0692">
        <w:rPr>
          <w:spacing w:val="-2"/>
          <w:lang w:val="en-GB"/>
        </w:rPr>
        <w:t xml:space="preserve">could have </w:t>
      </w:r>
      <w:r w:rsidRPr="00EA0692">
        <w:rPr>
          <w:spacing w:val="-2"/>
          <w:lang w:val="en-GB"/>
        </w:rPr>
        <w:t>be</w:t>
      </w:r>
      <w:r w:rsidR="00AE54B3" w:rsidRPr="00EA0692">
        <w:rPr>
          <w:spacing w:val="-2"/>
          <w:lang w:val="en-GB"/>
        </w:rPr>
        <w:t>en</w:t>
      </w:r>
      <w:r w:rsidRPr="00EA0692">
        <w:rPr>
          <w:spacing w:val="-2"/>
          <w:lang w:val="en-GB"/>
        </w:rPr>
        <w:t xml:space="preserve"> compared </w:t>
      </w:r>
      <w:r w:rsidR="00EF2069" w:rsidRPr="00EA0692">
        <w:rPr>
          <w:spacing w:val="-2"/>
          <w:lang w:val="en-GB"/>
        </w:rPr>
        <w:t xml:space="preserve">with </w:t>
      </w:r>
      <w:r w:rsidRPr="00EA0692">
        <w:rPr>
          <w:spacing w:val="-2"/>
          <w:lang w:val="en-GB"/>
        </w:rPr>
        <w:t xml:space="preserve">the superb quality control of </w:t>
      </w:r>
      <w:r w:rsidR="00AE54B3" w:rsidRPr="00EA0692">
        <w:rPr>
          <w:spacing w:val="-2"/>
          <w:lang w:val="en-GB"/>
        </w:rPr>
        <w:t xml:space="preserve">vehicles produced by </w:t>
      </w:r>
      <w:r w:rsidRPr="00EA0692">
        <w:rPr>
          <w:spacing w:val="-2"/>
          <w:lang w:val="en-GB"/>
        </w:rPr>
        <w:t>Toyota, BMW, or Mercedes-Benz.</w:t>
      </w:r>
    </w:p>
    <w:p w14:paraId="4CA0D328" w14:textId="77777777" w:rsidR="004B267E" w:rsidRDefault="004B267E" w:rsidP="00923475">
      <w:pPr>
        <w:pStyle w:val="BodyTextMain"/>
        <w:rPr>
          <w:lang w:val="en-GB"/>
        </w:rPr>
      </w:pPr>
    </w:p>
    <w:p w14:paraId="1B35EB84" w14:textId="77777777" w:rsidR="00EA0692" w:rsidRDefault="00EA0692" w:rsidP="00923475">
      <w:pPr>
        <w:pStyle w:val="BodyTextMain"/>
        <w:rPr>
          <w:lang w:val="en-GB"/>
        </w:rPr>
      </w:pPr>
    </w:p>
    <w:p w14:paraId="1C9E1454" w14:textId="77777777" w:rsidR="00923475" w:rsidRPr="00A92D75" w:rsidRDefault="00923475" w:rsidP="00923475">
      <w:pPr>
        <w:pStyle w:val="Casehead2"/>
        <w:rPr>
          <w:lang w:val="en-GB"/>
        </w:rPr>
      </w:pPr>
      <w:r w:rsidRPr="00A92D75">
        <w:rPr>
          <w:lang w:val="en-GB"/>
        </w:rPr>
        <w:t>Supplier Arrangements</w:t>
      </w:r>
    </w:p>
    <w:p w14:paraId="777EAE0F" w14:textId="77777777" w:rsidR="00923475" w:rsidRPr="00A92D75" w:rsidRDefault="00923475" w:rsidP="00923475">
      <w:pPr>
        <w:pStyle w:val="BodyTextMain"/>
        <w:rPr>
          <w:lang w:val="en-GB"/>
        </w:rPr>
      </w:pPr>
    </w:p>
    <w:p w14:paraId="51E86398" w14:textId="139409BF" w:rsidR="00923475" w:rsidRPr="008A77EA" w:rsidRDefault="008179F1" w:rsidP="00923475">
      <w:pPr>
        <w:pStyle w:val="BodyTextMain"/>
        <w:rPr>
          <w:lang w:val="en-GB"/>
        </w:rPr>
      </w:pPr>
      <w:r w:rsidRPr="008A77EA">
        <w:rPr>
          <w:lang w:val="en-GB"/>
        </w:rPr>
        <w:t xml:space="preserve">At the beginning of 2018, </w:t>
      </w:r>
      <w:r w:rsidR="00923475" w:rsidRPr="008A77EA">
        <w:rPr>
          <w:lang w:val="en-GB"/>
        </w:rPr>
        <w:t>automobile manufacturers outsource</w:t>
      </w:r>
      <w:r w:rsidR="00EF2069" w:rsidRPr="008A77EA">
        <w:rPr>
          <w:lang w:val="en-GB"/>
        </w:rPr>
        <w:t>d</w:t>
      </w:r>
      <w:r w:rsidR="00923475" w:rsidRPr="008A77EA">
        <w:rPr>
          <w:lang w:val="en-GB"/>
        </w:rPr>
        <w:t xml:space="preserve"> most of their components.</w:t>
      </w:r>
      <w:r w:rsidR="00A92D75" w:rsidRPr="008A77EA">
        <w:rPr>
          <w:lang w:val="en-GB"/>
        </w:rPr>
        <w:t xml:space="preserve"> </w:t>
      </w:r>
      <w:r w:rsidR="00923475" w:rsidRPr="008A77EA">
        <w:rPr>
          <w:lang w:val="en-GB"/>
        </w:rPr>
        <w:t xml:space="preserve">The big </w:t>
      </w:r>
      <w:r w:rsidR="00EF2069" w:rsidRPr="008A77EA">
        <w:rPr>
          <w:lang w:val="en-GB"/>
        </w:rPr>
        <w:t>original equipment manufacturers (</w:t>
      </w:r>
      <w:r w:rsidR="00923475" w:rsidRPr="008A77EA">
        <w:rPr>
          <w:lang w:val="en-GB"/>
        </w:rPr>
        <w:t>OEMs</w:t>
      </w:r>
      <w:r w:rsidR="00EF2069" w:rsidRPr="008A77EA">
        <w:rPr>
          <w:lang w:val="en-GB"/>
        </w:rPr>
        <w:t>)</w:t>
      </w:r>
      <w:r w:rsidR="00923475" w:rsidRPr="008A77EA">
        <w:rPr>
          <w:lang w:val="en-GB"/>
        </w:rPr>
        <w:t xml:space="preserve"> exercise</w:t>
      </w:r>
      <w:r w:rsidR="00EF2069" w:rsidRPr="008A77EA">
        <w:rPr>
          <w:lang w:val="en-GB"/>
        </w:rPr>
        <w:t>d</w:t>
      </w:r>
      <w:r w:rsidR="00923475" w:rsidRPr="008A77EA">
        <w:rPr>
          <w:lang w:val="en-GB"/>
        </w:rPr>
        <w:t xml:space="preserve"> substantial clout over their suppliers because of the scale of their purchase.</w:t>
      </w:r>
      <w:r w:rsidR="00A92D75" w:rsidRPr="008A77EA">
        <w:rPr>
          <w:lang w:val="en-GB"/>
        </w:rPr>
        <w:t xml:space="preserve"> </w:t>
      </w:r>
      <w:r w:rsidR="00923475" w:rsidRPr="008A77EA">
        <w:rPr>
          <w:lang w:val="en-GB"/>
        </w:rPr>
        <w:t xml:space="preserve">For this reason, many suppliers </w:t>
      </w:r>
      <w:r w:rsidR="00EF2069" w:rsidRPr="008A77EA">
        <w:rPr>
          <w:lang w:val="en-GB"/>
        </w:rPr>
        <w:t xml:space="preserve">built </w:t>
      </w:r>
      <w:r w:rsidR="00923475" w:rsidRPr="008A77EA">
        <w:rPr>
          <w:lang w:val="en-GB"/>
        </w:rPr>
        <w:t>factories close to the OEM assembly plants to streamline the supply chain.</w:t>
      </w:r>
      <w:r w:rsidR="00A92D75" w:rsidRPr="008A77EA">
        <w:rPr>
          <w:lang w:val="en-GB"/>
        </w:rPr>
        <w:t xml:space="preserve"> </w:t>
      </w:r>
      <w:r w:rsidR="00923475" w:rsidRPr="008A77EA">
        <w:rPr>
          <w:lang w:val="en-GB"/>
        </w:rPr>
        <w:t>Given Tesla’s small output, this strategy was not possible.</w:t>
      </w:r>
      <w:r w:rsidR="00A92D75" w:rsidRPr="008A77EA">
        <w:rPr>
          <w:lang w:val="en-GB"/>
        </w:rPr>
        <w:t xml:space="preserve"> </w:t>
      </w:r>
      <w:r w:rsidR="00923475" w:rsidRPr="008A77EA">
        <w:rPr>
          <w:lang w:val="en-GB"/>
        </w:rPr>
        <w:t xml:space="preserve">Further, given </w:t>
      </w:r>
      <w:r w:rsidR="00923475" w:rsidRPr="008A77EA">
        <w:rPr>
          <w:lang w:val="en-GB"/>
        </w:rPr>
        <w:lastRenderedPageBreak/>
        <w:t>Tesla’s unique technology, some of its components suppliers—such as battery makers—had not traditionally supplied automobile manufacturers.</w:t>
      </w:r>
      <w:r w:rsidR="00A92D75" w:rsidRPr="008A77EA">
        <w:rPr>
          <w:lang w:val="en-GB"/>
        </w:rPr>
        <w:t xml:space="preserve"> </w:t>
      </w:r>
      <w:r w:rsidR="00923475" w:rsidRPr="008A77EA">
        <w:rPr>
          <w:lang w:val="en-GB"/>
        </w:rPr>
        <w:t>To overcome these challenges, Tesla’s business model called for a three-prong supply chain strategy: one for standard parts, one for proprietary parts, and one for the battery-operated powertrain.</w:t>
      </w:r>
      <w:r w:rsidR="00923475" w:rsidRPr="008A77EA">
        <w:rPr>
          <w:rStyle w:val="EndnoteReference"/>
          <w:lang w:val="en-GB"/>
        </w:rPr>
        <w:endnoteReference w:id="23"/>
      </w:r>
      <w:r w:rsidR="00923475" w:rsidRPr="008A77EA">
        <w:rPr>
          <w:lang w:val="en-GB"/>
        </w:rPr>
        <w:t xml:space="preserve"> </w:t>
      </w:r>
    </w:p>
    <w:p w14:paraId="09B7A29E" w14:textId="77777777" w:rsidR="00EF2069" w:rsidRPr="004B267E" w:rsidRDefault="00EF2069" w:rsidP="00923475">
      <w:pPr>
        <w:pStyle w:val="BodyTextMain"/>
        <w:rPr>
          <w:spacing w:val="-2"/>
          <w:lang w:val="en-GB"/>
        </w:rPr>
      </w:pPr>
    </w:p>
    <w:p w14:paraId="5B4198A8" w14:textId="4E9B171D" w:rsidR="00923475" w:rsidRPr="00A92D75" w:rsidRDefault="00923475" w:rsidP="00923475">
      <w:pPr>
        <w:pStyle w:val="BodyTextMain"/>
        <w:rPr>
          <w:lang w:val="en-GB"/>
        </w:rPr>
      </w:pPr>
      <w:r w:rsidRPr="00A92D75">
        <w:rPr>
          <w:lang w:val="en-GB"/>
        </w:rPr>
        <w:t>Tesla partnered with Daimler and Toyota to source some standard parts</w:t>
      </w:r>
      <w:r w:rsidRPr="00A92D75">
        <w:rPr>
          <w:rStyle w:val="EndnoteReference"/>
          <w:lang w:val="en-GB"/>
        </w:rPr>
        <w:endnoteReference w:id="24"/>
      </w:r>
      <w:r w:rsidRPr="00A92D75">
        <w:rPr>
          <w:lang w:val="en-GB"/>
        </w:rPr>
        <w:t xml:space="preserve"> in exchange for sharing battery and powertrain technology.</w:t>
      </w:r>
      <w:r w:rsidRPr="00A92D75">
        <w:rPr>
          <w:rStyle w:val="EndnoteReference"/>
          <w:lang w:val="en-GB"/>
        </w:rPr>
        <w:endnoteReference w:id="25"/>
      </w:r>
      <w:r w:rsidR="00A92D75" w:rsidRPr="00A92D75">
        <w:rPr>
          <w:lang w:val="en-GB"/>
        </w:rPr>
        <w:t xml:space="preserve"> </w:t>
      </w:r>
      <w:r w:rsidRPr="00A92D75">
        <w:rPr>
          <w:lang w:val="en-GB"/>
        </w:rPr>
        <w:t>Daimler, Toyota, and more recently Panasonic had taken equity stakes in Tesla.</w:t>
      </w:r>
      <w:r w:rsidR="00A92D75" w:rsidRPr="00A92D75">
        <w:rPr>
          <w:lang w:val="en-GB"/>
        </w:rPr>
        <w:t xml:space="preserve"> </w:t>
      </w:r>
      <w:r w:rsidRPr="00A92D75">
        <w:rPr>
          <w:lang w:val="en-GB"/>
        </w:rPr>
        <w:t xml:space="preserve">Daimler even had a seat on Tesla’s </w:t>
      </w:r>
      <w:r w:rsidR="00041E18">
        <w:rPr>
          <w:lang w:val="en-GB"/>
        </w:rPr>
        <w:t>b</w:t>
      </w:r>
      <w:r w:rsidRPr="00A92D75">
        <w:rPr>
          <w:lang w:val="en-GB"/>
        </w:rPr>
        <w:t xml:space="preserve">oard of </w:t>
      </w:r>
      <w:r w:rsidR="00041E18">
        <w:rPr>
          <w:lang w:val="en-GB"/>
        </w:rPr>
        <w:t>d</w:t>
      </w:r>
      <w:r w:rsidRPr="00A92D75">
        <w:rPr>
          <w:lang w:val="en-GB"/>
        </w:rPr>
        <w:t>irectors.</w:t>
      </w:r>
      <w:r w:rsidR="00A92D75" w:rsidRPr="00A92D75">
        <w:rPr>
          <w:lang w:val="en-GB"/>
        </w:rPr>
        <w:t xml:space="preserve"> </w:t>
      </w:r>
      <w:r w:rsidRPr="00A92D75">
        <w:rPr>
          <w:lang w:val="en-GB"/>
        </w:rPr>
        <w:t>In 2014, however, Tesla decided not to renew Daimler’s seat.</w:t>
      </w:r>
      <w:r w:rsidR="00A92D75" w:rsidRPr="00A92D75">
        <w:rPr>
          <w:lang w:val="en-GB"/>
        </w:rPr>
        <w:t xml:space="preserve"> </w:t>
      </w:r>
      <w:r w:rsidRPr="00A92D75">
        <w:rPr>
          <w:lang w:val="en-GB"/>
        </w:rPr>
        <w:t>Coincidentally or not, Daimler liquidated its Tesla stock holding at a $780 million profit.</w:t>
      </w:r>
      <w:r w:rsidRPr="00A92D75">
        <w:rPr>
          <w:rStyle w:val="EndnoteReference"/>
          <w:lang w:val="en-GB"/>
        </w:rPr>
        <w:endnoteReference w:id="26"/>
      </w:r>
      <w:r w:rsidR="00A92D75" w:rsidRPr="00A92D75">
        <w:rPr>
          <w:lang w:val="en-GB"/>
        </w:rPr>
        <w:t xml:space="preserve"> </w:t>
      </w:r>
      <w:r w:rsidRPr="00A92D75">
        <w:rPr>
          <w:lang w:val="en-GB"/>
        </w:rPr>
        <w:t>Some industry observers had noted the</w:t>
      </w:r>
      <w:bookmarkStart w:id="1" w:name="_GoBack"/>
      <w:bookmarkEnd w:id="1"/>
      <w:r w:rsidRPr="00A92D75">
        <w:rPr>
          <w:lang w:val="en-GB"/>
        </w:rPr>
        <w:t xml:space="preserve"> board seat was no longer needed for insight into Tesla’s innovations, as Tesla had subsequently opened its patents for all other OEMs.</w:t>
      </w:r>
      <w:r w:rsidRPr="00A92D75">
        <w:rPr>
          <w:rStyle w:val="EndnoteReference"/>
          <w:lang w:val="en-GB"/>
        </w:rPr>
        <w:endnoteReference w:id="27"/>
      </w:r>
      <w:r w:rsidR="00A92D75" w:rsidRPr="00A92D75">
        <w:rPr>
          <w:lang w:val="en-GB"/>
        </w:rPr>
        <w:t xml:space="preserve"> </w:t>
      </w:r>
      <w:r w:rsidRPr="00A92D75">
        <w:rPr>
          <w:lang w:val="en-GB"/>
        </w:rPr>
        <w:t>Daimler continued to buy battery packs from Tesla for its own B class electric vehicles.</w:t>
      </w:r>
      <w:r w:rsidR="00A92D75" w:rsidRPr="00A92D75">
        <w:rPr>
          <w:lang w:val="en-GB"/>
        </w:rPr>
        <w:t xml:space="preserve"> </w:t>
      </w:r>
      <w:r w:rsidRPr="00A92D75">
        <w:rPr>
          <w:lang w:val="en-GB"/>
        </w:rPr>
        <w:t xml:space="preserve">These arrangements probably secured the availability of the standard parts for Tesla. </w:t>
      </w:r>
    </w:p>
    <w:p w14:paraId="7E8A4815" w14:textId="77777777" w:rsidR="00923475" w:rsidRPr="00A92D75" w:rsidRDefault="00923475" w:rsidP="00923475">
      <w:pPr>
        <w:pStyle w:val="BodyTextMain"/>
        <w:rPr>
          <w:lang w:val="en-GB"/>
        </w:rPr>
      </w:pPr>
    </w:p>
    <w:p w14:paraId="19FC52C7" w14:textId="0CB5F224" w:rsidR="00923475" w:rsidRPr="00A92D75" w:rsidRDefault="00923475" w:rsidP="00923475">
      <w:pPr>
        <w:pStyle w:val="BodyTextMain"/>
        <w:rPr>
          <w:lang w:val="en-GB"/>
        </w:rPr>
      </w:pPr>
      <w:r w:rsidRPr="00A92D75">
        <w:rPr>
          <w:lang w:val="en-GB"/>
        </w:rPr>
        <w:t>Tesla’s vehicles contain</w:t>
      </w:r>
      <w:r w:rsidR="00381F55">
        <w:rPr>
          <w:lang w:val="en-GB"/>
        </w:rPr>
        <w:t>ed</w:t>
      </w:r>
      <w:r w:rsidRPr="00A92D75">
        <w:rPr>
          <w:lang w:val="en-GB"/>
        </w:rPr>
        <w:t xml:space="preserve"> many proprietary components that </w:t>
      </w:r>
      <w:r w:rsidR="00381F55">
        <w:rPr>
          <w:lang w:val="en-GB"/>
        </w:rPr>
        <w:t>we</w:t>
      </w:r>
      <w:r w:rsidR="00381F55" w:rsidRPr="00A92D75">
        <w:rPr>
          <w:lang w:val="en-GB"/>
        </w:rPr>
        <w:t xml:space="preserve">re </w:t>
      </w:r>
      <w:r w:rsidRPr="00A92D75">
        <w:rPr>
          <w:lang w:val="en-GB"/>
        </w:rPr>
        <w:t>sourced directly from the Far East, including the lithium ion battery.</w:t>
      </w:r>
      <w:r w:rsidR="00A92D75" w:rsidRPr="00A92D75">
        <w:rPr>
          <w:lang w:val="en-GB"/>
        </w:rPr>
        <w:t xml:space="preserve"> </w:t>
      </w:r>
      <w:r w:rsidRPr="00A92D75">
        <w:rPr>
          <w:lang w:val="en-GB"/>
        </w:rPr>
        <w:t>This supply chain’s vulnerability was starkly brought to light by the West Coast Longshoremen’s work slowdown in late 2014.</w:t>
      </w:r>
      <w:r w:rsidR="00A92D75" w:rsidRPr="00A92D75">
        <w:rPr>
          <w:lang w:val="en-GB"/>
        </w:rPr>
        <w:t xml:space="preserve"> </w:t>
      </w:r>
      <w:r w:rsidRPr="00A92D75">
        <w:rPr>
          <w:lang w:val="en-GB"/>
        </w:rPr>
        <w:t>The impact of this slowdown should have been mitigated by Tesla’s relatively small output and the fact that</w:t>
      </w:r>
      <w:r w:rsidR="00381F55">
        <w:rPr>
          <w:lang w:val="en-GB"/>
        </w:rPr>
        <w:t>,</w:t>
      </w:r>
      <w:r w:rsidRPr="00A92D75">
        <w:rPr>
          <w:lang w:val="en-GB"/>
        </w:rPr>
        <w:t xml:space="preserve"> </w:t>
      </w:r>
      <w:r w:rsidR="00381F55">
        <w:rPr>
          <w:lang w:val="en-GB"/>
        </w:rPr>
        <w:t xml:space="preserve">for all sales, </w:t>
      </w:r>
      <w:r w:rsidRPr="00A92D75">
        <w:rPr>
          <w:lang w:val="en-GB"/>
        </w:rPr>
        <w:t>customers had to wait to take delivery.</w:t>
      </w:r>
      <w:r w:rsidR="00A92D75" w:rsidRPr="00A92D75">
        <w:rPr>
          <w:lang w:val="en-GB"/>
        </w:rPr>
        <w:t xml:space="preserve"> </w:t>
      </w:r>
      <w:r w:rsidRPr="00A92D75">
        <w:rPr>
          <w:lang w:val="en-GB"/>
        </w:rPr>
        <w:t xml:space="preserve">Nevertheless, according to Tesla’s </w:t>
      </w:r>
      <w:r w:rsidR="00381F55">
        <w:rPr>
          <w:lang w:val="en-GB"/>
        </w:rPr>
        <w:t>s</w:t>
      </w:r>
      <w:r w:rsidRPr="00A92D75">
        <w:rPr>
          <w:lang w:val="en-GB"/>
        </w:rPr>
        <w:t xml:space="preserve">upply </w:t>
      </w:r>
      <w:r w:rsidR="00381F55">
        <w:rPr>
          <w:lang w:val="en-GB"/>
        </w:rPr>
        <w:t>c</w:t>
      </w:r>
      <w:r w:rsidRPr="00A92D75">
        <w:rPr>
          <w:lang w:val="en-GB"/>
        </w:rPr>
        <w:t xml:space="preserve">hain </w:t>
      </w:r>
      <w:r w:rsidR="00381F55">
        <w:rPr>
          <w:lang w:val="en-GB"/>
        </w:rPr>
        <w:t>v</w:t>
      </w:r>
      <w:r w:rsidRPr="00A92D75">
        <w:rPr>
          <w:lang w:val="en-GB"/>
        </w:rPr>
        <w:t>ice</w:t>
      </w:r>
      <w:r w:rsidR="00381F55">
        <w:rPr>
          <w:lang w:val="en-GB"/>
        </w:rPr>
        <w:t>-p</w:t>
      </w:r>
      <w:r w:rsidRPr="00A92D75">
        <w:rPr>
          <w:lang w:val="en-GB"/>
        </w:rPr>
        <w:t>resident</w:t>
      </w:r>
      <w:r w:rsidR="00381F55">
        <w:rPr>
          <w:lang w:val="en-GB"/>
        </w:rPr>
        <w:t>,</w:t>
      </w:r>
      <w:r w:rsidRPr="00A92D75">
        <w:rPr>
          <w:lang w:val="en-GB"/>
        </w:rPr>
        <w:t xml:space="preserve"> Peter Carlsson, Tesla </w:t>
      </w:r>
      <w:r w:rsidR="00381F55">
        <w:rPr>
          <w:lang w:val="en-GB"/>
        </w:rPr>
        <w:t>neede</w:t>
      </w:r>
      <w:r w:rsidR="00381F55" w:rsidRPr="00A92D75">
        <w:rPr>
          <w:lang w:val="en-GB"/>
        </w:rPr>
        <w:t xml:space="preserve">d </w:t>
      </w:r>
      <w:r w:rsidRPr="00A92D75">
        <w:rPr>
          <w:lang w:val="en-GB"/>
        </w:rPr>
        <w:t xml:space="preserve">to “buffer up” to account for part shortages, and </w:t>
      </w:r>
      <w:r w:rsidR="00AE54B3">
        <w:rPr>
          <w:lang w:val="en-GB"/>
        </w:rPr>
        <w:t xml:space="preserve">in some cases, </w:t>
      </w:r>
      <w:r w:rsidRPr="00A92D75">
        <w:rPr>
          <w:lang w:val="en-GB"/>
        </w:rPr>
        <w:t>use</w:t>
      </w:r>
      <w:r w:rsidR="00AE54B3">
        <w:rPr>
          <w:lang w:val="en-GB"/>
        </w:rPr>
        <w:t>d</w:t>
      </w:r>
      <w:r w:rsidRPr="00A92D75">
        <w:rPr>
          <w:lang w:val="en-GB"/>
        </w:rPr>
        <w:t xml:space="preserve"> extremely expensive airfreight.</w:t>
      </w:r>
      <w:r w:rsidR="00A92D75" w:rsidRPr="00A92D75">
        <w:rPr>
          <w:lang w:val="en-GB"/>
        </w:rPr>
        <w:t xml:space="preserve"> </w:t>
      </w:r>
      <w:r w:rsidRPr="00A92D75">
        <w:rPr>
          <w:lang w:val="en-GB"/>
        </w:rPr>
        <w:t xml:space="preserve">This </w:t>
      </w:r>
      <w:r w:rsidR="00381F55">
        <w:rPr>
          <w:lang w:val="en-GB"/>
        </w:rPr>
        <w:t xml:space="preserve">situation </w:t>
      </w:r>
      <w:r w:rsidRPr="00A92D75">
        <w:rPr>
          <w:lang w:val="en-GB"/>
        </w:rPr>
        <w:t>adversely affected Tesla’s working capital efficiency</w:t>
      </w:r>
      <w:r w:rsidR="00381F55">
        <w:rPr>
          <w:lang w:val="en-GB"/>
        </w:rPr>
        <w:t>, which</w:t>
      </w:r>
      <w:r w:rsidRPr="00A92D75">
        <w:rPr>
          <w:lang w:val="en-GB"/>
        </w:rPr>
        <w:t xml:space="preserve"> would likely be unacceptable as Tesla expanded into the mass market with lower profit margins.</w:t>
      </w:r>
      <w:r w:rsidR="00A92D75" w:rsidRPr="00A92D75">
        <w:rPr>
          <w:lang w:val="en-GB"/>
        </w:rPr>
        <w:t xml:space="preserve"> </w:t>
      </w:r>
    </w:p>
    <w:p w14:paraId="00006D98" w14:textId="77777777" w:rsidR="00923475" w:rsidRPr="00A92D75" w:rsidRDefault="00923475" w:rsidP="00923475">
      <w:pPr>
        <w:pStyle w:val="BodyTextMain"/>
        <w:rPr>
          <w:lang w:val="en-GB"/>
        </w:rPr>
      </w:pPr>
    </w:p>
    <w:p w14:paraId="2B7916C5" w14:textId="6C786C7C" w:rsidR="00923475" w:rsidRPr="00A92D75" w:rsidRDefault="00923475" w:rsidP="00923475">
      <w:pPr>
        <w:pStyle w:val="BodyTextMain"/>
        <w:rPr>
          <w:lang w:val="en-GB"/>
        </w:rPr>
      </w:pPr>
      <w:r w:rsidRPr="00A92D75">
        <w:rPr>
          <w:lang w:val="en-GB"/>
        </w:rPr>
        <w:t xml:space="preserve">Tesla had started to address these issues proactively with a strategy designed to align </w:t>
      </w:r>
      <w:r w:rsidR="00381F55">
        <w:rPr>
          <w:lang w:val="en-GB"/>
        </w:rPr>
        <w:t>its own interests with those</w:t>
      </w:r>
      <w:r w:rsidRPr="00A92D75">
        <w:rPr>
          <w:lang w:val="en-GB"/>
        </w:rPr>
        <w:t xml:space="preserve"> of its proprietary parts suppliers.</w:t>
      </w:r>
      <w:r w:rsidR="00A92D75" w:rsidRPr="00A92D75">
        <w:rPr>
          <w:lang w:val="en-GB"/>
        </w:rPr>
        <w:t xml:space="preserve"> </w:t>
      </w:r>
      <w:r w:rsidR="00BE40F0">
        <w:rPr>
          <w:lang w:val="en-GB"/>
        </w:rPr>
        <w:t>For example, f</w:t>
      </w:r>
      <w:r w:rsidRPr="00A92D75">
        <w:rPr>
          <w:lang w:val="en-GB"/>
        </w:rPr>
        <w:t>or all components other than the powertrain, Tesla had developed a highly innovative model for integrating its suppliers into its production schedule.</w:t>
      </w:r>
      <w:r w:rsidR="00A92D75" w:rsidRPr="00A92D75">
        <w:rPr>
          <w:lang w:val="en-GB"/>
        </w:rPr>
        <w:t xml:space="preserve"> </w:t>
      </w:r>
      <w:r w:rsidRPr="00A92D75">
        <w:rPr>
          <w:lang w:val="en-GB"/>
        </w:rPr>
        <w:t>Since Tesla manufactured all its cars in one factory in Fremont, California, suppliers could not set up shop nearby.</w:t>
      </w:r>
      <w:r w:rsidR="00A92D75" w:rsidRPr="00A92D75">
        <w:rPr>
          <w:lang w:val="en-GB"/>
        </w:rPr>
        <w:t xml:space="preserve"> </w:t>
      </w:r>
      <w:r w:rsidRPr="00A92D75">
        <w:rPr>
          <w:lang w:val="en-GB"/>
        </w:rPr>
        <w:t xml:space="preserve">Instead, Tesla enabled its suppliers to more efficiently </w:t>
      </w:r>
      <w:r w:rsidR="00381F55">
        <w:rPr>
          <w:lang w:val="en-GB"/>
        </w:rPr>
        <w:t xml:space="preserve">use </w:t>
      </w:r>
      <w:r w:rsidRPr="00A92D75">
        <w:rPr>
          <w:lang w:val="en-GB"/>
        </w:rPr>
        <w:t>certain shared services.</w:t>
      </w:r>
      <w:r w:rsidR="00A92D75" w:rsidRPr="00A92D75">
        <w:rPr>
          <w:lang w:val="en-GB"/>
        </w:rPr>
        <w:t xml:space="preserve"> </w:t>
      </w:r>
      <w:r w:rsidRPr="00A92D75">
        <w:rPr>
          <w:lang w:val="en-GB"/>
        </w:rPr>
        <w:t>This innovation was made possible digitally through a secure website and “</w:t>
      </w:r>
      <w:r w:rsidR="002746F6">
        <w:rPr>
          <w:lang w:val="en-GB"/>
        </w:rPr>
        <w:t>m</w:t>
      </w:r>
      <w:r w:rsidRPr="00A92D75">
        <w:rPr>
          <w:lang w:val="en-GB"/>
        </w:rPr>
        <w:t xml:space="preserve">anufacturing </w:t>
      </w:r>
      <w:r w:rsidR="002746F6">
        <w:rPr>
          <w:lang w:val="en-GB"/>
        </w:rPr>
        <w:t>h</w:t>
      </w:r>
      <w:r w:rsidRPr="00A92D75">
        <w:rPr>
          <w:lang w:val="en-GB"/>
        </w:rPr>
        <w:t>otels</w:t>
      </w:r>
      <w:r w:rsidR="00381F55">
        <w:rPr>
          <w:lang w:val="en-GB"/>
        </w:rPr>
        <w:t>,</w:t>
      </w:r>
      <w:r w:rsidRPr="00A92D75">
        <w:rPr>
          <w:lang w:val="en-GB"/>
        </w:rPr>
        <w:t>” where suppliers could meet face-to-face to discuss how to leverage shared services.</w:t>
      </w:r>
      <w:r w:rsidRPr="00A92D75">
        <w:rPr>
          <w:rStyle w:val="EndnoteReference"/>
          <w:lang w:val="en-GB"/>
        </w:rPr>
        <w:endnoteReference w:id="28"/>
      </w:r>
      <w:r w:rsidRPr="00A92D75">
        <w:rPr>
          <w:lang w:val="en-GB"/>
        </w:rPr>
        <w:t xml:space="preserve"> </w:t>
      </w:r>
    </w:p>
    <w:p w14:paraId="5F6B4009" w14:textId="77777777" w:rsidR="00923475" w:rsidRPr="00A92D75" w:rsidRDefault="00923475" w:rsidP="00923475">
      <w:pPr>
        <w:pStyle w:val="BodyTextMain"/>
        <w:rPr>
          <w:lang w:val="en-GB"/>
        </w:rPr>
      </w:pPr>
    </w:p>
    <w:p w14:paraId="308470F0" w14:textId="77777777" w:rsidR="00923475" w:rsidRPr="00A92D75" w:rsidRDefault="00923475" w:rsidP="00923475">
      <w:pPr>
        <w:pStyle w:val="BodyTextMain"/>
        <w:rPr>
          <w:lang w:val="en-GB"/>
        </w:rPr>
      </w:pPr>
    </w:p>
    <w:p w14:paraId="63ED6E98" w14:textId="77777777" w:rsidR="00923475" w:rsidRPr="00A92D75" w:rsidRDefault="00923475" w:rsidP="00923475">
      <w:pPr>
        <w:pStyle w:val="Casehead2"/>
        <w:rPr>
          <w:lang w:val="en-GB"/>
        </w:rPr>
      </w:pPr>
      <w:r w:rsidRPr="00A92D75">
        <w:rPr>
          <w:lang w:val="en-GB"/>
        </w:rPr>
        <w:t>Tesla’s Gigafactory for Batteries</w:t>
      </w:r>
    </w:p>
    <w:p w14:paraId="26B89B08" w14:textId="77777777" w:rsidR="00923475" w:rsidRPr="00A92D75" w:rsidRDefault="00923475" w:rsidP="00923475">
      <w:pPr>
        <w:pStyle w:val="BodyTextMain"/>
        <w:rPr>
          <w:lang w:val="en-GB"/>
        </w:rPr>
      </w:pPr>
    </w:p>
    <w:p w14:paraId="13204545" w14:textId="67C12436" w:rsidR="00923475" w:rsidRPr="00A92D75" w:rsidRDefault="00923475" w:rsidP="00923475">
      <w:pPr>
        <w:pStyle w:val="BodyTextMain"/>
        <w:rPr>
          <w:lang w:val="en-GB"/>
        </w:rPr>
      </w:pPr>
      <w:r w:rsidRPr="00A92D75">
        <w:rPr>
          <w:lang w:val="en-GB"/>
        </w:rPr>
        <w:t>Tesla’s major sourcing challenge was the battery.</w:t>
      </w:r>
      <w:r w:rsidR="00A92D75" w:rsidRPr="00A92D75">
        <w:rPr>
          <w:lang w:val="en-GB"/>
        </w:rPr>
        <w:t xml:space="preserve"> </w:t>
      </w:r>
      <w:r w:rsidRPr="00A92D75">
        <w:rPr>
          <w:lang w:val="en-GB"/>
        </w:rPr>
        <w:t xml:space="preserve">Tesla was sourcing this critical component from the Far East, </w:t>
      </w:r>
      <w:r w:rsidR="00867456">
        <w:rPr>
          <w:lang w:val="en-GB"/>
        </w:rPr>
        <w:t>which</w:t>
      </w:r>
      <w:r w:rsidR="00867456" w:rsidRPr="00A92D75">
        <w:rPr>
          <w:lang w:val="en-GB"/>
        </w:rPr>
        <w:t xml:space="preserve"> le</w:t>
      </w:r>
      <w:r w:rsidR="00867456">
        <w:rPr>
          <w:lang w:val="en-GB"/>
        </w:rPr>
        <w:t>ft</w:t>
      </w:r>
      <w:r w:rsidR="00867456" w:rsidRPr="00A92D75">
        <w:rPr>
          <w:lang w:val="en-GB"/>
        </w:rPr>
        <w:t xml:space="preserve"> </w:t>
      </w:r>
      <w:r w:rsidRPr="00A92D75">
        <w:rPr>
          <w:lang w:val="en-GB"/>
        </w:rPr>
        <w:t>itself open to supply and quality problems.</w:t>
      </w:r>
      <w:r w:rsidR="00A92D75" w:rsidRPr="00A92D75">
        <w:rPr>
          <w:lang w:val="en-GB"/>
        </w:rPr>
        <w:t xml:space="preserve"> </w:t>
      </w:r>
      <w:r w:rsidRPr="00A92D75">
        <w:rPr>
          <w:lang w:val="en-GB"/>
        </w:rPr>
        <w:t>Moreover, it had no control over the cost—a factor that would become increasingly critical as the Model 3 rolled off the assembly line.</w:t>
      </w:r>
      <w:r w:rsidR="00A92D75" w:rsidRPr="00A92D75">
        <w:rPr>
          <w:lang w:val="en-GB"/>
        </w:rPr>
        <w:t xml:space="preserve"> </w:t>
      </w:r>
      <w:r w:rsidRPr="00A92D75">
        <w:rPr>
          <w:lang w:val="en-GB"/>
        </w:rPr>
        <w:t>Competition was also around the corner.</w:t>
      </w:r>
      <w:r w:rsidR="00A92D75" w:rsidRPr="00A92D75">
        <w:rPr>
          <w:lang w:val="en-GB"/>
        </w:rPr>
        <w:t xml:space="preserve"> </w:t>
      </w:r>
      <w:r w:rsidRPr="00A92D75">
        <w:rPr>
          <w:lang w:val="en-GB"/>
        </w:rPr>
        <w:t>For example, Volkswagen was developing a much longer</w:t>
      </w:r>
      <w:r w:rsidR="00381F55">
        <w:rPr>
          <w:lang w:val="en-GB"/>
        </w:rPr>
        <w:t>-</w:t>
      </w:r>
      <w:r w:rsidRPr="00A92D75">
        <w:rPr>
          <w:lang w:val="en-GB"/>
        </w:rPr>
        <w:t>range vehicle battery that would pose serious competition to Tesla.</w:t>
      </w:r>
      <w:r w:rsidR="00A92D75" w:rsidRPr="00A92D75">
        <w:rPr>
          <w:lang w:val="en-GB"/>
        </w:rPr>
        <w:t xml:space="preserve"> </w:t>
      </w:r>
    </w:p>
    <w:p w14:paraId="580E26DB" w14:textId="77777777" w:rsidR="00923475" w:rsidRPr="00A92D75" w:rsidRDefault="00923475" w:rsidP="00923475">
      <w:pPr>
        <w:pStyle w:val="BodyTextMain"/>
        <w:rPr>
          <w:lang w:val="en-GB"/>
        </w:rPr>
      </w:pPr>
    </w:p>
    <w:p w14:paraId="31F581A4" w14:textId="1403CCB7" w:rsidR="00923475" w:rsidRPr="00A92D75" w:rsidRDefault="00923475" w:rsidP="00923475">
      <w:pPr>
        <w:pStyle w:val="BodyTextMain"/>
        <w:rPr>
          <w:lang w:val="en-GB"/>
        </w:rPr>
      </w:pPr>
      <w:r w:rsidRPr="00A92D75">
        <w:rPr>
          <w:lang w:val="en-GB"/>
        </w:rPr>
        <w:t>To counter these issues, the potentially game-changing supply chain initiative was Tesla’s decision to integrate backward into its $5 billion “gigawatt” battery production plant in Reno, Nevada</w:t>
      </w:r>
      <w:r w:rsidR="00381F55">
        <w:rPr>
          <w:lang w:val="en-GB"/>
        </w:rPr>
        <w:t>, which was</w:t>
      </w:r>
      <w:r w:rsidRPr="00A92D75">
        <w:rPr>
          <w:lang w:val="en-GB"/>
        </w:rPr>
        <w:t xml:space="preserve"> staffed </w:t>
      </w:r>
      <w:r w:rsidR="00381F55">
        <w:rPr>
          <w:lang w:val="en-GB"/>
        </w:rPr>
        <w:t>by</w:t>
      </w:r>
      <w:r w:rsidR="00381F55" w:rsidRPr="00A92D75">
        <w:rPr>
          <w:lang w:val="en-GB"/>
        </w:rPr>
        <w:t xml:space="preserve"> </w:t>
      </w:r>
      <w:r w:rsidRPr="00A92D75">
        <w:rPr>
          <w:lang w:val="en-GB"/>
        </w:rPr>
        <w:t>10,000 workers.</w:t>
      </w:r>
      <w:r w:rsidR="00A92D75" w:rsidRPr="00A92D75">
        <w:rPr>
          <w:lang w:val="en-GB"/>
        </w:rPr>
        <w:t xml:space="preserve"> </w:t>
      </w:r>
      <w:r w:rsidRPr="00A92D75">
        <w:rPr>
          <w:lang w:val="en-GB"/>
        </w:rPr>
        <w:t xml:space="preserve">Tesla expected the Gigafactory would be able to churn out cheaper and longer-lasting batteries (the current batteries </w:t>
      </w:r>
      <w:r w:rsidR="00381F55" w:rsidRPr="00A92D75">
        <w:rPr>
          <w:lang w:val="en-GB"/>
        </w:rPr>
        <w:t>c</w:t>
      </w:r>
      <w:r w:rsidR="00381F55">
        <w:rPr>
          <w:lang w:val="en-GB"/>
        </w:rPr>
        <w:t>ould</w:t>
      </w:r>
      <w:r w:rsidR="00381F55" w:rsidRPr="00A92D75">
        <w:rPr>
          <w:lang w:val="en-GB"/>
        </w:rPr>
        <w:t xml:space="preserve"> </w:t>
      </w:r>
      <w:r w:rsidRPr="00A92D75">
        <w:rPr>
          <w:lang w:val="en-GB"/>
        </w:rPr>
        <w:t xml:space="preserve">go 265 miles </w:t>
      </w:r>
      <w:r w:rsidR="00381F55">
        <w:rPr>
          <w:lang w:val="en-GB"/>
        </w:rPr>
        <w:t xml:space="preserve">[426 kilometres] </w:t>
      </w:r>
      <w:r w:rsidRPr="00A92D75">
        <w:rPr>
          <w:lang w:val="en-GB"/>
        </w:rPr>
        <w:t>without a charge) by virtue of scale and other efficiencies.</w:t>
      </w:r>
      <w:r w:rsidRPr="00A92D75">
        <w:rPr>
          <w:rStyle w:val="EndnoteReference"/>
          <w:lang w:val="en-GB"/>
        </w:rPr>
        <w:endnoteReference w:id="29"/>
      </w:r>
      <w:r w:rsidR="00A92D75" w:rsidRPr="00A92D75">
        <w:rPr>
          <w:lang w:val="en-GB"/>
        </w:rPr>
        <w:t xml:space="preserve"> </w:t>
      </w:r>
      <w:r w:rsidRPr="00A92D75">
        <w:rPr>
          <w:lang w:val="en-GB"/>
        </w:rPr>
        <w:t xml:space="preserve">The 6-million-square-foot </w:t>
      </w:r>
      <w:r w:rsidR="00381F55">
        <w:rPr>
          <w:lang w:val="en-GB"/>
        </w:rPr>
        <w:t>(</w:t>
      </w:r>
      <w:r w:rsidR="003A7DD7">
        <w:rPr>
          <w:lang w:val="en-GB"/>
        </w:rPr>
        <w:t xml:space="preserve">557-square-metre) </w:t>
      </w:r>
      <w:r w:rsidRPr="00A92D75">
        <w:rPr>
          <w:lang w:val="en-GB"/>
        </w:rPr>
        <w:t>facility would start producing its homegrown batteries in 2017—the same year as the expected delivery of the Model 3.</w:t>
      </w:r>
      <w:r w:rsidR="00A92D75" w:rsidRPr="00A92D75">
        <w:rPr>
          <w:lang w:val="en-GB"/>
        </w:rPr>
        <w:t xml:space="preserve"> </w:t>
      </w:r>
      <w:r w:rsidRPr="00A92D75">
        <w:rPr>
          <w:lang w:val="en-GB"/>
        </w:rPr>
        <w:t>The facility was expected to grow to more than 1,000 acres</w:t>
      </w:r>
      <w:r w:rsidR="00A92D75" w:rsidRPr="00A92D75">
        <w:rPr>
          <w:lang w:val="en-GB"/>
        </w:rPr>
        <w:t xml:space="preserve"> </w:t>
      </w:r>
      <w:r w:rsidRPr="00A92D75">
        <w:rPr>
          <w:lang w:val="en-GB"/>
        </w:rPr>
        <w:t>(</w:t>
      </w:r>
      <w:r w:rsidR="003A7DD7">
        <w:rPr>
          <w:lang w:val="en-GB"/>
        </w:rPr>
        <w:t>43.5</w:t>
      </w:r>
      <w:r w:rsidR="00571B85">
        <w:rPr>
          <w:lang w:val="en-GB"/>
        </w:rPr>
        <w:t>6</w:t>
      </w:r>
      <w:r w:rsidR="003A7DD7" w:rsidRPr="00A92D75">
        <w:rPr>
          <w:lang w:val="en-GB"/>
        </w:rPr>
        <w:t xml:space="preserve"> </w:t>
      </w:r>
      <w:r w:rsidRPr="00A92D75">
        <w:rPr>
          <w:lang w:val="en-GB"/>
        </w:rPr>
        <w:t xml:space="preserve">million square feet). Tesla </w:t>
      </w:r>
      <w:r w:rsidR="00867456">
        <w:rPr>
          <w:lang w:val="en-GB"/>
        </w:rPr>
        <w:t>projected</w:t>
      </w:r>
      <w:r w:rsidRPr="00A92D75">
        <w:rPr>
          <w:lang w:val="en-GB"/>
        </w:rPr>
        <w:t xml:space="preserve"> the Gigafactory </w:t>
      </w:r>
      <w:r w:rsidR="00867456">
        <w:rPr>
          <w:lang w:val="en-GB"/>
        </w:rPr>
        <w:t xml:space="preserve">would produce </w:t>
      </w:r>
      <w:r w:rsidRPr="00A92D75">
        <w:rPr>
          <w:lang w:val="en-GB"/>
        </w:rPr>
        <w:t>35 gigawatt hours of batteries per year by 2018.</w:t>
      </w:r>
      <w:r w:rsidR="00A92D75" w:rsidRPr="00A92D75">
        <w:rPr>
          <w:lang w:val="en-GB"/>
        </w:rPr>
        <w:t xml:space="preserve"> </w:t>
      </w:r>
      <w:r w:rsidRPr="00A92D75">
        <w:rPr>
          <w:lang w:val="en-GB"/>
        </w:rPr>
        <w:t xml:space="preserve">The Gigafactory would be completely </w:t>
      </w:r>
      <w:r w:rsidRPr="00A92D75">
        <w:rPr>
          <w:lang w:val="en-GB"/>
        </w:rPr>
        <w:lastRenderedPageBreak/>
        <w:t>sustainable by using renewable energy from numerous metal windmills to generate electricity for the factory.</w:t>
      </w:r>
      <w:r w:rsidR="00A92D75" w:rsidRPr="00A92D75">
        <w:rPr>
          <w:lang w:val="en-GB"/>
        </w:rPr>
        <w:t xml:space="preserve"> </w:t>
      </w:r>
      <w:r w:rsidRPr="00A92D75">
        <w:rPr>
          <w:lang w:val="en-GB"/>
        </w:rPr>
        <w:t>Tesla also was reportedly looking at building another similar plant outside of North America.</w:t>
      </w:r>
      <w:r w:rsidRPr="00A92D75">
        <w:rPr>
          <w:rStyle w:val="EndnoteReference"/>
          <w:lang w:val="en-GB"/>
        </w:rPr>
        <w:endnoteReference w:id="30"/>
      </w:r>
    </w:p>
    <w:p w14:paraId="327B4180" w14:textId="77777777" w:rsidR="00923475" w:rsidRPr="00A92D75" w:rsidRDefault="00923475" w:rsidP="00923475">
      <w:pPr>
        <w:pStyle w:val="BodyTextMain"/>
        <w:rPr>
          <w:lang w:val="en-GB"/>
        </w:rPr>
      </w:pPr>
    </w:p>
    <w:p w14:paraId="3D8CABEF" w14:textId="29D2CB30" w:rsidR="00923475" w:rsidRPr="00A92D75" w:rsidRDefault="00923475" w:rsidP="00923475">
      <w:pPr>
        <w:pStyle w:val="BodyTextMain"/>
        <w:rPr>
          <w:lang w:val="en-GB"/>
        </w:rPr>
      </w:pPr>
      <w:r w:rsidRPr="00A92D75">
        <w:rPr>
          <w:lang w:val="en-GB"/>
        </w:rPr>
        <w:t>Nevada was a superb location for the Gigafactory.</w:t>
      </w:r>
      <w:r w:rsidR="00A92D75" w:rsidRPr="00A92D75">
        <w:rPr>
          <w:lang w:val="en-GB"/>
        </w:rPr>
        <w:t xml:space="preserve"> </w:t>
      </w:r>
      <w:r w:rsidRPr="00A92D75">
        <w:rPr>
          <w:lang w:val="en-GB"/>
        </w:rPr>
        <w:t xml:space="preserve">The first activity of the lithium battery value chain was mining, which </w:t>
      </w:r>
      <w:r w:rsidR="00571B85">
        <w:rPr>
          <w:lang w:val="en-GB"/>
        </w:rPr>
        <w:t>was</w:t>
      </w:r>
      <w:r w:rsidR="00571B85" w:rsidRPr="00A92D75">
        <w:rPr>
          <w:lang w:val="en-GB"/>
        </w:rPr>
        <w:t xml:space="preserve"> </w:t>
      </w:r>
      <w:r w:rsidRPr="00A92D75">
        <w:rPr>
          <w:lang w:val="en-GB"/>
        </w:rPr>
        <w:t>primarily located in Argentina, Chile, Bolivia, Australia, and eastern China.</w:t>
      </w:r>
      <w:r w:rsidR="00A92D75" w:rsidRPr="00A92D75">
        <w:rPr>
          <w:lang w:val="en-GB"/>
        </w:rPr>
        <w:t xml:space="preserve"> </w:t>
      </w:r>
      <w:r w:rsidRPr="00A92D75">
        <w:rPr>
          <w:lang w:val="en-GB"/>
        </w:rPr>
        <w:t>The second activity was shipping the lithium to battery makers in Asia, which was costly because of the long distances involved</w:t>
      </w:r>
      <w:r w:rsidR="003A7DD7">
        <w:rPr>
          <w:lang w:val="en-GB"/>
        </w:rPr>
        <w:t>,</w:t>
      </w:r>
      <w:r w:rsidRPr="00A92D75">
        <w:rPr>
          <w:lang w:val="en-GB"/>
        </w:rPr>
        <w:t xml:space="preserve"> except </w:t>
      </w:r>
      <w:r w:rsidR="003A7DD7" w:rsidRPr="00A92D75">
        <w:rPr>
          <w:lang w:val="en-GB"/>
        </w:rPr>
        <w:t>f</w:t>
      </w:r>
      <w:r w:rsidR="003A7DD7">
        <w:rPr>
          <w:lang w:val="en-GB"/>
        </w:rPr>
        <w:t>rom</w:t>
      </w:r>
      <w:r w:rsidR="003A7DD7" w:rsidRPr="00A92D75">
        <w:rPr>
          <w:lang w:val="en-GB"/>
        </w:rPr>
        <w:t xml:space="preserve"> </w:t>
      </w:r>
      <w:r w:rsidRPr="00A92D75">
        <w:rPr>
          <w:lang w:val="en-GB"/>
        </w:rPr>
        <w:t>the mines in China.</w:t>
      </w:r>
      <w:r w:rsidR="00A92D75" w:rsidRPr="00A92D75">
        <w:rPr>
          <w:lang w:val="en-GB"/>
        </w:rPr>
        <w:t xml:space="preserve"> </w:t>
      </w:r>
      <w:r w:rsidRPr="00A92D75">
        <w:rPr>
          <w:lang w:val="en-GB"/>
        </w:rPr>
        <w:t>The final activity was the assembly of the battery and the profit added on by the assemblers.</w:t>
      </w:r>
    </w:p>
    <w:p w14:paraId="58ACC0E5" w14:textId="77777777" w:rsidR="00923475" w:rsidRPr="00A92D75" w:rsidRDefault="00923475" w:rsidP="00923475">
      <w:pPr>
        <w:pStyle w:val="BodyTextMain"/>
        <w:rPr>
          <w:lang w:val="en-GB"/>
        </w:rPr>
      </w:pPr>
    </w:p>
    <w:p w14:paraId="7670FF8F" w14:textId="58B13EF5" w:rsidR="00923475" w:rsidRPr="00A92D75" w:rsidRDefault="00923475" w:rsidP="00923475">
      <w:pPr>
        <w:pStyle w:val="BodyTextMain"/>
        <w:rPr>
          <w:lang w:val="en-GB"/>
        </w:rPr>
      </w:pPr>
      <w:r w:rsidRPr="00A92D75">
        <w:rPr>
          <w:lang w:val="en-GB"/>
        </w:rPr>
        <w:t>Tesla’s Gigafactory could reduce costs across the entire value chain.</w:t>
      </w:r>
      <w:r w:rsidR="00A92D75" w:rsidRPr="00A92D75">
        <w:rPr>
          <w:lang w:val="en-GB"/>
        </w:rPr>
        <w:t xml:space="preserve"> </w:t>
      </w:r>
      <w:r w:rsidRPr="00A92D75">
        <w:rPr>
          <w:lang w:val="en-GB"/>
        </w:rPr>
        <w:t>Nevada ha</w:t>
      </w:r>
      <w:r w:rsidR="00FC0738">
        <w:rPr>
          <w:lang w:val="en-GB"/>
        </w:rPr>
        <w:t>d</w:t>
      </w:r>
      <w:r w:rsidRPr="00A92D75">
        <w:rPr>
          <w:lang w:val="en-GB"/>
        </w:rPr>
        <w:t xml:space="preserve"> an ample source of lithium.</w:t>
      </w:r>
      <w:r w:rsidR="00A92D75" w:rsidRPr="00A92D75">
        <w:rPr>
          <w:lang w:val="en-GB"/>
        </w:rPr>
        <w:t xml:space="preserve"> </w:t>
      </w:r>
      <w:r w:rsidRPr="00A92D75">
        <w:rPr>
          <w:lang w:val="en-GB"/>
        </w:rPr>
        <w:t>Tesla planned to buy lithium from Pure Energy Minerals</w:t>
      </w:r>
      <w:r w:rsidR="00FC0738">
        <w:rPr>
          <w:lang w:val="en-GB"/>
        </w:rPr>
        <w:t>, a mining company</w:t>
      </w:r>
      <w:r w:rsidRPr="00A92D75">
        <w:rPr>
          <w:lang w:val="en-GB"/>
        </w:rPr>
        <w:t xml:space="preserve"> that </w:t>
      </w:r>
      <w:r w:rsidR="00FC0738">
        <w:rPr>
          <w:lang w:val="en-GB"/>
        </w:rPr>
        <w:t>wa</w:t>
      </w:r>
      <w:r w:rsidR="00FC0738" w:rsidRPr="00A92D75">
        <w:rPr>
          <w:lang w:val="en-GB"/>
        </w:rPr>
        <w:t xml:space="preserve">s </w:t>
      </w:r>
      <w:r w:rsidRPr="00A92D75">
        <w:rPr>
          <w:lang w:val="en-GB"/>
        </w:rPr>
        <w:t xml:space="preserve">under development 200 miles </w:t>
      </w:r>
      <w:r w:rsidR="00FC0738">
        <w:rPr>
          <w:lang w:val="en-GB"/>
        </w:rPr>
        <w:t xml:space="preserve">(322 kilometres) </w:t>
      </w:r>
      <w:r w:rsidRPr="00A92D75">
        <w:rPr>
          <w:lang w:val="en-GB"/>
        </w:rPr>
        <w:t>from Reno.</w:t>
      </w:r>
      <w:r w:rsidR="00A92D75" w:rsidRPr="00A92D75">
        <w:rPr>
          <w:lang w:val="en-GB"/>
        </w:rPr>
        <w:t xml:space="preserve"> </w:t>
      </w:r>
      <w:r w:rsidRPr="00A92D75">
        <w:rPr>
          <w:lang w:val="en-GB"/>
        </w:rPr>
        <w:t xml:space="preserve">Tesla </w:t>
      </w:r>
      <w:r w:rsidR="00FC0738" w:rsidRPr="00A92D75">
        <w:rPr>
          <w:lang w:val="en-GB"/>
        </w:rPr>
        <w:t>w</w:t>
      </w:r>
      <w:r w:rsidR="00FC0738">
        <w:rPr>
          <w:lang w:val="en-GB"/>
        </w:rPr>
        <w:t>ould</w:t>
      </w:r>
      <w:r w:rsidR="00FC0738" w:rsidRPr="00A92D75">
        <w:rPr>
          <w:lang w:val="en-GB"/>
        </w:rPr>
        <w:t xml:space="preserve"> </w:t>
      </w:r>
      <w:r w:rsidRPr="00A92D75">
        <w:rPr>
          <w:lang w:val="en-GB"/>
        </w:rPr>
        <w:t xml:space="preserve">pay Pure Energy a “predetermined price that </w:t>
      </w:r>
      <w:r w:rsidR="009979B8">
        <w:rPr>
          <w:lang w:val="en-GB"/>
        </w:rPr>
        <w:t>is</w:t>
      </w:r>
      <w:r w:rsidRPr="00A92D75">
        <w:rPr>
          <w:lang w:val="en-GB"/>
        </w:rPr>
        <w:t xml:space="preserve"> below </w:t>
      </w:r>
      <w:r w:rsidR="009979B8">
        <w:rPr>
          <w:lang w:val="en-GB"/>
        </w:rPr>
        <w:t>current</w:t>
      </w:r>
      <w:r w:rsidR="009979B8" w:rsidRPr="00A92D75">
        <w:rPr>
          <w:lang w:val="en-GB"/>
        </w:rPr>
        <w:t xml:space="preserve"> </w:t>
      </w:r>
      <w:r w:rsidRPr="00A92D75">
        <w:rPr>
          <w:lang w:val="en-GB"/>
        </w:rPr>
        <w:t>market rates.”</w:t>
      </w:r>
      <w:r w:rsidR="00A92D75" w:rsidRPr="00A92D75">
        <w:rPr>
          <w:lang w:val="en-GB"/>
        </w:rPr>
        <w:t xml:space="preserve"> </w:t>
      </w:r>
      <w:r w:rsidRPr="00A92D75">
        <w:rPr>
          <w:lang w:val="en-GB"/>
        </w:rPr>
        <w:t xml:space="preserve">Pure Energy </w:t>
      </w:r>
      <w:r w:rsidR="00FC0738">
        <w:rPr>
          <w:lang w:val="en-GB"/>
        </w:rPr>
        <w:t>w</w:t>
      </w:r>
      <w:r w:rsidR="00571B85">
        <w:rPr>
          <w:lang w:val="en-GB"/>
        </w:rPr>
        <w:t>ould</w:t>
      </w:r>
      <w:r w:rsidR="00FC0738">
        <w:rPr>
          <w:lang w:val="en-GB"/>
        </w:rPr>
        <w:t xml:space="preserve"> </w:t>
      </w:r>
      <w:r w:rsidRPr="00A92D75">
        <w:rPr>
          <w:lang w:val="en-GB"/>
        </w:rPr>
        <w:t>reportedly borrow a page from the fracking playbook</w:t>
      </w:r>
      <w:r w:rsidR="00FC0738">
        <w:rPr>
          <w:lang w:val="en-GB"/>
        </w:rPr>
        <w:t>,</w:t>
      </w:r>
      <w:r w:rsidRPr="00A92D75">
        <w:rPr>
          <w:lang w:val="en-GB"/>
        </w:rPr>
        <w:t xml:space="preserve"> by drilling holes in the ground and pumping saltwater into </w:t>
      </w:r>
      <w:r w:rsidR="00FC0738" w:rsidRPr="00A92D75">
        <w:rPr>
          <w:lang w:val="en-GB"/>
        </w:rPr>
        <w:t>th</w:t>
      </w:r>
      <w:r w:rsidR="00FC0738">
        <w:rPr>
          <w:lang w:val="en-GB"/>
        </w:rPr>
        <w:t>o</w:t>
      </w:r>
      <w:r w:rsidR="00FC0738" w:rsidRPr="00A92D75">
        <w:rPr>
          <w:lang w:val="en-GB"/>
        </w:rPr>
        <w:t xml:space="preserve">se </w:t>
      </w:r>
      <w:r w:rsidRPr="00A92D75">
        <w:rPr>
          <w:lang w:val="en-GB"/>
        </w:rPr>
        <w:t>holes.</w:t>
      </w:r>
      <w:r w:rsidR="00A92D75" w:rsidRPr="00A92D75">
        <w:rPr>
          <w:lang w:val="en-GB"/>
        </w:rPr>
        <w:t xml:space="preserve"> </w:t>
      </w:r>
      <w:r w:rsidRPr="00A92D75">
        <w:rPr>
          <w:lang w:val="en-GB"/>
        </w:rPr>
        <w:t xml:space="preserve">The water </w:t>
      </w:r>
      <w:r w:rsidR="00FC0738">
        <w:rPr>
          <w:lang w:val="en-GB"/>
        </w:rPr>
        <w:t>would</w:t>
      </w:r>
      <w:r w:rsidR="00FC0738" w:rsidRPr="00A92D75">
        <w:rPr>
          <w:lang w:val="en-GB"/>
        </w:rPr>
        <w:t xml:space="preserve"> </w:t>
      </w:r>
      <w:r w:rsidRPr="00A92D75">
        <w:rPr>
          <w:lang w:val="en-GB"/>
        </w:rPr>
        <w:t xml:space="preserve">then </w:t>
      </w:r>
      <w:r w:rsidR="00FC0738">
        <w:rPr>
          <w:lang w:val="en-GB"/>
        </w:rPr>
        <w:t xml:space="preserve">be </w:t>
      </w:r>
      <w:r w:rsidRPr="00A92D75">
        <w:rPr>
          <w:lang w:val="en-GB"/>
        </w:rPr>
        <w:t xml:space="preserve">pumped back to the surface, and the lithium </w:t>
      </w:r>
      <w:r w:rsidR="00FC0738">
        <w:rPr>
          <w:lang w:val="en-GB"/>
        </w:rPr>
        <w:t>would be</w:t>
      </w:r>
      <w:r w:rsidR="00FC0738" w:rsidRPr="00A92D75">
        <w:rPr>
          <w:lang w:val="en-GB"/>
        </w:rPr>
        <w:t xml:space="preserve"> </w:t>
      </w:r>
      <w:r w:rsidRPr="00A92D75">
        <w:rPr>
          <w:lang w:val="en-GB"/>
        </w:rPr>
        <w:t>extracted from the brine.</w:t>
      </w:r>
      <w:r w:rsidR="00A92D75" w:rsidRPr="00A92D75">
        <w:rPr>
          <w:lang w:val="en-GB"/>
        </w:rPr>
        <w:t xml:space="preserve"> </w:t>
      </w:r>
      <w:r w:rsidRPr="00A92D75">
        <w:rPr>
          <w:lang w:val="en-GB"/>
        </w:rPr>
        <w:t>This mining method would significantly reduce the cost of the lithium.</w:t>
      </w:r>
      <w:r w:rsidRPr="00A92D75">
        <w:rPr>
          <w:rStyle w:val="EndnoteReference"/>
          <w:lang w:val="en-GB"/>
        </w:rPr>
        <w:endnoteReference w:id="31"/>
      </w:r>
      <w:r w:rsidR="00A92D75" w:rsidRPr="00A92D75">
        <w:rPr>
          <w:lang w:val="en-GB"/>
        </w:rPr>
        <w:t xml:space="preserve"> </w:t>
      </w:r>
      <w:r w:rsidRPr="00A92D75">
        <w:rPr>
          <w:lang w:val="en-GB"/>
        </w:rPr>
        <w:t xml:space="preserve">Tesla </w:t>
      </w:r>
      <w:r w:rsidR="00FC0738">
        <w:rPr>
          <w:lang w:val="en-GB"/>
        </w:rPr>
        <w:t>wa</w:t>
      </w:r>
      <w:r w:rsidR="00FC0738" w:rsidRPr="00A92D75">
        <w:rPr>
          <w:lang w:val="en-GB"/>
        </w:rPr>
        <w:t xml:space="preserve">s </w:t>
      </w:r>
      <w:r w:rsidRPr="00A92D75">
        <w:rPr>
          <w:lang w:val="en-GB"/>
        </w:rPr>
        <w:t>also interested in sourcing lithium from mines in Northern Mexico and Canada.</w:t>
      </w:r>
    </w:p>
    <w:p w14:paraId="68090024" w14:textId="77777777" w:rsidR="00923475" w:rsidRPr="00A92D75" w:rsidRDefault="00923475" w:rsidP="00923475">
      <w:pPr>
        <w:pStyle w:val="BodyTextMain"/>
        <w:rPr>
          <w:lang w:val="en-GB"/>
        </w:rPr>
      </w:pPr>
    </w:p>
    <w:p w14:paraId="3C575433" w14:textId="77777777" w:rsidR="00923475" w:rsidRPr="00A92D75" w:rsidRDefault="00923475" w:rsidP="00923475">
      <w:pPr>
        <w:pStyle w:val="BodyTextMain"/>
        <w:rPr>
          <w:lang w:val="en-GB"/>
        </w:rPr>
      </w:pPr>
    </w:p>
    <w:p w14:paraId="7D45EA50" w14:textId="77777777" w:rsidR="00923475" w:rsidRPr="00A92D75" w:rsidRDefault="00923475" w:rsidP="00923475">
      <w:pPr>
        <w:pStyle w:val="Casehead2"/>
        <w:rPr>
          <w:lang w:val="en-GB"/>
        </w:rPr>
      </w:pPr>
      <w:r w:rsidRPr="00A92D75">
        <w:rPr>
          <w:lang w:val="en-GB"/>
        </w:rPr>
        <w:t>Acquisition of SolarCity</w:t>
      </w:r>
    </w:p>
    <w:p w14:paraId="7E3AEB55" w14:textId="77777777" w:rsidR="00923475" w:rsidRPr="00A92D75" w:rsidRDefault="00923475" w:rsidP="00923475">
      <w:pPr>
        <w:pStyle w:val="BodyTextMain"/>
        <w:rPr>
          <w:lang w:val="en-GB"/>
        </w:rPr>
      </w:pPr>
    </w:p>
    <w:p w14:paraId="356307DA" w14:textId="1C32B659" w:rsidR="00923475" w:rsidRPr="00A92D75" w:rsidRDefault="00923475" w:rsidP="00923475">
      <w:pPr>
        <w:pStyle w:val="BodyTextMain"/>
        <w:rPr>
          <w:lang w:val="en-GB"/>
        </w:rPr>
      </w:pPr>
      <w:r w:rsidRPr="00A92D75">
        <w:rPr>
          <w:lang w:val="en-GB"/>
        </w:rPr>
        <w:t>On November 21, 2016, Tesla acquired SolarCity for $2.6 billion.</w:t>
      </w:r>
      <w:r w:rsidRPr="00A92D75">
        <w:rPr>
          <w:rStyle w:val="EndnoteReference"/>
          <w:lang w:val="en-GB"/>
        </w:rPr>
        <w:endnoteReference w:id="32"/>
      </w:r>
      <w:r w:rsidR="00A92D75" w:rsidRPr="00A92D75">
        <w:rPr>
          <w:lang w:val="en-GB"/>
        </w:rPr>
        <w:t xml:space="preserve"> </w:t>
      </w:r>
      <w:r w:rsidRPr="00A92D75">
        <w:rPr>
          <w:lang w:val="en-GB"/>
        </w:rPr>
        <w:t xml:space="preserve">The deal made sense since the combined companies now produced </w:t>
      </w:r>
      <w:r w:rsidR="00324CB4">
        <w:rPr>
          <w:lang w:val="en-GB"/>
        </w:rPr>
        <w:t>three related products—</w:t>
      </w:r>
      <w:r w:rsidRPr="00A92D75">
        <w:rPr>
          <w:lang w:val="en-GB"/>
        </w:rPr>
        <w:t>solar power, power storage</w:t>
      </w:r>
      <w:r w:rsidR="009979B8">
        <w:rPr>
          <w:lang w:val="en-GB"/>
        </w:rPr>
        <w:t>,</w:t>
      </w:r>
      <w:r w:rsidRPr="00A92D75">
        <w:rPr>
          <w:lang w:val="en-GB"/>
        </w:rPr>
        <w:t xml:space="preserve"> and electric cars.</w:t>
      </w:r>
      <w:r w:rsidR="00A92D75" w:rsidRPr="00A92D75">
        <w:rPr>
          <w:lang w:val="en-GB"/>
        </w:rPr>
        <w:t xml:space="preserve"> </w:t>
      </w:r>
      <w:r w:rsidRPr="00A92D75">
        <w:rPr>
          <w:lang w:val="en-GB"/>
        </w:rPr>
        <w:t>Moreover, SolarCity had the largest market share (32</w:t>
      </w:r>
      <w:r w:rsidR="00324CB4">
        <w:rPr>
          <w:lang w:val="en-GB"/>
        </w:rPr>
        <w:t xml:space="preserve"> per cent</w:t>
      </w:r>
      <w:r w:rsidRPr="00A92D75">
        <w:rPr>
          <w:lang w:val="en-GB"/>
        </w:rPr>
        <w:t>) of the U.S. residential solar market.</w:t>
      </w:r>
      <w:r w:rsidR="00A92D75" w:rsidRPr="00A92D75">
        <w:rPr>
          <w:lang w:val="en-GB"/>
        </w:rPr>
        <w:t xml:space="preserve"> </w:t>
      </w:r>
      <w:r w:rsidRPr="00A92D75">
        <w:rPr>
          <w:lang w:val="en-GB"/>
        </w:rPr>
        <w:t>The former CEO of SolarCity commented that the deal would boost the development of renewable energy, and SolarCity might be able to lower its costs by virtue of Tesla’s brand and its retail stores.</w:t>
      </w:r>
      <w:r w:rsidR="00A92D75" w:rsidRPr="00A92D75">
        <w:rPr>
          <w:lang w:val="en-GB"/>
        </w:rPr>
        <w:t xml:space="preserve"> </w:t>
      </w:r>
      <w:r w:rsidRPr="00A92D75">
        <w:rPr>
          <w:lang w:val="en-GB"/>
        </w:rPr>
        <w:t>SolarCity’s customer acquisition costs were nearly 30</w:t>
      </w:r>
      <w:r w:rsidR="00324CB4">
        <w:rPr>
          <w:lang w:val="en-GB"/>
        </w:rPr>
        <w:t xml:space="preserve"> per</w:t>
      </w:r>
      <w:r w:rsidR="009B337E">
        <w:rPr>
          <w:lang w:val="en-GB"/>
        </w:rPr>
        <w:t xml:space="preserve"> </w:t>
      </w:r>
      <w:r w:rsidR="00324CB4">
        <w:rPr>
          <w:lang w:val="en-GB"/>
        </w:rPr>
        <w:t>cent</w:t>
      </w:r>
      <w:r w:rsidRPr="00A92D75">
        <w:rPr>
          <w:lang w:val="en-GB"/>
        </w:rPr>
        <w:t xml:space="preserve"> of the total cost of a home</w:t>
      </w:r>
      <w:r w:rsidR="0007404B">
        <w:rPr>
          <w:lang w:val="en-GB"/>
        </w:rPr>
        <w:t>-based</w:t>
      </w:r>
      <w:r w:rsidRPr="00A92D75">
        <w:rPr>
          <w:lang w:val="en-GB"/>
        </w:rPr>
        <w:t xml:space="preserve"> solar panel system.</w:t>
      </w:r>
      <w:r w:rsidR="00692829">
        <w:rPr>
          <w:rStyle w:val="EndnoteReference"/>
          <w:lang w:val="en-GB"/>
        </w:rPr>
        <w:endnoteReference w:id="33"/>
      </w:r>
      <w:r w:rsidR="00A92D75" w:rsidRPr="00A92D75">
        <w:rPr>
          <w:lang w:val="en-GB"/>
        </w:rPr>
        <w:t xml:space="preserve"> </w:t>
      </w:r>
      <w:r w:rsidRPr="00A92D75">
        <w:rPr>
          <w:lang w:val="en-GB"/>
        </w:rPr>
        <w:t xml:space="preserve">If the price to the homeowner could be reduced, then </w:t>
      </w:r>
      <w:r w:rsidR="00324CB4">
        <w:rPr>
          <w:lang w:val="en-GB"/>
        </w:rPr>
        <w:t>doing so</w:t>
      </w:r>
      <w:r w:rsidR="00324CB4" w:rsidRPr="00A92D75">
        <w:rPr>
          <w:lang w:val="en-GB"/>
        </w:rPr>
        <w:t xml:space="preserve"> </w:t>
      </w:r>
      <w:r w:rsidRPr="00A92D75">
        <w:rPr>
          <w:lang w:val="en-GB"/>
        </w:rPr>
        <w:t>might accelerate adoption of solar panels.</w:t>
      </w:r>
      <w:r w:rsidR="00A92D75" w:rsidRPr="00A92D75">
        <w:rPr>
          <w:lang w:val="en-GB"/>
        </w:rPr>
        <w:t xml:space="preserve"> </w:t>
      </w:r>
      <w:r w:rsidRPr="00A92D75">
        <w:rPr>
          <w:lang w:val="en-GB"/>
        </w:rPr>
        <w:t xml:space="preserve">This step could benefit both the solar panel industry </w:t>
      </w:r>
      <w:r w:rsidR="00324CB4">
        <w:rPr>
          <w:lang w:val="en-GB"/>
        </w:rPr>
        <w:t>and</w:t>
      </w:r>
      <w:r w:rsidRPr="00A92D75">
        <w:rPr>
          <w:lang w:val="en-GB"/>
        </w:rPr>
        <w:t xml:space="preserve"> the users of renewable energy.</w:t>
      </w:r>
      <w:r w:rsidR="00A92D75" w:rsidRPr="00A92D75">
        <w:rPr>
          <w:lang w:val="en-GB"/>
        </w:rPr>
        <w:t xml:space="preserve"> </w:t>
      </w:r>
      <w:r w:rsidRPr="00A92D75">
        <w:rPr>
          <w:lang w:val="en-GB"/>
        </w:rPr>
        <w:t>Tesla would also benefit by leveraging SolarCity’s installers to install electric car chargers at residences.</w:t>
      </w:r>
      <w:r w:rsidR="00A92D75" w:rsidRPr="00A92D75">
        <w:rPr>
          <w:lang w:val="en-GB"/>
        </w:rPr>
        <w:t xml:space="preserve"> </w:t>
      </w:r>
      <w:r w:rsidRPr="00A92D75">
        <w:rPr>
          <w:lang w:val="en-GB"/>
        </w:rPr>
        <w:t>The arrangement gave Tesla the type of integration it needed on the most important vehicle component.</w:t>
      </w:r>
      <w:r w:rsidR="00A92D75" w:rsidRPr="00A92D75">
        <w:rPr>
          <w:lang w:val="en-GB"/>
        </w:rPr>
        <w:t xml:space="preserve"> </w:t>
      </w:r>
      <w:r w:rsidRPr="00A92D75">
        <w:rPr>
          <w:lang w:val="en-GB"/>
        </w:rPr>
        <w:t xml:space="preserve">With the merger, Musk estimated that </w:t>
      </w:r>
      <w:r w:rsidR="00324CB4">
        <w:rPr>
          <w:lang w:val="en-GB"/>
        </w:rPr>
        <w:t>more than</w:t>
      </w:r>
      <w:r w:rsidR="00324CB4" w:rsidRPr="00A92D75">
        <w:rPr>
          <w:lang w:val="en-GB"/>
        </w:rPr>
        <w:t xml:space="preserve"> </w:t>
      </w:r>
      <w:r w:rsidRPr="00A92D75">
        <w:rPr>
          <w:lang w:val="en-GB"/>
        </w:rPr>
        <w:t>a half a billion dollar</w:t>
      </w:r>
      <w:r w:rsidR="00324CB4">
        <w:rPr>
          <w:lang w:val="en-GB"/>
        </w:rPr>
        <w:t>s</w:t>
      </w:r>
      <w:r w:rsidRPr="00A92D75">
        <w:rPr>
          <w:lang w:val="en-GB"/>
        </w:rPr>
        <w:t xml:space="preserve"> in cash would be added to Tesla’s balance sheet over the next three years.</w:t>
      </w:r>
      <w:r w:rsidR="00A92D75" w:rsidRPr="00A92D75">
        <w:rPr>
          <w:lang w:val="en-GB"/>
        </w:rPr>
        <w:t xml:space="preserve"> </w:t>
      </w:r>
      <w:r w:rsidRPr="00A92D75">
        <w:rPr>
          <w:lang w:val="en-GB"/>
        </w:rPr>
        <w:t>He further estimated that Tesla would save $150 million from combined marketing and sales operations, and from lower corporate</w:t>
      </w:r>
      <w:r w:rsidR="0099033B">
        <w:rPr>
          <w:lang w:val="en-GB"/>
        </w:rPr>
        <w:t xml:space="preserve"> expenses </w:t>
      </w:r>
      <w:r w:rsidRPr="00A92D75">
        <w:rPr>
          <w:lang w:val="en-GB"/>
        </w:rPr>
        <w:t xml:space="preserve">and </w:t>
      </w:r>
      <w:r w:rsidR="0099033B">
        <w:rPr>
          <w:lang w:val="en-GB"/>
        </w:rPr>
        <w:t xml:space="preserve">savings in </w:t>
      </w:r>
      <w:r w:rsidRPr="00A92D75">
        <w:rPr>
          <w:lang w:val="en-GB"/>
        </w:rPr>
        <w:t xml:space="preserve">overhead </w:t>
      </w:r>
      <w:r w:rsidR="0099033B">
        <w:rPr>
          <w:lang w:val="en-GB"/>
        </w:rPr>
        <w:t>costs</w:t>
      </w:r>
      <w:r w:rsidRPr="00A92D75">
        <w:rPr>
          <w:lang w:val="en-GB"/>
        </w:rPr>
        <w:t>.</w:t>
      </w:r>
      <w:r w:rsidRPr="00A92D75">
        <w:rPr>
          <w:rStyle w:val="EndnoteReference"/>
          <w:lang w:val="en-GB"/>
        </w:rPr>
        <w:endnoteReference w:id="34"/>
      </w:r>
      <w:r w:rsidRPr="00A92D75">
        <w:rPr>
          <w:lang w:val="en-GB"/>
        </w:rPr>
        <w:t xml:space="preserve"> </w:t>
      </w:r>
    </w:p>
    <w:p w14:paraId="3331064B" w14:textId="77777777" w:rsidR="00923475" w:rsidRPr="00A92D75" w:rsidRDefault="00923475" w:rsidP="00923475">
      <w:pPr>
        <w:pStyle w:val="BodyTextMain"/>
        <w:rPr>
          <w:lang w:val="en-GB"/>
        </w:rPr>
      </w:pPr>
    </w:p>
    <w:p w14:paraId="640DB5A6" w14:textId="3A92A0A1" w:rsidR="00740425" w:rsidRDefault="00923475" w:rsidP="00923475">
      <w:pPr>
        <w:pStyle w:val="BodyTextMain"/>
        <w:rPr>
          <w:lang w:val="en-GB"/>
        </w:rPr>
      </w:pPr>
      <w:r w:rsidRPr="00A92D75">
        <w:rPr>
          <w:lang w:val="en-GB"/>
        </w:rPr>
        <w:t>The acquisition came with a twist for Tesla’s business model: its corporate image was now irrevocably different.</w:t>
      </w:r>
      <w:r w:rsidR="00A92D75" w:rsidRPr="00A92D75">
        <w:rPr>
          <w:lang w:val="en-GB"/>
        </w:rPr>
        <w:t xml:space="preserve"> </w:t>
      </w:r>
      <w:r w:rsidRPr="00A92D75">
        <w:rPr>
          <w:lang w:val="en-GB"/>
        </w:rPr>
        <w:t xml:space="preserve">Three months earlier, Musk had laid out a master plan to position Tesla </w:t>
      </w:r>
      <w:r w:rsidR="00740425">
        <w:rPr>
          <w:lang w:val="en-GB"/>
        </w:rPr>
        <w:t xml:space="preserve">both </w:t>
      </w:r>
      <w:r w:rsidRPr="00A92D75">
        <w:rPr>
          <w:lang w:val="en-GB"/>
        </w:rPr>
        <w:t>as an energy company selling solar panels and batteries and as an automobile manufacturer with an expanding product line eventually to include electric cars, buses, semi-trucks, and pickups.</w:t>
      </w:r>
      <w:r w:rsidR="00A92D75" w:rsidRPr="00A92D75">
        <w:rPr>
          <w:lang w:val="en-GB"/>
        </w:rPr>
        <w:t xml:space="preserve"> </w:t>
      </w:r>
      <w:r w:rsidRPr="00A92D75">
        <w:rPr>
          <w:lang w:val="en-GB"/>
        </w:rPr>
        <w:t>On February 1, 2017, Tesla formally changed its name to Tesla, Inc.—dropping the word “Motors”</w:t>
      </w:r>
      <w:r w:rsidR="00740425">
        <w:rPr>
          <w:lang w:val="en-GB"/>
        </w:rPr>
        <w:t>:</w:t>
      </w:r>
      <w:r w:rsidR="00A92D75" w:rsidRPr="00A92D75">
        <w:rPr>
          <w:lang w:val="en-GB"/>
        </w:rPr>
        <w:t xml:space="preserve"> </w:t>
      </w:r>
    </w:p>
    <w:p w14:paraId="7F36BBA1" w14:textId="77777777" w:rsidR="00740425" w:rsidRDefault="00740425" w:rsidP="00923475">
      <w:pPr>
        <w:pStyle w:val="BodyTextMain"/>
        <w:rPr>
          <w:lang w:val="en-GB"/>
        </w:rPr>
      </w:pPr>
    </w:p>
    <w:p w14:paraId="7ACB4BC0" w14:textId="7E98E657" w:rsidR="00923475" w:rsidRDefault="00923475" w:rsidP="00740425">
      <w:pPr>
        <w:pStyle w:val="BodyTextMain"/>
        <w:ind w:left="567"/>
        <w:rPr>
          <w:lang w:val="en-GB"/>
        </w:rPr>
      </w:pPr>
      <w:r w:rsidRPr="00A92D75">
        <w:rPr>
          <w:lang w:val="en-GB"/>
        </w:rPr>
        <w:t>We design, develop, manufacture and sell high-performance fully electric vehicles and design, manufacture, install and sell solar energy generation and energy storage products.</w:t>
      </w:r>
      <w:r w:rsidR="00A92D75" w:rsidRPr="00A92D75">
        <w:rPr>
          <w:lang w:val="en-GB"/>
        </w:rPr>
        <w:t xml:space="preserve"> </w:t>
      </w:r>
      <w:r w:rsidRPr="00A92D75">
        <w:rPr>
          <w:lang w:val="en-GB"/>
        </w:rPr>
        <w:t>Our Chief Executive Officer, as the chief operating decision maker (“CODM”), organizes the Company, manages resource allocations and measures performance among two segments: (i) automotive and (ii) energy generation and storage.</w:t>
      </w:r>
      <w:r w:rsidRPr="00A92D75">
        <w:rPr>
          <w:rStyle w:val="EndnoteReference"/>
          <w:lang w:val="en-GB"/>
        </w:rPr>
        <w:endnoteReference w:id="35"/>
      </w:r>
    </w:p>
    <w:p w14:paraId="4AC98B12" w14:textId="77777777" w:rsidR="00EA0692" w:rsidRDefault="00EA0692" w:rsidP="00740425">
      <w:pPr>
        <w:pStyle w:val="BodyTextMain"/>
        <w:ind w:left="567"/>
        <w:rPr>
          <w:lang w:val="en-GB"/>
        </w:rPr>
      </w:pPr>
    </w:p>
    <w:p w14:paraId="30E907EF" w14:textId="77777777" w:rsidR="00EA0692" w:rsidRPr="00A92D75" w:rsidRDefault="00EA0692" w:rsidP="00740425">
      <w:pPr>
        <w:pStyle w:val="BodyTextMain"/>
        <w:ind w:left="567"/>
        <w:rPr>
          <w:lang w:val="en-GB"/>
        </w:rPr>
      </w:pPr>
    </w:p>
    <w:p w14:paraId="28CB86F3" w14:textId="77777777" w:rsidR="00923475" w:rsidRPr="00A92D75" w:rsidRDefault="00923475" w:rsidP="004B267E">
      <w:pPr>
        <w:pStyle w:val="Casehead1"/>
        <w:keepNext/>
        <w:rPr>
          <w:lang w:val="en-GB"/>
        </w:rPr>
      </w:pPr>
      <w:r w:rsidRPr="00A92D75">
        <w:rPr>
          <w:lang w:val="en-GB"/>
        </w:rPr>
        <w:lastRenderedPageBreak/>
        <w:t>THE ROAD AHEAD FOR TESLA’S BUSINESS MODEL</w:t>
      </w:r>
    </w:p>
    <w:p w14:paraId="2304D964" w14:textId="77777777" w:rsidR="00923475" w:rsidRPr="00A92D75" w:rsidRDefault="00923475" w:rsidP="004B267E">
      <w:pPr>
        <w:pStyle w:val="BodyTextMain"/>
        <w:keepNext/>
        <w:rPr>
          <w:lang w:val="en-GB"/>
        </w:rPr>
      </w:pPr>
    </w:p>
    <w:p w14:paraId="0C14A540" w14:textId="06AA7944" w:rsidR="00923475" w:rsidRPr="00A92D75" w:rsidRDefault="00740425" w:rsidP="004B267E">
      <w:pPr>
        <w:pStyle w:val="BodyTextMain"/>
        <w:keepNext/>
        <w:rPr>
          <w:lang w:val="en-GB"/>
        </w:rPr>
      </w:pPr>
      <w:r>
        <w:rPr>
          <w:lang w:val="en-GB"/>
        </w:rPr>
        <w:t>From l</w:t>
      </w:r>
      <w:r w:rsidR="00923475" w:rsidRPr="00A92D75">
        <w:rPr>
          <w:lang w:val="en-GB"/>
        </w:rPr>
        <w:t xml:space="preserve">ooking at its financials, </w:t>
      </w:r>
      <w:r>
        <w:rPr>
          <w:lang w:val="en-GB"/>
        </w:rPr>
        <w:t xml:space="preserve">it seemed that </w:t>
      </w:r>
      <w:r w:rsidR="00923475" w:rsidRPr="00A92D75">
        <w:rPr>
          <w:lang w:val="en-GB"/>
        </w:rPr>
        <w:t>Tesla should have failed long ago.</w:t>
      </w:r>
      <w:r w:rsidR="00A92D75" w:rsidRPr="00A92D75">
        <w:rPr>
          <w:lang w:val="en-GB"/>
        </w:rPr>
        <w:t xml:space="preserve"> </w:t>
      </w:r>
      <w:r w:rsidR="00923475" w:rsidRPr="00A92D75">
        <w:rPr>
          <w:lang w:val="en-GB"/>
        </w:rPr>
        <w:t xml:space="preserve">Since 2010, </w:t>
      </w:r>
      <w:r w:rsidRPr="00A92D75">
        <w:rPr>
          <w:lang w:val="en-GB"/>
        </w:rPr>
        <w:t>as it continued to pour its revenue back into the company</w:t>
      </w:r>
      <w:r>
        <w:rPr>
          <w:lang w:val="en-GB"/>
        </w:rPr>
        <w:t>,</w:t>
      </w:r>
      <w:r w:rsidRPr="00A92D75">
        <w:rPr>
          <w:lang w:val="en-GB"/>
        </w:rPr>
        <w:t xml:space="preserve"> </w:t>
      </w:r>
      <w:r w:rsidR="00923475" w:rsidRPr="00A92D75">
        <w:rPr>
          <w:lang w:val="en-GB"/>
        </w:rPr>
        <w:t>Tesla had recorded no positive EBIT</w:t>
      </w:r>
      <w:r>
        <w:rPr>
          <w:lang w:val="en-GB"/>
        </w:rPr>
        <w:t xml:space="preserve"> (earnings before interest and taxes)</w:t>
      </w:r>
      <w:r w:rsidR="00923475" w:rsidRPr="00A92D75">
        <w:rPr>
          <w:lang w:val="en-GB"/>
        </w:rPr>
        <w:t>, no positive net income, and no positive free cash flow.</w:t>
      </w:r>
      <w:r w:rsidR="00A92D75" w:rsidRPr="00A92D75">
        <w:rPr>
          <w:lang w:val="en-GB"/>
        </w:rPr>
        <w:t xml:space="preserve"> </w:t>
      </w:r>
      <w:r>
        <w:rPr>
          <w:lang w:val="en-GB"/>
        </w:rPr>
        <w:t>In mid-2017, n</w:t>
      </w:r>
      <w:r w:rsidR="00923475" w:rsidRPr="00A92D75">
        <w:rPr>
          <w:lang w:val="en-GB"/>
        </w:rPr>
        <w:t>egative returns on assets, negative returns on equity, negative returns on invested capital, negative net margins, and negative earnings per share accompanied a debt/equity ratio of 1.4, a current ratio of 0.97, and a quick ratio of 0.53.</w:t>
      </w:r>
      <w:r w:rsidR="00923475" w:rsidRPr="00A92D75">
        <w:rPr>
          <w:rStyle w:val="EndnoteReference"/>
          <w:lang w:val="en-GB"/>
        </w:rPr>
        <w:endnoteReference w:id="36"/>
      </w:r>
      <w:r w:rsidR="00A92D75" w:rsidRPr="00A92D75">
        <w:rPr>
          <w:lang w:val="en-GB"/>
        </w:rPr>
        <w:t xml:space="preserve"> </w:t>
      </w:r>
    </w:p>
    <w:p w14:paraId="0F144C83" w14:textId="77777777" w:rsidR="00923475" w:rsidRPr="00A92D75" w:rsidRDefault="00923475" w:rsidP="00923475">
      <w:pPr>
        <w:pStyle w:val="BodyTextMain"/>
        <w:rPr>
          <w:lang w:val="en-GB"/>
        </w:rPr>
      </w:pPr>
    </w:p>
    <w:p w14:paraId="18C80347" w14:textId="5BBC22FE" w:rsidR="00923475" w:rsidRPr="00A92D75" w:rsidRDefault="00923475" w:rsidP="00923475">
      <w:pPr>
        <w:pStyle w:val="BodyTextMain"/>
        <w:rPr>
          <w:lang w:val="en-GB"/>
        </w:rPr>
      </w:pPr>
      <w:r w:rsidRPr="00A92D75">
        <w:rPr>
          <w:lang w:val="en-GB"/>
        </w:rPr>
        <w:t xml:space="preserve">According to </w:t>
      </w:r>
      <w:r w:rsidRPr="008E469F">
        <w:rPr>
          <w:i/>
          <w:lang w:val="en-GB"/>
        </w:rPr>
        <w:t>Car and Driver</w:t>
      </w:r>
      <w:r w:rsidR="00740425">
        <w:rPr>
          <w:lang w:val="en-GB"/>
        </w:rPr>
        <w:t>,</w:t>
      </w:r>
      <w:r w:rsidRPr="00A92D75">
        <w:rPr>
          <w:lang w:val="en-GB"/>
        </w:rPr>
        <w:t xml:space="preserve"> 27 different electric plug-ins or hybrids were either in design or available for purchase for the model year 2017</w:t>
      </w:r>
      <w:r w:rsidR="00740425">
        <w:rPr>
          <w:lang w:val="en-GB"/>
        </w:rPr>
        <w:t>–</w:t>
      </w:r>
      <w:r w:rsidRPr="00A92D75">
        <w:rPr>
          <w:lang w:val="en-GB"/>
        </w:rPr>
        <w:t>18.</w:t>
      </w:r>
      <w:r w:rsidRPr="00A92D75">
        <w:rPr>
          <w:rStyle w:val="EndnoteReference"/>
          <w:lang w:val="en-GB"/>
        </w:rPr>
        <w:endnoteReference w:id="37"/>
      </w:r>
      <w:r w:rsidR="00A92D75" w:rsidRPr="00A92D75">
        <w:rPr>
          <w:lang w:val="en-GB"/>
        </w:rPr>
        <w:t xml:space="preserve"> </w:t>
      </w:r>
      <w:r w:rsidRPr="00A92D75">
        <w:rPr>
          <w:lang w:val="en-GB"/>
        </w:rPr>
        <w:t xml:space="preserve">Some models, including some produced by Detroit’s Big Three, were </w:t>
      </w:r>
      <w:r w:rsidRPr="00A92D75">
        <w:rPr>
          <w:i/>
          <w:lang w:val="en-GB"/>
        </w:rPr>
        <w:t xml:space="preserve">already </w:t>
      </w:r>
      <w:r w:rsidRPr="00A92D75">
        <w:rPr>
          <w:lang w:val="en-GB"/>
        </w:rPr>
        <w:t xml:space="preserve">available and </w:t>
      </w:r>
      <w:r w:rsidRPr="00A92D75">
        <w:rPr>
          <w:i/>
          <w:lang w:val="en-GB"/>
        </w:rPr>
        <w:t>already</w:t>
      </w:r>
      <w:r w:rsidRPr="00A92D75">
        <w:rPr>
          <w:lang w:val="en-GB"/>
        </w:rPr>
        <w:t xml:space="preserve"> priced below the lowest-priced Model 3.</w:t>
      </w:r>
      <w:r w:rsidRPr="00A92D75">
        <w:rPr>
          <w:rStyle w:val="EndnoteReference"/>
          <w:lang w:val="en-GB"/>
        </w:rPr>
        <w:endnoteReference w:id="38"/>
      </w:r>
      <w:r w:rsidR="00A92D75" w:rsidRPr="00A92D75">
        <w:rPr>
          <w:lang w:val="en-GB"/>
        </w:rPr>
        <w:t xml:space="preserve"> </w:t>
      </w:r>
      <w:r w:rsidRPr="00A92D75">
        <w:rPr>
          <w:lang w:val="en-GB"/>
        </w:rPr>
        <w:t>On July 5, 2017, Volvo announced that all of its 2019 models forward would be solely electric.</w:t>
      </w:r>
      <w:r w:rsidRPr="00A92D75">
        <w:rPr>
          <w:rStyle w:val="EndnoteReference"/>
          <w:lang w:val="en-GB"/>
        </w:rPr>
        <w:endnoteReference w:id="39"/>
      </w:r>
      <w:r w:rsidR="00A92D75" w:rsidRPr="00A92D75">
        <w:rPr>
          <w:lang w:val="en-GB"/>
        </w:rPr>
        <w:t xml:space="preserve"> </w:t>
      </w:r>
      <w:r w:rsidRPr="00A92D75">
        <w:rPr>
          <w:lang w:val="en-GB"/>
        </w:rPr>
        <w:t>Analysts nevertheless remained bullish on Tesla</w:t>
      </w:r>
      <w:r w:rsidR="003F3D8D">
        <w:rPr>
          <w:lang w:val="en-GB"/>
        </w:rPr>
        <w:t>,</w:t>
      </w:r>
      <w:r w:rsidRPr="00A92D75">
        <w:rPr>
          <w:lang w:val="en-GB"/>
        </w:rPr>
        <w:t xml:space="preserve"> given its integrated battery production.</w:t>
      </w:r>
      <w:r w:rsidR="00A92D75" w:rsidRPr="00A92D75">
        <w:rPr>
          <w:lang w:val="en-GB"/>
        </w:rPr>
        <w:t xml:space="preserve"> </w:t>
      </w:r>
      <w:r w:rsidRPr="00A92D75">
        <w:rPr>
          <w:lang w:val="en-GB"/>
        </w:rPr>
        <w:t>By one estimate, the battery for the Model 3 costs $8,400 to produce</w:t>
      </w:r>
      <w:r w:rsidR="003F3D8D">
        <w:rPr>
          <w:lang w:val="en-GB"/>
        </w:rPr>
        <w:t>, whereas</w:t>
      </w:r>
      <w:r w:rsidR="00A92D75" w:rsidRPr="00A92D75">
        <w:rPr>
          <w:lang w:val="en-GB"/>
        </w:rPr>
        <w:t xml:space="preserve"> </w:t>
      </w:r>
      <w:r w:rsidR="003F3D8D">
        <w:rPr>
          <w:lang w:val="en-GB"/>
        </w:rPr>
        <w:t>t</w:t>
      </w:r>
      <w:r w:rsidRPr="00A92D75">
        <w:rPr>
          <w:lang w:val="en-GB"/>
        </w:rPr>
        <w:t xml:space="preserve">he industry average </w:t>
      </w:r>
      <w:r w:rsidR="003F3D8D">
        <w:rPr>
          <w:lang w:val="en-GB"/>
        </w:rPr>
        <w:t>price wa</w:t>
      </w:r>
      <w:r w:rsidR="003F3D8D" w:rsidRPr="00A92D75">
        <w:rPr>
          <w:lang w:val="en-GB"/>
        </w:rPr>
        <w:t xml:space="preserve">s </w:t>
      </w:r>
      <w:r w:rsidRPr="00A92D75">
        <w:rPr>
          <w:lang w:val="en-GB"/>
        </w:rPr>
        <w:t xml:space="preserve">$14,200 for </w:t>
      </w:r>
      <w:r w:rsidR="003F3D8D">
        <w:rPr>
          <w:lang w:val="en-GB"/>
        </w:rPr>
        <w:t xml:space="preserve">a battery for </w:t>
      </w:r>
      <w:r w:rsidRPr="00A92D75">
        <w:rPr>
          <w:lang w:val="en-GB"/>
        </w:rPr>
        <w:t>a comparable vehicle.</w:t>
      </w:r>
      <w:r w:rsidRPr="00A92D75">
        <w:rPr>
          <w:rStyle w:val="EndnoteReference"/>
          <w:lang w:val="en-GB"/>
        </w:rPr>
        <w:endnoteReference w:id="40"/>
      </w:r>
    </w:p>
    <w:p w14:paraId="4C326B6C" w14:textId="77777777" w:rsidR="00923475" w:rsidRPr="00A92D75" w:rsidRDefault="00923475" w:rsidP="00923475">
      <w:pPr>
        <w:pStyle w:val="BodyTextMain"/>
        <w:rPr>
          <w:lang w:val="en-GB"/>
        </w:rPr>
      </w:pPr>
    </w:p>
    <w:p w14:paraId="454FE3A7" w14:textId="16E789AE" w:rsidR="00923475" w:rsidRPr="004B267E" w:rsidRDefault="00923475" w:rsidP="00923475">
      <w:pPr>
        <w:pStyle w:val="BodyTextMain"/>
        <w:rPr>
          <w:spacing w:val="-2"/>
          <w:lang w:val="en-GB"/>
        </w:rPr>
      </w:pPr>
      <w:r w:rsidRPr="004B267E">
        <w:rPr>
          <w:spacing w:val="-2"/>
          <w:lang w:val="en-GB"/>
        </w:rPr>
        <w:t>If the integrated battery production through SolarCity was Tesla’s edge, would Tesla be able to produce enough cars to meet demand? With rock-star charisma reminiscent of that shown by Steve Jobs, Musk introduced the Model 3 to the world on July 28, 2017</w:t>
      </w:r>
      <w:r w:rsidR="003F3D8D" w:rsidRPr="004B267E">
        <w:rPr>
          <w:spacing w:val="-2"/>
          <w:lang w:val="en-GB"/>
        </w:rPr>
        <w:t>,</w:t>
      </w:r>
      <w:r w:rsidRPr="004B267E">
        <w:rPr>
          <w:spacing w:val="-2"/>
          <w:lang w:val="en-GB"/>
        </w:rPr>
        <w:t xml:space="preserve"> with drama, jokes, and confessions.</w:t>
      </w:r>
      <w:r w:rsidR="00A92D75" w:rsidRPr="004B267E">
        <w:rPr>
          <w:spacing w:val="-2"/>
          <w:lang w:val="en-GB"/>
        </w:rPr>
        <w:t xml:space="preserve"> </w:t>
      </w:r>
      <w:r w:rsidRPr="004B267E">
        <w:rPr>
          <w:spacing w:val="-2"/>
          <w:lang w:val="en-GB"/>
        </w:rPr>
        <w:t>He admitted Tesla was going to be going through “production hell” by ramping up production for the Model 3.</w:t>
      </w:r>
      <w:r w:rsidR="00A92D75" w:rsidRPr="004B267E">
        <w:rPr>
          <w:spacing w:val="-2"/>
          <w:lang w:val="en-GB"/>
        </w:rPr>
        <w:t xml:space="preserve"> </w:t>
      </w:r>
      <w:r w:rsidRPr="004B267E">
        <w:rPr>
          <w:spacing w:val="-2"/>
          <w:lang w:val="en-GB"/>
        </w:rPr>
        <w:t xml:space="preserve">The </w:t>
      </w:r>
      <w:r w:rsidR="003F3D8D" w:rsidRPr="004B267E">
        <w:rPr>
          <w:spacing w:val="-2"/>
          <w:lang w:val="en-GB"/>
        </w:rPr>
        <w:t xml:space="preserve">advice from the </w:t>
      </w:r>
      <w:r w:rsidRPr="004B267E">
        <w:rPr>
          <w:spacing w:val="-2"/>
          <w:lang w:val="en-GB"/>
        </w:rPr>
        <w:t>CEO/CODM? “As the saying goes, if you are going through hell, keep going!”</w:t>
      </w:r>
      <w:r w:rsidRPr="004B267E">
        <w:rPr>
          <w:rStyle w:val="EndnoteReference"/>
          <w:spacing w:val="-2"/>
          <w:lang w:val="en-GB"/>
        </w:rPr>
        <w:endnoteReference w:id="41"/>
      </w:r>
      <w:r w:rsidR="00A92D75" w:rsidRPr="004B267E">
        <w:rPr>
          <w:spacing w:val="-2"/>
          <w:lang w:val="en-GB"/>
        </w:rPr>
        <w:t xml:space="preserve"> </w:t>
      </w:r>
      <w:r w:rsidRPr="004B267E">
        <w:rPr>
          <w:spacing w:val="-2"/>
          <w:lang w:val="en-GB"/>
        </w:rPr>
        <w:t>He admitted that if you ordered a Model 3 that day, you probably would not receive delivery until the end of 2018.</w:t>
      </w:r>
      <w:r w:rsidR="00A92D75" w:rsidRPr="004B267E">
        <w:rPr>
          <w:spacing w:val="-2"/>
          <w:lang w:val="en-GB"/>
        </w:rPr>
        <w:t xml:space="preserve"> </w:t>
      </w:r>
      <w:r w:rsidRPr="004B267E">
        <w:rPr>
          <w:spacing w:val="-2"/>
          <w:lang w:val="en-GB"/>
        </w:rPr>
        <w:t>Musk disclosed more tantalizing facts on a conference call on August 2, 2017: Tesla already had 455,000 reservations (net) for the Model 3</w:t>
      </w:r>
      <w:r w:rsidR="00167D30">
        <w:rPr>
          <w:spacing w:val="-2"/>
          <w:lang w:val="en-GB"/>
        </w:rPr>
        <w:t xml:space="preserve"> and</w:t>
      </w:r>
      <w:r w:rsidRPr="004B267E">
        <w:rPr>
          <w:spacing w:val="-2"/>
          <w:lang w:val="en-GB"/>
        </w:rPr>
        <w:t xml:space="preserve"> expected to produce 1,500 Model 3</w:t>
      </w:r>
      <w:r w:rsidR="00E316C8" w:rsidRPr="004B267E">
        <w:rPr>
          <w:spacing w:val="-2"/>
          <w:lang w:val="en-GB"/>
        </w:rPr>
        <w:t xml:space="preserve"> vehicles</w:t>
      </w:r>
      <w:r w:rsidRPr="004B267E">
        <w:rPr>
          <w:spacing w:val="-2"/>
          <w:lang w:val="en-GB"/>
        </w:rPr>
        <w:t xml:space="preserve"> per week in 2017-Q3, 5,000 per week by the end of 2017, and double that number by the end of 2018.</w:t>
      </w:r>
      <w:r w:rsidRPr="004B267E">
        <w:rPr>
          <w:rStyle w:val="EndnoteReference"/>
          <w:spacing w:val="-2"/>
          <w:lang w:val="en-GB"/>
        </w:rPr>
        <w:endnoteReference w:id="42"/>
      </w:r>
      <w:r w:rsidR="00A92D75" w:rsidRPr="004B267E">
        <w:rPr>
          <w:spacing w:val="-2"/>
          <w:lang w:val="en-GB"/>
        </w:rPr>
        <w:t xml:space="preserve"> </w:t>
      </w:r>
      <w:r w:rsidRPr="004B267E">
        <w:rPr>
          <w:spacing w:val="-2"/>
          <w:lang w:val="en-GB"/>
        </w:rPr>
        <w:t xml:space="preserve">This “production hell” was quickly becoming a topic of concern for the non-unionized Fremont plant workers who alleged </w:t>
      </w:r>
      <w:r w:rsidR="000346E5" w:rsidRPr="004B267E">
        <w:rPr>
          <w:spacing w:val="-2"/>
          <w:lang w:val="en-GB"/>
        </w:rPr>
        <w:t xml:space="preserve">that </w:t>
      </w:r>
      <w:r w:rsidRPr="004B267E">
        <w:rPr>
          <w:spacing w:val="-2"/>
          <w:lang w:val="en-GB"/>
        </w:rPr>
        <w:t xml:space="preserve">shortcuts </w:t>
      </w:r>
      <w:r w:rsidR="000346E5" w:rsidRPr="004B267E">
        <w:rPr>
          <w:spacing w:val="-2"/>
          <w:lang w:val="en-GB"/>
        </w:rPr>
        <w:t xml:space="preserve">had been taken </w:t>
      </w:r>
      <w:r w:rsidRPr="004B267E">
        <w:rPr>
          <w:spacing w:val="-2"/>
          <w:lang w:val="en-GB"/>
        </w:rPr>
        <w:t>in the Model 3 prototyping stage and feared increased worker injuries due to rushed production schedules.</w:t>
      </w:r>
      <w:r w:rsidRPr="004B267E">
        <w:rPr>
          <w:rStyle w:val="EndnoteReference"/>
          <w:spacing w:val="-2"/>
          <w:lang w:val="en-GB"/>
        </w:rPr>
        <w:endnoteReference w:id="43"/>
      </w:r>
    </w:p>
    <w:p w14:paraId="24DD5A35" w14:textId="77777777" w:rsidR="00923475" w:rsidRPr="00A92D75" w:rsidRDefault="00923475" w:rsidP="00923475">
      <w:pPr>
        <w:pStyle w:val="BodyTextMain"/>
        <w:rPr>
          <w:lang w:val="en-GB"/>
        </w:rPr>
      </w:pPr>
    </w:p>
    <w:p w14:paraId="5ADA633E" w14:textId="133C74F3" w:rsidR="00923475" w:rsidRPr="00A92D75" w:rsidRDefault="00923475" w:rsidP="00923475">
      <w:pPr>
        <w:pStyle w:val="BodyTextMain"/>
        <w:rPr>
          <w:lang w:val="en-GB"/>
        </w:rPr>
      </w:pPr>
      <w:r w:rsidRPr="00A92D75">
        <w:rPr>
          <w:lang w:val="en-GB"/>
        </w:rPr>
        <w:t>Notwithstanding these data points, Tesla continued to be the darling of many investors.</w:t>
      </w:r>
      <w:r w:rsidR="00A92D75" w:rsidRPr="00A92D75">
        <w:rPr>
          <w:lang w:val="en-GB"/>
        </w:rPr>
        <w:t xml:space="preserve"> </w:t>
      </w:r>
      <w:r w:rsidRPr="00A92D75">
        <w:rPr>
          <w:lang w:val="en-GB"/>
        </w:rPr>
        <w:t>On August 11, 2017, Tesla announced a new $1.8 billion unsecured senior note offering due in 2025 at an interest rate of 5.3</w:t>
      </w:r>
      <w:r w:rsidR="00F30B6B">
        <w:rPr>
          <w:lang w:val="en-GB"/>
        </w:rPr>
        <w:t xml:space="preserve"> per cent</w:t>
      </w:r>
      <w:r w:rsidRPr="00A92D75">
        <w:rPr>
          <w:lang w:val="en-GB"/>
        </w:rPr>
        <w:t>.</w:t>
      </w:r>
      <w:r w:rsidRPr="00A92D75">
        <w:rPr>
          <w:rStyle w:val="EndnoteReference"/>
          <w:lang w:val="en-GB"/>
        </w:rPr>
        <w:endnoteReference w:id="44"/>
      </w:r>
      <w:r w:rsidR="00A92D75" w:rsidRPr="00A92D75">
        <w:rPr>
          <w:lang w:val="en-GB"/>
        </w:rPr>
        <w:t xml:space="preserve"> </w:t>
      </w:r>
      <w:r w:rsidRPr="00A92D75">
        <w:rPr>
          <w:lang w:val="en-GB"/>
        </w:rPr>
        <w:t>Investors accepted Tesla’s sales pitch on the new debt.</w:t>
      </w:r>
      <w:r w:rsidR="00A92D75" w:rsidRPr="00A92D75">
        <w:rPr>
          <w:lang w:val="en-GB"/>
        </w:rPr>
        <w:t xml:space="preserve"> </w:t>
      </w:r>
      <w:r w:rsidRPr="00A92D75">
        <w:rPr>
          <w:lang w:val="en-GB"/>
        </w:rPr>
        <w:t>A day before the offering, Tesla’s stock closed at $355.33 a share.</w:t>
      </w:r>
      <w:r w:rsidR="00A92D75" w:rsidRPr="00A92D75">
        <w:rPr>
          <w:lang w:val="en-GB"/>
        </w:rPr>
        <w:t xml:space="preserve"> </w:t>
      </w:r>
      <w:r w:rsidRPr="00A92D75">
        <w:rPr>
          <w:lang w:val="en-GB"/>
        </w:rPr>
        <w:t>Four days later, it opened at $364.63</w:t>
      </w:r>
      <w:r w:rsidR="00F30B6B">
        <w:rPr>
          <w:lang w:val="en-GB"/>
        </w:rPr>
        <w:t xml:space="preserve"> per share</w:t>
      </w:r>
      <w:r w:rsidRPr="00A92D75">
        <w:rPr>
          <w:lang w:val="en-GB"/>
        </w:rPr>
        <w:t>.</w:t>
      </w:r>
      <w:r w:rsidRPr="00A92D75">
        <w:rPr>
          <w:rStyle w:val="EndnoteReference"/>
          <w:lang w:val="en-GB"/>
        </w:rPr>
        <w:endnoteReference w:id="45"/>
      </w:r>
      <w:r w:rsidR="00A92D75" w:rsidRPr="00A92D75">
        <w:rPr>
          <w:lang w:val="en-GB"/>
        </w:rPr>
        <w:t xml:space="preserve"> </w:t>
      </w:r>
      <w:r w:rsidRPr="00A92D75">
        <w:rPr>
          <w:lang w:val="en-GB"/>
        </w:rPr>
        <w:t xml:space="preserve">During the 12-month period leading up to the unveiling of the Model 3, Tesla’s stock outperformed </w:t>
      </w:r>
      <w:r w:rsidR="00F30B6B" w:rsidRPr="00A92D75">
        <w:rPr>
          <w:lang w:val="en-GB"/>
        </w:rPr>
        <w:t xml:space="preserve">by substantial margins </w:t>
      </w:r>
      <w:r w:rsidRPr="00A92D75">
        <w:rPr>
          <w:lang w:val="en-GB"/>
        </w:rPr>
        <w:t>the share price</w:t>
      </w:r>
      <w:r w:rsidR="00F30B6B">
        <w:rPr>
          <w:lang w:val="en-GB"/>
        </w:rPr>
        <w:t>s</w:t>
      </w:r>
      <w:r w:rsidRPr="00A92D75">
        <w:rPr>
          <w:lang w:val="en-GB"/>
        </w:rPr>
        <w:t xml:space="preserve"> of </w:t>
      </w:r>
      <w:r w:rsidR="00F30B6B">
        <w:rPr>
          <w:lang w:val="en-GB"/>
        </w:rPr>
        <w:t xml:space="preserve">such </w:t>
      </w:r>
      <w:r w:rsidRPr="00A92D75">
        <w:rPr>
          <w:lang w:val="en-GB"/>
        </w:rPr>
        <w:t xml:space="preserve">competitors </w:t>
      </w:r>
      <w:r w:rsidR="00F30B6B">
        <w:rPr>
          <w:lang w:val="en-GB"/>
        </w:rPr>
        <w:t>as</w:t>
      </w:r>
      <w:r w:rsidR="00F30B6B" w:rsidRPr="00A92D75">
        <w:rPr>
          <w:lang w:val="en-GB"/>
        </w:rPr>
        <w:t xml:space="preserve"> </w:t>
      </w:r>
      <w:r w:rsidRPr="00A92D75">
        <w:rPr>
          <w:lang w:val="en-GB"/>
        </w:rPr>
        <w:t>GM, Daimler, BMW, Volkswagen, and Toyota.</w:t>
      </w:r>
      <w:r w:rsidR="00A92D75" w:rsidRPr="00A92D75">
        <w:rPr>
          <w:lang w:val="en-GB"/>
        </w:rPr>
        <w:t xml:space="preserve"> </w:t>
      </w:r>
      <w:r w:rsidRPr="00A92D75">
        <w:rPr>
          <w:lang w:val="en-GB"/>
        </w:rPr>
        <w:t>In April 2017, Tesla became the largest U.S.-based automaker per market capitalization.</w:t>
      </w:r>
      <w:r w:rsidR="00A92D75" w:rsidRPr="00A92D75">
        <w:rPr>
          <w:lang w:val="en-GB"/>
        </w:rPr>
        <w:t xml:space="preserve"> </w:t>
      </w:r>
      <w:r w:rsidRPr="00A92D75">
        <w:rPr>
          <w:lang w:val="en-GB"/>
        </w:rPr>
        <w:t xml:space="preserve">It did not seem to matter that GM </w:t>
      </w:r>
      <w:r w:rsidR="00F30B6B">
        <w:rPr>
          <w:lang w:val="en-GB"/>
        </w:rPr>
        <w:t xml:space="preserve">had </w:t>
      </w:r>
      <w:r w:rsidRPr="00A92D75">
        <w:rPr>
          <w:lang w:val="en-GB"/>
        </w:rPr>
        <w:t xml:space="preserve">sold 10 million cars in 2016 compared </w:t>
      </w:r>
      <w:r w:rsidR="00F30B6B">
        <w:rPr>
          <w:lang w:val="en-GB"/>
        </w:rPr>
        <w:t>with</w:t>
      </w:r>
      <w:r w:rsidR="00F30B6B" w:rsidRPr="00A92D75">
        <w:rPr>
          <w:lang w:val="en-GB"/>
        </w:rPr>
        <w:t xml:space="preserve"> </w:t>
      </w:r>
      <w:r w:rsidRPr="00A92D75">
        <w:rPr>
          <w:lang w:val="en-GB"/>
        </w:rPr>
        <w:t xml:space="preserve">Tesla’s </w:t>
      </w:r>
      <w:r w:rsidR="00F30B6B">
        <w:rPr>
          <w:lang w:val="en-GB"/>
        </w:rPr>
        <w:t xml:space="preserve">2016 sales of </w:t>
      </w:r>
      <w:r w:rsidRPr="00A92D75">
        <w:rPr>
          <w:lang w:val="en-GB"/>
        </w:rPr>
        <w:t>76,000</w:t>
      </w:r>
      <w:r w:rsidR="00F30B6B">
        <w:rPr>
          <w:lang w:val="en-GB"/>
        </w:rPr>
        <w:t xml:space="preserve"> cars</w:t>
      </w:r>
      <w:r w:rsidRPr="00A92D75">
        <w:rPr>
          <w:lang w:val="en-GB"/>
        </w:rPr>
        <w:t>.</w:t>
      </w:r>
      <w:r w:rsidRPr="00A92D75">
        <w:rPr>
          <w:rStyle w:val="EndnoteReference"/>
          <w:lang w:val="en-GB"/>
        </w:rPr>
        <w:endnoteReference w:id="46"/>
      </w:r>
    </w:p>
    <w:p w14:paraId="071E2003" w14:textId="77777777" w:rsidR="00923475" w:rsidRPr="00A92D75" w:rsidRDefault="00923475" w:rsidP="00923475">
      <w:pPr>
        <w:pStyle w:val="BodyTextMain"/>
        <w:rPr>
          <w:lang w:val="en-GB"/>
        </w:rPr>
      </w:pPr>
    </w:p>
    <w:p w14:paraId="171C571E" w14:textId="0C616583" w:rsidR="00923475" w:rsidRPr="00A92D75" w:rsidRDefault="00F30B6B" w:rsidP="00711CD5">
      <w:pPr>
        <w:pStyle w:val="BodyTextMain"/>
        <w:rPr>
          <w:lang w:val="en-GB"/>
        </w:rPr>
      </w:pPr>
      <w:r w:rsidRPr="00A92D75">
        <w:rPr>
          <w:lang w:val="en-GB"/>
        </w:rPr>
        <w:t>C</w:t>
      </w:r>
      <w:r>
        <w:rPr>
          <w:lang w:val="en-GB"/>
        </w:rPr>
        <w:t>ould</w:t>
      </w:r>
      <w:r w:rsidRPr="00A92D75">
        <w:rPr>
          <w:lang w:val="en-GB"/>
        </w:rPr>
        <w:t xml:space="preserve"> </w:t>
      </w:r>
      <w:r>
        <w:rPr>
          <w:lang w:val="en-GB"/>
        </w:rPr>
        <w:t>Tesla’s</w:t>
      </w:r>
      <w:r w:rsidRPr="00A92D75">
        <w:rPr>
          <w:lang w:val="en-GB"/>
        </w:rPr>
        <w:t xml:space="preserve"> </w:t>
      </w:r>
      <w:r w:rsidR="00923475" w:rsidRPr="00A92D75">
        <w:rPr>
          <w:lang w:val="en-GB"/>
        </w:rPr>
        <w:t xml:space="preserve">business model withstand diminishing exclusivity yet maintain the image of a premium car at lower price points? Alternatively, should Tesla maintain its narrow niche to appeal to the environmentally conscious sports car enthusiasts </w:t>
      </w:r>
      <w:r>
        <w:rPr>
          <w:lang w:val="en-GB"/>
        </w:rPr>
        <w:t>who had</w:t>
      </w:r>
      <w:r w:rsidRPr="00A92D75">
        <w:rPr>
          <w:lang w:val="en-GB"/>
        </w:rPr>
        <w:t xml:space="preserve"> </w:t>
      </w:r>
      <w:r w:rsidR="00923475" w:rsidRPr="00A92D75">
        <w:rPr>
          <w:lang w:val="en-GB"/>
        </w:rPr>
        <w:t>money to spare?</w:t>
      </w:r>
      <w:r w:rsidR="00923475" w:rsidRPr="00A92D75">
        <w:rPr>
          <w:lang w:val="en-GB"/>
        </w:rPr>
        <w:br w:type="page"/>
      </w:r>
    </w:p>
    <w:p w14:paraId="3546D8FD" w14:textId="02D68147" w:rsidR="00923475" w:rsidRPr="00A92D75" w:rsidRDefault="00923475" w:rsidP="00F9022B">
      <w:pPr>
        <w:pStyle w:val="ExhibitHeading"/>
        <w:rPr>
          <w:lang w:val="en-GB"/>
        </w:rPr>
      </w:pPr>
      <w:r w:rsidRPr="00A92D75">
        <w:rPr>
          <w:lang w:val="en-GB"/>
        </w:rPr>
        <w:lastRenderedPageBreak/>
        <w:t xml:space="preserve">Exhibit 1: </w:t>
      </w:r>
      <w:r w:rsidR="00F30B6B">
        <w:rPr>
          <w:lang w:val="en-GB"/>
        </w:rPr>
        <w:t xml:space="preserve">Tesla Inc.’s </w:t>
      </w:r>
      <w:r w:rsidRPr="00A92D75">
        <w:rPr>
          <w:lang w:val="en-GB"/>
        </w:rPr>
        <w:t>Consolidated Balance Sheets</w:t>
      </w:r>
      <w:r w:rsidR="00F30B6B">
        <w:rPr>
          <w:lang w:val="en-GB"/>
        </w:rPr>
        <w:t>, 2015–2016</w:t>
      </w:r>
      <w:r w:rsidRPr="00A92D75">
        <w:rPr>
          <w:lang w:val="en-GB"/>
        </w:rPr>
        <w:t xml:space="preserve"> (</w:t>
      </w:r>
      <w:r w:rsidR="00F9022B" w:rsidRPr="00A92D75">
        <w:rPr>
          <w:lang w:val="en-GB"/>
        </w:rPr>
        <w:t xml:space="preserve">in </w:t>
      </w:r>
      <w:r w:rsidR="00F30B6B">
        <w:rPr>
          <w:lang w:val="en-GB"/>
        </w:rPr>
        <w:t xml:space="preserve">US$ </w:t>
      </w:r>
      <w:r w:rsidR="00F9022B" w:rsidRPr="00A92D75">
        <w:rPr>
          <w:lang w:val="en-GB"/>
        </w:rPr>
        <w:t xml:space="preserve">thousands) </w:t>
      </w:r>
    </w:p>
    <w:p w14:paraId="79FF3980" w14:textId="77777777" w:rsidR="00923475" w:rsidRPr="00A92D75" w:rsidRDefault="00923475">
      <w:pPr>
        <w:pStyle w:val="BodyTextMain"/>
        <w:rPr>
          <w:lang w:val="en-GB"/>
        </w:rPr>
      </w:pPr>
    </w:p>
    <w:tbl>
      <w:tblPr>
        <w:tblStyle w:val="TableGrid"/>
        <w:tblW w:w="9360" w:type="dxa"/>
        <w:jc w:val="center"/>
        <w:tblLook w:val="04A0" w:firstRow="1" w:lastRow="0" w:firstColumn="1" w:lastColumn="0" w:noHBand="0" w:noVBand="1"/>
      </w:tblPr>
      <w:tblGrid>
        <w:gridCol w:w="7015"/>
        <w:gridCol w:w="1182"/>
        <w:gridCol w:w="1163"/>
      </w:tblGrid>
      <w:tr w:rsidR="00FE0727" w:rsidRPr="00325AAE" w14:paraId="4740A7BA" w14:textId="28A3911B" w:rsidTr="00FE0727">
        <w:trPr>
          <w:trHeight w:val="60"/>
          <w:jc w:val="center"/>
        </w:trPr>
        <w:tc>
          <w:tcPr>
            <w:tcW w:w="7015" w:type="dxa"/>
            <w:hideMark/>
          </w:tcPr>
          <w:p w14:paraId="4DEB0131" w14:textId="77777777" w:rsidR="00FE0727" w:rsidRPr="00325AAE" w:rsidRDefault="00FE0727" w:rsidP="00FE0727">
            <w:pPr>
              <w:pStyle w:val="ExhibitText"/>
              <w:rPr>
                <w:sz w:val="17"/>
                <w:szCs w:val="17"/>
                <w:lang w:val="en-GB"/>
              </w:rPr>
            </w:pPr>
            <w:r w:rsidRPr="00325AAE">
              <w:rPr>
                <w:sz w:val="17"/>
                <w:szCs w:val="17"/>
                <w:lang w:val="en-GB"/>
              </w:rPr>
              <w:t> </w:t>
            </w:r>
          </w:p>
        </w:tc>
        <w:tc>
          <w:tcPr>
            <w:tcW w:w="1182" w:type="dxa"/>
            <w:hideMark/>
          </w:tcPr>
          <w:p w14:paraId="5FAB3C99" w14:textId="77777777" w:rsidR="00FE0727" w:rsidRPr="00325AAE" w:rsidRDefault="00FE0727" w:rsidP="00FE0727">
            <w:pPr>
              <w:pStyle w:val="ExhibitText"/>
              <w:jc w:val="center"/>
              <w:rPr>
                <w:b/>
                <w:sz w:val="17"/>
                <w:szCs w:val="17"/>
                <w:lang w:val="en-GB"/>
              </w:rPr>
            </w:pPr>
            <w:r w:rsidRPr="00325AAE">
              <w:rPr>
                <w:b/>
                <w:sz w:val="17"/>
                <w:szCs w:val="17"/>
                <w:lang w:val="en-GB"/>
              </w:rPr>
              <w:t>Dec. 31, 2015</w:t>
            </w:r>
          </w:p>
        </w:tc>
        <w:tc>
          <w:tcPr>
            <w:tcW w:w="1163" w:type="dxa"/>
          </w:tcPr>
          <w:p w14:paraId="5DF6B73D" w14:textId="60DEA8B5" w:rsidR="00FE0727" w:rsidRPr="00325AAE" w:rsidRDefault="00FE0727" w:rsidP="00FE0727">
            <w:pPr>
              <w:pStyle w:val="ExhibitText"/>
              <w:jc w:val="center"/>
              <w:rPr>
                <w:b/>
                <w:sz w:val="17"/>
                <w:szCs w:val="17"/>
                <w:lang w:val="en-GB"/>
              </w:rPr>
            </w:pPr>
            <w:r w:rsidRPr="00325AAE">
              <w:rPr>
                <w:b/>
                <w:sz w:val="17"/>
                <w:szCs w:val="17"/>
                <w:lang w:val="en-GB"/>
              </w:rPr>
              <w:t>Dec. 31, 2016</w:t>
            </w:r>
          </w:p>
        </w:tc>
      </w:tr>
      <w:tr w:rsidR="00FE0727" w:rsidRPr="00325AAE" w14:paraId="0F211ADF" w14:textId="49931511" w:rsidTr="00FE0727">
        <w:trPr>
          <w:trHeight w:val="60"/>
          <w:jc w:val="center"/>
        </w:trPr>
        <w:tc>
          <w:tcPr>
            <w:tcW w:w="7015" w:type="dxa"/>
            <w:hideMark/>
          </w:tcPr>
          <w:p w14:paraId="166F64DD" w14:textId="77777777" w:rsidR="00FE0727" w:rsidRPr="00325AAE" w:rsidRDefault="00FE0727" w:rsidP="00FE0727">
            <w:pPr>
              <w:pStyle w:val="ExhibitText"/>
              <w:rPr>
                <w:b/>
                <w:sz w:val="17"/>
                <w:szCs w:val="17"/>
                <w:lang w:val="en-GB"/>
              </w:rPr>
            </w:pPr>
            <w:r w:rsidRPr="00325AAE">
              <w:rPr>
                <w:b/>
                <w:sz w:val="17"/>
                <w:szCs w:val="17"/>
                <w:lang w:val="en-GB"/>
              </w:rPr>
              <w:t>Current assets</w:t>
            </w:r>
          </w:p>
        </w:tc>
        <w:tc>
          <w:tcPr>
            <w:tcW w:w="1182" w:type="dxa"/>
            <w:noWrap/>
            <w:hideMark/>
          </w:tcPr>
          <w:p w14:paraId="3D6963A9" w14:textId="77777777" w:rsidR="00FE0727" w:rsidRPr="00325AAE" w:rsidRDefault="00FE0727" w:rsidP="00FE0727">
            <w:pPr>
              <w:pStyle w:val="ExhibitText"/>
              <w:jc w:val="right"/>
              <w:rPr>
                <w:b/>
                <w:sz w:val="17"/>
                <w:szCs w:val="17"/>
                <w:lang w:val="en-GB"/>
              </w:rPr>
            </w:pPr>
            <w:r w:rsidRPr="00325AAE">
              <w:rPr>
                <w:b/>
                <w:sz w:val="17"/>
                <w:szCs w:val="17"/>
                <w:lang w:val="en-GB"/>
              </w:rPr>
              <w:t> </w:t>
            </w:r>
          </w:p>
        </w:tc>
        <w:tc>
          <w:tcPr>
            <w:tcW w:w="1163" w:type="dxa"/>
          </w:tcPr>
          <w:p w14:paraId="2CB98DB7" w14:textId="77777777" w:rsidR="00FE0727" w:rsidRPr="00325AAE" w:rsidRDefault="00FE0727" w:rsidP="00FE0727">
            <w:pPr>
              <w:pStyle w:val="ExhibitText"/>
              <w:jc w:val="right"/>
              <w:rPr>
                <w:b/>
                <w:sz w:val="17"/>
                <w:szCs w:val="17"/>
                <w:lang w:val="en-GB"/>
              </w:rPr>
            </w:pPr>
          </w:p>
        </w:tc>
      </w:tr>
      <w:tr w:rsidR="00FE0727" w:rsidRPr="00325AAE" w14:paraId="58EDDE8E" w14:textId="3DC90182" w:rsidTr="00FE0727">
        <w:trPr>
          <w:trHeight w:val="60"/>
          <w:jc w:val="center"/>
        </w:trPr>
        <w:tc>
          <w:tcPr>
            <w:tcW w:w="7015" w:type="dxa"/>
            <w:hideMark/>
          </w:tcPr>
          <w:p w14:paraId="041093A3" w14:textId="77777777" w:rsidR="00FE0727" w:rsidRPr="00325AAE" w:rsidRDefault="00FE0727" w:rsidP="00FE0727">
            <w:pPr>
              <w:pStyle w:val="ExhibitText"/>
              <w:rPr>
                <w:sz w:val="17"/>
                <w:szCs w:val="17"/>
                <w:lang w:val="en-GB"/>
              </w:rPr>
            </w:pPr>
            <w:r w:rsidRPr="00325AAE">
              <w:rPr>
                <w:sz w:val="17"/>
                <w:szCs w:val="17"/>
                <w:lang w:val="en-GB"/>
              </w:rPr>
              <w:t>Cash and cash equivalents</w:t>
            </w:r>
          </w:p>
        </w:tc>
        <w:tc>
          <w:tcPr>
            <w:tcW w:w="1182" w:type="dxa"/>
            <w:noWrap/>
            <w:hideMark/>
          </w:tcPr>
          <w:p w14:paraId="1752A76E" w14:textId="62678867" w:rsidR="00FE0727" w:rsidRPr="00325AAE" w:rsidRDefault="00FE0727" w:rsidP="00FE0727">
            <w:pPr>
              <w:pStyle w:val="ExhibitText"/>
              <w:jc w:val="right"/>
              <w:rPr>
                <w:sz w:val="17"/>
                <w:szCs w:val="17"/>
                <w:lang w:val="en-GB"/>
              </w:rPr>
            </w:pPr>
            <w:r w:rsidRPr="00325AAE">
              <w:rPr>
                <w:sz w:val="17"/>
                <w:szCs w:val="17"/>
                <w:lang w:val="en-GB"/>
              </w:rPr>
              <w:t xml:space="preserve">  1,196,908 </w:t>
            </w:r>
          </w:p>
        </w:tc>
        <w:tc>
          <w:tcPr>
            <w:tcW w:w="1163" w:type="dxa"/>
          </w:tcPr>
          <w:p w14:paraId="3CA00FBC" w14:textId="58FB01F7" w:rsidR="00FE0727" w:rsidRPr="00325AAE" w:rsidRDefault="00FE0727" w:rsidP="00FE0727">
            <w:pPr>
              <w:pStyle w:val="ExhibitText"/>
              <w:jc w:val="right"/>
              <w:rPr>
                <w:sz w:val="17"/>
                <w:szCs w:val="17"/>
                <w:lang w:val="en-GB"/>
              </w:rPr>
            </w:pPr>
            <w:r w:rsidRPr="00325AAE">
              <w:rPr>
                <w:sz w:val="17"/>
                <w:szCs w:val="17"/>
                <w:lang w:val="en-GB"/>
              </w:rPr>
              <w:t xml:space="preserve">  3,393,216 </w:t>
            </w:r>
          </w:p>
        </w:tc>
      </w:tr>
      <w:tr w:rsidR="00FE0727" w:rsidRPr="00325AAE" w14:paraId="5FF4F96E" w14:textId="66C4ECD5" w:rsidTr="00FE0727">
        <w:trPr>
          <w:trHeight w:val="60"/>
          <w:jc w:val="center"/>
        </w:trPr>
        <w:tc>
          <w:tcPr>
            <w:tcW w:w="7015" w:type="dxa"/>
            <w:hideMark/>
          </w:tcPr>
          <w:p w14:paraId="387FE53F" w14:textId="77777777" w:rsidR="00FE0727" w:rsidRPr="00325AAE" w:rsidRDefault="00FE0727" w:rsidP="00FE0727">
            <w:pPr>
              <w:pStyle w:val="ExhibitText"/>
              <w:rPr>
                <w:sz w:val="17"/>
                <w:szCs w:val="17"/>
                <w:lang w:val="en-GB"/>
              </w:rPr>
            </w:pPr>
            <w:r w:rsidRPr="00325AAE">
              <w:rPr>
                <w:sz w:val="17"/>
                <w:szCs w:val="17"/>
                <w:lang w:val="en-GB"/>
              </w:rPr>
              <w:t>Restricted cash</w:t>
            </w:r>
          </w:p>
        </w:tc>
        <w:tc>
          <w:tcPr>
            <w:tcW w:w="1182" w:type="dxa"/>
            <w:noWrap/>
            <w:hideMark/>
          </w:tcPr>
          <w:p w14:paraId="652F3AF0" w14:textId="77777777" w:rsidR="00FE0727" w:rsidRPr="00325AAE" w:rsidRDefault="00FE0727" w:rsidP="00FE0727">
            <w:pPr>
              <w:pStyle w:val="ExhibitText"/>
              <w:jc w:val="right"/>
              <w:rPr>
                <w:sz w:val="17"/>
                <w:szCs w:val="17"/>
                <w:lang w:val="en-GB"/>
              </w:rPr>
            </w:pPr>
            <w:r w:rsidRPr="00325AAE">
              <w:rPr>
                <w:sz w:val="17"/>
                <w:szCs w:val="17"/>
                <w:lang w:val="en-GB"/>
              </w:rPr>
              <w:t xml:space="preserve">22,628 </w:t>
            </w:r>
          </w:p>
        </w:tc>
        <w:tc>
          <w:tcPr>
            <w:tcW w:w="1163" w:type="dxa"/>
          </w:tcPr>
          <w:p w14:paraId="05206AF4" w14:textId="3087553F" w:rsidR="00FE0727" w:rsidRPr="00325AAE" w:rsidRDefault="00FE0727" w:rsidP="00FE0727">
            <w:pPr>
              <w:pStyle w:val="ExhibitText"/>
              <w:jc w:val="right"/>
              <w:rPr>
                <w:sz w:val="17"/>
                <w:szCs w:val="17"/>
                <w:lang w:val="en-GB"/>
              </w:rPr>
            </w:pPr>
            <w:r w:rsidRPr="00325AAE">
              <w:rPr>
                <w:sz w:val="17"/>
                <w:szCs w:val="17"/>
                <w:lang w:val="en-GB"/>
              </w:rPr>
              <w:t xml:space="preserve">105,519 </w:t>
            </w:r>
          </w:p>
        </w:tc>
      </w:tr>
      <w:tr w:rsidR="00FE0727" w:rsidRPr="00325AAE" w14:paraId="48D503BE" w14:textId="4A8663F1" w:rsidTr="00FE0727">
        <w:trPr>
          <w:trHeight w:val="60"/>
          <w:jc w:val="center"/>
        </w:trPr>
        <w:tc>
          <w:tcPr>
            <w:tcW w:w="7015" w:type="dxa"/>
            <w:hideMark/>
          </w:tcPr>
          <w:p w14:paraId="5411CE8C" w14:textId="77777777" w:rsidR="00FE0727" w:rsidRPr="00325AAE" w:rsidRDefault="00FE0727" w:rsidP="00FE0727">
            <w:pPr>
              <w:pStyle w:val="ExhibitText"/>
              <w:rPr>
                <w:sz w:val="17"/>
                <w:szCs w:val="17"/>
                <w:lang w:val="en-GB"/>
              </w:rPr>
            </w:pPr>
            <w:r w:rsidRPr="00325AAE">
              <w:rPr>
                <w:sz w:val="17"/>
                <w:szCs w:val="17"/>
                <w:lang w:val="en-GB"/>
              </w:rPr>
              <w:t>Accounts receivable, net</w:t>
            </w:r>
          </w:p>
        </w:tc>
        <w:tc>
          <w:tcPr>
            <w:tcW w:w="1182" w:type="dxa"/>
            <w:noWrap/>
            <w:hideMark/>
          </w:tcPr>
          <w:p w14:paraId="5439CF5D" w14:textId="77777777" w:rsidR="00FE0727" w:rsidRPr="00325AAE" w:rsidRDefault="00FE0727" w:rsidP="00FE0727">
            <w:pPr>
              <w:pStyle w:val="ExhibitText"/>
              <w:jc w:val="right"/>
              <w:rPr>
                <w:sz w:val="17"/>
                <w:szCs w:val="17"/>
                <w:lang w:val="en-GB"/>
              </w:rPr>
            </w:pPr>
            <w:r w:rsidRPr="00325AAE">
              <w:rPr>
                <w:sz w:val="17"/>
                <w:szCs w:val="17"/>
                <w:lang w:val="en-GB"/>
              </w:rPr>
              <w:t xml:space="preserve">168,965 </w:t>
            </w:r>
          </w:p>
        </w:tc>
        <w:tc>
          <w:tcPr>
            <w:tcW w:w="1163" w:type="dxa"/>
          </w:tcPr>
          <w:p w14:paraId="54827890" w14:textId="52DE16AC" w:rsidR="00FE0727" w:rsidRPr="00325AAE" w:rsidRDefault="00FE0727" w:rsidP="00FE0727">
            <w:pPr>
              <w:pStyle w:val="ExhibitText"/>
              <w:jc w:val="right"/>
              <w:rPr>
                <w:sz w:val="17"/>
                <w:szCs w:val="17"/>
                <w:lang w:val="en-GB"/>
              </w:rPr>
            </w:pPr>
            <w:r w:rsidRPr="00325AAE">
              <w:rPr>
                <w:sz w:val="17"/>
                <w:szCs w:val="17"/>
                <w:lang w:val="en-GB"/>
              </w:rPr>
              <w:t xml:space="preserve">499,142 </w:t>
            </w:r>
          </w:p>
        </w:tc>
      </w:tr>
      <w:tr w:rsidR="00FE0727" w:rsidRPr="00325AAE" w14:paraId="218AD961" w14:textId="57838B80" w:rsidTr="00FE0727">
        <w:trPr>
          <w:trHeight w:val="60"/>
          <w:jc w:val="center"/>
        </w:trPr>
        <w:tc>
          <w:tcPr>
            <w:tcW w:w="7015" w:type="dxa"/>
            <w:hideMark/>
          </w:tcPr>
          <w:p w14:paraId="2EFD6B83" w14:textId="77777777" w:rsidR="00FE0727" w:rsidRPr="00325AAE" w:rsidRDefault="00FE0727" w:rsidP="00FE0727">
            <w:pPr>
              <w:pStyle w:val="ExhibitText"/>
              <w:rPr>
                <w:sz w:val="17"/>
                <w:szCs w:val="17"/>
                <w:lang w:val="en-GB"/>
              </w:rPr>
            </w:pPr>
            <w:r w:rsidRPr="00325AAE">
              <w:rPr>
                <w:sz w:val="17"/>
                <w:szCs w:val="17"/>
                <w:lang w:val="en-GB"/>
              </w:rPr>
              <w:t>Inventory</w:t>
            </w:r>
          </w:p>
        </w:tc>
        <w:tc>
          <w:tcPr>
            <w:tcW w:w="1182" w:type="dxa"/>
            <w:noWrap/>
            <w:hideMark/>
          </w:tcPr>
          <w:p w14:paraId="18E4EDFE" w14:textId="77777777" w:rsidR="00FE0727" w:rsidRPr="00325AAE" w:rsidRDefault="00FE0727" w:rsidP="00FE0727">
            <w:pPr>
              <w:pStyle w:val="ExhibitText"/>
              <w:jc w:val="right"/>
              <w:rPr>
                <w:sz w:val="17"/>
                <w:szCs w:val="17"/>
                <w:lang w:val="en-GB"/>
              </w:rPr>
            </w:pPr>
            <w:r w:rsidRPr="00325AAE">
              <w:rPr>
                <w:sz w:val="17"/>
                <w:szCs w:val="17"/>
                <w:lang w:val="en-GB"/>
              </w:rPr>
              <w:t xml:space="preserve">1,277,838 </w:t>
            </w:r>
          </w:p>
        </w:tc>
        <w:tc>
          <w:tcPr>
            <w:tcW w:w="1163" w:type="dxa"/>
          </w:tcPr>
          <w:p w14:paraId="4B46916E" w14:textId="2D189496" w:rsidR="00FE0727" w:rsidRPr="00325AAE" w:rsidRDefault="00FE0727" w:rsidP="00FE0727">
            <w:pPr>
              <w:pStyle w:val="ExhibitText"/>
              <w:jc w:val="right"/>
              <w:rPr>
                <w:sz w:val="17"/>
                <w:szCs w:val="17"/>
                <w:lang w:val="en-GB"/>
              </w:rPr>
            </w:pPr>
            <w:r w:rsidRPr="00325AAE">
              <w:rPr>
                <w:sz w:val="17"/>
                <w:szCs w:val="17"/>
                <w:lang w:val="en-GB"/>
              </w:rPr>
              <w:t xml:space="preserve">2,067,454 </w:t>
            </w:r>
          </w:p>
        </w:tc>
      </w:tr>
      <w:tr w:rsidR="00FE0727" w:rsidRPr="00325AAE" w14:paraId="2F3DEBD8" w14:textId="4115D7CB" w:rsidTr="00FE0727">
        <w:trPr>
          <w:trHeight w:val="60"/>
          <w:jc w:val="center"/>
        </w:trPr>
        <w:tc>
          <w:tcPr>
            <w:tcW w:w="7015" w:type="dxa"/>
            <w:hideMark/>
          </w:tcPr>
          <w:p w14:paraId="66C2293D" w14:textId="77777777" w:rsidR="00FE0727" w:rsidRPr="00325AAE" w:rsidRDefault="00FE0727" w:rsidP="00FE0727">
            <w:pPr>
              <w:pStyle w:val="ExhibitText"/>
              <w:rPr>
                <w:sz w:val="17"/>
                <w:szCs w:val="17"/>
                <w:lang w:val="en-GB"/>
              </w:rPr>
            </w:pPr>
            <w:r w:rsidRPr="00325AAE">
              <w:rPr>
                <w:sz w:val="17"/>
                <w:szCs w:val="17"/>
                <w:lang w:val="en-GB"/>
              </w:rPr>
              <w:t>Prepaid expenses and other current assets</w:t>
            </w:r>
          </w:p>
        </w:tc>
        <w:tc>
          <w:tcPr>
            <w:tcW w:w="1182" w:type="dxa"/>
            <w:noWrap/>
            <w:hideMark/>
          </w:tcPr>
          <w:p w14:paraId="582F7239" w14:textId="77777777" w:rsidR="00FE0727" w:rsidRPr="00325AAE" w:rsidRDefault="00FE0727" w:rsidP="00FE0727">
            <w:pPr>
              <w:pStyle w:val="ExhibitText"/>
              <w:jc w:val="right"/>
              <w:rPr>
                <w:sz w:val="17"/>
                <w:szCs w:val="17"/>
                <w:lang w:val="en-GB"/>
              </w:rPr>
            </w:pPr>
            <w:r w:rsidRPr="00325AAE">
              <w:rPr>
                <w:sz w:val="17"/>
                <w:szCs w:val="17"/>
                <w:lang w:val="en-GB"/>
              </w:rPr>
              <w:t xml:space="preserve">115,667 </w:t>
            </w:r>
          </w:p>
        </w:tc>
        <w:tc>
          <w:tcPr>
            <w:tcW w:w="1163" w:type="dxa"/>
          </w:tcPr>
          <w:p w14:paraId="3261DE96" w14:textId="2308F8A3" w:rsidR="00FE0727" w:rsidRPr="00325AAE" w:rsidRDefault="00FE0727" w:rsidP="00FE0727">
            <w:pPr>
              <w:pStyle w:val="ExhibitText"/>
              <w:jc w:val="right"/>
              <w:rPr>
                <w:sz w:val="17"/>
                <w:szCs w:val="17"/>
                <w:lang w:val="en-GB"/>
              </w:rPr>
            </w:pPr>
            <w:r w:rsidRPr="00325AAE">
              <w:rPr>
                <w:sz w:val="17"/>
                <w:szCs w:val="17"/>
                <w:lang w:val="en-GB"/>
              </w:rPr>
              <w:t xml:space="preserve">194,465 </w:t>
            </w:r>
          </w:p>
        </w:tc>
      </w:tr>
      <w:tr w:rsidR="00FE0727" w:rsidRPr="00325AAE" w14:paraId="670D3445" w14:textId="08C0AEC1" w:rsidTr="00FE0727">
        <w:trPr>
          <w:trHeight w:val="60"/>
          <w:jc w:val="center"/>
        </w:trPr>
        <w:tc>
          <w:tcPr>
            <w:tcW w:w="7015" w:type="dxa"/>
            <w:hideMark/>
          </w:tcPr>
          <w:p w14:paraId="758D8FF6" w14:textId="77777777" w:rsidR="00FE0727" w:rsidRPr="00325AAE" w:rsidRDefault="00FE0727" w:rsidP="00FE0727">
            <w:pPr>
              <w:pStyle w:val="ExhibitText"/>
              <w:rPr>
                <w:sz w:val="17"/>
                <w:szCs w:val="17"/>
                <w:lang w:val="en-GB"/>
              </w:rPr>
            </w:pPr>
            <w:r w:rsidRPr="00325AAE">
              <w:rPr>
                <w:sz w:val="17"/>
                <w:szCs w:val="17"/>
                <w:lang w:val="en-GB"/>
              </w:rPr>
              <w:t>Total current assets</w:t>
            </w:r>
          </w:p>
        </w:tc>
        <w:tc>
          <w:tcPr>
            <w:tcW w:w="1182" w:type="dxa"/>
            <w:noWrap/>
            <w:hideMark/>
          </w:tcPr>
          <w:p w14:paraId="62B2239D" w14:textId="77777777" w:rsidR="00FE0727" w:rsidRPr="00325AAE" w:rsidRDefault="00FE0727" w:rsidP="00FE0727">
            <w:pPr>
              <w:pStyle w:val="ExhibitText"/>
              <w:jc w:val="right"/>
              <w:rPr>
                <w:sz w:val="17"/>
                <w:szCs w:val="17"/>
                <w:lang w:val="en-GB"/>
              </w:rPr>
            </w:pPr>
            <w:r w:rsidRPr="00325AAE">
              <w:rPr>
                <w:sz w:val="17"/>
                <w:szCs w:val="17"/>
                <w:lang w:val="en-GB"/>
              </w:rPr>
              <w:t xml:space="preserve">2,782,006 </w:t>
            </w:r>
          </w:p>
        </w:tc>
        <w:tc>
          <w:tcPr>
            <w:tcW w:w="1163" w:type="dxa"/>
          </w:tcPr>
          <w:p w14:paraId="2386CA32" w14:textId="2A375D42" w:rsidR="00FE0727" w:rsidRPr="00325AAE" w:rsidRDefault="00FE0727" w:rsidP="00FE0727">
            <w:pPr>
              <w:pStyle w:val="ExhibitText"/>
              <w:jc w:val="right"/>
              <w:rPr>
                <w:sz w:val="17"/>
                <w:szCs w:val="17"/>
                <w:lang w:val="en-GB"/>
              </w:rPr>
            </w:pPr>
            <w:r w:rsidRPr="00325AAE">
              <w:rPr>
                <w:sz w:val="17"/>
                <w:szCs w:val="17"/>
                <w:lang w:val="en-GB"/>
              </w:rPr>
              <w:t xml:space="preserve">6,259,796 </w:t>
            </w:r>
          </w:p>
        </w:tc>
      </w:tr>
      <w:tr w:rsidR="00FE0727" w:rsidRPr="00325AAE" w14:paraId="42BED0E3" w14:textId="1969CA38" w:rsidTr="00FE0727">
        <w:trPr>
          <w:trHeight w:val="60"/>
          <w:jc w:val="center"/>
        </w:trPr>
        <w:tc>
          <w:tcPr>
            <w:tcW w:w="7015" w:type="dxa"/>
            <w:hideMark/>
          </w:tcPr>
          <w:p w14:paraId="009B2D09" w14:textId="77777777" w:rsidR="00FE0727" w:rsidRPr="00325AAE" w:rsidRDefault="00FE0727" w:rsidP="00FE0727">
            <w:pPr>
              <w:pStyle w:val="ExhibitText"/>
              <w:rPr>
                <w:sz w:val="17"/>
                <w:szCs w:val="17"/>
                <w:lang w:val="en-GB"/>
              </w:rPr>
            </w:pPr>
            <w:r w:rsidRPr="00325AAE">
              <w:rPr>
                <w:sz w:val="17"/>
                <w:szCs w:val="17"/>
                <w:lang w:val="en-GB"/>
              </w:rPr>
              <w:t>Operating lease net</w:t>
            </w:r>
          </w:p>
        </w:tc>
        <w:tc>
          <w:tcPr>
            <w:tcW w:w="1182" w:type="dxa"/>
            <w:noWrap/>
            <w:hideMark/>
          </w:tcPr>
          <w:p w14:paraId="23B06FD4" w14:textId="77777777" w:rsidR="00FE0727" w:rsidRPr="00325AAE" w:rsidRDefault="00FE0727" w:rsidP="00FE0727">
            <w:pPr>
              <w:pStyle w:val="ExhibitText"/>
              <w:jc w:val="right"/>
              <w:rPr>
                <w:sz w:val="17"/>
                <w:szCs w:val="17"/>
                <w:lang w:val="en-GB"/>
              </w:rPr>
            </w:pPr>
            <w:r w:rsidRPr="00325AAE">
              <w:rPr>
                <w:sz w:val="17"/>
                <w:szCs w:val="17"/>
                <w:lang w:val="en-GB"/>
              </w:rPr>
              <w:t xml:space="preserve">1,791,403 </w:t>
            </w:r>
          </w:p>
        </w:tc>
        <w:tc>
          <w:tcPr>
            <w:tcW w:w="1163" w:type="dxa"/>
          </w:tcPr>
          <w:p w14:paraId="120AA5F9" w14:textId="290170DD" w:rsidR="00FE0727" w:rsidRPr="00325AAE" w:rsidRDefault="00FE0727" w:rsidP="00FE0727">
            <w:pPr>
              <w:pStyle w:val="ExhibitText"/>
              <w:jc w:val="right"/>
              <w:rPr>
                <w:sz w:val="17"/>
                <w:szCs w:val="17"/>
                <w:lang w:val="en-GB"/>
              </w:rPr>
            </w:pPr>
            <w:r w:rsidRPr="00325AAE">
              <w:rPr>
                <w:sz w:val="17"/>
                <w:szCs w:val="17"/>
                <w:lang w:val="en-GB"/>
              </w:rPr>
              <w:t xml:space="preserve">3,134,080 </w:t>
            </w:r>
          </w:p>
        </w:tc>
      </w:tr>
      <w:tr w:rsidR="00FE0727" w:rsidRPr="00325AAE" w14:paraId="0DB12EC8" w14:textId="58E6EE26" w:rsidTr="00FE0727">
        <w:trPr>
          <w:trHeight w:val="60"/>
          <w:jc w:val="center"/>
        </w:trPr>
        <w:tc>
          <w:tcPr>
            <w:tcW w:w="7015" w:type="dxa"/>
          </w:tcPr>
          <w:p w14:paraId="398C97D8" w14:textId="646A5A71" w:rsidR="00FE0727" w:rsidRPr="00325AAE" w:rsidRDefault="00FE0727" w:rsidP="00FE0727">
            <w:pPr>
              <w:pStyle w:val="ExhibitText"/>
              <w:rPr>
                <w:sz w:val="17"/>
                <w:szCs w:val="17"/>
                <w:lang w:val="en-GB"/>
              </w:rPr>
            </w:pPr>
            <w:r w:rsidRPr="00325AAE">
              <w:rPr>
                <w:sz w:val="17"/>
                <w:szCs w:val="17"/>
                <w:lang w:val="en-GB"/>
              </w:rPr>
              <w:t>Solar energy systems, leased and to be leased, net</w:t>
            </w:r>
          </w:p>
        </w:tc>
        <w:tc>
          <w:tcPr>
            <w:tcW w:w="1182" w:type="dxa"/>
            <w:noWrap/>
          </w:tcPr>
          <w:p w14:paraId="51DC5B8E" w14:textId="413B56C8" w:rsidR="00FE0727" w:rsidRPr="00325AAE" w:rsidRDefault="00FE0727" w:rsidP="00FE0727">
            <w:pPr>
              <w:pStyle w:val="ExhibitText"/>
              <w:jc w:val="right"/>
              <w:rPr>
                <w:sz w:val="17"/>
                <w:szCs w:val="17"/>
                <w:lang w:val="en-GB"/>
              </w:rPr>
            </w:pPr>
            <w:r w:rsidRPr="00325AAE">
              <w:rPr>
                <w:sz w:val="17"/>
                <w:szCs w:val="17"/>
                <w:lang w:val="en-GB"/>
              </w:rPr>
              <w:t>–</w:t>
            </w:r>
          </w:p>
        </w:tc>
        <w:tc>
          <w:tcPr>
            <w:tcW w:w="1163" w:type="dxa"/>
          </w:tcPr>
          <w:p w14:paraId="0B13F9D3" w14:textId="3753977E" w:rsidR="00FE0727" w:rsidRPr="00325AAE" w:rsidRDefault="00FE0727" w:rsidP="00FE0727">
            <w:pPr>
              <w:pStyle w:val="ExhibitText"/>
              <w:jc w:val="right"/>
              <w:rPr>
                <w:sz w:val="17"/>
                <w:szCs w:val="17"/>
                <w:lang w:val="en-GB"/>
              </w:rPr>
            </w:pPr>
            <w:r w:rsidRPr="00325AAE">
              <w:rPr>
                <w:sz w:val="17"/>
                <w:szCs w:val="17"/>
                <w:lang w:val="en-GB"/>
              </w:rPr>
              <w:t>5,919,880</w:t>
            </w:r>
          </w:p>
        </w:tc>
      </w:tr>
      <w:tr w:rsidR="00FE0727" w:rsidRPr="00325AAE" w14:paraId="3DF4B522" w14:textId="0EAD6711" w:rsidTr="00FE0727">
        <w:trPr>
          <w:trHeight w:val="60"/>
          <w:jc w:val="center"/>
        </w:trPr>
        <w:tc>
          <w:tcPr>
            <w:tcW w:w="7015" w:type="dxa"/>
            <w:hideMark/>
          </w:tcPr>
          <w:p w14:paraId="2D606923" w14:textId="77777777" w:rsidR="00FE0727" w:rsidRPr="00325AAE" w:rsidRDefault="00FE0727" w:rsidP="00FE0727">
            <w:pPr>
              <w:pStyle w:val="ExhibitText"/>
              <w:rPr>
                <w:sz w:val="17"/>
                <w:szCs w:val="17"/>
                <w:lang w:val="en-GB"/>
              </w:rPr>
            </w:pPr>
            <w:r w:rsidRPr="00325AAE">
              <w:rPr>
                <w:sz w:val="17"/>
                <w:szCs w:val="17"/>
                <w:lang w:val="en-GB"/>
              </w:rPr>
              <w:t>Property, plant and equipment, net</w:t>
            </w:r>
          </w:p>
        </w:tc>
        <w:tc>
          <w:tcPr>
            <w:tcW w:w="1182" w:type="dxa"/>
            <w:noWrap/>
            <w:hideMark/>
          </w:tcPr>
          <w:p w14:paraId="413233A9" w14:textId="77777777" w:rsidR="00FE0727" w:rsidRPr="00325AAE" w:rsidRDefault="00FE0727" w:rsidP="00FE0727">
            <w:pPr>
              <w:pStyle w:val="ExhibitText"/>
              <w:jc w:val="right"/>
              <w:rPr>
                <w:sz w:val="17"/>
                <w:szCs w:val="17"/>
                <w:lang w:val="en-GB"/>
              </w:rPr>
            </w:pPr>
            <w:r w:rsidRPr="00325AAE">
              <w:rPr>
                <w:sz w:val="17"/>
                <w:szCs w:val="17"/>
                <w:lang w:val="en-GB"/>
              </w:rPr>
              <w:t xml:space="preserve">3,403,334 </w:t>
            </w:r>
          </w:p>
        </w:tc>
        <w:tc>
          <w:tcPr>
            <w:tcW w:w="1163" w:type="dxa"/>
          </w:tcPr>
          <w:p w14:paraId="49817024" w14:textId="1CE78202" w:rsidR="00FE0727" w:rsidRPr="00325AAE" w:rsidRDefault="00FE0727" w:rsidP="00FE0727">
            <w:pPr>
              <w:pStyle w:val="ExhibitText"/>
              <w:jc w:val="right"/>
              <w:rPr>
                <w:sz w:val="17"/>
                <w:szCs w:val="17"/>
                <w:lang w:val="en-GB"/>
              </w:rPr>
            </w:pPr>
            <w:r w:rsidRPr="00325AAE">
              <w:rPr>
                <w:sz w:val="17"/>
                <w:szCs w:val="17"/>
                <w:lang w:val="en-GB"/>
              </w:rPr>
              <w:t xml:space="preserve">5,982,957 </w:t>
            </w:r>
          </w:p>
        </w:tc>
      </w:tr>
      <w:tr w:rsidR="00FE0727" w:rsidRPr="00325AAE" w14:paraId="3EAC900E" w14:textId="157FEE42" w:rsidTr="00FE0727">
        <w:trPr>
          <w:trHeight w:val="60"/>
          <w:jc w:val="center"/>
        </w:trPr>
        <w:tc>
          <w:tcPr>
            <w:tcW w:w="7015" w:type="dxa"/>
            <w:hideMark/>
          </w:tcPr>
          <w:p w14:paraId="6FD5B1EA" w14:textId="77777777" w:rsidR="00FE0727" w:rsidRPr="00325AAE" w:rsidRDefault="00FE0727" w:rsidP="00FE0727">
            <w:pPr>
              <w:pStyle w:val="ExhibitText"/>
              <w:rPr>
                <w:sz w:val="17"/>
                <w:szCs w:val="17"/>
                <w:lang w:val="en-GB"/>
              </w:rPr>
            </w:pPr>
            <w:r w:rsidRPr="00325AAE">
              <w:rPr>
                <w:sz w:val="17"/>
                <w:szCs w:val="17"/>
                <w:lang w:val="en-GB"/>
              </w:rPr>
              <w:t>Intangible assets, net</w:t>
            </w:r>
          </w:p>
        </w:tc>
        <w:tc>
          <w:tcPr>
            <w:tcW w:w="1182" w:type="dxa"/>
            <w:noWrap/>
            <w:hideMark/>
          </w:tcPr>
          <w:p w14:paraId="3DCB6348" w14:textId="77777777" w:rsidR="00FE0727" w:rsidRPr="00325AAE" w:rsidRDefault="00FE0727" w:rsidP="00FE0727">
            <w:pPr>
              <w:pStyle w:val="ExhibitText"/>
              <w:jc w:val="right"/>
              <w:rPr>
                <w:sz w:val="17"/>
                <w:szCs w:val="17"/>
                <w:lang w:val="en-GB"/>
              </w:rPr>
            </w:pPr>
            <w:r w:rsidRPr="00325AAE">
              <w:rPr>
                <w:sz w:val="17"/>
                <w:szCs w:val="17"/>
                <w:lang w:val="en-GB"/>
              </w:rPr>
              <w:t xml:space="preserve">12,816 </w:t>
            </w:r>
          </w:p>
        </w:tc>
        <w:tc>
          <w:tcPr>
            <w:tcW w:w="1163" w:type="dxa"/>
          </w:tcPr>
          <w:p w14:paraId="7A3ED718" w14:textId="78735A45" w:rsidR="00FE0727" w:rsidRPr="00325AAE" w:rsidRDefault="00FE0727" w:rsidP="00FE0727">
            <w:pPr>
              <w:pStyle w:val="ExhibitText"/>
              <w:jc w:val="right"/>
              <w:rPr>
                <w:sz w:val="17"/>
                <w:szCs w:val="17"/>
                <w:lang w:val="en-GB"/>
              </w:rPr>
            </w:pPr>
            <w:r w:rsidRPr="00325AAE">
              <w:rPr>
                <w:sz w:val="17"/>
                <w:szCs w:val="17"/>
                <w:lang w:val="en-GB"/>
              </w:rPr>
              <w:t xml:space="preserve">376,145 </w:t>
            </w:r>
          </w:p>
        </w:tc>
      </w:tr>
      <w:tr w:rsidR="00FE0727" w:rsidRPr="00325AAE" w14:paraId="3D437DE1" w14:textId="35F2C9A3" w:rsidTr="00FE0727">
        <w:trPr>
          <w:trHeight w:val="60"/>
          <w:jc w:val="center"/>
        </w:trPr>
        <w:tc>
          <w:tcPr>
            <w:tcW w:w="7015" w:type="dxa"/>
            <w:hideMark/>
          </w:tcPr>
          <w:p w14:paraId="7D1F4D30" w14:textId="77777777" w:rsidR="00FE0727" w:rsidRPr="00325AAE" w:rsidRDefault="00FE0727" w:rsidP="00FE0727">
            <w:pPr>
              <w:pStyle w:val="ExhibitText"/>
              <w:rPr>
                <w:sz w:val="17"/>
                <w:szCs w:val="17"/>
                <w:lang w:val="en-GB"/>
              </w:rPr>
            </w:pPr>
            <w:r w:rsidRPr="00325AAE">
              <w:rPr>
                <w:sz w:val="17"/>
                <w:szCs w:val="17"/>
                <w:lang w:val="en-GB"/>
              </w:rPr>
              <w:t>MyPower customer notes receivable, net of current portion</w:t>
            </w:r>
          </w:p>
        </w:tc>
        <w:tc>
          <w:tcPr>
            <w:tcW w:w="1182" w:type="dxa"/>
            <w:noWrap/>
            <w:hideMark/>
          </w:tcPr>
          <w:p w14:paraId="3B4ABD0D" w14:textId="1BDC05F2" w:rsidR="00FE0727" w:rsidRPr="00325AAE" w:rsidRDefault="00FE0727" w:rsidP="00FE0727">
            <w:pPr>
              <w:pStyle w:val="ExhibitText"/>
              <w:jc w:val="right"/>
              <w:rPr>
                <w:sz w:val="17"/>
                <w:szCs w:val="17"/>
                <w:lang w:val="en-GB"/>
              </w:rPr>
            </w:pPr>
            <w:r w:rsidRPr="00325AAE">
              <w:rPr>
                <w:sz w:val="17"/>
                <w:szCs w:val="17"/>
                <w:lang w:val="en-GB"/>
              </w:rPr>
              <w:t>– </w:t>
            </w:r>
          </w:p>
        </w:tc>
        <w:tc>
          <w:tcPr>
            <w:tcW w:w="1163" w:type="dxa"/>
          </w:tcPr>
          <w:p w14:paraId="2FAB388D" w14:textId="7C5AF735" w:rsidR="00FE0727" w:rsidRPr="00325AAE" w:rsidRDefault="00FE0727" w:rsidP="00FE0727">
            <w:pPr>
              <w:pStyle w:val="ExhibitText"/>
              <w:jc w:val="right"/>
              <w:rPr>
                <w:sz w:val="17"/>
                <w:szCs w:val="17"/>
                <w:lang w:val="en-GB"/>
              </w:rPr>
            </w:pPr>
            <w:r w:rsidRPr="00325AAE">
              <w:rPr>
                <w:sz w:val="17"/>
                <w:szCs w:val="17"/>
                <w:lang w:val="en-GB"/>
              </w:rPr>
              <w:t xml:space="preserve">506,302 </w:t>
            </w:r>
          </w:p>
        </w:tc>
      </w:tr>
      <w:tr w:rsidR="00FE0727" w:rsidRPr="00325AAE" w14:paraId="22719B39" w14:textId="0FD55606" w:rsidTr="00FE0727">
        <w:trPr>
          <w:trHeight w:val="60"/>
          <w:jc w:val="center"/>
        </w:trPr>
        <w:tc>
          <w:tcPr>
            <w:tcW w:w="7015" w:type="dxa"/>
            <w:hideMark/>
          </w:tcPr>
          <w:p w14:paraId="6140F8A1" w14:textId="77777777" w:rsidR="00FE0727" w:rsidRPr="00325AAE" w:rsidRDefault="00FE0727" w:rsidP="00FE0727">
            <w:pPr>
              <w:pStyle w:val="ExhibitText"/>
              <w:rPr>
                <w:sz w:val="17"/>
                <w:szCs w:val="17"/>
                <w:lang w:val="en-GB"/>
              </w:rPr>
            </w:pPr>
            <w:r w:rsidRPr="00325AAE">
              <w:rPr>
                <w:sz w:val="17"/>
                <w:szCs w:val="17"/>
                <w:lang w:val="en-GB"/>
              </w:rPr>
              <w:t>Restricted cash, net of current portion</w:t>
            </w:r>
          </w:p>
        </w:tc>
        <w:tc>
          <w:tcPr>
            <w:tcW w:w="1182" w:type="dxa"/>
            <w:noWrap/>
            <w:hideMark/>
          </w:tcPr>
          <w:p w14:paraId="501DCDEB" w14:textId="77777777" w:rsidR="00FE0727" w:rsidRPr="00325AAE" w:rsidRDefault="00FE0727" w:rsidP="00FE0727">
            <w:pPr>
              <w:pStyle w:val="ExhibitText"/>
              <w:jc w:val="right"/>
              <w:rPr>
                <w:sz w:val="17"/>
                <w:szCs w:val="17"/>
                <w:lang w:val="en-GB"/>
              </w:rPr>
            </w:pPr>
            <w:r w:rsidRPr="00325AAE">
              <w:rPr>
                <w:sz w:val="17"/>
                <w:szCs w:val="17"/>
                <w:lang w:val="en-GB"/>
              </w:rPr>
              <w:t xml:space="preserve">31,522 </w:t>
            </w:r>
          </w:p>
        </w:tc>
        <w:tc>
          <w:tcPr>
            <w:tcW w:w="1163" w:type="dxa"/>
          </w:tcPr>
          <w:p w14:paraId="1ECC85DC" w14:textId="48CAAD0E" w:rsidR="00FE0727" w:rsidRPr="00325AAE" w:rsidRDefault="00FE0727" w:rsidP="00FE0727">
            <w:pPr>
              <w:pStyle w:val="ExhibitText"/>
              <w:jc w:val="right"/>
              <w:rPr>
                <w:sz w:val="17"/>
                <w:szCs w:val="17"/>
                <w:lang w:val="en-GB"/>
              </w:rPr>
            </w:pPr>
            <w:r w:rsidRPr="00325AAE">
              <w:rPr>
                <w:sz w:val="17"/>
                <w:szCs w:val="17"/>
                <w:lang w:val="en-GB"/>
              </w:rPr>
              <w:t xml:space="preserve">268,165 </w:t>
            </w:r>
          </w:p>
        </w:tc>
      </w:tr>
      <w:tr w:rsidR="00FE0727" w:rsidRPr="00325AAE" w14:paraId="4000D78C" w14:textId="0ADCAFF3" w:rsidTr="00FE0727">
        <w:trPr>
          <w:trHeight w:val="60"/>
          <w:jc w:val="center"/>
        </w:trPr>
        <w:tc>
          <w:tcPr>
            <w:tcW w:w="7015" w:type="dxa"/>
            <w:hideMark/>
          </w:tcPr>
          <w:p w14:paraId="7B5C8DEE" w14:textId="77777777" w:rsidR="00FE0727" w:rsidRPr="00325AAE" w:rsidRDefault="00FE0727" w:rsidP="00FE0727">
            <w:pPr>
              <w:pStyle w:val="ExhibitText"/>
              <w:rPr>
                <w:sz w:val="17"/>
                <w:szCs w:val="17"/>
                <w:lang w:val="en-GB"/>
              </w:rPr>
            </w:pPr>
            <w:r w:rsidRPr="00325AAE">
              <w:rPr>
                <w:sz w:val="17"/>
                <w:szCs w:val="17"/>
                <w:lang w:val="en-GB"/>
              </w:rPr>
              <w:t>Other assets</w:t>
            </w:r>
          </w:p>
        </w:tc>
        <w:tc>
          <w:tcPr>
            <w:tcW w:w="1182" w:type="dxa"/>
            <w:noWrap/>
            <w:hideMark/>
          </w:tcPr>
          <w:p w14:paraId="158C3CB0" w14:textId="77777777" w:rsidR="00FE0727" w:rsidRPr="00325AAE" w:rsidRDefault="00FE0727" w:rsidP="00FE0727">
            <w:pPr>
              <w:pStyle w:val="ExhibitText"/>
              <w:jc w:val="right"/>
              <w:rPr>
                <w:sz w:val="17"/>
                <w:szCs w:val="17"/>
                <w:lang w:val="en-GB"/>
              </w:rPr>
            </w:pPr>
            <w:r w:rsidRPr="00325AAE">
              <w:rPr>
                <w:sz w:val="17"/>
                <w:szCs w:val="17"/>
                <w:lang w:val="en-GB"/>
              </w:rPr>
              <w:t xml:space="preserve">46,858 </w:t>
            </w:r>
          </w:p>
        </w:tc>
        <w:tc>
          <w:tcPr>
            <w:tcW w:w="1163" w:type="dxa"/>
          </w:tcPr>
          <w:p w14:paraId="2A7E7F5B" w14:textId="225DD538" w:rsidR="00FE0727" w:rsidRPr="00325AAE" w:rsidRDefault="00FE0727" w:rsidP="00FE0727">
            <w:pPr>
              <w:pStyle w:val="ExhibitText"/>
              <w:jc w:val="right"/>
              <w:rPr>
                <w:sz w:val="17"/>
                <w:szCs w:val="17"/>
                <w:lang w:val="en-GB"/>
              </w:rPr>
            </w:pPr>
            <w:r w:rsidRPr="00325AAE">
              <w:rPr>
                <w:sz w:val="17"/>
                <w:szCs w:val="17"/>
                <w:lang w:val="en-GB"/>
              </w:rPr>
              <w:t xml:space="preserve">216,751 </w:t>
            </w:r>
          </w:p>
        </w:tc>
      </w:tr>
      <w:tr w:rsidR="00FE0727" w:rsidRPr="00325AAE" w14:paraId="1536047F" w14:textId="4E73CF01" w:rsidTr="00FE0727">
        <w:trPr>
          <w:trHeight w:val="60"/>
          <w:jc w:val="center"/>
        </w:trPr>
        <w:tc>
          <w:tcPr>
            <w:tcW w:w="7015" w:type="dxa"/>
            <w:hideMark/>
          </w:tcPr>
          <w:p w14:paraId="7B59E4C1" w14:textId="77777777" w:rsidR="00FE0727" w:rsidRPr="00325AAE" w:rsidRDefault="00FE0727" w:rsidP="00FE0727">
            <w:pPr>
              <w:pStyle w:val="ExhibitText"/>
              <w:rPr>
                <w:sz w:val="17"/>
                <w:szCs w:val="17"/>
                <w:lang w:val="en-GB"/>
              </w:rPr>
            </w:pPr>
            <w:r w:rsidRPr="00325AAE">
              <w:rPr>
                <w:sz w:val="17"/>
                <w:szCs w:val="17"/>
                <w:lang w:val="en-GB"/>
              </w:rPr>
              <w:t>Total assets</w:t>
            </w:r>
          </w:p>
        </w:tc>
        <w:tc>
          <w:tcPr>
            <w:tcW w:w="1182" w:type="dxa"/>
            <w:noWrap/>
            <w:hideMark/>
          </w:tcPr>
          <w:p w14:paraId="06CD8362" w14:textId="77777777" w:rsidR="00FE0727" w:rsidRPr="00325AAE" w:rsidRDefault="00FE0727" w:rsidP="00FE0727">
            <w:pPr>
              <w:pStyle w:val="ExhibitText"/>
              <w:jc w:val="right"/>
              <w:rPr>
                <w:sz w:val="17"/>
                <w:szCs w:val="17"/>
                <w:lang w:val="en-GB"/>
              </w:rPr>
            </w:pPr>
            <w:r w:rsidRPr="00325AAE">
              <w:rPr>
                <w:sz w:val="17"/>
                <w:szCs w:val="17"/>
                <w:lang w:val="en-GB"/>
              </w:rPr>
              <w:t xml:space="preserve">8,067,939 </w:t>
            </w:r>
          </w:p>
        </w:tc>
        <w:tc>
          <w:tcPr>
            <w:tcW w:w="1163" w:type="dxa"/>
          </w:tcPr>
          <w:p w14:paraId="6384B526" w14:textId="04C984BD" w:rsidR="00FE0727" w:rsidRPr="00325AAE" w:rsidRDefault="00FE0727" w:rsidP="00FE0727">
            <w:pPr>
              <w:pStyle w:val="ExhibitText"/>
              <w:jc w:val="right"/>
              <w:rPr>
                <w:sz w:val="17"/>
                <w:szCs w:val="17"/>
                <w:lang w:val="en-GB"/>
              </w:rPr>
            </w:pPr>
            <w:r w:rsidRPr="00325AAE">
              <w:rPr>
                <w:sz w:val="17"/>
                <w:szCs w:val="17"/>
                <w:lang w:val="en-GB"/>
              </w:rPr>
              <w:t xml:space="preserve">22,664,076 </w:t>
            </w:r>
          </w:p>
        </w:tc>
      </w:tr>
      <w:tr w:rsidR="00FE0727" w:rsidRPr="00325AAE" w14:paraId="6ED87550" w14:textId="68FB07A0" w:rsidTr="00FE0727">
        <w:trPr>
          <w:trHeight w:val="60"/>
          <w:jc w:val="center"/>
        </w:trPr>
        <w:tc>
          <w:tcPr>
            <w:tcW w:w="7015" w:type="dxa"/>
            <w:hideMark/>
          </w:tcPr>
          <w:p w14:paraId="545730F6" w14:textId="77777777" w:rsidR="00FE0727" w:rsidRPr="00325AAE" w:rsidRDefault="00FE0727" w:rsidP="00FE0727">
            <w:pPr>
              <w:pStyle w:val="ExhibitText"/>
              <w:rPr>
                <w:b/>
                <w:sz w:val="17"/>
                <w:szCs w:val="17"/>
                <w:lang w:val="en-GB"/>
              </w:rPr>
            </w:pPr>
            <w:r w:rsidRPr="00325AAE">
              <w:rPr>
                <w:b/>
                <w:sz w:val="17"/>
                <w:szCs w:val="17"/>
                <w:lang w:val="en-GB"/>
              </w:rPr>
              <w:t>Current liabilities</w:t>
            </w:r>
          </w:p>
        </w:tc>
        <w:tc>
          <w:tcPr>
            <w:tcW w:w="1182" w:type="dxa"/>
            <w:noWrap/>
            <w:hideMark/>
          </w:tcPr>
          <w:p w14:paraId="44864A2D" w14:textId="77777777" w:rsidR="00FE0727" w:rsidRPr="00325AAE" w:rsidRDefault="00FE0727" w:rsidP="00FE0727">
            <w:pPr>
              <w:pStyle w:val="ExhibitText"/>
              <w:jc w:val="right"/>
              <w:rPr>
                <w:b/>
                <w:sz w:val="17"/>
                <w:szCs w:val="17"/>
                <w:lang w:val="en-GB"/>
              </w:rPr>
            </w:pPr>
            <w:r w:rsidRPr="00325AAE">
              <w:rPr>
                <w:b/>
                <w:sz w:val="17"/>
                <w:szCs w:val="17"/>
                <w:lang w:val="en-GB"/>
              </w:rPr>
              <w:t> </w:t>
            </w:r>
          </w:p>
        </w:tc>
        <w:tc>
          <w:tcPr>
            <w:tcW w:w="1163" w:type="dxa"/>
          </w:tcPr>
          <w:p w14:paraId="5BA46D1A" w14:textId="77777777" w:rsidR="00FE0727" w:rsidRPr="00325AAE" w:rsidRDefault="00FE0727" w:rsidP="00FE0727">
            <w:pPr>
              <w:pStyle w:val="ExhibitText"/>
              <w:jc w:val="right"/>
              <w:rPr>
                <w:b/>
                <w:sz w:val="17"/>
                <w:szCs w:val="17"/>
                <w:lang w:val="en-GB"/>
              </w:rPr>
            </w:pPr>
          </w:p>
        </w:tc>
      </w:tr>
      <w:tr w:rsidR="00FE0727" w:rsidRPr="00325AAE" w14:paraId="55A92641" w14:textId="6DAB8769" w:rsidTr="00FE0727">
        <w:trPr>
          <w:trHeight w:val="60"/>
          <w:jc w:val="center"/>
        </w:trPr>
        <w:tc>
          <w:tcPr>
            <w:tcW w:w="7015" w:type="dxa"/>
            <w:hideMark/>
          </w:tcPr>
          <w:p w14:paraId="01197D85" w14:textId="77777777" w:rsidR="00FE0727" w:rsidRPr="00325AAE" w:rsidRDefault="00FE0727" w:rsidP="00FE0727">
            <w:pPr>
              <w:pStyle w:val="ExhibitText"/>
              <w:rPr>
                <w:sz w:val="17"/>
                <w:szCs w:val="17"/>
                <w:lang w:val="en-GB"/>
              </w:rPr>
            </w:pPr>
            <w:r w:rsidRPr="00325AAE">
              <w:rPr>
                <w:sz w:val="17"/>
                <w:szCs w:val="17"/>
                <w:lang w:val="en-GB"/>
              </w:rPr>
              <w:t>Accounts payable</w:t>
            </w:r>
          </w:p>
        </w:tc>
        <w:tc>
          <w:tcPr>
            <w:tcW w:w="1182" w:type="dxa"/>
            <w:noWrap/>
            <w:hideMark/>
          </w:tcPr>
          <w:p w14:paraId="3F0FA13B" w14:textId="77777777" w:rsidR="00FE0727" w:rsidRPr="00325AAE" w:rsidRDefault="00FE0727" w:rsidP="00FE0727">
            <w:pPr>
              <w:pStyle w:val="ExhibitText"/>
              <w:jc w:val="right"/>
              <w:rPr>
                <w:sz w:val="17"/>
                <w:szCs w:val="17"/>
                <w:lang w:val="en-GB"/>
              </w:rPr>
            </w:pPr>
            <w:r w:rsidRPr="00325AAE">
              <w:rPr>
                <w:sz w:val="17"/>
                <w:szCs w:val="17"/>
                <w:lang w:val="en-GB"/>
              </w:rPr>
              <w:t xml:space="preserve">916,148 </w:t>
            </w:r>
          </w:p>
        </w:tc>
        <w:tc>
          <w:tcPr>
            <w:tcW w:w="1163" w:type="dxa"/>
          </w:tcPr>
          <w:p w14:paraId="17EBBC43" w14:textId="41F5ED66" w:rsidR="00FE0727" w:rsidRPr="00325AAE" w:rsidRDefault="00FE0727" w:rsidP="00FE0727">
            <w:pPr>
              <w:pStyle w:val="ExhibitText"/>
              <w:jc w:val="right"/>
              <w:rPr>
                <w:sz w:val="17"/>
                <w:szCs w:val="17"/>
                <w:lang w:val="en-GB"/>
              </w:rPr>
            </w:pPr>
            <w:r w:rsidRPr="00325AAE">
              <w:rPr>
                <w:sz w:val="17"/>
                <w:szCs w:val="17"/>
                <w:lang w:val="en-GB"/>
              </w:rPr>
              <w:t xml:space="preserve">1,860,341 </w:t>
            </w:r>
          </w:p>
        </w:tc>
      </w:tr>
      <w:tr w:rsidR="00FE0727" w:rsidRPr="00325AAE" w14:paraId="57973B5D" w14:textId="2EAB0B8D" w:rsidTr="00FE0727">
        <w:trPr>
          <w:trHeight w:val="60"/>
          <w:jc w:val="center"/>
        </w:trPr>
        <w:tc>
          <w:tcPr>
            <w:tcW w:w="7015" w:type="dxa"/>
            <w:hideMark/>
          </w:tcPr>
          <w:p w14:paraId="552D72F0" w14:textId="77777777" w:rsidR="00FE0727" w:rsidRPr="00325AAE" w:rsidRDefault="00FE0727" w:rsidP="00FE0727">
            <w:pPr>
              <w:pStyle w:val="ExhibitText"/>
              <w:rPr>
                <w:sz w:val="17"/>
                <w:szCs w:val="17"/>
                <w:lang w:val="en-GB"/>
              </w:rPr>
            </w:pPr>
            <w:r w:rsidRPr="00325AAE">
              <w:rPr>
                <w:sz w:val="17"/>
                <w:szCs w:val="17"/>
                <w:lang w:val="en-GB"/>
              </w:rPr>
              <w:t>Accrued liabilities and other</w:t>
            </w:r>
          </w:p>
        </w:tc>
        <w:tc>
          <w:tcPr>
            <w:tcW w:w="1182" w:type="dxa"/>
            <w:noWrap/>
            <w:hideMark/>
          </w:tcPr>
          <w:p w14:paraId="396E4D46" w14:textId="77777777" w:rsidR="00FE0727" w:rsidRPr="00325AAE" w:rsidRDefault="00FE0727" w:rsidP="00FE0727">
            <w:pPr>
              <w:pStyle w:val="ExhibitText"/>
              <w:jc w:val="right"/>
              <w:rPr>
                <w:sz w:val="17"/>
                <w:szCs w:val="17"/>
                <w:lang w:val="en-GB"/>
              </w:rPr>
            </w:pPr>
            <w:r w:rsidRPr="00325AAE">
              <w:rPr>
                <w:sz w:val="17"/>
                <w:szCs w:val="17"/>
                <w:lang w:val="en-GB"/>
              </w:rPr>
              <w:t xml:space="preserve">422,798 </w:t>
            </w:r>
          </w:p>
        </w:tc>
        <w:tc>
          <w:tcPr>
            <w:tcW w:w="1163" w:type="dxa"/>
          </w:tcPr>
          <w:p w14:paraId="6C6FF9C7" w14:textId="12A13860" w:rsidR="00FE0727" w:rsidRPr="00325AAE" w:rsidRDefault="00FE0727" w:rsidP="00FE0727">
            <w:pPr>
              <w:pStyle w:val="ExhibitText"/>
              <w:jc w:val="right"/>
              <w:rPr>
                <w:sz w:val="17"/>
                <w:szCs w:val="17"/>
                <w:lang w:val="en-GB"/>
              </w:rPr>
            </w:pPr>
            <w:r w:rsidRPr="00325AAE">
              <w:rPr>
                <w:sz w:val="17"/>
                <w:szCs w:val="17"/>
                <w:lang w:val="en-GB"/>
              </w:rPr>
              <w:t xml:space="preserve">1,210,028 </w:t>
            </w:r>
          </w:p>
        </w:tc>
      </w:tr>
      <w:tr w:rsidR="00FE0727" w:rsidRPr="00325AAE" w14:paraId="6DFDE214" w14:textId="216A711E" w:rsidTr="00FE0727">
        <w:trPr>
          <w:trHeight w:val="60"/>
          <w:jc w:val="center"/>
        </w:trPr>
        <w:tc>
          <w:tcPr>
            <w:tcW w:w="7015" w:type="dxa"/>
            <w:hideMark/>
          </w:tcPr>
          <w:p w14:paraId="5FCD3CD2" w14:textId="77777777" w:rsidR="00FE0727" w:rsidRPr="00325AAE" w:rsidRDefault="00FE0727" w:rsidP="00FE0727">
            <w:pPr>
              <w:pStyle w:val="ExhibitText"/>
              <w:rPr>
                <w:sz w:val="17"/>
                <w:szCs w:val="17"/>
                <w:lang w:val="en-GB"/>
              </w:rPr>
            </w:pPr>
            <w:r w:rsidRPr="00325AAE">
              <w:rPr>
                <w:sz w:val="17"/>
                <w:szCs w:val="17"/>
                <w:lang w:val="en-GB"/>
              </w:rPr>
              <w:t>Deferred revenue</w:t>
            </w:r>
          </w:p>
        </w:tc>
        <w:tc>
          <w:tcPr>
            <w:tcW w:w="1182" w:type="dxa"/>
            <w:noWrap/>
            <w:hideMark/>
          </w:tcPr>
          <w:p w14:paraId="0F8B4C61" w14:textId="77777777" w:rsidR="00FE0727" w:rsidRPr="00325AAE" w:rsidRDefault="00FE0727" w:rsidP="00FE0727">
            <w:pPr>
              <w:pStyle w:val="ExhibitText"/>
              <w:jc w:val="right"/>
              <w:rPr>
                <w:sz w:val="17"/>
                <w:szCs w:val="17"/>
                <w:lang w:val="en-GB"/>
              </w:rPr>
            </w:pPr>
            <w:r w:rsidRPr="00325AAE">
              <w:rPr>
                <w:sz w:val="17"/>
                <w:szCs w:val="17"/>
                <w:lang w:val="en-GB"/>
              </w:rPr>
              <w:t xml:space="preserve">423,961 </w:t>
            </w:r>
          </w:p>
        </w:tc>
        <w:tc>
          <w:tcPr>
            <w:tcW w:w="1163" w:type="dxa"/>
          </w:tcPr>
          <w:p w14:paraId="6B2F1E28" w14:textId="4DFC77F1" w:rsidR="00FE0727" w:rsidRPr="00325AAE" w:rsidRDefault="00FE0727" w:rsidP="00FE0727">
            <w:pPr>
              <w:pStyle w:val="ExhibitText"/>
              <w:jc w:val="right"/>
              <w:rPr>
                <w:sz w:val="17"/>
                <w:szCs w:val="17"/>
                <w:lang w:val="en-GB"/>
              </w:rPr>
            </w:pPr>
            <w:r w:rsidRPr="00325AAE">
              <w:rPr>
                <w:sz w:val="17"/>
                <w:szCs w:val="17"/>
                <w:lang w:val="en-GB"/>
              </w:rPr>
              <w:t xml:space="preserve">763,126 </w:t>
            </w:r>
          </w:p>
        </w:tc>
      </w:tr>
      <w:tr w:rsidR="00FE0727" w:rsidRPr="00325AAE" w14:paraId="53F3701D" w14:textId="20A901D3" w:rsidTr="00FE0727">
        <w:trPr>
          <w:trHeight w:val="60"/>
          <w:jc w:val="center"/>
        </w:trPr>
        <w:tc>
          <w:tcPr>
            <w:tcW w:w="7015" w:type="dxa"/>
            <w:hideMark/>
          </w:tcPr>
          <w:p w14:paraId="3FD705FD" w14:textId="77777777" w:rsidR="00FE0727" w:rsidRPr="00325AAE" w:rsidRDefault="00FE0727" w:rsidP="00FE0727">
            <w:pPr>
              <w:pStyle w:val="ExhibitText"/>
              <w:rPr>
                <w:sz w:val="17"/>
                <w:szCs w:val="17"/>
                <w:lang w:val="en-GB"/>
              </w:rPr>
            </w:pPr>
            <w:r w:rsidRPr="00325AAE">
              <w:rPr>
                <w:sz w:val="17"/>
                <w:szCs w:val="17"/>
                <w:lang w:val="en-GB"/>
              </w:rPr>
              <w:t>Resale value guarantees</w:t>
            </w:r>
          </w:p>
        </w:tc>
        <w:tc>
          <w:tcPr>
            <w:tcW w:w="1182" w:type="dxa"/>
            <w:noWrap/>
            <w:hideMark/>
          </w:tcPr>
          <w:p w14:paraId="1C8C7865" w14:textId="77777777" w:rsidR="00FE0727" w:rsidRPr="00325AAE" w:rsidRDefault="00FE0727" w:rsidP="00FE0727">
            <w:pPr>
              <w:pStyle w:val="ExhibitText"/>
              <w:jc w:val="right"/>
              <w:rPr>
                <w:sz w:val="17"/>
                <w:szCs w:val="17"/>
                <w:lang w:val="en-GB"/>
              </w:rPr>
            </w:pPr>
            <w:r w:rsidRPr="00325AAE">
              <w:rPr>
                <w:sz w:val="17"/>
                <w:szCs w:val="17"/>
                <w:lang w:val="en-GB"/>
              </w:rPr>
              <w:t xml:space="preserve">136,831 </w:t>
            </w:r>
          </w:p>
        </w:tc>
        <w:tc>
          <w:tcPr>
            <w:tcW w:w="1163" w:type="dxa"/>
          </w:tcPr>
          <w:p w14:paraId="13838DAB" w14:textId="699233D0" w:rsidR="00FE0727" w:rsidRPr="00325AAE" w:rsidRDefault="00FE0727" w:rsidP="00FE0727">
            <w:pPr>
              <w:pStyle w:val="ExhibitText"/>
              <w:jc w:val="right"/>
              <w:rPr>
                <w:sz w:val="17"/>
                <w:szCs w:val="17"/>
                <w:lang w:val="en-GB"/>
              </w:rPr>
            </w:pPr>
            <w:r w:rsidRPr="00325AAE">
              <w:rPr>
                <w:sz w:val="17"/>
                <w:szCs w:val="17"/>
                <w:lang w:val="en-GB"/>
              </w:rPr>
              <w:t xml:space="preserve">179,504 </w:t>
            </w:r>
          </w:p>
        </w:tc>
      </w:tr>
      <w:tr w:rsidR="00FE0727" w:rsidRPr="00325AAE" w14:paraId="2A9A6C66" w14:textId="37701A8A" w:rsidTr="00FE0727">
        <w:trPr>
          <w:trHeight w:val="60"/>
          <w:jc w:val="center"/>
        </w:trPr>
        <w:tc>
          <w:tcPr>
            <w:tcW w:w="7015" w:type="dxa"/>
            <w:hideMark/>
          </w:tcPr>
          <w:p w14:paraId="3D20F5EE" w14:textId="77777777" w:rsidR="00FE0727" w:rsidRPr="00325AAE" w:rsidRDefault="00FE0727" w:rsidP="00FE0727">
            <w:pPr>
              <w:pStyle w:val="ExhibitText"/>
              <w:rPr>
                <w:sz w:val="17"/>
                <w:szCs w:val="17"/>
                <w:lang w:val="en-GB"/>
              </w:rPr>
            </w:pPr>
            <w:r w:rsidRPr="00325AAE">
              <w:rPr>
                <w:sz w:val="17"/>
                <w:szCs w:val="17"/>
                <w:lang w:val="en-GB"/>
              </w:rPr>
              <w:t>Customer deposits</w:t>
            </w:r>
          </w:p>
        </w:tc>
        <w:tc>
          <w:tcPr>
            <w:tcW w:w="1182" w:type="dxa"/>
            <w:noWrap/>
            <w:hideMark/>
          </w:tcPr>
          <w:p w14:paraId="4F311FB6" w14:textId="77777777" w:rsidR="00FE0727" w:rsidRPr="00325AAE" w:rsidRDefault="00FE0727" w:rsidP="00FE0727">
            <w:pPr>
              <w:pStyle w:val="ExhibitText"/>
              <w:jc w:val="right"/>
              <w:rPr>
                <w:sz w:val="17"/>
                <w:szCs w:val="17"/>
                <w:lang w:val="en-GB"/>
              </w:rPr>
            </w:pPr>
            <w:r w:rsidRPr="00325AAE">
              <w:rPr>
                <w:sz w:val="17"/>
                <w:szCs w:val="17"/>
                <w:lang w:val="en-GB"/>
              </w:rPr>
              <w:t xml:space="preserve">283,370 </w:t>
            </w:r>
          </w:p>
        </w:tc>
        <w:tc>
          <w:tcPr>
            <w:tcW w:w="1163" w:type="dxa"/>
          </w:tcPr>
          <w:p w14:paraId="4E1AABDD" w14:textId="28DA958B" w:rsidR="00FE0727" w:rsidRPr="00325AAE" w:rsidRDefault="00FE0727" w:rsidP="00FE0727">
            <w:pPr>
              <w:pStyle w:val="ExhibitText"/>
              <w:jc w:val="right"/>
              <w:rPr>
                <w:sz w:val="17"/>
                <w:szCs w:val="17"/>
                <w:lang w:val="en-GB"/>
              </w:rPr>
            </w:pPr>
            <w:r w:rsidRPr="00325AAE">
              <w:rPr>
                <w:sz w:val="17"/>
                <w:szCs w:val="17"/>
                <w:lang w:val="en-GB"/>
              </w:rPr>
              <w:t xml:space="preserve">663,859 </w:t>
            </w:r>
          </w:p>
        </w:tc>
      </w:tr>
      <w:tr w:rsidR="00FE0727" w:rsidRPr="00325AAE" w14:paraId="1A79B7B7" w14:textId="21D7092A" w:rsidTr="00FE0727">
        <w:trPr>
          <w:trHeight w:val="60"/>
          <w:jc w:val="center"/>
        </w:trPr>
        <w:tc>
          <w:tcPr>
            <w:tcW w:w="7015" w:type="dxa"/>
            <w:hideMark/>
          </w:tcPr>
          <w:p w14:paraId="013D5263" w14:textId="77777777" w:rsidR="00FE0727" w:rsidRPr="00325AAE" w:rsidRDefault="00FE0727" w:rsidP="00FE0727">
            <w:pPr>
              <w:pStyle w:val="ExhibitText"/>
              <w:rPr>
                <w:sz w:val="17"/>
                <w:szCs w:val="17"/>
                <w:lang w:val="en-GB"/>
              </w:rPr>
            </w:pPr>
            <w:r w:rsidRPr="00325AAE">
              <w:rPr>
                <w:sz w:val="17"/>
                <w:szCs w:val="17"/>
                <w:lang w:val="en-GB"/>
              </w:rPr>
              <w:t>Current portion of long-term debt and capital leases</w:t>
            </w:r>
          </w:p>
        </w:tc>
        <w:tc>
          <w:tcPr>
            <w:tcW w:w="1182" w:type="dxa"/>
            <w:noWrap/>
            <w:hideMark/>
          </w:tcPr>
          <w:p w14:paraId="73FF0BEF" w14:textId="77777777" w:rsidR="00FE0727" w:rsidRPr="00325AAE" w:rsidRDefault="00FE0727" w:rsidP="00FE0727">
            <w:pPr>
              <w:pStyle w:val="ExhibitText"/>
              <w:jc w:val="right"/>
              <w:rPr>
                <w:sz w:val="17"/>
                <w:szCs w:val="17"/>
                <w:lang w:val="en-GB"/>
              </w:rPr>
            </w:pPr>
            <w:r w:rsidRPr="00325AAE">
              <w:rPr>
                <w:sz w:val="17"/>
                <w:szCs w:val="17"/>
                <w:lang w:val="en-GB"/>
              </w:rPr>
              <w:t xml:space="preserve">627,927 </w:t>
            </w:r>
          </w:p>
        </w:tc>
        <w:tc>
          <w:tcPr>
            <w:tcW w:w="1163" w:type="dxa"/>
          </w:tcPr>
          <w:p w14:paraId="66F1CAB7" w14:textId="64A7CD4F" w:rsidR="00FE0727" w:rsidRPr="00325AAE" w:rsidRDefault="00FE0727" w:rsidP="00FE0727">
            <w:pPr>
              <w:pStyle w:val="ExhibitText"/>
              <w:jc w:val="right"/>
              <w:rPr>
                <w:sz w:val="17"/>
                <w:szCs w:val="17"/>
                <w:lang w:val="en-GB"/>
              </w:rPr>
            </w:pPr>
            <w:r w:rsidRPr="00325AAE">
              <w:rPr>
                <w:sz w:val="17"/>
                <w:szCs w:val="17"/>
                <w:lang w:val="en-GB"/>
              </w:rPr>
              <w:t xml:space="preserve">984,211 </w:t>
            </w:r>
          </w:p>
        </w:tc>
      </w:tr>
      <w:tr w:rsidR="00FE0727" w:rsidRPr="00325AAE" w14:paraId="541AA7F3" w14:textId="4F777B5D" w:rsidTr="00FE0727">
        <w:trPr>
          <w:trHeight w:val="60"/>
          <w:jc w:val="center"/>
        </w:trPr>
        <w:tc>
          <w:tcPr>
            <w:tcW w:w="7015" w:type="dxa"/>
          </w:tcPr>
          <w:p w14:paraId="00604CD4" w14:textId="4A7BBDE6" w:rsidR="00FE0727" w:rsidRPr="00325AAE" w:rsidRDefault="00FE0727" w:rsidP="00FE0727">
            <w:pPr>
              <w:pStyle w:val="ExhibitText"/>
              <w:rPr>
                <w:sz w:val="17"/>
                <w:szCs w:val="17"/>
                <w:lang w:val="en-GB"/>
              </w:rPr>
            </w:pPr>
            <w:r w:rsidRPr="00325AAE">
              <w:rPr>
                <w:sz w:val="17"/>
                <w:szCs w:val="17"/>
                <w:lang w:val="en-GB"/>
              </w:rPr>
              <w:t>Current portion of solar bonds issued to related parties</w:t>
            </w:r>
          </w:p>
        </w:tc>
        <w:tc>
          <w:tcPr>
            <w:tcW w:w="1182" w:type="dxa"/>
            <w:noWrap/>
          </w:tcPr>
          <w:p w14:paraId="28F4D84C" w14:textId="586E3BEB" w:rsidR="00FE0727" w:rsidRPr="00325AAE" w:rsidRDefault="00FE0727" w:rsidP="00FE0727">
            <w:pPr>
              <w:pStyle w:val="ExhibitText"/>
              <w:jc w:val="right"/>
              <w:rPr>
                <w:sz w:val="17"/>
                <w:szCs w:val="17"/>
                <w:lang w:val="en-GB"/>
              </w:rPr>
            </w:pPr>
            <w:r w:rsidRPr="00325AAE">
              <w:rPr>
                <w:sz w:val="17"/>
                <w:szCs w:val="17"/>
                <w:lang w:val="en-GB"/>
              </w:rPr>
              <w:t>–</w:t>
            </w:r>
          </w:p>
        </w:tc>
        <w:tc>
          <w:tcPr>
            <w:tcW w:w="1163" w:type="dxa"/>
          </w:tcPr>
          <w:p w14:paraId="032E7464" w14:textId="147C4B69" w:rsidR="00FE0727" w:rsidRPr="00325AAE" w:rsidRDefault="00FE0727" w:rsidP="00FE0727">
            <w:pPr>
              <w:pStyle w:val="ExhibitText"/>
              <w:jc w:val="right"/>
              <w:rPr>
                <w:sz w:val="17"/>
                <w:szCs w:val="17"/>
                <w:lang w:val="en-GB"/>
              </w:rPr>
            </w:pPr>
            <w:r w:rsidRPr="00325AAE">
              <w:rPr>
                <w:sz w:val="17"/>
                <w:szCs w:val="17"/>
                <w:lang w:val="en-GB"/>
              </w:rPr>
              <w:t>165,936</w:t>
            </w:r>
          </w:p>
        </w:tc>
      </w:tr>
      <w:tr w:rsidR="00FE0727" w:rsidRPr="00325AAE" w14:paraId="4AEB6E7A" w14:textId="4BB6766B" w:rsidTr="00FE0727">
        <w:trPr>
          <w:trHeight w:val="60"/>
          <w:jc w:val="center"/>
        </w:trPr>
        <w:tc>
          <w:tcPr>
            <w:tcW w:w="7015" w:type="dxa"/>
            <w:hideMark/>
          </w:tcPr>
          <w:p w14:paraId="4A89A84B" w14:textId="77777777" w:rsidR="00FE0727" w:rsidRPr="00325AAE" w:rsidRDefault="00FE0727" w:rsidP="00FE0727">
            <w:pPr>
              <w:pStyle w:val="ExhibitText"/>
              <w:rPr>
                <w:sz w:val="17"/>
                <w:szCs w:val="17"/>
                <w:lang w:val="en-GB"/>
              </w:rPr>
            </w:pPr>
            <w:r w:rsidRPr="00325AAE">
              <w:rPr>
                <w:sz w:val="17"/>
                <w:szCs w:val="17"/>
                <w:lang w:val="en-GB"/>
              </w:rPr>
              <w:t>Total current liabilities</w:t>
            </w:r>
          </w:p>
        </w:tc>
        <w:tc>
          <w:tcPr>
            <w:tcW w:w="1182" w:type="dxa"/>
            <w:noWrap/>
            <w:hideMark/>
          </w:tcPr>
          <w:p w14:paraId="0606B8C7" w14:textId="77777777" w:rsidR="00FE0727" w:rsidRPr="00325AAE" w:rsidRDefault="00FE0727" w:rsidP="00FE0727">
            <w:pPr>
              <w:pStyle w:val="ExhibitText"/>
              <w:jc w:val="right"/>
              <w:rPr>
                <w:sz w:val="17"/>
                <w:szCs w:val="17"/>
                <w:lang w:val="en-GB"/>
              </w:rPr>
            </w:pPr>
            <w:r w:rsidRPr="00325AAE">
              <w:rPr>
                <w:sz w:val="17"/>
                <w:szCs w:val="17"/>
                <w:lang w:val="en-GB"/>
              </w:rPr>
              <w:t xml:space="preserve">2,811,035 </w:t>
            </w:r>
          </w:p>
        </w:tc>
        <w:tc>
          <w:tcPr>
            <w:tcW w:w="1163" w:type="dxa"/>
          </w:tcPr>
          <w:p w14:paraId="66AA9F02" w14:textId="7F65AA59" w:rsidR="00FE0727" w:rsidRPr="00325AAE" w:rsidRDefault="00FE0727" w:rsidP="00FE0727">
            <w:pPr>
              <w:pStyle w:val="ExhibitText"/>
              <w:jc w:val="right"/>
              <w:rPr>
                <w:sz w:val="17"/>
                <w:szCs w:val="17"/>
                <w:lang w:val="en-GB"/>
              </w:rPr>
            </w:pPr>
            <w:r w:rsidRPr="00325AAE">
              <w:rPr>
                <w:sz w:val="17"/>
                <w:szCs w:val="17"/>
                <w:lang w:val="en-GB"/>
              </w:rPr>
              <w:t xml:space="preserve">5,827,005 </w:t>
            </w:r>
          </w:p>
        </w:tc>
      </w:tr>
      <w:tr w:rsidR="00FE0727" w:rsidRPr="00325AAE" w14:paraId="5671BAD1" w14:textId="72337986" w:rsidTr="00FE0727">
        <w:trPr>
          <w:trHeight w:val="60"/>
          <w:jc w:val="center"/>
        </w:trPr>
        <w:tc>
          <w:tcPr>
            <w:tcW w:w="7015" w:type="dxa"/>
            <w:hideMark/>
          </w:tcPr>
          <w:p w14:paraId="44FA2366" w14:textId="77777777" w:rsidR="00FE0727" w:rsidRPr="00325AAE" w:rsidRDefault="00FE0727" w:rsidP="00FE0727">
            <w:pPr>
              <w:pStyle w:val="ExhibitText"/>
              <w:rPr>
                <w:sz w:val="17"/>
                <w:szCs w:val="17"/>
                <w:lang w:val="en-GB"/>
              </w:rPr>
            </w:pPr>
            <w:r w:rsidRPr="00325AAE">
              <w:rPr>
                <w:sz w:val="17"/>
                <w:szCs w:val="17"/>
                <w:lang w:val="en-GB"/>
              </w:rPr>
              <w:t>Long-term debt and capital leases, net of current portion</w:t>
            </w:r>
          </w:p>
        </w:tc>
        <w:tc>
          <w:tcPr>
            <w:tcW w:w="1182" w:type="dxa"/>
            <w:noWrap/>
            <w:hideMark/>
          </w:tcPr>
          <w:p w14:paraId="12E0D5AB" w14:textId="77777777" w:rsidR="00FE0727" w:rsidRPr="00325AAE" w:rsidRDefault="00FE0727" w:rsidP="00FE0727">
            <w:pPr>
              <w:pStyle w:val="ExhibitText"/>
              <w:jc w:val="right"/>
              <w:rPr>
                <w:sz w:val="17"/>
                <w:szCs w:val="17"/>
                <w:lang w:val="en-GB"/>
              </w:rPr>
            </w:pPr>
            <w:r w:rsidRPr="00325AAE">
              <w:rPr>
                <w:sz w:val="17"/>
                <w:szCs w:val="17"/>
                <w:lang w:val="en-GB"/>
              </w:rPr>
              <w:t xml:space="preserve">2,021,093 </w:t>
            </w:r>
          </w:p>
        </w:tc>
        <w:tc>
          <w:tcPr>
            <w:tcW w:w="1163" w:type="dxa"/>
          </w:tcPr>
          <w:p w14:paraId="1B9B9B2A" w14:textId="7A4502CD" w:rsidR="00FE0727" w:rsidRPr="00325AAE" w:rsidRDefault="00FE0727" w:rsidP="00FE0727">
            <w:pPr>
              <w:pStyle w:val="ExhibitText"/>
              <w:jc w:val="right"/>
              <w:rPr>
                <w:sz w:val="17"/>
                <w:szCs w:val="17"/>
                <w:lang w:val="en-GB"/>
              </w:rPr>
            </w:pPr>
            <w:r w:rsidRPr="00325AAE">
              <w:rPr>
                <w:sz w:val="17"/>
                <w:szCs w:val="17"/>
                <w:lang w:val="en-GB"/>
              </w:rPr>
              <w:t xml:space="preserve">5,860,049 </w:t>
            </w:r>
          </w:p>
        </w:tc>
      </w:tr>
      <w:tr w:rsidR="00FE0727" w:rsidRPr="00325AAE" w14:paraId="07DD144C" w14:textId="500F7EAD" w:rsidTr="00FE0727">
        <w:trPr>
          <w:trHeight w:val="60"/>
          <w:jc w:val="center"/>
        </w:trPr>
        <w:tc>
          <w:tcPr>
            <w:tcW w:w="7015" w:type="dxa"/>
          </w:tcPr>
          <w:p w14:paraId="17214413" w14:textId="486B0EA1" w:rsidR="00FE0727" w:rsidRPr="00325AAE" w:rsidRDefault="00FE0727" w:rsidP="00FE0727">
            <w:pPr>
              <w:pStyle w:val="ExhibitText"/>
              <w:rPr>
                <w:sz w:val="17"/>
                <w:szCs w:val="17"/>
                <w:lang w:val="en-GB"/>
              </w:rPr>
            </w:pPr>
            <w:r w:rsidRPr="00325AAE">
              <w:rPr>
                <w:sz w:val="17"/>
                <w:szCs w:val="17"/>
                <w:lang w:val="en-GB"/>
              </w:rPr>
              <w:t>Solar bonds issued to related parties, net of current portion</w:t>
            </w:r>
          </w:p>
        </w:tc>
        <w:tc>
          <w:tcPr>
            <w:tcW w:w="1182" w:type="dxa"/>
            <w:noWrap/>
          </w:tcPr>
          <w:p w14:paraId="36201547" w14:textId="5D7C1394" w:rsidR="00FE0727" w:rsidRPr="00325AAE" w:rsidRDefault="00FE0727" w:rsidP="00FE0727">
            <w:pPr>
              <w:pStyle w:val="ExhibitText"/>
              <w:jc w:val="right"/>
              <w:rPr>
                <w:sz w:val="17"/>
                <w:szCs w:val="17"/>
                <w:lang w:val="en-GB"/>
              </w:rPr>
            </w:pPr>
            <w:r w:rsidRPr="00325AAE">
              <w:rPr>
                <w:sz w:val="17"/>
                <w:szCs w:val="17"/>
                <w:lang w:val="en-GB"/>
              </w:rPr>
              <w:t>–</w:t>
            </w:r>
          </w:p>
        </w:tc>
        <w:tc>
          <w:tcPr>
            <w:tcW w:w="1163" w:type="dxa"/>
          </w:tcPr>
          <w:p w14:paraId="763F5863" w14:textId="44897705" w:rsidR="00FE0727" w:rsidRPr="00325AAE" w:rsidRDefault="00FE0727" w:rsidP="00FE0727">
            <w:pPr>
              <w:pStyle w:val="ExhibitText"/>
              <w:jc w:val="right"/>
              <w:rPr>
                <w:sz w:val="17"/>
                <w:szCs w:val="17"/>
                <w:lang w:val="en-GB"/>
              </w:rPr>
            </w:pPr>
            <w:r w:rsidRPr="00325AAE">
              <w:rPr>
                <w:sz w:val="17"/>
                <w:szCs w:val="17"/>
                <w:lang w:val="en-GB"/>
              </w:rPr>
              <w:t>99,164</w:t>
            </w:r>
          </w:p>
        </w:tc>
      </w:tr>
      <w:tr w:rsidR="00FE0727" w:rsidRPr="00325AAE" w14:paraId="5098223C" w14:textId="09BC9780" w:rsidTr="00FE0727">
        <w:trPr>
          <w:trHeight w:val="60"/>
          <w:jc w:val="center"/>
        </w:trPr>
        <w:tc>
          <w:tcPr>
            <w:tcW w:w="7015" w:type="dxa"/>
            <w:hideMark/>
          </w:tcPr>
          <w:p w14:paraId="6418B885" w14:textId="77777777" w:rsidR="00FE0727" w:rsidRPr="00325AAE" w:rsidRDefault="00FE0727" w:rsidP="00FE0727">
            <w:pPr>
              <w:pStyle w:val="ExhibitText"/>
              <w:rPr>
                <w:sz w:val="17"/>
                <w:szCs w:val="17"/>
                <w:lang w:val="en-GB"/>
              </w:rPr>
            </w:pPr>
            <w:r w:rsidRPr="00325AAE">
              <w:rPr>
                <w:sz w:val="17"/>
                <w:szCs w:val="17"/>
                <w:lang w:val="en-GB"/>
              </w:rPr>
              <w:t>Convertible senior notes issued to related parties</w:t>
            </w:r>
          </w:p>
        </w:tc>
        <w:tc>
          <w:tcPr>
            <w:tcW w:w="1182" w:type="dxa"/>
            <w:noWrap/>
            <w:hideMark/>
          </w:tcPr>
          <w:p w14:paraId="73564B6A" w14:textId="4EDCB8C3" w:rsidR="00FE0727" w:rsidRPr="00325AAE" w:rsidRDefault="00FE0727" w:rsidP="00FE0727">
            <w:pPr>
              <w:pStyle w:val="ExhibitText"/>
              <w:jc w:val="right"/>
              <w:rPr>
                <w:sz w:val="17"/>
                <w:szCs w:val="17"/>
                <w:lang w:val="en-GB"/>
              </w:rPr>
            </w:pPr>
            <w:r w:rsidRPr="00325AAE">
              <w:rPr>
                <w:sz w:val="17"/>
                <w:szCs w:val="17"/>
                <w:lang w:val="en-GB"/>
              </w:rPr>
              <w:t> –</w:t>
            </w:r>
          </w:p>
        </w:tc>
        <w:tc>
          <w:tcPr>
            <w:tcW w:w="1163" w:type="dxa"/>
          </w:tcPr>
          <w:p w14:paraId="5AA22E31" w14:textId="68A7E117" w:rsidR="00FE0727" w:rsidRPr="00325AAE" w:rsidRDefault="00FE0727" w:rsidP="00FE0727">
            <w:pPr>
              <w:pStyle w:val="ExhibitText"/>
              <w:jc w:val="right"/>
              <w:rPr>
                <w:sz w:val="17"/>
                <w:szCs w:val="17"/>
                <w:lang w:val="en-GB"/>
              </w:rPr>
            </w:pPr>
            <w:r w:rsidRPr="00325AAE">
              <w:rPr>
                <w:sz w:val="17"/>
                <w:szCs w:val="17"/>
                <w:lang w:val="en-GB"/>
              </w:rPr>
              <w:t xml:space="preserve">10,287 </w:t>
            </w:r>
          </w:p>
        </w:tc>
      </w:tr>
      <w:tr w:rsidR="00FE0727" w:rsidRPr="00325AAE" w14:paraId="78DC5203" w14:textId="388CED95" w:rsidTr="00FE0727">
        <w:trPr>
          <w:trHeight w:val="60"/>
          <w:jc w:val="center"/>
        </w:trPr>
        <w:tc>
          <w:tcPr>
            <w:tcW w:w="7015" w:type="dxa"/>
            <w:hideMark/>
          </w:tcPr>
          <w:p w14:paraId="77663408" w14:textId="77777777" w:rsidR="00FE0727" w:rsidRPr="00325AAE" w:rsidRDefault="00FE0727" w:rsidP="00FE0727">
            <w:pPr>
              <w:pStyle w:val="ExhibitText"/>
              <w:rPr>
                <w:sz w:val="17"/>
                <w:szCs w:val="17"/>
                <w:lang w:val="en-GB"/>
              </w:rPr>
            </w:pPr>
            <w:r w:rsidRPr="00325AAE">
              <w:rPr>
                <w:sz w:val="17"/>
                <w:szCs w:val="17"/>
                <w:lang w:val="en-GB"/>
              </w:rPr>
              <w:t>Deferred revenue, net of current portion</w:t>
            </w:r>
          </w:p>
        </w:tc>
        <w:tc>
          <w:tcPr>
            <w:tcW w:w="1182" w:type="dxa"/>
            <w:noWrap/>
            <w:hideMark/>
          </w:tcPr>
          <w:p w14:paraId="08211982" w14:textId="77777777" w:rsidR="00FE0727" w:rsidRPr="00325AAE" w:rsidRDefault="00FE0727" w:rsidP="00FE0727">
            <w:pPr>
              <w:pStyle w:val="ExhibitText"/>
              <w:jc w:val="right"/>
              <w:rPr>
                <w:sz w:val="17"/>
                <w:szCs w:val="17"/>
                <w:lang w:val="en-GB"/>
              </w:rPr>
            </w:pPr>
            <w:r w:rsidRPr="00325AAE">
              <w:rPr>
                <w:sz w:val="17"/>
                <w:szCs w:val="17"/>
                <w:lang w:val="en-GB"/>
              </w:rPr>
              <w:t xml:space="preserve">446,105 </w:t>
            </w:r>
          </w:p>
        </w:tc>
        <w:tc>
          <w:tcPr>
            <w:tcW w:w="1163" w:type="dxa"/>
          </w:tcPr>
          <w:p w14:paraId="2818CFBC" w14:textId="0B732D3D" w:rsidR="00FE0727" w:rsidRPr="00325AAE" w:rsidRDefault="00FE0727" w:rsidP="00FE0727">
            <w:pPr>
              <w:pStyle w:val="ExhibitText"/>
              <w:jc w:val="right"/>
              <w:rPr>
                <w:sz w:val="17"/>
                <w:szCs w:val="17"/>
                <w:lang w:val="en-GB"/>
              </w:rPr>
            </w:pPr>
            <w:r w:rsidRPr="00325AAE">
              <w:rPr>
                <w:sz w:val="17"/>
                <w:szCs w:val="17"/>
                <w:lang w:val="en-GB"/>
              </w:rPr>
              <w:t xml:space="preserve">851,790 </w:t>
            </w:r>
          </w:p>
        </w:tc>
      </w:tr>
      <w:tr w:rsidR="00FE0727" w:rsidRPr="00325AAE" w14:paraId="7C2C1A04" w14:textId="73497525" w:rsidTr="00FE0727">
        <w:trPr>
          <w:trHeight w:val="60"/>
          <w:jc w:val="center"/>
        </w:trPr>
        <w:tc>
          <w:tcPr>
            <w:tcW w:w="7015" w:type="dxa"/>
            <w:hideMark/>
          </w:tcPr>
          <w:p w14:paraId="3743295D" w14:textId="77777777" w:rsidR="00FE0727" w:rsidRPr="00325AAE" w:rsidRDefault="00FE0727" w:rsidP="00FE0727">
            <w:pPr>
              <w:pStyle w:val="ExhibitText"/>
              <w:rPr>
                <w:sz w:val="17"/>
                <w:szCs w:val="17"/>
                <w:lang w:val="en-GB"/>
              </w:rPr>
            </w:pPr>
            <w:r w:rsidRPr="00325AAE">
              <w:rPr>
                <w:sz w:val="17"/>
                <w:szCs w:val="17"/>
                <w:lang w:val="en-GB"/>
              </w:rPr>
              <w:t>Resale value guarantees, net of current portion</w:t>
            </w:r>
          </w:p>
        </w:tc>
        <w:tc>
          <w:tcPr>
            <w:tcW w:w="1182" w:type="dxa"/>
            <w:noWrap/>
            <w:hideMark/>
          </w:tcPr>
          <w:p w14:paraId="7AADE4B6" w14:textId="77777777" w:rsidR="00FE0727" w:rsidRPr="00325AAE" w:rsidRDefault="00FE0727" w:rsidP="00FE0727">
            <w:pPr>
              <w:pStyle w:val="ExhibitText"/>
              <w:jc w:val="right"/>
              <w:rPr>
                <w:sz w:val="17"/>
                <w:szCs w:val="17"/>
                <w:lang w:val="en-GB"/>
              </w:rPr>
            </w:pPr>
            <w:r w:rsidRPr="00325AAE">
              <w:rPr>
                <w:sz w:val="17"/>
                <w:szCs w:val="17"/>
                <w:lang w:val="en-GB"/>
              </w:rPr>
              <w:t xml:space="preserve">1,293,741 </w:t>
            </w:r>
          </w:p>
        </w:tc>
        <w:tc>
          <w:tcPr>
            <w:tcW w:w="1163" w:type="dxa"/>
          </w:tcPr>
          <w:p w14:paraId="4AA1229D" w14:textId="5C9B36A1" w:rsidR="00FE0727" w:rsidRPr="00325AAE" w:rsidRDefault="00FE0727" w:rsidP="00FE0727">
            <w:pPr>
              <w:pStyle w:val="ExhibitText"/>
              <w:jc w:val="right"/>
              <w:rPr>
                <w:sz w:val="17"/>
                <w:szCs w:val="17"/>
                <w:lang w:val="en-GB"/>
              </w:rPr>
            </w:pPr>
            <w:r w:rsidRPr="00325AAE">
              <w:rPr>
                <w:sz w:val="17"/>
                <w:szCs w:val="17"/>
                <w:lang w:val="en-GB"/>
              </w:rPr>
              <w:t xml:space="preserve">2,210,423 </w:t>
            </w:r>
          </w:p>
        </w:tc>
      </w:tr>
      <w:tr w:rsidR="00FE0727" w:rsidRPr="00325AAE" w14:paraId="393C2643" w14:textId="395BCCAD" w:rsidTr="00FE0727">
        <w:trPr>
          <w:trHeight w:val="60"/>
          <w:jc w:val="center"/>
        </w:trPr>
        <w:tc>
          <w:tcPr>
            <w:tcW w:w="7015" w:type="dxa"/>
            <w:hideMark/>
          </w:tcPr>
          <w:p w14:paraId="42EF0E0E" w14:textId="77777777" w:rsidR="00FE0727" w:rsidRPr="00325AAE" w:rsidRDefault="00FE0727" w:rsidP="00FE0727">
            <w:pPr>
              <w:pStyle w:val="ExhibitText"/>
              <w:rPr>
                <w:sz w:val="17"/>
                <w:szCs w:val="17"/>
                <w:lang w:val="en-GB"/>
              </w:rPr>
            </w:pPr>
            <w:r w:rsidRPr="00325AAE">
              <w:rPr>
                <w:sz w:val="17"/>
                <w:szCs w:val="17"/>
                <w:lang w:val="en-GB"/>
              </w:rPr>
              <w:t>Other long-term liabilities</w:t>
            </w:r>
          </w:p>
        </w:tc>
        <w:tc>
          <w:tcPr>
            <w:tcW w:w="1182" w:type="dxa"/>
            <w:noWrap/>
            <w:hideMark/>
          </w:tcPr>
          <w:p w14:paraId="2247D827" w14:textId="77777777" w:rsidR="00FE0727" w:rsidRPr="00325AAE" w:rsidRDefault="00FE0727" w:rsidP="00FE0727">
            <w:pPr>
              <w:pStyle w:val="ExhibitText"/>
              <w:jc w:val="right"/>
              <w:rPr>
                <w:sz w:val="17"/>
                <w:szCs w:val="17"/>
                <w:lang w:val="en-GB"/>
              </w:rPr>
            </w:pPr>
            <w:r w:rsidRPr="00325AAE">
              <w:rPr>
                <w:sz w:val="17"/>
                <w:szCs w:val="17"/>
                <w:lang w:val="en-GB"/>
              </w:rPr>
              <w:t xml:space="preserve">364,976 </w:t>
            </w:r>
          </w:p>
        </w:tc>
        <w:tc>
          <w:tcPr>
            <w:tcW w:w="1163" w:type="dxa"/>
          </w:tcPr>
          <w:p w14:paraId="4BC9E375" w14:textId="498BA48A" w:rsidR="00FE0727" w:rsidRPr="00325AAE" w:rsidRDefault="00FE0727" w:rsidP="00FE0727">
            <w:pPr>
              <w:pStyle w:val="ExhibitText"/>
              <w:jc w:val="right"/>
              <w:rPr>
                <w:sz w:val="17"/>
                <w:szCs w:val="17"/>
                <w:lang w:val="en-GB"/>
              </w:rPr>
            </w:pPr>
            <w:r w:rsidRPr="00325AAE">
              <w:rPr>
                <w:sz w:val="17"/>
                <w:szCs w:val="17"/>
                <w:lang w:val="en-GB"/>
              </w:rPr>
              <w:t xml:space="preserve">1,891,449 </w:t>
            </w:r>
          </w:p>
        </w:tc>
      </w:tr>
      <w:tr w:rsidR="00FE0727" w:rsidRPr="00325AAE" w14:paraId="352F57E2" w14:textId="3BB232B9" w:rsidTr="00FE0727">
        <w:trPr>
          <w:trHeight w:val="60"/>
          <w:jc w:val="center"/>
        </w:trPr>
        <w:tc>
          <w:tcPr>
            <w:tcW w:w="7015" w:type="dxa"/>
            <w:hideMark/>
          </w:tcPr>
          <w:p w14:paraId="5394A6DD" w14:textId="77777777" w:rsidR="00FE0727" w:rsidRPr="00325AAE" w:rsidRDefault="00FE0727" w:rsidP="00FE0727">
            <w:pPr>
              <w:pStyle w:val="ExhibitText"/>
              <w:rPr>
                <w:sz w:val="17"/>
                <w:szCs w:val="17"/>
                <w:lang w:val="en-GB"/>
              </w:rPr>
            </w:pPr>
            <w:r w:rsidRPr="00325AAE">
              <w:rPr>
                <w:sz w:val="17"/>
                <w:szCs w:val="17"/>
                <w:lang w:val="en-GB"/>
              </w:rPr>
              <w:t>Total liabilities</w:t>
            </w:r>
          </w:p>
        </w:tc>
        <w:tc>
          <w:tcPr>
            <w:tcW w:w="1182" w:type="dxa"/>
            <w:noWrap/>
            <w:hideMark/>
          </w:tcPr>
          <w:p w14:paraId="07E9F381" w14:textId="77777777" w:rsidR="00FE0727" w:rsidRPr="00325AAE" w:rsidRDefault="00FE0727" w:rsidP="00FE0727">
            <w:pPr>
              <w:pStyle w:val="ExhibitText"/>
              <w:jc w:val="right"/>
              <w:rPr>
                <w:sz w:val="17"/>
                <w:szCs w:val="17"/>
                <w:lang w:val="en-GB"/>
              </w:rPr>
            </w:pPr>
            <w:r w:rsidRPr="00325AAE">
              <w:rPr>
                <w:sz w:val="17"/>
                <w:szCs w:val="17"/>
                <w:lang w:val="en-GB"/>
              </w:rPr>
              <w:t xml:space="preserve">6,936,950 </w:t>
            </w:r>
          </w:p>
        </w:tc>
        <w:tc>
          <w:tcPr>
            <w:tcW w:w="1163" w:type="dxa"/>
          </w:tcPr>
          <w:p w14:paraId="64F77D8D" w14:textId="0D342B1C" w:rsidR="00FE0727" w:rsidRPr="00325AAE" w:rsidRDefault="00FE0727" w:rsidP="00FE0727">
            <w:pPr>
              <w:pStyle w:val="ExhibitText"/>
              <w:jc w:val="right"/>
              <w:rPr>
                <w:sz w:val="17"/>
                <w:szCs w:val="17"/>
                <w:lang w:val="en-GB"/>
              </w:rPr>
            </w:pPr>
            <w:r w:rsidRPr="00325AAE">
              <w:rPr>
                <w:sz w:val="17"/>
                <w:szCs w:val="17"/>
                <w:lang w:val="en-GB"/>
              </w:rPr>
              <w:t xml:space="preserve">16,750,167 </w:t>
            </w:r>
          </w:p>
        </w:tc>
      </w:tr>
      <w:tr w:rsidR="00FE0727" w:rsidRPr="00325AAE" w14:paraId="46E2DDA9" w14:textId="39D8EDE3" w:rsidTr="00FE0727">
        <w:trPr>
          <w:trHeight w:val="60"/>
          <w:jc w:val="center"/>
        </w:trPr>
        <w:tc>
          <w:tcPr>
            <w:tcW w:w="7015" w:type="dxa"/>
            <w:hideMark/>
          </w:tcPr>
          <w:p w14:paraId="744B3F88" w14:textId="77777777" w:rsidR="00FE0727" w:rsidRPr="00325AAE" w:rsidRDefault="00FE0727" w:rsidP="00FE0727">
            <w:pPr>
              <w:pStyle w:val="ExhibitText"/>
              <w:rPr>
                <w:sz w:val="17"/>
                <w:szCs w:val="17"/>
                <w:lang w:val="en-GB"/>
              </w:rPr>
            </w:pPr>
            <w:r w:rsidRPr="00325AAE">
              <w:rPr>
                <w:sz w:val="17"/>
                <w:szCs w:val="17"/>
                <w:lang w:val="en-GB"/>
              </w:rPr>
              <w:t>Commitments and contingencies (Note 17)</w:t>
            </w:r>
          </w:p>
        </w:tc>
        <w:tc>
          <w:tcPr>
            <w:tcW w:w="1182" w:type="dxa"/>
            <w:hideMark/>
          </w:tcPr>
          <w:p w14:paraId="46C6777D" w14:textId="7C11DDD1" w:rsidR="00FE0727" w:rsidRPr="00325AAE" w:rsidRDefault="00FE0727" w:rsidP="00FE0727">
            <w:pPr>
              <w:pStyle w:val="ExhibitText"/>
              <w:jc w:val="right"/>
              <w:rPr>
                <w:sz w:val="17"/>
                <w:szCs w:val="17"/>
                <w:lang w:val="en-GB"/>
              </w:rPr>
            </w:pPr>
            <w:r w:rsidRPr="00325AAE">
              <w:rPr>
                <w:sz w:val="17"/>
                <w:szCs w:val="17"/>
                <w:lang w:val="en-GB"/>
              </w:rPr>
              <w:t xml:space="preserve">– </w:t>
            </w:r>
          </w:p>
        </w:tc>
        <w:tc>
          <w:tcPr>
            <w:tcW w:w="1163" w:type="dxa"/>
          </w:tcPr>
          <w:p w14:paraId="431E01A8" w14:textId="25669702" w:rsidR="00FE0727" w:rsidRPr="00325AAE" w:rsidRDefault="00FE0727" w:rsidP="00FE0727">
            <w:pPr>
              <w:pStyle w:val="ExhibitText"/>
              <w:jc w:val="right"/>
              <w:rPr>
                <w:sz w:val="17"/>
                <w:szCs w:val="17"/>
                <w:lang w:val="en-GB"/>
              </w:rPr>
            </w:pPr>
            <w:r w:rsidRPr="00325AAE">
              <w:rPr>
                <w:sz w:val="17"/>
                <w:szCs w:val="17"/>
                <w:lang w:val="en-GB"/>
              </w:rPr>
              <w:t xml:space="preserve">– </w:t>
            </w:r>
          </w:p>
        </w:tc>
      </w:tr>
      <w:tr w:rsidR="00FE0727" w:rsidRPr="00325AAE" w14:paraId="0BC0AA00" w14:textId="5389B216" w:rsidTr="00FE0727">
        <w:trPr>
          <w:trHeight w:val="60"/>
          <w:jc w:val="center"/>
        </w:trPr>
        <w:tc>
          <w:tcPr>
            <w:tcW w:w="7015" w:type="dxa"/>
            <w:hideMark/>
          </w:tcPr>
          <w:p w14:paraId="085E81C7" w14:textId="77777777" w:rsidR="00FE0727" w:rsidRPr="00325AAE" w:rsidRDefault="00FE0727" w:rsidP="00FE0727">
            <w:pPr>
              <w:pStyle w:val="ExhibitText"/>
              <w:rPr>
                <w:sz w:val="17"/>
                <w:szCs w:val="17"/>
                <w:lang w:val="en-GB"/>
              </w:rPr>
            </w:pPr>
            <w:r w:rsidRPr="00325AAE">
              <w:rPr>
                <w:sz w:val="17"/>
                <w:szCs w:val="17"/>
                <w:lang w:val="en-GB"/>
              </w:rPr>
              <w:t>Redeemable noncontrolling interests in subsidiaries</w:t>
            </w:r>
          </w:p>
        </w:tc>
        <w:tc>
          <w:tcPr>
            <w:tcW w:w="1182" w:type="dxa"/>
            <w:noWrap/>
            <w:hideMark/>
          </w:tcPr>
          <w:p w14:paraId="5E696125" w14:textId="77777777" w:rsidR="00FE0727" w:rsidRPr="00325AAE" w:rsidRDefault="00FE0727" w:rsidP="00FE0727">
            <w:pPr>
              <w:pStyle w:val="ExhibitText"/>
              <w:jc w:val="right"/>
              <w:rPr>
                <w:sz w:val="17"/>
                <w:szCs w:val="17"/>
                <w:lang w:val="en-GB"/>
              </w:rPr>
            </w:pPr>
            <w:r w:rsidRPr="00325AAE">
              <w:rPr>
                <w:sz w:val="17"/>
                <w:szCs w:val="17"/>
                <w:lang w:val="en-GB"/>
              </w:rPr>
              <w:t> </w:t>
            </w:r>
          </w:p>
        </w:tc>
        <w:tc>
          <w:tcPr>
            <w:tcW w:w="1163" w:type="dxa"/>
          </w:tcPr>
          <w:p w14:paraId="342B7F53" w14:textId="6BBBE64A" w:rsidR="00FE0727" w:rsidRPr="00325AAE" w:rsidRDefault="00FE0727" w:rsidP="00FE0727">
            <w:pPr>
              <w:pStyle w:val="ExhibitText"/>
              <w:jc w:val="right"/>
              <w:rPr>
                <w:sz w:val="17"/>
                <w:szCs w:val="17"/>
                <w:lang w:val="en-GB"/>
              </w:rPr>
            </w:pPr>
            <w:r w:rsidRPr="00325AAE">
              <w:rPr>
                <w:sz w:val="17"/>
                <w:szCs w:val="17"/>
                <w:lang w:val="en-GB"/>
              </w:rPr>
              <w:t xml:space="preserve">367,039 </w:t>
            </w:r>
          </w:p>
        </w:tc>
      </w:tr>
      <w:tr w:rsidR="00FE0727" w:rsidRPr="00325AAE" w14:paraId="119A6A7D" w14:textId="65EBEF12" w:rsidTr="00FE0727">
        <w:trPr>
          <w:trHeight w:val="60"/>
          <w:jc w:val="center"/>
        </w:trPr>
        <w:tc>
          <w:tcPr>
            <w:tcW w:w="7015" w:type="dxa"/>
            <w:hideMark/>
          </w:tcPr>
          <w:p w14:paraId="79468881" w14:textId="77777777" w:rsidR="00FE0727" w:rsidRPr="00325AAE" w:rsidRDefault="00FE0727" w:rsidP="00FE0727">
            <w:pPr>
              <w:pStyle w:val="ExhibitText"/>
              <w:rPr>
                <w:sz w:val="17"/>
                <w:szCs w:val="17"/>
                <w:lang w:val="en-GB"/>
              </w:rPr>
            </w:pPr>
            <w:r w:rsidRPr="00325AAE">
              <w:rPr>
                <w:sz w:val="17"/>
                <w:szCs w:val="17"/>
                <w:lang w:val="en-GB"/>
              </w:rPr>
              <w:t>Convertible senior notes (Notes 13)</w:t>
            </w:r>
          </w:p>
        </w:tc>
        <w:tc>
          <w:tcPr>
            <w:tcW w:w="1182" w:type="dxa"/>
            <w:noWrap/>
            <w:hideMark/>
          </w:tcPr>
          <w:p w14:paraId="04C4EBE5" w14:textId="77777777" w:rsidR="00FE0727" w:rsidRPr="00325AAE" w:rsidRDefault="00FE0727" w:rsidP="00FE0727">
            <w:pPr>
              <w:pStyle w:val="ExhibitText"/>
              <w:jc w:val="right"/>
              <w:rPr>
                <w:sz w:val="17"/>
                <w:szCs w:val="17"/>
                <w:lang w:val="en-GB"/>
              </w:rPr>
            </w:pPr>
            <w:r w:rsidRPr="00325AAE">
              <w:rPr>
                <w:sz w:val="17"/>
                <w:szCs w:val="17"/>
                <w:lang w:val="en-GB"/>
              </w:rPr>
              <w:t xml:space="preserve">47,285 </w:t>
            </w:r>
          </w:p>
        </w:tc>
        <w:tc>
          <w:tcPr>
            <w:tcW w:w="1163" w:type="dxa"/>
          </w:tcPr>
          <w:p w14:paraId="062834B6" w14:textId="227E986D" w:rsidR="00FE0727" w:rsidRPr="00325AAE" w:rsidRDefault="00FE0727" w:rsidP="00FE0727">
            <w:pPr>
              <w:pStyle w:val="ExhibitText"/>
              <w:jc w:val="right"/>
              <w:rPr>
                <w:sz w:val="17"/>
                <w:szCs w:val="17"/>
                <w:lang w:val="en-GB"/>
              </w:rPr>
            </w:pPr>
            <w:r w:rsidRPr="00325AAE">
              <w:rPr>
                <w:sz w:val="17"/>
                <w:szCs w:val="17"/>
                <w:lang w:val="en-GB"/>
              </w:rPr>
              <w:t xml:space="preserve">8,784 </w:t>
            </w:r>
          </w:p>
        </w:tc>
      </w:tr>
      <w:tr w:rsidR="00FE0727" w:rsidRPr="00325AAE" w14:paraId="4B8608E2" w14:textId="48A79677" w:rsidTr="00FE0727">
        <w:trPr>
          <w:trHeight w:val="60"/>
          <w:jc w:val="center"/>
        </w:trPr>
        <w:tc>
          <w:tcPr>
            <w:tcW w:w="7015" w:type="dxa"/>
            <w:hideMark/>
          </w:tcPr>
          <w:p w14:paraId="6BF3FD06" w14:textId="608A2CE7" w:rsidR="00FE0727" w:rsidRPr="00325AAE" w:rsidRDefault="00FE0727" w:rsidP="00FE0727">
            <w:pPr>
              <w:pStyle w:val="ExhibitText"/>
              <w:rPr>
                <w:b/>
                <w:sz w:val="17"/>
                <w:szCs w:val="17"/>
                <w:lang w:val="en-GB"/>
              </w:rPr>
            </w:pPr>
            <w:r w:rsidRPr="00325AAE">
              <w:rPr>
                <w:b/>
                <w:sz w:val="17"/>
                <w:szCs w:val="17"/>
                <w:lang w:val="en-GB"/>
              </w:rPr>
              <w:t>Stockholders’ equity:</w:t>
            </w:r>
          </w:p>
        </w:tc>
        <w:tc>
          <w:tcPr>
            <w:tcW w:w="1182" w:type="dxa"/>
            <w:noWrap/>
            <w:hideMark/>
          </w:tcPr>
          <w:p w14:paraId="22204865" w14:textId="77777777" w:rsidR="00FE0727" w:rsidRPr="00325AAE" w:rsidRDefault="00FE0727" w:rsidP="00FE0727">
            <w:pPr>
              <w:pStyle w:val="ExhibitText"/>
              <w:jc w:val="right"/>
              <w:rPr>
                <w:b/>
                <w:sz w:val="17"/>
                <w:szCs w:val="17"/>
                <w:lang w:val="en-GB"/>
              </w:rPr>
            </w:pPr>
            <w:r w:rsidRPr="00325AAE">
              <w:rPr>
                <w:b/>
                <w:sz w:val="17"/>
                <w:szCs w:val="17"/>
                <w:lang w:val="en-GB"/>
              </w:rPr>
              <w:t> </w:t>
            </w:r>
          </w:p>
        </w:tc>
        <w:tc>
          <w:tcPr>
            <w:tcW w:w="1163" w:type="dxa"/>
          </w:tcPr>
          <w:p w14:paraId="36F8A8E0" w14:textId="77777777" w:rsidR="00FE0727" w:rsidRPr="00325AAE" w:rsidRDefault="00FE0727" w:rsidP="00FE0727">
            <w:pPr>
              <w:pStyle w:val="ExhibitText"/>
              <w:jc w:val="right"/>
              <w:rPr>
                <w:b/>
                <w:sz w:val="17"/>
                <w:szCs w:val="17"/>
                <w:lang w:val="en-GB"/>
              </w:rPr>
            </w:pPr>
          </w:p>
        </w:tc>
      </w:tr>
      <w:tr w:rsidR="00FE0727" w:rsidRPr="00325AAE" w14:paraId="48B46A92" w14:textId="33CC6E57" w:rsidTr="00FE0727">
        <w:trPr>
          <w:trHeight w:val="161"/>
          <w:jc w:val="center"/>
        </w:trPr>
        <w:tc>
          <w:tcPr>
            <w:tcW w:w="7015" w:type="dxa"/>
            <w:hideMark/>
          </w:tcPr>
          <w:p w14:paraId="700F96CC" w14:textId="77777777" w:rsidR="00FE0727" w:rsidRPr="00325AAE" w:rsidRDefault="00FE0727" w:rsidP="00FE0727">
            <w:pPr>
              <w:pStyle w:val="ExhibitText"/>
              <w:rPr>
                <w:sz w:val="17"/>
                <w:szCs w:val="17"/>
                <w:lang w:val="en-GB"/>
              </w:rPr>
            </w:pPr>
            <w:r w:rsidRPr="00325AAE">
              <w:rPr>
                <w:sz w:val="17"/>
                <w:szCs w:val="17"/>
                <w:lang w:val="en-GB"/>
              </w:rPr>
              <w:t>Preferred stock; $0.001 par value; 100,000 shares authorized; no shares issued and outstanding</w:t>
            </w:r>
          </w:p>
        </w:tc>
        <w:tc>
          <w:tcPr>
            <w:tcW w:w="1182" w:type="dxa"/>
            <w:hideMark/>
          </w:tcPr>
          <w:p w14:paraId="576E976F" w14:textId="2FE97914" w:rsidR="00FE0727" w:rsidRPr="00325AAE" w:rsidRDefault="00FE0727" w:rsidP="00FE0727">
            <w:pPr>
              <w:pStyle w:val="ExhibitText"/>
              <w:jc w:val="right"/>
              <w:rPr>
                <w:sz w:val="17"/>
                <w:szCs w:val="17"/>
                <w:lang w:val="en-GB"/>
              </w:rPr>
            </w:pPr>
            <w:r w:rsidRPr="00325AAE">
              <w:rPr>
                <w:sz w:val="17"/>
                <w:szCs w:val="17"/>
                <w:lang w:val="en-GB"/>
              </w:rPr>
              <w:t>–</w:t>
            </w:r>
          </w:p>
        </w:tc>
        <w:tc>
          <w:tcPr>
            <w:tcW w:w="1163" w:type="dxa"/>
          </w:tcPr>
          <w:p w14:paraId="72E1649E" w14:textId="6DAA44AB" w:rsidR="00FE0727" w:rsidRPr="00325AAE" w:rsidRDefault="00FE0727" w:rsidP="00FE0727">
            <w:pPr>
              <w:pStyle w:val="ExhibitText"/>
              <w:jc w:val="right"/>
              <w:rPr>
                <w:sz w:val="17"/>
                <w:szCs w:val="17"/>
                <w:lang w:val="en-GB"/>
              </w:rPr>
            </w:pPr>
            <w:r w:rsidRPr="00325AAE">
              <w:rPr>
                <w:sz w:val="17"/>
                <w:szCs w:val="17"/>
                <w:lang w:val="en-GB"/>
              </w:rPr>
              <w:t xml:space="preserve">– </w:t>
            </w:r>
          </w:p>
        </w:tc>
      </w:tr>
      <w:tr w:rsidR="00FE0727" w:rsidRPr="00325AAE" w14:paraId="299B42A2" w14:textId="73D63444" w:rsidTr="00FE0727">
        <w:trPr>
          <w:trHeight w:val="134"/>
          <w:jc w:val="center"/>
        </w:trPr>
        <w:tc>
          <w:tcPr>
            <w:tcW w:w="7015" w:type="dxa"/>
            <w:hideMark/>
          </w:tcPr>
          <w:p w14:paraId="4C69366F" w14:textId="77777777" w:rsidR="00FE0727" w:rsidRPr="00325AAE" w:rsidRDefault="00FE0727" w:rsidP="00FE0727">
            <w:pPr>
              <w:pStyle w:val="ExhibitText"/>
              <w:rPr>
                <w:spacing w:val="-4"/>
                <w:sz w:val="17"/>
                <w:szCs w:val="17"/>
                <w:lang w:val="en-GB"/>
              </w:rPr>
            </w:pPr>
            <w:r w:rsidRPr="00325AAE">
              <w:rPr>
                <w:spacing w:val="-4"/>
                <w:sz w:val="17"/>
                <w:szCs w:val="17"/>
                <w:lang w:val="en-GB"/>
              </w:rPr>
              <w:t>Common stock; $0.001 par value; 2,000,000 shares authorized as of December 31, 2016 and 2015; 161,561 and 131,425 shares issued and outstanding as of December 31, 2016 and 2015, respectively</w:t>
            </w:r>
          </w:p>
        </w:tc>
        <w:tc>
          <w:tcPr>
            <w:tcW w:w="1182" w:type="dxa"/>
            <w:noWrap/>
            <w:hideMark/>
          </w:tcPr>
          <w:p w14:paraId="4B9EE3F0" w14:textId="77777777" w:rsidR="00FE0727" w:rsidRPr="00325AAE" w:rsidRDefault="00FE0727" w:rsidP="00FE0727">
            <w:pPr>
              <w:pStyle w:val="ExhibitText"/>
              <w:jc w:val="right"/>
              <w:rPr>
                <w:sz w:val="17"/>
                <w:szCs w:val="17"/>
                <w:lang w:val="en-GB"/>
              </w:rPr>
            </w:pPr>
            <w:r w:rsidRPr="00325AAE">
              <w:rPr>
                <w:sz w:val="17"/>
                <w:szCs w:val="17"/>
                <w:lang w:val="en-GB"/>
              </w:rPr>
              <w:t xml:space="preserve">131 </w:t>
            </w:r>
          </w:p>
        </w:tc>
        <w:tc>
          <w:tcPr>
            <w:tcW w:w="1163" w:type="dxa"/>
          </w:tcPr>
          <w:p w14:paraId="1C9A5D98" w14:textId="3819415E" w:rsidR="00FE0727" w:rsidRPr="00325AAE" w:rsidRDefault="00FE0727" w:rsidP="00FE0727">
            <w:pPr>
              <w:pStyle w:val="ExhibitText"/>
              <w:jc w:val="right"/>
              <w:rPr>
                <w:sz w:val="17"/>
                <w:szCs w:val="17"/>
                <w:lang w:val="en-GB"/>
              </w:rPr>
            </w:pPr>
            <w:r w:rsidRPr="00325AAE">
              <w:rPr>
                <w:sz w:val="17"/>
                <w:szCs w:val="17"/>
                <w:lang w:val="en-GB"/>
              </w:rPr>
              <w:t xml:space="preserve">161 </w:t>
            </w:r>
          </w:p>
        </w:tc>
      </w:tr>
      <w:tr w:rsidR="00FE0727" w:rsidRPr="00325AAE" w14:paraId="61385AD8" w14:textId="47BEF50F" w:rsidTr="00FE0727">
        <w:trPr>
          <w:trHeight w:val="60"/>
          <w:jc w:val="center"/>
        </w:trPr>
        <w:tc>
          <w:tcPr>
            <w:tcW w:w="7015" w:type="dxa"/>
            <w:hideMark/>
          </w:tcPr>
          <w:p w14:paraId="44580F87" w14:textId="77777777" w:rsidR="00FE0727" w:rsidRPr="00325AAE" w:rsidRDefault="00FE0727" w:rsidP="00FE0727">
            <w:pPr>
              <w:pStyle w:val="ExhibitText"/>
              <w:rPr>
                <w:sz w:val="17"/>
                <w:szCs w:val="17"/>
                <w:lang w:val="en-GB"/>
              </w:rPr>
            </w:pPr>
            <w:r w:rsidRPr="00325AAE">
              <w:rPr>
                <w:sz w:val="17"/>
                <w:szCs w:val="17"/>
                <w:lang w:val="en-GB"/>
              </w:rPr>
              <w:t>Additional paid-in capital</w:t>
            </w:r>
          </w:p>
        </w:tc>
        <w:tc>
          <w:tcPr>
            <w:tcW w:w="1182" w:type="dxa"/>
            <w:noWrap/>
            <w:hideMark/>
          </w:tcPr>
          <w:p w14:paraId="3AC98D23" w14:textId="77777777" w:rsidR="00FE0727" w:rsidRPr="00325AAE" w:rsidRDefault="00FE0727" w:rsidP="00FE0727">
            <w:pPr>
              <w:pStyle w:val="ExhibitText"/>
              <w:jc w:val="right"/>
              <w:rPr>
                <w:sz w:val="17"/>
                <w:szCs w:val="17"/>
                <w:lang w:val="en-GB"/>
              </w:rPr>
            </w:pPr>
            <w:r w:rsidRPr="00325AAE">
              <w:rPr>
                <w:sz w:val="17"/>
                <w:szCs w:val="17"/>
                <w:lang w:val="en-GB"/>
              </w:rPr>
              <w:t xml:space="preserve">3,409,452 </w:t>
            </w:r>
          </w:p>
        </w:tc>
        <w:tc>
          <w:tcPr>
            <w:tcW w:w="1163" w:type="dxa"/>
          </w:tcPr>
          <w:p w14:paraId="0CF6D354" w14:textId="3BED86B2" w:rsidR="00FE0727" w:rsidRPr="00325AAE" w:rsidRDefault="00FE0727" w:rsidP="00FE0727">
            <w:pPr>
              <w:pStyle w:val="ExhibitText"/>
              <w:jc w:val="right"/>
              <w:rPr>
                <w:sz w:val="17"/>
                <w:szCs w:val="17"/>
                <w:lang w:val="en-GB"/>
              </w:rPr>
            </w:pPr>
            <w:r w:rsidRPr="00325AAE">
              <w:rPr>
                <w:sz w:val="17"/>
                <w:szCs w:val="17"/>
                <w:lang w:val="en-GB"/>
              </w:rPr>
              <w:t xml:space="preserve">7,773,727 </w:t>
            </w:r>
          </w:p>
        </w:tc>
      </w:tr>
      <w:tr w:rsidR="00FE0727" w:rsidRPr="00325AAE" w14:paraId="1F634669" w14:textId="490ACFB1" w:rsidTr="00FE0727">
        <w:trPr>
          <w:trHeight w:val="60"/>
          <w:jc w:val="center"/>
        </w:trPr>
        <w:tc>
          <w:tcPr>
            <w:tcW w:w="7015" w:type="dxa"/>
            <w:hideMark/>
          </w:tcPr>
          <w:p w14:paraId="4A0201AF" w14:textId="77777777" w:rsidR="00FE0727" w:rsidRPr="00325AAE" w:rsidRDefault="00FE0727" w:rsidP="00FE0727">
            <w:pPr>
              <w:pStyle w:val="ExhibitText"/>
              <w:rPr>
                <w:sz w:val="17"/>
                <w:szCs w:val="17"/>
                <w:lang w:val="en-GB"/>
              </w:rPr>
            </w:pPr>
            <w:r w:rsidRPr="00325AAE">
              <w:rPr>
                <w:sz w:val="17"/>
                <w:szCs w:val="17"/>
                <w:lang w:val="en-GB"/>
              </w:rPr>
              <w:t>Accumulated other comprehensive loss</w:t>
            </w:r>
          </w:p>
        </w:tc>
        <w:tc>
          <w:tcPr>
            <w:tcW w:w="1182" w:type="dxa"/>
            <w:noWrap/>
            <w:hideMark/>
          </w:tcPr>
          <w:p w14:paraId="1D13E5CA" w14:textId="77777777" w:rsidR="00FE0727" w:rsidRPr="00325AAE" w:rsidRDefault="00FE0727" w:rsidP="00FE0727">
            <w:pPr>
              <w:pStyle w:val="ExhibitText"/>
              <w:jc w:val="right"/>
              <w:rPr>
                <w:sz w:val="17"/>
                <w:szCs w:val="17"/>
                <w:lang w:val="en-GB"/>
              </w:rPr>
            </w:pPr>
            <w:r w:rsidRPr="00325AAE">
              <w:rPr>
                <w:sz w:val="17"/>
                <w:szCs w:val="17"/>
                <w:lang w:val="en-GB"/>
              </w:rPr>
              <w:t>(3,556)</w:t>
            </w:r>
          </w:p>
        </w:tc>
        <w:tc>
          <w:tcPr>
            <w:tcW w:w="1163" w:type="dxa"/>
          </w:tcPr>
          <w:p w14:paraId="07470368" w14:textId="22552273" w:rsidR="00FE0727" w:rsidRPr="00325AAE" w:rsidRDefault="00FE0727" w:rsidP="00FE0727">
            <w:pPr>
              <w:pStyle w:val="ExhibitText"/>
              <w:jc w:val="right"/>
              <w:rPr>
                <w:sz w:val="17"/>
                <w:szCs w:val="17"/>
                <w:lang w:val="en-GB"/>
              </w:rPr>
            </w:pPr>
            <w:r w:rsidRPr="00325AAE">
              <w:rPr>
                <w:sz w:val="17"/>
                <w:szCs w:val="17"/>
                <w:lang w:val="en-GB"/>
              </w:rPr>
              <w:t>(23,740)</w:t>
            </w:r>
          </w:p>
        </w:tc>
      </w:tr>
      <w:tr w:rsidR="00FE0727" w:rsidRPr="00325AAE" w14:paraId="4D0186E5" w14:textId="15BBE015" w:rsidTr="00FE0727">
        <w:trPr>
          <w:trHeight w:val="60"/>
          <w:jc w:val="center"/>
        </w:trPr>
        <w:tc>
          <w:tcPr>
            <w:tcW w:w="7015" w:type="dxa"/>
            <w:hideMark/>
          </w:tcPr>
          <w:p w14:paraId="3E90DD52" w14:textId="77777777" w:rsidR="00FE0727" w:rsidRPr="00325AAE" w:rsidRDefault="00FE0727" w:rsidP="00FE0727">
            <w:pPr>
              <w:pStyle w:val="ExhibitText"/>
              <w:rPr>
                <w:sz w:val="17"/>
                <w:szCs w:val="17"/>
                <w:lang w:val="en-GB"/>
              </w:rPr>
            </w:pPr>
            <w:r w:rsidRPr="00325AAE">
              <w:rPr>
                <w:sz w:val="17"/>
                <w:szCs w:val="17"/>
                <w:lang w:val="en-GB"/>
              </w:rPr>
              <w:t>Accumulated deficit</w:t>
            </w:r>
          </w:p>
        </w:tc>
        <w:tc>
          <w:tcPr>
            <w:tcW w:w="1182" w:type="dxa"/>
            <w:noWrap/>
            <w:hideMark/>
          </w:tcPr>
          <w:p w14:paraId="24B84A27" w14:textId="77777777" w:rsidR="00FE0727" w:rsidRPr="00325AAE" w:rsidRDefault="00FE0727" w:rsidP="00FE0727">
            <w:pPr>
              <w:pStyle w:val="ExhibitText"/>
              <w:jc w:val="right"/>
              <w:rPr>
                <w:sz w:val="17"/>
                <w:szCs w:val="17"/>
                <w:lang w:val="en-GB"/>
              </w:rPr>
            </w:pPr>
            <w:r w:rsidRPr="00325AAE">
              <w:rPr>
                <w:sz w:val="17"/>
                <w:szCs w:val="17"/>
                <w:lang w:val="en-GB"/>
              </w:rPr>
              <w:t>(2,322,323)</w:t>
            </w:r>
          </w:p>
        </w:tc>
        <w:tc>
          <w:tcPr>
            <w:tcW w:w="1163" w:type="dxa"/>
          </w:tcPr>
          <w:p w14:paraId="0AFFF510" w14:textId="371749B4" w:rsidR="00FE0727" w:rsidRPr="00325AAE" w:rsidRDefault="00FE0727" w:rsidP="00FE0727">
            <w:pPr>
              <w:pStyle w:val="ExhibitText"/>
              <w:jc w:val="right"/>
              <w:rPr>
                <w:sz w:val="17"/>
                <w:szCs w:val="17"/>
                <w:lang w:val="en-GB"/>
              </w:rPr>
            </w:pPr>
            <w:r w:rsidRPr="00325AAE">
              <w:rPr>
                <w:sz w:val="17"/>
                <w:szCs w:val="17"/>
                <w:lang w:val="en-GB"/>
              </w:rPr>
              <w:t>(2,997,237)</w:t>
            </w:r>
          </w:p>
        </w:tc>
      </w:tr>
      <w:tr w:rsidR="00FE0727" w:rsidRPr="00325AAE" w14:paraId="4A77B8C2" w14:textId="2E7897A8" w:rsidTr="00FE0727">
        <w:trPr>
          <w:trHeight w:val="60"/>
          <w:jc w:val="center"/>
        </w:trPr>
        <w:tc>
          <w:tcPr>
            <w:tcW w:w="7015" w:type="dxa"/>
            <w:hideMark/>
          </w:tcPr>
          <w:p w14:paraId="4EA0D908" w14:textId="2AD6C1F8" w:rsidR="00FE0727" w:rsidRPr="00325AAE" w:rsidRDefault="00FE0727" w:rsidP="00FE0727">
            <w:pPr>
              <w:pStyle w:val="ExhibitText"/>
              <w:rPr>
                <w:sz w:val="17"/>
                <w:szCs w:val="17"/>
                <w:lang w:val="en-GB"/>
              </w:rPr>
            </w:pPr>
            <w:r w:rsidRPr="00325AAE">
              <w:rPr>
                <w:sz w:val="17"/>
                <w:szCs w:val="17"/>
                <w:lang w:val="en-GB"/>
              </w:rPr>
              <w:t>Total stockholders’ equity</w:t>
            </w:r>
          </w:p>
        </w:tc>
        <w:tc>
          <w:tcPr>
            <w:tcW w:w="1182" w:type="dxa"/>
            <w:noWrap/>
            <w:hideMark/>
          </w:tcPr>
          <w:p w14:paraId="6751DC27" w14:textId="77777777" w:rsidR="00FE0727" w:rsidRPr="00325AAE" w:rsidRDefault="00FE0727" w:rsidP="00FE0727">
            <w:pPr>
              <w:pStyle w:val="ExhibitText"/>
              <w:jc w:val="right"/>
              <w:rPr>
                <w:sz w:val="17"/>
                <w:szCs w:val="17"/>
                <w:lang w:val="en-GB"/>
              </w:rPr>
            </w:pPr>
            <w:r w:rsidRPr="00325AAE">
              <w:rPr>
                <w:sz w:val="17"/>
                <w:szCs w:val="17"/>
                <w:lang w:val="en-GB"/>
              </w:rPr>
              <w:t xml:space="preserve">1,083,704 </w:t>
            </w:r>
          </w:p>
        </w:tc>
        <w:tc>
          <w:tcPr>
            <w:tcW w:w="1163" w:type="dxa"/>
          </w:tcPr>
          <w:p w14:paraId="12A99FFD" w14:textId="13735383" w:rsidR="00FE0727" w:rsidRPr="00325AAE" w:rsidRDefault="00FE0727" w:rsidP="00FE0727">
            <w:pPr>
              <w:pStyle w:val="ExhibitText"/>
              <w:jc w:val="right"/>
              <w:rPr>
                <w:sz w:val="17"/>
                <w:szCs w:val="17"/>
                <w:lang w:val="en-GB"/>
              </w:rPr>
            </w:pPr>
            <w:r w:rsidRPr="00325AAE">
              <w:rPr>
                <w:sz w:val="17"/>
                <w:szCs w:val="17"/>
                <w:lang w:val="en-GB"/>
              </w:rPr>
              <w:t xml:space="preserve">4,752,911 </w:t>
            </w:r>
          </w:p>
        </w:tc>
      </w:tr>
      <w:tr w:rsidR="00FE0727" w:rsidRPr="00325AAE" w14:paraId="3C2132CE" w14:textId="45EFE904" w:rsidTr="00FE0727">
        <w:trPr>
          <w:trHeight w:val="60"/>
          <w:jc w:val="center"/>
        </w:trPr>
        <w:tc>
          <w:tcPr>
            <w:tcW w:w="7015" w:type="dxa"/>
            <w:hideMark/>
          </w:tcPr>
          <w:p w14:paraId="6DF7B63A" w14:textId="7705D1A3" w:rsidR="00FE0727" w:rsidRPr="00325AAE" w:rsidRDefault="00FE0727" w:rsidP="00FE0727">
            <w:pPr>
              <w:pStyle w:val="ExhibitText"/>
              <w:rPr>
                <w:sz w:val="17"/>
                <w:szCs w:val="17"/>
                <w:lang w:val="en-GB"/>
              </w:rPr>
            </w:pPr>
            <w:r w:rsidRPr="00325AAE">
              <w:rPr>
                <w:sz w:val="17"/>
                <w:szCs w:val="17"/>
                <w:lang w:val="en-GB"/>
              </w:rPr>
              <w:t>Non-controlling interests in subsidiaries</w:t>
            </w:r>
          </w:p>
        </w:tc>
        <w:tc>
          <w:tcPr>
            <w:tcW w:w="1182" w:type="dxa"/>
            <w:noWrap/>
            <w:hideMark/>
          </w:tcPr>
          <w:p w14:paraId="2B06BA2E" w14:textId="0BDC086F" w:rsidR="00FE0727" w:rsidRPr="00325AAE" w:rsidRDefault="00FE0727" w:rsidP="00FE0727">
            <w:pPr>
              <w:pStyle w:val="ExhibitText"/>
              <w:jc w:val="right"/>
              <w:rPr>
                <w:sz w:val="17"/>
                <w:szCs w:val="17"/>
                <w:lang w:val="en-GB"/>
              </w:rPr>
            </w:pPr>
            <w:r w:rsidRPr="00325AAE">
              <w:rPr>
                <w:sz w:val="17"/>
                <w:szCs w:val="17"/>
                <w:lang w:val="en-GB"/>
              </w:rPr>
              <w:t>–</w:t>
            </w:r>
          </w:p>
        </w:tc>
        <w:tc>
          <w:tcPr>
            <w:tcW w:w="1163" w:type="dxa"/>
          </w:tcPr>
          <w:p w14:paraId="053D6688" w14:textId="4A578941" w:rsidR="00FE0727" w:rsidRPr="00325AAE" w:rsidRDefault="00FE0727" w:rsidP="00FE0727">
            <w:pPr>
              <w:pStyle w:val="ExhibitText"/>
              <w:jc w:val="right"/>
              <w:rPr>
                <w:sz w:val="17"/>
                <w:szCs w:val="17"/>
                <w:lang w:val="en-GB"/>
              </w:rPr>
            </w:pPr>
            <w:r w:rsidRPr="00325AAE">
              <w:rPr>
                <w:sz w:val="17"/>
                <w:szCs w:val="17"/>
                <w:lang w:val="en-GB"/>
              </w:rPr>
              <w:t xml:space="preserve">785,175 </w:t>
            </w:r>
          </w:p>
        </w:tc>
      </w:tr>
      <w:tr w:rsidR="00FE0727" w:rsidRPr="00325AAE" w14:paraId="67A1CF65" w14:textId="4F3032BE" w:rsidTr="00FE0727">
        <w:trPr>
          <w:trHeight w:val="60"/>
          <w:jc w:val="center"/>
        </w:trPr>
        <w:tc>
          <w:tcPr>
            <w:tcW w:w="7015" w:type="dxa"/>
            <w:hideMark/>
          </w:tcPr>
          <w:p w14:paraId="60A6D63C" w14:textId="77777777" w:rsidR="00FE0727" w:rsidRPr="00325AAE" w:rsidRDefault="00FE0727" w:rsidP="00FE0727">
            <w:pPr>
              <w:pStyle w:val="ExhibitText"/>
              <w:rPr>
                <w:sz w:val="17"/>
                <w:szCs w:val="17"/>
                <w:lang w:val="en-GB"/>
              </w:rPr>
            </w:pPr>
            <w:r w:rsidRPr="00325AAE">
              <w:rPr>
                <w:sz w:val="17"/>
                <w:szCs w:val="17"/>
                <w:lang w:val="en-GB"/>
              </w:rPr>
              <w:t>Total liabilities and equity</w:t>
            </w:r>
          </w:p>
        </w:tc>
        <w:tc>
          <w:tcPr>
            <w:tcW w:w="1182" w:type="dxa"/>
            <w:noWrap/>
            <w:hideMark/>
          </w:tcPr>
          <w:p w14:paraId="6CA095DA" w14:textId="38E8B647" w:rsidR="00FE0727" w:rsidRPr="00325AAE" w:rsidRDefault="00FE0727" w:rsidP="00FE0727">
            <w:pPr>
              <w:pStyle w:val="ExhibitText"/>
              <w:jc w:val="right"/>
              <w:rPr>
                <w:sz w:val="17"/>
                <w:szCs w:val="17"/>
                <w:lang w:val="en-GB"/>
              </w:rPr>
            </w:pPr>
            <w:r w:rsidRPr="00325AAE">
              <w:rPr>
                <w:sz w:val="17"/>
                <w:szCs w:val="17"/>
                <w:lang w:val="en-GB"/>
              </w:rPr>
              <w:t xml:space="preserve">  8,067,939 </w:t>
            </w:r>
          </w:p>
        </w:tc>
        <w:tc>
          <w:tcPr>
            <w:tcW w:w="1163" w:type="dxa"/>
          </w:tcPr>
          <w:p w14:paraId="6D7CA971" w14:textId="1B395317" w:rsidR="00FE0727" w:rsidRPr="00325AAE" w:rsidRDefault="00FE0727" w:rsidP="00FE0727">
            <w:pPr>
              <w:pStyle w:val="ExhibitText"/>
              <w:jc w:val="right"/>
              <w:rPr>
                <w:sz w:val="17"/>
                <w:szCs w:val="17"/>
                <w:lang w:val="en-GB"/>
              </w:rPr>
            </w:pPr>
            <w:r w:rsidRPr="00325AAE">
              <w:rPr>
                <w:sz w:val="17"/>
                <w:szCs w:val="17"/>
                <w:lang w:val="en-GB"/>
              </w:rPr>
              <w:t xml:space="preserve">22,664,076 </w:t>
            </w:r>
          </w:p>
        </w:tc>
      </w:tr>
      <w:tr w:rsidR="00FE0727" w:rsidRPr="00325AAE" w14:paraId="30D72EEF" w14:textId="2C712CB3" w:rsidTr="00FE0727">
        <w:trPr>
          <w:trHeight w:val="60"/>
          <w:jc w:val="center"/>
        </w:trPr>
        <w:tc>
          <w:tcPr>
            <w:tcW w:w="7015" w:type="dxa"/>
            <w:hideMark/>
          </w:tcPr>
          <w:p w14:paraId="459E31A1" w14:textId="77777777" w:rsidR="00FE0727" w:rsidRPr="00325AAE" w:rsidRDefault="00FE0727" w:rsidP="00FE0727">
            <w:pPr>
              <w:pStyle w:val="ExhibitText"/>
              <w:rPr>
                <w:sz w:val="17"/>
                <w:szCs w:val="17"/>
                <w:lang w:val="en-GB"/>
              </w:rPr>
            </w:pPr>
            <w:r w:rsidRPr="00325AAE">
              <w:rPr>
                <w:sz w:val="17"/>
                <w:szCs w:val="17"/>
                <w:lang w:val="en-GB"/>
              </w:rPr>
              <w:t>Solar Energy Systems [Member]</w:t>
            </w:r>
          </w:p>
        </w:tc>
        <w:tc>
          <w:tcPr>
            <w:tcW w:w="1182" w:type="dxa"/>
            <w:noWrap/>
            <w:hideMark/>
          </w:tcPr>
          <w:p w14:paraId="764ADB97" w14:textId="77777777" w:rsidR="00FE0727" w:rsidRPr="00325AAE" w:rsidRDefault="00FE0727" w:rsidP="00FE0727">
            <w:pPr>
              <w:pStyle w:val="ExhibitText"/>
              <w:jc w:val="right"/>
              <w:rPr>
                <w:sz w:val="17"/>
                <w:szCs w:val="17"/>
                <w:lang w:val="en-GB"/>
              </w:rPr>
            </w:pPr>
            <w:r w:rsidRPr="00325AAE">
              <w:rPr>
                <w:sz w:val="17"/>
                <w:szCs w:val="17"/>
                <w:lang w:val="en-GB"/>
              </w:rPr>
              <w:t> </w:t>
            </w:r>
          </w:p>
        </w:tc>
        <w:tc>
          <w:tcPr>
            <w:tcW w:w="1163" w:type="dxa"/>
          </w:tcPr>
          <w:p w14:paraId="7819CCC7" w14:textId="77777777" w:rsidR="00FE0727" w:rsidRPr="00325AAE" w:rsidRDefault="00FE0727" w:rsidP="00FE0727">
            <w:pPr>
              <w:pStyle w:val="ExhibitText"/>
              <w:jc w:val="right"/>
              <w:rPr>
                <w:sz w:val="17"/>
                <w:szCs w:val="17"/>
                <w:lang w:val="en-GB"/>
              </w:rPr>
            </w:pPr>
          </w:p>
        </w:tc>
      </w:tr>
      <w:tr w:rsidR="00FE0727" w:rsidRPr="00325AAE" w14:paraId="224BF569" w14:textId="1E834BD8" w:rsidTr="00FE0727">
        <w:trPr>
          <w:trHeight w:val="60"/>
          <w:jc w:val="center"/>
        </w:trPr>
        <w:tc>
          <w:tcPr>
            <w:tcW w:w="7015" w:type="dxa"/>
            <w:hideMark/>
          </w:tcPr>
          <w:p w14:paraId="4A306310" w14:textId="77777777" w:rsidR="00FE0727" w:rsidRPr="00325AAE" w:rsidRDefault="00FE0727" w:rsidP="00FE0727">
            <w:pPr>
              <w:pStyle w:val="ExhibitText"/>
              <w:rPr>
                <w:b/>
                <w:sz w:val="17"/>
                <w:szCs w:val="17"/>
                <w:lang w:val="en-GB"/>
              </w:rPr>
            </w:pPr>
            <w:r w:rsidRPr="00325AAE">
              <w:rPr>
                <w:b/>
                <w:sz w:val="17"/>
                <w:szCs w:val="17"/>
                <w:lang w:val="en-GB"/>
              </w:rPr>
              <w:t>Current assets</w:t>
            </w:r>
          </w:p>
        </w:tc>
        <w:tc>
          <w:tcPr>
            <w:tcW w:w="1182" w:type="dxa"/>
            <w:noWrap/>
            <w:hideMark/>
          </w:tcPr>
          <w:p w14:paraId="06D130DB" w14:textId="77777777" w:rsidR="00FE0727" w:rsidRPr="00325AAE" w:rsidRDefault="00FE0727" w:rsidP="00FE0727">
            <w:pPr>
              <w:pStyle w:val="ExhibitText"/>
              <w:jc w:val="right"/>
              <w:rPr>
                <w:b/>
                <w:sz w:val="17"/>
                <w:szCs w:val="17"/>
                <w:lang w:val="en-GB"/>
              </w:rPr>
            </w:pPr>
            <w:r w:rsidRPr="00325AAE">
              <w:rPr>
                <w:b/>
                <w:sz w:val="17"/>
                <w:szCs w:val="17"/>
                <w:lang w:val="en-GB"/>
              </w:rPr>
              <w:t> </w:t>
            </w:r>
          </w:p>
        </w:tc>
        <w:tc>
          <w:tcPr>
            <w:tcW w:w="1163" w:type="dxa"/>
          </w:tcPr>
          <w:p w14:paraId="5FF0F8E1" w14:textId="77777777" w:rsidR="00FE0727" w:rsidRPr="00325AAE" w:rsidRDefault="00FE0727" w:rsidP="00FE0727">
            <w:pPr>
              <w:pStyle w:val="ExhibitText"/>
              <w:jc w:val="right"/>
              <w:rPr>
                <w:b/>
                <w:sz w:val="17"/>
                <w:szCs w:val="17"/>
                <w:lang w:val="en-GB"/>
              </w:rPr>
            </w:pPr>
          </w:p>
        </w:tc>
      </w:tr>
      <w:tr w:rsidR="00FE0727" w:rsidRPr="00325AAE" w14:paraId="4EB22EF7" w14:textId="0825B091" w:rsidTr="00FE0727">
        <w:trPr>
          <w:trHeight w:val="60"/>
          <w:jc w:val="center"/>
        </w:trPr>
        <w:tc>
          <w:tcPr>
            <w:tcW w:w="7015" w:type="dxa"/>
            <w:hideMark/>
          </w:tcPr>
          <w:p w14:paraId="57128B4B" w14:textId="77777777" w:rsidR="00FE0727" w:rsidRPr="00325AAE" w:rsidRDefault="00FE0727" w:rsidP="00FE0727">
            <w:pPr>
              <w:pStyle w:val="ExhibitText"/>
              <w:rPr>
                <w:sz w:val="17"/>
                <w:szCs w:val="17"/>
                <w:lang w:val="en-GB"/>
              </w:rPr>
            </w:pPr>
            <w:r w:rsidRPr="00325AAE">
              <w:rPr>
                <w:sz w:val="17"/>
                <w:szCs w:val="17"/>
                <w:lang w:val="en-GB"/>
              </w:rPr>
              <w:t>Operating lease net</w:t>
            </w:r>
          </w:p>
        </w:tc>
        <w:tc>
          <w:tcPr>
            <w:tcW w:w="1182" w:type="dxa"/>
            <w:noWrap/>
            <w:hideMark/>
          </w:tcPr>
          <w:p w14:paraId="4C009DCA" w14:textId="133C4CCA" w:rsidR="00FE0727" w:rsidRPr="00325AAE" w:rsidRDefault="00FE0727" w:rsidP="00FE0727">
            <w:pPr>
              <w:pStyle w:val="ExhibitText"/>
              <w:jc w:val="right"/>
              <w:rPr>
                <w:sz w:val="17"/>
                <w:szCs w:val="17"/>
                <w:lang w:val="en-GB"/>
              </w:rPr>
            </w:pPr>
            <w:r w:rsidRPr="00325AAE">
              <w:rPr>
                <w:sz w:val="17"/>
                <w:szCs w:val="17"/>
                <w:lang w:val="en-GB"/>
              </w:rPr>
              <w:t>–</w:t>
            </w:r>
          </w:p>
        </w:tc>
        <w:tc>
          <w:tcPr>
            <w:tcW w:w="1163" w:type="dxa"/>
          </w:tcPr>
          <w:p w14:paraId="2C4251DF" w14:textId="01354FFB" w:rsidR="00FE0727" w:rsidRPr="00325AAE" w:rsidRDefault="00FE0727" w:rsidP="00FE0727">
            <w:pPr>
              <w:pStyle w:val="ExhibitText"/>
              <w:jc w:val="right"/>
              <w:rPr>
                <w:sz w:val="17"/>
                <w:szCs w:val="17"/>
                <w:lang w:val="en-GB"/>
              </w:rPr>
            </w:pPr>
            <w:r w:rsidRPr="00325AAE">
              <w:rPr>
                <w:sz w:val="17"/>
                <w:szCs w:val="17"/>
                <w:lang w:val="en-GB"/>
              </w:rPr>
              <w:t xml:space="preserve">5,919,880 </w:t>
            </w:r>
          </w:p>
        </w:tc>
      </w:tr>
      <w:tr w:rsidR="00FE0727" w:rsidRPr="00325AAE" w14:paraId="5E21CB71" w14:textId="1B1F5377" w:rsidTr="00FE0727">
        <w:trPr>
          <w:trHeight w:val="60"/>
          <w:jc w:val="center"/>
        </w:trPr>
        <w:tc>
          <w:tcPr>
            <w:tcW w:w="7015" w:type="dxa"/>
            <w:hideMark/>
          </w:tcPr>
          <w:p w14:paraId="24C098BE" w14:textId="77777777" w:rsidR="00FE0727" w:rsidRPr="00325AAE" w:rsidRDefault="00FE0727" w:rsidP="00FE0727">
            <w:pPr>
              <w:pStyle w:val="ExhibitText"/>
              <w:rPr>
                <w:sz w:val="17"/>
                <w:szCs w:val="17"/>
                <w:lang w:val="en-GB"/>
              </w:rPr>
            </w:pPr>
            <w:r w:rsidRPr="00325AAE">
              <w:rPr>
                <w:sz w:val="17"/>
                <w:szCs w:val="17"/>
                <w:lang w:val="en-GB"/>
              </w:rPr>
              <w:t>Solar Bonds [Member]</w:t>
            </w:r>
          </w:p>
        </w:tc>
        <w:tc>
          <w:tcPr>
            <w:tcW w:w="1182" w:type="dxa"/>
            <w:noWrap/>
            <w:hideMark/>
          </w:tcPr>
          <w:p w14:paraId="0AE3BEF7" w14:textId="0B5A9948" w:rsidR="00FE0727" w:rsidRPr="00325AAE" w:rsidRDefault="00FE0727" w:rsidP="00FE0727">
            <w:pPr>
              <w:pStyle w:val="ExhibitText"/>
              <w:jc w:val="right"/>
              <w:rPr>
                <w:sz w:val="17"/>
                <w:szCs w:val="17"/>
                <w:lang w:val="en-GB"/>
              </w:rPr>
            </w:pPr>
            <w:r w:rsidRPr="00325AAE">
              <w:rPr>
                <w:sz w:val="17"/>
                <w:szCs w:val="17"/>
                <w:lang w:val="en-GB"/>
              </w:rPr>
              <w:t>–</w:t>
            </w:r>
          </w:p>
        </w:tc>
        <w:tc>
          <w:tcPr>
            <w:tcW w:w="1163" w:type="dxa"/>
          </w:tcPr>
          <w:p w14:paraId="7DDEAAC5" w14:textId="754A139E" w:rsidR="00FE0727" w:rsidRPr="00325AAE" w:rsidRDefault="00FE0727" w:rsidP="00FE0727">
            <w:pPr>
              <w:pStyle w:val="ExhibitText"/>
              <w:jc w:val="right"/>
              <w:rPr>
                <w:sz w:val="17"/>
                <w:szCs w:val="17"/>
                <w:lang w:val="en-GB"/>
              </w:rPr>
            </w:pPr>
            <w:r w:rsidRPr="00325AAE">
              <w:rPr>
                <w:sz w:val="17"/>
                <w:szCs w:val="17"/>
                <w:lang w:val="en-GB"/>
              </w:rPr>
              <w:t>–</w:t>
            </w:r>
          </w:p>
        </w:tc>
      </w:tr>
      <w:tr w:rsidR="00FE0727" w:rsidRPr="00325AAE" w14:paraId="317FF214" w14:textId="5648C4AF" w:rsidTr="00FE0727">
        <w:trPr>
          <w:trHeight w:val="60"/>
          <w:jc w:val="center"/>
        </w:trPr>
        <w:tc>
          <w:tcPr>
            <w:tcW w:w="7015" w:type="dxa"/>
            <w:hideMark/>
          </w:tcPr>
          <w:p w14:paraId="5186935A" w14:textId="77777777" w:rsidR="00FE0727" w:rsidRPr="00325AAE" w:rsidRDefault="00FE0727" w:rsidP="00FE0727">
            <w:pPr>
              <w:pStyle w:val="ExhibitText"/>
              <w:rPr>
                <w:b/>
                <w:sz w:val="17"/>
                <w:szCs w:val="17"/>
                <w:lang w:val="en-GB"/>
              </w:rPr>
            </w:pPr>
            <w:r w:rsidRPr="00325AAE">
              <w:rPr>
                <w:b/>
                <w:sz w:val="17"/>
                <w:szCs w:val="17"/>
                <w:lang w:val="en-GB"/>
              </w:rPr>
              <w:t>Current liabilities</w:t>
            </w:r>
          </w:p>
        </w:tc>
        <w:tc>
          <w:tcPr>
            <w:tcW w:w="1182" w:type="dxa"/>
            <w:noWrap/>
            <w:hideMark/>
          </w:tcPr>
          <w:p w14:paraId="69F9DC29" w14:textId="77777777" w:rsidR="00FE0727" w:rsidRPr="00325AAE" w:rsidRDefault="00FE0727" w:rsidP="00FE0727">
            <w:pPr>
              <w:pStyle w:val="ExhibitText"/>
              <w:jc w:val="right"/>
              <w:rPr>
                <w:b/>
                <w:sz w:val="17"/>
                <w:szCs w:val="17"/>
                <w:lang w:val="en-GB"/>
              </w:rPr>
            </w:pPr>
            <w:r w:rsidRPr="00325AAE">
              <w:rPr>
                <w:b/>
                <w:sz w:val="17"/>
                <w:szCs w:val="17"/>
                <w:lang w:val="en-GB"/>
              </w:rPr>
              <w:t> </w:t>
            </w:r>
          </w:p>
        </w:tc>
        <w:tc>
          <w:tcPr>
            <w:tcW w:w="1163" w:type="dxa"/>
          </w:tcPr>
          <w:p w14:paraId="5531D396" w14:textId="77777777" w:rsidR="00FE0727" w:rsidRPr="00325AAE" w:rsidRDefault="00FE0727" w:rsidP="00FE0727">
            <w:pPr>
              <w:pStyle w:val="ExhibitText"/>
              <w:jc w:val="right"/>
              <w:rPr>
                <w:b/>
                <w:sz w:val="17"/>
                <w:szCs w:val="17"/>
                <w:lang w:val="en-GB"/>
              </w:rPr>
            </w:pPr>
          </w:p>
        </w:tc>
      </w:tr>
      <w:tr w:rsidR="00FE0727" w:rsidRPr="00325AAE" w14:paraId="60470858" w14:textId="7A2171BA" w:rsidTr="00FE0727">
        <w:trPr>
          <w:trHeight w:val="60"/>
          <w:jc w:val="center"/>
        </w:trPr>
        <w:tc>
          <w:tcPr>
            <w:tcW w:w="7015" w:type="dxa"/>
            <w:hideMark/>
          </w:tcPr>
          <w:p w14:paraId="1476B34C" w14:textId="77777777" w:rsidR="00FE0727" w:rsidRPr="00325AAE" w:rsidRDefault="00FE0727" w:rsidP="00FE0727">
            <w:pPr>
              <w:pStyle w:val="ExhibitText"/>
              <w:rPr>
                <w:sz w:val="17"/>
                <w:szCs w:val="17"/>
                <w:lang w:val="en-GB"/>
              </w:rPr>
            </w:pPr>
            <w:r w:rsidRPr="00325AAE">
              <w:rPr>
                <w:sz w:val="17"/>
                <w:szCs w:val="17"/>
                <w:lang w:val="en-GB"/>
              </w:rPr>
              <w:t>Current portion of solar bonds issued to related parties</w:t>
            </w:r>
          </w:p>
        </w:tc>
        <w:tc>
          <w:tcPr>
            <w:tcW w:w="1182" w:type="dxa"/>
            <w:noWrap/>
            <w:hideMark/>
          </w:tcPr>
          <w:p w14:paraId="493A6525" w14:textId="15392C3C" w:rsidR="00FE0727" w:rsidRPr="00325AAE" w:rsidRDefault="00FE0727" w:rsidP="00FE0727">
            <w:pPr>
              <w:pStyle w:val="ExhibitText"/>
              <w:jc w:val="right"/>
              <w:rPr>
                <w:sz w:val="17"/>
                <w:szCs w:val="17"/>
                <w:lang w:val="en-GB"/>
              </w:rPr>
            </w:pPr>
            <w:r w:rsidRPr="00325AAE">
              <w:rPr>
                <w:sz w:val="17"/>
                <w:szCs w:val="17"/>
                <w:lang w:val="en-GB"/>
              </w:rPr>
              <w:t> –</w:t>
            </w:r>
          </w:p>
        </w:tc>
        <w:tc>
          <w:tcPr>
            <w:tcW w:w="1163" w:type="dxa"/>
          </w:tcPr>
          <w:p w14:paraId="52F8B343" w14:textId="35DF8086" w:rsidR="00FE0727" w:rsidRPr="00325AAE" w:rsidRDefault="00FE0727" w:rsidP="00FE0727">
            <w:pPr>
              <w:pStyle w:val="ExhibitText"/>
              <w:jc w:val="right"/>
              <w:rPr>
                <w:sz w:val="17"/>
                <w:szCs w:val="17"/>
                <w:lang w:val="en-GB"/>
              </w:rPr>
            </w:pPr>
            <w:r w:rsidRPr="00325AAE">
              <w:rPr>
                <w:sz w:val="17"/>
                <w:szCs w:val="17"/>
                <w:lang w:val="en-GB"/>
              </w:rPr>
              <w:t xml:space="preserve">165,936 </w:t>
            </w:r>
          </w:p>
        </w:tc>
      </w:tr>
      <w:tr w:rsidR="00FE0727" w:rsidRPr="00325AAE" w14:paraId="3077FCD9" w14:textId="6CBE05D5" w:rsidTr="00FE0727">
        <w:trPr>
          <w:trHeight w:val="60"/>
          <w:jc w:val="center"/>
        </w:trPr>
        <w:tc>
          <w:tcPr>
            <w:tcW w:w="7015" w:type="dxa"/>
            <w:hideMark/>
          </w:tcPr>
          <w:p w14:paraId="2017F1E3" w14:textId="77777777" w:rsidR="00FE0727" w:rsidRPr="00325AAE" w:rsidRDefault="00FE0727" w:rsidP="00FE0727">
            <w:pPr>
              <w:pStyle w:val="ExhibitText"/>
              <w:rPr>
                <w:sz w:val="17"/>
                <w:szCs w:val="17"/>
                <w:lang w:val="en-GB"/>
              </w:rPr>
            </w:pPr>
            <w:r w:rsidRPr="00325AAE">
              <w:rPr>
                <w:sz w:val="17"/>
                <w:szCs w:val="17"/>
                <w:lang w:val="en-GB"/>
              </w:rPr>
              <w:t>Solar bonds issued to related parties, net of current portion</w:t>
            </w:r>
          </w:p>
        </w:tc>
        <w:tc>
          <w:tcPr>
            <w:tcW w:w="1182" w:type="dxa"/>
            <w:noWrap/>
            <w:hideMark/>
          </w:tcPr>
          <w:p w14:paraId="18DEA54B" w14:textId="5DF9EA58" w:rsidR="00FE0727" w:rsidRPr="00325AAE" w:rsidRDefault="00FE0727" w:rsidP="00FE0727">
            <w:pPr>
              <w:pStyle w:val="ExhibitText"/>
              <w:jc w:val="right"/>
              <w:rPr>
                <w:sz w:val="17"/>
                <w:szCs w:val="17"/>
                <w:lang w:val="en-GB"/>
              </w:rPr>
            </w:pPr>
            <w:r w:rsidRPr="00325AAE">
              <w:rPr>
                <w:sz w:val="17"/>
                <w:szCs w:val="17"/>
                <w:lang w:val="en-GB"/>
              </w:rPr>
              <w:t> –</w:t>
            </w:r>
          </w:p>
        </w:tc>
        <w:tc>
          <w:tcPr>
            <w:tcW w:w="1163" w:type="dxa"/>
          </w:tcPr>
          <w:p w14:paraId="25DEDE70" w14:textId="5A5257E4" w:rsidR="00FE0727" w:rsidRPr="00325AAE" w:rsidRDefault="00FE0727" w:rsidP="00FE0727">
            <w:pPr>
              <w:pStyle w:val="ExhibitText"/>
              <w:jc w:val="right"/>
              <w:rPr>
                <w:sz w:val="17"/>
                <w:szCs w:val="17"/>
                <w:lang w:val="en-GB"/>
              </w:rPr>
            </w:pPr>
            <w:r w:rsidRPr="00325AAE">
              <w:rPr>
                <w:sz w:val="17"/>
                <w:szCs w:val="17"/>
                <w:lang w:val="en-GB"/>
              </w:rPr>
              <w:t xml:space="preserve">  99,164 </w:t>
            </w:r>
          </w:p>
        </w:tc>
      </w:tr>
    </w:tbl>
    <w:p w14:paraId="7656CDE7" w14:textId="77777777" w:rsidR="00F9022B" w:rsidRPr="00A92D75" w:rsidRDefault="00F9022B" w:rsidP="00F9022B">
      <w:pPr>
        <w:pStyle w:val="BodyTextMain"/>
        <w:rPr>
          <w:lang w:val="en-GB"/>
        </w:rPr>
      </w:pPr>
    </w:p>
    <w:p w14:paraId="64B29AD7" w14:textId="1235B651" w:rsidR="00325AAE" w:rsidRDefault="00F9022B" w:rsidP="00F9022B">
      <w:pPr>
        <w:pStyle w:val="Footnote"/>
        <w:rPr>
          <w:lang w:val="en-GB"/>
        </w:rPr>
      </w:pPr>
      <w:r w:rsidRPr="00A92D75">
        <w:rPr>
          <w:lang w:val="en-GB"/>
        </w:rPr>
        <w:t xml:space="preserve">Source: </w:t>
      </w:r>
      <w:r w:rsidR="00E94B29">
        <w:t xml:space="preserve">United States Security and Exchange Commission, </w:t>
      </w:r>
      <w:r w:rsidRPr="00A92D75">
        <w:rPr>
          <w:lang w:val="en-GB"/>
        </w:rPr>
        <w:t>SEC Form 10-K</w:t>
      </w:r>
      <w:r w:rsidR="00E94B29">
        <w:rPr>
          <w:lang w:val="en-GB"/>
        </w:rPr>
        <w:t>,</w:t>
      </w:r>
      <w:r w:rsidRPr="00A92D75">
        <w:rPr>
          <w:lang w:val="en-GB"/>
        </w:rPr>
        <w:t xml:space="preserve"> </w:t>
      </w:r>
      <w:r w:rsidR="000746B9">
        <w:rPr>
          <w:lang w:val="en-GB"/>
        </w:rPr>
        <w:t xml:space="preserve">56, </w:t>
      </w:r>
      <w:r w:rsidRPr="00A92D75">
        <w:rPr>
          <w:lang w:val="en-GB"/>
        </w:rPr>
        <w:t xml:space="preserve">filed by Tesla, Inc. on </w:t>
      </w:r>
      <w:r w:rsidR="00E94B29">
        <w:rPr>
          <w:lang w:val="en-GB"/>
        </w:rPr>
        <w:t xml:space="preserve">March </w:t>
      </w:r>
      <w:r w:rsidRPr="00A92D75">
        <w:rPr>
          <w:lang w:val="en-GB"/>
        </w:rPr>
        <w:t>1</w:t>
      </w:r>
      <w:r w:rsidR="00E94B29">
        <w:rPr>
          <w:lang w:val="en-GB"/>
        </w:rPr>
        <w:t xml:space="preserve">, </w:t>
      </w:r>
      <w:r w:rsidRPr="00A92D75">
        <w:rPr>
          <w:lang w:val="en-GB"/>
        </w:rPr>
        <w:t>2017</w:t>
      </w:r>
      <w:r w:rsidR="000746B9">
        <w:rPr>
          <w:lang w:val="en-GB"/>
        </w:rPr>
        <w:t xml:space="preserve"> accessed </w:t>
      </w:r>
      <w:r w:rsidR="00DD7785">
        <w:rPr>
          <w:lang w:val="en-GB"/>
        </w:rPr>
        <w:t>August 13, 2017</w:t>
      </w:r>
      <w:r w:rsidR="000746B9">
        <w:rPr>
          <w:lang w:val="en-GB"/>
        </w:rPr>
        <w:t xml:space="preserve">, </w:t>
      </w:r>
      <w:r w:rsidR="00325AAE" w:rsidRPr="00325AAE">
        <w:rPr>
          <w:lang w:val="en-GB"/>
        </w:rPr>
        <w:t>www.sec.gov/Archives/edgar/data/1318605/000156459017003118/tsla-10k_20161231.htm#</w:t>
      </w:r>
    </w:p>
    <w:p w14:paraId="26556B5E" w14:textId="797EA251" w:rsidR="00022AC3" w:rsidRPr="00A92D75" w:rsidRDefault="000746B9" w:rsidP="00325AAE">
      <w:pPr>
        <w:pStyle w:val="Footnote"/>
        <w:rPr>
          <w:b/>
          <w:caps/>
          <w:lang w:val="en-GB"/>
        </w:rPr>
      </w:pPr>
      <w:r w:rsidRPr="000746B9">
        <w:rPr>
          <w:lang w:val="en-GB"/>
        </w:rPr>
        <w:t>Consolidated_Balance_Sheets</w:t>
      </w:r>
      <w:r w:rsidR="00F9022B" w:rsidRPr="00A92D75">
        <w:rPr>
          <w:lang w:val="en-GB"/>
        </w:rPr>
        <w:t>.</w:t>
      </w:r>
      <w:r w:rsidR="00022AC3" w:rsidRPr="00A92D75">
        <w:rPr>
          <w:lang w:val="en-GB"/>
        </w:rPr>
        <w:br w:type="page"/>
      </w:r>
    </w:p>
    <w:p w14:paraId="712D0D16" w14:textId="6DB23C33" w:rsidR="00F9022B" w:rsidRPr="00A92D75" w:rsidRDefault="00F9022B" w:rsidP="00F9022B">
      <w:pPr>
        <w:pStyle w:val="ExhibitHeading"/>
        <w:rPr>
          <w:lang w:val="en-GB"/>
        </w:rPr>
      </w:pPr>
      <w:r w:rsidRPr="00A92D75">
        <w:rPr>
          <w:lang w:val="en-GB"/>
        </w:rPr>
        <w:lastRenderedPageBreak/>
        <w:t xml:space="preserve">Exhibit 2: </w:t>
      </w:r>
      <w:r w:rsidR="00F176CF">
        <w:rPr>
          <w:lang w:val="en-GB"/>
        </w:rPr>
        <w:t xml:space="preserve">Tesla Inc.’s </w:t>
      </w:r>
      <w:r w:rsidRPr="00A92D75">
        <w:rPr>
          <w:lang w:val="en-GB"/>
        </w:rPr>
        <w:t>Consolidated Balance Sheets</w:t>
      </w:r>
      <w:r w:rsidR="00F176CF">
        <w:rPr>
          <w:lang w:val="en-GB"/>
        </w:rPr>
        <w:t>, December 31, 2016, and June 30, 2017</w:t>
      </w:r>
      <w:r w:rsidRPr="00A92D75">
        <w:rPr>
          <w:lang w:val="en-GB"/>
        </w:rPr>
        <w:t xml:space="preserve"> (Unaudited) (in </w:t>
      </w:r>
      <w:r w:rsidR="00F176CF">
        <w:rPr>
          <w:lang w:val="en-GB"/>
        </w:rPr>
        <w:t xml:space="preserve">US$ </w:t>
      </w:r>
      <w:r w:rsidRPr="00A92D75">
        <w:rPr>
          <w:lang w:val="en-GB"/>
        </w:rPr>
        <w:t>thousands)</w:t>
      </w:r>
      <w:r w:rsidR="00F176CF">
        <w:rPr>
          <w:lang w:val="en-GB"/>
        </w:rPr>
        <w:t xml:space="preserve"> </w:t>
      </w:r>
    </w:p>
    <w:p w14:paraId="685BFAA1" w14:textId="77777777" w:rsidR="00F9022B" w:rsidRPr="008D13C3" w:rsidRDefault="00F9022B" w:rsidP="00F9022B">
      <w:pPr>
        <w:pStyle w:val="Footnote"/>
        <w:rPr>
          <w:sz w:val="9"/>
          <w:lang w:val="en-GB"/>
        </w:rPr>
      </w:pPr>
    </w:p>
    <w:tbl>
      <w:tblPr>
        <w:tblStyle w:val="TableGrid"/>
        <w:tblW w:w="9320" w:type="dxa"/>
        <w:jc w:val="center"/>
        <w:tblLook w:val="04A0" w:firstRow="1" w:lastRow="0" w:firstColumn="1" w:lastColumn="0" w:noHBand="0" w:noVBand="1"/>
      </w:tblPr>
      <w:tblGrid>
        <w:gridCol w:w="7102"/>
        <w:gridCol w:w="1086"/>
        <w:gridCol w:w="1132"/>
      </w:tblGrid>
      <w:tr w:rsidR="00FE0727" w:rsidRPr="008D13C3" w14:paraId="3C2AAAE7" w14:textId="6E8B2362" w:rsidTr="00FE0727">
        <w:trPr>
          <w:trHeight w:val="60"/>
          <w:jc w:val="center"/>
        </w:trPr>
        <w:tc>
          <w:tcPr>
            <w:tcW w:w="7102" w:type="dxa"/>
            <w:hideMark/>
          </w:tcPr>
          <w:p w14:paraId="6F6E1730" w14:textId="77777777" w:rsidR="00FE0727" w:rsidRPr="008D13C3" w:rsidRDefault="00FE0727" w:rsidP="00FE0727">
            <w:pPr>
              <w:pStyle w:val="ExhibitText"/>
              <w:rPr>
                <w:b/>
                <w:sz w:val="17"/>
                <w:szCs w:val="17"/>
                <w:lang w:val="en-GB"/>
              </w:rPr>
            </w:pPr>
            <w:r w:rsidRPr="008D13C3">
              <w:rPr>
                <w:b/>
                <w:sz w:val="17"/>
                <w:szCs w:val="17"/>
                <w:lang w:val="en-GB"/>
              </w:rPr>
              <w:t> </w:t>
            </w:r>
          </w:p>
        </w:tc>
        <w:tc>
          <w:tcPr>
            <w:tcW w:w="1086" w:type="dxa"/>
            <w:hideMark/>
          </w:tcPr>
          <w:p w14:paraId="59BCD455" w14:textId="77777777" w:rsidR="00FE0727" w:rsidRPr="008D13C3" w:rsidRDefault="00FE0727" w:rsidP="00FE0727">
            <w:pPr>
              <w:pStyle w:val="ExhibitText"/>
              <w:jc w:val="center"/>
              <w:rPr>
                <w:b/>
                <w:sz w:val="17"/>
                <w:szCs w:val="17"/>
                <w:lang w:val="en-GB"/>
              </w:rPr>
            </w:pPr>
            <w:r w:rsidRPr="008D13C3">
              <w:rPr>
                <w:b/>
                <w:sz w:val="17"/>
                <w:szCs w:val="17"/>
                <w:lang w:val="en-GB"/>
              </w:rPr>
              <w:t>Dec. 31, 2016</w:t>
            </w:r>
          </w:p>
        </w:tc>
        <w:tc>
          <w:tcPr>
            <w:tcW w:w="1132" w:type="dxa"/>
          </w:tcPr>
          <w:p w14:paraId="0E7E517D" w14:textId="10241051" w:rsidR="00FE0727" w:rsidRPr="008D13C3" w:rsidRDefault="00FE0727" w:rsidP="00FE0727">
            <w:pPr>
              <w:pStyle w:val="ExhibitText"/>
              <w:jc w:val="center"/>
              <w:rPr>
                <w:b/>
                <w:sz w:val="17"/>
                <w:szCs w:val="17"/>
                <w:lang w:val="en-GB"/>
              </w:rPr>
            </w:pPr>
            <w:r w:rsidRPr="008D13C3">
              <w:rPr>
                <w:b/>
                <w:sz w:val="17"/>
                <w:szCs w:val="17"/>
                <w:lang w:val="en-GB"/>
              </w:rPr>
              <w:t>Jun. 30, 2017</w:t>
            </w:r>
          </w:p>
        </w:tc>
      </w:tr>
      <w:tr w:rsidR="00FE0727" w:rsidRPr="008D13C3" w14:paraId="6E125E9E" w14:textId="2CB7D325" w:rsidTr="00FE0727">
        <w:trPr>
          <w:trHeight w:val="60"/>
          <w:jc w:val="center"/>
        </w:trPr>
        <w:tc>
          <w:tcPr>
            <w:tcW w:w="7102" w:type="dxa"/>
            <w:hideMark/>
          </w:tcPr>
          <w:p w14:paraId="4BEB3A95" w14:textId="77777777" w:rsidR="00FE0727" w:rsidRPr="008D13C3" w:rsidRDefault="00FE0727" w:rsidP="00FE0727">
            <w:pPr>
              <w:pStyle w:val="ExhibitText"/>
              <w:rPr>
                <w:b/>
                <w:sz w:val="17"/>
                <w:szCs w:val="17"/>
                <w:lang w:val="en-GB"/>
              </w:rPr>
            </w:pPr>
            <w:r w:rsidRPr="008D13C3">
              <w:rPr>
                <w:b/>
                <w:sz w:val="17"/>
                <w:szCs w:val="17"/>
                <w:lang w:val="en-GB"/>
              </w:rPr>
              <w:t>Current assets</w:t>
            </w:r>
          </w:p>
        </w:tc>
        <w:tc>
          <w:tcPr>
            <w:tcW w:w="1086" w:type="dxa"/>
            <w:noWrap/>
            <w:hideMark/>
          </w:tcPr>
          <w:p w14:paraId="39EDACFE" w14:textId="77777777" w:rsidR="00FE0727" w:rsidRPr="008D13C3" w:rsidRDefault="00FE0727" w:rsidP="00FE0727">
            <w:pPr>
              <w:pStyle w:val="ExhibitText"/>
              <w:rPr>
                <w:b/>
                <w:sz w:val="17"/>
                <w:szCs w:val="17"/>
                <w:lang w:val="en-GB"/>
              </w:rPr>
            </w:pPr>
            <w:r w:rsidRPr="008D13C3">
              <w:rPr>
                <w:b/>
                <w:sz w:val="17"/>
                <w:szCs w:val="17"/>
                <w:lang w:val="en-GB"/>
              </w:rPr>
              <w:t> </w:t>
            </w:r>
          </w:p>
        </w:tc>
        <w:tc>
          <w:tcPr>
            <w:tcW w:w="1132" w:type="dxa"/>
          </w:tcPr>
          <w:p w14:paraId="3221E28D" w14:textId="77777777" w:rsidR="00FE0727" w:rsidRPr="008D13C3" w:rsidRDefault="00FE0727" w:rsidP="00FE0727">
            <w:pPr>
              <w:pStyle w:val="ExhibitText"/>
              <w:rPr>
                <w:b/>
                <w:sz w:val="17"/>
                <w:szCs w:val="17"/>
                <w:lang w:val="en-GB"/>
              </w:rPr>
            </w:pPr>
          </w:p>
        </w:tc>
      </w:tr>
      <w:tr w:rsidR="00FE0727" w:rsidRPr="008D13C3" w14:paraId="34480A42" w14:textId="6A368AF7" w:rsidTr="00FE0727">
        <w:trPr>
          <w:trHeight w:val="60"/>
          <w:jc w:val="center"/>
        </w:trPr>
        <w:tc>
          <w:tcPr>
            <w:tcW w:w="7102" w:type="dxa"/>
            <w:hideMark/>
          </w:tcPr>
          <w:p w14:paraId="51C4C524" w14:textId="77777777" w:rsidR="00FE0727" w:rsidRPr="008D13C3" w:rsidRDefault="00FE0727" w:rsidP="00FE0727">
            <w:pPr>
              <w:pStyle w:val="ExhibitText"/>
              <w:rPr>
                <w:sz w:val="17"/>
                <w:szCs w:val="17"/>
                <w:lang w:val="en-GB"/>
              </w:rPr>
            </w:pPr>
            <w:r w:rsidRPr="008D13C3">
              <w:rPr>
                <w:sz w:val="17"/>
                <w:szCs w:val="17"/>
                <w:lang w:val="en-GB"/>
              </w:rPr>
              <w:t>Cash and cash equivalents</w:t>
            </w:r>
          </w:p>
        </w:tc>
        <w:tc>
          <w:tcPr>
            <w:tcW w:w="1086" w:type="dxa"/>
            <w:noWrap/>
            <w:hideMark/>
          </w:tcPr>
          <w:p w14:paraId="186D4DA2" w14:textId="4B933F79" w:rsidR="00FE0727" w:rsidRPr="008D13C3" w:rsidRDefault="00FE0727" w:rsidP="00FE0727">
            <w:pPr>
              <w:pStyle w:val="ExhibitText"/>
              <w:jc w:val="right"/>
              <w:rPr>
                <w:sz w:val="17"/>
                <w:szCs w:val="17"/>
                <w:lang w:val="en-GB" w:eastAsia="en-US"/>
              </w:rPr>
            </w:pPr>
            <w:r w:rsidRPr="008D13C3">
              <w:rPr>
                <w:sz w:val="17"/>
                <w:szCs w:val="17"/>
                <w:lang w:val="en-GB"/>
              </w:rPr>
              <w:t xml:space="preserve">  3,393,216 </w:t>
            </w:r>
          </w:p>
        </w:tc>
        <w:tc>
          <w:tcPr>
            <w:tcW w:w="1132" w:type="dxa"/>
          </w:tcPr>
          <w:p w14:paraId="7F322316" w14:textId="5292BB22" w:rsidR="00FE0727" w:rsidRPr="008D13C3" w:rsidRDefault="00FE0727" w:rsidP="00FE0727">
            <w:pPr>
              <w:pStyle w:val="ExhibitText"/>
              <w:jc w:val="right"/>
              <w:rPr>
                <w:sz w:val="17"/>
                <w:szCs w:val="17"/>
                <w:lang w:val="en-GB"/>
              </w:rPr>
            </w:pPr>
            <w:r w:rsidRPr="008D13C3">
              <w:rPr>
                <w:sz w:val="17"/>
                <w:szCs w:val="17"/>
                <w:lang w:val="en-GB"/>
              </w:rPr>
              <w:t xml:space="preserve">  3,035,924 </w:t>
            </w:r>
          </w:p>
        </w:tc>
      </w:tr>
      <w:tr w:rsidR="00FE0727" w:rsidRPr="008D13C3" w14:paraId="22BA3131" w14:textId="06DB5B00" w:rsidTr="00FE0727">
        <w:trPr>
          <w:trHeight w:val="60"/>
          <w:jc w:val="center"/>
        </w:trPr>
        <w:tc>
          <w:tcPr>
            <w:tcW w:w="7102" w:type="dxa"/>
            <w:hideMark/>
          </w:tcPr>
          <w:p w14:paraId="4ABE479D" w14:textId="77777777" w:rsidR="00FE0727" w:rsidRPr="008D13C3" w:rsidRDefault="00FE0727" w:rsidP="00FE0727">
            <w:pPr>
              <w:pStyle w:val="ExhibitText"/>
              <w:rPr>
                <w:sz w:val="17"/>
                <w:szCs w:val="17"/>
                <w:lang w:val="en-GB"/>
              </w:rPr>
            </w:pPr>
            <w:r w:rsidRPr="008D13C3">
              <w:rPr>
                <w:sz w:val="17"/>
                <w:szCs w:val="17"/>
                <w:lang w:val="en-GB"/>
              </w:rPr>
              <w:t>Restricted cash</w:t>
            </w:r>
          </w:p>
        </w:tc>
        <w:tc>
          <w:tcPr>
            <w:tcW w:w="1086" w:type="dxa"/>
            <w:noWrap/>
            <w:hideMark/>
          </w:tcPr>
          <w:p w14:paraId="01227A4B"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105,519 </w:t>
            </w:r>
          </w:p>
        </w:tc>
        <w:tc>
          <w:tcPr>
            <w:tcW w:w="1132" w:type="dxa"/>
          </w:tcPr>
          <w:p w14:paraId="5951745C" w14:textId="6221DAAC" w:rsidR="00FE0727" w:rsidRPr="008D13C3" w:rsidRDefault="00FE0727" w:rsidP="00FE0727">
            <w:pPr>
              <w:pStyle w:val="ExhibitText"/>
              <w:jc w:val="right"/>
              <w:rPr>
                <w:sz w:val="17"/>
                <w:szCs w:val="17"/>
                <w:lang w:val="en-GB"/>
              </w:rPr>
            </w:pPr>
            <w:r w:rsidRPr="008D13C3">
              <w:rPr>
                <w:sz w:val="17"/>
                <w:szCs w:val="17"/>
                <w:lang w:val="en-GB"/>
              </w:rPr>
              <w:t xml:space="preserve">118,369 </w:t>
            </w:r>
          </w:p>
        </w:tc>
      </w:tr>
      <w:tr w:rsidR="00FE0727" w:rsidRPr="008D13C3" w14:paraId="63A80524" w14:textId="0BF98583" w:rsidTr="00FE0727">
        <w:trPr>
          <w:trHeight w:val="60"/>
          <w:jc w:val="center"/>
        </w:trPr>
        <w:tc>
          <w:tcPr>
            <w:tcW w:w="7102" w:type="dxa"/>
            <w:hideMark/>
          </w:tcPr>
          <w:p w14:paraId="5BFDEEA4" w14:textId="77777777" w:rsidR="00FE0727" w:rsidRPr="008D13C3" w:rsidRDefault="00FE0727" w:rsidP="00FE0727">
            <w:pPr>
              <w:pStyle w:val="ExhibitText"/>
              <w:rPr>
                <w:sz w:val="17"/>
                <w:szCs w:val="17"/>
                <w:lang w:val="en-GB"/>
              </w:rPr>
            </w:pPr>
            <w:r w:rsidRPr="008D13C3">
              <w:rPr>
                <w:sz w:val="17"/>
                <w:szCs w:val="17"/>
                <w:lang w:val="en-GB"/>
              </w:rPr>
              <w:t>Accounts receivable, net</w:t>
            </w:r>
          </w:p>
        </w:tc>
        <w:tc>
          <w:tcPr>
            <w:tcW w:w="1086" w:type="dxa"/>
            <w:noWrap/>
            <w:hideMark/>
          </w:tcPr>
          <w:p w14:paraId="4A70C7A6"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499,142 </w:t>
            </w:r>
          </w:p>
        </w:tc>
        <w:tc>
          <w:tcPr>
            <w:tcW w:w="1132" w:type="dxa"/>
          </w:tcPr>
          <w:p w14:paraId="39853061" w14:textId="47CED1B9" w:rsidR="00FE0727" w:rsidRPr="008D13C3" w:rsidRDefault="00FE0727" w:rsidP="00FE0727">
            <w:pPr>
              <w:pStyle w:val="ExhibitText"/>
              <w:jc w:val="right"/>
              <w:rPr>
                <w:sz w:val="17"/>
                <w:szCs w:val="17"/>
                <w:lang w:val="en-GB"/>
              </w:rPr>
            </w:pPr>
            <w:r w:rsidRPr="008D13C3">
              <w:rPr>
                <w:sz w:val="17"/>
                <w:szCs w:val="17"/>
                <w:lang w:val="en-GB"/>
              </w:rPr>
              <w:t xml:space="preserve">453,539 </w:t>
            </w:r>
          </w:p>
        </w:tc>
      </w:tr>
      <w:tr w:rsidR="00FE0727" w:rsidRPr="008D13C3" w14:paraId="45B264E8" w14:textId="1B476EB2" w:rsidTr="00FE0727">
        <w:trPr>
          <w:trHeight w:val="60"/>
          <w:jc w:val="center"/>
        </w:trPr>
        <w:tc>
          <w:tcPr>
            <w:tcW w:w="7102" w:type="dxa"/>
            <w:hideMark/>
          </w:tcPr>
          <w:p w14:paraId="3FDA2E1D" w14:textId="77777777" w:rsidR="00FE0727" w:rsidRPr="008D13C3" w:rsidRDefault="00FE0727" w:rsidP="00FE0727">
            <w:pPr>
              <w:pStyle w:val="ExhibitText"/>
              <w:rPr>
                <w:sz w:val="17"/>
                <w:szCs w:val="17"/>
                <w:lang w:val="en-GB"/>
              </w:rPr>
            </w:pPr>
            <w:r w:rsidRPr="008D13C3">
              <w:rPr>
                <w:sz w:val="17"/>
                <w:szCs w:val="17"/>
                <w:lang w:val="en-GB"/>
              </w:rPr>
              <w:t>Inventory</w:t>
            </w:r>
          </w:p>
        </w:tc>
        <w:tc>
          <w:tcPr>
            <w:tcW w:w="1086" w:type="dxa"/>
            <w:noWrap/>
            <w:hideMark/>
          </w:tcPr>
          <w:p w14:paraId="05F93D54"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2,067,454 </w:t>
            </w:r>
          </w:p>
        </w:tc>
        <w:tc>
          <w:tcPr>
            <w:tcW w:w="1132" w:type="dxa"/>
          </w:tcPr>
          <w:p w14:paraId="53CE4B64" w14:textId="64508CDB" w:rsidR="00FE0727" w:rsidRPr="008D13C3" w:rsidRDefault="00FE0727" w:rsidP="00FE0727">
            <w:pPr>
              <w:pStyle w:val="ExhibitText"/>
              <w:jc w:val="right"/>
              <w:rPr>
                <w:sz w:val="17"/>
                <w:szCs w:val="17"/>
                <w:lang w:val="en-GB"/>
              </w:rPr>
            </w:pPr>
            <w:r w:rsidRPr="008D13C3">
              <w:rPr>
                <w:sz w:val="17"/>
                <w:szCs w:val="17"/>
                <w:lang w:val="en-GB"/>
              </w:rPr>
              <w:t xml:space="preserve">2,438,111 </w:t>
            </w:r>
          </w:p>
        </w:tc>
      </w:tr>
      <w:tr w:rsidR="00FE0727" w:rsidRPr="008D13C3" w14:paraId="23EA38B2" w14:textId="0BF0DD7A" w:rsidTr="00FE0727">
        <w:trPr>
          <w:trHeight w:val="60"/>
          <w:jc w:val="center"/>
        </w:trPr>
        <w:tc>
          <w:tcPr>
            <w:tcW w:w="7102" w:type="dxa"/>
            <w:hideMark/>
          </w:tcPr>
          <w:p w14:paraId="67D5E442" w14:textId="77777777" w:rsidR="00FE0727" w:rsidRPr="008D13C3" w:rsidRDefault="00FE0727" w:rsidP="00FE0727">
            <w:pPr>
              <w:pStyle w:val="ExhibitText"/>
              <w:rPr>
                <w:sz w:val="17"/>
                <w:szCs w:val="17"/>
                <w:lang w:val="en-GB"/>
              </w:rPr>
            </w:pPr>
            <w:r w:rsidRPr="008D13C3">
              <w:rPr>
                <w:sz w:val="17"/>
                <w:szCs w:val="17"/>
                <w:lang w:val="en-GB"/>
              </w:rPr>
              <w:t>Prepaid expenses and other current assets</w:t>
            </w:r>
          </w:p>
        </w:tc>
        <w:tc>
          <w:tcPr>
            <w:tcW w:w="1086" w:type="dxa"/>
            <w:noWrap/>
            <w:hideMark/>
          </w:tcPr>
          <w:p w14:paraId="5FCF0470"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194,465 </w:t>
            </w:r>
          </w:p>
        </w:tc>
        <w:tc>
          <w:tcPr>
            <w:tcW w:w="1132" w:type="dxa"/>
          </w:tcPr>
          <w:p w14:paraId="28905EA9" w14:textId="0138A7EC" w:rsidR="00FE0727" w:rsidRPr="008D13C3" w:rsidRDefault="00FE0727" w:rsidP="00FE0727">
            <w:pPr>
              <w:pStyle w:val="ExhibitText"/>
              <w:jc w:val="right"/>
              <w:rPr>
                <w:sz w:val="17"/>
                <w:szCs w:val="17"/>
                <w:lang w:val="en-GB"/>
              </w:rPr>
            </w:pPr>
            <w:r w:rsidRPr="008D13C3">
              <w:rPr>
                <w:sz w:val="17"/>
                <w:szCs w:val="17"/>
                <w:lang w:val="en-GB"/>
              </w:rPr>
              <w:t xml:space="preserve">313,501 </w:t>
            </w:r>
          </w:p>
        </w:tc>
      </w:tr>
      <w:tr w:rsidR="00FE0727" w:rsidRPr="008D13C3" w14:paraId="2C63840C" w14:textId="22F56ECE" w:rsidTr="00FE0727">
        <w:trPr>
          <w:trHeight w:val="60"/>
          <w:jc w:val="center"/>
        </w:trPr>
        <w:tc>
          <w:tcPr>
            <w:tcW w:w="7102" w:type="dxa"/>
            <w:hideMark/>
          </w:tcPr>
          <w:p w14:paraId="6B8DCFBD" w14:textId="77777777" w:rsidR="00FE0727" w:rsidRPr="008D13C3" w:rsidRDefault="00FE0727" w:rsidP="00FE0727">
            <w:pPr>
              <w:pStyle w:val="ExhibitText"/>
              <w:rPr>
                <w:sz w:val="17"/>
                <w:szCs w:val="17"/>
                <w:lang w:val="en-GB"/>
              </w:rPr>
            </w:pPr>
            <w:r w:rsidRPr="008D13C3">
              <w:rPr>
                <w:sz w:val="17"/>
                <w:szCs w:val="17"/>
                <w:lang w:val="en-GB"/>
              </w:rPr>
              <w:t>Total current assets</w:t>
            </w:r>
          </w:p>
        </w:tc>
        <w:tc>
          <w:tcPr>
            <w:tcW w:w="1086" w:type="dxa"/>
            <w:noWrap/>
            <w:hideMark/>
          </w:tcPr>
          <w:p w14:paraId="308D00C6"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6,259,796 </w:t>
            </w:r>
          </w:p>
        </w:tc>
        <w:tc>
          <w:tcPr>
            <w:tcW w:w="1132" w:type="dxa"/>
          </w:tcPr>
          <w:p w14:paraId="31D26872" w14:textId="758EAD99" w:rsidR="00FE0727" w:rsidRPr="008D13C3" w:rsidRDefault="00FE0727" w:rsidP="00FE0727">
            <w:pPr>
              <w:pStyle w:val="ExhibitText"/>
              <w:jc w:val="right"/>
              <w:rPr>
                <w:sz w:val="17"/>
                <w:szCs w:val="17"/>
                <w:lang w:val="en-GB"/>
              </w:rPr>
            </w:pPr>
            <w:r w:rsidRPr="008D13C3">
              <w:rPr>
                <w:sz w:val="17"/>
                <w:szCs w:val="17"/>
                <w:lang w:val="en-GB"/>
              </w:rPr>
              <w:t xml:space="preserve">6,359,444 </w:t>
            </w:r>
          </w:p>
        </w:tc>
      </w:tr>
      <w:tr w:rsidR="00FE0727" w:rsidRPr="008D13C3" w14:paraId="5DCCFBFE" w14:textId="29232F7E" w:rsidTr="00FE0727">
        <w:trPr>
          <w:trHeight w:val="60"/>
          <w:jc w:val="center"/>
        </w:trPr>
        <w:tc>
          <w:tcPr>
            <w:tcW w:w="7102" w:type="dxa"/>
          </w:tcPr>
          <w:p w14:paraId="27F41FD4" w14:textId="37157E7C" w:rsidR="00FE0727" w:rsidRPr="008D13C3" w:rsidRDefault="00FE0727" w:rsidP="00FE0727">
            <w:pPr>
              <w:pStyle w:val="ExhibitText"/>
              <w:rPr>
                <w:sz w:val="17"/>
                <w:szCs w:val="17"/>
                <w:lang w:val="en-GB"/>
              </w:rPr>
            </w:pPr>
            <w:r w:rsidRPr="008D13C3">
              <w:rPr>
                <w:sz w:val="17"/>
                <w:szCs w:val="17"/>
                <w:lang w:val="en-GB"/>
              </w:rPr>
              <w:t>Operating lease vehicles, net</w:t>
            </w:r>
          </w:p>
        </w:tc>
        <w:tc>
          <w:tcPr>
            <w:tcW w:w="1086" w:type="dxa"/>
            <w:noWrap/>
          </w:tcPr>
          <w:p w14:paraId="4F251CC1" w14:textId="3FDE28D1" w:rsidR="00FE0727" w:rsidRPr="008D13C3" w:rsidRDefault="00FE0727" w:rsidP="00FE0727">
            <w:pPr>
              <w:pStyle w:val="ExhibitText"/>
              <w:jc w:val="right"/>
              <w:rPr>
                <w:sz w:val="17"/>
                <w:szCs w:val="17"/>
                <w:lang w:val="en-GB"/>
              </w:rPr>
            </w:pPr>
            <w:r w:rsidRPr="008D13C3">
              <w:rPr>
                <w:sz w:val="17"/>
                <w:szCs w:val="17"/>
                <w:lang w:val="en-GB"/>
              </w:rPr>
              <w:t>3,134,080</w:t>
            </w:r>
          </w:p>
        </w:tc>
        <w:tc>
          <w:tcPr>
            <w:tcW w:w="1132" w:type="dxa"/>
          </w:tcPr>
          <w:p w14:paraId="72F62F96" w14:textId="7DA6AE81" w:rsidR="00FE0727" w:rsidRPr="008D13C3" w:rsidRDefault="00FE0727" w:rsidP="00FE0727">
            <w:pPr>
              <w:pStyle w:val="ExhibitText"/>
              <w:jc w:val="right"/>
              <w:rPr>
                <w:sz w:val="17"/>
                <w:szCs w:val="17"/>
                <w:lang w:val="en-GB"/>
              </w:rPr>
            </w:pPr>
            <w:r w:rsidRPr="008D13C3">
              <w:rPr>
                <w:sz w:val="17"/>
                <w:szCs w:val="17"/>
                <w:lang w:val="en-GB"/>
              </w:rPr>
              <w:t>3,600,821</w:t>
            </w:r>
          </w:p>
        </w:tc>
      </w:tr>
      <w:tr w:rsidR="00FE0727" w:rsidRPr="008D13C3" w14:paraId="291622F1" w14:textId="0297F086" w:rsidTr="00FE0727">
        <w:trPr>
          <w:trHeight w:val="60"/>
          <w:jc w:val="center"/>
        </w:trPr>
        <w:tc>
          <w:tcPr>
            <w:tcW w:w="7102" w:type="dxa"/>
          </w:tcPr>
          <w:p w14:paraId="67C0EBC2" w14:textId="09171756" w:rsidR="00FE0727" w:rsidRPr="008D13C3" w:rsidRDefault="00FE0727" w:rsidP="00FE0727">
            <w:pPr>
              <w:pStyle w:val="ExhibitText"/>
              <w:rPr>
                <w:sz w:val="17"/>
                <w:szCs w:val="17"/>
                <w:lang w:val="en-GB"/>
              </w:rPr>
            </w:pPr>
            <w:r w:rsidRPr="008D13C3">
              <w:rPr>
                <w:sz w:val="17"/>
                <w:szCs w:val="17"/>
                <w:lang w:val="en-GB"/>
              </w:rPr>
              <w:t>Solar energy systems, leased and to be leased, net</w:t>
            </w:r>
          </w:p>
        </w:tc>
        <w:tc>
          <w:tcPr>
            <w:tcW w:w="1086" w:type="dxa"/>
            <w:noWrap/>
          </w:tcPr>
          <w:p w14:paraId="6BB20FD4" w14:textId="0E157BE5" w:rsidR="00FE0727" w:rsidRPr="008D13C3" w:rsidRDefault="00FE0727" w:rsidP="00FE0727">
            <w:pPr>
              <w:pStyle w:val="ExhibitText"/>
              <w:jc w:val="right"/>
              <w:rPr>
                <w:sz w:val="17"/>
                <w:szCs w:val="17"/>
                <w:lang w:val="en-GB"/>
              </w:rPr>
            </w:pPr>
            <w:r w:rsidRPr="008D13C3">
              <w:rPr>
                <w:sz w:val="17"/>
                <w:szCs w:val="17"/>
                <w:lang w:val="en-GB"/>
              </w:rPr>
              <w:t>5,919,880</w:t>
            </w:r>
          </w:p>
        </w:tc>
        <w:tc>
          <w:tcPr>
            <w:tcW w:w="1132" w:type="dxa"/>
          </w:tcPr>
          <w:p w14:paraId="4CA99F80" w14:textId="7E819434" w:rsidR="00FE0727" w:rsidRPr="008D13C3" w:rsidRDefault="00FE0727" w:rsidP="00FE0727">
            <w:pPr>
              <w:pStyle w:val="ExhibitText"/>
              <w:jc w:val="right"/>
              <w:rPr>
                <w:sz w:val="17"/>
                <w:szCs w:val="17"/>
                <w:lang w:val="en-GB"/>
              </w:rPr>
            </w:pPr>
            <w:r w:rsidRPr="008D13C3">
              <w:rPr>
                <w:sz w:val="17"/>
                <w:szCs w:val="17"/>
                <w:lang w:val="en-GB"/>
              </w:rPr>
              <w:t>6,218,504</w:t>
            </w:r>
          </w:p>
        </w:tc>
      </w:tr>
      <w:tr w:rsidR="00FE0727" w:rsidRPr="008D13C3" w14:paraId="63137981" w14:textId="163B89D5" w:rsidTr="00FE0727">
        <w:trPr>
          <w:trHeight w:val="60"/>
          <w:jc w:val="center"/>
        </w:trPr>
        <w:tc>
          <w:tcPr>
            <w:tcW w:w="7102" w:type="dxa"/>
            <w:hideMark/>
          </w:tcPr>
          <w:p w14:paraId="00CD8B38" w14:textId="77777777" w:rsidR="00FE0727" w:rsidRPr="008D13C3" w:rsidRDefault="00FE0727" w:rsidP="00FE0727">
            <w:pPr>
              <w:pStyle w:val="ExhibitText"/>
              <w:rPr>
                <w:sz w:val="17"/>
                <w:szCs w:val="17"/>
                <w:lang w:val="en-GB"/>
              </w:rPr>
            </w:pPr>
            <w:r w:rsidRPr="008D13C3">
              <w:rPr>
                <w:sz w:val="17"/>
                <w:szCs w:val="17"/>
                <w:lang w:val="en-GB"/>
              </w:rPr>
              <w:t>Property, plant and equipment, net</w:t>
            </w:r>
          </w:p>
        </w:tc>
        <w:tc>
          <w:tcPr>
            <w:tcW w:w="1086" w:type="dxa"/>
            <w:noWrap/>
            <w:hideMark/>
          </w:tcPr>
          <w:p w14:paraId="26248BCA"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5,982,957 </w:t>
            </w:r>
          </w:p>
        </w:tc>
        <w:tc>
          <w:tcPr>
            <w:tcW w:w="1132" w:type="dxa"/>
          </w:tcPr>
          <w:p w14:paraId="46325B1C" w14:textId="4C1F8D25" w:rsidR="00FE0727" w:rsidRPr="008D13C3" w:rsidRDefault="00FE0727" w:rsidP="00FE0727">
            <w:pPr>
              <w:pStyle w:val="ExhibitText"/>
              <w:jc w:val="right"/>
              <w:rPr>
                <w:sz w:val="17"/>
                <w:szCs w:val="17"/>
                <w:lang w:val="en-GB"/>
              </w:rPr>
            </w:pPr>
            <w:r w:rsidRPr="008D13C3">
              <w:rPr>
                <w:sz w:val="17"/>
                <w:szCs w:val="17"/>
                <w:lang w:val="en-GB"/>
              </w:rPr>
              <w:t xml:space="preserve">8,399,229 </w:t>
            </w:r>
          </w:p>
        </w:tc>
      </w:tr>
      <w:tr w:rsidR="00FE0727" w:rsidRPr="008D13C3" w14:paraId="73C80F4B" w14:textId="3CB457F6" w:rsidTr="00FE0727">
        <w:trPr>
          <w:trHeight w:val="60"/>
          <w:jc w:val="center"/>
        </w:trPr>
        <w:tc>
          <w:tcPr>
            <w:tcW w:w="7102" w:type="dxa"/>
            <w:hideMark/>
          </w:tcPr>
          <w:p w14:paraId="7D2941BF" w14:textId="77777777" w:rsidR="00FE0727" w:rsidRPr="008D13C3" w:rsidRDefault="00FE0727" w:rsidP="00FE0727">
            <w:pPr>
              <w:pStyle w:val="ExhibitText"/>
              <w:rPr>
                <w:sz w:val="17"/>
                <w:szCs w:val="17"/>
                <w:lang w:val="en-GB"/>
              </w:rPr>
            </w:pPr>
            <w:r w:rsidRPr="008D13C3">
              <w:rPr>
                <w:sz w:val="17"/>
                <w:szCs w:val="17"/>
                <w:lang w:val="en-GB"/>
              </w:rPr>
              <w:t>Intangible assets, net</w:t>
            </w:r>
          </w:p>
        </w:tc>
        <w:tc>
          <w:tcPr>
            <w:tcW w:w="1086" w:type="dxa"/>
            <w:noWrap/>
            <w:hideMark/>
          </w:tcPr>
          <w:p w14:paraId="5E15576E"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376,145 </w:t>
            </w:r>
          </w:p>
        </w:tc>
        <w:tc>
          <w:tcPr>
            <w:tcW w:w="1132" w:type="dxa"/>
          </w:tcPr>
          <w:p w14:paraId="2851AD2B" w14:textId="7176A0D3" w:rsidR="00FE0727" w:rsidRPr="008D13C3" w:rsidRDefault="00FE0727" w:rsidP="00FE0727">
            <w:pPr>
              <w:pStyle w:val="ExhibitText"/>
              <w:jc w:val="right"/>
              <w:rPr>
                <w:sz w:val="17"/>
                <w:szCs w:val="17"/>
                <w:lang w:val="en-GB"/>
              </w:rPr>
            </w:pPr>
            <w:r w:rsidRPr="008D13C3">
              <w:rPr>
                <w:sz w:val="17"/>
                <w:szCs w:val="17"/>
                <w:lang w:val="en-GB"/>
              </w:rPr>
              <w:t xml:space="preserve">380,847 </w:t>
            </w:r>
          </w:p>
        </w:tc>
      </w:tr>
      <w:tr w:rsidR="00FE0727" w:rsidRPr="008D13C3" w14:paraId="488F3222" w14:textId="11614C9D" w:rsidTr="00FE0727">
        <w:trPr>
          <w:trHeight w:val="60"/>
          <w:jc w:val="center"/>
        </w:trPr>
        <w:tc>
          <w:tcPr>
            <w:tcW w:w="7102" w:type="dxa"/>
            <w:hideMark/>
          </w:tcPr>
          <w:p w14:paraId="5CFFA582" w14:textId="77777777" w:rsidR="00FE0727" w:rsidRPr="008D13C3" w:rsidRDefault="00FE0727" w:rsidP="00FE0727">
            <w:pPr>
              <w:pStyle w:val="ExhibitText"/>
              <w:rPr>
                <w:sz w:val="17"/>
                <w:szCs w:val="17"/>
                <w:lang w:val="en-GB"/>
              </w:rPr>
            </w:pPr>
            <w:r w:rsidRPr="008D13C3">
              <w:rPr>
                <w:sz w:val="17"/>
                <w:szCs w:val="17"/>
                <w:lang w:val="en-GB"/>
              </w:rPr>
              <w:t>Goodwill</w:t>
            </w:r>
          </w:p>
        </w:tc>
        <w:tc>
          <w:tcPr>
            <w:tcW w:w="1086" w:type="dxa"/>
            <w:noWrap/>
            <w:hideMark/>
          </w:tcPr>
          <w:p w14:paraId="20827A01" w14:textId="151723B4" w:rsidR="00FE0727" w:rsidRPr="008D13C3" w:rsidRDefault="00FE0727" w:rsidP="00FE0727">
            <w:pPr>
              <w:pStyle w:val="ExhibitText"/>
              <w:jc w:val="right"/>
              <w:rPr>
                <w:sz w:val="17"/>
                <w:szCs w:val="17"/>
                <w:lang w:val="en-GB" w:eastAsia="en-US"/>
              </w:rPr>
            </w:pPr>
            <w:r w:rsidRPr="008D13C3">
              <w:rPr>
                <w:sz w:val="17"/>
                <w:szCs w:val="17"/>
                <w:lang w:val="en-GB"/>
              </w:rPr>
              <w:t> –</w:t>
            </w:r>
          </w:p>
        </w:tc>
        <w:tc>
          <w:tcPr>
            <w:tcW w:w="1132" w:type="dxa"/>
          </w:tcPr>
          <w:p w14:paraId="534B1500" w14:textId="6F04BD6E" w:rsidR="00FE0727" w:rsidRPr="008D13C3" w:rsidRDefault="00FE0727" w:rsidP="00FE0727">
            <w:pPr>
              <w:pStyle w:val="ExhibitText"/>
              <w:jc w:val="right"/>
              <w:rPr>
                <w:sz w:val="17"/>
                <w:szCs w:val="17"/>
                <w:lang w:val="en-GB"/>
              </w:rPr>
            </w:pPr>
            <w:r w:rsidRPr="008D13C3">
              <w:rPr>
                <w:sz w:val="17"/>
                <w:szCs w:val="17"/>
                <w:lang w:val="en-GB"/>
              </w:rPr>
              <w:t xml:space="preserve">43,766 </w:t>
            </w:r>
          </w:p>
        </w:tc>
      </w:tr>
      <w:tr w:rsidR="00FE0727" w:rsidRPr="008D13C3" w14:paraId="33014539" w14:textId="082C5CD5" w:rsidTr="00FE0727">
        <w:trPr>
          <w:trHeight w:val="60"/>
          <w:jc w:val="center"/>
        </w:trPr>
        <w:tc>
          <w:tcPr>
            <w:tcW w:w="7102" w:type="dxa"/>
            <w:hideMark/>
          </w:tcPr>
          <w:p w14:paraId="38831DEA" w14:textId="77777777" w:rsidR="00FE0727" w:rsidRPr="008D13C3" w:rsidRDefault="00FE0727" w:rsidP="00FE0727">
            <w:pPr>
              <w:pStyle w:val="ExhibitText"/>
              <w:rPr>
                <w:sz w:val="17"/>
                <w:szCs w:val="17"/>
                <w:lang w:val="en-GB"/>
              </w:rPr>
            </w:pPr>
            <w:r w:rsidRPr="008D13C3">
              <w:rPr>
                <w:sz w:val="17"/>
                <w:szCs w:val="17"/>
                <w:lang w:val="en-GB"/>
              </w:rPr>
              <w:t>MyPower customer notes receivable, net of current portion</w:t>
            </w:r>
          </w:p>
        </w:tc>
        <w:tc>
          <w:tcPr>
            <w:tcW w:w="1086" w:type="dxa"/>
            <w:noWrap/>
            <w:hideMark/>
          </w:tcPr>
          <w:p w14:paraId="66785FD4"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506,302 </w:t>
            </w:r>
          </w:p>
        </w:tc>
        <w:tc>
          <w:tcPr>
            <w:tcW w:w="1132" w:type="dxa"/>
          </w:tcPr>
          <w:p w14:paraId="563A7F02" w14:textId="23E40BB1" w:rsidR="00FE0727" w:rsidRPr="008D13C3" w:rsidRDefault="00FE0727" w:rsidP="00FE0727">
            <w:pPr>
              <w:pStyle w:val="ExhibitText"/>
              <w:jc w:val="right"/>
              <w:rPr>
                <w:sz w:val="17"/>
                <w:szCs w:val="17"/>
                <w:lang w:val="en-GB"/>
              </w:rPr>
            </w:pPr>
            <w:r w:rsidRPr="008D13C3">
              <w:rPr>
                <w:sz w:val="17"/>
                <w:szCs w:val="17"/>
                <w:lang w:val="en-GB"/>
              </w:rPr>
              <w:t xml:space="preserve">472,663 </w:t>
            </w:r>
          </w:p>
        </w:tc>
      </w:tr>
      <w:tr w:rsidR="00FE0727" w:rsidRPr="008D13C3" w14:paraId="224D25A9" w14:textId="68AE4432" w:rsidTr="00FE0727">
        <w:trPr>
          <w:trHeight w:val="60"/>
          <w:jc w:val="center"/>
        </w:trPr>
        <w:tc>
          <w:tcPr>
            <w:tcW w:w="7102" w:type="dxa"/>
            <w:hideMark/>
          </w:tcPr>
          <w:p w14:paraId="52C96330" w14:textId="77777777" w:rsidR="00FE0727" w:rsidRPr="008D13C3" w:rsidRDefault="00FE0727" w:rsidP="00FE0727">
            <w:pPr>
              <w:pStyle w:val="ExhibitText"/>
              <w:rPr>
                <w:sz w:val="17"/>
                <w:szCs w:val="17"/>
                <w:lang w:val="en-GB"/>
              </w:rPr>
            </w:pPr>
            <w:r w:rsidRPr="008D13C3">
              <w:rPr>
                <w:sz w:val="17"/>
                <w:szCs w:val="17"/>
                <w:lang w:val="en-GB"/>
              </w:rPr>
              <w:t>Restricted cash, net of current portion</w:t>
            </w:r>
          </w:p>
        </w:tc>
        <w:tc>
          <w:tcPr>
            <w:tcW w:w="1086" w:type="dxa"/>
            <w:noWrap/>
            <w:hideMark/>
          </w:tcPr>
          <w:p w14:paraId="77DADC95"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268,165 </w:t>
            </w:r>
          </w:p>
        </w:tc>
        <w:tc>
          <w:tcPr>
            <w:tcW w:w="1132" w:type="dxa"/>
          </w:tcPr>
          <w:p w14:paraId="0B1DDBBD" w14:textId="7EA139F9" w:rsidR="00FE0727" w:rsidRPr="008D13C3" w:rsidRDefault="00FE0727" w:rsidP="00FE0727">
            <w:pPr>
              <w:pStyle w:val="ExhibitText"/>
              <w:jc w:val="right"/>
              <w:rPr>
                <w:sz w:val="17"/>
                <w:szCs w:val="17"/>
                <w:lang w:val="en-GB"/>
              </w:rPr>
            </w:pPr>
            <w:r w:rsidRPr="008D13C3">
              <w:rPr>
                <w:sz w:val="17"/>
                <w:szCs w:val="17"/>
                <w:lang w:val="en-GB"/>
              </w:rPr>
              <w:t xml:space="preserve">358,445 </w:t>
            </w:r>
          </w:p>
        </w:tc>
      </w:tr>
      <w:tr w:rsidR="00FE0727" w:rsidRPr="008D13C3" w14:paraId="2F08D7EF" w14:textId="0C460B81" w:rsidTr="00FE0727">
        <w:trPr>
          <w:trHeight w:val="60"/>
          <w:jc w:val="center"/>
        </w:trPr>
        <w:tc>
          <w:tcPr>
            <w:tcW w:w="7102" w:type="dxa"/>
            <w:hideMark/>
          </w:tcPr>
          <w:p w14:paraId="04AA7CAB" w14:textId="77777777" w:rsidR="00FE0727" w:rsidRPr="008D13C3" w:rsidRDefault="00FE0727" w:rsidP="00FE0727">
            <w:pPr>
              <w:pStyle w:val="ExhibitText"/>
              <w:rPr>
                <w:sz w:val="17"/>
                <w:szCs w:val="17"/>
                <w:lang w:val="en-GB"/>
              </w:rPr>
            </w:pPr>
            <w:r w:rsidRPr="008D13C3">
              <w:rPr>
                <w:sz w:val="17"/>
                <w:szCs w:val="17"/>
                <w:lang w:val="en-GB"/>
              </w:rPr>
              <w:t>Other assets</w:t>
            </w:r>
          </w:p>
        </w:tc>
        <w:tc>
          <w:tcPr>
            <w:tcW w:w="1086" w:type="dxa"/>
            <w:noWrap/>
            <w:hideMark/>
          </w:tcPr>
          <w:p w14:paraId="3627C6F8"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216,751 </w:t>
            </w:r>
          </w:p>
        </w:tc>
        <w:tc>
          <w:tcPr>
            <w:tcW w:w="1132" w:type="dxa"/>
          </w:tcPr>
          <w:p w14:paraId="383705D2" w14:textId="0A39F9E6" w:rsidR="00FE0727" w:rsidRPr="008D13C3" w:rsidRDefault="00FE0727" w:rsidP="00FE0727">
            <w:pPr>
              <w:pStyle w:val="ExhibitText"/>
              <w:jc w:val="right"/>
              <w:rPr>
                <w:sz w:val="17"/>
                <w:szCs w:val="17"/>
                <w:lang w:val="en-GB"/>
              </w:rPr>
            </w:pPr>
            <w:r w:rsidRPr="008D13C3">
              <w:rPr>
                <w:sz w:val="17"/>
                <w:szCs w:val="17"/>
                <w:lang w:val="en-GB"/>
              </w:rPr>
              <w:t xml:space="preserve">209,986 </w:t>
            </w:r>
          </w:p>
        </w:tc>
      </w:tr>
      <w:tr w:rsidR="00FE0727" w:rsidRPr="008D13C3" w14:paraId="41551A47" w14:textId="4474F881" w:rsidTr="00FE0727">
        <w:trPr>
          <w:trHeight w:val="60"/>
          <w:jc w:val="center"/>
        </w:trPr>
        <w:tc>
          <w:tcPr>
            <w:tcW w:w="7102" w:type="dxa"/>
            <w:hideMark/>
          </w:tcPr>
          <w:p w14:paraId="0150BC60" w14:textId="77777777" w:rsidR="00FE0727" w:rsidRPr="008D13C3" w:rsidRDefault="00FE0727" w:rsidP="00FE0727">
            <w:pPr>
              <w:pStyle w:val="ExhibitText"/>
              <w:rPr>
                <w:sz w:val="17"/>
                <w:szCs w:val="17"/>
                <w:lang w:val="en-GB"/>
              </w:rPr>
            </w:pPr>
            <w:r w:rsidRPr="008D13C3">
              <w:rPr>
                <w:sz w:val="17"/>
                <w:szCs w:val="17"/>
                <w:lang w:val="en-GB"/>
              </w:rPr>
              <w:t>Total assets</w:t>
            </w:r>
          </w:p>
        </w:tc>
        <w:tc>
          <w:tcPr>
            <w:tcW w:w="1086" w:type="dxa"/>
            <w:noWrap/>
            <w:hideMark/>
          </w:tcPr>
          <w:p w14:paraId="61E8F6E8"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22,664,076 </w:t>
            </w:r>
          </w:p>
        </w:tc>
        <w:tc>
          <w:tcPr>
            <w:tcW w:w="1132" w:type="dxa"/>
          </w:tcPr>
          <w:p w14:paraId="0B01FD40" w14:textId="6D34AA85" w:rsidR="00FE0727" w:rsidRPr="008D13C3" w:rsidRDefault="00FE0727" w:rsidP="00FE0727">
            <w:pPr>
              <w:pStyle w:val="ExhibitText"/>
              <w:jc w:val="right"/>
              <w:rPr>
                <w:sz w:val="17"/>
                <w:szCs w:val="17"/>
                <w:lang w:val="en-GB"/>
              </w:rPr>
            </w:pPr>
            <w:r w:rsidRPr="008D13C3">
              <w:rPr>
                <w:sz w:val="17"/>
                <w:szCs w:val="17"/>
                <w:lang w:val="en-GB"/>
              </w:rPr>
              <w:t xml:space="preserve">26,043,705 </w:t>
            </w:r>
          </w:p>
        </w:tc>
      </w:tr>
      <w:tr w:rsidR="00FE0727" w:rsidRPr="008D13C3" w14:paraId="4DC5F2DF" w14:textId="5F5BFBE8" w:rsidTr="00FE0727">
        <w:trPr>
          <w:trHeight w:val="60"/>
          <w:jc w:val="center"/>
        </w:trPr>
        <w:tc>
          <w:tcPr>
            <w:tcW w:w="7102" w:type="dxa"/>
            <w:hideMark/>
          </w:tcPr>
          <w:p w14:paraId="78DDFED7" w14:textId="77777777" w:rsidR="00FE0727" w:rsidRPr="008D13C3" w:rsidRDefault="00FE0727" w:rsidP="00FE0727">
            <w:pPr>
              <w:pStyle w:val="ExhibitText"/>
              <w:rPr>
                <w:b/>
                <w:sz w:val="17"/>
                <w:szCs w:val="17"/>
                <w:lang w:val="en-GB"/>
              </w:rPr>
            </w:pPr>
            <w:r w:rsidRPr="008D13C3">
              <w:rPr>
                <w:b/>
                <w:sz w:val="17"/>
                <w:szCs w:val="17"/>
                <w:lang w:val="en-GB"/>
              </w:rPr>
              <w:t>Current liabilities</w:t>
            </w:r>
          </w:p>
        </w:tc>
        <w:tc>
          <w:tcPr>
            <w:tcW w:w="1086" w:type="dxa"/>
            <w:noWrap/>
            <w:hideMark/>
          </w:tcPr>
          <w:p w14:paraId="7BB444F2" w14:textId="77777777" w:rsidR="00FE0727" w:rsidRPr="008D13C3" w:rsidRDefault="00FE0727" w:rsidP="00FE0727">
            <w:pPr>
              <w:pStyle w:val="ExhibitText"/>
              <w:jc w:val="right"/>
              <w:rPr>
                <w:b/>
                <w:sz w:val="17"/>
                <w:szCs w:val="17"/>
                <w:lang w:val="en-GB" w:eastAsia="en-US"/>
              </w:rPr>
            </w:pPr>
            <w:r w:rsidRPr="008D13C3">
              <w:rPr>
                <w:b/>
                <w:sz w:val="17"/>
                <w:szCs w:val="17"/>
                <w:lang w:val="en-GB"/>
              </w:rPr>
              <w:t> </w:t>
            </w:r>
          </w:p>
        </w:tc>
        <w:tc>
          <w:tcPr>
            <w:tcW w:w="1132" w:type="dxa"/>
          </w:tcPr>
          <w:p w14:paraId="215F6F31" w14:textId="77777777" w:rsidR="00FE0727" w:rsidRPr="008D13C3" w:rsidRDefault="00FE0727" w:rsidP="00FE0727">
            <w:pPr>
              <w:pStyle w:val="ExhibitText"/>
              <w:jc w:val="right"/>
              <w:rPr>
                <w:b/>
                <w:sz w:val="17"/>
                <w:szCs w:val="17"/>
                <w:lang w:val="en-GB"/>
              </w:rPr>
            </w:pPr>
          </w:p>
        </w:tc>
      </w:tr>
      <w:tr w:rsidR="00FE0727" w:rsidRPr="008D13C3" w14:paraId="5BD95D90" w14:textId="1B5E58A8" w:rsidTr="00FE0727">
        <w:trPr>
          <w:trHeight w:val="60"/>
          <w:jc w:val="center"/>
        </w:trPr>
        <w:tc>
          <w:tcPr>
            <w:tcW w:w="7102" w:type="dxa"/>
            <w:hideMark/>
          </w:tcPr>
          <w:p w14:paraId="3E0331B3" w14:textId="77777777" w:rsidR="00FE0727" w:rsidRPr="008D13C3" w:rsidRDefault="00FE0727" w:rsidP="00FE0727">
            <w:pPr>
              <w:pStyle w:val="ExhibitText"/>
              <w:rPr>
                <w:sz w:val="17"/>
                <w:szCs w:val="17"/>
                <w:lang w:val="en-GB"/>
              </w:rPr>
            </w:pPr>
            <w:r w:rsidRPr="008D13C3">
              <w:rPr>
                <w:sz w:val="17"/>
                <w:szCs w:val="17"/>
                <w:lang w:val="en-GB"/>
              </w:rPr>
              <w:t>Accounts payable</w:t>
            </w:r>
          </w:p>
        </w:tc>
        <w:tc>
          <w:tcPr>
            <w:tcW w:w="1086" w:type="dxa"/>
            <w:noWrap/>
            <w:hideMark/>
          </w:tcPr>
          <w:p w14:paraId="7504FFE1"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1,860,341 </w:t>
            </w:r>
          </w:p>
        </w:tc>
        <w:tc>
          <w:tcPr>
            <w:tcW w:w="1132" w:type="dxa"/>
          </w:tcPr>
          <w:p w14:paraId="67947C6D" w14:textId="187E927A" w:rsidR="00FE0727" w:rsidRPr="008D13C3" w:rsidRDefault="00FE0727" w:rsidP="00FE0727">
            <w:pPr>
              <w:pStyle w:val="ExhibitText"/>
              <w:jc w:val="right"/>
              <w:rPr>
                <w:sz w:val="17"/>
                <w:szCs w:val="17"/>
                <w:lang w:val="en-GB"/>
              </w:rPr>
            </w:pPr>
            <w:r w:rsidRPr="008D13C3">
              <w:rPr>
                <w:sz w:val="17"/>
                <w:szCs w:val="17"/>
                <w:lang w:val="en-GB"/>
              </w:rPr>
              <w:t xml:space="preserve">2,359,316 </w:t>
            </w:r>
          </w:p>
        </w:tc>
      </w:tr>
      <w:tr w:rsidR="00FE0727" w:rsidRPr="008D13C3" w14:paraId="6D9496C5" w14:textId="66EDD9B4" w:rsidTr="00FE0727">
        <w:trPr>
          <w:trHeight w:val="60"/>
          <w:jc w:val="center"/>
        </w:trPr>
        <w:tc>
          <w:tcPr>
            <w:tcW w:w="7102" w:type="dxa"/>
            <w:hideMark/>
          </w:tcPr>
          <w:p w14:paraId="3CE73CD9" w14:textId="77777777" w:rsidR="00FE0727" w:rsidRPr="008D13C3" w:rsidRDefault="00FE0727" w:rsidP="00FE0727">
            <w:pPr>
              <w:pStyle w:val="ExhibitText"/>
              <w:rPr>
                <w:sz w:val="17"/>
                <w:szCs w:val="17"/>
                <w:lang w:val="en-GB"/>
              </w:rPr>
            </w:pPr>
            <w:r w:rsidRPr="008D13C3">
              <w:rPr>
                <w:sz w:val="17"/>
                <w:szCs w:val="17"/>
                <w:lang w:val="en-GB"/>
              </w:rPr>
              <w:t>Accrued liabilities and other</w:t>
            </w:r>
          </w:p>
        </w:tc>
        <w:tc>
          <w:tcPr>
            <w:tcW w:w="1086" w:type="dxa"/>
            <w:noWrap/>
            <w:hideMark/>
          </w:tcPr>
          <w:p w14:paraId="01171531"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1,210,028 </w:t>
            </w:r>
          </w:p>
        </w:tc>
        <w:tc>
          <w:tcPr>
            <w:tcW w:w="1132" w:type="dxa"/>
          </w:tcPr>
          <w:p w14:paraId="4203BBA7" w14:textId="4AC603FF" w:rsidR="00FE0727" w:rsidRPr="008D13C3" w:rsidRDefault="00FE0727" w:rsidP="00FE0727">
            <w:pPr>
              <w:pStyle w:val="ExhibitText"/>
              <w:jc w:val="right"/>
              <w:rPr>
                <w:sz w:val="17"/>
                <w:szCs w:val="17"/>
                <w:lang w:val="en-GB"/>
              </w:rPr>
            </w:pPr>
            <w:r w:rsidRPr="008D13C3">
              <w:rPr>
                <w:sz w:val="17"/>
                <w:szCs w:val="17"/>
                <w:lang w:val="en-GB"/>
              </w:rPr>
              <w:t xml:space="preserve">1,510,744 </w:t>
            </w:r>
          </w:p>
        </w:tc>
      </w:tr>
      <w:tr w:rsidR="00FE0727" w:rsidRPr="008D13C3" w14:paraId="12B90FC3" w14:textId="3374A9DD" w:rsidTr="00FE0727">
        <w:trPr>
          <w:trHeight w:val="60"/>
          <w:jc w:val="center"/>
        </w:trPr>
        <w:tc>
          <w:tcPr>
            <w:tcW w:w="7102" w:type="dxa"/>
            <w:hideMark/>
          </w:tcPr>
          <w:p w14:paraId="7868F694" w14:textId="77777777" w:rsidR="00FE0727" w:rsidRPr="008D13C3" w:rsidRDefault="00FE0727" w:rsidP="00FE0727">
            <w:pPr>
              <w:pStyle w:val="ExhibitText"/>
              <w:rPr>
                <w:sz w:val="17"/>
                <w:szCs w:val="17"/>
                <w:lang w:val="en-GB"/>
              </w:rPr>
            </w:pPr>
            <w:r w:rsidRPr="008D13C3">
              <w:rPr>
                <w:sz w:val="17"/>
                <w:szCs w:val="17"/>
                <w:lang w:val="en-GB"/>
              </w:rPr>
              <w:t>Deferred revenue</w:t>
            </w:r>
          </w:p>
        </w:tc>
        <w:tc>
          <w:tcPr>
            <w:tcW w:w="1086" w:type="dxa"/>
            <w:noWrap/>
            <w:hideMark/>
          </w:tcPr>
          <w:p w14:paraId="4260B2D3"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763,126 </w:t>
            </w:r>
          </w:p>
        </w:tc>
        <w:tc>
          <w:tcPr>
            <w:tcW w:w="1132" w:type="dxa"/>
          </w:tcPr>
          <w:p w14:paraId="2FD51A48" w14:textId="299437E3" w:rsidR="00FE0727" w:rsidRPr="008D13C3" w:rsidRDefault="00FE0727" w:rsidP="00FE0727">
            <w:pPr>
              <w:pStyle w:val="ExhibitText"/>
              <w:jc w:val="right"/>
              <w:rPr>
                <w:sz w:val="17"/>
                <w:szCs w:val="17"/>
                <w:lang w:val="en-GB"/>
              </w:rPr>
            </w:pPr>
            <w:r w:rsidRPr="008D13C3">
              <w:rPr>
                <w:sz w:val="17"/>
                <w:szCs w:val="17"/>
                <w:lang w:val="en-GB"/>
              </w:rPr>
              <w:t xml:space="preserve">913,398 </w:t>
            </w:r>
          </w:p>
        </w:tc>
      </w:tr>
      <w:tr w:rsidR="00FE0727" w:rsidRPr="008D13C3" w14:paraId="4C07D751" w14:textId="6BCA281B" w:rsidTr="00FE0727">
        <w:trPr>
          <w:trHeight w:val="60"/>
          <w:jc w:val="center"/>
        </w:trPr>
        <w:tc>
          <w:tcPr>
            <w:tcW w:w="7102" w:type="dxa"/>
            <w:hideMark/>
          </w:tcPr>
          <w:p w14:paraId="609E6DC6" w14:textId="77777777" w:rsidR="00FE0727" w:rsidRPr="008D13C3" w:rsidRDefault="00FE0727" w:rsidP="00FE0727">
            <w:pPr>
              <w:pStyle w:val="ExhibitText"/>
              <w:rPr>
                <w:sz w:val="17"/>
                <w:szCs w:val="17"/>
                <w:lang w:val="en-GB"/>
              </w:rPr>
            </w:pPr>
            <w:r w:rsidRPr="008D13C3">
              <w:rPr>
                <w:sz w:val="17"/>
                <w:szCs w:val="17"/>
                <w:lang w:val="en-GB"/>
              </w:rPr>
              <w:t>Resale value guarantees</w:t>
            </w:r>
          </w:p>
        </w:tc>
        <w:tc>
          <w:tcPr>
            <w:tcW w:w="1086" w:type="dxa"/>
            <w:noWrap/>
            <w:hideMark/>
          </w:tcPr>
          <w:p w14:paraId="7411055E"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179,504 </w:t>
            </w:r>
          </w:p>
        </w:tc>
        <w:tc>
          <w:tcPr>
            <w:tcW w:w="1132" w:type="dxa"/>
          </w:tcPr>
          <w:p w14:paraId="3CEEEFC6" w14:textId="3630C8AC" w:rsidR="00FE0727" w:rsidRPr="008D13C3" w:rsidRDefault="00FE0727" w:rsidP="00FE0727">
            <w:pPr>
              <w:pStyle w:val="ExhibitText"/>
              <w:jc w:val="right"/>
              <w:rPr>
                <w:sz w:val="17"/>
                <w:szCs w:val="17"/>
                <w:lang w:val="en-GB"/>
              </w:rPr>
            </w:pPr>
            <w:r w:rsidRPr="008D13C3">
              <w:rPr>
                <w:sz w:val="17"/>
                <w:szCs w:val="17"/>
                <w:lang w:val="en-GB"/>
              </w:rPr>
              <w:t xml:space="preserve">342,824 </w:t>
            </w:r>
          </w:p>
        </w:tc>
      </w:tr>
      <w:tr w:rsidR="00FE0727" w:rsidRPr="008D13C3" w14:paraId="61F5AC69" w14:textId="2E5CAA76" w:rsidTr="00FE0727">
        <w:trPr>
          <w:trHeight w:val="60"/>
          <w:jc w:val="center"/>
        </w:trPr>
        <w:tc>
          <w:tcPr>
            <w:tcW w:w="7102" w:type="dxa"/>
            <w:hideMark/>
          </w:tcPr>
          <w:p w14:paraId="63DC151E" w14:textId="77777777" w:rsidR="00FE0727" w:rsidRPr="008D13C3" w:rsidRDefault="00FE0727" w:rsidP="00FE0727">
            <w:pPr>
              <w:pStyle w:val="ExhibitText"/>
              <w:rPr>
                <w:sz w:val="17"/>
                <w:szCs w:val="17"/>
                <w:lang w:val="en-GB"/>
              </w:rPr>
            </w:pPr>
            <w:r w:rsidRPr="008D13C3">
              <w:rPr>
                <w:sz w:val="17"/>
                <w:szCs w:val="17"/>
                <w:lang w:val="en-GB"/>
              </w:rPr>
              <w:t>Customer deposits</w:t>
            </w:r>
          </w:p>
        </w:tc>
        <w:tc>
          <w:tcPr>
            <w:tcW w:w="1086" w:type="dxa"/>
            <w:noWrap/>
            <w:hideMark/>
          </w:tcPr>
          <w:p w14:paraId="12BC6EDC"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663,859 </w:t>
            </w:r>
          </w:p>
        </w:tc>
        <w:tc>
          <w:tcPr>
            <w:tcW w:w="1132" w:type="dxa"/>
          </w:tcPr>
          <w:p w14:paraId="5A783771" w14:textId="088F33B9" w:rsidR="00FE0727" w:rsidRPr="008D13C3" w:rsidRDefault="00FE0727" w:rsidP="00FE0727">
            <w:pPr>
              <w:pStyle w:val="ExhibitText"/>
              <w:jc w:val="right"/>
              <w:rPr>
                <w:sz w:val="17"/>
                <w:szCs w:val="17"/>
                <w:lang w:val="en-GB"/>
              </w:rPr>
            </w:pPr>
            <w:r w:rsidRPr="008D13C3">
              <w:rPr>
                <w:sz w:val="17"/>
                <w:szCs w:val="17"/>
                <w:lang w:val="en-GB"/>
              </w:rPr>
              <w:t xml:space="preserve">603,540 </w:t>
            </w:r>
          </w:p>
        </w:tc>
      </w:tr>
      <w:tr w:rsidR="00FE0727" w:rsidRPr="008D13C3" w14:paraId="2BE8C837" w14:textId="24456CD5" w:rsidTr="00FE0727">
        <w:trPr>
          <w:trHeight w:val="60"/>
          <w:jc w:val="center"/>
        </w:trPr>
        <w:tc>
          <w:tcPr>
            <w:tcW w:w="7102" w:type="dxa"/>
            <w:hideMark/>
          </w:tcPr>
          <w:p w14:paraId="28E424B8" w14:textId="77777777" w:rsidR="00FE0727" w:rsidRPr="008D13C3" w:rsidRDefault="00FE0727" w:rsidP="00FE0727">
            <w:pPr>
              <w:pStyle w:val="ExhibitText"/>
              <w:rPr>
                <w:sz w:val="17"/>
                <w:szCs w:val="17"/>
                <w:lang w:val="en-GB"/>
              </w:rPr>
            </w:pPr>
            <w:r w:rsidRPr="008D13C3">
              <w:rPr>
                <w:sz w:val="17"/>
                <w:szCs w:val="17"/>
                <w:lang w:val="en-GB"/>
              </w:rPr>
              <w:t>Current portion of long-term debt and capital leases</w:t>
            </w:r>
          </w:p>
        </w:tc>
        <w:tc>
          <w:tcPr>
            <w:tcW w:w="1086" w:type="dxa"/>
            <w:noWrap/>
            <w:hideMark/>
          </w:tcPr>
          <w:p w14:paraId="59F52066"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984,211 </w:t>
            </w:r>
          </w:p>
        </w:tc>
        <w:tc>
          <w:tcPr>
            <w:tcW w:w="1132" w:type="dxa"/>
          </w:tcPr>
          <w:p w14:paraId="33F684C2" w14:textId="78BFED63" w:rsidR="00FE0727" w:rsidRPr="008D13C3" w:rsidRDefault="00FE0727" w:rsidP="00FE0727">
            <w:pPr>
              <w:pStyle w:val="ExhibitText"/>
              <w:jc w:val="right"/>
              <w:rPr>
                <w:sz w:val="17"/>
                <w:szCs w:val="17"/>
                <w:lang w:val="en-GB"/>
              </w:rPr>
            </w:pPr>
            <w:r w:rsidRPr="008D13C3">
              <w:rPr>
                <w:sz w:val="17"/>
                <w:szCs w:val="17"/>
                <w:lang w:val="en-GB"/>
              </w:rPr>
              <w:t xml:space="preserve">716,533 </w:t>
            </w:r>
          </w:p>
        </w:tc>
      </w:tr>
      <w:tr w:rsidR="00FE0727" w:rsidRPr="008D13C3" w14:paraId="3D8149DB" w14:textId="6C031379" w:rsidTr="00FE0727">
        <w:trPr>
          <w:trHeight w:val="60"/>
          <w:jc w:val="center"/>
        </w:trPr>
        <w:tc>
          <w:tcPr>
            <w:tcW w:w="7102" w:type="dxa"/>
            <w:hideMark/>
          </w:tcPr>
          <w:p w14:paraId="1C55B3AF" w14:textId="77777777" w:rsidR="00FE0727" w:rsidRPr="008D13C3" w:rsidRDefault="00FE0727" w:rsidP="00FE0727">
            <w:pPr>
              <w:pStyle w:val="ExhibitText"/>
              <w:rPr>
                <w:sz w:val="17"/>
                <w:szCs w:val="17"/>
                <w:lang w:val="en-GB"/>
              </w:rPr>
            </w:pPr>
            <w:r w:rsidRPr="008D13C3">
              <w:rPr>
                <w:sz w:val="17"/>
                <w:szCs w:val="17"/>
                <w:lang w:val="en-GB"/>
              </w:rPr>
              <w:t>Total current liabilities</w:t>
            </w:r>
          </w:p>
        </w:tc>
        <w:tc>
          <w:tcPr>
            <w:tcW w:w="1086" w:type="dxa"/>
            <w:noWrap/>
            <w:hideMark/>
          </w:tcPr>
          <w:p w14:paraId="52E53078" w14:textId="5AE861DA" w:rsidR="00FE0727" w:rsidRPr="008D13C3" w:rsidRDefault="00FE0727" w:rsidP="00FE0727">
            <w:pPr>
              <w:pStyle w:val="ExhibitText"/>
              <w:jc w:val="right"/>
              <w:rPr>
                <w:sz w:val="17"/>
                <w:szCs w:val="17"/>
                <w:lang w:val="en-GB" w:eastAsia="en-US"/>
              </w:rPr>
            </w:pPr>
            <w:r w:rsidRPr="008D13C3">
              <w:rPr>
                <w:sz w:val="17"/>
                <w:szCs w:val="17"/>
                <w:lang w:val="en-GB"/>
              </w:rPr>
              <w:t xml:space="preserve">5,827,005 </w:t>
            </w:r>
          </w:p>
        </w:tc>
        <w:tc>
          <w:tcPr>
            <w:tcW w:w="1132" w:type="dxa"/>
          </w:tcPr>
          <w:p w14:paraId="78E1E62A" w14:textId="7602DD1B" w:rsidR="00FE0727" w:rsidRPr="008D13C3" w:rsidRDefault="00FE0727" w:rsidP="00FE0727">
            <w:pPr>
              <w:pStyle w:val="ExhibitText"/>
              <w:jc w:val="right"/>
              <w:rPr>
                <w:sz w:val="17"/>
                <w:szCs w:val="17"/>
                <w:lang w:val="en-GB"/>
              </w:rPr>
            </w:pPr>
            <w:r w:rsidRPr="008D13C3">
              <w:rPr>
                <w:sz w:val="17"/>
                <w:szCs w:val="17"/>
                <w:lang w:val="en-GB"/>
              </w:rPr>
              <w:t xml:space="preserve">6,546,355 </w:t>
            </w:r>
          </w:p>
        </w:tc>
      </w:tr>
      <w:tr w:rsidR="00FE0727" w:rsidRPr="008D13C3" w14:paraId="2E3F4A2A" w14:textId="54975EF3" w:rsidTr="00FE0727">
        <w:trPr>
          <w:trHeight w:val="60"/>
          <w:jc w:val="center"/>
        </w:trPr>
        <w:tc>
          <w:tcPr>
            <w:tcW w:w="7102" w:type="dxa"/>
            <w:hideMark/>
          </w:tcPr>
          <w:p w14:paraId="23FB1D5E" w14:textId="77777777" w:rsidR="00FE0727" w:rsidRPr="008D13C3" w:rsidRDefault="00FE0727" w:rsidP="00FE0727">
            <w:pPr>
              <w:pStyle w:val="ExhibitText"/>
              <w:rPr>
                <w:sz w:val="17"/>
                <w:szCs w:val="17"/>
                <w:lang w:val="en-GB"/>
              </w:rPr>
            </w:pPr>
            <w:r w:rsidRPr="008D13C3">
              <w:rPr>
                <w:sz w:val="17"/>
                <w:szCs w:val="17"/>
                <w:lang w:val="en-GB"/>
              </w:rPr>
              <w:t>Long-term debt and capital leases, net of current portion</w:t>
            </w:r>
          </w:p>
        </w:tc>
        <w:tc>
          <w:tcPr>
            <w:tcW w:w="1086" w:type="dxa"/>
            <w:noWrap/>
            <w:hideMark/>
          </w:tcPr>
          <w:p w14:paraId="3905CABB"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5,860,049 </w:t>
            </w:r>
          </w:p>
        </w:tc>
        <w:tc>
          <w:tcPr>
            <w:tcW w:w="1132" w:type="dxa"/>
          </w:tcPr>
          <w:p w14:paraId="19658A7F" w14:textId="66E9559C" w:rsidR="00FE0727" w:rsidRPr="008D13C3" w:rsidRDefault="00FE0727" w:rsidP="00FE0727">
            <w:pPr>
              <w:pStyle w:val="ExhibitText"/>
              <w:jc w:val="right"/>
              <w:rPr>
                <w:sz w:val="17"/>
                <w:szCs w:val="17"/>
                <w:lang w:val="en-GB"/>
              </w:rPr>
            </w:pPr>
            <w:r w:rsidRPr="008D13C3">
              <w:rPr>
                <w:sz w:val="17"/>
                <w:szCs w:val="17"/>
                <w:lang w:val="en-GB"/>
              </w:rPr>
              <w:t xml:space="preserve">7,122,862 </w:t>
            </w:r>
          </w:p>
        </w:tc>
      </w:tr>
      <w:tr w:rsidR="00FE0727" w:rsidRPr="008D13C3" w14:paraId="4DEB12AE" w14:textId="1984701E" w:rsidTr="00FE0727">
        <w:trPr>
          <w:trHeight w:val="60"/>
          <w:jc w:val="center"/>
        </w:trPr>
        <w:tc>
          <w:tcPr>
            <w:tcW w:w="7102" w:type="dxa"/>
          </w:tcPr>
          <w:p w14:paraId="4A1A16D1" w14:textId="79941FF2" w:rsidR="00FE0727" w:rsidRPr="008D13C3" w:rsidRDefault="00FE0727" w:rsidP="00FE0727">
            <w:pPr>
              <w:pStyle w:val="ExhibitText"/>
              <w:rPr>
                <w:sz w:val="17"/>
                <w:szCs w:val="17"/>
                <w:lang w:val="en-GB"/>
              </w:rPr>
            </w:pPr>
            <w:r w:rsidRPr="008D13C3">
              <w:rPr>
                <w:sz w:val="17"/>
                <w:szCs w:val="17"/>
                <w:lang w:val="en-GB"/>
              </w:rPr>
              <w:t>Solar bonds issued to related parties, net of current portion</w:t>
            </w:r>
          </w:p>
        </w:tc>
        <w:tc>
          <w:tcPr>
            <w:tcW w:w="1086" w:type="dxa"/>
            <w:noWrap/>
          </w:tcPr>
          <w:p w14:paraId="664DB379" w14:textId="3D275CAE" w:rsidR="00FE0727" w:rsidRPr="008D13C3" w:rsidRDefault="00FE0727" w:rsidP="00FE0727">
            <w:pPr>
              <w:pStyle w:val="ExhibitText"/>
              <w:jc w:val="right"/>
              <w:rPr>
                <w:sz w:val="17"/>
                <w:szCs w:val="17"/>
                <w:lang w:val="en-GB"/>
              </w:rPr>
            </w:pPr>
            <w:r w:rsidRPr="008D13C3">
              <w:rPr>
                <w:sz w:val="17"/>
                <w:szCs w:val="17"/>
                <w:lang w:val="en-GB"/>
              </w:rPr>
              <w:t>99,164</w:t>
            </w:r>
          </w:p>
        </w:tc>
        <w:tc>
          <w:tcPr>
            <w:tcW w:w="1132" w:type="dxa"/>
          </w:tcPr>
          <w:p w14:paraId="08A4063D" w14:textId="208624CE" w:rsidR="00FE0727" w:rsidRPr="008D13C3" w:rsidRDefault="00FE0727" w:rsidP="00FE0727">
            <w:pPr>
              <w:pStyle w:val="ExhibitText"/>
              <w:jc w:val="right"/>
              <w:rPr>
                <w:sz w:val="17"/>
                <w:szCs w:val="17"/>
                <w:lang w:val="en-GB"/>
              </w:rPr>
            </w:pPr>
            <w:r w:rsidRPr="008D13C3">
              <w:rPr>
                <w:sz w:val="17"/>
                <w:szCs w:val="17"/>
                <w:lang w:val="en-GB"/>
              </w:rPr>
              <w:t>100</w:t>
            </w:r>
          </w:p>
        </w:tc>
      </w:tr>
      <w:tr w:rsidR="00FE0727" w:rsidRPr="008D13C3" w14:paraId="678DE4AC" w14:textId="5D24B20A" w:rsidTr="00FE0727">
        <w:trPr>
          <w:trHeight w:val="60"/>
          <w:jc w:val="center"/>
        </w:trPr>
        <w:tc>
          <w:tcPr>
            <w:tcW w:w="7102" w:type="dxa"/>
            <w:hideMark/>
          </w:tcPr>
          <w:p w14:paraId="4D0D0C1E" w14:textId="77777777" w:rsidR="00FE0727" w:rsidRPr="008D13C3" w:rsidRDefault="00FE0727" w:rsidP="00FE0727">
            <w:pPr>
              <w:pStyle w:val="ExhibitText"/>
              <w:rPr>
                <w:sz w:val="17"/>
                <w:szCs w:val="17"/>
                <w:lang w:val="en-GB"/>
              </w:rPr>
            </w:pPr>
            <w:r w:rsidRPr="008D13C3">
              <w:rPr>
                <w:sz w:val="17"/>
                <w:szCs w:val="17"/>
                <w:lang w:val="en-GB"/>
              </w:rPr>
              <w:t>Convertible senior notes issued to related parties</w:t>
            </w:r>
          </w:p>
        </w:tc>
        <w:tc>
          <w:tcPr>
            <w:tcW w:w="1086" w:type="dxa"/>
            <w:noWrap/>
            <w:hideMark/>
          </w:tcPr>
          <w:p w14:paraId="18614B2E"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10,287 </w:t>
            </w:r>
          </w:p>
        </w:tc>
        <w:tc>
          <w:tcPr>
            <w:tcW w:w="1132" w:type="dxa"/>
          </w:tcPr>
          <w:p w14:paraId="09C24093" w14:textId="553EB239" w:rsidR="00FE0727" w:rsidRPr="008D13C3" w:rsidRDefault="00FE0727" w:rsidP="00FE0727">
            <w:pPr>
              <w:pStyle w:val="ExhibitText"/>
              <w:jc w:val="right"/>
              <w:rPr>
                <w:sz w:val="17"/>
                <w:szCs w:val="17"/>
                <w:lang w:val="en-GB"/>
              </w:rPr>
            </w:pPr>
            <w:r w:rsidRPr="008D13C3">
              <w:rPr>
                <w:sz w:val="17"/>
                <w:szCs w:val="17"/>
                <w:lang w:val="en-GB"/>
              </w:rPr>
              <w:t xml:space="preserve">2,444 </w:t>
            </w:r>
          </w:p>
        </w:tc>
      </w:tr>
      <w:tr w:rsidR="00FE0727" w:rsidRPr="008D13C3" w14:paraId="63CCBB4D" w14:textId="17213201" w:rsidTr="00FE0727">
        <w:trPr>
          <w:trHeight w:val="60"/>
          <w:jc w:val="center"/>
        </w:trPr>
        <w:tc>
          <w:tcPr>
            <w:tcW w:w="7102" w:type="dxa"/>
            <w:hideMark/>
          </w:tcPr>
          <w:p w14:paraId="498A86D5" w14:textId="77777777" w:rsidR="00FE0727" w:rsidRPr="008D13C3" w:rsidRDefault="00FE0727" w:rsidP="00FE0727">
            <w:pPr>
              <w:pStyle w:val="ExhibitText"/>
              <w:rPr>
                <w:sz w:val="17"/>
                <w:szCs w:val="17"/>
                <w:lang w:val="en-GB"/>
              </w:rPr>
            </w:pPr>
            <w:r w:rsidRPr="008D13C3">
              <w:rPr>
                <w:sz w:val="17"/>
                <w:szCs w:val="17"/>
                <w:lang w:val="en-GB"/>
              </w:rPr>
              <w:t>Deferred revenue, net of current portion</w:t>
            </w:r>
          </w:p>
        </w:tc>
        <w:tc>
          <w:tcPr>
            <w:tcW w:w="1086" w:type="dxa"/>
            <w:noWrap/>
            <w:hideMark/>
          </w:tcPr>
          <w:p w14:paraId="1A48540A"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851,790 </w:t>
            </w:r>
          </w:p>
        </w:tc>
        <w:tc>
          <w:tcPr>
            <w:tcW w:w="1132" w:type="dxa"/>
          </w:tcPr>
          <w:p w14:paraId="704945A0" w14:textId="6148282B" w:rsidR="00FE0727" w:rsidRPr="008D13C3" w:rsidRDefault="00FE0727" w:rsidP="00FE0727">
            <w:pPr>
              <w:pStyle w:val="ExhibitText"/>
              <w:jc w:val="right"/>
              <w:rPr>
                <w:sz w:val="17"/>
                <w:szCs w:val="17"/>
                <w:lang w:val="en-GB"/>
              </w:rPr>
            </w:pPr>
            <w:r w:rsidRPr="008D13C3">
              <w:rPr>
                <w:sz w:val="17"/>
                <w:szCs w:val="17"/>
                <w:lang w:val="en-GB"/>
              </w:rPr>
              <w:t xml:space="preserve">1,035,579 </w:t>
            </w:r>
          </w:p>
        </w:tc>
      </w:tr>
      <w:tr w:rsidR="00FE0727" w:rsidRPr="008D13C3" w14:paraId="7CD12D38" w14:textId="50ABF968" w:rsidTr="00FE0727">
        <w:trPr>
          <w:trHeight w:val="60"/>
          <w:jc w:val="center"/>
        </w:trPr>
        <w:tc>
          <w:tcPr>
            <w:tcW w:w="7102" w:type="dxa"/>
            <w:hideMark/>
          </w:tcPr>
          <w:p w14:paraId="403A779A" w14:textId="77777777" w:rsidR="00FE0727" w:rsidRPr="008D13C3" w:rsidRDefault="00FE0727" w:rsidP="00FE0727">
            <w:pPr>
              <w:pStyle w:val="ExhibitText"/>
              <w:rPr>
                <w:sz w:val="17"/>
                <w:szCs w:val="17"/>
                <w:lang w:val="en-GB"/>
              </w:rPr>
            </w:pPr>
            <w:r w:rsidRPr="008D13C3">
              <w:rPr>
                <w:sz w:val="17"/>
                <w:szCs w:val="17"/>
                <w:lang w:val="en-GB"/>
              </w:rPr>
              <w:t>Resale value guarantees, net of current portion</w:t>
            </w:r>
          </w:p>
        </w:tc>
        <w:tc>
          <w:tcPr>
            <w:tcW w:w="1086" w:type="dxa"/>
            <w:noWrap/>
            <w:hideMark/>
          </w:tcPr>
          <w:p w14:paraId="2D003A81"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2,210,423 </w:t>
            </w:r>
          </w:p>
        </w:tc>
        <w:tc>
          <w:tcPr>
            <w:tcW w:w="1132" w:type="dxa"/>
          </w:tcPr>
          <w:p w14:paraId="2E1A09EC" w14:textId="2839F64E" w:rsidR="00FE0727" w:rsidRPr="008D13C3" w:rsidRDefault="00FE0727" w:rsidP="00FE0727">
            <w:pPr>
              <w:pStyle w:val="ExhibitText"/>
              <w:jc w:val="right"/>
              <w:rPr>
                <w:sz w:val="17"/>
                <w:szCs w:val="17"/>
                <w:lang w:val="en-GB"/>
              </w:rPr>
            </w:pPr>
            <w:r w:rsidRPr="008D13C3">
              <w:rPr>
                <w:sz w:val="17"/>
                <w:szCs w:val="17"/>
                <w:lang w:val="en-GB"/>
              </w:rPr>
              <w:t xml:space="preserve">2,493,024 </w:t>
            </w:r>
          </w:p>
        </w:tc>
      </w:tr>
      <w:tr w:rsidR="00FE0727" w:rsidRPr="008D13C3" w14:paraId="29E7855E" w14:textId="410B023A" w:rsidTr="00FE0727">
        <w:trPr>
          <w:trHeight w:val="60"/>
          <w:jc w:val="center"/>
        </w:trPr>
        <w:tc>
          <w:tcPr>
            <w:tcW w:w="7102" w:type="dxa"/>
            <w:hideMark/>
          </w:tcPr>
          <w:p w14:paraId="7FC0ACAF" w14:textId="77777777" w:rsidR="00FE0727" w:rsidRPr="008D13C3" w:rsidRDefault="00FE0727" w:rsidP="00FE0727">
            <w:pPr>
              <w:pStyle w:val="ExhibitText"/>
              <w:rPr>
                <w:sz w:val="17"/>
                <w:szCs w:val="17"/>
                <w:lang w:val="en-GB"/>
              </w:rPr>
            </w:pPr>
            <w:r w:rsidRPr="008D13C3">
              <w:rPr>
                <w:sz w:val="17"/>
                <w:szCs w:val="17"/>
                <w:lang w:val="en-GB"/>
              </w:rPr>
              <w:t>Other long-term liabilities</w:t>
            </w:r>
          </w:p>
        </w:tc>
        <w:tc>
          <w:tcPr>
            <w:tcW w:w="1086" w:type="dxa"/>
            <w:noWrap/>
            <w:hideMark/>
          </w:tcPr>
          <w:p w14:paraId="2BB06A37"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1,891,449 </w:t>
            </w:r>
          </w:p>
        </w:tc>
        <w:tc>
          <w:tcPr>
            <w:tcW w:w="1132" w:type="dxa"/>
          </w:tcPr>
          <w:p w14:paraId="45AA87CA" w14:textId="52AACB67" w:rsidR="00FE0727" w:rsidRPr="008D13C3" w:rsidRDefault="00FE0727" w:rsidP="00FE0727">
            <w:pPr>
              <w:pStyle w:val="ExhibitText"/>
              <w:jc w:val="right"/>
              <w:rPr>
                <w:sz w:val="17"/>
                <w:szCs w:val="17"/>
                <w:lang w:val="en-GB"/>
              </w:rPr>
            </w:pPr>
            <w:r w:rsidRPr="008D13C3">
              <w:rPr>
                <w:sz w:val="17"/>
                <w:szCs w:val="17"/>
                <w:lang w:val="en-GB"/>
              </w:rPr>
              <w:t xml:space="preserve">2,259,538 </w:t>
            </w:r>
          </w:p>
        </w:tc>
      </w:tr>
      <w:tr w:rsidR="00FE0727" w:rsidRPr="008D13C3" w14:paraId="4706B57B" w14:textId="56525CA8" w:rsidTr="00FE0727">
        <w:trPr>
          <w:trHeight w:val="60"/>
          <w:jc w:val="center"/>
        </w:trPr>
        <w:tc>
          <w:tcPr>
            <w:tcW w:w="7102" w:type="dxa"/>
            <w:hideMark/>
          </w:tcPr>
          <w:p w14:paraId="31F42245" w14:textId="77777777" w:rsidR="00FE0727" w:rsidRPr="008D13C3" w:rsidRDefault="00FE0727" w:rsidP="00FE0727">
            <w:pPr>
              <w:pStyle w:val="ExhibitText"/>
              <w:rPr>
                <w:sz w:val="17"/>
                <w:szCs w:val="17"/>
                <w:lang w:val="en-GB"/>
              </w:rPr>
            </w:pPr>
            <w:r w:rsidRPr="008D13C3">
              <w:rPr>
                <w:sz w:val="17"/>
                <w:szCs w:val="17"/>
                <w:lang w:val="en-GB"/>
              </w:rPr>
              <w:t>Total liabilities</w:t>
            </w:r>
          </w:p>
        </w:tc>
        <w:tc>
          <w:tcPr>
            <w:tcW w:w="1086" w:type="dxa"/>
            <w:noWrap/>
            <w:hideMark/>
          </w:tcPr>
          <w:p w14:paraId="3393C559"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16,750,167 </w:t>
            </w:r>
          </w:p>
        </w:tc>
        <w:tc>
          <w:tcPr>
            <w:tcW w:w="1132" w:type="dxa"/>
          </w:tcPr>
          <w:p w14:paraId="334FEE37" w14:textId="7D4A09AD" w:rsidR="00FE0727" w:rsidRPr="008D13C3" w:rsidRDefault="00FE0727" w:rsidP="00FE0727">
            <w:pPr>
              <w:pStyle w:val="ExhibitText"/>
              <w:jc w:val="right"/>
              <w:rPr>
                <w:sz w:val="17"/>
                <w:szCs w:val="17"/>
                <w:lang w:val="en-GB"/>
              </w:rPr>
            </w:pPr>
            <w:r w:rsidRPr="008D13C3">
              <w:rPr>
                <w:sz w:val="17"/>
                <w:szCs w:val="17"/>
                <w:lang w:val="en-GB"/>
              </w:rPr>
              <w:t xml:space="preserve">19,459,902 </w:t>
            </w:r>
          </w:p>
        </w:tc>
      </w:tr>
      <w:tr w:rsidR="00FE0727" w:rsidRPr="008D13C3" w14:paraId="260D7A0F" w14:textId="59443AF8" w:rsidTr="00FE0727">
        <w:trPr>
          <w:trHeight w:val="60"/>
          <w:jc w:val="center"/>
        </w:trPr>
        <w:tc>
          <w:tcPr>
            <w:tcW w:w="7102" w:type="dxa"/>
            <w:hideMark/>
          </w:tcPr>
          <w:p w14:paraId="676D1AD4" w14:textId="77777777" w:rsidR="00FE0727" w:rsidRPr="008D13C3" w:rsidRDefault="00FE0727" w:rsidP="00FE0727">
            <w:pPr>
              <w:pStyle w:val="ExhibitText"/>
              <w:rPr>
                <w:sz w:val="17"/>
                <w:szCs w:val="17"/>
                <w:lang w:val="en-GB"/>
              </w:rPr>
            </w:pPr>
            <w:r w:rsidRPr="008D13C3">
              <w:rPr>
                <w:sz w:val="17"/>
                <w:szCs w:val="17"/>
                <w:lang w:val="en-GB"/>
              </w:rPr>
              <w:t>Commitments and contingencies (Note 14)</w:t>
            </w:r>
          </w:p>
        </w:tc>
        <w:tc>
          <w:tcPr>
            <w:tcW w:w="1086" w:type="dxa"/>
            <w:hideMark/>
          </w:tcPr>
          <w:p w14:paraId="44FC81D4"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 </w:t>
            </w:r>
          </w:p>
        </w:tc>
        <w:tc>
          <w:tcPr>
            <w:tcW w:w="1132" w:type="dxa"/>
          </w:tcPr>
          <w:p w14:paraId="6F30C00F" w14:textId="1C623B32" w:rsidR="00FE0727" w:rsidRPr="008D13C3" w:rsidRDefault="00FE0727" w:rsidP="00FE0727">
            <w:pPr>
              <w:pStyle w:val="ExhibitText"/>
              <w:jc w:val="right"/>
              <w:rPr>
                <w:sz w:val="17"/>
                <w:szCs w:val="17"/>
                <w:lang w:val="en-GB"/>
              </w:rPr>
            </w:pPr>
            <w:r w:rsidRPr="008D13C3">
              <w:rPr>
                <w:sz w:val="17"/>
                <w:szCs w:val="17"/>
                <w:lang w:val="en-GB"/>
              </w:rPr>
              <w:t xml:space="preserve"> </w:t>
            </w:r>
          </w:p>
        </w:tc>
      </w:tr>
      <w:tr w:rsidR="00FE0727" w:rsidRPr="008D13C3" w14:paraId="6FFA3881" w14:textId="2819967E" w:rsidTr="00FE0727">
        <w:trPr>
          <w:trHeight w:val="60"/>
          <w:jc w:val="center"/>
        </w:trPr>
        <w:tc>
          <w:tcPr>
            <w:tcW w:w="7102" w:type="dxa"/>
            <w:hideMark/>
          </w:tcPr>
          <w:p w14:paraId="6E105555" w14:textId="77777777" w:rsidR="00FE0727" w:rsidRPr="008D13C3" w:rsidRDefault="00FE0727" w:rsidP="00FE0727">
            <w:pPr>
              <w:pStyle w:val="ExhibitText"/>
              <w:rPr>
                <w:sz w:val="17"/>
                <w:szCs w:val="17"/>
                <w:lang w:val="en-GB"/>
              </w:rPr>
            </w:pPr>
            <w:r w:rsidRPr="008D13C3">
              <w:rPr>
                <w:sz w:val="17"/>
                <w:szCs w:val="17"/>
                <w:lang w:val="en-GB"/>
              </w:rPr>
              <w:t>Redeemable noncontrolling interests in subsidiaries</w:t>
            </w:r>
          </w:p>
        </w:tc>
        <w:tc>
          <w:tcPr>
            <w:tcW w:w="1086" w:type="dxa"/>
            <w:noWrap/>
            <w:hideMark/>
          </w:tcPr>
          <w:p w14:paraId="278D3A16"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367,039 </w:t>
            </w:r>
          </w:p>
        </w:tc>
        <w:tc>
          <w:tcPr>
            <w:tcW w:w="1132" w:type="dxa"/>
          </w:tcPr>
          <w:p w14:paraId="39399314" w14:textId="7F859EB0" w:rsidR="00FE0727" w:rsidRPr="008D13C3" w:rsidRDefault="00FE0727" w:rsidP="00FE0727">
            <w:pPr>
              <w:pStyle w:val="ExhibitText"/>
              <w:jc w:val="right"/>
              <w:rPr>
                <w:sz w:val="17"/>
                <w:szCs w:val="17"/>
                <w:lang w:val="en-GB"/>
              </w:rPr>
            </w:pPr>
            <w:r w:rsidRPr="008D13C3">
              <w:rPr>
                <w:sz w:val="17"/>
                <w:szCs w:val="17"/>
                <w:lang w:val="en-GB"/>
              </w:rPr>
              <w:t xml:space="preserve">367,377 </w:t>
            </w:r>
          </w:p>
        </w:tc>
      </w:tr>
      <w:tr w:rsidR="00FE0727" w:rsidRPr="008D13C3" w14:paraId="3F2372AD" w14:textId="72FD67D4" w:rsidTr="00FE0727">
        <w:trPr>
          <w:trHeight w:val="60"/>
          <w:jc w:val="center"/>
        </w:trPr>
        <w:tc>
          <w:tcPr>
            <w:tcW w:w="7102" w:type="dxa"/>
            <w:hideMark/>
          </w:tcPr>
          <w:p w14:paraId="6D5696E2" w14:textId="77777777" w:rsidR="00FE0727" w:rsidRPr="008D13C3" w:rsidRDefault="00FE0727" w:rsidP="00FE0727">
            <w:pPr>
              <w:pStyle w:val="ExhibitText"/>
              <w:rPr>
                <w:sz w:val="17"/>
                <w:szCs w:val="17"/>
                <w:lang w:val="en-GB"/>
              </w:rPr>
            </w:pPr>
            <w:r w:rsidRPr="008D13C3">
              <w:rPr>
                <w:sz w:val="17"/>
                <w:szCs w:val="17"/>
                <w:lang w:val="en-GB"/>
              </w:rPr>
              <w:t>Convertible senior notes (Notes 11)</w:t>
            </w:r>
          </w:p>
        </w:tc>
        <w:tc>
          <w:tcPr>
            <w:tcW w:w="1086" w:type="dxa"/>
            <w:noWrap/>
            <w:hideMark/>
          </w:tcPr>
          <w:p w14:paraId="1FEF6C88"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8,784 </w:t>
            </w:r>
          </w:p>
        </w:tc>
        <w:tc>
          <w:tcPr>
            <w:tcW w:w="1132" w:type="dxa"/>
          </w:tcPr>
          <w:p w14:paraId="686AAA78" w14:textId="4425C89D" w:rsidR="00FE0727" w:rsidRPr="008D13C3" w:rsidRDefault="00FE0727" w:rsidP="00FE0727">
            <w:pPr>
              <w:pStyle w:val="ExhibitText"/>
              <w:jc w:val="right"/>
              <w:rPr>
                <w:sz w:val="17"/>
                <w:szCs w:val="17"/>
                <w:lang w:val="en-GB"/>
              </w:rPr>
            </w:pPr>
            <w:r w:rsidRPr="008D13C3">
              <w:rPr>
                <w:sz w:val="17"/>
                <w:szCs w:val="17"/>
                <w:lang w:val="en-GB"/>
              </w:rPr>
              <w:t xml:space="preserve">1,688 </w:t>
            </w:r>
          </w:p>
        </w:tc>
      </w:tr>
      <w:tr w:rsidR="00FE0727" w:rsidRPr="008D13C3" w14:paraId="4C4FB09F" w14:textId="54CBBAC8" w:rsidTr="00FE0727">
        <w:trPr>
          <w:trHeight w:val="60"/>
          <w:jc w:val="center"/>
        </w:trPr>
        <w:tc>
          <w:tcPr>
            <w:tcW w:w="7102" w:type="dxa"/>
            <w:hideMark/>
          </w:tcPr>
          <w:p w14:paraId="4DF32572" w14:textId="54631730" w:rsidR="00FE0727" w:rsidRPr="008D13C3" w:rsidRDefault="00FE0727" w:rsidP="00FE0727">
            <w:pPr>
              <w:pStyle w:val="ExhibitText"/>
              <w:rPr>
                <w:b/>
                <w:sz w:val="17"/>
                <w:szCs w:val="17"/>
                <w:lang w:val="en-GB"/>
              </w:rPr>
            </w:pPr>
            <w:r w:rsidRPr="008D13C3">
              <w:rPr>
                <w:b/>
                <w:sz w:val="17"/>
                <w:szCs w:val="17"/>
                <w:lang w:val="en-GB"/>
              </w:rPr>
              <w:t>Stockholders’ equity</w:t>
            </w:r>
          </w:p>
        </w:tc>
        <w:tc>
          <w:tcPr>
            <w:tcW w:w="1086" w:type="dxa"/>
            <w:noWrap/>
            <w:hideMark/>
          </w:tcPr>
          <w:p w14:paraId="3AC5AB76" w14:textId="77777777" w:rsidR="00FE0727" w:rsidRPr="008D13C3" w:rsidRDefault="00FE0727" w:rsidP="00FE0727">
            <w:pPr>
              <w:pStyle w:val="ExhibitText"/>
              <w:jc w:val="right"/>
              <w:rPr>
                <w:b/>
                <w:sz w:val="17"/>
                <w:szCs w:val="17"/>
                <w:lang w:val="en-GB" w:eastAsia="en-US"/>
              </w:rPr>
            </w:pPr>
            <w:r w:rsidRPr="008D13C3">
              <w:rPr>
                <w:b/>
                <w:sz w:val="17"/>
                <w:szCs w:val="17"/>
                <w:lang w:val="en-GB"/>
              </w:rPr>
              <w:t> </w:t>
            </w:r>
          </w:p>
        </w:tc>
        <w:tc>
          <w:tcPr>
            <w:tcW w:w="1132" w:type="dxa"/>
          </w:tcPr>
          <w:p w14:paraId="1B5581CF" w14:textId="77777777" w:rsidR="00FE0727" w:rsidRPr="008D13C3" w:rsidRDefault="00FE0727" w:rsidP="00FE0727">
            <w:pPr>
              <w:pStyle w:val="ExhibitText"/>
              <w:jc w:val="right"/>
              <w:rPr>
                <w:b/>
                <w:sz w:val="17"/>
                <w:szCs w:val="17"/>
                <w:lang w:val="en-GB"/>
              </w:rPr>
            </w:pPr>
          </w:p>
        </w:tc>
      </w:tr>
      <w:tr w:rsidR="00FE0727" w:rsidRPr="008D13C3" w14:paraId="57BA2974" w14:textId="19321604" w:rsidTr="00FE0727">
        <w:trPr>
          <w:trHeight w:val="60"/>
          <w:jc w:val="center"/>
        </w:trPr>
        <w:tc>
          <w:tcPr>
            <w:tcW w:w="7102" w:type="dxa"/>
            <w:hideMark/>
          </w:tcPr>
          <w:p w14:paraId="2837AD0A" w14:textId="77777777" w:rsidR="00FE0727" w:rsidRPr="008D13C3" w:rsidRDefault="00FE0727" w:rsidP="00FE0727">
            <w:pPr>
              <w:pStyle w:val="ExhibitText"/>
              <w:rPr>
                <w:spacing w:val="-4"/>
                <w:sz w:val="17"/>
                <w:szCs w:val="17"/>
                <w:lang w:val="en-GB"/>
              </w:rPr>
            </w:pPr>
            <w:r w:rsidRPr="008D13C3">
              <w:rPr>
                <w:spacing w:val="-4"/>
                <w:sz w:val="17"/>
                <w:szCs w:val="17"/>
                <w:lang w:val="en-GB"/>
              </w:rPr>
              <w:t>Preferred stock; $0.001 par value; 100,000 shares authorized; no shares issued and outstanding</w:t>
            </w:r>
          </w:p>
        </w:tc>
        <w:tc>
          <w:tcPr>
            <w:tcW w:w="1086" w:type="dxa"/>
            <w:hideMark/>
          </w:tcPr>
          <w:p w14:paraId="4D693244" w14:textId="5EFDBB45" w:rsidR="00FE0727" w:rsidRPr="008D13C3" w:rsidRDefault="00FE0727" w:rsidP="00FE0727">
            <w:pPr>
              <w:pStyle w:val="ExhibitText"/>
              <w:jc w:val="right"/>
              <w:rPr>
                <w:sz w:val="17"/>
                <w:szCs w:val="17"/>
                <w:lang w:val="en-GB" w:eastAsia="en-US"/>
              </w:rPr>
            </w:pPr>
            <w:r w:rsidRPr="008D13C3">
              <w:rPr>
                <w:sz w:val="17"/>
                <w:szCs w:val="17"/>
                <w:lang w:val="en-GB"/>
              </w:rPr>
              <w:t xml:space="preserve">– </w:t>
            </w:r>
          </w:p>
        </w:tc>
        <w:tc>
          <w:tcPr>
            <w:tcW w:w="1132" w:type="dxa"/>
          </w:tcPr>
          <w:p w14:paraId="4CE5DD73" w14:textId="788E007B" w:rsidR="00FE0727" w:rsidRPr="008D13C3" w:rsidRDefault="00FE0727" w:rsidP="00FE0727">
            <w:pPr>
              <w:pStyle w:val="ExhibitText"/>
              <w:jc w:val="right"/>
              <w:rPr>
                <w:sz w:val="17"/>
                <w:szCs w:val="17"/>
                <w:lang w:val="en-GB"/>
              </w:rPr>
            </w:pPr>
            <w:r w:rsidRPr="008D13C3">
              <w:rPr>
                <w:sz w:val="17"/>
                <w:szCs w:val="17"/>
                <w:lang w:val="en-GB"/>
              </w:rPr>
              <w:t xml:space="preserve">– </w:t>
            </w:r>
          </w:p>
        </w:tc>
      </w:tr>
      <w:tr w:rsidR="00FE0727" w:rsidRPr="008D13C3" w14:paraId="34609E91" w14:textId="16260F64" w:rsidTr="00FE0727">
        <w:trPr>
          <w:trHeight w:val="60"/>
          <w:jc w:val="center"/>
        </w:trPr>
        <w:tc>
          <w:tcPr>
            <w:tcW w:w="7102" w:type="dxa"/>
            <w:hideMark/>
          </w:tcPr>
          <w:p w14:paraId="1BD51D50" w14:textId="77777777" w:rsidR="00FE0727" w:rsidRPr="008D13C3" w:rsidRDefault="00FE0727" w:rsidP="00FE0727">
            <w:pPr>
              <w:pStyle w:val="Footnote"/>
              <w:rPr>
                <w:spacing w:val="-4"/>
                <w:lang w:val="en-GB"/>
              </w:rPr>
            </w:pPr>
            <w:r w:rsidRPr="008D13C3">
              <w:rPr>
                <w:spacing w:val="-4"/>
                <w:lang w:val="en-GB"/>
              </w:rPr>
              <w:t>Common stock; $0.001 par value; 2,000,000 shares authorized; 166,863 and 161,561 shares issued and outstanding as of June 30, 2017 and December 31, 2016, respectively</w:t>
            </w:r>
          </w:p>
        </w:tc>
        <w:tc>
          <w:tcPr>
            <w:tcW w:w="1086" w:type="dxa"/>
            <w:noWrap/>
            <w:hideMark/>
          </w:tcPr>
          <w:p w14:paraId="704F7C4E"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161 </w:t>
            </w:r>
          </w:p>
        </w:tc>
        <w:tc>
          <w:tcPr>
            <w:tcW w:w="1132" w:type="dxa"/>
          </w:tcPr>
          <w:p w14:paraId="65605339" w14:textId="7AB55987" w:rsidR="00FE0727" w:rsidRPr="008D13C3" w:rsidRDefault="00FE0727" w:rsidP="00FE0727">
            <w:pPr>
              <w:pStyle w:val="ExhibitText"/>
              <w:jc w:val="right"/>
              <w:rPr>
                <w:sz w:val="17"/>
                <w:szCs w:val="17"/>
                <w:lang w:val="en-GB"/>
              </w:rPr>
            </w:pPr>
            <w:r w:rsidRPr="008D13C3">
              <w:rPr>
                <w:sz w:val="17"/>
                <w:szCs w:val="17"/>
                <w:lang w:val="en-GB"/>
              </w:rPr>
              <w:t xml:space="preserve">163 </w:t>
            </w:r>
          </w:p>
        </w:tc>
      </w:tr>
      <w:tr w:rsidR="00FE0727" w:rsidRPr="008D13C3" w14:paraId="3D6B4DC8" w14:textId="426D595D" w:rsidTr="00FE0727">
        <w:trPr>
          <w:trHeight w:val="60"/>
          <w:jc w:val="center"/>
        </w:trPr>
        <w:tc>
          <w:tcPr>
            <w:tcW w:w="7102" w:type="dxa"/>
            <w:hideMark/>
          </w:tcPr>
          <w:p w14:paraId="79AFFF9B" w14:textId="77777777" w:rsidR="00FE0727" w:rsidRPr="008D13C3" w:rsidRDefault="00FE0727" w:rsidP="00FE0727">
            <w:pPr>
              <w:pStyle w:val="ExhibitText"/>
              <w:rPr>
                <w:sz w:val="17"/>
                <w:szCs w:val="17"/>
                <w:lang w:val="en-GB"/>
              </w:rPr>
            </w:pPr>
            <w:r w:rsidRPr="008D13C3">
              <w:rPr>
                <w:sz w:val="17"/>
                <w:szCs w:val="17"/>
                <w:lang w:val="en-GB"/>
              </w:rPr>
              <w:t>Additional paid-in capital</w:t>
            </w:r>
          </w:p>
        </w:tc>
        <w:tc>
          <w:tcPr>
            <w:tcW w:w="1086" w:type="dxa"/>
            <w:noWrap/>
            <w:hideMark/>
          </w:tcPr>
          <w:p w14:paraId="1423D33B"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7,773,727 </w:t>
            </w:r>
          </w:p>
        </w:tc>
        <w:tc>
          <w:tcPr>
            <w:tcW w:w="1132" w:type="dxa"/>
          </w:tcPr>
          <w:p w14:paraId="4298C0AB" w14:textId="1A389126" w:rsidR="00FE0727" w:rsidRPr="008D13C3" w:rsidRDefault="00FE0727" w:rsidP="00FE0727">
            <w:pPr>
              <w:pStyle w:val="ExhibitText"/>
              <w:jc w:val="right"/>
              <w:rPr>
                <w:sz w:val="17"/>
                <w:szCs w:val="17"/>
                <w:lang w:val="en-GB"/>
              </w:rPr>
            </w:pPr>
            <w:r w:rsidRPr="008D13C3">
              <w:rPr>
                <w:sz w:val="17"/>
                <w:szCs w:val="17"/>
                <w:lang w:val="en-GB"/>
              </w:rPr>
              <w:t xml:space="preserve">8,774,212 </w:t>
            </w:r>
          </w:p>
        </w:tc>
      </w:tr>
      <w:tr w:rsidR="00FE0727" w:rsidRPr="008D13C3" w14:paraId="1145C231" w14:textId="383CE6AD" w:rsidTr="00FE0727">
        <w:trPr>
          <w:trHeight w:val="60"/>
          <w:jc w:val="center"/>
        </w:trPr>
        <w:tc>
          <w:tcPr>
            <w:tcW w:w="7102" w:type="dxa"/>
            <w:hideMark/>
          </w:tcPr>
          <w:p w14:paraId="5893D935" w14:textId="77777777" w:rsidR="00FE0727" w:rsidRPr="008D13C3" w:rsidRDefault="00FE0727" w:rsidP="00FE0727">
            <w:pPr>
              <w:pStyle w:val="ExhibitText"/>
              <w:rPr>
                <w:sz w:val="17"/>
                <w:szCs w:val="17"/>
                <w:lang w:val="en-GB"/>
              </w:rPr>
            </w:pPr>
            <w:r w:rsidRPr="008D13C3">
              <w:rPr>
                <w:sz w:val="17"/>
                <w:szCs w:val="17"/>
                <w:lang w:val="en-GB"/>
              </w:rPr>
              <w:t>Accumulated other comprehensive gain (loss)</w:t>
            </w:r>
          </w:p>
        </w:tc>
        <w:tc>
          <w:tcPr>
            <w:tcW w:w="1086" w:type="dxa"/>
            <w:noWrap/>
            <w:hideMark/>
          </w:tcPr>
          <w:p w14:paraId="2232C895" w14:textId="77777777" w:rsidR="00FE0727" w:rsidRPr="008D13C3" w:rsidRDefault="00FE0727" w:rsidP="00FE0727">
            <w:pPr>
              <w:pStyle w:val="ExhibitText"/>
              <w:jc w:val="right"/>
              <w:rPr>
                <w:sz w:val="17"/>
                <w:szCs w:val="17"/>
                <w:lang w:val="en-GB" w:eastAsia="en-US"/>
              </w:rPr>
            </w:pPr>
            <w:r w:rsidRPr="008D13C3">
              <w:rPr>
                <w:sz w:val="17"/>
                <w:szCs w:val="17"/>
                <w:lang w:val="en-GB"/>
              </w:rPr>
              <w:t>(23,740)</w:t>
            </w:r>
          </w:p>
        </w:tc>
        <w:tc>
          <w:tcPr>
            <w:tcW w:w="1132" w:type="dxa"/>
          </w:tcPr>
          <w:p w14:paraId="7D9CA65D" w14:textId="07251116" w:rsidR="00FE0727" w:rsidRPr="008D13C3" w:rsidRDefault="00FE0727" w:rsidP="00FE0727">
            <w:pPr>
              <w:pStyle w:val="ExhibitText"/>
              <w:jc w:val="right"/>
              <w:rPr>
                <w:sz w:val="17"/>
                <w:szCs w:val="17"/>
                <w:lang w:val="en-GB"/>
              </w:rPr>
            </w:pPr>
            <w:r w:rsidRPr="008D13C3">
              <w:rPr>
                <w:sz w:val="17"/>
                <w:szCs w:val="17"/>
                <w:lang w:val="en-GB"/>
              </w:rPr>
              <w:t xml:space="preserve">10,961 </w:t>
            </w:r>
          </w:p>
        </w:tc>
      </w:tr>
      <w:tr w:rsidR="00FE0727" w:rsidRPr="008D13C3" w14:paraId="7890ACC0" w14:textId="6FCFC629" w:rsidTr="00FE0727">
        <w:trPr>
          <w:trHeight w:val="60"/>
          <w:jc w:val="center"/>
        </w:trPr>
        <w:tc>
          <w:tcPr>
            <w:tcW w:w="7102" w:type="dxa"/>
            <w:hideMark/>
          </w:tcPr>
          <w:p w14:paraId="3C377EE8" w14:textId="77777777" w:rsidR="00FE0727" w:rsidRPr="008D13C3" w:rsidRDefault="00FE0727" w:rsidP="00FE0727">
            <w:pPr>
              <w:pStyle w:val="ExhibitText"/>
              <w:rPr>
                <w:sz w:val="17"/>
                <w:szCs w:val="17"/>
                <w:lang w:val="en-GB"/>
              </w:rPr>
            </w:pPr>
            <w:r w:rsidRPr="008D13C3">
              <w:rPr>
                <w:sz w:val="17"/>
                <w:szCs w:val="17"/>
                <w:lang w:val="en-GB"/>
              </w:rPr>
              <w:t>Accumulated deficit</w:t>
            </w:r>
          </w:p>
        </w:tc>
        <w:tc>
          <w:tcPr>
            <w:tcW w:w="1086" w:type="dxa"/>
            <w:noWrap/>
            <w:hideMark/>
          </w:tcPr>
          <w:p w14:paraId="506973EA" w14:textId="77777777" w:rsidR="00FE0727" w:rsidRPr="008D13C3" w:rsidRDefault="00FE0727" w:rsidP="00FE0727">
            <w:pPr>
              <w:pStyle w:val="ExhibitText"/>
              <w:jc w:val="right"/>
              <w:rPr>
                <w:sz w:val="17"/>
                <w:szCs w:val="17"/>
                <w:lang w:val="en-GB" w:eastAsia="en-US"/>
              </w:rPr>
            </w:pPr>
            <w:r w:rsidRPr="008D13C3">
              <w:rPr>
                <w:sz w:val="17"/>
                <w:szCs w:val="17"/>
                <w:lang w:val="en-GB"/>
              </w:rPr>
              <w:t>(2,997,237)</w:t>
            </w:r>
          </w:p>
        </w:tc>
        <w:tc>
          <w:tcPr>
            <w:tcW w:w="1132" w:type="dxa"/>
          </w:tcPr>
          <w:p w14:paraId="138EE9D5" w14:textId="340D27E6" w:rsidR="00FE0727" w:rsidRPr="008D13C3" w:rsidRDefault="00FE0727" w:rsidP="00FE0727">
            <w:pPr>
              <w:pStyle w:val="ExhibitText"/>
              <w:jc w:val="right"/>
              <w:rPr>
                <w:sz w:val="17"/>
                <w:szCs w:val="17"/>
                <w:lang w:val="en-GB"/>
              </w:rPr>
            </w:pPr>
            <w:r w:rsidRPr="008D13C3">
              <w:rPr>
                <w:sz w:val="17"/>
                <w:szCs w:val="17"/>
                <w:lang w:val="en-GB"/>
              </w:rPr>
              <w:t>(3,679,584)</w:t>
            </w:r>
          </w:p>
        </w:tc>
      </w:tr>
      <w:tr w:rsidR="00FE0727" w:rsidRPr="008D13C3" w14:paraId="5F776EB2" w14:textId="30524929" w:rsidTr="00FE0727">
        <w:trPr>
          <w:trHeight w:val="60"/>
          <w:jc w:val="center"/>
        </w:trPr>
        <w:tc>
          <w:tcPr>
            <w:tcW w:w="7102" w:type="dxa"/>
            <w:hideMark/>
          </w:tcPr>
          <w:p w14:paraId="61402C4C" w14:textId="787D63CD" w:rsidR="00FE0727" w:rsidRPr="008D13C3" w:rsidRDefault="00FE0727" w:rsidP="00FE0727">
            <w:pPr>
              <w:pStyle w:val="ExhibitText"/>
              <w:rPr>
                <w:sz w:val="17"/>
                <w:szCs w:val="17"/>
                <w:lang w:val="en-GB"/>
              </w:rPr>
            </w:pPr>
            <w:r w:rsidRPr="008D13C3">
              <w:rPr>
                <w:sz w:val="17"/>
                <w:szCs w:val="17"/>
                <w:lang w:val="en-GB"/>
              </w:rPr>
              <w:t>Total stockholders’ equity</w:t>
            </w:r>
          </w:p>
        </w:tc>
        <w:tc>
          <w:tcPr>
            <w:tcW w:w="1086" w:type="dxa"/>
            <w:noWrap/>
            <w:hideMark/>
          </w:tcPr>
          <w:p w14:paraId="1D8DAECB"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4,752,911 </w:t>
            </w:r>
          </w:p>
        </w:tc>
        <w:tc>
          <w:tcPr>
            <w:tcW w:w="1132" w:type="dxa"/>
          </w:tcPr>
          <w:p w14:paraId="50C2DB31" w14:textId="77C07127" w:rsidR="00FE0727" w:rsidRPr="008D13C3" w:rsidRDefault="00FE0727" w:rsidP="00FE0727">
            <w:pPr>
              <w:pStyle w:val="ExhibitText"/>
              <w:jc w:val="right"/>
              <w:rPr>
                <w:sz w:val="17"/>
                <w:szCs w:val="17"/>
                <w:lang w:val="en-GB"/>
              </w:rPr>
            </w:pPr>
            <w:r w:rsidRPr="008D13C3">
              <w:rPr>
                <w:sz w:val="17"/>
                <w:szCs w:val="17"/>
                <w:lang w:val="en-GB"/>
              </w:rPr>
              <w:t xml:space="preserve">5,105,752 </w:t>
            </w:r>
          </w:p>
        </w:tc>
      </w:tr>
      <w:tr w:rsidR="00FE0727" w:rsidRPr="008D13C3" w14:paraId="7D48DAB0" w14:textId="67C291CE" w:rsidTr="00FE0727">
        <w:trPr>
          <w:trHeight w:val="60"/>
          <w:jc w:val="center"/>
        </w:trPr>
        <w:tc>
          <w:tcPr>
            <w:tcW w:w="7102" w:type="dxa"/>
            <w:hideMark/>
          </w:tcPr>
          <w:p w14:paraId="03DE9169" w14:textId="77777777" w:rsidR="00FE0727" w:rsidRPr="008D13C3" w:rsidRDefault="00FE0727" w:rsidP="00FE0727">
            <w:pPr>
              <w:pStyle w:val="ExhibitText"/>
              <w:rPr>
                <w:sz w:val="17"/>
                <w:szCs w:val="17"/>
                <w:lang w:val="en-GB"/>
              </w:rPr>
            </w:pPr>
            <w:r w:rsidRPr="008D13C3">
              <w:rPr>
                <w:sz w:val="17"/>
                <w:szCs w:val="17"/>
                <w:lang w:val="en-GB"/>
              </w:rPr>
              <w:t>Noncontrolling interests in subsidiaries</w:t>
            </w:r>
          </w:p>
        </w:tc>
        <w:tc>
          <w:tcPr>
            <w:tcW w:w="1086" w:type="dxa"/>
            <w:noWrap/>
            <w:hideMark/>
          </w:tcPr>
          <w:p w14:paraId="396BF2A8"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785,175 </w:t>
            </w:r>
          </w:p>
        </w:tc>
        <w:tc>
          <w:tcPr>
            <w:tcW w:w="1132" w:type="dxa"/>
          </w:tcPr>
          <w:p w14:paraId="1BA49749" w14:textId="2CC1D3C3" w:rsidR="00FE0727" w:rsidRPr="008D13C3" w:rsidRDefault="00FE0727" w:rsidP="00FE0727">
            <w:pPr>
              <w:pStyle w:val="ExhibitText"/>
              <w:jc w:val="right"/>
              <w:rPr>
                <w:sz w:val="17"/>
                <w:szCs w:val="17"/>
                <w:lang w:val="en-GB"/>
              </w:rPr>
            </w:pPr>
            <w:r w:rsidRPr="008D13C3">
              <w:rPr>
                <w:sz w:val="17"/>
                <w:szCs w:val="17"/>
                <w:lang w:val="en-GB"/>
              </w:rPr>
              <w:t xml:space="preserve">1,108,986 </w:t>
            </w:r>
          </w:p>
        </w:tc>
      </w:tr>
      <w:tr w:rsidR="00FE0727" w:rsidRPr="008D13C3" w14:paraId="67C15C2F" w14:textId="4895D10E" w:rsidTr="00FE0727">
        <w:trPr>
          <w:trHeight w:val="60"/>
          <w:jc w:val="center"/>
        </w:trPr>
        <w:tc>
          <w:tcPr>
            <w:tcW w:w="7102" w:type="dxa"/>
            <w:hideMark/>
          </w:tcPr>
          <w:p w14:paraId="6EFA92F6" w14:textId="77777777" w:rsidR="00FE0727" w:rsidRPr="008D13C3" w:rsidRDefault="00FE0727" w:rsidP="00FE0727">
            <w:pPr>
              <w:pStyle w:val="ExhibitText"/>
              <w:rPr>
                <w:sz w:val="17"/>
                <w:szCs w:val="17"/>
                <w:lang w:val="en-GB"/>
              </w:rPr>
            </w:pPr>
            <w:r w:rsidRPr="008D13C3">
              <w:rPr>
                <w:sz w:val="17"/>
                <w:szCs w:val="17"/>
                <w:lang w:val="en-GB"/>
              </w:rPr>
              <w:t>Total liabilities and equity</w:t>
            </w:r>
          </w:p>
        </w:tc>
        <w:tc>
          <w:tcPr>
            <w:tcW w:w="1086" w:type="dxa"/>
            <w:noWrap/>
            <w:hideMark/>
          </w:tcPr>
          <w:p w14:paraId="705E2BC0"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22,664,076 </w:t>
            </w:r>
          </w:p>
        </w:tc>
        <w:tc>
          <w:tcPr>
            <w:tcW w:w="1132" w:type="dxa"/>
          </w:tcPr>
          <w:p w14:paraId="57E9F4B3" w14:textId="22E5BD94" w:rsidR="00FE0727" w:rsidRPr="008D13C3" w:rsidRDefault="00FE0727" w:rsidP="00FE0727">
            <w:pPr>
              <w:pStyle w:val="ExhibitText"/>
              <w:jc w:val="right"/>
              <w:rPr>
                <w:sz w:val="17"/>
                <w:szCs w:val="17"/>
                <w:lang w:val="en-GB"/>
              </w:rPr>
            </w:pPr>
            <w:r w:rsidRPr="008D13C3">
              <w:rPr>
                <w:sz w:val="17"/>
                <w:szCs w:val="17"/>
                <w:lang w:val="en-GB"/>
              </w:rPr>
              <w:t xml:space="preserve">26,043,705 </w:t>
            </w:r>
          </w:p>
        </w:tc>
      </w:tr>
      <w:tr w:rsidR="00FE0727" w:rsidRPr="008D13C3" w14:paraId="1C71D7E1" w14:textId="3010B1EB" w:rsidTr="00FE0727">
        <w:trPr>
          <w:trHeight w:val="60"/>
          <w:jc w:val="center"/>
        </w:trPr>
        <w:tc>
          <w:tcPr>
            <w:tcW w:w="7102" w:type="dxa"/>
            <w:hideMark/>
          </w:tcPr>
          <w:p w14:paraId="7FFA6597" w14:textId="77777777" w:rsidR="00FE0727" w:rsidRPr="008D13C3" w:rsidRDefault="00FE0727" w:rsidP="00FE0727">
            <w:pPr>
              <w:pStyle w:val="ExhibitText"/>
              <w:rPr>
                <w:sz w:val="17"/>
                <w:szCs w:val="17"/>
                <w:lang w:val="en-GB"/>
              </w:rPr>
            </w:pPr>
            <w:r w:rsidRPr="008D13C3">
              <w:rPr>
                <w:sz w:val="17"/>
                <w:szCs w:val="17"/>
                <w:lang w:val="en-GB"/>
              </w:rPr>
              <w:t>Operating Lease Vehicles [Member]</w:t>
            </w:r>
          </w:p>
        </w:tc>
        <w:tc>
          <w:tcPr>
            <w:tcW w:w="1086" w:type="dxa"/>
            <w:noWrap/>
            <w:hideMark/>
          </w:tcPr>
          <w:p w14:paraId="739B0092" w14:textId="77777777" w:rsidR="00FE0727" w:rsidRPr="008D13C3" w:rsidRDefault="00FE0727" w:rsidP="00FE0727">
            <w:pPr>
              <w:pStyle w:val="ExhibitText"/>
              <w:jc w:val="right"/>
              <w:rPr>
                <w:sz w:val="17"/>
                <w:szCs w:val="17"/>
                <w:lang w:val="en-GB" w:eastAsia="en-US"/>
              </w:rPr>
            </w:pPr>
            <w:r w:rsidRPr="008D13C3">
              <w:rPr>
                <w:sz w:val="17"/>
                <w:szCs w:val="17"/>
                <w:lang w:val="en-GB"/>
              </w:rPr>
              <w:t> </w:t>
            </w:r>
          </w:p>
        </w:tc>
        <w:tc>
          <w:tcPr>
            <w:tcW w:w="1132" w:type="dxa"/>
          </w:tcPr>
          <w:p w14:paraId="2C15F6BB" w14:textId="77777777" w:rsidR="00FE0727" w:rsidRPr="008D13C3" w:rsidRDefault="00FE0727" w:rsidP="00FE0727">
            <w:pPr>
              <w:pStyle w:val="ExhibitText"/>
              <w:jc w:val="right"/>
              <w:rPr>
                <w:sz w:val="17"/>
                <w:szCs w:val="17"/>
                <w:lang w:val="en-GB"/>
              </w:rPr>
            </w:pPr>
          </w:p>
        </w:tc>
      </w:tr>
      <w:tr w:rsidR="00FE0727" w:rsidRPr="008D13C3" w14:paraId="0BBC9B99" w14:textId="38CB5DFA" w:rsidTr="00FE0727">
        <w:trPr>
          <w:trHeight w:val="60"/>
          <w:jc w:val="center"/>
        </w:trPr>
        <w:tc>
          <w:tcPr>
            <w:tcW w:w="7102" w:type="dxa"/>
            <w:hideMark/>
          </w:tcPr>
          <w:p w14:paraId="56738983" w14:textId="77777777" w:rsidR="00FE0727" w:rsidRPr="008D13C3" w:rsidRDefault="00FE0727" w:rsidP="00FE0727">
            <w:pPr>
              <w:pStyle w:val="ExhibitText"/>
              <w:rPr>
                <w:b/>
                <w:sz w:val="17"/>
                <w:szCs w:val="17"/>
                <w:lang w:val="en-GB"/>
              </w:rPr>
            </w:pPr>
            <w:r w:rsidRPr="008D13C3">
              <w:rPr>
                <w:b/>
                <w:sz w:val="17"/>
                <w:szCs w:val="17"/>
                <w:lang w:val="en-GB"/>
              </w:rPr>
              <w:t>Current assets</w:t>
            </w:r>
          </w:p>
        </w:tc>
        <w:tc>
          <w:tcPr>
            <w:tcW w:w="1086" w:type="dxa"/>
            <w:noWrap/>
            <w:hideMark/>
          </w:tcPr>
          <w:p w14:paraId="2AC2BC40" w14:textId="77777777" w:rsidR="00FE0727" w:rsidRPr="008D13C3" w:rsidRDefault="00FE0727" w:rsidP="00FE0727">
            <w:pPr>
              <w:pStyle w:val="ExhibitText"/>
              <w:jc w:val="right"/>
              <w:rPr>
                <w:b/>
                <w:sz w:val="17"/>
                <w:szCs w:val="17"/>
                <w:lang w:val="en-GB" w:eastAsia="en-US"/>
              </w:rPr>
            </w:pPr>
            <w:r w:rsidRPr="008D13C3">
              <w:rPr>
                <w:b/>
                <w:sz w:val="17"/>
                <w:szCs w:val="17"/>
                <w:lang w:val="en-GB"/>
              </w:rPr>
              <w:t> </w:t>
            </w:r>
          </w:p>
        </w:tc>
        <w:tc>
          <w:tcPr>
            <w:tcW w:w="1132" w:type="dxa"/>
          </w:tcPr>
          <w:p w14:paraId="64DA8A8D" w14:textId="77777777" w:rsidR="00FE0727" w:rsidRPr="008D13C3" w:rsidRDefault="00FE0727" w:rsidP="00FE0727">
            <w:pPr>
              <w:pStyle w:val="ExhibitText"/>
              <w:jc w:val="right"/>
              <w:rPr>
                <w:b/>
                <w:sz w:val="17"/>
                <w:szCs w:val="17"/>
                <w:lang w:val="en-GB"/>
              </w:rPr>
            </w:pPr>
          </w:p>
        </w:tc>
      </w:tr>
      <w:tr w:rsidR="00FE0727" w:rsidRPr="008D13C3" w14:paraId="6906E188" w14:textId="114C2976" w:rsidTr="00FE0727">
        <w:trPr>
          <w:trHeight w:val="60"/>
          <w:jc w:val="center"/>
        </w:trPr>
        <w:tc>
          <w:tcPr>
            <w:tcW w:w="7102" w:type="dxa"/>
            <w:hideMark/>
          </w:tcPr>
          <w:p w14:paraId="5DAA06D6" w14:textId="77777777" w:rsidR="00FE0727" w:rsidRPr="008D13C3" w:rsidRDefault="00FE0727" w:rsidP="00FE0727">
            <w:pPr>
              <w:pStyle w:val="ExhibitText"/>
              <w:rPr>
                <w:sz w:val="17"/>
                <w:szCs w:val="17"/>
                <w:lang w:val="en-GB"/>
              </w:rPr>
            </w:pPr>
            <w:r w:rsidRPr="008D13C3">
              <w:rPr>
                <w:sz w:val="17"/>
                <w:szCs w:val="17"/>
                <w:lang w:val="en-GB"/>
              </w:rPr>
              <w:t>Operating lease net</w:t>
            </w:r>
          </w:p>
        </w:tc>
        <w:tc>
          <w:tcPr>
            <w:tcW w:w="1086" w:type="dxa"/>
            <w:noWrap/>
            <w:hideMark/>
          </w:tcPr>
          <w:p w14:paraId="304BDA6A"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3,134,080 </w:t>
            </w:r>
          </w:p>
        </w:tc>
        <w:tc>
          <w:tcPr>
            <w:tcW w:w="1132" w:type="dxa"/>
          </w:tcPr>
          <w:p w14:paraId="0407081A" w14:textId="62A69328" w:rsidR="00FE0727" w:rsidRPr="008D13C3" w:rsidRDefault="00FE0727" w:rsidP="00FE0727">
            <w:pPr>
              <w:pStyle w:val="ExhibitText"/>
              <w:jc w:val="right"/>
              <w:rPr>
                <w:sz w:val="17"/>
                <w:szCs w:val="17"/>
                <w:lang w:val="en-GB"/>
              </w:rPr>
            </w:pPr>
            <w:r w:rsidRPr="008D13C3">
              <w:rPr>
                <w:sz w:val="17"/>
                <w:szCs w:val="17"/>
                <w:lang w:val="en-GB"/>
              </w:rPr>
              <w:t xml:space="preserve">3,600,821 </w:t>
            </w:r>
          </w:p>
        </w:tc>
      </w:tr>
      <w:tr w:rsidR="00FE0727" w:rsidRPr="008D13C3" w14:paraId="0B12D843" w14:textId="5C735BA4" w:rsidTr="00FE0727">
        <w:trPr>
          <w:trHeight w:val="60"/>
          <w:jc w:val="center"/>
        </w:trPr>
        <w:tc>
          <w:tcPr>
            <w:tcW w:w="7102" w:type="dxa"/>
            <w:hideMark/>
          </w:tcPr>
          <w:p w14:paraId="4807141E" w14:textId="77777777" w:rsidR="00FE0727" w:rsidRPr="008D13C3" w:rsidRDefault="00FE0727" w:rsidP="00FE0727">
            <w:pPr>
              <w:pStyle w:val="ExhibitText"/>
              <w:rPr>
                <w:sz w:val="17"/>
                <w:szCs w:val="17"/>
                <w:lang w:val="en-GB"/>
              </w:rPr>
            </w:pPr>
            <w:r w:rsidRPr="008D13C3">
              <w:rPr>
                <w:sz w:val="17"/>
                <w:szCs w:val="17"/>
                <w:lang w:val="en-GB"/>
              </w:rPr>
              <w:t>Solar Energy Systems [Member]</w:t>
            </w:r>
          </w:p>
        </w:tc>
        <w:tc>
          <w:tcPr>
            <w:tcW w:w="1086" w:type="dxa"/>
            <w:noWrap/>
            <w:hideMark/>
          </w:tcPr>
          <w:p w14:paraId="38E6D8AB" w14:textId="77777777" w:rsidR="00FE0727" w:rsidRPr="008D13C3" w:rsidRDefault="00FE0727" w:rsidP="00FE0727">
            <w:pPr>
              <w:pStyle w:val="ExhibitText"/>
              <w:jc w:val="right"/>
              <w:rPr>
                <w:sz w:val="17"/>
                <w:szCs w:val="17"/>
                <w:lang w:val="en-GB" w:eastAsia="en-US"/>
              </w:rPr>
            </w:pPr>
            <w:r w:rsidRPr="008D13C3">
              <w:rPr>
                <w:sz w:val="17"/>
                <w:szCs w:val="17"/>
                <w:lang w:val="en-GB"/>
              </w:rPr>
              <w:t> </w:t>
            </w:r>
          </w:p>
        </w:tc>
        <w:tc>
          <w:tcPr>
            <w:tcW w:w="1132" w:type="dxa"/>
          </w:tcPr>
          <w:p w14:paraId="3A14E552" w14:textId="77777777" w:rsidR="00FE0727" w:rsidRPr="008D13C3" w:rsidRDefault="00FE0727" w:rsidP="00FE0727">
            <w:pPr>
              <w:pStyle w:val="ExhibitText"/>
              <w:jc w:val="right"/>
              <w:rPr>
                <w:sz w:val="17"/>
                <w:szCs w:val="17"/>
                <w:lang w:val="en-GB"/>
              </w:rPr>
            </w:pPr>
          </w:p>
        </w:tc>
      </w:tr>
      <w:tr w:rsidR="00FE0727" w:rsidRPr="008D13C3" w14:paraId="326B02B6" w14:textId="2E3A08CD" w:rsidTr="00FE0727">
        <w:trPr>
          <w:trHeight w:val="60"/>
          <w:jc w:val="center"/>
        </w:trPr>
        <w:tc>
          <w:tcPr>
            <w:tcW w:w="7102" w:type="dxa"/>
            <w:hideMark/>
          </w:tcPr>
          <w:p w14:paraId="6CFF4865" w14:textId="77777777" w:rsidR="00FE0727" w:rsidRPr="008D13C3" w:rsidRDefault="00FE0727" w:rsidP="00FE0727">
            <w:pPr>
              <w:pStyle w:val="ExhibitText"/>
              <w:rPr>
                <w:b/>
                <w:sz w:val="17"/>
                <w:szCs w:val="17"/>
                <w:lang w:val="en-GB"/>
              </w:rPr>
            </w:pPr>
            <w:r w:rsidRPr="008D13C3">
              <w:rPr>
                <w:b/>
                <w:sz w:val="17"/>
                <w:szCs w:val="17"/>
                <w:lang w:val="en-GB"/>
              </w:rPr>
              <w:t>Current assets</w:t>
            </w:r>
          </w:p>
        </w:tc>
        <w:tc>
          <w:tcPr>
            <w:tcW w:w="1086" w:type="dxa"/>
            <w:noWrap/>
            <w:hideMark/>
          </w:tcPr>
          <w:p w14:paraId="6516B001" w14:textId="77777777" w:rsidR="00FE0727" w:rsidRPr="008D13C3" w:rsidRDefault="00FE0727" w:rsidP="00FE0727">
            <w:pPr>
              <w:pStyle w:val="ExhibitText"/>
              <w:jc w:val="right"/>
              <w:rPr>
                <w:b/>
                <w:sz w:val="17"/>
                <w:szCs w:val="17"/>
                <w:lang w:val="en-GB" w:eastAsia="en-US"/>
              </w:rPr>
            </w:pPr>
            <w:r w:rsidRPr="008D13C3">
              <w:rPr>
                <w:b/>
                <w:sz w:val="17"/>
                <w:szCs w:val="17"/>
                <w:lang w:val="en-GB"/>
              </w:rPr>
              <w:t> </w:t>
            </w:r>
          </w:p>
        </w:tc>
        <w:tc>
          <w:tcPr>
            <w:tcW w:w="1132" w:type="dxa"/>
          </w:tcPr>
          <w:p w14:paraId="0EB29007" w14:textId="77777777" w:rsidR="00FE0727" w:rsidRPr="008D13C3" w:rsidRDefault="00FE0727" w:rsidP="00FE0727">
            <w:pPr>
              <w:pStyle w:val="ExhibitText"/>
              <w:jc w:val="right"/>
              <w:rPr>
                <w:b/>
                <w:sz w:val="17"/>
                <w:szCs w:val="17"/>
                <w:lang w:val="en-GB"/>
              </w:rPr>
            </w:pPr>
          </w:p>
        </w:tc>
      </w:tr>
      <w:tr w:rsidR="00FE0727" w:rsidRPr="008D13C3" w14:paraId="35F7215E" w14:textId="08EF5054" w:rsidTr="00FE0727">
        <w:trPr>
          <w:trHeight w:val="60"/>
          <w:jc w:val="center"/>
        </w:trPr>
        <w:tc>
          <w:tcPr>
            <w:tcW w:w="7102" w:type="dxa"/>
            <w:hideMark/>
          </w:tcPr>
          <w:p w14:paraId="4E53CC9E" w14:textId="77777777" w:rsidR="00FE0727" w:rsidRPr="008D13C3" w:rsidRDefault="00FE0727" w:rsidP="00FE0727">
            <w:pPr>
              <w:pStyle w:val="ExhibitText"/>
              <w:rPr>
                <w:sz w:val="17"/>
                <w:szCs w:val="17"/>
                <w:lang w:val="en-GB"/>
              </w:rPr>
            </w:pPr>
            <w:r w:rsidRPr="008D13C3">
              <w:rPr>
                <w:sz w:val="17"/>
                <w:szCs w:val="17"/>
                <w:lang w:val="en-GB"/>
              </w:rPr>
              <w:t>Operating lease net</w:t>
            </w:r>
          </w:p>
        </w:tc>
        <w:tc>
          <w:tcPr>
            <w:tcW w:w="1086" w:type="dxa"/>
            <w:noWrap/>
            <w:hideMark/>
          </w:tcPr>
          <w:p w14:paraId="7769EEB2"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5,919,880 </w:t>
            </w:r>
          </w:p>
        </w:tc>
        <w:tc>
          <w:tcPr>
            <w:tcW w:w="1132" w:type="dxa"/>
          </w:tcPr>
          <w:p w14:paraId="4AC70231" w14:textId="2B684ECF" w:rsidR="00FE0727" w:rsidRPr="008D13C3" w:rsidRDefault="00FE0727" w:rsidP="00FE0727">
            <w:pPr>
              <w:pStyle w:val="ExhibitText"/>
              <w:jc w:val="right"/>
              <w:rPr>
                <w:sz w:val="17"/>
                <w:szCs w:val="17"/>
                <w:lang w:val="en-GB"/>
              </w:rPr>
            </w:pPr>
            <w:r w:rsidRPr="008D13C3">
              <w:rPr>
                <w:sz w:val="17"/>
                <w:szCs w:val="17"/>
                <w:lang w:val="en-GB"/>
              </w:rPr>
              <w:t xml:space="preserve">6,218,504 </w:t>
            </w:r>
          </w:p>
        </w:tc>
      </w:tr>
      <w:tr w:rsidR="00FE0727" w:rsidRPr="008D13C3" w14:paraId="379A94C4" w14:textId="192AD48C" w:rsidTr="00FE0727">
        <w:trPr>
          <w:trHeight w:val="60"/>
          <w:jc w:val="center"/>
        </w:trPr>
        <w:tc>
          <w:tcPr>
            <w:tcW w:w="7102" w:type="dxa"/>
            <w:hideMark/>
          </w:tcPr>
          <w:p w14:paraId="64C7F2FB" w14:textId="77777777" w:rsidR="00FE0727" w:rsidRPr="008D13C3" w:rsidRDefault="00FE0727" w:rsidP="00FE0727">
            <w:pPr>
              <w:pStyle w:val="ExhibitText"/>
              <w:rPr>
                <w:sz w:val="17"/>
                <w:szCs w:val="17"/>
                <w:lang w:val="en-GB"/>
              </w:rPr>
            </w:pPr>
            <w:r w:rsidRPr="008D13C3">
              <w:rPr>
                <w:sz w:val="17"/>
                <w:szCs w:val="17"/>
                <w:lang w:val="en-GB"/>
              </w:rPr>
              <w:t>Solar Bonds [Member]</w:t>
            </w:r>
          </w:p>
        </w:tc>
        <w:tc>
          <w:tcPr>
            <w:tcW w:w="1086" w:type="dxa"/>
            <w:noWrap/>
            <w:hideMark/>
          </w:tcPr>
          <w:p w14:paraId="48887FC5" w14:textId="77777777" w:rsidR="00FE0727" w:rsidRPr="008D13C3" w:rsidRDefault="00FE0727" w:rsidP="00FE0727">
            <w:pPr>
              <w:pStyle w:val="ExhibitText"/>
              <w:jc w:val="right"/>
              <w:rPr>
                <w:sz w:val="17"/>
                <w:szCs w:val="17"/>
                <w:lang w:val="en-GB" w:eastAsia="en-US"/>
              </w:rPr>
            </w:pPr>
            <w:r w:rsidRPr="008D13C3">
              <w:rPr>
                <w:sz w:val="17"/>
                <w:szCs w:val="17"/>
                <w:lang w:val="en-GB"/>
              </w:rPr>
              <w:t> </w:t>
            </w:r>
          </w:p>
        </w:tc>
        <w:tc>
          <w:tcPr>
            <w:tcW w:w="1132" w:type="dxa"/>
          </w:tcPr>
          <w:p w14:paraId="117044C5" w14:textId="77777777" w:rsidR="00FE0727" w:rsidRPr="008D13C3" w:rsidRDefault="00FE0727" w:rsidP="00FE0727">
            <w:pPr>
              <w:pStyle w:val="ExhibitText"/>
              <w:jc w:val="right"/>
              <w:rPr>
                <w:sz w:val="17"/>
                <w:szCs w:val="17"/>
                <w:lang w:val="en-GB"/>
              </w:rPr>
            </w:pPr>
          </w:p>
        </w:tc>
      </w:tr>
      <w:tr w:rsidR="00FE0727" w:rsidRPr="008D13C3" w14:paraId="48DEBB15" w14:textId="05AFC380" w:rsidTr="00FE0727">
        <w:trPr>
          <w:trHeight w:val="60"/>
          <w:jc w:val="center"/>
        </w:trPr>
        <w:tc>
          <w:tcPr>
            <w:tcW w:w="7102" w:type="dxa"/>
            <w:hideMark/>
          </w:tcPr>
          <w:p w14:paraId="4049E1C5" w14:textId="77777777" w:rsidR="00FE0727" w:rsidRPr="008D13C3" w:rsidRDefault="00FE0727" w:rsidP="00FE0727">
            <w:pPr>
              <w:pStyle w:val="ExhibitText"/>
              <w:rPr>
                <w:b/>
                <w:sz w:val="17"/>
                <w:szCs w:val="17"/>
                <w:lang w:val="en-GB"/>
              </w:rPr>
            </w:pPr>
            <w:r w:rsidRPr="008D13C3">
              <w:rPr>
                <w:b/>
                <w:sz w:val="17"/>
                <w:szCs w:val="17"/>
                <w:lang w:val="en-GB"/>
              </w:rPr>
              <w:t>Current liabilities</w:t>
            </w:r>
          </w:p>
        </w:tc>
        <w:tc>
          <w:tcPr>
            <w:tcW w:w="1086" w:type="dxa"/>
            <w:noWrap/>
            <w:hideMark/>
          </w:tcPr>
          <w:p w14:paraId="25D3C950" w14:textId="77777777" w:rsidR="00FE0727" w:rsidRPr="008D13C3" w:rsidRDefault="00FE0727" w:rsidP="00FE0727">
            <w:pPr>
              <w:pStyle w:val="ExhibitText"/>
              <w:jc w:val="right"/>
              <w:rPr>
                <w:b/>
                <w:sz w:val="17"/>
                <w:szCs w:val="17"/>
                <w:lang w:val="en-GB" w:eastAsia="en-US"/>
              </w:rPr>
            </w:pPr>
            <w:r w:rsidRPr="008D13C3">
              <w:rPr>
                <w:b/>
                <w:sz w:val="17"/>
                <w:szCs w:val="17"/>
                <w:lang w:val="en-GB"/>
              </w:rPr>
              <w:t> </w:t>
            </w:r>
          </w:p>
        </w:tc>
        <w:tc>
          <w:tcPr>
            <w:tcW w:w="1132" w:type="dxa"/>
          </w:tcPr>
          <w:p w14:paraId="0F9BB4FF" w14:textId="77777777" w:rsidR="00FE0727" w:rsidRPr="008D13C3" w:rsidRDefault="00FE0727" w:rsidP="00FE0727">
            <w:pPr>
              <w:pStyle w:val="ExhibitText"/>
              <w:jc w:val="right"/>
              <w:rPr>
                <w:b/>
                <w:sz w:val="17"/>
                <w:szCs w:val="17"/>
                <w:lang w:val="en-GB"/>
              </w:rPr>
            </w:pPr>
          </w:p>
        </w:tc>
      </w:tr>
      <w:tr w:rsidR="00FE0727" w:rsidRPr="008D13C3" w14:paraId="09EF4BD2" w14:textId="69605244" w:rsidTr="00FE0727">
        <w:trPr>
          <w:trHeight w:val="60"/>
          <w:jc w:val="center"/>
        </w:trPr>
        <w:tc>
          <w:tcPr>
            <w:tcW w:w="7102" w:type="dxa"/>
            <w:hideMark/>
          </w:tcPr>
          <w:p w14:paraId="23BBF73D" w14:textId="77777777" w:rsidR="00FE0727" w:rsidRPr="008D13C3" w:rsidRDefault="00FE0727" w:rsidP="00FE0727">
            <w:pPr>
              <w:pStyle w:val="ExhibitText"/>
              <w:rPr>
                <w:sz w:val="17"/>
                <w:szCs w:val="17"/>
                <w:lang w:val="en-GB"/>
              </w:rPr>
            </w:pPr>
            <w:r w:rsidRPr="008D13C3">
              <w:rPr>
                <w:sz w:val="17"/>
                <w:szCs w:val="17"/>
                <w:lang w:val="en-GB"/>
              </w:rPr>
              <w:t>Current portion of solar bonds and promissory notes issued to related parties</w:t>
            </w:r>
          </w:p>
        </w:tc>
        <w:tc>
          <w:tcPr>
            <w:tcW w:w="1086" w:type="dxa"/>
            <w:noWrap/>
            <w:hideMark/>
          </w:tcPr>
          <w:p w14:paraId="4D27C64D" w14:textId="77777777" w:rsidR="00FE0727" w:rsidRPr="008D13C3" w:rsidRDefault="00FE0727" w:rsidP="00FE0727">
            <w:pPr>
              <w:pStyle w:val="ExhibitText"/>
              <w:jc w:val="right"/>
              <w:rPr>
                <w:sz w:val="17"/>
                <w:szCs w:val="17"/>
                <w:lang w:val="en-GB" w:eastAsia="en-US"/>
              </w:rPr>
            </w:pPr>
            <w:r w:rsidRPr="008D13C3">
              <w:rPr>
                <w:sz w:val="17"/>
                <w:szCs w:val="17"/>
                <w:lang w:val="en-GB"/>
              </w:rPr>
              <w:t xml:space="preserve">165,936 </w:t>
            </w:r>
          </w:p>
        </w:tc>
        <w:tc>
          <w:tcPr>
            <w:tcW w:w="1132" w:type="dxa"/>
          </w:tcPr>
          <w:p w14:paraId="0C708036" w14:textId="5BA4168B" w:rsidR="00FE0727" w:rsidRPr="008D13C3" w:rsidRDefault="00FE0727" w:rsidP="00FE0727">
            <w:pPr>
              <w:pStyle w:val="ExhibitText"/>
              <w:jc w:val="right"/>
              <w:rPr>
                <w:sz w:val="17"/>
                <w:szCs w:val="17"/>
                <w:lang w:val="en-GB"/>
              </w:rPr>
            </w:pPr>
            <w:r w:rsidRPr="008D13C3">
              <w:rPr>
                <w:sz w:val="17"/>
                <w:szCs w:val="17"/>
                <w:lang w:val="en-GB"/>
              </w:rPr>
              <w:t xml:space="preserve">100,000 </w:t>
            </w:r>
          </w:p>
        </w:tc>
      </w:tr>
      <w:tr w:rsidR="00FE0727" w:rsidRPr="008D13C3" w14:paraId="165D7BFE" w14:textId="66239EC9" w:rsidTr="00FE0727">
        <w:trPr>
          <w:trHeight w:val="60"/>
          <w:jc w:val="center"/>
        </w:trPr>
        <w:tc>
          <w:tcPr>
            <w:tcW w:w="7102" w:type="dxa"/>
            <w:hideMark/>
          </w:tcPr>
          <w:p w14:paraId="3C3C7495" w14:textId="77777777" w:rsidR="00FE0727" w:rsidRPr="008D13C3" w:rsidRDefault="00FE0727" w:rsidP="00FE0727">
            <w:pPr>
              <w:pStyle w:val="ExhibitText"/>
              <w:rPr>
                <w:sz w:val="17"/>
                <w:szCs w:val="17"/>
                <w:lang w:val="en-GB"/>
              </w:rPr>
            </w:pPr>
            <w:r w:rsidRPr="008D13C3">
              <w:rPr>
                <w:sz w:val="17"/>
                <w:szCs w:val="17"/>
                <w:lang w:val="en-GB"/>
              </w:rPr>
              <w:t>Solar bonds issued to related parties, net of current portion</w:t>
            </w:r>
          </w:p>
        </w:tc>
        <w:tc>
          <w:tcPr>
            <w:tcW w:w="1086" w:type="dxa"/>
            <w:noWrap/>
            <w:hideMark/>
          </w:tcPr>
          <w:p w14:paraId="265B4471" w14:textId="1E9409D7" w:rsidR="00FE0727" w:rsidRPr="008D13C3" w:rsidRDefault="00FE0727" w:rsidP="00FE0727">
            <w:pPr>
              <w:pStyle w:val="ExhibitText"/>
              <w:jc w:val="right"/>
              <w:rPr>
                <w:sz w:val="17"/>
                <w:szCs w:val="17"/>
                <w:lang w:val="en-GB" w:eastAsia="en-US"/>
              </w:rPr>
            </w:pPr>
            <w:r w:rsidRPr="008D13C3">
              <w:rPr>
                <w:sz w:val="17"/>
                <w:szCs w:val="17"/>
                <w:lang w:val="en-GB"/>
              </w:rPr>
              <w:t xml:space="preserve">  99,164 </w:t>
            </w:r>
          </w:p>
        </w:tc>
        <w:tc>
          <w:tcPr>
            <w:tcW w:w="1132" w:type="dxa"/>
          </w:tcPr>
          <w:p w14:paraId="5A836A2A" w14:textId="4101A6F1" w:rsidR="00FE0727" w:rsidRPr="008D13C3" w:rsidRDefault="00FE0727" w:rsidP="00FE0727">
            <w:pPr>
              <w:pStyle w:val="ExhibitText"/>
              <w:jc w:val="right"/>
              <w:rPr>
                <w:sz w:val="17"/>
                <w:szCs w:val="17"/>
                <w:lang w:val="en-GB"/>
              </w:rPr>
            </w:pPr>
            <w:r w:rsidRPr="008D13C3">
              <w:rPr>
                <w:sz w:val="17"/>
                <w:szCs w:val="17"/>
                <w:lang w:val="en-GB"/>
              </w:rPr>
              <w:t xml:space="preserve">  100 </w:t>
            </w:r>
          </w:p>
        </w:tc>
      </w:tr>
    </w:tbl>
    <w:p w14:paraId="2BAAD339" w14:textId="3604AD7F" w:rsidR="00F9022B" w:rsidRPr="008D13C3" w:rsidRDefault="00F9022B" w:rsidP="00F9022B">
      <w:pPr>
        <w:pStyle w:val="Footnote"/>
        <w:jc w:val="center"/>
        <w:rPr>
          <w:sz w:val="13"/>
          <w:lang w:val="en-GB"/>
        </w:rPr>
      </w:pPr>
    </w:p>
    <w:p w14:paraId="713C8628" w14:textId="74EE13B7" w:rsidR="00B63E2B" w:rsidRDefault="00F9022B" w:rsidP="008D13C3">
      <w:pPr>
        <w:pStyle w:val="Footnote"/>
        <w:rPr>
          <w:lang w:val="en-GB"/>
        </w:rPr>
      </w:pPr>
      <w:r w:rsidRPr="00A92D75">
        <w:rPr>
          <w:lang w:val="en-GB"/>
        </w:rPr>
        <w:t xml:space="preserve">Source: </w:t>
      </w:r>
      <w:r w:rsidR="00B63E2B">
        <w:t xml:space="preserve">United States Security and Exchange Commission, </w:t>
      </w:r>
      <w:r w:rsidRPr="00A92D75">
        <w:rPr>
          <w:lang w:val="en-GB"/>
        </w:rPr>
        <w:t>SEC Form 10-Q</w:t>
      </w:r>
      <w:r w:rsidR="00F5245A">
        <w:rPr>
          <w:lang w:val="en-GB"/>
        </w:rPr>
        <w:t>, 4</w:t>
      </w:r>
      <w:r w:rsidR="00165716">
        <w:rPr>
          <w:lang w:val="en-GB"/>
        </w:rPr>
        <w:t>,</w:t>
      </w:r>
      <w:r w:rsidRPr="00A92D75">
        <w:rPr>
          <w:lang w:val="en-GB"/>
        </w:rPr>
        <w:t xml:space="preserve"> filed by Tesla, Inc. on </w:t>
      </w:r>
      <w:r w:rsidR="00B63E2B">
        <w:rPr>
          <w:lang w:val="en-GB"/>
        </w:rPr>
        <w:t xml:space="preserve">August </w:t>
      </w:r>
      <w:r w:rsidRPr="00A92D75">
        <w:rPr>
          <w:lang w:val="en-GB"/>
        </w:rPr>
        <w:t>4</w:t>
      </w:r>
      <w:r w:rsidR="00B63E2B">
        <w:rPr>
          <w:lang w:val="en-GB"/>
        </w:rPr>
        <w:t xml:space="preserve">, </w:t>
      </w:r>
      <w:r w:rsidRPr="00A92D75">
        <w:rPr>
          <w:lang w:val="en-GB"/>
        </w:rPr>
        <w:t>2017</w:t>
      </w:r>
      <w:r w:rsidR="009518DD">
        <w:rPr>
          <w:lang w:val="en-GB"/>
        </w:rPr>
        <w:t>,</w:t>
      </w:r>
      <w:r w:rsidR="00B63E2B">
        <w:rPr>
          <w:lang w:val="en-GB"/>
        </w:rPr>
        <w:t xml:space="preserve"> accessed </w:t>
      </w:r>
      <w:r w:rsidR="00A33EB6">
        <w:rPr>
          <w:lang w:val="en-GB"/>
        </w:rPr>
        <w:t>August 13, 2017</w:t>
      </w:r>
      <w:r w:rsidR="00B63E2B">
        <w:rPr>
          <w:lang w:val="en-GB"/>
        </w:rPr>
        <w:t xml:space="preserve">, </w:t>
      </w:r>
      <w:r w:rsidR="00B63E2B" w:rsidRPr="00B63E2B">
        <w:rPr>
          <w:lang w:val="en-GB"/>
        </w:rPr>
        <w:t>www.sec.gov/Archives/edgar/data/1318605/000156459017015705/tsla-10q_20170630.htm</w:t>
      </w:r>
      <w:r w:rsidRPr="00A92D75">
        <w:rPr>
          <w:lang w:val="en-GB"/>
        </w:rPr>
        <w:t>.</w:t>
      </w:r>
      <w:r w:rsidR="00B63E2B">
        <w:rPr>
          <w:lang w:val="en-GB"/>
        </w:rPr>
        <w:br w:type="page"/>
      </w:r>
    </w:p>
    <w:p w14:paraId="28CDABE6" w14:textId="130ECD4A" w:rsidR="00F9022B" w:rsidRPr="00A92D75" w:rsidRDefault="00F9022B" w:rsidP="00F9022B">
      <w:pPr>
        <w:pStyle w:val="ExhibitHeading"/>
        <w:rPr>
          <w:lang w:val="en-GB"/>
        </w:rPr>
      </w:pPr>
      <w:r w:rsidRPr="00A92D75">
        <w:rPr>
          <w:lang w:val="en-GB"/>
        </w:rPr>
        <w:lastRenderedPageBreak/>
        <w:t xml:space="preserve">Exhibit 3: </w:t>
      </w:r>
      <w:r w:rsidR="00B63E2B">
        <w:rPr>
          <w:lang w:val="en-GB"/>
        </w:rPr>
        <w:t xml:space="preserve">Tesla Inc.’s </w:t>
      </w:r>
      <w:r w:rsidRPr="00A92D75">
        <w:rPr>
          <w:lang w:val="en-GB"/>
        </w:rPr>
        <w:t>Consolidated Statements of Operations</w:t>
      </w:r>
      <w:r w:rsidR="00B63E2B">
        <w:rPr>
          <w:lang w:val="en-GB"/>
        </w:rPr>
        <w:t>, June 2016 and june 2017</w:t>
      </w:r>
      <w:r w:rsidRPr="00A92D75">
        <w:rPr>
          <w:lang w:val="en-GB"/>
        </w:rPr>
        <w:t xml:space="preserve"> (Unaudited) (in </w:t>
      </w:r>
      <w:r w:rsidR="00B63E2B">
        <w:rPr>
          <w:lang w:val="en-GB"/>
        </w:rPr>
        <w:t xml:space="preserve">US$ </w:t>
      </w:r>
      <w:r w:rsidRPr="00A92D75">
        <w:rPr>
          <w:lang w:val="en-GB"/>
        </w:rPr>
        <w:t>thousands</w:t>
      </w:r>
      <w:r w:rsidR="00B63E2B">
        <w:rPr>
          <w:lang w:val="en-GB"/>
        </w:rPr>
        <w:t xml:space="preserve"> with</w:t>
      </w:r>
      <w:r w:rsidR="00B63E2B" w:rsidRPr="00A92D75">
        <w:rPr>
          <w:lang w:val="en-GB"/>
        </w:rPr>
        <w:t xml:space="preserve"> </w:t>
      </w:r>
      <w:r w:rsidRPr="00A92D75">
        <w:rPr>
          <w:lang w:val="en-GB"/>
        </w:rPr>
        <w:t>Shares in thousands</w:t>
      </w:r>
      <w:r w:rsidR="00B63E2B">
        <w:rPr>
          <w:lang w:val="en-GB"/>
        </w:rPr>
        <w:t>)</w:t>
      </w:r>
    </w:p>
    <w:p w14:paraId="75485138" w14:textId="77777777" w:rsidR="00F9022B" w:rsidRPr="00A92D75" w:rsidRDefault="00F9022B" w:rsidP="00F9022B">
      <w:pPr>
        <w:pStyle w:val="Footnote"/>
        <w:rPr>
          <w:lang w:val="en-GB"/>
        </w:rPr>
      </w:pPr>
    </w:p>
    <w:tbl>
      <w:tblPr>
        <w:tblStyle w:val="TableGrid"/>
        <w:tblW w:w="0" w:type="auto"/>
        <w:jc w:val="center"/>
        <w:tblLook w:val="04A0" w:firstRow="1" w:lastRow="0" w:firstColumn="1" w:lastColumn="0" w:noHBand="0" w:noVBand="1"/>
      </w:tblPr>
      <w:tblGrid>
        <w:gridCol w:w="4386"/>
        <w:gridCol w:w="1231"/>
        <w:gridCol w:w="1313"/>
        <w:gridCol w:w="1202"/>
        <w:gridCol w:w="1128"/>
      </w:tblGrid>
      <w:tr w:rsidR="0000412A" w:rsidRPr="00A92D75" w14:paraId="073E0DB0" w14:textId="28AA9FBC" w:rsidTr="0000412A">
        <w:trPr>
          <w:trHeight w:val="60"/>
          <w:jc w:val="center"/>
        </w:trPr>
        <w:tc>
          <w:tcPr>
            <w:tcW w:w="4386" w:type="dxa"/>
            <w:vMerge w:val="restart"/>
            <w:hideMark/>
          </w:tcPr>
          <w:p w14:paraId="561AB45B" w14:textId="77777777" w:rsidR="0000412A" w:rsidRPr="00A92D75" w:rsidRDefault="0000412A" w:rsidP="00022AC3">
            <w:pPr>
              <w:pStyle w:val="Footnote"/>
              <w:rPr>
                <w:b/>
                <w:bCs/>
                <w:sz w:val="18"/>
                <w:szCs w:val="18"/>
                <w:lang w:val="en-GB"/>
              </w:rPr>
            </w:pPr>
            <w:r w:rsidRPr="00A92D75">
              <w:rPr>
                <w:b/>
                <w:bCs/>
                <w:sz w:val="18"/>
                <w:szCs w:val="18"/>
                <w:lang w:val="en-GB"/>
              </w:rPr>
              <w:t> </w:t>
            </w:r>
          </w:p>
        </w:tc>
        <w:tc>
          <w:tcPr>
            <w:tcW w:w="2544" w:type="dxa"/>
            <w:gridSpan w:val="2"/>
          </w:tcPr>
          <w:p w14:paraId="066798C3" w14:textId="14332B5B" w:rsidR="0000412A" w:rsidRPr="00A92D75" w:rsidRDefault="0000412A" w:rsidP="008E469F">
            <w:pPr>
              <w:pStyle w:val="Footnote"/>
              <w:jc w:val="center"/>
              <w:rPr>
                <w:b/>
                <w:bCs/>
                <w:sz w:val="18"/>
                <w:szCs w:val="18"/>
                <w:lang w:val="en-GB"/>
              </w:rPr>
            </w:pPr>
            <w:r w:rsidRPr="00FE0727">
              <w:rPr>
                <w:b/>
                <w:bCs/>
                <w:sz w:val="18"/>
                <w:szCs w:val="18"/>
                <w:lang w:val="en-GB"/>
              </w:rPr>
              <w:t>3 Months Ended</w:t>
            </w:r>
          </w:p>
        </w:tc>
        <w:tc>
          <w:tcPr>
            <w:tcW w:w="2330" w:type="dxa"/>
            <w:gridSpan w:val="2"/>
          </w:tcPr>
          <w:p w14:paraId="34BEBFB2" w14:textId="1592D4DF" w:rsidR="0000412A" w:rsidRPr="00A92D75" w:rsidRDefault="0000412A" w:rsidP="008E469F">
            <w:pPr>
              <w:pStyle w:val="Footnote"/>
              <w:jc w:val="center"/>
              <w:rPr>
                <w:b/>
                <w:bCs/>
                <w:sz w:val="18"/>
                <w:szCs w:val="18"/>
                <w:lang w:val="en-GB"/>
              </w:rPr>
            </w:pPr>
            <w:r w:rsidRPr="00A92D75">
              <w:rPr>
                <w:b/>
                <w:bCs/>
                <w:sz w:val="18"/>
                <w:szCs w:val="18"/>
                <w:lang w:val="en-GB"/>
              </w:rPr>
              <w:t>6 Months Ended</w:t>
            </w:r>
          </w:p>
        </w:tc>
      </w:tr>
      <w:tr w:rsidR="0000412A" w:rsidRPr="00A92D75" w14:paraId="655B44CE" w14:textId="14CCE5AF" w:rsidTr="0000412A">
        <w:trPr>
          <w:trHeight w:val="60"/>
          <w:jc w:val="center"/>
        </w:trPr>
        <w:tc>
          <w:tcPr>
            <w:tcW w:w="4386" w:type="dxa"/>
            <w:vMerge/>
            <w:hideMark/>
          </w:tcPr>
          <w:p w14:paraId="729FC9A4" w14:textId="77777777" w:rsidR="0000412A" w:rsidRPr="00A92D75" w:rsidRDefault="0000412A" w:rsidP="0000412A">
            <w:pPr>
              <w:pStyle w:val="Footnote"/>
              <w:rPr>
                <w:b/>
                <w:bCs/>
                <w:sz w:val="18"/>
                <w:szCs w:val="18"/>
                <w:lang w:val="en-GB"/>
              </w:rPr>
            </w:pPr>
          </w:p>
        </w:tc>
        <w:tc>
          <w:tcPr>
            <w:tcW w:w="1231" w:type="dxa"/>
          </w:tcPr>
          <w:p w14:paraId="78E71845" w14:textId="680E9703" w:rsidR="0000412A" w:rsidRPr="00A92D75" w:rsidRDefault="0000412A" w:rsidP="0000412A">
            <w:pPr>
              <w:pStyle w:val="Footnote"/>
              <w:jc w:val="center"/>
              <w:rPr>
                <w:b/>
                <w:bCs/>
                <w:sz w:val="18"/>
                <w:szCs w:val="18"/>
                <w:lang w:val="en-GB"/>
              </w:rPr>
            </w:pPr>
            <w:r w:rsidRPr="00A92D75">
              <w:rPr>
                <w:b/>
                <w:bCs/>
                <w:sz w:val="18"/>
                <w:szCs w:val="18"/>
                <w:lang w:val="en-GB"/>
              </w:rPr>
              <w:t>Jun. 30, 2016</w:t>
            </w:r>
          </w:p>
        </w:tc>
        <w:tc>
          <w:tcPr>
            <w:tcW w:w="1313" w:type="dxa"/>
            <w:hideMark/>
          </w:tcPr>
          <w:p w14:paraId="77078077" w14:textId="356B8557" w:rsidR="0000412A" w:rsidRPr="00A92D75" w:rsidRDefault="0000412A" w:rsidP="0000412A">
            <w:pPr>
              <w:pStyle w:val="Footnote"/>
              <w:jc w:val="center"/>
              <w:rPr>
                <w:b/>
                <w:bCs/>
                <w:sz w:val="18"/>
                <w:szCs w:val="18"/>
                <w:lang w:val="en-GB"/>
              </w:rPr>
            </w:pPr>
            <w:r w:rsidRPr="00A92D75">
              <w:rPr>
                <w:b/>
                <w:bCs/>
                <w:sz w:val="18"/>
                <w:szCs w:val="18"/>
                <w:lang w:val="en-GB"/>
              </w:rPr>
              <w:t>Jun. 30, 2017</w:t>
            </w:r>
          </w:p>
        </w:tc>
        <w:tc>
          <w:tcPr>
            <w:tcW w:w="1202" w:type="dxa"/>
            <w:hideMark/>
          </w:tcPr>
          <w:p w14:paraId="1CB84C7E" w14:textId="77777777" w:rsidR="0000412A" w:rsidRPr="00A92D75" w:rsidRDefault="0000412A" w:rsidP="0000412A">
            <w:pPr>
              <w:pStyle w:val="Footnote"/>
              <w:jc w:val="center"/>
              <w:rPr>
                <w:b/>
                <w:bCs/>
                <w:sz w:val="18"/>
                <w:szCs w:val="18"/>
                <w:lang w:val="en-GB"/>
              </w:rPr>
            </w:pPr>
            <w:r w:rsidRPr="00A92D75">
              <w:rPr>
                <w:b/>
                <w:bCs/>
                <w:sz w:val="18"/>
                <w:szCs w:val="18"/>
                <w:lang w:val="en-GB"/>
              </w:rPr>
              <w:t>Jun. 30, 2016</w:t>
            </w:r>
          </w:p>
        </w:tc>
        <w:tc>
          <w:tcPr>
            <w:tcW w:w="1128" w:type="dxa"/>
          </w:tcPr>
          <w:p w14:paraId="13943222" w14:textId="7AB7B939" w:rsidR="0000412A" w:rsidRPr="00A92D75" w:rsidRDefault="0000412A" w:rsidP="0000412A">
            <w:pPr>
              <w:pStyle w:val="Footnote"/>
              <w:jc w:val="center"/>
              <w:rPr>
                <w:b/>
                <w:bCs/>
                <w:sz w:val="18"/>
                <w:szCs w:val="18"/>
                <w:lang w:val="en-GB"/>
              </w:rPr>
            </w:pPr>
            <w:r w:rsidRPr="00A92D75">
              <w:rPr>
                <w:b/>
                <w:bCs/>
                <w:sz w:val="18"/>
                <w:szCs w:val="18"/>
                <w:lang w:val="en-GB"/>
              </w:rPr>
              <w:t>Jun. 30, 2017</w:t>
            </w:r>
          </w:p>
        </w:tc>
      </w:tr>
      <w:tr w:rsidR="0000412A" w:rsidRPr="00A92D75" w14:paraId="42BF6037" w14:textId="375407BC" w:rsidTr="0000412A">
        <w:trPr>
          <w:trHeight w:val="60"/>
          <w:jc w:val="center"/>
        </w:trPr>
        <w:tc>
          <w:tcPr>
            <w:tcW w:w="4386" w:type="dxa"/>
            <w:hideMark/>
          </w:tcPr>
          <w:p w14:paraId="796B742A" w14:textId="77777777" w:rsidR="0000412A" w:rsidRPr="00A92D75" w:rsidRDefault="0000412A" w:rsidP="0000412A">
            <w:pPr>
              <w:pStyle w:val="Footnote"/>
              <w:rPr>
                <w:b/>
                <w:bCs/>
                <w:sz w:val="18"/>
                <w:szCs w:val="18"/>
                <w:lang w:val="en-GB"/>
              </w:rPr>
            </w:pPr>
            <w:r w:rsidRPr="00A92D75">
              <w:rPr>
                <w:b/>
                <w:bCs/>
                <w:sz w:val="18"/>
                <w:szCs w:val="18"/>
                <w:lang w:val="en-GB"/>
              </w:rPr>
              <w:t>Revenues</w:t>
            </w:r>
          </w:p>
        </w:tc>
        <w:tc>
          <w:tcPr>
            <w:tcW w:w="1231" w:type="dxa"/>
          </w:tcPr>
          <w:p w14:paraId="58B75DA4" w14:textId="77777777" w:rsidR="0000412A" w:rsidRPr="00A92D75" w:rsidRDefault="0000412A" w:rsidP="0000412A">
            <w:pPr>
              <w:pStyle w:val="Footnote"/>
              <w:rPr>
                <w:b/>
                <w:bCs/>
                <w:sz w:val="18"/>
                <w:szCs w:val="18"/>
                <w:lang w:val="en-GB"/>
              </w:rPr>
            </w:pPr>
          </w:p>
        </w:tc>
        <w:tc>
          <w:tcPr>
            <w:tcW w:w="1313" w:type="dxa"/>
            <w:noWrap/>
            <w:hideMark/>
          </w:tcPr>
          <w:p w14:paraId="2A546D97" w14:textId="549AFBB6" w:rsidR="0000412A" w:rsidRPr="00A92D75" w:rsidRDefault="0000412A" w:rsidP="0000412A">
            <w:pPr>
              <w:pStyle w:val="Footnote"/>
              <w:rPr>
                <w:b/>
                <w:bCs/>
                <w:sz w:val="18"/>
                <w:szCs w:val="18"/>
                <w:lang w:val="en-GB"/>
              </w:rPr>
            </w:pPr>
          </w:p>
        </w:tc>
        <w:tc>
          <w:tcPr>
            <w:tcW w:w="1202" w:type="dxa"/>
            <w:noWrap/>
            <w:hideMark/>
          </w:tcPr>
          <w:p w14:paraId="1142979F" w14:textId="77777777" w:rsidR="0000412A" w:rsidRPr="00A92D75" w:rsidRDefault="0000412A" w:rsidP="0000412A">
            <w:pPr>
              <w:pStyle w:val="Footnote"/>
              <w:rPr>
                <w:sz w:val="18"/>
                <w:szCs w:val="18"/>
                <w:lang w:val="en-GB"/>
              </w:rPr>
            </w:pPr>
            <w:r w:rsidRPr="00A92D75">
              <w:rPr>
                <w:sz w:val="18"/>
                <w:szCs w:val="18"/>
                <w:lang w:val="en-GB"/>
              </w:rPr>
              <w:t> </w:t>
            </w:r>
          </w:p>
        </w:tc>
        <w:tc>
          <w:tcPr>
            <w:tcW w:w="1128" w:type="dxa"/>
          </w:tcPr>
          <w:p w14:paraId="2DB998C8" w14:textId="77777777" w:rsidR="0000412A" w:rsidRPr="00A92D75" w:rsidRDefault="0000412A" w:rsidP="0000412A">
            <w:pPr>
              <w:pStyle w:val="Footnote"/>
              <w:rPr>
                <w:sz w:val="18"/>
                <w:szCs w:val="18"/>
                <w:lang w:val="en-GB"/>
              </w:rPr>
            </w:pPr>
          </w:p>
        </w:tc>
      </w:tr>
      <w:tr w:rsidR="0000412A" w:rsidRPr="00A92D75" w14:paraId="5AD5EC08" w14:textId="4426F032" w:rsidTr="0000412A">
        <w:trPr>
          <w:trHeight w:val="60"/>
          <w:jc w:val="center"/>
        </w:trPr>
        <w:tc>
          <w:tcPr>
            <w:tcW w:w="4386" w:type="dxa"/>
            <w:hideMark/>
          </w:tcPr>
          <w:p w14:paraId="42DAF353" w14:textId="77777777" w:rsidR="0000412A" w:rsidRPr="00A92D75" w:rsidRDefault="0000412A" w:rsidP="0000412A">
            <w:pPr>
              <w:pStyle w:val="Footnote"/>
              <w:rPr>
                <w:sz w:val="18"/>
                <w:szCs w:val="18"/>
                <w:lang w:val="en-GB"/>
              </w:rPr>
            </w:pPr>
            <w:r w:rsidRPr="00A92D75">
              <w:rPr>
                <w:sz w:val="18"/>
                <w:szCs w:val="18"/>
                <w:lang w:val="en-GB"/>
              </w:rPr>
              <w:t>Automotive sales</w:t>
            </w:r>
          </w:p>
        </w:tc>
        <w:tc>
          <w:tcPr>
            <w:tcW w:w="1231" w:type="dxa"/>
          </w:tcPr>
          <w:p w14:paraId="72C07ECE" w14:textId="20E59C18" w:rsidR="0000412A" w:rsidRPr="00A92D75" w:rsidRDefault="0000412A" w:rsidP="0000412A">
            <w:pPr>
              <w:pStyle w:val="Footnote"/>
              <w:jc w:val="right"/>
              <w:rPr>
                <w:sz w:val="18"/>
                <w:szCs w:val="18"/>
                <w:lang w:val="en-GB"/>
              </w:rPr>
            </w:pPr>
            <w:r w:rsidRPr="00A92D75">
              <w:rPr>
                <w:sz w:val="18"/>
                <w:szCs w:val="18"/>
                <w:lang w:val="en-GB"/>
              </w:rPr>
              <w:t xml:space="preserve">  1,030,224 </w:t>
            </w:r>
          </w:p>
        </w:tc>
        <w:tc>
          <w:tcPr>
            <w:tcW w:w="1313" w:type="dxa"/>
            <w:noWrap/>
            <w:hideMark/>
          </w:tcPr>
          <w:p w14:paraId="64B58CB8" w14:textId="0D904555" w:rsidR="0000412A" w:rsidRPr="00A92D75" w:rsidRDefault="0000412A" w:rsidP="0000412A">
            <w:pPr>
              <w:pStyle w:val="Footnote"/>
              <w:jc w:val="right"/>
              <w:rPr>
                <w:sz w:val="18"/>
                <w:szCs w:val="18"/>
                <w:lang w:val="en-GB" w:eastAsia="en-US"/>
              </w:rPr>
            </w:pPr>
            <w:r w:rsidRPr="00A92D75">
              <w:rPr>
                <w:sz w:val="18"/>
                <w:szCs w:val="18"/>
                <w:lang w:val="en-GB"/>
              </w:rPr>
              <w:t xml:space="preserve">  2,013,852 </w:t>
            </w:r>
          </w:p>
        </w:tc>
        <w:tc>
          <w:tcPr>
            <w:tcW w:w="1202" w:type="dxa"/>
            <w:noWrap/>
            <w:hideMark/>
          </w:tcPr>
          <w:p w14:paraId="545BA501" w14:textId="4A96C7D6" w:rsidR="0000412A" w:rsidRPr="00A92D75" w:rsidRDefault="0000412A" w:rsidP="0000412A">
            <w:pPr>
              <w:pStyle w:val="Footnote"/>
              <w:jc w:val="right"/>
              <w:rPr>
                <w:sz w:val="18"/>
                <w:szCs w:val="18"/>
                <w:lang w:val="en-GB" w:eastAsia="en-US"/>
              </w:rPr>
            </w:pPr>
            <w:r w:rsidRPr="00A92D75">
              <w:rPr>
                <w:sz w:val="18"/>
                <w:szCs w:val="18"/>
                <w:lang w:val="en-GB"/>
              </w:rPr>
              <w:t xml:space="preserve">  1,932,116 </w:t>
            </w:r>
          </w:p>
        </w:tc>
        <w:tc>
          <w:tcPr>
            <w:tcW w:w="1128" w:type="dxa"/>
          </w:tcPr>
          <w:p w14:paraId="24D98934" w14:textId="7549B963" w:rsidR="0000412A" w:rsidRPr="00A92D75" w:rsidRDefault="0000412A" w:rsidP="0000412A">
            <w:pPr>
              <w:pStyle w:val="Footnote"/>
              <w:jc w:val="right"/>
              <w:rPr>
                <w:sz w:val="18"/>
                <w:szCs w:val="18"/>
                <w:lang w:val="en-GB"/>
              </w:rPr>
            </w:pPr>
            <w:r w:rsidRPr="00A92D75">
              <w:rPr>
                <w:sz w:val="18"/>
                <w:szCs w:val="18"/>
                <w:lang w:val="en-GB"/>
              </w:rPr>
              <w:t xml:space="preserve"> 4,048,912 </w:t>
            </w:r>
          </w:p>
        </w:tc>
      </w:tr>
      <w:tr w:rsidR="0000412A" w:rsidRPr="00A92D75" w14:paraId="721E0BAA" w14:textId="48715DF7" w:rsidTr="0000412A">
        <w:trPr>
          <w:trHeight w:val="60"/>
          <w:jc w:val="center"/>
        </w:trPr>
        <w:tc>
          <w:tcPr>
            <w:tcW w:w="4386" w:type="dxa"/>
            <w:hideMark/>
          </w:tcPr>
          <w:p w14:paraId="5BCCD27C" w14:textId="77777777" w:rsidR="0000412A" w:rsidRPr="00A92D75" w:rsidRDefault="0000412A" w:rsidP="0000412A">
            <w:pPr>
              <w:pStyle w:val="Footnote"/>
              <w:rPr>
                <w:sz w:val="18"/>
                <w:szCs w:val="18"/>
                <w:lang w:val="en-GB"/>
              </w:rPr>
            </w:pPr>
            <w:r w:rsidRPr="00A92D75">
              <w:rPr>
                <w:sz w:val="18"/>
                <w:szCs w:val="18"/>
                <w:lang w:val="en-GB"/>
              </w:rPr>
              <w:t>Automotive leasing</w:t>
            </w:r>
          </w:p>
        </w:tc>
        <w:tc>
          <w:tcPr>
            <w:tcW w:w="1231" w:type="dxa"/>
          </w:tcPr>
          <w:p w14:paraId="33053C0B" w14:textId="23A2047C" w:rsidR="0000412A" w:rsidRPr="00A92D75" w:rsidRDefault="0000412A" w:rsidP="0000412A">
            <w:pPr>
              <w:pStyle w:val="Footnote"/>
              <w:jc w:val="right"/>
              <w:rPr>
                <w:sz w:val="18"/>
                <w:szCs w:val="18"/>
                <w:lang w:val="en-GB"/>
              </w:rPr>
            </w:pPr>
            <w:r w:rsidRPr="00A92D75">
              <w:rPr>
                <w:sz w:val="18"/>
                <w:szCs w:val="18"/>
                <w:lang w:val="en-GB"/>
              </w:rPr>
              <w:t xml:space="preserve">151,628 </w:t>
            </w:r>
          </w:p>
        </w:tc>
        <w:tc>
          <w:tcPr>
            <w:tcW w:w="1313" w:type="dxa"/>
            <w:noWrap/>
            <w:hideMark/>
          </w:tcPr>
          <w:p w14:paraId="5BB3C83F" w14:textId="5DCD9620" w:rsidR="0000412A" w:rsidRPr="00A92D75" w:rsidRDefault="0000412A" w:rsidP="0000412A">
            <w:pPr>
              <w:pStyle w:val="Footnote"/>
              <w:jc w:val="right"/>
              <w:rPr>
                <w:sz w:val="18"/>
                <w:szCs w:val="18"/>
                <w:lang w:val="en-GB" w:eastAsia="en-US"/>
              </w:rPr>
            </w:pPr>
            <w:r w:rsidRPr="00A92D75">
              <w:rPr>
                <w:sz w:val="18"/>
                <w:szCs w:val="18"/>
                <w:lang w:val="en-GB"/>
              </w:rPr>
              <w:t xml:space="preserve">272,764 </w:t>
            </w:r>
          </w:p>
        </w:tc>
        <w:tc>
          <w:tcPr>
            <w:tcW w:w="1202" w:type="dxa"/>
            <w:noWrap/>
            <w:hideMark/>
          </w:tcPr>
          <w:p w14:paraId="3456699A"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275,800 </w:t>
            </w:r>
          </w:p>
        </w:tc>
        <w:tc>
          <w:tcPr>
            <w:tcW w:w="1128" w:type="dxa"/>
          </w:tcPr>
          <w:p w14:paraId="402EB0E9" w14:textId="285A0A92" w:rsidR="0000412A" w:rsidRPr="00A92D75" w:rsidRDefault="0000412A" w:rsidP="0000412A">
            <w:pPr>
              <w:pStyle w:val="Footnote"/>
              <w:jc w:val="right"/>
              <w:rPr>
                <w:sz w:val="18"/>
                <w:szCs w:val="18"/>
                <w:lang w:val="en-GB"/>
              </w:rPr>
            </w:pPr>
            <w:r w:rsidRPr="00A92D75">
              <w:rPr>
                <w:sz w:val="18"/>
                <w:szCs w:val="18"/>
                <w:lang w:val="en-GB"/>
              </w:rPr>
              <w:t xml:space="preserve">527,304 </w:t>
            </w:r>
          </w:p>
        </w:tc>
      </w:tr>
      <w:tr w:rsidR="0000412A" w:rsidRPr="00A92D75" w14:paraId="0860B693" w14:textId="5A45AEDD" w:rsidTr="0000412A">
        <w:trPr>
          <w:trHeight w:val="60"/>
          <w:jc w:val="center"/>
        </w:trPr>
        <w:tc>
          <w:tcPr>
            <w:tcW w:w="4386" w:type="dxa"/>
            <w:hideMark/>
          </w:tcPr>
          <w:p w14:paraId="05B266FB" w14:textId="77777777" w:rsidR="0000412A" w:rsidRPr="00A92D75" w:rsidRDefault="0000412A" w:rsidP="0000412A">
            <w:pPr>
              <w:pStyle w:val="Footnote"/>
              <w:rPr>
                <w:sz w:val="18"/>
                <w:szCs w:val="18"/>
                <w:lang w:val="en-GB"/>
              </w:rPr>
            </w:pPr>
            <w:r w:rsidRPr="00A92D75">
              <w:rPr>
                <w:sz w:val="18"/>
                <w:szCs w:val="18"/>
                <w:lang w:val="en-GB"/>
              </w:rPr>
              <w:t>Total automotive revenues</w:t>
            </w:r>
          </w:p>
        </w:tc>
        <w:tc>
          <w:tcPr>
            <w:tcW w:w="1231" w:type="dxa"/>
          </w:tcPr>
          <w:p w14:paraId="430CEC72" w14:textId="1992D2A1" w:rsidR="0000412A" w:rsidRPr="00A92D75" w:rsidRDefault="0000412A" w:rsidP="0000412A">
            <w:pPr>
              <w:pStyle w:val="Footnote"/>
              <w:jc w:val="right"/>
              <w:rPr>
                <w:sz w:val="18"/>
                <w:szCs w:val="18"/>
                <w:lang w:val="en-GB"/>
              </w:rPr>
            </w:pPr>
            <w:r w:rsidRPr="00A92D75">
              <w:rPr>
                <w:sz w:val="18"/>
                <w:szCs w:val="18"/>
                <w:lang w:val="en-GB"/>
              </w:rPr>
              <w:t xml:space="preserve">1,181,852 </w:t>
            </w:r>
          </w:p>
        </w:tc>
        <w:tc>
          <w:tcPr>
            <w:tcW w:w="1313" w:type="dxa"/>
            <w:noWrap/>
            <w:hideMark/>
          </w:tcPr>
          <w:p w14:paraId="28256627" w14:textId="6ADD337B" w:rsidR="0000412A" w:rsidRPr="00A92D75" w:rsidRDefault="0000412A" w:rsidP="0000412A">
            <w:pPr>
              <w:pStyle w:val="Footnote"/>
              <w:jc w:val="right"/>
              <w:rPr>
                <w:sz w:val="18"/>
                <w:szCs w:val="18"/>
                <w:lang w:val="en-GB" w:eastAsia="en-US"/>
              </w:rPr>
            </w:pPr>
            <w:r w:rsidRPr="00A92D75">
              <w:rPr>
                <w:sz w:val="18"/>
                <w:szCs w:val="18"/>
                <w:lang w:val="en-GB"/>
              </w:rPr>
              <w:t xml:space="preserve">2,286,616 </w:t>
            </w:r>
          </w:p>
        </w:tc>
        <w:tc>
          <w:tcPr>
            <w:tcW w:w="1202" w:type="dxa"/>
            <w:noWrap/>
            <w:hideMark/>
          </w:tcPr>
          <w:p w14:paraId="0BF6712E"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2,207,916 </w:t>
            </w:r>
          </w:p>
        </w:tc>
        <w:tc>
          <w:tcPr>
            <w:tcW w:w="1128" w:type="dxa"/>
          </w:tcPr>
          <w:p w14:paraId="3E52346B" w14:textId="21544368" w:rsidR="0000412A" w:rsidRPr="00A92D75" w:rsidRDefault="0000412A" w:rsidP="0000412A">
            <w:pPr>
              <w:pStyle w:val="Footnote"/>
              <w:jc w:val="right"/>
              <w:rPr>
                <w:sz w:val="18"/>
                <w:szCs w:val="18"/>
                <w:lang w:val="en-GB"/>
              </w:rPr>
            </w:pPr>
            <w:r w:rsidRPr="00A92D75">
              <w:rPr>
                <w:sz w:val="18"/>
                <w:szCs w:val="18"/>
                <w:lang w:val="en-GB"/>
              </w:rPr>
              <w:t xml:space="preserve">4,576,216 </w:t>
            </w:r>
          </w:p>
        </w:tc>
      </w:tr>
      <w:tr w:rsidR="0000412A" w:rsidRPr="00A92D75" w14:paraId="084D970B" w14:textId="72B1C86E" w:rsidTr="0000412A">
        <w:trPr>
          <w:trHeight w:val="60"/>
          <w:jc w:val="center"/>
        </w:trPr>
        <w:tc>
          <w:tcPr>
            <w:tcW w:w="4386" w:type="dxa"/>
            <w:hideMark/>
          </w:tcPr>
          <w:p w14:paraId="0148D61C" w14:textId="77777777" w:rsidR="0000412A" w:rsidRPr="00A92D75" w:rsidRDefault="0000412A" w:rsidP="0000412A">
            <w:pPr>
              <w:pStyle w:val="Footnote"/>
              <w:rPr>
                <w:sz w:val="18"/>
                <w:szCs w:val="18"/>
                <w:lang w:val="en-GB"/>
              </w:rPr>
            </w:pPr>
            <w:r w:rsidRPr="00A92D75">
              <w:rPr>
                <w:sz w:val="18"/>
                <w:szCs w:val="18"/>
                <w:lang w:val="en-GB"/>
              </w:rPr>
              <w:t>Energy generation and storage</w:t>
            </w:r>
          </w:p>
        </w:tc>
        <w:tc>
          <w:tcPr>
            <w:tcW w:w="1231" w:type="dxa"/>
          </w:tcPr>
          <w:p w14:paraId="2941F4C1" w14:textId="30A72C34" w:rsidR="0000412A" w:rsidRPr="00A92D75" w:rsidRDefault="0000412A" w:rsidP="0000412A">
            <w:pPr>
              <w:pStyle w:val="Footnote"/>
              <w:jc w:val="right"/>
              <w:rPr>
                <w:sz w:val="18"/>
                <w:szCs w:val="18"/>
                <w:lang w:val="en-GB"/>
              </w:rPr>
            </w:pPr>
            <w:r w:rsidRPr="00A92D75">
              <w:rPr>
                <w:sz w:val="18"/>
                <w:szCs w:val="18"/>
                <w:lang w:val="en-GB"/>
              </w:rPr>
              <w:t xml:space="preserve">3,947 </w:t>
            </w:r>
          </w:p>
        </w:tc>
        <w:tc>
          <w:tcPr>
            <w:tcW w:w="1313" w:type="dxa"/>
            <w:noWrap/>
            <w:hideMark/>
          </w:tcPr>
          <w:p w14:paraId="624AA632" w14:textId="61D7A781" w:rsidR="0000412A" w:rsidRPr="00A92D75" w:rsidRDefault="0000412A" w:rsidP="0000412A">
            <w:pPr>
              <w:pStyle w:val="Footnote"/>
              <w:jc w:val="right"/>
              <w:rPr>
                <w:sz w:val="18"/>
                <w:szCs w:val="18"/>
                <w:lang w:val="en-GB" w:eastAsia="en-US"/>
              </w:rPr>
            </w:pPr>
            <w:r w:rsidRPr="00A92D75">
              <w:rPr>
                <w:sz w:val="18"/>
                <w:szCs w:val="18"/>
                <w:lang w:val="en-GB"/>
              </w:rPr>
              <w:t xml:space="preserve">286,780 </w:t>
            </w:r>
          </w:p>
        </w:tc>
        <w:tc>
          <w:tcPr>
            <w:tcW w:w="1202" w:type="dxa"/>
            <w:noWrap/>
            <w:hideMark/>
          </w:tcPr>
          <w:p w14:paraId="2D2890F3"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26,675 </w:t>
            </w:r>
          </w:p>
        </w:tc>
        <w:tc>
          <w:tcPr>
            <w:tcW w:w="1128" w:type="dxa"/>
          </w:tcPr>
          <w:p w14:paraId="296322D1" w14:textId="38AAA162" w:rsidR="0000412A" w:rsidRPr="00A92D75" w:rsidRDefault="0000412A" w:rsidP="0000412A">
            <w:pPr>
              <w:pStyle w:val="Footnote"/>
              <w:jc w:val="right"/>
              <w:rPr>
                <w:sz w:val="18"/>
                <w:szCs w:val="18"/>
                <w:lang w:val="en-GB"/>
              </w:rPr>
            </w:pPr>
            <w:r w:rsidRPr="00A92D75">
              <w:rPr>
                <w:sz w:val="18"/>
                <w:szCs w:val="18"/>
                <w:lang w:val="en-GB"/>
              </w:rPr>
              <w:t xml:space="preserve">500,724 </w:t>
            </w:r>
          </w:p>
        </w:tc>
      </w:tr>
      <w:tr w:rsidR="0000412A" w:rsidRPr="00A92D75" w14:paraId="1F7E2534" w14:textId="5B3B7355" w:rsidTr="0000412A">
        <w:trPr>
          <w:trHeight w:val="60"/>
          <w:jc w:val="center"/>
        </w:trPr>
        <w:tc>
          <w:tcPr>
            <w:tcW w:w="4386" w:type="dxa"/>
            <w:hideMark/>
          </w:tcPr>
          <w:p w14:paraId="23A82F87" w14:textId="77777777" w:rsidR="0000412A" w:rsidRPr="00A92D75" w:rsidRDefault="0000412A" w:rsidP="0000412A">
            <w:pPr>
              <w:pStyle w:val="Footnote"/>
              <w:rPr>
                <w:sz w:val="18"/>
                <w:szCs w:val="18"/>
                <w:lang w:val="en-GB"/>
              </w:rPr>
            </w:pPr>
            <w:r w:rsidRPr="00A92D75">
              <w:rPr>
                <w:sz w:val="18"/>
                <w:szCs w:val="18"/>
                <w:lang w:val="en-GB"/>
              </w:rPr>
              <w:t>Services and other</w:t>
            </w:r>
          </w:p>
        </w:tc>
        <w:tc>
          <w:tcPr>
            <w:tcW w:w="1231" w:type="dxa"/>
          </w:tcPr>
          <w:p w14:paraId="4AD9B1BB" w14:textId="185785D5" w:rsidR="0000412A" w:rsidRPr="00A92D75" w:rsidRDefault="0000412A" w:rsidP="0000412A">
            <w:pPr>
              <w:pStyle w:val="Footnote"/>
              <w:jc w:val="right"/>
              <w:rPr>
                <w:sz w:val="18"/>
                <w:szCs w:val="18"/>
                <w:lang w:val="en-GB"/>
              </w:rPr>
            </w:pPr>
            <w:r w:rsidRPr="00A92D75">
              <w:rPr>
                <w:sz w:val="18"/>
                <w:szCs w:val="18"/>
                <w:lang w:val="en-GB"/>
              </w:rPr>
              <w:t xml:space="preserve">84,218 </w:t>
            </w:r>
          </w:p>
        </w:tc>
        <w:tc>
          <w:tcPr>
            <w:tcW w:w="1313" w:type="dxa"/>
            <w:noWrap/>
            <w:hideMark/>
          </w:tcPr>
          <w:p w14:paraId="0634202B" w14:textId="62575160" w:rsidR="0000412A" w:rsidRPr="00A92D75" w:rsidRDefault="0000412A" w:rsidP="0000412A">
            <w:pPr>
              <w:pStyle w:val="Footnote"/>
              <w:jc w:val="right"/>
              <w:rPr>
                <w:sz w:val="18"/>
                <w:szCs w:val="18"/>
                <w:lang w:val="en-GB" w:eastAsia="en-US"/>
              </w:rPr>
            </w:pPr>
            <w:r w:rsidRPr="00A92D75">
              <w:rPr>
                <w:sz w:val="18"/>
                <w:szCs w:val="18"/>
                <w:lang w:val="en-GB"/>
              </w:rPr>
              <w:t xml:space="preserve">216,161 </w:t>
            </w:r>
          </w:p>
        </w:tc>
        <w:tc>
          <w:tcPr>
            <w:tcW w:w="1202" w:type="dxa"/>
            <w:noWrap/>
            <w:hideMark/>
          </w:tcPr>
          <w:p w14:paraId="57EC4E21"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182,474 </w:t>
            </w:r>
          </w:p>
        </w:tc>
        <w:tc>
          <w:tcPr>
            <w:tcW w:w="1128" w:type="dxa"/>
          </w:tcPr>
          <w:p w14:paraId="12C461B1" w14:textId="04FDF3B6" w:rsidR="0000412A" w:rsidRPr="00A92D75" w:rsidRDefault="0000412A" w:rsidP="0000412A">
            <w:pPr>
              <w:pStyle w:val="Footnote"/>
              <w:jc w:val="right"/>
              <w:rPr>
                <w:sz w:val="18"/>
                <w:szCs w:val="18"/>
                <w:lang w:val="en-GB"/>
              </w:rPr>
            </w:pPr>
            <w:r w:rsidRPr="00A92D75">
              <w:rPr>
                <w:sz w:val="18"/>
                <w:szCs w:val="18"/>
                <w:lang w:val="en-GB"/>
              </w:rPr>
              <w:t xml:space="preserve">408,887 </w:t>
            </w:r>
          </w:p>
        </w:tc>
      </w:tr>
      <w:tr w:rsidR="0000412A" w:rsidRPr="00A92D75" w14:paraId="4EB0C6CA" w14:textId="12E486AA" w:rsidTr="0000412A">
        <w:trPr>
          <w:trHeight w:val="60"/>
          <w:jc w:val="center"/>
        </w:trPr>
        <w:tc>
          <w:tcPr>
            <w:tcW w:w="4386" w:type="dxa"/>
            <w:hideMark/>
          </w:tcPr>
          <w:p w14:paraId="4565EDDE" w14:textId="77777777" w:rsidR="0000412A" w:rsidRPr="00A92D75" w:rsidRDefault="0000412A" w:rsidP="0000412A">
            <w:pPr>
              <w:pStyle w:val="Footnote"/>
              <w:rPr>
                <w:sz w:val="18"/>
                <w:szCs w:val="18"/>
                <w:lang w:val="en-GB"/>
              </w:rPr>
            </w:pPr>
            <w:r w:rsidRPr="00A92D75">
              <w:rPr>
                <w:sz w:val="18"/>
                <w:szCs w:val="18"/>
                <w:lang w:val="en-GB"/>
              </w:rPr>
              <w:t>Total revenues</w:t>
            </w:r>
          </w:p>
        </w:tc>
        <w:tc>
          <w:tcPr>
            <w:tcW w:w="1231" w:type="dxa"/>
          </w:tcPr>
          <w:p w14:paraId="16FE2ADC" w14:textId="70B60608" w:rsidR="0000412A" w:rsidRPr="00A92D75" w:rsidRDefault="0000412A" w:rsidP="0000412A">
            <w:pPr>
              <w:pStyle w:val="Footnote"/>
              <w:jc w:val="right"/>
              <w:rPr>
                <w:sz w:val="18"/>
                <w:szCs w:val="18"/>
                <w:lang w:val="en-GB"/>
              </w:rPr>
            </w:pPr>
            <w:r w:rsidRPr="00A92D75">
              <w:rPr>
                <w:sz w:val="18"/>
                <w:szCs w:val="18"/>
                <w:lang w:val="en-GB"/>
              </w:rPr>
              <w:t xml:space="preserve">1,270,017 </w:t>
            </w:r>
          </w:p>
        </w:tc>
        <w:tc>
          <w:tcPr>
            <w:tcW w:w="1313" w:type="dxa"/>
            <w:noWrap/>
            <w:hideMark/>
          </w:tcPr>
          <w:p w14:paraId="72633D67" w14:textId="1C843551" w:rsidR="0000412A" w:rsidRPr="00A92D75" w:rsidRDefault="0000412A" w:rsidP="0000412A">
            <w:pPr>
              <w:pStyle w:val="Footnote"/>
              <w:jc w:val="right"/>
              <w:rPr>
                <w:sz w:val="18"/>
                <w:szCs w:val="18"/>
                <w:lang w:val="en-GB" w:eastAsia="en-US"/>
              </w:rPr>
            </w:pPr>
            <w:r w:rsidRPr="00A92D75">
              <w:rPr>
                <w:sz w:val="18"/>
                <w:szCs w:val="18"/>
                <w:lang w:val="en-GB"/>
              </w:rPr>
              <w:t xml:space="preserve">2,789,557 </w:t>
            </w:r>
          </w:p>
        </w:tc>
        <w:tc>
          <w:tcPr>
            <w:tcW w:w="1202" w:type="dxa"/>
            <w:noWrap/>
            <w:hideMark/>
          </w:tcPr>
          <w:p w14:paraId="320D98EF"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2,417,065 </w:t>
            </w:r>
          </w:p>
        </w:tc>
        <w:tc>
          <w:tcPr>
            <w:tcW w:w="1128" w:type="dxa"/>
          </w:tcPr>
          <w:p w14:paraId="640EE68C" w14:textId="1D7B4F0E" w:rsidR="0000412A" w:rsidRPr="00A92D75" w:rsidRDefault="0000412A" w:rsidP="0000412A">
            <w:pPr>
              <w:pStyle w:val="Footnote"/>
              <w:jc w:val="right"/>
              <w:rPr>
                <w:sz w:val="18"/>
                <w:szCs w:val="18"/>
                <w:lang w:val="en-GB"/>
              </w:rPr>
            </w:pPr>
            <w:r w:rsidRPr="00A92D75">
              <w:rPr>
                <w:sz w:val="18"/>
                <w:szCs w:val="18"/>
                <w:lang w:val="en-GB"/>
              </w:rPr>
              <w:t xml:space="preserve">5,485,827 </w:t>
            </w:r>
          </w:p>
        </w:tc>
      </w:tr>
      <w:tr w:rsidR="0000412A" w:rsidRPr="00A92D75" w14:paraId="76BA6197" w14:textId="2AAF6AF1" w:rsidTr="0000412A">
        <w:trPr>
          <w:trHeight w:val="60"/>
          <w:jc w:val="center"/>
        </w:trPr>
        <w:tc>
          <w:tcPr>
            <w:tcW w:w="4386" w:type="dxa"/>
            <w:hideMark/>
          </w:tcPr>
          <w:p w14:paraId="6EC71589" w14:textId="77777777" w:rsidR="0000412A" w:rsidRPr="00A92D75" w:rsidRDefault="0000412A" w:rsidP="0000412A">
            <w:pPr>
              <w:pStyle w:val="Footnote"/>
              <w:rPr>
                <w:b/>
                <w:bCs/>
                <w:sz w:val="18"/>
                <w:szCs w:val="18"/>
                <w:lang w:val="en-GB"/>
              </w:rPr>
            </w:pPr>
            <w:r w:rsidRPr="00A92D75">
              <w:rPr>
                <w:b/>
                <w:bCs/>
                <w:sz w:val="18"/>
                <w:szCs w:val="18"/>
                <w:lang w:val="en-GB"/>
              </w:rPr>
              <w:t>Cost of revenues</w:t>
            </w:r>
          </w:p>
        </w:tc>
        <w:tc>
          <w:tcPr>
            <w:tcW w:w="1231" w:type="dxa"/>
          </w:tcPr>
          <w:p w14:paraId="4EEA8295" w14:textId="77777777" w:rsidR="0000412A" w:rsidRPr="00A92D75" w:rsidRDefault="0000412A" w:rsidP="0000412A">
            <w:pPr>
              <w:pStyle w:val="Footnote"/>
              <w:jc w:val="right"/>
              <w:rPr>
                <w:b/>
                <w:bCs/>
                <w:sz w:val="18"/>
                <w:szCs w:val="18"/>
                <w:lang w:val="en-GB"/>
              </w:rPr>
            </w:pPr>
          </w:p>
        </w:tc>
        <w:tc>
          <w:tcPr>
            <w:tcW w:w="1313" w:type="dxa"/>
            <w:noWrap/>
            <w:hideMark/>
          </w:tcPr>
          <w:p w14:paraId="66922706" w14:textId="2FBF09DF" w:rsidR="0000412A" w:rsidRPr="00A92D75" w:rsidRDefault="0000412A" w:rsidP="0000412A">
            <w:pPr>
              <w:pStyle w:val="Footnote"/>
              <w:jc w:val="right"/>
              <w:rPr>
                <w:b/>
                <w:bCs/>
                <w:sz w:val="18"/>
                <w:szCs w:val="18"/>
                <w:lang w:val="en-GB" w:eastAsia="en-US"/>
              </w:rPr>
            </w:pPr>
          </w:p>
        </w:tc>
        <w:tc>
          <w:tcPr>
            <w:tcW w:w="1202" w:type="dxa"/>
            <w:noWrap/>
            <w:hideMark/>
          </w:tcPr>
          <w:p w14:paraId="10CBD516" w14:textId="77777777" w:rsidR="0000412A" w:rsidRPr="00A92D75" w:rsidRDefault="0000412A" w:rsidP="0000412A">
            <w:pPr>
              <w:pStyle w:val="Footnote"/>
              <w:jc w:val="right"/>
              <w:rPr>
                <w:sz w:val="18"/>
                <w:szCs w:val="18"/>
                <w:lang w:val="en-GB" w:eastAsia="en-US"/>
              </w:rPr>
            </w:pPr>
            <w:r w:rsidRPr="00A92D75">
              <w:rPr>
                <w:sz w:val="18"/>
                <w:szCs w:val="18"/>
                <w:lang w:val="en-GB"/>
              </w:rPr>
              <w:t> </w:t>
            </w:r>
          </w:p>
        </w:tc>
        <w:tc>
          <w:tcPr>
            <w:tcW w:w="1128" w:type="dxa"/>
          </w:tcPr>
          <w:p w14:paraId="26A6707A" w14:textId="77777777" w:rsidR="0000412A" w:rsidRPr="00A92D75" w:rsidRDefault="0000412A" w:rsidP="0000412A">
            <w:pPr>
              <w:pStyle w:val="Footnote"/>
              <w:jc w:val="right"/>
              <w:rPr>
                <w:sz w:val="18"/>
                <w:szCs w:val="18"/>
                <w:lang w:val="en-GB"/>
              </w:rPr>
            </w:pPr>
          </w:p>
        </w:tc>
      </w:tr>
      <w:tr w:rsidR="0000412A" w:rsidRPr="00A92D75" w14:paraId="5626467D" w14:textId="5A35B263" w:rsidTr="0000412A">
        <w:trPr>
          <w:trHeight w:val="60"/>
          <w:jc w:val="center"/>
        </w:trPr>
        <w:tc>
          <w:tcPr>
            <w:tcW w:w="4386" w:type="dxa"/>
            <w:hideMark/>
          </w:tcPr>
          <w:p w14:paraId="673EE254" w14:textId="77777777" w:rsidR="0000412A" w:rsidRPr="00A92D75" w:rsidRDefault="0000412A" w:rsidP="0000412A">
            <w:pPr>
              <w:pStyle w:val="Footnote"/>
              <w:rPr>
                <w:sz w:val="18"/>
                <w:szCs w:val="18"/>
                <w:lang w:val="en-GB"/>
              </w:rPr>
            </w:pPr>
            <w:r w:rsidRPr="00A92D75">
              <w:rPr>
                <w:sz w:val="18"/>
                <w:szCs w:val="18"/>
                <w:lang w:val="en-GB"/>
              </w:rPr>
              <w:t>Automotive sales</w:t>
            </w:r>
          </w:p>
        </w:tc>
        <w:tc>
          <w:tcPr>
            <w:tcW w:w="1231" w:type="dxa"/>
          </w:tcPr>
          <w:p w14:paraId="46B89BA5" w14:textId="12124FF4" w:rsidR="0000412A" w:rsidRPr="00A92D75" w:rsidRDefault="0000412A" w:rsidP="0000412A">
            <w:pPr>
              <w:pStyle w:val="Footnote"/>
              <w:jc w:val="right"/>
              <w:rPr>
                <w:sz w:val="18"/>
                <w:szCs w:val="18"/>
                <w:lang w:val="en-GB"/>
              </w:rPr>
            </w:pPr>
            <w:r w:rsidRPr="00A92D75">
              <w:rPr>
                <w:sz w:val="18"/>
                <w:szCs w:val="18"/>
                <w:lang w:val="en-GB"/>
              </w:rPr>
              <w:t xml:space="preserve">827,231 </w:t>
            </w:r>
          </w:p>
        </w:tc>
        <w:tc>
          <w:tcPr>
            <w:tcW w:w="1313" w:type="dxa"/>
            <w:noWrap/>
            <w:hideMark/>
          </w:tcPr>
          <w:p w14:paraId="727D8FBF" w14:textId="15A06E6A" w:rsidR="0000412A" w:rsidRPr="00A92D75" w:rsidRDefault="0000412A" w:rsidP="0000412A">
            <w:pPr>
              <w:pStyle w:val="Footnote"/>
              <w:jc w:val="right"/>
              <w:rPr>
                <w:sz w:val="18"/>
                <w:szCs w:val="18"/>
                <w:lang w:val="en-GB" w:eastAsia="en-US"/>
              </w:rPr>
            </w:pPr>
            <w:r w:rsidRPr="00A92D75">
              <w:rPr>
                <w:sz w:val="18"/>
                <w:szCs w:val="18"/>
                <w:lang w:val="en-GB"/>
              </w:rPr>
              <w:t xml:space="preserve">1,472,578 </w:t>
            </w:r>
          </w:p>
        </w:tc>
        <w:tc>
          <w:tcPr>
            <w:tcW w:w="1202" w:type="dxa"/>
            <w:noWrap/>
            <w:hideMark/>
          </w:tcPr>
          <w:p w14:paraId="613555B7"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1,540,380 </w:t>
            </w:r>
          </w:p>
        </w:tc>
        <w:tc>
          <w:tcPr>
            <w:tcW w:w="1128" w:type="dxa"/>
          </w:tcPr>
          <w:p w14:paraId="59097766" w14:textId="1E949FEF" w:rsidR="0000412A" w:rsidRPr="00A92D75" w:rsidRDefault="0000412A" w:rsidP="0000412A">
            <w:pPr>
              <w:pStyle w:val="Footnote"/>
              <w:jc w:val="right"/>
              <w:rPr>
                <w:sz w:val="18"/>
                <w:szCs w:val="18"/>
                <w:lang w:val="en-GB"/>
              </w:rPr>
            </w:pPr>
            <w:r w:rsidRPr="00A92D75">
              <w:rPr>
                <w:sz w:val="18"/>
                <w:szCs w:val="18"/>
                <w:lang w:val="en-GB"/>
              </w:rPr>
              <w:t xml:space="preserve">2,969,227 </w:t>
            </w:r>
          </w:p>
        </w:tc>
      </w:tr>
      <w:tr w:rsidR="0000412A" w:rsidRPr="00A92D75" w14:paraId="5CD49F60" w14:textId="5B36726C" w:rsidTr="0000412A">
        <w:trPr>
          <w:trHeight w:val="60"/>
          <w:jc w:val="center"/>
        </w:trPr>
        <w:tc>
          <w:tcPr>
            <w:tcW w:w="4386" w:type="dxa"/>
            <w:hideMark/>
          </w:tcPr>
          <w:p w14:paraId="156B10AA" w14:textId="77777777" w:rsidR="0000412A" w:rsidRPr="00A92D75" w:rsidRDefault="0000412A" w:rsidP="0000412A">
            <w:pPr>
              <w:pStyle w:val="Footnote"/>
              <w:rPr>
                <w:sz w:val="18"/>
                <w:szCs w:val="18"/>
                <w:lang w:val="en-GB"/>
              </w:rPr>
            </w:pPr>
            <w:r w:rsidRPr="00A92D75">
              <w:rPr>
                <w:sz w:val="18"/>
                <w:szCs w:val="18"/>
                <w:lang w:val="en-GB"/>
              </w:rPr>
              <w:t>Automotive leasing</w:t>
            </w:r>
          </w:p>
        </w:tc>
        <w:tc>
          <w:tcPr>
            <w:tcW w:w="1231" w:type="dxa"/>
          </w:tcPr>
          <w:p w14:paraId="0093F4E3" w14:textId="6391FE9B" w:rsidR="0000412A" w:rsidRPr="00A92D75" w:rsidRDefault="0000412A" w:rsidP="0000412A">
            <w:pPr>
              <w:pStyle w:val="Footnote"/>
              <w:jc w:val="right"/>
              <w:rPr>
                <w:sz w:val="18"/>
                <w:szCs w:val="18"/>
                <w:lang w:val="en-GB"/>
              </w:rPr>
            </w:pPr>
            <w:r w:rsidRPr="00A92D75">
              <w:rPr>
                <w:sz w:val="18"/>
                <w:szCs w:val="18"/>
                <w:lang w:val="en-GB"/>
              </w:rPr>
              <w:t xml:space="preserve">82,051 </w:t>
            </w:r>
          </w:p>
        </w:tc>
        <w:tc>
          <w:tcPr>
            <w:tcW w:w="1313" w:type="dxa"/>
            <w:noWrap/>
            <w:hideMark/>
          </w:tcPr>
          <w:p w14:paraId="476B08C6" w14:textId="3337D931" w:rsidR="0000412A" w:rsidRPr="00A92D75" w:rsidRDefault="0000412A" w:rsidP="0000412A">
            <w:pPr>
              <w:pStyle w:val="Footnote"/>
              <w:jc w:val="right"/>
              <w:rPr>
                <w:sz w:val="18"/>
                <w:szCs w:val="18"/>
                <w:lang w:val="en-GB" w:eastAsia="en-US"/>
              </w:rPr>
            </w:pPr>
            <w:r w:rsidRPr="00A92D75">
              <w:rPr>
                <w:sz w:val="18"/>
                <w:szCs w:val="18"/>
                <w:lang w:val="en-GB"/>
              </w:rPr>
              <w:t xml:space="preserve">175,433 </w:t>
            </w:r>
          </w:p>
        </w:tc>
        <w:tc>
          <w:tcPr>
            <w:tcW w:w="1202" w:type="dxa"/>
            <w:noWrap/>
            <w:hideMark/>
          </w:tcPr>
          <w:p w14:paraId="55774D12"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148,218 </w:t>
            </w:r>
          </w:p>
        </w:tc>
        <w:tc>
          <w:tcPr>
            <w:tcW w:w="1128" w:type="dxa"/>
          </w:tcPr>
          <w:p w14:paraId="52D0886D" w14:textId="46C8511E" w:rsidR="0000412A" w:rsidRPr="00A92D75" w:rsidRDefault="0000412A" w:rsidP="0000412A">
            <w:pPr>
              <w:pStyle w:val="Footnote"/>
              <w:jc w:val="right"/>
              <w:rPr>
                <w:sz w:val="18"/>
                <w:szCs w:val="18"/>
                <w:lang w:val="en-GB"/>
              </w:rPr>
            </w:pPr>
            <w:r w:rsidRPr="00A92D75">
              <w:rPr>
                <w:sz w:val="18"/>
                <w:szCs w:val="18"/>
                <w:lang w:val="en-GB"/>
              </w:rPr>
              <w:t xml:space="preserve">341,459 </w:t>
            </w:r>
          </w:p>
        </w:tc>
      </w:tr>
      <w:tr w:rsidR="0000412A" w:rsidRPr="00A92D75" w14:paraId="57319080" w14:textId="250EACB8" w:rsidTr="0000412A">
        <w:trPr>
          <w:trHeight w:val="60"/>
          <w:jc w:val="center"/>
        </w:trPr>
        <w:tc>
          <w:tcPr>
            <w:tcW w:w="4386" w:type="dxa"/>
            <w:hideMark/>
          </w:tcPr>
          <w:p w14:paraId="63F31F08" w14:textId="77777777" w:rsidR="0000412A" w:rsidRPr="00A92D75" w:rsidRDefault="0000412A" w:rsidP="0000412A">
            <w:pPr>
              <w:pStyle w:val="Footnote"/>
              <w:rPr>
                <w:sz w:val="18"/>
                <w:szCs w:val="18"/>
                <w:lang w:val="en-GB"/>
              </w:rPr>
            </w:pPr>
            <w:r w:rsidRPr="00A92D75">
              <w:rPr>
                <w:sz w:val="18"/>
                <w:szCs w:val="18"/>
                <w:lang w:val="en-GB"/>
              </w:rPr>
              <w:t>Total automotive cost of revenues</w:t>
            </w:r>
          </w:p>
        </w:tc>
        <w:tc>
          <w:tcPr>
            <w:tcW w:w="1231" w:type="dxa"/>
          </w:tcPr>
          <w:p w14:paraId="2420CF8E" w14:textId="72E17EA3" w:rsidR="0000412A" w:rsidRPr="00A92D75" w:rsidRDefault="0000412A" w:rsidP="0000412A">
            <w:pPr>
              <w:pStyle w:val="Footnote"/>
              <w:jc w:val="right"/>
              <w:rPr>
                <w:sz w:val="18"/>
                <w:szCs w:val="18"/>
                <w:lang w:val="en-GB"/>
              </w:rPr>
            </w:pPr>
            <w:r w:rsidRPr="00A92D75">
              <w:rPr>
                <w:sz w:val="18"/>
                <w:szCs w:val="18"/>
                <w:lang w:val="en-GB"/>
              </w:rPr>
              <w:t xml:space="preserve">909,282 </w:t>
            </w:r>
          </w:p>
        </w:tc>
        <w:tc>
          <w:tcPr>
            <w:tcW w:w="1313" w:type="dxa"/>
            <w:noWrap/>
            <w:hideMark/>
          </w:tcPr>
          <w:p w14:paraId="00FA6B19" w14:textId="472651E6" w:rsidR="0000412A" w:rsidRPr="00A92D75" w:rsidRDefault="0000412A" w:rsidP="0000412A">
            <w:pPr>
              <w:pStyle w:val="Footnote"/>
              <w:jc w:val="right"/>
              <w:rPr>
                <w:sz w:val="18"/>
                <w:szCs w:val="18"/>
                <w:lang w:val="en-GB" w:eastAsia="en-US"/>
              </w:rPr>
            </w:pPr>
            <w:r w:rsidRPr="00A92D75">
              <w:rPr>
                <w:sz w:val="18"/>
                <w:szCs w:val="18"/>
                <w:lang w:val="en-GB"/>
              </w:rPr>
              <w:t xml:space="preserve">1,648,011 </w:t>
            </w:r>
          </w:p>
        </w:tc>
        <w:tc>
          <w:tcPr>
            <w:tcW w:w="1202" w:type="dxa"/>
            <w:noWrap/>
            <w:hideMark/>
          </w:tcPr>
          <w:p w14:paraId="4B9967D7"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1,688,598 </w:t>
            </w:r>
          </w:p>
        </w:tc>
        <w:tc>
          <w:tcPr>
            <w:tcW w:w="1128" w:type="dxa"/>
          </w:tcPr>
          <w:p w14:paraId="3F04D0A2" w14:textId="0DDCB5B5" w:rsidR="0000412A" w:rsidRPr="00A92D75" w:rsidRDefault="0000412A" w:rsidP="0000412A">
            <w:pPr>
              <w:pStyle w:val="Footnote"/>
              <w:jc w:val="right"/>
              <w:rPr>
                <w:sz w:val="18"/>
                <w:szCs w:val="18"/>
                <w:lang w:val="en-GB"/>
              </w:rPr>
            </w:pPr>
            <w:r w:rsidRPr="00A92D75">
              <w:rPr>
                <w:sz w:val="18"/>
                <w:szCs w:val="18"/>
                <w:lang w:val="en-GB"/>
              </w:rPr>
              <w:t xml:space="preserve">3,310,686 </w:t>
            </w:r>
          </w:p>
        </w:tc>
      </w:tr>
      <w:tr w:rsidR="0000412A" w:rsidRPr="00A92D75" w14:paraId="230EC432" w14:textId="36C49CC3" w:rsidTr="0000412A">
        <w:trPr>
          <w:trHeight w:val="60"/>
          <w:jc w:val="center"/>
        </w:trPr>
        <w:tc>
          <w:tcPr>
            <w:tcW w:w="4386" w:type="dxa"/>
            <w:hideMark/>
          </w:tcPr>
          <w:p w14:paraId="23815FD5" w14:textId="77777777" w:rsidR="0000412A" w:rsidRPr="00A92D75" w:rsidRDefault="0000412A" w:rsidP="0000412A">
            <w:pPr>
              <w:pStyle w:val="Footnote"/>
              <w:rPr>
                <w:sz w:val="18"/>
                <w:szCs w:val="18"/>
                <w:lang w:val="en-GB"/>
              </w:rPr>
            </w:pPr>
            <w:r w:rsidRPr="00A92D75">
              <w:rPr>
                <w:sz w:val="18"/>
                <w:szCs w:val="18"/>
                <w:lang w:val="en-GB"/>
              </w:rPr>
              <w:t>Energy generation and storage</w:t>
            </w:r>
          </w:p>
        </w:tc>
        <w:tc>
          <w:tcPr>
            <w:tcW w:w="1231" w:type="dxa"/>
          </w:tcPr>
          <w:p w14:paraId="0D2A205A" w14:textId="4FC4167F" w:rsidR="0000412A" w:rsidRPr="00A92D75" w:rsidRDefault="0000412A" w:rsidP="0000412A">
            <w:pPr>
              <w:pStyle w:val="Footnote"/>
              <w:jc w:val="right"/>
              <w:rPr>
                <w:sz w:val="18"/>
                <w:szCs w:val="18"/>
                <w:lang w:val="en-GB"/>
              </w:rPr>
            </w:pPr>
            <w:r w:rsidRPr="00A92D75">
              <w:rPr>
                <w:sz w:val="18"/>
                <w:szCs w:val="18"/>
                <w:lang w:val="en-GB"/>
              </w:rPr>
              <w:t xml:space="preserve">8,159 </w:t>
            </w:r>
          </w:p>
        </w:tc>
        <w:tc>
          <w:tcPr>
            <w:tcW w:w="1313" w:type="dxa"/>
            <w:noWrap/>
            <w:hideMark/>
          </w:tcPr>
          <w:p w14:paraId="35464658" w14:textId="19C74837" w:rsidR="0000412A" w:rsidRPr="00A92D75" w:rsidRDefault="0000412A" w:rsidP="0000412A">
            <w:pPr>
              <w:pStyle w:val="Footnote"/>
              <w:jc w:val="right"/>
              <w:rPr>
                <w:sz w:val="18"/>
                <w:szCs w:val="18"/>
                <w:lang w:val="en-GB" w:eastAsia="en-US"/>
              </w:rPr>
            </w:pPr>
            <w:r w:rsidRPr="00A92D75">
              <w:rPr>
                <w:sz w:val="18"/>
                <w:szCs w:val="18"/>
                <w:lang w:val="en-GB"/>
              </w:rPr>
              <w:t xml:space="preserve">203,762 </w:t>
            </w:r>
          </w:p>
        </w:tc>
        <w:tc>
          <w:tcPr>
            <w:tcW w:w="1202" w:type="dxa"/>
            <w:noWrap/>
            <w:hideMark/>
          </w:tcPr>
          <w:p w14:paraId="1CAC8FA1"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26,272 </w:t>
            </w:r>
          </w:p>
        </w:tc>
        <w:tc>
          <w:tcPr>
            <w:tcW w:w="1128" w:type="dxa"/>
          </w:tcPr>
          <w:p w14:paraId="2FBEAA60" w14:textId="67339101" w:rsidR="0000412A" w:rsidRPr="00A92D75" w:rsidRDefault="0000412A" w:rsidP="0000412A">
            <w:pPr>
              <w:pStyle w:val="Footnote"/>
              <w:jc w:val="right"/>
              <w:rPr>
                <w:sz w:val="18"/>
                <w:szCs w:val="18"/>
                <w:lang w:val="en-GB"/>
              </w:rPr>
            </w:pPr>
            <w:r w:rsidRPr="00A92D75">
              <w:rPr>
                <w:sz w:val="18"/>
                <w:szCs w:val="18"/>
                <w:lang w:val="en-GB"/>
              </w:rPr>
              <w:t xml:space="preserve">355,535 </w:t>
            </w:r>
          </w:p>
        </w:tc>
      </w:tr>
      <w:tr w:rsidR="0000412A" w:rsidRPr="00A92D75" w14:paraId="024060A8" w14:textId="409AEDEE" w:rsidTr="0000412A">
        <w:trPr>
          <w:trHeight w:val="60"/>
          <w:jc w:val="center"/>
        </w:trPr>
        <w:tc>
          <w:tcPr>
            <w:tcW w:w="4386" w:type="dxa"/>
            <w:hideMark/>
          </w:tcPr>
          <w:p w14:paraId="08896831" w14:textId="77777777" w:rsidR="0000412A" w:rsidRPr="00A92D75" w:rsidRDefault="0000412A" w:rsidP="0000412A">
            <w:pPr>
              <w:pStyle w:val="Footnote"/>
              <w:rPr>
                <w:sz w:val="18"/>
                <w:szCs w:val="18"/>
                <w:lang w:val="en-GB"/>
              </w:rPr>
            </w:pPr>
            <w:r w:rsidRPr="00A92D75">
              <w:rPr>
                <w:sz w:val="18"/>
                <w:szCs w:val="18"/>
                <w:lang w:val="en-GB"/>
              </w:rPr>
              <w:t>Services and other</w:t>
            </w:r>
          </w:p>
        </w:tc>
        <w:tc>
          <w:tcPr>
            <w:tcW w:w="1231" w:type="dxa"/>
          </w:tcPr>
          <w:p w14:paraId="2946F8AE" w14:textId="309FD38A" w:rsidR="0000412A" w:rsidRPr="00A92D75" w:rsidRDefault="0000412A" w:rsidP="0000412A">
            <w:pPr>
              <w:pStyle w:val="Footnote"/>
              <w:jc w:val="right"/>
              <w:rPr>
                <w:sz w:val="18"/>
                <w:szCs w:val="18"/>
                <w:lang w:val="en-GB"/>
              </w:rPr>
            </w:pPr>
            <w:r w:rsidRPr="00A92D75">
              <w:rPr>
                <w:sz w:val="18"/>
                <w:szCs w:val="18"/>
                <w:lang w:val="en-GB"/>
              </w:rPr>
              <w:t xml:space="preserve">77,800 </w:t>
            </w:r>
          </w:p>
        </w:tc>
        <w:tc>
          <w:tcPr>
            <w:tcW w:w="1313" w:type="dxa"/>
            <w:noWrap/>
            <w:hideMark/>
          </w:tcPr>
          <w:p w14:paraId="1A6ED1DB" w14:textId="2427E348" w:rsidR="0000412A" w:rsidRPr="00A92D75" w:rsidRDefault="0000412A" w:rsidP="0000412A">
            <w:pPr>
              <w:pStyle w:val="Footnote"/>
              <w:jc w:val="right"/>
              <w:rPr>
                <w:sz w:val="18"/>
                <w:szCs w:val="18"/>
                <w:lang w:val="en-GB" w:eastAsia="en-US"/>
              </w:rPr>
            </w:pPr>
            <w:r w:rsidRPr="00A92D75">
              <w:rPr>
                <w:sz w:val="18"/>
                <w:szCs w:val="18"/>
                <w:lang w:val="en-GB"/>
              </w:rPr>
              <w:t xml:space="preserve">271,169 </w:t>
            </w:r>
          </w:p>
        </w:tc>
        <w:tc>
          <w:tcPr>
            <w:tcW w:w="1202" w:type="dxa"/>
            <w:noWrap/>
            <w:hideMark/>
          </w:tcPr>
          <w:p w14:paraId="2841E023"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174,951 </w:t>
            </w:r>
          </w:p>
        </w:tc>
        <w:tc>
          <w:tcPr>
            <w:tcW w:w="1128" w:type="dxa"/>
          </w:tcPr>
          <w:p w14:paraId="12A6A120" w14:textId="404ED2AB" w:rsidR="0000412A" w:rsidRPr="00A92D75" w:rsidRDefault="0000412A" w:rsidP="0000412A">
            <w:pPr>
              <w:pStyle w:val="Footnote"/>
              <w:jc w:val="right"/>
              <w:rPr>
                <w:sz w:val="18"/>
                <w:szCs w:val="18"/>
                <w:lang w:val="en-GB"/>
              </w:rPr>
            </w:pPr>
            <w:r w:rsidRPr="00A92D75">
              <w:rPr>
                <w:sz w:val="18"/>
                <w:szCs w:val="18"/>
                <w:lang w:val="en-GB"/>
              </w:rPr>
              <w:t xml:space="preserve">485,045 </w:t>
            </w:r>
          </w:p>
        </w:tc>
      </w:tr>
      <w:tr w:rsidR="0000412A" w:rsidRPr="00A92D75" w14:paraId="2A86777B" w14:textId="1D7FFE0D" w:rsidTr="0000412A">
        <w:trPr>
          <w:trHeight w:val="60"/>
          <w:jc w:val="center"/>
        </w:trPr>
        <w:tc>
          <w:tcPr>
            <w:tcW w:w="4386" w:type="dxa"/>
            <w:hideMark/>
          </w:tcPr>
          <w:p w14:paraId="7AC8BA82" w14:textId="77777777" w:rsidR="0000412A" w:rsidRPr="00A92D75" w:rsidRDefault="0000412A" w:rsidP="0000412A">
            <w:pPr>
              <w:pStyle w:val="Footnote"/>
              <w:rPr>
                <w:sz w:val="18"/>
                <w:szCs w:val="18"/>
                <w:lang w:val="en-GB"/>
              </w:rPr>
            </w:pPr>
            <w:r w:rsidRPr="00A92D75">
              <w:rPr>
                <w:sz w:val="18"/>
                <w:szCs w:val="18"/>
                <w:lang w:val="en-GB"/>
              </w:rPr>
              <w:t>Total cost of revenues</w:t>
            </w:r>
          </w:p>
        </w:tc>
        <w:tc>
          <w:tcPr>
            <w:tcW w:w="1231" w:type="dxa"/>
          </w:tcPr>
          <w:p w14:paraId="12DE902B" w14:textId="7E8320F5" w:rsidR="0000412A" w:rsidRPr="00A92D75" w:rsidRDefault="0000412A" w:rsidP="0000412A">
            <w:pPr>
              <w:pStyle w:val="Footnote"/>
              <w:jc w:val="right"/>
              <w:rPr>
                <w:sz w:val="18"/>
                <w:szCs w:val="18"/>
                <w:lang w:val="en-GB"/>
              </w:rPr>
            </w:pPr>
            <w:r w:rsidRPr="00A92D75">
              <w:rPr>
                <w:sz w:val="18"/>
                <w:szCs w:val="18"/>
                <w:lang w:val="en-GB"/>
              </w:rPr>
              <w:t xml:space="preserve">995,241 </w:t>
            </w:r>
          </w:p>
        </w:tc>
        <w:tc>
          <w:tcPr>
            <w:tcW w:w="1313" w:type="dxa"/>
            <w:noWrap/>
            <w:hideMark/>
          </w:tcPr>
          <w:p w14:paraId="01A81740" w14:textId="22BEF58B" w:rsidR="0000412A" w:rsidRPr="00A92D75" w:rsidRDefault="0000412A" w:rsidP="0000412A">
            <w:pPr>
              <w:pStyle w:val="Footnote"/>
              <w:jc w:val="right"/>
              <w:rPr>
                <w:sz w:val="18"/>
                <w:szCs w:val="18"/>
                <w:lang w:val="en-GB" w:eastAsia="en-US"/>
              </w:rPr>
            </w:pPr>
            <w:r w:rsidRPr="00A92D75">
              <w:rPr>
                <w:sz w:val="18"/>
                <w:szCs w:val="18"/>
                <w:lang w:val="en-GB"/>
              </w:rPr>
              <w:t xml:space="preserve">2,122,942 </w:t>
            </w:r>
          </w:p>
        </w:tc>
        <w:tc>
          <w:tcPr>
            <w:tcW w:w="1202" w:type="dxa"/>
            <w:noWrap/>
            <w:hideMark/>
          </w:tcPr>
          <w:p w14:paraId="3F61EB23"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1,889,821 </w:t>
            </w:r>
          </w:p>
        </w:tc>
        <w:tc>
          <w:tcPr>
            <w:tcW w:w="1128" w:type="dxa"/>
          </w:tcPr>
          <w:p w14:paraId="5241FFC1" w14:textId="2AF4B4E7" w:rsidR="0000412A" w:rsidRPr="00A92D75" w:rsidRDefault="0000412A" w:rsidP="0000412A">
            <w:pPr>
              <w:pStyle w:val="Footnote"/>
              <w:jc w:val="right"/>
              <w:rPr>
                <w:sz w:val="18"/>
                <w:szCs w:val="18"/>
                <w:lang w:val="en-GB"/>
              </w:rPr>
            </w:pPr>
            <w:r w:rsidRPr="00A92D75">
              <w:rPr>
                <w:sz w:val="18"/>
                <w:szCs w:val="18"/>
                <w:lang w:val="en-GB"/>
              </w:rPr>
              <w:t xml:space="preserve">4,151,266 </w:t>
            </w:r>
          </w:p>
        </w:tc>
      </w:tr>
      <w:tr w:rsidR="0000412A" w:rsidRPr="00A92D75" w14:paraId="5DC95508" w14:textId="48FD7072" w:rsidTr="0000412A">
        <w:trPr>
          <w:trHeight w:val="60"/>
          <w:jc w:val="center"/>
        </w:trPr>
        <w:tc>
          <w:tcPr>
            <w:tcW w:w="4386" w:type="dxa"/>
            <w:hideMark/>
          </w:tcPr>
          <w:p w14:paraId="03A27464" w14:textId="77777777" w:rsidR="0000412A" w:rsidRPr="00A92D75" w:rsidRDefault="0000412A" w:rsidP="0000412A">
            <w:pPr>
              <w:pStyle w:val="Footnote"/>
              <w:rPr>
                <w:sz w:val="18"/>
                <w:szCs w:val="18"/>
                <w:lang w:val="en-GB"/>
              </w:rPr>
            </w:pPr>
            <w:r w:rsidRPr="00A92D75">
              <w:rPr>
                <w:sz w:val="18"/>
                <w:szCs w:val="18"/>
                <w:lang w:val="en-GB"/>
              </w:rPr>
              <w:t>Gross profit</w:t>
            </w:r>
          </w:p>
        </w:tc>
        <w:tc>
          <w:tcPr>
            <w:tcW w:w="1231" w:type="dxa"/>
          </w:tcPr>
          <w:p w14:paraId="5ADCA2E1" w14:textId="07945051" w:rsidR="0000412A" w:rsidRPr="00A92D75" w:rsidRDefault="0000412A" w:rsidP="0000412A">
            <w:pPr>
              <w:pStyle w:val="Footnote"/>
              <w:jc w:val="right"/>
              <w:rPr>
                <w:sz w:val="18"/>
                <w:szCs w:val="18"/>
                <w:lang w:val="en-GB"/>
              </w:rPr>
            </w:pPr>
            <w:r w:rsidRPr="00A92D75">
              <w:rPr>
                <w:sz w:val="18"/>
                <w:szCs w:val="18"/>
                <w:lang w:val="en-GB"/>
              </w:rPr>
              <w:t xml:space="preserve">274,776 </w:t>
            </w:r>
          </w:p>
        </w:tc>
        <w:tc>
          <w:tcPr>
            <w:tcW w:w="1313" w:type="dxa"/>
            <w:noWrap/>
            <w:hideMark/>
          </w:tcPr>
          <w:p w14:paraId="0A57D77B" w14:textId="7F4D7DB6" w:rsidR="0000412A" w:rsidRPr="00A92D75" w:rsidRDefault="0000412A" w:rsidP="0000412A">
            <w:pPr>
              <w:pStyle w:val="Footnote"/>
              <w:jc w:val="right"/>
              <w:rPr>
                <w:sz w:val="18"/>
                <w:szCs w:val="18"/>
                <w:lang w:val="en-GB" w:eastAsia="en-US"/>
              </w:rPr>
            </w:pPr>
            <w:r w:rsidRPr="00A92D75">
              <w:rPr>
                <w:sz w:val="18"/>
                <w:szCs w:val="18"/>
                <w:lang w:val="en-GB"/>
              </w:rPr>
              <w:t xml:space="preserve">666,615 </w:t>
            </w:r>
          </w:p>
        </w:tc>
        <w:tc>
          <w:tcPr>
            <w:tcW w:w="1202" w:type="dxa"/>
            <w:noWrap/>
            <w:hideMark/>
          </w:tcPr>
          <w:p w14:paraId="03C2A890"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527,244 </w:t>
            </w:r>
          </w:p>
        </w:tc>
        <w:tc>
          <w:tcPr>
            <w:tcW w:w="1128" w:type="dxa"/>
          </w:tcPr>
          <w:p w14:paraId="3DCF9D61" w14:textId="08CCC00A" w:rsidR="0000412A" w:rsidRPr="00A92D75" w:rsidRDefault="0000412A" w:rsidP="0000412A">
            <w:pPr>
              <w:pStyle w:val="Footnote"/>
              <w:jc w:val="right"/>
              <w:rPr>
                <w:sz w:val="18"/>
                <w:szCs w:val="18"/>
                <w:lang w:val="en-GB"/>
              </w:rPr>
            </w:pPr>
            <w:r w:rsidRPr="00A92D75">
              <w:rPr>
                <w:sz w:val="18"/>
                <w:szCs w:val="18"/>
                <w:lang w:val="en-GB"/>
              </w:rPr>
              <w:t xml:space="preserve">1,334,561 </w:t>
            </w:r>
          </w:p>
        </w:tc>
      </w:tr>
      <w:tr w:rsidR="0000412A" w:rsidRPr="00A92D75" w14:paraId="78EE7DC8" w14:textId="60D57584" w:rsidTr="0000412A">
        <w:trPr>
          <w:trHeight w:val="60"/>
          <w:jc w:val="center"/>
        </w:trPr>
        <w:tc>
          <w:tcPr>
            <w:tcW w:w="4386" w:type="dxa"/>
            <w:hideMark/>
          </w:tcPr>
          <w:p w14:paraId="0FD00101" w14:textId="77777777" w:rsidR="0000412A" w:rsidRPr="00A92D75" w:rsidRDefault="0000412A" w:rsidP="0000412A">
            <w:pPr>
              <w:pStyle w:val="Footnote"/>
              <w:rPr>
                <w:b/>
                <w:bCs/>
                <w:sz w:val="18"/>
                <w:szCs w:val="18"/>
                <w:lang w:val="en-GB"/>
              </w:rPr>
            </w:pPr>
            <w:r w:rsidRPr="00A92D75">
              <w:rPr>
                <w:b/>
                <w:bCs/>
                <w:sz w:val="18"/>
                <w:szCs w:val="18"/>
                <w:lang w:val="en-GB"/>
              </w:rPr>
              <w:t>Operating expenses</w:t>
            </w:r>
          </w:p>
        </w:tc>
        <w:tc>
          <w:tcPr>
            <w:tcW w:w="1231" w:type="dxa"/>
          </w:tcPr>
          <w:p w14:paraId="0111F448" w14:textId="77777777" w:rsidR="0000412A" w:rsidRPr="00A92D75" w:rsidRDefault="0000412A" w:rsidP="0000412A">
            <w:pPr>
              <w:pStyle w:val="Footnote"/>
              <w:jc w:val="right"/>
              <w:rPr>
                <w:b/>
                <w:bCs/>
                <w:sz w:val="18"/>
                <w:szCs w:val="18"/>
                <w:lang w:val="en-GB"/>
              </w:rPr>
            </w:pPr>
          </w:p>
        </w:tc>
        <w:tc>
          <w:tcPr>
            <w:tcW w:w="1313" w:type="dxa"/>
            <w:noWrap/>
            <w:hideMark/>
          </w:tcPr>
          <w:p w14:paraId="39C348D3" w14:textId="5D618401" w:rsidR="0000412A" w:rsidRPr="00A92D75" w:rsidRDefault="0000412A" w:rsidP="0000412A">
            <w:pPr>
              <w:pStyle w:val="Footnote"/>
              <w:jc w:val="right"/>
              <w:rPr>
                <w:b/>
                <w:bCs/>
                <w:sz w:val="18"/>
                <w:szCs w:val="18"/>
                <w:lang w:val="en-GB" w:eastAsia="en-US"/>
              </w:rPr>
            </w:pPr>
          </w:p>
        </w:tc>
        <w:tc>
          <w:tcPr>
            <w:tcW w:w="1202" w:type="dxa"/>
            <w:noWrap/>
            <w:hideMark/>
          </w:tcPr>
          <w:p w14:paraId="58957676" w14:textId="77777777" w:rsidR="0000412A" w:rsidRPr="00A92D75" w:rsidRDefault="0000412A" w:rsidP="0000412A">
            <w:pPr>
              <w:pStyle w:val="Footnote"/>
              <w:jc w:val="right"/>
              <w:rPr>
                <w:sz w:val="18"/>
                <w:szCs w:val="18"/>
                <w:lang w:val="en-GB" w:eastAsia="en-US"/>
              </w:rPr>
            </w:pPr>
            <w:r w:rsidRPr="00A92D75">
              <w:rPr>
                <w:sz w:val="18"/>
                <w:szCs w:val="18"/>
                <w:lang w:val="en-GB"/>
              </w:rPr>
              <w:t> </w:t>
            </w:r>
          </w:p>
        </w:tc>
        <w:tc>
          <w:tcPr>
            <w:tcW w:w="1128" w:type="dxa"/>
          </w:tcPr>
          <w:p w14:paraId="780A3CA4" w14:textId="77777777" w:rsidR="0000412A" w:rsidRPr="00A92D75" w:rsidRDefault="0000412A" w:rsidP="0000412A">
            <w:pPr>
              <w:pStyle w:val="Footnote"/>
              <w:jc w:val="right"/>
              <w:rPr>
                <w:sz w:val="18"/>
                <w:szCs w:val="18"/>
                <w:lang w:val="en-GB"/>
              </w:rPr>
            </w:pPr>
          </w:p>
        </w:tc>
      </w:tr>
      <w:tr w:rsidR="0000412A" w:rsidRPr="00A92D75" w14:paraId="6C1C4E6F" w14:textId="3BC54ACD" w:rsidTr="0000412A">
        <w:trPr>
          <w:trHeight w:val="60"/>
          <w:jc w:val="center"/>
        </w:trPr>
        <w:tc>
          <w:tcPr>
            <w:tcW w:w="4386" w:type="dxa"/>
            <w:hideMark/>
          </w:tcPr>
          <w:p w14:paraId="705C5797" w14:textId="77777777" w:rsidR="0000412A" w:rsidRPr="00A92D75" w:rsidRDefault="0000412A" w:rsidP="0000412A">
            <w:pPr>
              <w:pStyle w:val="Footnote"/>
              <w:rPr>
                <w:sz w:val="18"/>
                <w:szCs w:val="18"/>
                <w:lang w:val="en-GB"/>
              </w:rPr>
            </w:pPr>
            <w:r w:rsidRPr="00A92D75">
              <w:rPr>
                <w:sz w:val="18"/>
                <w:szCs w:val="18"/>
                <w:lang w:val="en-GB"/>
              </w:rPr>
              <w:t>Research and development</w:t>
            </w:r>
          </w:p>
        </w:tc>
        <w:tc>
          <w:tcPr>
            <w:tcW w:w="1231" w:type="dxa"/>
          </w:tcPr>
          <w:p w14:paraId="134A1799" w14:textId="5FD9E9E6" w:rsidR="0000412A" w:rsidRPr="00A92D75" w:rsidRDefault="0000412A" w:rsidP="0000412A">
            <w:pPr>
              <w:pStyle w:val="Footnote"/>
              <w:jc w:val="right"/>
              <w:rPr>
                <w:sz w:val="18"/>
                <w:szCs w:val="18"/>
                <w:lang w:val="en-GB"/>
              </w:rPr>
            </w:pPr>
            <w:r w:rsidRPr="00A92D75">
              <w:rPr>
                <w:sz w:val="18"/>
                <w:szCs w:val="18"/>
                <w:lang w:val="en-GB"/>
              </w:rPr>
              <w:t xml:space="preserve">191,664 </w:t>
            </w:r>
          </w:p>
        </w:tc>
        <w:tc>
          <w:tcPr>
            <w:tcW w:w="1313" w:type="dxa"/>
            <w:noWrap/>
            <w:hideMark/>
          </w:tcPr>
          <w:p w14:paraId="21993877" w14:textId="28D5206F" w:rsidR="0000412A" w:rsidRPr="00A92D75" w:rsidRDefault="0000412A" w:rsidP="0000412A">
            <w:pPr>
              <w:pStyle w:val="Footnote"/>
              <w:jc w:val="right"/>
              <w:rPr>
                <w:sz w:val="18"/>
                <w:szCs w:val="18"/>
                <w:lang w:val="en-GB" w:eastAsia="en-US"/>
              </w:rPr>
            </w:pPr>
            <w:r w:rsidRPr="00A92D75">
              <w:rPr>
                <w:sz w:val="18"/>
                <w:szCs w:val="18"/>
                <w:lang w:val="en-GB"/>
              </w:rPr>
              <w:t xml:space="preserve">369,774 </w:t>
            </w:r>
          </w:p>
        </w:tc>
        <w:tc>
          <w:tcPr>
            <w:tcW w:w="1202" w:type="dxa"/>
            <w:noWrap/>
            <w:hideMark/>
          </w:tcPr>
          <w:p w14:paraId="396B800D"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374,146 </w:t>
            </w:r>
          </w:p>
        </w:tc>
        <w:tc>
          <w:tcPr>
            <w:tcW w:w="1128" w:type="dxa"/>
          </w:tcPr>
          <w:p w14:paraId="1AD3719E" w14:textId="31EFE300" w:rsidR="0000412A" w:rsidRPr="00A92D75" w:rsidRDefault="0000412A" w:rsidP="0000412A">
            <w:pPr>
              <w:pStyle w:val="Footnote"/>
              <w:jc w:val="right"/>
              <w:rPr>
                <w:sz w:val="18"/>
                <w:szCs w:val="18"/>
                <w:lang w:val="en-GB"/>
              </w:rPr>
            </w:pPr>
            <w:r w:rsidRPr="00A92D75">
              <w:rPr>
                <w:sz w:val="18"/>
                <w:szCs w:val="18"/>
                <w:lang w:val="en-GB"/>
              </w:rPr>
              <w:t xml:space="preserve">691,814 </w:t>
            </w:r>
          </w:p>
        </w:tc>
      </w:tr>
      <w:tr w:rsidR="0000412A" w:rsidRPr="00A92D75" w14:paraId="4B431D8A" w14:textId="3CBA7764" w:rsidTr="0000412A">
        <w:trPr>
          <w:trHeight w:val="60"/>
          <w:jc w:val="center"/>
        </w:trPr>
        <w:tc>
          <w:tcPr>
            <w:tcW w:w="4386" w:type="dxa"/>
            <w:hideMark/>
          </w:tcPr>
          <w:p w14:paraId="14F9DEC1" w14:textId="77777777" w:rsidR="0000412A" w:rsidRPr="00A92D75" w:rsidRDefault="0000412A" w:rsidP="0000412A">
            <w:pPr>
              <w:pStyle w:val="Footnote"/>
              <w:rPr>
                <w:sz w:val="18"/>
                <w:szCs w:val="18"/>
                <w:lang w:val="en-GB"/>
              </w:rPr>
            </w:pPr>
            <w:r w:rsidRPr="00A92D75">
              <w:rPr>
                <w:sz w:val="18"/>
                <w:szCs w:val="18"/>
                <w:lang w:val="en-GB"/>
              </w:rPr>
              <w:t>Selling, general and administrative</w:t>
            </w:r>
          </w:p>
        </w:tc>
        <w:tc>
          <w:tcPr>
            <w:tcW w:w="1231" w:type="dxa"/>
          </w:tcPr>
          <w:p w14:paraId="4217ACAB" w14:textId="45EEF86B" w:rsidR="0000412A" w:rsidRPr="00A92D75" w:rsidRDefault="0000412A" w:rsidP="0000412A">
            <w:pPr>
              <w:pStyle w:val="Footnote"/>
              <w:jc w:val="right"/>
              <w:rPr>
                <w:sz w:val="18"/>
                <w:szCs w:val="18"/>
                <w:lang w:val="en-GB"/>
              </w:rPr>
            </w:pPr>
            <w:r w:rsidRPr="00A92D75">
              <w:rPr>
                <w:sz w:val="18"/>
                <w:szCs w:val="18"/>
                <w:lang w:val="en-GB"/>
              </w:rPr>
              <w:t xml:space="preserve">321,152 </w:t>
            </w:r>
          </w:p>
        </w:tc>
        <w:tc>
          <w:tcPr>
            <w:tcW w:w="1313" w:type="dxa"/>
            <w:noWrap/>
            <w:hideMark/>
          </w:tcPr>
          <w:p w14:paraId="50E35147" w14:textId="1C77FC53" w:rsidR="0000412A" w:rsidRPr="00A92D75" w:rsidRDefault="0000412A" w:rsidP="0000412A">
            <w:pPr>
              <w:pStyle w:val="Footnote"/>
              <w:jc w:val="right"/>
              <w:rPr>
                <w:sz w:val="18"/>
                <w:szCs w:val="18"/>
                <w:lang w:val="en-GB" w:eastAsia="en-US"/>
              </w:rPr>
            </w:pPr>
            <w:r w:rsidRPr="00A92D75">
              <w:rPr>
                <w:sz w:val="18"/>
                <w:szCs w:val="18"/>
                <w:lang w:val="en-GB"/>
              </w:rPr>
              <w:t xml:space="preserve">537,757 </w:t>
            </w:r>
          </w:p>
        </w:tc>
        <w:tc>
          <w:tcPr>
            <w:tcW w:w="1202" w:type="dxa"/>
            <w:noWrap/>
            <w:hideMark/>
          </w:tcPr>
          <w:p w14:paraId="6AF16F2E"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639,362 </w:t>
            </w:r>
          </w:p>
        </w:tc>
        <w:tc>
          <w:tcPr>
            <w:tcW w:w="1128" w:type="dxa"/>
          </w:tcPr>
          <w:p w14:paraId="58830B9F" w14:textId="5AE446A6" w:rsidR="0000412A" w:rsidRPr="00A92D75" w:rsidRDefault="0000412A" w:rsidP="0000412A">
            <w:pPr>
              <w:pStyle w:val="Footnote"/>
              <w:jc w:val="right"/>
              <w:rPr>
                <w:sz w:val="18"/>
                <w:szCs w:val="18"/>
                <w:lang w:val="en-GB"/>
              </w:rPr>
            </w:pPr>
            <w:r w:rsidRPr="00A92D75">
              <w:rPr>
                <w:sz w:val="18"/>
                <w:szCs w:val="18"/>
                <w:lang w:val="en-GB"/>
              </w:rPr>
              <w:t xml:space="preserve">1,141,212 </w:t>
            </w:r>
          </w:p>
        </w:tc>
      </w:tr>
      <w:tr w:rsidR="0000412A" w:rsidRPr="00A92D75" w14:paraId="3341AAA3" w14:textId="3661B9DD" w:rsidTr="0000412A">
        <w:trPr>
          <w:trHeight w:val="60"/>
          <w:jc w:val="center"/>
        </w:trPr>
        <w:tc>
          <w:tcPr>
            <w:tcW w:w="4386" w:type="dxa"/>
            <w:hideMark/>
          </w:tcPr>
          <w:p w14:paraId="68D10B46" w14:textId="77777777" w:rsidR="0000412A" w:rsidRPr="00A92D75" w:rsidRDefault="0000412A" w:rsidP="0000412A">
            <w:pPr>
              <w:pStyle w:val="Footnote"/>
              <w:rPr>
                <w:sz w:val="18"/>
                <w:szCs w:val="18"/>
                <w:lang w:val="en-GB"/>
              </w:rPr>
            </w:pPr>
            <w:r w:rsidRPr="00A92D75">
              <w:rPr>
                <w:sz w:val="18"/>
                <w:szCs w:val="18"/>
                <w:lang w:val="en-GB"/>
              </w:rPr>
              <w:t>Total operating expenses</w:t>
            </w:r>
          </w:p>
        </w:tc>
        <w:tc>
          <w:tcPr>
            <w:tcW w:w="1231" w:type="dxa"/>
          </w:tcPr>
          <w:p w14:paraId="6158F8A3" w14:textId="7BBCEEDE" w:rsidR="0000412A" w:rsidRPr="00A92D75" w:rsidRDefault="0000412A" w:rsidP="0000412A">
            <w:pPr>
              <w:pStyle w:val="Footnote"/>
              <w:jc w:val="right"/>
              <w:rPr>
                <w:sz w:val="18"/>
                <w:szCs w:val="18"/>
                <w:lang w:val="en-GB"/>
              </w:rPr>
            </w:pPr>
            <w:r w:rsidRPr="00A92D75">
              <w:rPr>
                <w:sz w:val="18"/>
                <w:szCs w:val="18"/>
                <w:lang w:val="en-GB"/>
              </w:rPr>
              <w:t xml:space="preserve">512,816 </w:t>
            </w:r>
          </w:p>
        </w:tc>
        <w:tc>
          <w:tcPr>
            <w:tcW w:w="1313" w:type="dxa"/>
            <w:noWrap/>
            <w:hideMark/>
          </w:tcPr>
          <w:p w14:paraId="36AA7BF5" w14:textId="2147FA45" w:rsidR="0000412A" w:rsidRPr="00A92D75" w:rsidRDefault="0000412A" w:rsidP="0000412A">
            <w:pPr>
              <w:pStyle w:val="Footnote"/>
              <w:jc w:val="right"/>
              <w:rPr>
                <w:sz w:val="18"/>
                <w:szCs w:val="18"/>
                <w:lang w:val="en-GB" w:eastAsia="en-US"/>
              </w:rPr>
            </w:pPr>
            <w:r w:rsidRPr="00A92D75">
              <w:rPr>
                <w:sz w:val="18"/>
                <w:szCs w:val="18"/>
                <w:lang w:val="en-GB"/>
              </w:rPr>
              <w:t xml:space="preserve">907,531 </w:t>
            </w:r>
          </w:p>
        </w:tc>
        <w:tc>
          <w:tcPr>
            <w:tcW w:w="1202" w:type="dxa"/>
            <w:noWrap/>
            <w:hideMark/>
          </w:tcPr>
          <w:p w14:paraId="4CB768F0"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1,013,508 </w:t>
            </w:r>
          </w:p>
        </w:tc>
        <w:tc>
          <w:tcPr>
            <w:tcW w:w="1128" w:type="dxa"/>
          </w:tcPr>
          <w:p w14:paraId="5E242ABA" w14:textId="02772B5F" w:rsidR="0000412A" w:rsidRPr="00A92D75" w:rsidRDefault="0000412A" w:rsidP="0000412A">
            <w:pPr>
              <w:pStyle w:val="Footnote"/>
              <w:jc w:val="right"/>
              <w:rPr>
                <w:sz w:val="18"/>
                <w:szCs w:val="18"/>
                <w:lang w:val="en-GB"/>
              </w:rPr>
            </w:pPr>
            <w:r w:rsidRPr="00A92D75">
              <w:rPr>
                <w:sz w:val="18"/>
                <w:szCs w:val="18"/>
                <w:lang w:val="en-GB"/>
              </w:rPr>
              <w:t xml:space="preserve">1,833,026 </w:t>
            </w:r>
          </w:p>
        </w:tc>
      </w:tr>
      <w:tr w:rsidR="0000412A" w:rsidRPr="00A92D75" w14:paraId="0A400E3B" w14:textId="2C87FA70" w:rsidTr="0000412A">
        <w:trPr>
          <w:trHeight w:val="60"/>
          <w:jc w:val="center"/>
        </w:trPr>
        <w:tc>
          <w:tcPr>
            <w:tcW w:w="4386" w:type="dxa"/>
            <w:hideMark/>
          </w:tcPr>
          <w:p w14:paraId="793BF4D2" w14:textId="77777777" w:rsidR="0000412A" w:rsidRPr="00A92D75" w:rsidRDefault="0000412A" w:rsidP="0000412A">
            <w:pPr>
              <w:pStyle w:val="Footnote"/>
              <w:rPr>
                <w:sz w:val="18"/>
                <w:szCs w:val="18"/>
                <w:lang w:val="en-GB"/>
              </w:rPr>
            </w:pPr>
            <w:r w:rsidRPr="00A92D75">
              <w:rPr>
                <w:sz w:val="18"/>
                <w:szCs w:val="18"/>
                <w:lang w:val="en-GB"/>
              </w:rPr>
              <w:t>Loss from operations</w:t>
            </w:r>
          </w:p>
        </w:tc>
        <w:tc>
          <w:tcPr>
            <w:tcW w:w="1231" w:type="dxa"/>
          </w:tcPr>
          <w:p w14:paraId="2B467203" w14:textId="1A24BE3A" w:rsidR="0000412A" w:rsidRPr="00A92D75" w:rsidRDefault="0000412A" w:rsidP="0000412A">
            <w:pPr>
              <w:pStyle w:val="Footnote"/>
              <w:jc w:val="right"/>
              <w:rPr>
                <w:sz w:val="18"/>
                <w:szCs w:val="18"/>
                <w:lang w:val="en-GB"/>
              </w:rPr>
            </w:pPr>
            <w:r w:rsidRPr="00A92D75">
              <w:rPr>
                <w:sz w:val="18"/>
                <w:szCs w:val="18"/>
                <w:lang w:val="en-GB"/>
              </w:rPr>
              <w:t>(238,040)</w:t>
            </w:r>
          </w:p>
        </w:tc>
        <w:tc>
          <w:tcPr>
            <w:tcW w:w="1313" w:type="dxa"/>
            <w:noWrap/>
            <w:hideMark/>
          </w:tcPr>
          <w:p w14:paraId="0C2C12AE" w14:textId="2D4781AC" w:rsidR="0000412A" w:rsidRPr="00A92D75" w:rsidRDefault="0000412A" w:rsidP="0000412A">
            <w:pPr>
              <w:pStyle w:val="Footnote"/>
              <w:jc w:val="right"/>
              <w:rPr>
                <w:sz w:val="18"/>
                <w:szCs w:val="18"/>
                <w:lang w:val="en-GB" w:eastAsia="en-US"/>
              </w:rPr>
            </w:pPr>
            <w:r w:rsidRPr="00A92D75">
              <w:rPr>
                <w:sz w:val="18"/>
                <w:szCs w:val="18"/>
                <w:lang w:val="en-GB"/>
              </w:rPr>
              <w:t>(240,916)</w:t>
            </w:r>
          </w:p>
        </w:tc>
        <w:tc>
          <w:tcPr>
            <w:tcW w:w="1202" w:type="dxa"/>
            <w:noWrap/>
            <w:hideMark/>
          </w:tcPr>
          <w:p w14:paraId="3D192F80" w14:textId="77777777" w:rsidR="0000412A" w:rsidRPr="00A92D75" w:rsidRDefault="0000412A" w:rsidP="0000412A">
            <w:pPr>
              <w:pStyle w:val="Footnote"/>
              <w:jc w:val="right"/>
              <w:rPr>
                <w:sz w:val="18"/>
                <w:szCs w:val="18"/>
                <w:lang w:val="en-GB" w:eastAsia="en-US"/>
              </w:rPr>
            </w:pPr>
            <w:r w:rsidRPr="00A92D75">
              <w:rPr>
                <w:sz w:val="18"/>
                <w:szCs w:val="18"/>
                <w:lang w:val="en-GB"/>
              </w:rPr>
              <w:t>(486,264)</w:t>
            </w:r>
          </w:p>
        </w:tc>
        <w:tc>
          <w:tcPr>
            <w:tcW w:w="1128" w:type="dxa"/>
          </w:tcPr>
          <w:p w14:paraId="779F5E7F" w14:textId="30C77F8E" w:rsidR="0000412A" w:rsidRPr="00A92D75" w:rsidRDefault="0000412A" w:rsidP="0000412A">
            <w:pPr>
              <w:pStyle w:val="Footnote"/>
              <w:jc w:val="right"/>
              <w:rPr>
                <w:sz w:val="18"/>
                <w:szCs w:val="18"/>
                <w:lang w:val="en-GB"/>
              </w:rPr>
            </w:pPr>
            <w:r w:rsidRPr="00A92D75">
              <w:rPr>
                <w:sz w:val="18"/>
                <w:szCs w:val="18"/>
                <w:lang w:val="en-GB"/>
              </w:rPr>
              <w:t>(498,465)</w:t>
            </w:r>
          </w:p>
        </w:tc>
      </w:tr>
      <w:tr w:rsidR="0000412A" w:rsidRPr="00A92D75" w14:paraId="1599527A" w14:textId="37F916BD" w:rsidTr="0000412A">
        <w:trPr>
          <w:trHeight w:val="60"/>
          <w:jc w:val="center"/>
        </w:trPr>
        <w:tc>
          <w:tcPr>
            <w:tcW w:w="4386" w:type="dxa"/>
            <w:hideMark/>
          </w:tcPr>
          <w:p w14:paraId="566EA0E9" w14:textId="77777777" w:rsidR="0000412A" w:rsidRPr="00A92D75" w:rsidRDefault="0000412A" w:rsidP="0000412A">
            <w:pPr>
              <w:pStyle w:val="Footnote"/>
              <w:rPr>
                <w:sz w:val="18"/>
                <w:szCs w:val="18"/>
                <w:lang w:val="en-GB"/>
              </w:rPr>
            </w:pPr>
            <w:r w:rsidRPr="00A92D75">
              <w:rPr>
                <w:sz w:val="18"/>
                <w:szCs w:val="18"/>
                <w:lang w:val="en-GB"/>
              </w:rPr>
              <w:t>Interest income</w:t>
            </w:r>
          </w:p>
        </w:tc>
        <w:tc>
          <w:tcPr>
            <w:tcW w:w="1231" w:type="dxa"/>
          </w:tcPr>
          <w:p w14:paraId="6F17C48D" w14:textId="0EA2690D" w:rsidR="0000412A" w:rsidRPr="00A92D75" w:rsidRDefault="0000412A" w:rsidP="0000412A">
            <w:pPr>
              <w:pStyle w:val="Footnote"/>
              <w:jc w:val="right"/>
              <w:rPr>
                <w:sz w:val="18"/>
                <w:szCs w:val="18"/>
                <w:lang w:val="en-GB"/>
              </w:rPr>
            </w:pPr>
            <w:r w:rsidRPr="00A92D75">
              <w:rPr>
                <w:sz w:val="18"/>
                <w:szCs w:val="18"/>
                <w:lang w:val="en-GB"/>
              </w:rPr>
              <w:t xml:space="preserve">2,242 </w:t>
            </w:r>
          </w:p>
        </w:tc>
        <w:tc>
          <w:tcPr>
            <w:tcW w:w="1313" w:type="dxa"/>
            <w:noWrap/>
            <w:hideMark/>
          </w:tcPr>
          <w:p w14:paraId="6D1FDC50" w14:textId="48909E5A" w:rsidR="0000412A" w:rsidRPr="00A92D75" w:rsidRDefault="0000412A" w:rsidP="0000412A">
            <w:pPr>
              <w:pStyle w:val="Footnote"/>
              <w:jc w:val="right"/>
              <w:rPr>
                <w:sz w:val="18"/>
                <w:szCs w:val="18"/>
                <w:lang w:val="en-GB" w:eastAsia="en-US"/>
              </w:rPr>
            </w:pPr>
            <w:r w:rsidRPr="00A92D75">
              <w:rPr>
                <w:sz w:val="18"/>
                <w:szCs w:val="18"/>
                <w:lang w:val="en-GB"/>
              </w:rPr>
              <w:t xml:space="preserve">4,785 </w:t>
            </w:r>
          </w:p>
        </w:tc>
        <w:tc>
          <w:tcPr>
            <w:tcW w:w="1202" w:type="dxa"/>
            <w:noWrap/>
            <w:hideMark/>
          </w:tcPr>
          <w:p w14:paraId="1D064BDE"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3,493 </w:t>
            </w:r>
          </w:p>
        </w:tc>
        <w:tc>
          <w:tcPr>
            <w:tcW w:w="1128" w:type="dxa"/>
          </w:tcPr>
          <w:p w14:paraId="69EA1A03" w14:textId="70752C39" w:rsidR="0000412A" w:rsidRPr="00A92D75" w:rsidRDefault="0000412A" w:rsidP="0000412A">
            <w:pPr>
              <w:pStyle w:val="Footnote"/>
              <w:jc w:val="right"/>
              <w:rPr>
                <w:sz w:val="18"/>
                <w:szCs w:val="18"/>
                <w:lang w:val="en-GB"/>
              </w:rPr>
            </w:pPr>
            <w:r w:rsidRPr="00A92D75">
              <w:rPr>
                <w:sz w:val="18"/>
                <w:szCs w:val="18"/>
                <w:lang w:val="en-GB"/>
              </w:rPr>
              <w:t xml:space="preserve">7,875 </w:t>
            </w:r>
          </w:p>
        </w:tc>
      </w:tr>
      <w:tr w:rsidR="0000412A" w:rsidRPr="00A92D75" w14:paraId="5D82B376" w14:textId="54F4DE9F" w:rsidTr="0000412A">
        <w:trPr>
          <w:trHeight w:val="60"/>
          <w:jc w:val="center"/>
        </w:trPr>
        <w:tc>
          <w:tcPr>
            <w:tcW w:w="4386" w:type="dxa"/>
            <w:hideMark/>
          </w:tcPr>
          <w:p w14:paraId="35FDD6BB" w14:textId="77777777" w:rsidR="0000412A" w:rsidRPr="00A92D75" w:rsidRDefault="0000412A" w:rsidP="0000412A">
            <w:pPr>
              <w:pStyle w:val="Footnote"/>
              <w:rPr>
                <w:sz w:val="18"/>
                <w:szCs w:val="18"/>
                <w:lang w:val="en-GB"/>
              </w:rPr>
            </w:pPr>
            <w:r w:rsidRPr="00A92D75">
              <w:rPr>
                <w:sz w:val="18"/>
                <w:szCs w:val="18"/>
                <w:lang w:val="en-GB"/>
              </w:rPr>
              <w:t>Interest expense</w:t>
            </w:r>
          </w:p>
        </w:tc>
        <w:tc>
          <w:tcPr>
            <w:tcW w:w="1231" w:type="dxa"/>
          </w:tcPr>
          <w:p w14:paraId="044DFBD2" w14:textId="07A4D11F" w:rsidR="0000412A" w:rsidRPr="00A92D75" w:rsidRDefault="0000412A" w:rsidP="0000412A">
            <w:pPr>
              <w:pStyle w:val="Footnote"/>
              <w:jc w:val="right"/>
              <w:rPr>
                <w:sz w:val="18"/>
                <w:szCs w:val="18"/>
                <w:lang w:val="en-GB"/>
              </w:rPr>
            </w:pPr>
            <w:r w:rsidRPr="00A92D75">
              <w:rPr>
                <w:sz w:val="18"/>
                <w:szCs w:val="18"/>
                <w:lang w:val="en-GB"/>
              </w:rPr>
              <w:t>(46,368)</w:t>
            </w:r>
          </w:p>
        </w:tc>
        <w:tc>
          <w:tcPr>
            <w:tcW w:w="1313" w:type="dxa"/>
            <w:noWrap/>
            <w:hideMark/>
          </w:tcPr>
          <w:p w14:paraId="6623978D" w14:textId="7DDC379A" w:rsidR="0000412A" w:rsidRPr="00A92D75" w:rsidRDefault="0000412A" w:rsidP="0000412A">
            <w:pPr>
              <w:pStyle w:val="Footnote"/>
              <w:jc w:val="right"/>
              <w:rPr>
                <w:sz w:val="18"/>
                <w:szCs w:val="18"/>
                <w:lang w:val="en-GB" w:eastAsia="en-US"/>
              </w:rPr>
            </w:pPr>
            <w:r w:rsidRPr="00A92D75">
              <w:rPr>
                <w:sz w:val="18"/>
                <w:szCs w:val="18"/>
                <w:lang w:val="en-GB"/>
              </w:rPr>
              <w:t>(108,441)</w:t>
            </w:r>
          </w:p>
        </w:tc>
        <w:tc>
          <w:tcPr>
            <w:tcW w:w="1202" w:type="dxa"/>
            <w:noWrap/>
            <w:hideMark/>
          </w:tcPr>
          <w:p w14:paraId="6895FFC9" w14:textId="77777777" w:rsidR="0000412A" w:rsidRPr="00A92D75" w:rsidRDefault="0000412A" w:rsidP="0000412A">
            <w:pPr>
              <w:pStyle w:val="Footnote"/>
              <w:jc w:val="right"/>
              <w:rPr>
                <w:sz w:val="18"/>
                <w:szCs w:val="18"/>
                <w:lang w:val="en-GB" w:eastAsia="en-US"/>
              </w:rPr>
            </w:pPr>
            <w:r w:rsidRPr="00A92D75">
              <w:rPr>
                <w:sz w:val="18"/>
                <w:szCs w:val="18"/>
                <w:lang w:val="en-GB"/>
              </w:rPr>
              <w:t>(86,993)</w:t>
            </w:r>
          </w:p>
        </w:tc>
        <w:tc>
          <w:tcPr>
            <w:tcW w:w="1128" w:type="dxa"/>
          </w:tcPr>
          <w:p w14:paraId="510D6B6D" w14:textId="5A2E7C0B" w:rsidR="0000412A" w:rsidRPr="00A92D75" w:rsidRDefault="0000412A" w:rsidP="0000412A">
            <w:pPr>
              <w:pStyle w:val="Footnote"/>
              <w:jc w:val="right"/>
              <w:rPr>
                <w:sz w:val="18"/>
                <w:szCs w:val="18"/>
                <w:lang w:val="en-GB"/>
              </w:rPr>
            </w:pPr>
            <w:r w:rsidRPr="00A92D75">
              <w:rPr>
                <w:sz w:val="18"/>
                <w:szCs w:val="18"/>
                <w:lang w:val="en-GB"/>
              </w:rPr>
              <w:t>(207,787)</w:t>
            </w:r>
          </w:p>
        </w:tc>
      </w:tr>
      <w:tr w:rsidR="0000412A" w:rsidRPr="00A92D75" w14:paraId="1651DB47" w14:textId="0ADF237F" w:rsidTr="0000412A">
        <w:trPr>
          <w:trHeight w:val="60"/>
          <w:jc w:val="center"/>
        </w:trPr>
        <w:tc>
          <w:tcPr>
            <w:tcW w:w="4386" w:type="dxa"/>
            <w:hideMark/>
          </w:tcPr>
          <w:p w14:paraId="7A2B8FDA" w14:textId="77777777" w:rsidR="0000412A" w:rsidRPr="00A92D75" w:rsidRDefault="0000412A" w:rsidP="0000412A">
            <w:pPr>
              <w:pStyle w:val="Footnote"/>
              <w:rPr>
                <w:sz w:val="18"/>
                <w:szCs w:val="18"/>
                <w:lang w:val="en-GB"/>
              </w:rPr>
            </w:pPr>
            <w:r w:rsidRPr="00A92D75">
              <w:rPr>
                <w:sz w:val="18"/>
                <w:szCs w:val="18"/>
                <w:lang w:val="en-GB"/>
              </w:rPr>
              <w:t>Other (expense) income, net</w:t>
            </w:r>
          </w:p>
        </w:tc>
        <w:tc>
          <w:tcPr>
            <w:tcW w:w="1231" w:type="dxa"/>
          </w:tcPr>
          <w:p w14:paraId="40B3A7CA" w14:textId="58F74AFB" w:rsidR="0000412A" w:rsidRPr="00A92D75" w:rsidRDefault="0000412A" w:rsidP="0000412A">
            <w:pPr>
              <w:pStyle w:val="Footnote"/>
              <w:jc w:val="right"/>
              <w:rPr>
                <w:sz w:val="18"/>
                <w:szCs w:val="18"/>
                <w:lang w:val="en-GB"/>
              </w:rPr>
            </w:pPr>
            <w:r w:rsidRPr="00A92D75">
              <w:rPr>
                <w:sz w:val="18"/>
                <w:szCs w:val="18"/>
                <w:lang w:val="en-GB"/>
              </w:rPr>
              <w:t>(7,373)</w:t>
            </w:r>
          </w:p>
        </w:tc>
        <w:tc>
          <w:tcPr>
            <w:tcW w:w="1313" w:type="dxa"/>
            <w:noWrap/>
            <w:hideMark/>
          </w:tcPr>
          <w:p w14:paraId="743AA42A" w14:textId="3EC257EB" w:rsidR="0000412A" w:rsidRPr="00A92D75" w:rsidRDefault="0000412A" w:rsidP="0000412A">
            <w:pPr>
              <w:pStyle w:val="Footnote"/>
              <w:jc w:val="right"/>
              <w:rPr>
                <w:sz w:val="18"/>
                <w:szCs w:val="18"/>
                <w:lang w:val="en-GB" w:eastAsia="en-US"/>
              </w:rPr>
            </w:pPr>
            <w:r w:rsidRPr="00A92D75">
              <w:rPr>
                <w:sz w:val="18"/>
                <w:szCs w:val="18"/>
                <w:lang w:val="en-GB"/>
              </w:rPr>
              <w:t>(41,208)</w:t>
            </w:r>
          </w:p>
        </w:tc>
        <w:tc>
          <w:tcPr>
            <w:tcW w:w="1202" w:type="dxa"/>
            <w:noWrap/>
            <w:hideMark/>
          </w:tcPr>
          <w:p w14:paraId="3B1B0314"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1,804 </w:t>
            </w:r>
          </w:p>
        </w:tc>
        <w:tc>
          <w:tcPr>
            <w:tcW w:w="1128" w:type="dxa"/>
          </w:tcPr>
          <w:p w14:paraId="2D616C05" w14:textId="44599D38" w:rsidR="0000412A" w:rsidRPr="00A92D75" w:rsidRDefault="0000412A" w:rsidP="0000412A">
            <w:pPr>
              <w:pStyle w:val="Footnote"/>
              <w:jc w:val="right"/>
              <w:rPr>
                <w:sz w:val="18"/>
                <w:szCs w:val="18"/>
                <w:lang w:val="en-GB"/>
              </w:rPr>
            </w:pPr>
            <w:r w:rsidRPr="00A92D75">
              <w:rPr>
                <w:sz w:val="18"/>
                <w:szCs w:val="18"/>
                <w:lang w:val="en-GB"/>
              </w:rPr>
              <w:t>(59,306)</w:t>
            </w:r>
          </w:p>
        </w:tc>
      </w:tr>
      <w:tr w:rsidR="0000412A" w:rsidRPr="00A92D75" w14:paraId="0667BFF2" w14:textId="0D79CE17" w:rsidTr="0000412A">
        <w:trPr>
          <w:trHeight w:val="60"/>
          <w:jc w:val="center"/>
        </w:trPr>
        <w:tc>
          <w:tcPr>
            <w:tcW w:w="4386" w:type="dxa"/>
            <w:hideMark/>
          </w:tcPr>
          <w:p w14:paraId="5D55F16E" w14:textId="77777777" w:rsidR="0000412A" w:rsidRPr="00A92D75" w:rsidRDefault="0000412A" w:rsidP="0000412A">
            <w:pPr>
              <w:pStyle w:val="Footnote"/>
              <w:rPr>
                <w:sz w:val="18"/>
                <w:szCs w:val="18"/>
                <w:lang w:val="en-GB"/>
              </w:rPr>
            </w:pPr>
            <w:r w:rsidRPr="00A92D75">
              <w:rPr>
                <w:sz w:val="18"/>
                <w:szCs w:val="18"/>
                <w:lang w:val="en-GB"/>
              </w:rPr>
              <w:t>Loss before income taxes</w:t>
            </w:r>
          </w:p>
        </w:tc>
        <w:tc>
          <w:tcPr>
            <w:tcW w:w="1231" w:type="dxa"/>
          </w:tcPr>
          <w:p w14:paraId="691A39B9" w14:textId="22046C48" w:rsidR="0000412A" w:rsidRPr="00A92D75" w:rsidRDefault="0000412A" w:rsidP="0000412A">
            <w:pPr>
              <w:pStyle w:val="Footnote"/>
              <w:jc w:val="right"/>
              <w:rPr>
                <w:sz w:val="18"/>
                <w:szCs w:val="18"/>
                <w:lang w:val="en-GB"/>
              </w:rPr>
            </w:pPr>
            <w:r w:rsidRPr="00A92D75">
              <w:rPr>
                <w:sz w:val="18"/>
                <w:szCs w:val="18"/>
                <w:lang w:val="en-GB"/>
              </w:rPr>
              <w:t>(289,539)</w:t>
            </w:r>
          </w:p>
        </w:tc>
        <w:tc>
          <w:tcPr>
            <w:tcW w:w="1313" w:type="dxa"/>
            <w:noWrap/>
            <w:hideMark/>
          </w:tcPr>
          <w:p w14:paraId="451C0378" w14:textId="4738CCEB" w:rsidR="0000412A" w:rsidRPr="00A92D75" w:rsidRDefault="0000412A" w:rsidP="0000412A">
            <w:pPr>
              <w:pStyle w:val="Footnote"/>
              <w:jc w:val="right"/>
              <w:rPr>
                <w:sz w:val="18"/>
                <w:szCs w:val="18"/>
                <w:lang w:val="en-GB" w:eastAsia="en-US"/>
              </w:rPr>
            </w:pPr>
            <w:r w:rsidRPr="00A92D75">
              <w:rPr>
                <w:sz w:val="18"/>
                <w:szCs w:val="18"/>
                <w:lang w:val="en-GB"/>
              </w:rPr>
              <w:t>(385,780)</w:t>
            </w:r>
          </w:p>
        </w:tc>
        <w:tc>
          <w:tcPr>
            <w:tcW w:w="1202" w:type="dxa"/>
            <w:noWrap/>
            <w:hideMark/>
          </w:tcPr>
          <w:p w14:paraId="21D86A03" w14:textId="77777777" w:rsidR="0000412A" w:rsidRPr="00A92D75" w:rsidRDefault="0000412A" w:rsidP="0000412A">
            <w:pPr>
              <w:pStyle w:val="Footnote"/>
              <w:jc w:val="right"/>
              <w:rPr>
                <w:sz w:val="18"/>
                <w:szCs w:val="18"/>
                <w:lang w:val="en-GB" w:eastAsia="en-US"/>
              </w:rPr>
            </w:pPr>
            <w:r w:rsidRPr="00A92D75">
              <w:rPr>
                <w:sz w:val="18"/>
                <w:szCs w:val="18"/>
                <w:lang w:val="en-GB"/>
              </w:rPr>
              <w:t>(567,960)</w:t>
            </w:r>
          </w:p>
        </w:tc>
        <w:tc>
          <w:tcPr>
            <w:tcW w:w="1128" w:type="dxa"/>
          </w:tcPr>
          <w:p w14:paraId="14E40CC5" w14:textId="3CF14469" w:rsidR="0000412A" w:rsidRPr="00A92D75" w:rsidRDefault="0000412A" w:rsidP="0000412A">
            <w:pPr>
              <w:pStyle w:val="Footnote"/>
              <w:jc w:val="right"/>
              <w:rPr>
                <w:sz w:val="18"/>
                <w:szCs w:val="18"/>
                <w:lang w:val="en-GB"/>
              </w:rPr>
            </w:pPr>
            <w:r w:rsidRPr="00A92D75">
              <w:rPr>
                <w:sz w:val="18"/>
                <w:szCs w:val="18"/>
                <w:lang w:val="en-GB"/>
              </w:rPr>
              <w:t>(757,683)</w:t>
            </w:r>
          </w:p>
        </w:tc>
      </w:tr>
      <w:tr w:rsidR="0000412A" w:rsidRPr="00A92D75" w14:paraId="25877E99" w14:textId="0BCA8ED4" w:rsidTr="0000412A">
        <w:trPr>
          <w:trHeight w:val="60"/>
          <w:jc w:val="center"/>
        </w:trPr>
        <w:tc>
          <w:tcPr>
            <w:tcW w:w="4386" w:type="dxa"/>
            <w:hideMark/>
          </w:tcPr>
          <w:p w14:paraId="553B6BFF" w14:textId="77777777" w:rsidR="0000412A" w:rsidRPr="00A92D75" w:rsidRDefault="0000412A" w:rsidP="0000412A">
            <w:pPr>
              <w:pStyle w:val="Footnote"/>
              <w:rPr>
                <w:sz w:val="18"/>
                <w:szCs w:val="18"/>
                <w:lang w:val="en-GB"/>
              </w:rPr>
            </w:pPr>
            <w:r w:rsidRPr="00A92D75">
              <w:rPr>
                <w:sz w:val="18"/>
                <w:szCs w:val="18"/>
                <w:lang w:val="en-GB"/>
              </w:rPr>
              <w:t>Provision for income taxes</w:t>
            </w:r>
          </w:p>
        </w:tc>
        <w:tc>
          <w:tcPr>
            <w:tcW w:w="1231" w:type="dxa"/>
          </w:tcPr>
          <w:p w14:paraId="67FBFE03" w14:textId="1EBACB9E" w:rsidR="0000412A" w:rsidRPr="00A92D75" w:rsidRDefault="0000412A" w:rsidP="0000412A">
            <w:pPr>
              <w:pStyle w:val="Footnote"/>
              <w:jc w:val="right"/>
              <w:rPr>
                <w:sz w:val="18"/>
                <w:szCs w:val="18"/>
                <w:lang w:val="en-GB"/>
              </w:rPr>
            </w:pPr>
            <w:r w:rsidRPr="00A92D75">
              <w:rPr>
                <w:sz w:val="18"/>
                <w:szCs w:val="18"/>
                <w:lang w:val="en-GB"/>
              </w:rPr>
              <w:t xml:space="preserve">3,649 </w:t>
            </w:r>
          </w:p>
        </w:tc>
        <w:tc>
          <w:tcPr>
            <w:tcW w:w="1313" w:type="dxa"/>
            <w:noWrap/>
            <w:hideMark/>
          </w:tcPr>
          <w:p w14:paraId="63AB019B" w14:textId="2E254CB1" w:rsidR="0000412A" w:rsidRPr="00A92D75" w:rsidRDefault="0000412A" w:rsidP="0000412A">
            <w:pPr>
              <w:pStyle w:val="Footnote"/>
              <w:jc w:val="right"/>
              <w:rPr>
                <w:sz w:val="18"/>
                <w:szCs w:val="18"/>
                <w:lang w:val="en-GB" w:eastAsia="en-US"/>
              </w:rPr>
            </w:pPr>
            <w:r w:rsidRPr="00A92D75">
              <w:rPr>
                <w:sz w:val="18"/>
                <w:szCs w:val="18"/>
                <w:lang w:val="en-GB"/>
              </w:rPr>
              <w:t xml:space="preserve">15,647 </w:t>
            </w:r>
          </w:p>
        </w:tc>
        <w:tc>
          <w:tcPr>
            <w:tcW w:w="1202" w:type="dxa"/>
            <w:noWrap/>
            <w:hideMark/>
          </w:tcPr>
          <w:p w14:paraId="0B4D0A0E"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7,495 </w:t>
            </w:r>
          </w:p>
        </w:tc>
        <w:tc>
          <w:tcPr>
            <w:tcW w:w="1128" w:type="dxa"/>
          </w:tcPr>
          <w:p w14:paraId="74D60366" w14:textId="0EDA4C89" w:rsidR="0000412A" w:rsidRPr="00A92D75" w:rsidRDefault="0000412A" w:rsidP="0000412A">
            <w:pPr>
              <w:pStyle w:val="Footnote"/>
              <w:jc w:val="right"/>
              <w:rPr>
                <w:sz w:val="18"/>
                <w:szCs w:val="18"/>
                <w:lang w:val="en-GB"/>
              </w:rPr>
            </w:pPr>
            <w:r w:rsidRPr="00A92D75">
              <w:rPr>
                <w:sz w:val="18"/>
                <w:szCs w:val="18"/>
                <w:lang w:val="en-GB"/>
              </w:rPr>
              <w:t xml:space="preserve">40,925 </w:t>
            </w:r>
          </w:p>
        </w:tc>
      </w:tr>
      <w:tr w:rsidR="0000412A" w:rsidRPr="00A92D75" w14:paraId="740A8C5D" w14:textId="514D5C96" w:rsidTr="0000412A">
        <w:trPr>
          <w:trHeight w:val="60"/>
          <w:jc w:val="center"/>
        </w:trPr>
        <w:tc>
          <w:tcPr>
            <w:tcW w:w="4386" w:type="dxa"/>
            <w:hideMark/>
          </w:tcPr>
          <w:p w14:paraId="5A10804F" w14:textId="77777777" w:rsidR="0000412A" w:rsidRPr="00A92D75" w:rsidRDefault="0000412A" w:rsidP="0000412A">
            <w:pPr>
              <w:pStyle w:val="Footnote"/>
              <w:rPr>
                <w:sz w:val="18"/>
                <w:szCs w:val="18"/>
                <w:lang w:val="en-GB"/>
              </w:rPr>
            </w:pPr>
            <w:r w:rsidRPr="00A92D75">
              <w:rPr>
                <w:sz w:val="18"/>
                <w:szCs w:val="18"/>
                <w:lang w:val="en-GB"/>
              </w:rPr>
              <w:t>Net loss</w:t>
            </w:r>
          </w:p>
        </w:tc>
        <w:tc>
          <w:tcPr>
            <w:tcW w:w="1231" w:type="dxa"/>
          </w:tcPr>
          <w:p w14:paraId="1B907069" w14:textId="7F222E7B" w:rsidR="0000412A" w:rsidRPr="00A92D75" w:rsidRDefault="0000412A" w:rsidP="0000412A">
            <w:pPr>
              <w:pStyle w:val="Footnote"/>
              <w:jc w:val="right"/>
              <w:rPr>
                <w:sz w:val="18"/>
                <w:szCs w:val="18"/>
                <w:lang w:val="en-GB"/>
              </w:rPr>
            </w:pPr>
            <w:r w:rsidRPr="00A92D75">
              <w:rPr>
                <w:sz w:val="18"/>
                <w:szCs w:val="18"/>
                <w:lang w:val="en-GB"/>
              </w:rPr>
              <w:t>(293,188)</w:t>
            </w:r>
          </w:p>
        </w:tc>
        <w:tc>
          <w:tcPr>
            <w:tcW w:w="1313" w:type="dxa"/>
            <w:noWrap/>
            <w:hideMark/>
          </w:tcPr>
          <w:p w14:paraId="4617308A" w14:textId="494C9F84" w:rsidR="0000412A" w:rsidRPr="00A92D75" w:rsidRDefault="0000412A" w:rsidP="0000412A">
            <w:pPr>
              <w:pStyle w:val="Footnote"/>
              <w:jc w:val="right"/>
              <w:rPr>
                <w:sz w:val="18"/>
                <w:szCs w:val="18"/>
                <w:lang w:val="en-GB" w:eastAsia="en-US"/>
              </w:rPr>
            </w:pPr>
            <w:r w:rsidRPr="00A92D75">
              <w:rPr>
                <w:sz w:val="18"/>
                <w:szCs w:val="18"/>
                <w:lang w:val="en-GB"/>
              </w:rPr>
              <w:t>(401,427)</w:t>
            </w:r>
          </w:p>
        </w:tc>
        <w:tc>
          <w:tcPr>
            <w:tcW w:w="1202" w:type="dxa"/>
            <w:noWrap/>
            <w:hideMark/>
          </w:tcPr>
          <w:p w14:paraId="4C4AFE4C" w14:textId="77777777" w:rsidR="0000412A" w:rsidRPr="00A92D75" w:rsidRDefault="0000412A" w:rsidP="0000412A">
            <w:pPr>
              <w:pStyle w:val="Footnote"/>
              <w:jc w:val="right"/>
              <w:rPr>
                <w:sz w:val="18"/>
                <w:szCs w:val="18"/>
                <w:lang w:val="en-GB" w:eastAsia="en-US"/>
              </w:rPr>
            </w:pPr>
            <w:r w:rsidRPr="00A92D75">
              <w:rPr>
                <w:sz w:val="18"/>
                <w:szCs w:val="18"/>
                <w:lang w:val="en-GB"/>
              </w:rPr>
              <w:t>(575,455)</w:t>
            </w:r>
          </w:p>
        </w:tc>
        <w:tc>
          <w:tcPr>
            <w:tcW w:w="1128" w:type="dxa"/>
          </w:tcPr>
          <w:p w14:paraId="1FE5BC23" w14:textId="67B6D5D2" w:rsidR="0000412A" w:rsidRPr="00A92D75" w:rsidRDefault="0000412A" w:rsidP="0000412A">
            <w:pPr>
              <w:pStyle w:val="Footnote"/>
              <w:jc w:val="right"/>
              <w:rPr>
                <w:sz w:val="18"/>
                <w:szCs w:val="18"/>
                <w:lang w:val="en-GB"/>
              </w:rPr>
            </w:pPr>
            <w:r w:rsidRPr="00A92D75">
              <w:rPr>
                <w:sz w:val="18"/>
                <w:szCs w:val="18"/>
                <w:lang w:val="en-GB"/>
              </w:rPr>
              <w:t>(798,608)</w:t>
            </w:r>
          </w:p>
        </w:tc>
      </w:tr>
      <w:tr w:rsidR="0000412A" w:rsidRPr="00A92D75" w14:paraId="37AC783A" w14:textId="4B6F55CB" w:rsidTr="0000412A">
        <w:trPr>
          <w:trHeight w:val="600"/>
          <w:jc w:val="center"/>
        </w:trPr>
        <w:tc>
          <w:tcPr>
            <w:tcW w:w="4386" w:type="dxa"/>
            <w:hideMark/>
          </w:tcPr>
          <w:p w14:paraId="53B7B50F" w14:textId="77777777" w:rsidR="0000412A" w:rsidRPr="00A92D75" w:rsidRDefault="0000412A" w:rsidP="0000412A">
            <w:pPr>
              <w:pStyle w:val="Footnote"/>
              <w:rPr>
                <w:sz w:val="18"/>
                <w:szCs w:val="18"/>
                <w:lang w:val="en-GB"/>
              </w:rPr>
            </w:pPr>
            <w:r w:rsidRPr="00A92D75">
              <w:rPr>
                <w:sz w:val="18"/>
                <w:szCs w:val="18"/>
                <w:lang w:val="en-GB"/>
              </w:rPr>
              <w:t>Net loss attributable to noncontrolling interests and redeemable noncontrolling interests in subsidiaries</w:t>
            </w:r>
          </w:p>
        </w:tc>
        <w:tc>
          <w:tcPr>
            <w:tcW w:w="1231" w:type="dxa"/>
          </w:tcPr>
          <w:p w14:paraId="03B4AC51" w14:textId="39C82A49" w:rsidR="0000412A" w:rsidRPr="00A92D75" w:rsidRDefault="0000412A" w:rsidP="0000412A">
            <w:pPr>
              <w:pStyle w:val="Footnote"/>
              <w:jc w:val="right"/>
              <w:rPr>
                <w:sz w:val="18"/>
                <w:szCs w:val="18"/>
                <w:lang w:val="en-GB"/>
              </w:rPr>
            </w:pPr>
            <w:r>
              <w:rPr>
                <w:sz w:val="18"/>
                <w:szCs w:val="18"/>
                <w:lang w:val="en-GB"/>
              </w:rPr>
              <w:t>–</w:t>
            </w:r>
          </w:p>
        </w:tc>
        <w:tc>
          <w:tcPr>
            <w:tcW w:w="1313" w:type="dxa"/>
            <w:noWrap/>
            <w:hideMark/>
          </w:tcPr>
          <w:p w14:paraId="49A9E23B" w14:textId="0F351D60" w:rsidR="0000412A" w:rsidRPr="00A92D75" w:rsidRDefault="0000412A" w:rsidP="0000412A">
            <w:pPr>
              <w:pStyle w:val="Footnote"/>
              <w:jc w:val="right"/>
              <w:rPr>
                <w:sz w:val="18"/>
                <w:szCs w:val="18"/>
                <w:lang w:val="en-GB" w:eastAsia="en-US"/>
              </w:rPr>
            </w:pPr>
            <w:r w:rsidRPr="00A92D75">
              <w:rPr>
                <w:sz w:val="18"/>
                <w:szCs w:val="18"/>
                <w:lang w:val="en-GB"/>
              </w:rPr>
              <w:t>(65,030)</w:t>
            </w:r>
          </w:p>
        </w:tc>
        <w:tc>
          <w:tcPr>
            <w:tcW w:w="1202" w:type="dxa"/>
            <w:noWrap/>
            <w:hideMark/>
          </w:tcPr>
          <w:p w14:paraId="399F848A" w14:textId="6C19F7CA" w:rsidR="0000412A" w:rsidRPr="00A92D75" w:rsidRDefault="0000412A" w:rsidP="0000412A">
            <w:pPr>
              <w:pStyle w:val="Footnote"/>
              <w:jc w:val="right"/>
              <w:rPr>
                <w:sz w:val="18"/>
                <w:szCs w:val="18"/>
                <w:lang w:val="en-GB" w:eastAsia="en-US"/>
              </w:rPr>
            </w:pPr>
            <w:r>
              <w:rPr>
                <w:sz w:val="18"/>
                <w:szCs w:val="18"/>
                <w:lang w:val="en-GB"/>
              </w:rPr>
              <w:t>–</w:t>
            </w:r>
            <w:r w:rsidRPr="00A92D75">
              <w:rPr>
                <w:sz w:val="18"/>
                <w:szCs w:val="18"/>
                <w:lang w:val="en-GB"/>
              </w:rPr>
              <w:t> </w:t>
            </w:r>
          </w:p>
        </w:tc>
        <w:tc>
          <w:tcPr>
            <w:tcW w:w="1128" w:type="dxa"/>
          </w:tcPr>
          <w:p w14:paraId="093B26BD" w14:textId="6C35C003" w:rsidR="0000412A" w:rsidRDefault="0000412A" w:rsidP="0000412A">
            <w:pPr>
              <w:pStyle w:val="Footnote"/>
              <w:jc w:val="right"/>
              <w:rPr>
                <w:sz w:val="18"/>
                <w:szCs w:val="18"/>
                <w:lang w:val="en-GB"/>
              </w:rPr>
            </w:pPr>
            <w:r w:rsidRPr="00A92D75">
              <w:rPr>
                <w:sz w:val="18"/>
                <w:szCs w:val="18"/>
                <w:lang w:val="en-GB"/>
              </w:rPr>
              <w:t>(131,934)</w:t>
            </w:r>
          </w:p>
        </w:tc>
      </w:tr>
      <w:tr w:rsidR="0000412A" w:rsidRPr="00A92D75" w14:paraId="0E013C0C" w14:textId="3D49D9E8" w:rsidTr="0000412A">
        <w:trPr>
          <w:trHeight w:val="300"/>
          <w:jc w:val="center"/>
        </w:trPr>
        <w:tc>
          <w:tcPr>
            <w:tcW w:w="4386" w:type="dxa"/>
            <w:hideMark/>
          </w:tcPr>
          <w:p w14:paraId="6E8D1798" w14:textId="77777777" w:rsidR="0000412A" w:rsidRPr="00A92D75" w:rsidRDefault="0000412A" w:rsidP="0000412A">
            <w:pPr>
              <w:pStyle w:val="Footnote"/>
              <w:rPr>
                <w:sz w:val="18"/>
                <w:szCs w:val="18"/>
                <w:lang w:val="en-GB"/>
              </w:rPr>
            </w:pPr>
            <w:r w:rsidRPr="00A92D75">
              <w:rPr>
                <w:sz w:val="18"/>
                <w:szCs w:val="18"/>
                <w:lang w:val="en-GB"/>
              </w:rPr>
              <w:t>Net loss attributable to common stockholders</w:t>
            </w:r>
          </w:p>
        </w:tc>
        <w:tc>
          <w:tcPr>
            <w:tcW w:w="1231" w:type="dxa"/>
          </w:tcPr>
          <w:p w14:paraId="4406AB9F" w14:textId="4F0AF787" w:rsidR="0000412A" w:rsidRPr="00A92D75" w:rsidRDefault="0000412A" w:rsidP="0000412A">
            <w:pPr>
              <w:pStyle w:val="Footnote"/>
              <w:jc w:val="right"/>
              <w:rPr>
                <w:sz w:val="18"/>
                <w:szCs w:val="18"/>
                <w:lang w:val="en-GB"/>
              </w:rPr>
            </w:pPr>
            <w:r w:rsidRPr="00A92D75">
              <w:rPr>
                <w:sz w:val="18"/>
                <w:szCs w:val="18"/>
                <w:lang w:val="en-GB"/>
              </w:rPr>
              <w:t xml:space="preserve">  (293,188)</w:t>
            </w:r>
          </w:p>
        </w:tc>
        <w:tc>
          <w:tcPr>
            <w:tcW w:w="1313" w:type="dxa"/>
            <w:noWrap/>
            <w:hideMark/>
          </w:tcPr>
          <w:p w14:paraId="35CF09D8" w14:textId="45435AFE" w:rsidR="0000412A" w:rsidRPr="00A92D75" w:rsidRDefault="0000412A" w:rsidP="0000412A">
            <w:pPr>
              <w:pStyle w:val="Footnote"/>
              <w:jc w:val="right"/>
              <w:rPr>
                <w:sz w:val="18"/>
                <w:szCs w:val="18"/>
                <w:lang w:val="en-GB" w:eastAsia="en-US"/>
              </w:rPr>
            </w:pPr>
            <w:r w:rsidRPr="00A92D75">
              <w:rPr>
                <w:sz w:val="18"/>
                <w:szCs w:val="18"/>
                <w:lang w:val="en-GB"/>
              </w:rPr>
              <w:t xml:space="preserve">  (336,397)</w:t>
            </w:r>
          </w:p>
        </w:tc>
        <w:tc>
          <w:tcPr>
            <w:tcW w:w="1202" w:type="dxa"/>
            <w:noWrap/>
            <w:hideMark/>
          </w:tcPr>
          <w:p w14:paraId="59A0EF17" w14:textId="3BA7E307" w:rsidR="0000412A" w:rsidRPr="00A92D75" w:rsidRDefault="0000412A" w:rsidP="0000412A">
            <w:pPr>
              <w:pStyle w:val="Footnote"/>
              <w:jc w:val="right"/>
              <w:rPr>
                <w:sz w:val="18"/>
                <w:szCs w:val="18"/>
                <w:lang w:val="en-GB" w:eastAsia="en-US"/>
              </w:rPr>
            </w:pPr>
            <w:r w:rsidRPr="00A92D75">
              <w:rPr>
                <w:sz w:val="18"/>
                <w:szCs w:val="18"/>
                <w:lang w:val="en-GB"/>
              </w:rPr>
              <w:t xml:space="preserve">  (575,455)</w:t>
            </w:r>
          </w:p>
        </w:tc>
        <w:tc>
          <w:tcPr>
            <w:tcW w:w="1128" w:type="dxa"/>
          </w:tcPr>
          <w:p w14:paraId="55396A6D" w14:textId="6514346A" w:rsidR="0000412A" w:rsidRPr="00A92D75" w:rsidRDefault="0000412A" w:rsidP="0000412A">
            <w:pPr>
              <w:pStyle w:val="Footnote"/>
              <w:jc w:val="right"/>
              <w:rPr>
                <w:sz w:val="18"/>
                <w:szCs w:val="18"/>
                <w:lang w:val="en-GB"/>
              </w:rPr>
            </w:pPr>
            <w:r w:rsidRPr="00A92D75">
              <w:rPr>
                <w:sz w:val="18"/>
                <w:szCs w:val="18"/>
                <w:lang w:val="en-GB"/>
              </w:rPr>
              <w:t xml:space="preserve">  (666,674)</w:t>
            </w:r>
          </w:p>
        </w:tc>
      </w:tr>
      <w:tr w:rsidR="0000412A" w:rsidRPr="00A92D75" w14:paraId="6D18EBDF" w14:textId="16B4CCF0" w:rsidTr="0000412A">
        <w:trPr>
          <w:trHeight w:val="600"/>
          <w:jc w:val="center"/>
        </w:trPr>
        <w:tc>
          <w:tcPr>
            <w:tcW w:w="4386" w:type="dxa"/>
            <w:hideMark/>
          </w:tcPr>
          <w:p w14:paraId="6069580C" w14:textId="77777777" w:rsidR="0000412A" w:rsidRPr="00A92D75" w:rsidRDefault="0000412A" w:rsidP="0000412A">
            <w:pPr>
              <w:pStyle w:val="Footnote"/>
              <w:rPr>
                <w:sz w:val="18"/>
                <w:szCs w:val="18"/>
                <w:lang w:val="en-GB"/>
              </w:rPr>
            </w:pPr>
            <w:r w:rsidRPr="00A92D75">
              <w:rPr>
                <w:sz w:val="18"/>
                <w:szCs w:val="18"/>
                <w:lang w:val="en-GB"/>
              </w:rPr>
              <w:t>Net loss per share of common stock attributable to common stockholders, basic and diluted</w:t>
            </w:r>
          </w:p>
        </w:tc>
        <w:tc>
          <w:tcPr>
            <w:tcW w:w="1231" w:type="dxa"/>
          </w:tcPr>
          <w:p w14:paraId="55D92802" w14:textId="72C6DB0B" w:rsidR="0000412A" w:rsidRPr="00A92D75" w:rsidRDefault="0000412A" w:rsidP="0000412A">
            <w:pPr>
              <w:pStyle w:val="Footnote"/>
              <w:jc w:val="right"/>
              <w:rPr>
                <w:sz w:val="18"/>
                <w:szCs w:val="18"/>
                <w:lang w:val="en-GB"/>
              </w:rPr>
            </w:pPr>
            <w:r w:rsidRPr="00A92D75">
              <w:rPr>
                <w:sz w:val="18"/>
                <w:szCs w:val="18"/>
                <w:lang w:val="en-GB"/>
              </w:rPr>
              <w:t xml:space="preserve">  (2.09)</w:t>
            </w:r>
          </w:p>
        </w:tc>
        <w:tc>
          <w:tcPr>
            <w:tcW w:w="1313" w:type="dxa"/>
            <w:noWrap/>
            <w:hideMark/>
          </w:tcPr>
          <w:p w14:paraId="4463AD55" w14:textId="4EF2DB70" w:rsidR="0000412A" w:rsidRPr="00A92D75" w:rsidRDefault="0000412A" w:rsidP="0000412A">
            <w:pPr>
              <w:pStyle w:val="Footnote"/>
              <w:jc w:val="right"/>
              <w:rPr>
                <w:sz w:val="18"/>
                <w:szCs w:val="18"/>
                <w:lang w:val="en-GB" w:eastAsia="en-US"/>
              </w:rPr>
            </w:pPr>
            <w:r w:rsidRPr="00A92D75">
              <w:rPr>
                <w:sz w:val="18"/>
                <w:szCs w:val="18"/>
                <w:lang w:val="en-GB"/>
              </w:rPr>
              <w:t xml:space="preserve">  (2.04)</w:t>
            </w:r>
          </w:p>
        </w:tc>
        <w:tc>
          <w:tcPr>
            <w:tcW w:w="1202" w:type="dxa"/>
            <w:noWrap/>
            <w:hideMark/>
          </w:tcPr>
          <w:p w14:paraId="61F7738E" w14:textId="32BD4C86" w:rsidR="0000412A" w:rsidRPr="00A92D75" w:rsidRDefault="0000412A" w:rsidP="0000412A">
            <w:pPr>
              <w:pStyle w:val="Footnote"/>
              <w:jc w:val="right"/>
              <w:rPr>
                <w:sz w:val="18"/>
                <w:szCs w:val="18"/>
                <w:lang w:val="en-GB" w:eastAsia="en-US"/>
              </w:rPr>
            </w:pPr>
            <w:r w:rsidRPr="00A92D75">
              <w:rPr>
                <w:sz w:val="18"/>
                <w:szCs w:val="18"/>
                <w:lang w:val="en-GB"/>
              </w:rPr>
              <w:t xml:space="preserve">  (4.22)</w:t>
            </w:r>
          </w:p>
        </w:tc>
        <w:tc>
          <w:tcPr>
            <w:tcW w:w="1128" w:type="dxa"/>
          </w:tcPr>
          <w:p w14:paraId="3126D7E6" w14:textId="532BB421" w:rsidR="0000412A" w:rsidRPr="00A92D75" w:rsidRDefault="0000412A" w:rsidP="0000412A">
            <w:pPr>
              <w:pStyle w:val="Footnote"/>
              <w:jc w:val="right"/>
              <w:rPr>
                <w:sz w:val="18"/>
                <w:szCs w:val="18"/>
                <w:lang w:val="en-GB"/>
              </w:rPr>
            </w:pPr>
            <w:r w:rsidRPr="00A92D75">
              <w:rPr>
                <w:sz w:val="18"/>
                <w:szCs w:val="18"/>
                <w:lang w:val="en-GB"/>
              </w:rPr>
              <w:t xml:space="preserve">  (4.07)</w:t>
            </w:r>
          </w:p>
        </w:tc>
      </w:tr>
      <w:tr w:rsidR="0000412A" w:rsidRPr="00A92D75" w14:paraId="4DC22233" w14:textId="3A355BAF" w:rsidTr="0000412A">
        <w:trPr>
          <w:trHeight w:val="615"/>
          <w:jc w:val="center"/>
        </w:trPr>
        <w:tc>
          <w:tcPr>
            <w:tcW w:w="4386" w:type="dxa"/>
            <w:hideMark/>
          </w:tcPr>
          <w:p w14:paraId="701DA951" w14:textId="77777777" w:rsidR="0000412A" w:rsidRPr="00A92D75" w:rsidRDefault="0000412A" w:rsidP="0000412A">
            <w:pPr>
              <w:pStyle w:val="Footnote"/>
              <w:rPr>
                <w:sz w:val="18"/>
                <w:szCs w:val="18"/>
                <w:lang w:val="en-GB"/>
              </w:rPr>
            </w:pPr>
            <w:r w:rsidRPr="00A92D75">
              <w:rPr>
                <w:sz w:val="18"/>
                <w:szCs w:val="18"/>
                <w:lang w:val="en-GB"/>
              </w:rPr>
              <w:t>Weighted average shares used in computing net loss per share of common stock, basic and diluted</w:t>
            </w:r>
          </w:p>
        </w:tc>
        <w:tc>
          <w:tcPr>
            <w:tcW w:w="1231" w:type="dxa"/>
          </w:tcPr>
          <w:p w14:paraId="78B792C1" w14:textId="51CE2F81" w:rsidR="0000412A" w:rsidRPr="00A92D75" w:rsidRDefault="0000412A" w:rsidP="0000412A">
            <w:pPr>
              <w:pStyle w:val="Footnote"/>
              <w:jc w:val="right"/>
              <w:rPr>
                <w:sz w:val="18"/>
                <w:szCs w:val="18"/>
                <w:lang w:val="en-GB"/>
              </w:rPr>
            </w:pPr>
            <w:r w:rsidRPr="00A92D75">
              <w:rPr>
                <w:sz w:val="18"/>
                <w:szCs w:val="18"/>
                <w:lang w:val="en-GB"/>
              </w:rPr>
              <w:t xml:space="preserve">139,983 </w:t>
            </w:r>
          </w:p>
        </w:tc>
        <w:tc>
          <w:tcPr>
            <w:tcW w:w="1313" w:type="dxa"/>
            <w:noWrap/>
            <w:hideMark/>
          </w:tcPr>
          <w:p w14:paraId="3CF58A6D" w14:textId="06E0CA25" w:rsidR="0000412A" w:rsidRPr="00A92D75" w:rsidRDefault="0000412A" w:rsidP="0000412A">
            <w:pPr>
              <w:pStyle w:val="Footnote"/>
              <w:jc w:val="right"/>
              <w:rPr>
                <w:sz w:val="18"/>
                <w:szCs w:val="18"/>
                <w:lang w:val="en-GB" w:eastAsia="en-US"/>
              </w:rPr>
            </w:pPr>
            <w:r w:rsidRPr="00A92D75">
              <w:rPr>
                <w:sz w:val="18"/>
                <w:szCs w:val="18"/>
                <w:lang w:val="en-GB"/>
              </w:rPr>
              <w:t xml:space="preserve">165,212 </w:t>
            </w:r>
          </w:p>
        </w:tc>
        <w:tc>
          <w:tcPr>
            <w:tcW w:w="1202" w:type="dxa"/>
            <w:noWrap/>
            <w:hideMark/>
          </w:tcPr>
          <w:p w14:paraId="3FD79D81" w14:textId="77777777" w:rsidR="0000412A" w:rsidRPr="00A92D75" w:rsidRDefault="0000412A" w:rsidP="0000412A">
            <w:pPr>
              <w:pStyle w:val="Footnote"/>
              <w:jc w:val="right"/>
              <w:rPr>
                <w:sz w:val="18"/>
                <w:szCs w:val="18"/>
                <w:lang w:val="en-GB" w:eastAsia="en-US"/>
              </w:rPr>
            </w:pPr>
            <w:r w:rsidRPr="00A92D75">
              <w:rPr>
                <w:sz w:val="18"/>
                <w:szCs w:val="18"/>
                <w:lang w:val="en-GB"/>
              </w:rPr>
              <w:t xml:space="preserve">136,330 </w:t>
            </w:r>
          </w:p>
        </w:tc>
        <w:tc>
          <w:tcPr>
            <w:tcW w:w="1128" w:type="dxa"/>
          </w:tcPr>
          <w:p w14:paraId="2C0B2D34" w14:textId="4EAA25DC" w:rsidR="0000412A" w:rsidRPr="00A92D75" w:rsidRDefault="0000412A" w:rsidP="0000412A">
            <w:pPr>
              <w:pStyle w:val="Footnote"/>
              <w:jc w:val="right"/>
              <w:rPr>
                <w:sz w:val="18"/>
                <w:szCs w:val="18"/>
                <w:lang w:val="en-GB"/>
              </w:rPr>
            </w:pPr>
            <w:r w:rsidRPr="00A92D75">
              <w:rPr>
                <w:sz w:val="18"/>
                <w:szCs w:val="18"/>
                <w:lang w:val="en-GB"/>
              </w:rPr>
              <w:t xml:space="preserve">163,679 </w:t>
            </w:r>
          </w:p>
        </w:tc>
      </w:tr>
    </w:tbl>
    <w:p w14:paraId="089E4AD0" w14:textId="77777777" w:rsidR="00F9022B" w:rsidRPr="00A92D75" w:rsidRDefault="00F9022B" w:rsidP="00F9022B">
      <w:pPr>
        <w:pStyle w:val="BodyTextMain"/>
        <w:rPr>
          <w:lang w:val="en-GB"/>
        </w:rPr>
      </w:pPr>
    </w:p>
    <w:p w14:paraId="3BA8C10A" w14:textId="36E3C891" w:rsidR="00F9022B" w:rsidRPr="00A92D75" w:rsidRDefault="00F9022B" w:rsidP="00F9022B">
      <w:pPr>
        <w:pStyle w:val="Footnote"/>
        <w:rPr>
          <w:lang w:val="en-GB"/>
        </w:rPr>
      </w:pPr>
      <w:r w:rsidRPr="00A92D75">
        <w:rPr>
          <w:lang w:val="en-GB"/>
        </w:rPr>
        <w:t xml:space="preserve">Source: </w:t>
      </w:r>
      <w:r w:rsidR="00F603C3">
        <w:t>United States Sec</w:t>
      </w:r>
      <w:r w:rsidR="00041E96">
        <w:t xml:space="preserve">urity and Exchange Commission, </w:t>
      </w:r>
      <w:r w:rsidRPr="00A92D75">
        <w:rPr>
          <w:lang w:val="en-GB"/>
        </w:rPr>
        <w:t>SEC Form 10-Q</w:t>
      </w:r>
      <w:r w:rsidR="009518DD">
        <w:rPr>
          <w:lang w:val="en-GB"/>
        </w:rPr>
        <w:t>, 5,</w:t>
      </w:r>
      <w:r w:rsidRPr="00A92D75">
        <w:rPr>
          <w:lang w:val="en-GB"/>
        </w:rPr>
        <w:t xml:space="preserve"> filed by Tesla, Inc. on </w:t>
      </w:r>
      <w:r w:rsidR="00F603C3">
        <w:rPr>
          <w:lang w:val="en-GB"/>
        </w:rPr>
        <w:t xml:space="preserve">August </w:t>
      </w:r>
      <w:r w:rsidRPr="00A92D75">
        <w:rPr>
          <w:lang w:val="en-GB"/>
        </w:rPr>
        <w:t>4</w:t>
      </w:r>
      <w:r w:rsidR="00F603C3">
        <w:rPr>
          <w:lang w:val="en-GB"/>
        </w:rPr>
        <w:t xml:space="preserve">, </w:t>
      </w:r>
      <w:r w:rsidRPr="00A92D75">
        <w:rPr>
          <w:lang w:val="en-GB"/>
        </w:rPr>
        <w:t>2017</w:t>
      </w:r>
      <w:r w:rsidR="00F603C3">
        <w:rPr>
          <w:lang w:val="en-GB"/>
        </w:rPr>
        <w:t>,</w:t>
      </w:r>
      <w:r w:rsidR="00F603C3" w:rsidRPr="00F603C3">
        <w:rPr>
          <w:lang w:val="en-GB"/>
        </w:rPr>
        <w:t xml:space="preserve"> </w:t>
      </w:r>
      <w:r w:rsidR="00F603C3">
        <w:rPr>
          <w:lang w:val="en-GB"/>
        </w:rPr>
        <w:t xml:space="preserve">accessed </w:t>
      </w:r>
      <w:r w:rsidR="00A33EB6">
        <w:rPr>
          <w:lang w:val="en-GB"/>
        </w:rPr>
        <w:t>August 13, 2017</w:t>
      </w:r>
      <w:r w:rsidR="00F603C3">
        <w:rPr>
          <w:lang w:val="en-GB"/>
        </w:rPr>
        <w:t xml:space="preserve">, </w:t>
      </w:r>
      <w:r w:rsidR="005227E0" w:rsidRPr="005227E0">
        <w:rPr>
          <w:lang w:val="en-GB"/>
        </w:rPr>
        <w:t>www.sec.gov/Archives/edgar/data/1318605/000156459017015705/tsla-10q_20170630.htm</w:t>
      </w:r>
      <w:r w:rsidRPr="00A92D75">
        <w:rPr>
          <w:lang w:val="en-GB"/>
        </w:rPr>
        <w:t>.</w:t>
      </w:r>
    </w:p>
    <w:p w14:paraId="54026E4E" w14:textId="77777777" w:rsidR="00F9022B" w:rsidRPr="00A92D75" w:rsidRDefault="00F9022B">
      <w:pPr>
        <w:spacing w:after="200" w:line="276" w:lineRule="auto"/>
        <w:rPr>
          <w:lang w:val="en-GB"/>
        </w:rPr>
      </w:pPr>
      <w:r w:rsidRPr="00A92D75">
        <w:rPr>
          <w:lang w:val="en-GB"/>
        </w:rPr>
        <w:br w:type="page"/>
      </w:r>
    </w:p>
    <w:p w14:paraId="7C4E7FB9" w14:textId="3E7B934B" w:rsidR="00F9022B" w:rsidRPr="00A92D75" w:rsidRDefault="00F9022B" w:rsidP="00F9022B">
      <w:pPr>
        <w:pStyle w:val="ExhibitHeading"/>
        <w:rPr>
          <w:lang w:val="en-GB"/>
        </w:rPr>
      </w:pPr>
      <w:r w:rsidRPr="00A92D75">
        <w:rPr>
          <w:lang w:val="en-GB"/>
        </w:rPr>
        <w:lastRenderedPageBreak/>
        <w:t xml:space="preserve">Exhibit 4: </w:t>
      </w:r>
      <w:r w:rsidR="003B3AD0">
        <w:rPr>
          <w:lang w:val="en-GB"/>
        </w:rPr>
        <w:t xml:space="preserve">Tesla Inc.’S </w:t>
      </w:r>
      <w:r w:rsidR="00E52A66" w:rsidRPr="00A92D75">
        <w:rPr>
          <w:lang w:val="en-GB"/>
        </w:rPr>
        <w:t xml:space="preserve">Unaudited </w:t>
      </w:r>
      <w:r w:rsidRPr="00A92D75">
        <w:rPr>
          <w:lang w:val="en-GB"/>
        </w:rPr>
        <w:t>Consolidated Statements of Cash Flows</w:t>
      </w:r>
      <w:r w:rsidR="003B3AD0">
        <w:rPr>
          <w:lang w:val="en-GB"/>
        </w:rPr>
        <w:t>, June 2016 and June 2017</w:t>
      </w:r>
      <w:r w:rsidRPr="00A92D75">
        <w:rPr>
          <w:lang w:val="en-GB"/>
        </w:rPr>
        <w:t xml:space="preserve"> (</w:t>
      </w:r>
      <w:r w:rsidR="003B3AD0">
        <w:rPr>
          <w:lang w:val="en-GB"/>
        </w:rPr>
        <w:t xml:space="preserve">In </w:t>
      </w:r>
      <w:r w:rsidR="00E52A66" w:rsidRPr="00A92D75">
        <w:rPr>
          <w:lang w:val="en-GB"/>
        </w:rPr>
        <w:t>US$</w:t>
      </w:r>
      <w:r w:rsidRPr="00A92D75">
        <w:rPr>
          <w:lang w:val="en-GB"/>
        </w:rPr>
        <w:t xml:space="preserve"> thousands)</w:t>
      </w:r>
    </w:p>
    <w:p w14:paraId="6A86D0CB" w14:textId="77777777" w:rsidR="00F9022B" w:rsidRPr="00A92D75" w:rsidRDefault="00F9022B" w:rsidP="00F9022B">
      <w:pPr>
        <w:pStyle w:val="BodyTextMain"/>
        <w:rPr>
          <w:sz w:val="16"/>
          <w:lang w:val="en-GB"/>
        </w:rPr>
      </w:pPr>
    </w:p>
    <w:tbl>
      <w:tblPr>
        <w:tblStyle w:val="TableGrid"/>
        <w:tblW w:w="9247" w:type="dxa"/>
        <w:tblInd w:w="108" w:type="dxa"/>
        <w:tblLook w:val="04A0" w:firstRow="1" w:lastRow="0" w:firstColumn="1" w:lastColumn="0" w:noHBand="0" w:noVBand="1"/>
      </w:tblPr>
      <w:tblGrid>
        <w:gridCol w:w="6457"/>
        <w:gridCol w:w="1440"/>
        <w:gridCol w:w="1350"/>
      </w:tblGrid>
      <w:tr w:rsidR="0000412A" w:rsidRPr="00A92D75" w14:paraId="168AA8F0" w14:textId="43620EE1" w:rsidTr="0000412A">
        <w:trPr>
          <w:trHeight w:val="60"/>
        </w:trPr>
        <w:tc>
          <w:tcPr>
            <w:tcW w:w="6457" w:type="dxa"/>
            <w:vMerge w:val="restart"/>
            <w:hideMark/>
          </w:tcPr>
          <w:p w14:paraId="5E59C2B9" w14:textId="77777777" w:rsidR="0000412A" w:rsidRPr="00A92D75" w:rsidRDefault="0000412A" w:rsidP="00E52A66">
            <w:pPr>
              <w:pStyle w:val="BodyTextMain"/>
              <w:jc w:val="left"/>
              <w:rPr>
                <w:rFonts w:ascii="Arial" w:hAnsi="Arial" w:cs="Arial"/>
                <w:b/>
                <w:bCs/>
                <w:sz w:val="17"/>
                <w:szCs w:val="17"/>
                <w:lang w:val="en-GB"/>
              </w:rPr>
            </w:pPr>
            <w:r w:rsidRPr="00A92D75">
              <w:rPr>
                <w:rFonts w:ascii="Arial" w:hAnsi="Arial" w:cs="Arial"/>
                <w:b/>
                <w:bCs/>
                <w:sz w:val="17"/>
                <w:szCs w:val="17"/>
                <w:lang w:val="en-GB"/>
              </w:rPr>
              <w:t> </w:t>
            </w:r>
          </w:p>
        </w:tc>
        <w:tc>
          <w:tcPr>
            <w:tcW w:w="2790" w:type="dxa"/>
            <w:gridSpan w:val="2"/>
          </w:tcPr>
          <w:p w14:paraId="23E1AB7A" w14:textId="1F5EF474" w:rsidR="0000412A" w:rsidRPr="00A92D75" w:rsidRDefault="0000412A" w:rsidP="008E469F">
            <w:pPr>
              <w:pStyle w:val="BodyTextMain"/>
              <w:jc w:val="center"/>
              <w:rPr>
                <w:rFonts w:ascii="Arial" w:hAnsi="Arial" w:cs="Arial"/>
                <w:b/>
                <w:bCs/>
                <w:sz w:val="17"/>
                <w:szCs w:val="17"/>
                <w:lang w:val="en-GB"/>
              </w:rPr>
            </w:pPr>
            <w:r w:rsidRPr="00A92D75">
              <w:rPr>
                <w:rFonts w:ascii="Arial" w:hAnsi="Arial" w:cs="Arial"/>
                <w:b/>
                <w:bCs/>
                <w:sz w:val="17"/>
                <w:szCs w:val="17"/>
                <w:lang w:val="en-GB"/>
              </w:rPr>
              <w:t>6 Months Ended</w:t>
            </w:r>
          </w:p>
        </w:tc>
      </w:tr>
      <w:tr w:rsidR="0000412A" w:rsidRPr="00A92D75" w14:paraId="0DFF55EB" w14:textId="237C23B7" w:rsidTr="0000412A">
        <w:trPr>
          <w:trHeight w:val="60"/>
        </w:trPr>
        <w:tc>
          <w:tcPr>
            <w:tcW w:w="6457" w:type="dxa"/>
            <w:vMerge/>
            <w:hideMark/>
          </w:tcPr>
          <w:p w14:paraId="607FBD60" w14:textId="77777777" w:rsidR="0000412A" w:rsidRPr="00A92D75" w:rsidRDefault="0000412A" w:rsidP="0000412A">
            <w:pPr>
              <w:pStyle w:val="BodyTextMain"/>
              <w:jc w:val="left"/>
              <w:rPr>
                <w:rFonts w:ascii="Arial" w:hAnsi="Arial" w:cs="Arial"/>
                <w:b/>
                <w:bCs/>
                <w:sz w:val="17"/>
                <w:szCs w:val="17"/>
                <w:lang w:val="en-GB"/>
              </w:rPr>
            </w:pPr>
          </w:p>
        </w:tc>
        <w:tc>
          <w:tcPr>
            <w:tcW w:w="1440" w:type="dxa"/>
            <w:hideMark/>
          </w:tcPr>
          <w:p w14:paraId="192A7CB8" w14:textId="77777777" w:rsidR="0000412A" w:rsidRPr="00A92D75" w:rsidRDefault="0000412A" w:rsidP="0000412A">
            <w:pPr>
              <w:pStyle w:val="BodyTextMain"/>
              <w:rPr>
                <w:rFonts w:ascii="Arial" w:hAnsi="Arial" w:cs="Arial"/>
                <w:b/>
                <w:bCs/>
                <w:sz w:val="17"/>
                <w:szCs w:val="17"/>
                <w:lang w:val="en-GB"/>
              </w:rPr>
            </w:pPr>
            <w:r w:rsidRPr="00A92D75">
              <w:rPr>
                <w:rFonts w:ascii="Arial" w:hAnsi="Arial" w:cs="Arial"/>
                <w:b/>
                <w:bCs/>
                <w:sz w:val="17"/>
                <w:szCs w:val="17"/>
                <w:lang w:val="en-GB"/>
              </w:rPr>
              <w:t>Jun. 30, 2016</w:t>
            </w:r>
          </w:p>
        </w:tc>
        <w:tc>
          <w:tcPr>
            <w:tcW w:w="1350" w:type="dxa"/>
          </w:tcPr>
          <w:p w14:paraId="6C72E664" w14:textId="6B2C61F5" w:rsidR="0000412A" w:rsidRPr="00A92D75" w:rsidRDefault="0000412A" w:rsidP="0000412A">
            <w:pPr>
              <w:pStyle w:val="BodyTextMain"/>
              <w:rPr>
                <w:rFonts w:ascii="Arial" w:hAnsi="Arial" w:cs="Arial"/>
                <w:b/>
                <w:bCs/>
                <w:sz w:val="17"/>
                <w:szCs w:val="17"/>
                <w:lang w:val="en-GB"/>
              </w:rPr>
            </w:pPr>
            <w:r w:rsidRPr="00A92D75">
              <w:rPr>
                <w:rFonts w:ascii="Arial" w:hAnsi="Arial" w:cs="Arial"/>
                <w:b/>
                <w:bCs/>
                <w:sz w:val="17"/>
                <w:szCs w:val="17"/>
                <w:lang w:val="en-GB"/>
              </w:rPr>
              <w:t>Jun. 30, 2017</w:t>
            </w:r>
          </w:p>
        </w:tc>
      </w:tr>
      <w:tr w:rsidR="0000412A" w:rsidRPr="00A92D75" w14:paraId="294DE35B" w14:textId="0EFD6C0A" w:rsidTr="0000412A">
        <w:trPr>
          <w:trHeight w:val="60"/>
        </w:trPr>
        <w:tc>
          <w:tcPr>
            <w:tcW w:w="6457" w:type="dxa"/>
            <w:hideMark/>
          </w:tcPr>
          <w:p w14:paraId="178FDF42" w14:textId="77777777" w:rsidR="0000412A" w:rsidRPr="00A92D75" w:rsidRDefault="0000412A" w:rsidP="0000412A">
            <w:pPr>
              <w:pStyle w:val="BodyTextMain"/>
              <w:jc w:val="left"/>
              <w:rPr>
                <w:rFonts w:ascii="Arial" w:hAnsi="Arial" w:cs="Arial"/>
                <w:b/>
                <w:bCs/>
                <w:sz w:val="17"/>
                <w:szCs w:val="17"/>
                <w:lang w:val="en-GB"/>
              </w:rPr>
            </w:pPr>
            <w:r w:rsidRPr="00A92D75">
              <w:rPr>
                <w:rFonts w:ascii="Arial" w:hAnsi="Arial" w:cs="Arial"/>
                <w:b/>
                <w:bCs/>
                <w:sz w:val="17"/>
                <w:szCs w:val="17"/>
                <w:lang w:val="en-GB"/>
              </w:rPr>
              <w:t>Cash Flows From Operating Activities</w:t>
            </w:r>
          </w:p>
        </w:tc>
        <w:tc>
          <w:tcPr>
            <w:tcW w:w="1440" w:type="dxa"/>
            <w:noWrap/>
            <w:hideMark/>
          </w:tcPr>
          <w:p w14:paraId="645EF0EF"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p>
        </w:tc>
        <w:tc>
          <w:tcPr>
            <w:tcW w:w="1350" w:type="dxa"/>
          </w:tcPr>
          <w:p w14:paraId="2B2669B7" w14:textId="77777777" w:rsidR="0000412A" w:rsidRPr="00A92D75" w:rsidRDefault="0000412A" w:rsidP="0000412A">
            <w:pPr>
              <w:pStyle w:val="BodyTextMain"/>
              <w:jc w:val="right"/>
              <w:rPr>
                <w:rFonts w:ascii="Arial" w:hAnsi="Arial" w:cs="Arial"/>
                <w:sz w:val="17"/>
                <w:szCs w:val="17"/>
                <w:lang w:val="en-GB"/>
              </w:rPr>
            </w:pPr>
          </w:p>
        </w:tc>
      </w:tr>
      <w:tr w:rsidR="0000412A" w:rsidRPr="00A92D75" w14:paraId="46FFD04A" w14:textId="7BB26027" w:rsidTr="0000412A">
        <w:trPr>
          <w:trHeight w:val="60"/>
        </w:trPr>
        <w:tc>
          <w:tcPr>
            <w:tcW w:w="6457" w:type="dxa"/>
            <w:hideMark/>
          </w:tcPr>
          <w:p w14:paraId="2C17EE6E"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Net loss</w:t>
            </w:r>
          </w:p>
        </w:tc>
        <w:tc>
          <w:tcPr>
            <w:tcW w:w="1440" w:type="dxa"/>
            <w:noWrap/>
            <w:hideMark/>
          </w:tcPr>
          <w:p w14:paraId="2839A871" w14:textId="0E7D2D33"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  (575,455)</w:t>
            </w:r>
          </w:p>
        </w:tc>
        <w:tc>
          <w:tcPr>
            <w:tcW w:w="1350" w:type="dxa"/>
          </w:tcPr>
          <w:p w14:paraId="051FADBC" w14:textId="20B6DD95"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  (798,608)</w:t>
            </w:r>
          </w:p>
        </w:tc>
      </w:tr>
      <w:tr w:rsidR="0000412A" w:rsidRPr="00A92D75" w14:paraId="3DB2D9E3" w14:textId="2B58B8A0" w:rsidTr="0000412A">
        <w:trPr>
          <w:trHeight w:val="60"/>
        </w:trPr>
        <w:tc>
          <w:tcPr>
            <w:tcW w:w="6457" w:type="dxa"/>
            <w:hideMark/>
          </w:tcPr>
          <w:p w14:paraId="5EE68D88" w14:textId="77777777" w:rsidR="0000412A" w:rsidRPr="00A92D75" w:rsidRDefault="0000412A" w:rsidP="0000412A">
            <w:pPr>
              <w:pStyle w:val="BodyTextMain"/>
              <w:jc w:val="left"/>
              <w:rPr>
                <w:rFonts w:ascii="Arial" w:hAnsi="Arial" w:cs="Arial"/>
                <w:b/>
                <w:bCs/>
                <w:sz w:val="17"/>
                <w:szCs w:val="17"/>
                <w:lang w:val="en-GB"/>
              </w:rPr>
            </w:pPr>
            <w:r w:rsidRPr="00A92D75">
              <w:rPr>
                <w:rFonts w:ascii="Arial" w:hAnsi="Arial" w:cs="Arial"/>
                <w:b/>
                <w:bCs/>
                <w:sz w:val="17"/>
                <w:szCs w:val="17"/>
                <w:lang w:val="en-GB"/>
              </w:rPr>
              <w:t>Adjustments to reconcile net loss to net cash used in operating activities:</w:t>
            </w:r>
          </w:p>
        </w:tc>
        <w:tc>
          <w:tcPr>
            <w:tcW w:w="1440" w:type="dxa"/>
            <w:noWrap/>
            <w:hideMark/>
          </w:tcPr>
          <w:p w14:paraId="55E7EE6E"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p>
        </w:tc>
        <w:tc>
          <w:tcPr>
            <w:tcW w:w="1350" w:type="dxa"/>
          </w:tcPr>
          <w:p w14:paraId="05AF95DD" w14:textId="77777777" w:rsidR="0000412A" w:rsidRPr="00A92D75" w:rsidRDefault="0000412A" w:rsidP="0000412A">
            <w:pPr>
              <w:pStyle w:val="BodyTextMain"/>
              <w:jc w:val="right"/>
              <w:rPr>
                <w:rFonts w:ascii="Arial" w:hAnsi="Arial" w:cs="Arial"/>
                <w:sz w:val="17"/>
                <w:szCs w:val="17"/>
                <w:lang w:val="en-GB"/>
              </w:rPr>
            </w:pPr>
          </w:p>
        </w:tc>
      </w:tr>
      <w:tr w:rsidR="0000412A" w:rsidRPr="00A92D75" w14:paraId="658A556E" w14:textId="3C14FA8E" w:rsidTr="0000412A">
        <w:trPr>
          <w:trHeight w:val="60"/>
        </w:trPr>
        <w:tc>
          <w:tcPr>
            <w:tcW w:w="6457" w:type="dxa"/>
            <w:hideMark/>
          </w:tcPr>
          <w:p w14:paraId="115DB0D6"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Depreciation and amortization</w:t>
            </w:r>
          </w:p>
        </w:tc>
        <w:tc>
          <w:tcPr>
            <w:tcW w:w="1440" w:type="dxa"/>
            <w:noWrap/>
            <w:hideMark/>
          </w:tcPr>
          <w:p w14:paraId="3BE544BA"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339,692 </w:t>
            </w:r>
          </w:p>
        </w:tc>
        <w:tc>
          <w:tcPr>
            <w:tcW w:w="1350" w:type="dxa"/>
          </w:tcPr>
          <w:p w14:paraId="0BDCE711" w14:textId="225F4E0F"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765,773 </w:t>
            </w:r>
          </w:p>
        </w:tc>
      </w:tr>
      <w:tr w:rsidR="0000412A" w:rsidRPr="00A92D75" w14:paraId="28EFAA58" w14:textId="3499239C" w:rsidTr="0000412A">
        <w:trPr>
          <w:trHeight w:val="60"/>
        </w:trPr>
        <w:tc>
          <w:tcPr>
            <w:tcW w:w="6457" w:type="dxa"/>
            <w:hideMark/>
          </w:tcPr>
          <w:p w14:paraId="06FC5034"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Stock-based compensation</w:t>
            </w:r>
          </w:p>
        </w:tc>
        <w:tc>
          <w:tcPr>
            <w:tcW w:w="1440" w:type="dxa"/>
            <w:noWrap/>
            <w:hideMark/>
          </w:tcPr>
          <w:p w14:paraId="718225C3"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156,969 </w:t>
            </w:r>
          </w:p>
        </w:tc>
        <w:tc>
          <w:tcPr>
            <w:tcW w:w="1350" w:type="dxa"/>
          </w:tcPr>
          <w:p w14:paraId="71F7E67E" w14:textId="3D426061"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219,759 </w:t>
            </w:r>
          </w:p>
        </w:tc>
      </w:tr>
      <w:tr w:rsidR="0000412A" w:rsidRPr="00A92D75" w14:paraId="66183C5B" w14:textId="4E527346" w:rsidTr="0000412A">
        <w:trPr>
          <w:trHeight w:val="60"/>
        </w:trPr>
        <w:tc>
          <w:tcPr>
            <w:tcW w:w="6457" w:type="dxa"/>
            <w:hideMark/>
          </w:tcPr>
          <w:p w14:paraId="0D66B93B"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Amortization of debt discounts</w:t>
            </w:r>
          </w:p>
        </w:tc>
        <w:tc>
          <w:tcPr>
            <w:tcW w:w="1440" w:type="dxa"/>
            <w:noWrap/>
            <w:hideMark/>
          </w:tcPr>
          <w:p w14:paraId="063CD085"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41,696 </w:t>
            </w:r>
          </w:p>
        </w:tc>
        <w:tc>
          <w:tcPr>
            <w:tcW w:w="1350" w:type="dxa"/>
          </w:tcPr>
          <w:p w14:paraId="4C1D15E0" w14:textId="3678354B"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64,151 </w:t>
            </w:r>
          </w:p>
        </w:tc>
      </w:tr>
      <w:tr w:rsidR="0000412A" w:rsidRPr="00A92D75" w14:paraId="03944176" w14:textId="12DD1D3A" w:rsidTr="0000412A">
        <w:trPr>
          <w:trHeight w:val="60"/>
        </w:trPr>
        <w:tc>
          <w:tcPr>
            <w:tcW w:w="6457" w:type="dxa"/>
            <w:hideMark/>
          </w:tcPr>
          <w:p w14:paraId="4AD0582F"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Inventory write-downs</w:t>
            </w:r>
          </w:p>
        </w:tc>
        <w:tc>
          <w:tcPr>
            <w:tcW w:w="1440" w:type="dxa"/>
            <w:noWrap/>
            <w:hideMark/>
          </w:tcPr>
          <w:p w14:paraId="1AE5F928"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29,725 </w:t>
            </w:r>
          </w:p>
        </w:tc>
        <w:tc>
          <w:tcPr>
            <w:tcW w:w="1350" w:type="dxa"/>
          </w:tcPr>
          <w:p w14:paraId="47B6EE4C" w14:textId="3CA13FBC"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71,255 </w:t>
            </w:r>
          </w:p>
        </w:tc>
      </w:tr>
      <w:tr w:rsidR="0000412A" w:rsidRPr="00A92D75" w14:paraId="5D02EE96" w14:textId="4FE0A43D" w:rsidTr="0000412A">
        <w:trPr>
          <w:trHeight w:val="60"/>
        </w:trPr>
        <w:tc>
          <w:tcPr>
            <w:tcW w:w="6457" w:type="dxa"/>
            <w:hideMark/>
          </w:tcPr>
          <w:p w14:paraId="699FFBBF"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Loss on disposal of property and equipment</w:t>
            </w:r>
          </w:p>
        </w:tc>
        <w:tc>
          <w:tcPr>
            <w:tcW w:w="1440" w:type="dxa"/>
            <w:noWrap/>
            <w:hideMark/>
          </w:tcPr>
          <w:p w14:paraId="716C2637"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11,563 </w:t>
            </w:r>
          </w:p>
        </w:tc>
        <w:tc>
          <w:tcPr>
            <w:tcW w:w="1350" w:type="dxa"/>
          </w:tcPr>
          <w:p w14:paraId="78098EB3" w14:textId="1116DFB3"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53,572 </w:t>
            </w:r>
          </w:p>
        </w:tc>
      </w:tr>
      <w:tr w:rsidR="0000412A" w:rsidRPr="00A92D75" w14:paraId="14EBDB65" w14:textId="21B4615D" w:rsidTr="0000412A">
        <w:trPr>
          <w:trHeight w:val="60"/>
        </w:trPr>
        <w:tc>
          <w:tcPr>
            <w:tcW w:w="6457" w:type="dxa"/>
            <w:hideMark/>
          </w:tcPr>
          <w:p w14:paraId="5487CBD4"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Foreign currency transaction loss (gain)</w:t>
            </w:r>
          </w:p>
        </w:tc>
        <w:tc>
          <w:tcPr>
            <w:tcW w:w="1440" w:type="dxa"/>
            <w:noWrap/>
            <w:hideMark/>
          </w:tcPr>
          <w:p w14:paraId="30BE706D"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(8,081)</w:t>
            </w:r>
          </w:p>
        </w:tc>
        <w:tc>
          <w:tcPr>
            <w:tcW w:w="1350" w:type="dxa"/>
          </w:tcPr>
          <w:p w14:paraId="2007FBD6" w14:textId="359085AF"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29,394 </w:t>
            </w:r>
          </w:p>
        </w:tc>
      </w:tr>
      <w:tr w:rsidR="0000412A" w:rsidRPr="00A92D75" w14:paraId="5BDE5B35" w14:textId="6D550C6B" w:rsidTr="0000412A">
        <w:trPr>
          <w:trHeight w:val="60"/>
        </w:trPr>
        <w:tc>
          <w:tcPr>
            <w:tcW w:w="6457" w:type="dxa"/>
            <w:hideMark/>
          </w:tcPr>
          <w:p w14:paraId="374C6458"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Loss on the acquisition of SolarCity</w:t>
            </w:r>
          </w:p>
        </w:tc>
        <w:tc>
          <w:tcPr>
            <w:tcW w:w="1440" w:type="dxa"/>
            <w:noWrap/>
            <w:hideMark/>
          </w:tcPr>
          <w:p w14:paraId="3C8F2DD7" w14:textId="496B0500" w:rsidR="0000412A" w:rsidRPr="00A92D75" w:rsidRDefault="0000412A" w:rsidP="0000412A">
            <w:pPr>
              <w:pStyle w:val="BodyTextMain"/>
              <w:jc w:val="right"/>
              <w:rPr>
                <w:rFonts w:ascii="Arial" w:hAnsi="Arial" w:cs="Arial"/>
                <w:sz w:val="17"/>
                <w:szCs w:val="17"/>
                <w:lang w:val="en-GB"/>
              </w:rPr>
            </w:pPr>
            <w:r>
              <w:rPr>
                <w:rFonts w:ascii="Arial" w:hAnsi="Arial" w:cs="Arial"/>
                <w:sz w:val="17"/>
                <w:szCs w:val="17"/>
                <w:lang w:val="en-GB"/>
              </w:rPr>
              <w:t>–</w:t>
            </w:r>
            <w:r w:rsidRPr="00A92D75">
              <w:rPr>
                <w:rFonts w:ascii="Arial" w:hAnsi="Arial" w:cs="Arial"/>
                <w:sz w:val="17"/>
                <w:szCs w:val="17"/>
                <w:lang w:val="en-GB"/>
              </w:rPr>
              <w:t> </w:t>
            </w:r>
          </w:p>
        </w:tc>
        <w:tc>
          <w:tcPr>
            <w:tcW w:w="1350" w:type="dxa"/>
          </w:tcPr>
          <w:p w14:paraId="72CA503E" w14:textId="04655222" w:rsidR="0000412A" w:rsidRDefault="0000412A" w:rsidP="0000412A">
            <w:pPr>
              <w:pStyle w:val="BodyTextMain"/>
              <w:jc w:val="right"/>
              <w:rPr>
                <w:rFonts w:ascii="Arial" w:hAnsi="Arial" w:cs="Arial"/>
                <w:sz w:val="17"/>
                <w:szCs w:val="17"/>
                <w:lang w:val="en-GB"/>
              </w:rPr>
            </w:pPr>
            <w:r>
              <w:rPr>
                <w:rFonts w:ascii="Arial" w:hAnsi="Arial" w:cs="Arial"/>
                <w:sz w:val="17"/>
                <w:szCs w:val="17"/>
                <w:lang w:val="en-GB"/>
              </w:rPr>
              <w:t xml:space="preserve"> </w:t>
            </w:r>
            <w:r w:rsidRPr="00A92D75">
              <w:rPr>
                <w:rFonts w:ascii="Arial" w:hAnsi="Arial" w:cs="Arial"/>
                <w:sz w:val="17"/>
                <w:szCs w:val="17"/>
                <w:lang w:val="en-GB"/>
              </w:rPr>
              <w:t xml:space="preserve">11,571 </w:t>
            </w:r>
          </w:p>
        </w:tc>
      </w:tr>
      <w:tr w:rsidR="0000412A" w:rsidRPr="00A92D75" w14:paraId="354330A7" w14:textId="56753F9A" w:rsidTr="0000412A">
        <w:trPr>
          <w:trHeight w:val="98"/>
        </w:trPr>
        <w:tc>
          <w:tcPr>
            <w:tcW w:w="6457" w:type="dxa"/>
            <w:hideMark/>
          </w:tcPr>
          <w:p w14:paraId="7C5DF2BE"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Non-cash interest and other operating activities</w:t>
            </w:r>
          </w:p>
        </w:tc>
        <w:tc>
          <w:tcPr>
            <w:tcW w:w="1440" w:type="dxa"/>
            <w:noWrap/>
            <w:hideMark/>
          </w:tcPr>
          <w:p w14:paraId="2DEE97D2"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16,167 </w:t>
            </w:r>
          </w:p>
        </w:tc>
        <w:tc>
          <w:tcPr>
            <w:tcW w:w="1350" w:type="dxa"/>
          </w:tcPr>
          <w:p w14:paraId="6B15D221" w14:textId="3E0CA7BC"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57,023 </w:t>
            </w:r>
          </w:p>
        </w:tc>
      </w:tr>
      <w:tr w:rsidR="0000412A" w:rsidRPr="00A92D75" w14:paraId="277BF7FC" w14:textId="3F2B3E5D" w:rsidTr="0000412A">
        <w:trPr>
          <w:trHeight w:val="300"/>
        </w:trPr>
        <w:tc>
          <w:tcPr>
            <w:tcW w:w="6457" w:type="dxa"/>
            <w:hideMark/>
          </w:tcPr>
          <w:p w14:paraId="6DAE3694" w14:textId="41F6E458" w:rsidR="0000412A" w:rsidRPr="00A92D75" w:rsidRDefault="0000412A" w:rsidP="0000412A">
            <w:pPr>
              <w:pStyle w:val="BodyTextMain"/>
              <w:jc w:val="left"/>
              <w:rPr>
                <w:rFonts w:ascii="Arial" w:hAnsi="Arial" w:cs="Arial"/>
                <w:b/>
                <w:bCs/>
                <w:sz w:val="17"/>
                <w:szCs w:val="17"/>
                <w:lang w:val="en-GB"/>
              </w:rPr>
            </w:pPr>
            <w:r w:rsidRPr="00A92D75">
              <w:rPr>
                <w:rFonts w:ascii="Arial" w:hAnsi="Arial" w:cs="Arial"/>
                <w:b/>
                <w:bCs/>
                <w:sz w:val="17"/>
                <w:szCs w:val="17"/>
                <w:lang w:val="en-GB"/>
              </w:rPr>
              <w:t>Changes operating assets and liabilities, net of effect of business combinations</w:t>
            </w:r>
          </w:p>
        </w:tc>
        <w:tc>
          <w:tcPr>
            <w:tcW w:w="1440" w:type="dxa"/>
            <w:noWrap/>
            <w:hideMark/>
          </w:tcPr>
          <w:p w14:paraId="34F49EC7"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p>
        </w:tc>
        <w:tc>
          <w:tcPr>
            <w:tcW w:w="1350" w:type="dxa"/>
          </w:tcPr>
          <w:p w14:paraId="790451B8" w14:textId="77777777" w:rsidR="0000412A" w:rsidRPr="00A92D75" w:rsidRDefault="0000412A" w:rsidP="0000412A">
            <w:pPr>
              <w:pStyle w:val="BodyTextMain"/>
              <w:jc w:val="right"/>
              <w:rPr>
                <w:rFonts w:ascii="Arial" w:hAnsi="Arial" w:cs="Arial"/>
                <w:sz w:val="17"/>
                <w:szCs w:val="17"/>
                <w:lang w:val="en-GB"/>
              </w:rPr>
            </w:pPr>
          </w:p>
        </w:tc>
      </w:tr>
      <w:tr w:rsidR="0000412A" w:rsidRPr="00A92D75" w14:paraId="43E52EAD" w14:textId="35BFFB2D" w:rsidTr="0000412A">
        <w:trPr>
          <w:trHeight w:val="60"/>
        </w:trPr>
        <w:tc>
          <w:tcPr>
            <w:tcW w:w="6457" w:type="dxa"/>
            <w:hideMark/>
          </w:tcPr>
          <w:p w14:paraId="59E54128"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Accounts receivable</w:t>
            </w:r>
          </w:p>
        </w:tc>
        <w:tc>
          <w:tcPr>
            <w:tcW w:w="1440" w:type="dxa"/>
            <w:noWrap/>
            <w:hideMark/>
          </w:tcPr>
          <w:p w14:paraId="14C0CF80"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(1,426)</w:t>
            </w:r>
          </w:p>
        </w:tc>
        <w:tc>
          <w:tcPr>
            <w:tcW w:w="1350" w:type="dxa"/>
          </w:tcPr>
          <w:p w14:paraId="2113C697" w14:textId="068BB8C8"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77,043 </w:t>
            </w:r>
          </w:p>
        </w:tc>
      </w:tr>
      <w:tr w:rsidR="0000412A" w:rsidRPr="00A92D75" w14:paraId="278B945E" w14:textId="0EB64F26" w:rsidTr="0000412A">
        <w:trPr>
          <w:trHeight w:val="60"/>
        </w:trPr>
        <w:tc>
          <w:tcPr>
            <w:tcW w:w="6457" w:type="dxa"/>
            <w:hideMark/>
          </w:tcPr>
          <w:p w14:paraId="4A3C8022"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Inventories and operating lease vehicles</w:t>
            </w:r>
          </w:p>
        </w:tc>
        <w:tc>
          <w:tcPr>
            <w:tcW w:w="1440" w:type="dxa"/>
            <w:noWrap/>
            <w:hideMark/>
          </w:tcPr>
          <w:p w14:paraId="0F576A09"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(1,217,931)</w:t>
            </w:r>
          </w:p>
        </w:tc>
        <w:tc>
          <w:tcPr>
            <w:tcW w:w="1350" w:type="dxa"/>
          </w:tcPr>
          <w:p w14:paraId="03071271" w14:textId="393C9032"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(1,121,155)</w:t>
            </w:r>
          </w:p>
        </w:tc>
      </w:tr>
      <w:tr w:rsidR="0000412A" w:rsidRPr="00A92D75" w14:paraId="2031CA62" w14:textId="415B1DEA" w:rsidTr="0000412A">
        <w:trPr>
          <w:trHeight w:val="60"/>
        </w:trPr>
        <w:tc>
          <w:tcPr>
            <w:tcW w:w="6457" w:type="dxa"/>
            <w:hideMark/>
          </w:tcPr>
          <w:p w14:paraId="30C79D5C"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Prepaid expenses and other current assets</w:t>
            </w:r>
          </w:p>
        </w:tc>
        <w:tc>
          <w:tcPr>
            <w:tcW w:w="1440" w:type="dxa"/>
            <w:noWrap/>
            <w:hideMark/>
          </w:tcPr>
          <w:p w14:paraId="3634BC8A"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19,494 </w:t>
            </w:r>
          </w:p>
        </w:tc>
        <w:tc>
          <w:tcPr>
            <w:tcW w:w="1350" w:type="dxa"/>
          </w:tcPr>
          <w:p w14:paraId="5F9781EF" w14:textId="6374A933"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(113,192)</w:t>
            </w:r>
          </w:p>
        </w:tc>
      </w:tr>
      <w:tr w:rsidR="0000412A" w:rsidRPr="00A92D75" w14:paraId="787FDCC0" w14:textId="52609C31" w:rsidTr="0000412A">
        <w:trPr>
          <w:trHeight w:val="60"/>
        </w:trPr>
        <w:tc>
          <w:tcPr>
            <w:tcW w:w="6457" w:type="dxa"/>
            <w:hideMark/>
          </w:tcPr>
          <w:p w14:paraId="312DD9AF"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MyPower customer notes receivable and other assets</w:t>
            </w:r>
          </w:p>
        </w:tc>
        <w:tc>
          <w:tcPr>
            <w:tcW w:w="1440" w:type="dxa"/>
            <w:noWrap/>
            <w:hideMark/>
          </w:tcPr>
          <w:p w14:paraId="20D3CD83"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(7,447)</w:t>
            </w:r>
          </w:p>
        </w:tc>
        <w:tc>
          <w:tcPr>
            <w:tcW w:w="1350" w:type="dxa"/>
          </w:tcPr>
          <w:p w14:paraId="5F54F2FE" w14:textId="0D8BFDF8"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26,339 </w:t>
            </w:r>
          </w:p>
        </w:tc>
      </w:tr>
      <w:tr w:rsidR="0000412A" w:rsidRPr="00A92D75" w14:paraId="3EE619AE" w14:textId="58FAE964" w:rsidTr="0000412A">
        <w:trPr>
          <w:trHeight w:val="60"/>
        </w:trPr>
        <w:tc>
          <w:tcPr>
            <w:tcW w:w="6457" w:type="dxa"/>
            <w:hideMark/>
          </w:tcPr>
          <w:p w14:paraId="5C449A80"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Accounts payable and accrued liabilities</w:t>
            </w:r>
          </w:p>
        </w:tc>
        <w:tc>
          <w:tcPr>
            <w:tcW w:w="1440" w:type="dxa"/>
            <w:noWrap/>
            <w:hideMark/>
          </w:tcPr>
          <w:p w14:paraId="341FB16B"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212,949 </w:t>
            </w:r>
          </w:p>
        </w:tc>
        <w:tc>
          <w:tcPr>
            <w:tcW w:w="1350" w:type="dxa"/>
          </w:tcPr>
          <w:p w14:paraId="2CD8897B" w14:textId="4E9AD0E9"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13,234 </w:t>
            </w:r>
          </w:p>
        </w:tc>
      </w:tr>
      <w:tr w:rsidR="0000412A" w:rsidRPr="00A92D75" w14:paraId="5C7C25CC" w14:textId="0A1EF998" w:rsidTr="0000412A">
        <w:trPr>
          <w:trHeight w:val="60"/>
        </w:trPr>
        <w:tc>
          <w:tcPr>
            <w:tcW w:w="6457" w:type="dxa"/>
            <w:hideMark/>
          </w:tcPr>
          <w:p w14:paraId="1C7410D0"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Deferred revenue</w:t>
            </w:r>
          </w:p>
        </w:tc>
        <w:tc>
          <w:tcPr>
            <w:tcW w:w="1440" w:type="dxa"/>
            <w:noWrap/>
            <w:hideMark/>
          </w:tcPr>
          <w:p w14:paraId="77503E8A"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165,144 </w:t>
            </w:r>
          </w:p>
        </w:tc>
        <w:tc>
          <w:tcPr>
            <w:tcW w:w="1350" w:type="dxa"/>
          </w:tcPr>
          <w:p w14:paraId="615A01C0" w14:textId="244D4EDE"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208,685 </w:t>
            </w:r>
          </w:p>
        </w:tc>
      </w:tr>
      <w:tr w:rsidR="0000412A" w:rsidRPr="00A92D75" w14:paraId="5DF2BD86" w14:textId="5502122B" w:rsidTr="0000412A">
        <w:trPr>
          <w:trHeight w:val="60"/>
        </w:trPr>
        <w:tc>
          <w:tcPr>
            <w:tcW w:w="6457" w:type="dxa"/>
            <w:hideMark/>
          </w:tcPr>
          <w:p w14:paraId="21C2F215"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Customer deposits</w:t>
            </w:r>
          </w:p>
        </w:tc>
        <w:tc>
          <w:tcPr>
            <w:tcW w:w="1440" w:type="dxa"/>
            <w:noWrap/>
            <w:hideMark/>
          </w:tcPr>
          <w:p w14:paraId="46D113D5"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398,555 </w:t>
            </w:r>
          </w:p>
        </w:tc>
        <w:tc>
          <w:tcPr>
            <w:tcW w:w="1350" w:type="dxa"/>
          </w:tcPr>
          <w:p w14:paraId="4B7FD948" w14:textId="44D7546B"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(71,064)</w:t>
            </w:r>
          </w:p>
        </w:tc>
      </w:tr>
      <w:tr w:rsidR="0000412A" w:rsidRPr="00A92D75" w14:paraId="54DFC6A7" w14:textId="02BF7AF3" w:rsidTr="0000412A">
        <w:trPr>
          <w:trHeight w:val="60"/>
        </w:trPr>
        <w:tc>
          <w:tcPr>
            <w:tcW w:w="6457" w:type="dxa"/>
            <w:hideMark/>
          </w:tcPr>
          <w:p w14:paraId="445DB424"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Resale value guarantee</w:t>
            </w:r>
          </w:p>
        </w:tc>
        <w:tc>
          <w:tcPr>
            <w:tcW w:w="1440" w:type="dxa"/>
            <w:noWrap/>
            <w:hideMark/>
          </w:tcPr>
          <w:p w14:paraId="4E7AB788"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253,710 </w:t>
            </w:r>
          </w:p>
        </w:tc>
        <w:tc>
          <w:tcPr>
            <w:tcW w:w="1350" w:type="dxa"/>
          </w:tcPr>
          <w:p w14:paraId="06DC5CF3" w14:textId="13CE6870"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176,505 </w:t>
            </w:r>
          </w:p>
        </w:tc>
      </w:tr>
      <w:tr w:rsidR="0000412A" w:rsidRPr="00A92D75" w14:paraId="6843AEF0" w14:textId="4EE6913F" w:rsidTr="0000412A">
        <w:trPr>
          <w:trHeight w:val="60"/>
        </w:trPr>
        <w:tc>
          <w:tcPr>
            <w:tcW w:w="6457" w:type="dxa"/>
            <w:hideMark/>
          </w:tcPr>
          <w:p w14:paraId="27D4E43D"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Other long-term liabilities</w:t>
            </w:r>
          </w:p>
        </w:tc>
        <w:tc>
          <w:tcPr>
            <w:tcW w:w="1440" w:type="dxa"/>
            <w:noWrap/>
            <w:hideMark/>
          </w:tcPr>
          <w:p w14:paraId="41229F3D"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65,407 </w:t>
            </w:r>
          </w:p>
        </w:tc>
        <w:tc>
          <w:tcPr>
            <w:tcW w:w="1350" w:type="dxa"/>
          </w:tcPr>
          <w:p w14:paraId="7E5F0CD8" w14:textId="708942D0"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59,732 </w:t>
            </w:r>
          </w:p>
        </w:tc>
      </w:tr>
      <w:tr w:rsidR="0000412A" w:rsidRPr="00A92D75" w14:paraId="64E11FC5" w14:textId="1F7CABC3" w:rsidTr="0000412A">
        <w:trPr>
          <w:trHeight w:val="60"/>
        </w:trPr>
        <w:tc>
          <w:tcPr>
            <w:tcW w:w="6457" w:type="dxa"/>
            <w:hideMark/>
          </w:tcPr>
          <w:p w14:paraId="079B2DD8"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Net cash used in operating activities</w:t>
            </w:r>
          </w:p>
        </w:tc>
        <w:tc>
          <w:tcPr>
            <w:tcW w:w="1440" w:type="dxa"/>
            <w:noWrap/>
            <w:hideMark/>
          </w:tcPr>
          <w:p w14:paraId="46707FBC"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(99,269)</w:t>
            </w:r>
          </w:p>
        </w:tc>
        <w:tc>
          <w:tcPr>
            <w:tcW w:w="1350" w:type="dxa"/>
          </w:tcPr>
          <w:p w14:paraId="0CD623E5" w14:textId="5CD51342"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(269,983)</w:t>
            </w:r>
          </w:p>
        </w:tc>
      </w:tr>
      <w:tr w:rsidR="0000412A" w:rsidRPr="00A92D75" w14:paraId="550AD026" w14:textId="0E2BC9AF" w:rsidTr="0000412A">
        <w:trPr>
          <w:trHeight w:val="60"/>
        </w:trPr>
        <w:tc>
          <w:tcPr>
            <w:tcW w:w="6457" w:type="dxa"/>
            <w:hideMark/>
          </w:tcPr>
          <w:p w14:paraId="2B8CA58E" w14:textId="25CE80EF" w:rsidR="0000412A" w:rsidRPr="00A92D75" w:rsidRDefault="0000412A" w:rsidP="0000412A">
            <w:pPr>
              <w:pStyle w:val="BodyTextMain"/>
              <w:jc w:val="left"/>
              <w:rPr>
                <w:rFonts w:ascii="Arial" w:hAnsi="Arial" w:cs="Arial"/>
                <w:b/>
                <w:bCs/>
                <w:sz w:val="17"/>
                <w:szCs w:val="17"/>
                <w:lang w:val="en-GB"/>
              </w:rPr>
            </w:pPr>
            <w:r w:rsidRPr="00A92D75">
              <w:rPr>
                <w:rFonts w:ascii="Arial" w:hAnsi="Arial" w:cs="Arial"/>
                <w:b/>
                <w:bCs/>
                <w:sz w:val="17"/>
                <w:szCs w:val="17"/>
                <w:lang w:val="en-GB"/>
              </w:rPr>
              <w:t xml:space="preserve">Cash Flows </w:t>
            </w:r>
            <w:r>
              <w:rPr>
                <w:rFonts w:ascii="Arial" w:hAnsi="Arial" w:cs="Arial"/>
                <w:b/>
                <w:bCs/>
                <w:sz w:val="17"/>
                <w:szCs w:val="17"/>
                <w:lang w:val="en-GB"/>
              </w:rPr>
              <w:t>f</w:t>
            </w:r>
            <w:r w:rsidRPr="00A92D75">
              <w:rPr>
                <w:rFonts w:ascii="Arial" w:hAnsi="Arial" w:cs="Arial"/>
                <w:b/>
                <w:bCs/>
                <w:sz w:val="17"/>
                <w:szCs w:val="17"/>
                <w:lang w:val="en-GB"/>
              </w:rPr>
              <w:t>rom Investing Activities</w:t>
            </w:r>
          </w:p>
        </w:tc>
        <w:tc>
          <w:tcPr>
            <w:tcW w:w="1440" w:type="dxa"/>
            <w:noWrap/>
            <w:hideMark/>
          </w:tcPr>
          <w:p w14:paraId="264C37F1"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p>
        </w:tc>
        <w:tc>
          <w:tcPr>
            <w:tcW w:w="1350" w:type="dxa"/>
          </w:tcPr>
          <w:p w14:paraId="40E4E89C" w14:textId="77777777" w:rsidR="0000412A" w:rsidRPr="00A92D75" w:rsidRDefault="0000412A" w:rsidP="0000412A">
            <w:pPr>
              <w:pStyle w:val="BodyTextMain"/>
              <w:jc w:val="right"/>
              <w:rPr>
                <w:rFonts w:ascii="Arial" w:hAnsi="Arial" w:cs="Arial"/>
                <w:sz w:val="17"/>
                <w:szCs w:val="17"/>
                <w:lang w:val="en-GB"/>
              </w:rPr>
            </w:pPr>
          </w:p>
        </w:tc>
      </w:tr>
      <w:tr w:rsidR="0000412A" w:rsidRPr="00A92D75" w14:paraId="7F29F6B4" w14:textId="28BC7EB1" w:rsidTr="0000412A">
        <w:trPr>
          <w:trHeight w:val="60"/>
        </w:trPr>
        <w:tc>
          <w:tcPr>
            <w:tcW w:w="6457" w:type="dxa"/>
            <w:hideMark/>
          </w:tcPr>
          <w:p w14:paraId="1AE0131B"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Purchases of property and equipment excluding capital leases, net of sales</w:t>
            </w:r>
          </w:p>
        </w:tc>
        <w:tc>
          <w:tcPr>
            <w:tcW w:w="1440" w:type="dxa"/>
            <w:noWrap/>
            <w:hideMark/>
          </w:tcPr>
          <w:p w14:paraId="21F2EAE4"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(511,579)</w:t>
            </w:r>
          </w:p>
        </w:tc>
        <w:tc>
          <w:tcPr>
            <w:tcW w:w="1350" w:type="dxa"/>
          </w:tcPr>
          <w:p w14:paraId="625513DB" w14:textId="7550A1D1"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(1,511,692)</w:t>
            </w:r>
          </w:p>
        </w:tc>
      </w:tr>
      <w:tr w:rsidR="0000412A" w:rsidRPr="00A92D75" w14:paraId="77A5C598" w14:textId="74E7A44D" w:rsidTr="0000412A">
        <w:trPr>
          <w:trHeight w:val="60"/>
        </w:trPr>
        <w:tc>
          <w:tcPr>
            <w:tcW w:w="6457" w:type="dxa"/>
            <w:hideMark/>
          </w:tcPr>
          <w:p w14:paraId="07EA5B58"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Maturities of short-term marketable securities</w:t>
            </w:r>
          </w:p>
        </w:tc>
        <w:tc>
          <w:tcPr>
            <w:tcW w:w="1440" w:type="dxa"/>
            <w:noWrap/>
            <w:hideMark/>
          </w:tcPr>
          <w:p w14:paraId="6BAA199E"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16,667 </w:t>
            </w:r>
          </w:p>
        </w:tc>
        <w:tc>
          <w:tcPr>
            <w:tcW w:w="1350" w:type="dxa"/>
          </w:tcPr>
          <w:p w14:paraId="759725D1" w14:textId="315CBCC6" w:rsidR="0000412A" w:rsidRPr="00A92D75" w:rsidRDefault="0000412A" w:rsidP="0000412A">
            <w:pPr>
              <w:pStyle w:val="BodyTextMain"/>
              <w:jc w:val="right"/>
              <w:rPr>
                <w:rFonts w:ascii="Arial" w:hAnsi="Arial" w:cs="Arial"/>
                <w:sz w:val="17"/>
                <w:szCs w:val="17"/>
                <w:lang w:val="en-GB"/>
              </w:rPr>
            </w:pPr>
            <w:r>
              <w:rPr>
                <w:rFonts w:ascii="Arial" w:hAnsi="Arial" w:cs="Arial"/>
                <w:sz w:val="17"/>
                <w:szCs w:val="17"/>
                <w:lang w:val="en-GB"/>
              </w:rPr>
              <w:t>–</w:t>
            </w:r>
          </w:p>
        </w:tc>
      </w:tr>
      <w:tr w:rsidR="0000412A" w:rsidRPr="00A92D75" w14:paraId="0AE88548" w14:textId="4292A8E7" w:rsidTr="0000412A">
        <w:trPr>
          <w:trHeight w:val="60"/>
        </w:trPr>
        <w:tc>
          <w:tcPr>
            <w:tcW w:w="6457" w:type="dxa"/>
            <w:hideMark/>
          </w:tcPr>
          <w:p w14:paraId="2D9A5A85"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Purchase of solar energy systems, leased and to be leased</w:t>
            </w:r>
          </w:p>
        </w:tc>
        <w:tc>
          <w:tcPr>
            <w:tcW w:w="1440" w:type="dxa"/>
            <w:noWrap/>
            <w:hideMark/>
          </w:tcPr>
          <w:p w14:paraId="3B962A7B" w14:textId="7F144E03"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r>
              <w:rPr>
                <w:rFonts w:ascii="Arial" w:hAnsi="Arial" w:cs="Arial"/>
                <w:sz w:val="17"/>
                <w:szCs w:val="17"/>
                <w:lang w:val="en-GB"/>
              </w:rPr>
              <w:t>–</w:t>
            </w:r>
          </w:p>
        </w:tc>
        <w:tc>
          <w:tcPr>
            <w:tcW w:w="1350" w:type="dxa"/>
          </w:tcPr>
          <w:p w14:paraId="0F668801" w14:textId="4DC2B67F"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(418,792)</w:t>
            </w:r>
          </w:p>
        </w:tc>
      </w:tr>
      <w:tr w:rsidR="0000412A" w:rsidRPr="00A92D75" w14:paraId="6BAE6C44" w14:textId="6B7C38EC" w:rsidTr="0000412A">
        <w:trPr>
          <w:trHeight w:val="60"/>
        </w:trPr>
        <w:tc>
          <w:tcPr>
            <w:tcW w:w="6457" w:type="dxa"/>
            <w:hideMark/>
          </w:tcPr>
          <w:p w14:paraId="154DD168"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Increase in restricted cash</w:t>
            </w:r>
          </w:p>
        </w:tc>
        <w:tc>
          <w:tcPr>
            <w:tcW w:w="1440" w:type="dxa"/>
            <w:noWrap/>
            <w:hideMark/>
          </w:tcPr>
          <w:p w14:paraId="4684B206"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(58,761)</w:t>
            </w:r>
          </w:p>
        </w:tc>
        <w:tc>
          <w:tcPr>
            <w:tcW w:w="1350" w:type="dxa"/>
          </w:tcPr>
          <w:p w14:paraId="17A0962B" w14:textId="41DFF350"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(102,528)</w:t>
            </w:r>
          </w:p>
        </w:tc>
      </w:tr>
      <w:tr w:rsidR="0000412A" w:rsidRPr="00A92D75" w14:paraId="385A1CDA" w14:textId="06ADC0C6" w:rsidTr="0000412A">
        <w:trPr>
          <w:trHeight w:val="60"/>
        </w:trPr>
        <w:tc>
          <w:tcPr>
            <w:tcW w:w="6457" w:type="dxa"/>
            <w:hideMark/>
          </w:tcPr>
          <w:p w14:paraId="1D7C4F9C"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Business combination, net of cash acquired</w:t>
            </w:r>
          </w:p>
        </w:tc>
        <w:tc>
          <w:tcPr>
            <w:tcW w:w="1440" w:type="dxa"/>
            <w:noWrap/>
            <w:hideMark/>
          </w:tcPr>
          <w:p w14:paraId="34799BC8" w14:textId="24734C15" w:rsidR="0000412A" w:rsidRPr="00A92D75" w:rsidRDefault="0000412A" w:rsidP="0000412A">
            <w:pPr>
              <w:pStyle w:val="BodyTextMain"/>
              <w:jc w:val="right"/>
              <w:rPr>
                <w:rFonts w:ascii="Arial" w:hAnsi="Arial" w:cs="Arial"/>
                <w:sz w:val="17"/>
                <w:szCs w:val="17"/>
                <w:lang w:val="en-GB"/>
              </w:rPr>
            </w:pPr>
            <w:r>
              <w:rPr>
                <w:rFonts w:ascii="Arial" w:hAnsi="Arial" w:cs="Arial"/>
                <w:sz w:val="17"/>
                <w:szCs w:val="17"/>
                <w:lang w:val="en-GB"/>
              </w:rPr>
              <w:t>–</w:t>
            </w:r>
            <w:r w:rsidRPr="00A92D75">
              <w:rPr>
                <w:rFonts w:ascii="Arial" w:hAnsi="Arial" w:cs="Arial"/>
                <w:sz w:val="17"/>
                <w:szCs w:val="17"/>
                <w:lang w:val="en-GB"/>
              </w:rPr>
              <w:t> </w:t>
            </w:r>
          </w:p>
        </w:tc>
        <w:tc>
          <w:tcPr>
            <w:tcW w:w="1350" w:type="dxa"/>
          </w:tcPr>
          <w:p w14:paraId="52C9148A" w14:textId="47862159" w:rsidR="0000412A"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(109,147)</w:t>
            </w:r>
          </w:p>
        </w:tc>
      </w:tr>
      <w:tr w:rsidR="0000412A" w:rsidRPr="00A92D75" w14:paraId="21D27760" w14:textId="0725DD36" w:rsidTr="0000412A">
        <w:trPr>
          <w:trHeight w:val="60"/>
        </w:trPr>
        <w:tc>
          <w:tcPr>
            <w:tcW w:w="6457" w:type="dxa"/>
            <w:hideMark/>
          </w:tcPr>
          <w:p w14:paraId="74119ED3"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Net cash used in investing activities</w:t>
            </w:r>
          </w:p>
        </w:tc>
        <w:tc>
          <w:tcPr>
            <w:tcW w:w="1440" w:type="dxa"/>
            <w:noWrap/>
            <w:hideMark/>
          </w:tcPr>
          <w:p w14:paraId="1D4CAE96"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(553,673)</w:t>
            </w:r>
          </w:p>
        </w:tc>
        <w:tc>
          <w:tcPr>
            <w:tcW w:w="1350" w:type="dxa"/>
          </w:tcPr>
          <w:p w14:paraId="52A40362" w14:textId="7FBA32A3"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(2,142,159)</w:t>
            </w:r>
          </w:p>
        </w:tc>
      </w:tr>
      <w:tr w:rsidR="0000412A" w:rsidRPr="00A92D75" w14:paraId="530A98BC" w14:textId="7922AB3A" w:rsidTr="0000412A">
        <w:trPr>
          <w:trHeight w:val="60"/>
        </w:trPr>
        <w:tc>
          <w:tcPr>
            <w:tcW w:w="6457" w:type="dxa"/>
            <w:hideMark/>
          </w:tcPr>
          <w:p w14:paraId="223A7146" w14:textId="7E351EBF" w:rsidR="0000412A" w:rsidRPr="00A92D75" w:rsidRDefault="0000412A" w:rsidP="0000412A">
            <w:pPr>
              <w:pStyle w:val="BodyTextMain"/>
              <w:jc w:val="left"/>
              <w:rPr>
                <w:rFonts w:ascii="Arial" w:hAnsi="Arial" w:cs="Arial"/>
                <w:b/>
                <w:bCs/>
                <w:sz w:val="17"/>
                <w:szCs w:val="17"/>
                <w:lang w:val="en-GB"/>
              </w:rPr>
            </w:pPr>
            <w:r w:rsidRPr="00A92D75">
              <w:rPr>
                <w:rFonts w:ascii="Arial" w:hAnsi="Arial" w:cs="Arial"/>
                <w:b/>
                <w:bCs/>
                <w:sz w:val="17"/>
                <w:szCs w:val="17"/>
                <w:lang w:val="en-GB"/>
              </w:rPr>
              <w:t xml:space="preserve">Cash Flows </w:t>
            </w:r>
            <w:r>
              <w:rPr>
                <w:rFonts w:ascii="Arial" w:hAnsi="Arial" w:cs="Arial"/>
                <w:b/>
                <w:bCs/>
                <w:sz w:val="17"/>
                <w:szCs w:val="17"/>
                <w:lang w:val="en-GB"/>
              </w:rPr>
              <w:t>f</w:t>
            </w:r>
            <w:r w:rsidRPr="00A92D75">
              <w:rPr>
                <w:rFonts w:ascii="Arial" w:hAnsi="Arial" w:cs="Arial"/>
                <w:b/>
                <w:bCs/>
                <w:sz w:val="17"/>
                <w:szCs w:val="17"/>
                <w:lang w:val="en-GB"/>
              </w:rPr>
              <w:t>rom Financing Activities</w:t>
            </w:r>
          </w:p>
        </w:tc>
        <w:tc>
          <w:tcPr>
            <w:tcW w:w="1440" w:type="dxa"/>
            <w:noWrap/>
            <w:hideMark/>
          </w:tcPr>
          <w:p w14:paraId="390013F6"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p>
        </w:tc>
        <w:tc>
          <w:tcPr>
            <w:tcW w:w="1350" w:type="dxa"/>
          </w:tcPr>
          <w:p w14:paraId="420FCE1A" w14:textId="77777777" w:rsidR="0000412A" w:rsidRPr="00A92D75" w:rsidRDefault="0000412A" w:rsidP="0000412A">
            <w:pPr>
              <w:pStyle w:val="BodyTextMain"/>
              <w:jc w:val="right"/>
              <w:rPr>
                <w:rFonts w:ascii="Arial" w:hAnsi="Arial" w:cs="Arial"/>
                <w:sz w:val="17"/>
                <w:szCs w:val="17"/>
                <w:lang w:val="en-GB"/>
              </w:rPr>
            </w:pPr>
          </w:p>
        </w:tc>
      </w:tr>
      <w:tr w:rsidR="0000412A" w:rsidRPr="00A92D75" w14:paraId="26E96109" w14:textId="73628300" w:rsidTr="0000412A">
        <w:trPr>
          <w:trHeight w:val="60"/>
        </w:trPr>
        <w:tc>
          <w:tcPr>
            <w:tcW w:w="6457" w:type="dxa"/>
            <w:hideMark/>
          </w:tcPr>
          <w:p w14:paraId="5892525E"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Proceeds from issuance of common stock in public offering</w:t>
            </w:r>
          </w:p>
        </w:tc>
        <w:tc>
          <w:tcPr>
            <w:tcW w:w="1440" w:type="dxa"/>
            <w:noWrap/>
            <w:hideMark/>
          </w:tcPr>
          <w:p w14:paraId="31E7DBD6"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1,701,734 </w:t>
            </w:r>
          </w:p>
        </w:tc>
        <w:tc>
          <w:tcPr>
            <w:tcW w:w="1350" w:type="dxa"/>
          </w:tcPr>
          <w:p w14:paraId="254882C0" w14:textId="25359938"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400,175 </w:t>
            </w:r>
          </w:p>
        </w:tc>
      </w:tr>
      <w:tr w:rsidR="0000412A" w:rsidRPr="00A92D75" w14:paraId="50651BB4" w14:textId="69CCBB04" w:rsidTr="0000412A">
        <w:trPr>
          <w:trHeight w:val="60"/>
        </w:trPr>
        <w:tc>
          <w:tcPr>
            <w:tcW w:w="6457" w:type="dxa"/>
            <w:hideMark/>
          </w:tcPr>
          <w:p w14:paraId="623C4F67"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Proceeds from issuance of convertible and other debt</w:t>
            </w:r>
          </w:p>
        </w:tc>
        <w:tc>
          <w:tcPr>
            <w:tcW w:w="1440" w:type="dxa"/>
            <w:noWrap/>
            <w:hideMark/>
          </w:tcPr>
          <w:p w14:paraId="3FE1B18C"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1,108,000 </w:t>
            </w:r>
          </w:p>
        </w:tc>
        <w:tc>
          <w:tcPr>
            <w:tcW w:w="1350" w:type="dxa"/>
          </w:tcPr>
          <w:p w14:paraId="6E2F7C4A" w14:textId="1443B284"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2,408,586 </w:t>
            </w:r>
          </w:p>
        </w:tc>
      </w:tr>
      <w:tr w:rsidR="0000412A" w:rsidRPr="00A92D75" w14:paraId="39108951" w14:textId="2EC01C0B" w:rsidTr="0000412A">
        <w:trPr>
          <w:trHeight w:val="60"/>
        </w:trPr>
        <w:tc>
          <w:tcPr>
            <w:tcW w:w="6457" w:type="dxa"/>
            <w:hideMark/>
          </w:tcPr>
          <w:p w14:paraId="51E4AC0B"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Repayments of convertible and other debt</w:t>
            </w:r>
          </w:p>
        </w:tc>
        <w:tc>
          <w:tcPr>
            <w:tcW w:w="1440" w:type="dxa"/>
            <w:noWrap/>
            <w:hideMark/>
          </w:tcPr>
          <w:p w14:paraId="0D2AABE1"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(578,683)</w:t>
            </w:r>
          </w:p>
        </w:tc>
        <w:tc>
          <w:tcPr>
            <w:tcW w:w="1350" w:type="dxa"/>
          </w:tcPr>
          <w:p w14:paraId="1B00A0E6" w14:textId="04243C23"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(1,412,286)</w:t>
            </w:r>
          </w:p>
        </w:tc>
      </w:tr>
      <w:tr w:rsidR="0000412A" w:rsidRPr="00A92D75" w14:paraId="19472E2D" w14:textId="0229554D" w:rsidTr="0000412A">
        <w:trPr>
          <w:trHeight w:val="60"/>
        </w:trPr>
        <w:tc>
          <w:tcPr>
            <w:tcW w:w="6457" w:type="dxa"/>
            <w:hideMark/>
          </w:tcPr>
          <w:p w14:paraId="4A70B334"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Repayments of borrowings under solar bonds issued to related parties</w:t>
            </w:r>
          </w:p>
        </w:tc>
        <w:tc>
          <w:tcPr>
            <w:tcW w:w="1440" w:type="dxa"/>
            <w:noWrap/>
            <w:hideMark/>
          </w:tcPr>
          <w:p w14:paraId="373C243E" w14:textId="5FF62234" w:rsidR="0000412A" w:rsidRPr="00A92D75" w:rsidRDefault="0000412A" w:rsidP="0000412A">
            <w:pPr>
              <w:pStyle w:val="BodyTextMain"/>
              <w:jc w:val="right"/>
              <w:rPr>
                <w:rFonts w:ascii="Arial" w:hAnsi="Arial" w:cs="Arial"/>
                <w:sz w:val="17"/>
                <w:szCs w:val="17"/>
                <w:lang w:val="en-GB"/>
              </w:rPr>
            </w:pPr>
            <w:r>
              <w:rPr>
                <w:rFonts w:ascii="Arial" w:hAnsi="Arial" w:cs="Arial"/>
                <w:sz w:val="17"/>
                <w:szCs w:val="17"/>
                <w:lang w:val="en-GB"/>
              </w:rPr>
              <w:t>–</w:t>
            </w:r>
            <w:r w:rsidRPr="00A92D75">
              <w:rPr>
                <w:rFonts w:ascii="Arial" w:hAnsi="Arial" w:cs="Arial"/>
                <w:sz w:val="17"/>
                <w:szCs w:val="17"/>
                <w:lang w:val="en-GB"/>
              </w:rPr>
              <w:t> </w:t>
            </w:r>
          </w:p>
        </w:tc>
        <w:tc>
          <w:tcPr>
            <w:tcW w:w="1350" w:type="dxa"/>
          </w:tcPr>
          <w:p w14:paraId="06BA11DD" w14:textId="7D23B772" w:rsidR="0000412A"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(165,000)</w:t>
            </w:r>
          </w:p>
        </w:tc>
      </w:tr>
      <w:tr w:rsidR="0000412A" w:rsidRPr="00A92D75" w14:paraId="57D45370" w14:textId="2B4C092E" w:rsidTr="0000412A">
        <w:trPr>
          <w:trHeight w:val="60"/>
        </w:trPr>
        <w:tc>
          <w:tcPr>
            <w:tcW w:w="6457" w:type="dxa"/>
            <w:hideMark/>
          </w:tcPr>
          <w:p w14:paraId="5AC32B0B"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Collateralized lease borrowings</w:t>
            </w:r>
          </w:p>
        </w:tc>
        <w:tc>
          <w:tcPr>
            <w:tcW w:w="1440" w:type="dxa"/>
            <w:noWrap/>
            <w:hideMark/>
          </w:tcPr>
          <w:p w14:paraId="08B661D8"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384,525 </w:t>
            </w:r>
          </w:p>
        </w:tc>
        <w:tc>
          <w:tcPr>
            <w:tcW w:w="1350" w:type="dxa"/>
          </w:tcPr>
          <w:p w14:paraId="1F08F588" w14:textId="5E417B1C"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335,675 </w:t>
            </w:r>
          </w:p>
        </w:tc>
      </w:tr>
      <w:tr w:rsidR="0000412A" w:rsidRPr="00A92D75" w14:paraId="555E9A69" w14:textId="35C0261B" w:rsidTr="0000412A">
        <w:trPr>
          <w:trHeight w:val="60"/>
        </w:trPr>
        <w:tc>
          <w:tcPr>
            <w:tcW w:w="6457" w:type="dxa"/>
            <w:hideMark/>
          </w:tcPr>
          <w:p w14:paraId="0791E3D5"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Proceeds from exercise of stock options and other stock issuances</w:t>
            </w:r>
          </w:p>
        </w:tc>
        <w:tc>
          <w:tcPr>
            <w:tcW w:w="1440" w:type="dxa"/>
            <w:noWrap/>
            <w:hideMark/>
          </w:tcPr>
          <w:p w14:paraId="1A58A27F"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110,478 </w:t>
            </w:r>
          </w:p>
        </w:tc>
        <w:tc>
          <w:tcPr>
            <w:tcW w:w="1350" w:type="dxa"/>
          </w:tcPr>
          <w:p w14:paraId="2782A4C7" w14:textId="111CD431"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158,913 </w:t>
            </w:r>
          </w:p>
        </w:tc>
      </w:tr>
      <w:tr w:rsidR="0000412A" w:rsidRPr="00A92D75" w14:paraId="3798A4D0" w14:textId="59F822AF" w:rsidTr="0000412A">
        <w:trPr>
          <w:trHeight w:val="179"/>
        </w:trPr>
        <w:tc>
          <w:tcPr>
            <w:tcW w:w="6457" w:type="dxa"/>
            <w:hideMark/>
          </w:tcPr>
          <w:p w14:paraId="2956886F"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Principal payments on capital leases</w:t>
            </w:r>
          </w:p>
        </w:tc>
        <w:tc>
          <w:tcPr>
            <w:tcW w:w="1440" w:type="dxa"/>
            <w:noWrap/>
            <w:hideMark/>
          </w:tcPr>
          <w:p w14:paraId="23D4D914"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(18,270)</w:t>
            </w:r>
          </w:p>
        </w:tc>
        <w:tc>
          <w:tcPr>
            <w:tcW w:w="1350" w:type="dxa"/>
          </w:tcPr>
          <w:p w14:paraId="1F577CDA" w14:textId="1A050850"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(36,857)</w:t>
            </w:r>
          </w:p>
        </w:tc>
      </w:tr>
      <w:tr w:rsidR="0000412A" w:rsidRPr="00A92D75" w14:paraId="1501DDDC" w14:textId="7A5D7289" w:rsidTr="0000412A">
        <w:trPr>
          <w:trHeight w:val="60"/>
        </w:trPr>
        <w:tc>
          <w:tcPr>
            <w:tcW w:w="6457" w:type="dxa"/>
            <w:hideMark/>
          </w:tcPr>
          <w:p w14:paraId="75F7A384"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Common stock and debt issuance costs</w:t>
            </w:r>
          </w:p>
        </w:tc>
        <w:tc>
          <w:tcPr>
            <w:tcW w:w="1440" w:type="dxa"/>
            <w:noWrap/>
            <w:hideMark/>
          </w:tcPr>
          <w:p w14:paraId="5F77E10F"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(15,765)</w:t>
            </w:r>
          </w:p>
        </w:tc>
        <w:tc>
          <w:tcPr>
            <w:tcW w:w="1350" w:type="dxa"/>
          </w:tcPr>
          <w:p w14:paraId="6DFFEC93" w14:textId="4E1C947E"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(13,688)</w:t>
            </w:r>
          </w:p>
        </w:tc>
      </w:tr>
      <w:tr w:rsidR="0000412A" w:rsidRPr="00A92D75" w14:paraId="7FC0FF60" w14:textId="0E23B885" w:rsidTr="0000412A">
        <w:trPr>
          <w:trHeight w:val="98"/>
        </w:trPr>
        <w:tc>
          <w:tcPr>
            <w:tcW w:w="6457" w:type="dxa"/>
            <w:hideMark/>
          </w:tcPr>
          <w:p w14:paraId="03A8F97F"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Purchase of convertible note hedges</w:t>
            </w:r>
          </w:p>
        </w:tc>
        <w:tc>
          <w:tcPr>
            <w:tcW w:w="1440" w:type="dxa"/>
            <w:noWrap/>
            <w:hideMark/>
          </w:tcPr>
          <w:p w14:paraId="12B9DF87" w14:textId="55044694"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r>
              <w:rPr>
                <w:rFonts w:ascii="Arial" w:hAnsi="Arial" w:cs="Arial"/>
                <w:sz w:val="17"/>
                <w:szCs w:val="17"/>
                <w:lang w:val="en-GB"/>
              </w:rPr>
              <w:t>–</w:t>
            </w:r>
          </w:p>
        </w:tc>
        <w:tc>
          <w:tcPr>
            <w:tcW w:w="1350" w:type="dxa"/>
          </w:tcPr>
          <w:p w14:paraId="0B6A7633" w14:textId="39797ECA"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(204,102)</w:t>
            </w:r>
          </w:p>
        </w:tc>
      </w:tr>
      <w:tr w:rsidR="0000412A" w:rsidRPr="00A92D75" w14:paraId="31A80C70" w14:textId="0E4538A1" w:rsidTr="0000412A">
        <w:trPr>
          <w:trHeight w:val="60"/>
        </w:trPr>
        <w:tc>
          <w:tcPr>
            <w:tcW w:w="6457" w:type="dxa"/>
            <w:hideMark/>
          </w:tcPr>
          <w:p w14:paraId="2A121511"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Proceeds from settlement of convertible note hedges</w:t>
            </w:r>
          </w:p>
        </w:tc>
        <w:tc>
          <w:tcPr>
            <w:tcW w:w="1440" w:type="dxa"/>
            <w:noWrap/>
            <w:hideMark/>
          </w:tcPr>
          <w:p w14:paraId="4069B095" w14:textId="6E9E0B49"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r>
              <w:rPr>
                <w:rFonts w:ascii="Arial" w:hAnsi="Arial" w:cs="Arial"/>
                <w:sz w:val="17"/>
                <w:szCs w:val="17"/>
                <w:lang w:val="en-GB"/>
              </w:rPr>
              <w:t>–</w:t>
            </w:r>
          </w:p>
        </w:tc>
        <w:tc>
          <w:tcPr>
            <w:tcW w:w="1350" w:type="dxa"/>
          </w:tcPr>
          <w:p w14:paraId="109A3183" w14:textId="0501DD22"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251,850 </w:t>
            </w:r>
          </w:p>
        </w:tc>
      </w:tr>
      <w:tr w:rsidR="0000412A" w:rsidRPr="00A92D75" w14:paraId="3A9EB1D2" w14:textId="066A2AD6" w:rsidTr="0000412A">
        <w:trPr>
          <w:trHeight w:val="60"/>
        </w:trPr>
        <w:tc>
          <w:tcPr>
            <w:tcW w:w="6457" w:type="dxa"/>
            <w:hideMark/>
          </w:tcPr>
          <w:p w14:paraId="16F1E308"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Proceeds from issuance of warrants</w:t>
            </w:r>
          </w:p>
        </w:tc>
        <w:tc>
          <w:tcPr>
            <w:tcW w:w="1440" w:type="dxa"/>
            <w:noWrap/>
            <w:hideMark/>
          </w:tcPr>
          <w:p w14:paraId="758641FE" w14:textId="4023DD24"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r>
              <w:rPr>
                <w:rFonts w:ascii="Arial" w:hAnsi="Arial" w:cs="Arial"/>
                <w:sz w:val="17"/>
                <w:szCs w:val="17"/>
                <w:lang w:val="en-GB"/>
              </w:rPr>
              <w:t>–</w:t>
            </w:r>
          </w:p>
        </w:tc>
        <w:tc>
          <w:tcPr>
            <w:tcW w:w="1350" w:type="dxa"/>
          </w:tcPr>
          <w:p w14:paraId="31FA08B8" w14:textId="338D1B59"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52,883 </w:t>
            </w:r>
          </w:p>
        </w:tc>
      </w:tr>
      <w:tr w:rsidR="0000412A" w:rsidRPr="00A92D75" w14:paraId="33A920E8" w14:textId="602D3E6D" w:rsidTr="0000412A">
        <w:trPr>
          <w:trHeight w:val="60"/>
        </w:trPr>
        <w:tc>
          <w:tcPr>
            <w:tcW w:w="6457" w:type="dxa"/>
            <w:hideMark/>
          </w:tcPr>
          <w:p w14:paraId="7518AB90"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Payments for settlement of warrants</w:t>
            </w:r>
          </w:p>
        </w:tc>
        <w:tc>
          <w:tcPr>
            <w:tcW w:w="1440" w:type="dxa"/>
            <w:noWrap/>
            <w:hideMark/>
          </w:tcPr>
          <w:p w14:paraId="53EC84A2" w14:textId="39A98560"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r>
              <w:rPr>
                <w:rFonts w:ascii="Arial" w:hAnsi="Arial" w:cs="Arial"/>
                <w:sz w:val="17"/>
                <w:szCs w:val="17"/>
                <w:lang w:val="en-GB"/>
              </w:rPr>
              <w:t>–</w:t>
            </w:r>
          </w:p>
        </w:tc>
        <w:tc>
          <w:tcPr>
            <w:tcW w:w="1350" w:type="dxa"/>
          </w:tcPr>
          <w:p w14:paraId="42C0D5A8" w14:textId="475EEF70"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(208,193)</w:t>
            </w:r>
          </w:p>
        </w:tc>
      </w:tr>
      <w:tr w:rsidR="0000412A" w:rsidRPr="00A92D75" w14:paraId="13BA8B5A" w14:textId="7AD163BF" w:rsidTr="0000412A">
        <w:trPr>
          <w:trHeight w:val="60"/>
        </w:trPr>
        <w:tc>
          <w:tcPr>
            <w:tcW w:w="6457" w:type="dxa"/>
            <w:hideMark/>
          </w:tcPr>
          <w:p w14:paraId="7A6026E4"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Proceeds from investment by noncontrolling interests in subsidiaries</w:t>
            </w:r>
          </w:p>
        </w:tc>
        <w:tc>
          <w:tcPr>
            <w:tcW w:w="1440" w:type="dxa"/>
            <w:noWrap/>
            <w:hideMark/>
          </w:tcPr>
          <w:p w14:paraId="641EFC1B" w14:textId="43AA18A2"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r>
              <w:rPr>
                <w:rFonts w:ascii="Arial" w:hAnsi="Arial" w:cs="Arial"/>
                <w:sz w:val="17"/>
                <w:szCs w:val="17"/>
                <w:lang w:val="en-GB"/>
              </w:rPr>
              <w:t>–</w:t>
            </w:r>
          </w:p>
        </w:tc>
        <w:tc>
          <w:tcPr>
            <w:tcW w:w="1350" w:type="dxa"/>
          </w:tcPr>
          <w:p w14:paraId="4DEC8ECC" w14:textId="201467D1"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583,433 </w:t>
            </w:r>
          </w:p>
        </w:tc>
      </w:tr>
      <w:tr w:rsidR="0000412A" w:rsidRPr="00A92D75" w14:paraId="388570CA" w14:textId="072EFE0E" w:rsidTr="0000412A">
        <w:trPr>
          <w:trHeight w:val="60"/>
        </w:trPr>
        <w:tc>
          <w:tcPr>
            <w:tcW w:w="6457" w:type="dxa"/>
            <w:hideMark/>
          </w:tcPr>
          <w:p w14:paraId="7680B29D"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Distributions paid to noncontrolling interests in subsidiaries</w:t>
            </w:r>
          </w:p>
        </w:tc>
        <w:tc>
          <w:tcPr>
            <w:tcW w:w="1440" w:type="dxa"/>
            <w:noWrap/>
            <w:hideMark/>
          </w:tcPr>
          <w:p w14:paraId="40AC9964" w14:textId="10BD1B21"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r>
              <w:rPr>
                <w:rFonts w:ascii="Arial" w:hAnsi="Arial" w:cs="Arial"/>
                <w:sz w:val="17"/>
                <w:szCs w:val="17"/>
                <w:lang w:val="en-GB"/>
              </w:rPr>
              <w:t>–</w:t>
            </w:r>
          </w:p>
        </w:tc>
        <w:tc>
          <w:tcPr>
            <w:tcW w:w="1350" w:type="dxa"/>
          </w:tcPr>
          <w:p w14:paraId="30D51FAD" w14:textId="49DF8562"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(123,873)</w:t>
            </w:r>
          </w:p>
        </w:tc>
      </w:tr>
      <w:tr w:rsidR="0000412A" w:rsidRPr="00A92D75" w14:paraId="675E327A" w14:textId="7B2CF959" w:rsidTr="0000412A">
        <w:trPr>
          <w:trHeight w:val="60"/>
        </w:trPr>
        <w:tc>
          <w:tcPr>
            <w:tcW w:w="6457" w:type="dxa"/>
            <w:hideMark/>
          </w:tcPr>
          <w:p w14:paraId="7244B897"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Net cash provided by financing activities</w:t>
            </w:r>
          </w:p>
        </w:tc>
        <w:tc>
          <w:tcPr>
            <w:tcW w:w="1440" w:type="dxa"/>
            <w:noWrap/>
            <w:hideMark/>
          </w:tcPr>
          <w:p w14:paraId="7C4E6AA5"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2,692,019 </w:t>
            </w:r>
          </w:p>
        </w:tc>
        <w:tc>
          <w:tcPr>
            <w:tcW w:w="1350" w:type="dxa"/>
          </w:tcPr>
          <w:p w14:paraId="0766D2CE" w14:textId="1F0CCCE2"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2,027,516 </w:t>
            </w:r>
          </w:p>
        </w:tc>
      </w:tr>
      <w:tr w:rsidR="0000412A" w:rsidRPr="00A92D75" w14:paraId="2D2265B6" w14:textId="0EB1EBE6" w:rsidTr="0000412A">
        <w:trPr>
          <w:trHeight w:val="60"/>
        </w:trPr>
        <w:tc>
          <w:tcPr>
            <w:tcW w:w="6457" w:type="dxa"/>
            <w:hideMark/>
          </w:tcPr>
          <w:p w14:paraId="23C359F3"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Effect of exchange rate changes on cash and cash equivalents</w:t>
            </w:r>
          </w:p>
        </w:tc>
        <w:tc>
          <w:tcPr>
            <w:tcW w:w="1440" w:type="dxa"/>
            <w:noWrap/>
            <w:hideMark/>
          </w:tcPr>
          <w:p w14:paraId="7B98B9F2"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10,316 </w:t>
            </w:r>
          </w:p>
        </w:tc>
        <w:tc>
          <w:tcPr>
            <w:tcW w:w="1350" w:type="dxa"/>
          </w:tcPr>
          <w:p w14:paraId="5AB39FD5" w14:textId="491CAA21"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27,334 </w:t>
            </w:r>
          </w:p>
        </w:tc>
      </w:tr>
      <w:tr w:rsidR="0000412A" w:rsidRPr="00A92D75" w14:paraId="263A5D9F" w14:textId="3807A0F2" w:rsidTr="0000412A">
        <w:trPr>
          <w:trHeight w:val="60"/>
        </w:trPr>
        <w:tc>
          <w:tcPr>
            <w:tcW w:w="6457" w:type="dxa"/>
            <w:hideMark/>
          </w:tcPr>
          <w:p w14:paraId="1BA4C711"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Net (decrease) increase in cash and cash equivalents</w:t>
            </w:r>
          </w:p>
        </w:tc>
        <w:tc>
          <w:tcPr>
            <w:tcW w:w="1440" w:type="dxa"/>
            <w:noWrap/>
            <w:hideMark/>
          </w:tcPr>
          <w:p w14:paraId="0BFDE4AC"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2,049,393 </w:t>
            </w:r>
          </w:p>
        </w:tc>
        <w:tc>
          <w:tcPr>
            <w:tcW w:w="1350" w:type="dxa"/>
          </w:tcPr>
          <w:p w14:paraId="17B63357" w14:textId="6BB79E62"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(357,292)</w:t>
            </w:r>
          </w:p>
        </w:tc>
      </w:tr>
      <w:tr w:rsidR="0000412A" w:rsidRPr="00A92D75" w14:paraId="7E5BC2A6" w14:textId="43DC58C3" w:rsidTr="0000412A">
        <w:trPr>
          <w:trHeight w:val="60"/>
        </w:trPr>
        <w:tc>
          <w:tcPr>
            <w:tcW w:w="6457" w:type="dxa"/>
            <w:hideMark/>
          </w:tcPr>
          <w:p w14:paraId="28266D03"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Cash and cash equivalents, beginning of period</w:t>
            </w:r>
          </w:p>
        </w:tc>
        <w:tc>
          <w:tcPr>
            <w:tcW w:w="1440" w:type="dxa"/>
            <w:noWrap/>
            <w:hideMark/>
          </w:tcPr>
          <w:p w14:paraId="1D486BC9"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1,196,908 </w:t>
            </w:r>
          </w:p>
        </w:tc>
        <w:tc>
          <w:tcPr>
            <w:tcW w:w="1350" w:type="dxa"/>
          </w:tcPr>
          <w:p w14:paraId="7746079B" w14:textId="7E44131A"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3,393,216 </w:t>
            </w:r>
          </w:p>
        </w:tc>
      </w:tr>
      <w:tr w:rsidR="0000412A" w:rsidRPr="00A92D75" w14:paraId="612161C5" w14:textId="549EAC2F" w:rsidTr="0000412A">
        <w:trPr>
          <w:trHeight w:val="60"/>
        </w:trPr>
        <w:tc>
          <w:tcPr>
            <w:tcW w:w="6457" w:type="dxa"/>
            <w:hideMark/>
          </w:tcPr>
          <w:p w14:paraId="21476932"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Cash and cash equivalents, end of period</w:t>
            </w:r>
          </w:p>
        </w:tc>
        <w:tc>
          <w:tcPr>
            <w:tcW w:w="1440" w:type="dxa"/>
            <w:noWrap/>
            <w:hideMark/>
          </w:tcPr>
          <w:p w14:paraId="23968963"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3,246,301 </w:t>
            </w:r>
          </w:p>
        </w:tc>
        <w:tc>
          <w:tcPr>
            <w:tcW w:w="1350" w:type="dxa"/>
          </w:tcPr>
          <w:p w14:paraId="6640700C" w14:textId="149DD63E"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3,035,924 </w:t>
            </w:r>
          </w:p>
        </w:tc>
      </w:tr>
      <w:tr w:rsidR="0000412A" w:rsidRPr="00A92D75" w14:paraId="1FCDDD28" w14:textId="5117688E" w:rsidTr="0000412A">
        <w:trPr>
          <w:trHeight w:val="60"/>
        </w:trPr>
        <w:tc>
          <w:tcPr>
            <w:tcW w:w="6457" w:type="dxa"/>
            <w:hideMark/>
          </w:tcPr>
          <w:p w14:paraId="58B0B55B" w14:textId="77777777" w:rsidR="0000412A" w:rsidRPr="00A92D75" w:rsidRDefault="0000412A" w:rsidP="0000412A">
            <w:pPr>
              <w:pStyle w:val="BodyTextMain"/>
              <w:jc w:val="left"/>
              <w:rPr>
                <w:rFonts w:ascii="Arial" w:hAnsi="Arial" w:cs="Arial"/>
                <w:b/>
                <w:bCs/>
                <w:sz w:val="17"/>
                <w:szCs w:val="17"/>
                <w:lang w:val="en-GB"/>
              </w:rPr>
            </w:pPr>
            <w:r w:rsidRPr="00A92D75">
              <w:rPr>
                <w:rFonts w:ascii="Arial" w:hAnsi="Arial" w:cs="Arial"/>
                <w:b/>
                <w:bCs/>
                <w:sz w:val="17"/>
                <w:szCs w:val="17"/>
                <w:lang w:val="en-GB"/>
              </w:rPr>
              <w:t>Supplemental noncash investing and financing activities</w:t>
            </w:r>
          </w:p>
        </w:tc>
        <w:tc>
          <w:tcPr>
            <w:tcW w:w="1440" w:type="dxa"/>
            <w:noWrap/>
            <w:hideMark/>
          </w:tcPr>
          <w:p w14:paraId="0727E020"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w:t>
            </w:r>
          </w:p>
        </w:tc>
        <w:tc>
          <w:tcPr>
            <w:tcW w:w="1350" w:type="dxa"/>
          </w:tcPr>
          <w:p w14:paraId="0A12F485" w14:textId="77777777" w:rsidR="0000412A" w:rsidRPr="00A92D75" w:rsidRDefault="0000412A" w:rsidP="0000412A">
            <w:pPr>
              <w:pStyle w:val="BodyTextMain"/>
              <w:jc w:val="right"/>
              <w:rPr>
                <w:rFonts w:ascii="Arial" w:hAnsi="Arial" w:cs="Arial"/>
                <w:sz w:val="17"/>
                <w:szCs w:val="17"/>
                <w:lang w:val="en-GB"/>
              </w:rPr>
            </w:pPr>
          </w:p>
        </w:tc>
      </w:tr>
      <w:tr w:rsidR="0000412A" w:rsidRPr="00A92D75" w14:paraId="20150955" w14:textId="143B3922" w:rsidTr="0000412A">
        <w:trPr>
          <w:trHeight w:val="60"/>
        </w:trPr>
        <w:tc>
          <w:tcPr>
            <w:tcW w:w="6457" w:type="dxa"/>
            <w:hideMark/>
          </w:tcPr>
          <w:p w14:paraId="37A9FD7B"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Acquisition of property and equipment included in liabilities</w:t>
            </w:r>
          </w:p>
        </w:tc>
        <w:tc>
          <w:tcPr>
            <w:tcW w:w="1440" w:type="dxa"/>
            <w:noWrap/>
            <w:hideMark/>
          </w:tcPr>
          <w:p w14:paraId="102CC1D7" w14:textId="7777777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324,982 </w:t>
            </w:r>
          </w:p>
        </w:tc>
        <w:tc>
          <w:tcPr>
            <w:tcW w:w="1350" w:type="dxa"/>
          </w:tcPr>
          <w:p w14:paraId="3F0B8446" w14:textId="0630BD80"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1,021,692 </w:t>
            </w:r>
          </w:p>
        </w:tc>
      </w:tr>
      <w:tr w:rsidR="0000412A" w:rsidRPr="00A92D75" w14:paraId="5F5CAD08" w14:textId="37DE50BD" w:rsidTr="0000412A">
        <w:trPr>
          <w:trHeight w:val="60"/>
        </w:trPr>
        <w:tc>
          <w:tcPr>
            <w:tcW w:w="6457" w:type="dxa"/>
            <w:hideMark/>
          </w:tcPr>
          <w:p w14:paraId="6213CC81" w14:textId="77777777" w:rsidR="0000412A" w:rsidRPr="00A92D75" w:rsidRDefault="0000412A" w:rsidP="0000412A">
            <w:pPr>
              <w:pStyle w:val="BodyTextMain"/>
              <w:jc w:val="left"/>
              <w:rPr>
                <w:rFonts w:ascii="Arial" w:hAnsi="Arial" w:cs="Arial"/>
                <w:sz w:val="17"/>
                <w:szCs w:val="17"/>
                <w:lang w:val="en-GB"/>
              </w:rPr>
            </w:pPr>
            <w:r w:rsidRPr="00A92D75">
              <w:rPr>
                <w:rFonts w:ascii="Arial" w:hAnsi="Arial" w:cs="Arial"/>
                <w:sz w:val="17"/>
                <w:szCs w:val="17"/>
                <w:lang w:val="en-GB"/>
              </w:rPr>
              <w:t>Estimated fair value of facilities under build-to-suit leases</w:t>
            </w:r>
          </w:p>
        </w:tc>
        <w:tc>
          <w:tcPr>
            <w:tcW w:w="1440" w:type="dxa"/>
            <w:noWrap/>
            <w:hideMark/>
          </w:tcPr>
          <w:p w14:paraId="1514F08A" w14:textId="53A3694D"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  172,770 </w:t>
            </w:r>
          </w:p>
        </w:tc>
        <w:tc>
          <w:tcPr>
            <w:tcW w:w="1350" w:type="dxa"/>
          </w:tcPr>
          <w:p w14:paraId="66CC3E4C" w14:textId="16E29B17" w:rsidR="0000412A" w:rsidRPr="00A92D75" w:rsidRDefault="0000412A" w:rsidP="0000412A">
            <w:pPr>
              <w:pStyle w:val="BodyTextMain"/>
              <w:jc w:val="right"/>
              <w:rPr>
                <w:rFonts w:ascii="Arial" w:hAnsi="Arial" w:cs="Arial"/>
                <w:sz w:val="17"/>
                <w:szCs w:val="17"/>
                <w:lang w:val="en-GB"/>
              </w:rPr>
            </w:pPr>
            <w:r w:rsidRPr="00A92D75">
              <w:rPr>
                <w:rFonts w:ascii="Arial" w:hAnsi="Arial" w:cs="Arial"/>
                <w:sz w:val="17"/>
                <w:szCs w:val="17"/>
                <w:lang w:val="en-GB"/>
              </w:rPr>
              <w:t xml:space="preserve">  173,075 </w:t>
            </w:r>
          </w:p>
        </w:tc>
      </w:tr>
    </w:tbl>
    <w:p w14:paraId="45260343" w14:textId="77777777" w:rsidR="00F9022B" w:rsidRPr="00A92D75" w:rsidRDefault="00F9022B" w:rsidP="00F9022B">
      <w:pPr>
        <w:pStyle w:val="BodyTextMain"/>
        <w:rPr>
          <w:sz w:val="16"/>
          <w:lang w:val="en-GB"/>
        </w:rPr>
      </w:pPr>
    </w:p>
    <w:p w14:paraId="5E580238" w14:textId="634D1031" w:rsidR="00F9022B" w:rsidRPr="00A92D75" w:rsidRDefault="00F9022B" w:rsidP="00F9022B">
      <w:pPr>
        <w:pStyle w:val="Footnote"/>
        <w:rPr>
          <w:lang w:val="en-GB"/>
        </w:rPr>
      </w:pPr>
      <w:r w:rsidRPr="00A92D75">
        <w:rPr>
          <w:lang w:val="en-GB"/>
        </w:rPr>
        <w:t xml:space="preserve">Source: </w:t>
      </w:r>
      <w:r w:rsidR="009518DD">
        <w:t xml:space="preserve">United States Security and Exchange Commission, </w:t>
      </w:r>
      <w:r w:rsidRPr="00A92D75">
        <w:rPr>
          <w:lang w:val="en-GB"/>
        </w:rPr>
        <w:t>SEC Form 10-Q</w:t>
      </w:r>
      <w:r w:rsidR="009518DD">
        <w:rPr>
          <w:lang w:val="en-GB"/>
        </w:rPr>
        <w:t>, 7,</w:t>
      </w:r>
      <w:r w:rsidRPr="00A92D75">
        <w:rPr>
          <w:lang w:val="en-GB"/>
        </w:rPr>
        <w:t xml:space="preserve"> filed by Tesla, Inc. on </w:t>
      </w:r>
      <w:r w:rsidR="009518DD">
        <w:rPr>
          <w:lang w:val="en-GB"/>
        </w:rPr>
        <w:t xml:space="preserve">August </w:t>
      </w:r>
      <w:r w:rsidRPr="00A92D75">
        <w:rPr>
          <w:lang w:val="en-GB"/>
        </w:rPr>
        <w:t>4</w:t>
      </w:r>
      <w:r w:rsidR="009518DD">
        <w:rPr>
          <w:lang w:val="en-GB"/>
        </w:rPr>
        <w:t xml:space="preserve">, </w:t>
      </w:r>
      <w:r w:rsidRPr="00A92D75">
        <w:rPr>
          <w:lang w:val="en-GB"/>
        </w:rPr>
        <w:t>2017</w:t>
      </w:r>
      <w:r w:rsidR="009518DD">
        <w:rPr>
          <w:lang w:val="en-GB"/>
        </w:rPr>
        <w:t xml:space="preserve">, accessed </w:t>
      </w:r>
      <w:r w:rsidR="008A1B35">
        <w:rPr>
          <w:lang w:val="en-GB"/>
        </w:rPr>
        <w:t>August 13, 2017</w:t>
      </w:r>
      <w:r w:rsidR="009518DD">
        <w:rPr>
          <w:lang w:val="en-GB"/>
        </w:rPr>
        <w:t xml:space="preserve">, </w:t>
      </w:r>
      <w:r w:rsidR="009518DD" w:rsidRPr="00B63E2B">
        <w:rPr>
          <w:lang w:val="en-GB"/>
        </w:rPr>
        <w:t>www.sec.gov/Archives/edgar/data/1318605/000156459017015705/tsla-10q_20170630.htm</w:t>
      </w:r>
    </w:p>
    <w:p w14:paraId="715A1939" w14:textId="657AB3E8" w:rsidR="00F9022B" w:rsidRPr="00A92D75" w:rsidRDefault="00F9022B" w:rsidP="00F9022B">
      <w:pPr>
        <w:pStyle w:val="ExhibitHeading"/>
        <w:rPr>
          <w:lang w:val="en-GB"/>
        </w:rPr>
      </w:pPr>
      <w:r w:rsidRPr="00A92D75">
        <w:rPr>
          <w:lang w:val="en-GB"/>
        </w:rPr>
        <w:lastRenderedPageBreak/>
        <w:t>Exhibit 5: Tesla, Inc.</w:t>
      </w:r>
      <w:r w:rsidR="002B2797">
        <w:rPr>
          <w:lang w:val="en-GB"/>
        </w:rPr>
        <w:t>’S</w:t>
      </w:r>
      <w:r w:rsidRPr="00A92D75">
        <w:rPr>
          <w:lang w:val="en-GB"/>
        </w:rPr>
        <w:t xml:space="preserve"> Free Cash Flows</w:t>
      </w:r>
      <w:r w:rsidR="009518DD">
        <w:rPr>
          <w:lang w:val="en-GB"/>
        </w:rPr>
        <w:t>, 2012–2016</w:t>
      </w:r>
      <w:r w:rsidR="002B2797">
        <w:rPr>
          <w:lang w:val="en-GB"/>
        </w:rPr>
        <w:t xml:space="preserve"> (in us$ millions)</w:t>
      </w:r>
    </w:p>
    <w:p w14:paraId="4E020E7C" w14:textId="77777777" w:rsidR="00711CD5" w:rsidRDefault="00711CD5" w:rsidP="00F9022B">
      <w:pPr>
        <w:pStyle w:val="Footnote"/>
        <w:rPr>
          <w:lang w:val="en-GB"/>
        </w:rPr>
      </w:pPr>
    </w:p>
    <w:tbl>
      <w:tblPr>
        <w:tblStyle w:val="TableGrid1"/>
        <w:tblW w:w="7540" w:type="dxa"/>
        <w:jc w:val="center"/>
        <w:tblLayout w:type="fixed"/>
        <w:tblLook w:val="04A0" w:firstRow="1" w:lastRow="0" w:firstColumn="1" w:lastColumn="0" w:noHBand="0" w:noVBand="1"/>
      </w:tblPr>
      <w:tblGrid>
        <w:gridCol w:w="2245"/>
        <w:gridCol w:w="882"/>
        <w:gridCol w:w="883"/>
        <w:gridCol w:w="882"/>
        <w:gridCol w:w="883"/>
        <w:gridCol w:w="882"/>
        <w:gridCol w:w="883"/>
      </w:tblGrid>
      <w:tr w:rsidR="00711CD5" w:rsidRPr="00711CD5" w14:paraId="6F07277B" w14:textId="77777777" w:rsidTr="00E91210">
        <w:trPr>
          <w:trHeight w:val="60"/>
          <w:jc w:val="center"/>
        </w:trPr>
        <w:tc>
          <w:tcPr>
            <w:tcW w:w="2245" w:type="dxa"/>
            <w:noWrap/>
            <w:hideMark/>
          </w:tcPr>
          <w:p w14:paraId="01599EFD" w14:textId="77777777" w:rsidR="00711CD5" w:rsidRPr="00711CD5" w:rsidRDefault="00711CD5" w:rsidP="00711CD5">
            <w:pPr>
              <w:rPr>
                <w:rFonts w:ascii="Arial" w:hAnsi="Arial" w:cs="Arial"/>
                <w:b/>
                <w:bCs/>
                <w:lang w:val="en-GB"/>
              </w:rPr>
            </w:pPr>
            <w:r w:rsidRPr="00711CD5">
              <w:rPr>
                <w:rFonts w:ascii="Arial" w:hAnsi="Arial" w:cs="Arial"/>
                <w:b/>
                <w:bCs/>
                <w:lang w:val="en-GB"/>
              </w:rPr>
              <w:t>FY (end of year data)</w:t>
            </w:r>
          </w:p>
        </w:tc>
        <w:tc>
          <w:tcPr>
            <w:tcW w:w="882" w:type="dxa"/>
            <w:noWrap/>
            <w:hideMark/>
          </w:tcPr>
          <w:p w14:paraId="663504F5" w14:textId="77777777" w:rsidR="00711CD5" w:rsidRPr="00711CD5" w:rsidRDefault="00711CD5" w:rsidP="00711CD5">
            <w:pPr>
              <w:jc w:val="center"/>
              <w:rPr>
                <w:rFonts w:ascii="Arial" w:hAnsi="Arial" w:cs="Arial"/>
                <w:b/>
                <w:bCs/>
                <w:lang w:val="en-GB"/>
              </w:rPr>
            </w:pPr>
            <w:r w:rsidRPr="00711CD5">
              <w:rPr>
                <w:rFonts w:ascii="Arial" w:hAnsi="Arial" w:cs="Arial"/>
                <w:b/>
                <w:bCs/>
                <w:lang w:val="en-GB"/>
              </w:rPr>
              <w:t>2012</w:t>
            </w:r>
          </w:p>
        </w:tc>
        <w:tc>
          <w:tcPr>
            <w:tcW w:w="883" w:type="dxa"/>
            <w:noWrap/>
            <w:hideMark/>
          </w:tcPr>
          <w:p w14:paraId="1B0C1BED" w14:textId="77777777" w:rsidR="00711CD5" w:rsidRPr="00711CD5" w:rsidRDefault="00711CD5" w:rsidP="00711CD5">
            <w:pPr>
              <w:jc w:val="center"/>
              <w:rPr>
                <w:rFonts w:ascii="Arial" w:hAnsi="Arial" w:cs="Arial"/>
                <w:b/>
                <w:bCs/>
                <w:lang w:val="en-GB"/>
              </w:rPr>
            </w:pPr>
            <w:r w:rsidRPr="00711CD5">
              <w:rPr>
                <w:rFonts w:ascii="Arial" w:hAnsi="Arial" w:cs="Arial"/>
                <w:b/>
                <w:bCs/>
                <w:lang w:val="en-GB"/>
              </w:rPr>
              <w:t>2013</w:t>
            </w:r>
          </w:p>
        </w:tc>
        <w:tc>
          <w:tcPr>
            <w:tcW w:w="882" w:type="dxa"/>
            <w:noWrap/>
            <w:hideMark/>
          </w:tcPr>
          <w:p w14:paraId="3A9807C6" w14:textId="77777777" w:rsidR="00711CD5" w:rsidRPr="00711CD5" w:rsidRDefault="00711CD5" w:rsidP="00711CD5">
            <w:pPr>
              <w:jc w:val="center"/>
              <w:rPr>
                <w:rFonts w:ascii="Arial" w:hAnsi="Arial" w:cs="Arial"/>
                <w:b/>
                <w:bCs/>
                <w:lang w:val="en-GB"/>
              </w:rPr>
            </w:pPr>
            <w:r w:rsidRPr="00711CD5">
              <w:rPr>
                <w:rFonts w:ascii="Arial" w:hAnsi="Arial" w:cs="Arial"/>
                <w:b/>
                <w:bCs/>
                <w:lang w:val="en-GB"/>
              </w:rPr>
              <w:t>2014</w:t>
            </w:r>
          </w:p>
        </w:tc>
        <w:tc>
          <w:tcPr>
            <w:tcW w:w="883" w:type="dxa"/>
            <w:noWrap/>
            <w:hideMark/>
          </w:tcPr>
          <w:p w14:paraId="756F0501" w14:textId="77777777" w:rsidR="00711CD5" w:rsidRPr="00711CD5" w:rsidRDefault="00711CD5" w:rsidP="00711CD5">
            <w:pPr>
              <w:jc w:val="center"/>
              <w:rPr>
                <w:rFonts w:ascii="Arial" w:hAnsi="Arial" w:cs="Arial"/>
                <w:b/>
                <w:bCs/>
                <w:lang w:val="en-GB"/>
              </w:rPr>
            </w:pPr>
            <w:r w:rsidRPr="00711CD5">
              <w:rPr>
                <w:rFonts w:ascii="Arial" w:hAnsi="Arial" w:cs="Arial"/>
                <w:b/>
                <w:bCs/>
                <w:lang w:val="en-GB"/>
              </w:rPr>
              <w:t>2015</w:t>
            </w:r>
          </w:p>
        </w:tc>
        <w:tc>
          <w:tcPr>
            <w:tcW w:w="882" w:type="dxa"/>
            <w:noWrap/>
            <w:hideMark/>
          </w:tcPr>
          <w:p w14:paraId="3F1FDB8B" w14:textId="77777777" w:rsidR="00711CD5" w:rsidRPr="00711CD5" w:rsidRDefault="00711CD5" w:rsidP="00711CD5">
            <w:pPr>
              <w:jc w:val="center"/>
              <w:rPr>
                <w:rFonts w:ascii="Arial" w:hAnsi="Arial" w:cs="Arial"/>
                <w:b/>
                <w:bCs/>
                <w:lang w:val="en-GB"/>
              </w:rPr>
            </w:pPr>
            <w:r w:rsidRPr="00711CD5">
              <w:rPr>
                <w:rFonts w:ascii="Arial" w:hAnsi="Arial" w:cs="Arial"/>
                <w:b/>
                <w:bCs/>
                <w:lang w:val="en-GB"/>
              </w:rPr>
              <w:t>2016</w:t>
            </w:r>
          </w:p>
        </w:tc>
        <w:tc>
          <w:tcPr>
            <w:tcW w:w="883" w:type="dxa"/>
            <w:noWrap/>
            <w:hideMark/>
          </w:tcPr>
          <w:p w14:paraId="443637CA" w14:textId="77777777" w:rsidR="00711CD5" w:rsidRPr="00711CD5" w:rsidRDefault="00711CD5" w:rsidP="00711CD5">
            <w:pPr>
              <w:jc w:val="center"/>
              <w:rPr>
                <w:rFonts w:ascii="Arial" w:hAnsi="Arial" w:cs="Arial"/>
                <w:b/>
                <w:bCs/>
                <w:lang w:val="en-GB"/>
              </w:rPr>
            </w:pPr>
            <w:r w:rsidRPr="00711CD5">
              <w:rPr>
                <w:rFonts w:ascii="Arial" w:hAnsi="Arial" w:cs="Arial"/>
                <w:b/>
                <w:bCs/>
                <w:lang w:val="en-GB"/>
              </w:rPr>
              <w:t>TTM</w:t>
            </w:r>
          </w:p>
        </w:tc>
      </w:tr>
      <w:tr w:rsidR="00711CD5" w:rsidRPr="00711CD5" w14:paraId="5A10EAD6" w14:textId="77777777" w:rsidTr="00E91210">
        <w:trPr>
          <w:trHeight w:val="60"/>
          <w:jc w:val="center"/>
        </w:trPr>
        <w:tc>
          <w:tcPr>
            <w:tcW w:w="2245" w:type="dxa"/>
            <w:noWrap/>
            <w:hideMark/>
          </w:tcPr>
          <w:p w14:paraId="0082977E" w14:textId="77777777" w:rsidR="00711CD5" w:rsidRPr="00711CD5" w:rsidRDefault="00711CD5" w:rsidP="00711CD5">
            <w:pPr>
              <w:rPr>
                <w:rFonts w:ascii="Arial" w:hAnsi="Arial" w:cs="Arial"/>
                <w:color w:val="000000"/>
                <w:lang w:val="en-GB"/>
              </w:rPr>
            </w:pPr>
            <w:r w:rsidRPr="00711CD5">
              <w:rPr>
                <w:rFonts w:ascii="Arial" w:hAnsi="Arial" w:cs="Arial"/>
                <w:color w:val="000000"/>
                <w:lang w:val="en-GB"/>
              </w:rPr>
              <w:t>Operating cash flow</w:t>
            </w:r>
          </w:p>
        </w:tc>
        <w:tc>
          <w:tcPr>
            <w:tcW w:w="882" w:type="dxa"/>
            <w:noWrap/>
            <w:hideMark/>
          </w:tcPr>
          <w:p w14:paraId="2CFA6F5A"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–266</w:t>
            </w:r>
          </w:p>
        </w:tc>
        <w:tc>
          <w:tcPr>
            <w:tcW w:w="883" w:type="dxa"/>
            <w:noWrap/>
            <w:hideMark/>
          </w:tcPr>
          <w:p w14:paraId="1E8E9A7A"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258</w:t>
            </w:r>
          </w:p>
        </w:tc>
        <w:tc>
          <w:tcPr>
            <w:tcW w:w="882" w:type="dxa"/>
            <w:noWrap/>
            <w:hideMark/>
          </w:tcPr>
          <w:p w14:paraId="5FC903F0"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–57</w:t>
            </w:r>
          </w:p>
        </w:tc>
        <w:tc>
          <w:tcPr>
            <w:tcW w:w="883" w:type="dxa"/>
            <w:noWrap/>
            <w:hideMark/>
          </w:tcPr>
          <w:p w14:paraId="3DA8E691"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–524</w:t>
            </w:r>
          </w:p>
        </w:tc>
        <w:tc>
          <w:tcPr>
            <w:tcW w:w="882" w:type="dxa"/>
            <w:noWrap/>
            <w:hideMark/>
          </w:tcPr>
          <w:p w14:paraId="13A218B4"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–124</w:t>
            </w:r>
          </w:p>
        </w:tc>
        <w:tc>
          <w:tcPr>
            <w:tcW w:w="883" w:type="dxa"/>
            <w:noWrap/>
            <w:hideMark/>
          </w:tcPr>
          <w:p w14:paraId="4C9A6491"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–295</w:t>
            </w:r>
          </w:p>
        </w:tc>
      </w:tr>
      <w:tr w:rsidR="00711CD5" w:rsidRPr="00711CD5" w14:paraId="7F30BE31" w14:textId="77777777" w:rsidTr="00E91210">
        <w:trPr>
          <w:trHeight w:val="60"/>
          <w:jc w:val="center"/>
        </w:trPr>
        <w:tc>
          <w:tcPr>
            <w:tcW w:w="2245" w:type="dxa"/>
            <w:noWrap/>
            <w:hideMark/>
          </w:tcPr>
          <w:p w14:paraId="560DFD9D" w14:textId="77777777" w:rsidR="00711CD5" w:rsidRPr="00711CD5" w:rsidRDefault="00711CD5" w:rsidP="00711CD5">
            <w:pPr>
              <w:rPr>
                <w:rFonts w:ascii="Arial" w:hAnsi="Arial" w:cs="Arial"/>
                <w:color w:val="000000"/>
                <w:lang w:val="en-GB"/>
              </w:rPr>
            </w:pPr>
            <w:r w:rsidRPr="00711CD5">
              <w:rPr>
                <w:rFonts w:ascii="Arial" w:hAnsi="Arial" w:cs="Arial"/>
                <w:color w:val="000000"/>
                <w:lang w:val="en-GB"/>
              </w:rPr>
              <w:t>Capital expenditure</w:t>
            </w:r>
          </w:p>
        </w:tc>
        <w:tc>
          <w:tcPr>
            <w:tcW w:w="882" w:type="dxa"/>
            <w:noWrap/>
            <w:hideMark/>
          </w:tcPr>
          <w:p w14:paraId="71C7631F"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239</w:t>
            </w:r>
          </w:p>
        </w:tc>
        <w:tc>
          <w:tcPr>
            <w:tcW w:w="883" w:type="dxa"/>
            <w:noWrap/>
            <w:hideMark/>
          </w:tcPr>
          <w:p w14:paraId="09329C78"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264</w:t>
            </w:r>
          </w:p>
        </w:tc>
        <w:tc>
          <w:tcPr>
            <w:tcW w:w="882" w:type="dxa"/>
            <w:noWrap/>
            <w:hideMark/>
          </w:tcPr>
          <w:p w14:paraId="75A952F9"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970</w:t>
            </w:r>
          </w:p>
        </w:tc>
        <w:tc>
          <w:tcPr>
            <w:tcW w:w="883" w:type="dxa"/>
            <w:noWrap/>
            <w:hideMark/>
          </w:tcPr>
          <w:p w14:paraId="7BE1212D"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1,635</w:t>
            </w:r>
          </w:p>
        </w:tc>
        <w:tc>
          <w:tcPr>
            <w:tcW w:w="882" w:type="dxa"/>
            <w:noWrap/>
            <w:hideMark/>
          </w:tcPr>
          <w:p w14:paraId="06C2ABF8"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1,440</w:t>
            </w:r>
          </w:p>
        </w:tc>
        <w:tc>
          <w:tcPr>
            <w:tcW w:w="883" w:type="dxa"/>
            <w:noWrap/>
            <w:hideMark/>
          </w:tcPr>
          <w:p w14:paraId="754BFCDE"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2,859</w:t>
            </w:r>
          </w:p>
        </w:tc>
      </w:tr>
      <w:tr w:rsidR="00711CD5" w:rsidRPr="00711CD5" w14:paraId="7FE4F411" w14:textId="77777777" w:rsidTr="00E91210">
        <w:trPr>
          <w:trHeight w:val="60"/>
          <w:jc w:val="center"/>
        </w:trPr>
        <w:tc>
          <w:tcPr>
            <w:tcW w:w="2245" w:type="dxa"/>
            <w:noWrap/>
            <w:hideMark/>
          </w:tcPr>
          <w:p w14:paraId="0BFD4D39" w14:textId="77777777" w:rsidR="00711CD5" w:rsidRPr="00711CD5" w:rsidRDefault="00711CD5" w:rsidP="00711CD5">
            <w:pPr>
              <w:rPr>
                <w:rFonts w:ascii="Arial" w:hAnsi="Arial" w:cs="Arial"/>
                <w:color w:val="000000"/>
                <w:lang w:val="en-GB"/>
              </w:rPr>
            </w:pPr>
            <w:r w:rsidRPr="00711CD5">
              <w:rPr>
                <w:rFonts w:ascii="Arial" w:hAnsi="Arial" w:cs="Arial"/>
                <w:color w:val="000000"/>
                <w:lang w:val="en-GB"/>
              </w:rPr>
              <w:t>Free cash flow</w:t>
            </w:r>
          </w:p>
        </w:tc>
        <w:tc>
          <w:tcPr>
            <w:tcW w:w="882" w:type="dxa"/>
            <w:noWrap/>
            <w:hideMark/>
          </w:tcPr>
          <w:p w14:paraId="0F883B15"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–505</w:t>
            </w:r>
          </w:p>
        </w:tc>
        <w:tc>
          <w:tcPr>
            <w:tcW w:w="883" w:type="dxa"/>
            <w:noWrap/>
            <w:hideMark/>
          </w:tcPr>
          <w:p w14:paraId="784F5105"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–6</w:t>
            </w:r>
          </w:p>
        </w:tc>
        <w:tc>
          <w:tcPr>
            <w:tcW w:w="882" w:type="dxa"/>
            <w:noWrap/>
            <w:hideMark/>
          </w:tcPr>
          <w:p w14:paraId="15E41618"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–1,027</w:t>
            </w:r>
          </w:p>
        </w:tc>
        <w:tc>
          <w:tcPr>
            <w:tcW w:w="883" w:type="dxa"/>
            <w:noWrap/>
            <w:hideMark/>
          </w:tcPr>
          <w:p w14:paraId="6A305222"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–2,159</w:t>
            </w:r>
          </w:p>
        </w:tc>
        <w:tc>
          <w:tcPr>
            <w:tcW w:w="882" w:type="dxa"/>
            <w:noWrap/>
            <w:hideMark/>
          </w:tcPr>
          <w:p w14:paraId="5ACBE420"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–1,564</w:t>
            </w:r>
          </w:p>
        </w:tc>
        <w:tc>
          <w:tcPr>
            <w:tcW w:w="883" w:type="dxa"/>
            <w:noWrap/>
            <w:hideMark/>
          </w:tcPr>
          <w:p w14:paraId="5AFB908A" w14:textId="77777777" w:rsidR="00711CD5" w:rsidRPr="00711CD5" w:rsidRDefault="00711CD5" w:rsidP="00711CD5">
            <w:pPr>
              <w:jc w:val="right"/>
              <w:rPr>
                <w:rFonts w:ascii="Arial" w:hAnsi="Arial" w:cs="Arial"/>
                <w:color w:val="000000"/>
                <w:lang w:val="en-GB"/>
              </w:rPr>
            </w:pPr>
            <w:r w:rsidRPr="00711CD5">
              <w:rPr>
                <w:rFonts w:ascii="Arial" w:hAnsi="Arial" w:cs="Arial"/>
                <w:color w:val="000000"/>
                <w:lang w:val="en-GB"/>
              </w:rPr>
              <w:t>–3,154</w:t>
            </w:r>
          </w:p>
        </w:tc>
      </w:tr>
    </w:tbl>
    <w:p w14:paraId="3FF28376" w14:textId="77777777" w:rsidR="00711CD5" w:rsidRDefault="00711CD5" w:rsidP="00F9022B">
      <w:pPr>
        <w:pStyle w:val="Footnote"/>
        <w:rPr>
          <w:lang w:val="en-GB"/>
        </w:rPr>
      </w:pPr>
    </w:p>
    <w:p w14:paraId="26A153AD" w14:textId="595B99E1" w:rsidR="00D21649" w:rsidRDefault="00D21649" w:rsidP="00F9022B">
      <w:pPr>
        <w:pStyle w:val="Footnote"/>
        <w:rPr>
          <w:lang w:val="en-GB"/>
        </w:rPr>
      </w:pPr>
      <w:r>
        <w:rPr>
          <w:lang w:val="en-GB"/>
        </w:rPr>
        <w:t>Note: FY = financial year; TTM = trailing twelve months</w:t>
      </w:r>
    </w:p>
    <w:p w14:paraId="3C5C41B0" w14:textId="7B7E9746" w:rsidR="00F9022B" w:rsidRPr="00A92D75" w:rsidRDefault="00F9022B" w:rsidP="00F9022B">
      <w:pPr>
        <w:pStyle w:val="Footnote"/>
        <w:rPr>
          <w:lang w:val="en-GB"/>
        </w:rPr>
      </w:pPr>
      <w:r w:rsidRPr="00A92D75">
        <w:rPr>
          <w:lang w:val="en-GB"/>
        </w:rPr>
        <w:t>Source</w:t>
      </w:r>
      <w:r w:rsidR="00325AAE">
        <w:rPr>
          <w:lang w:val="en-GB"/>
        </w:rPr>
        <w:t>: “Tesla Inc TSLA</w:t>
      </w:r>
      <w:r w:rsidR="00D01FDA">
        <w:rPr>
          <w:lang w:val="en-GB"/>
        </w:rPr>
        <w:t>:</w:t>
      </w:r>
      <w:r w:rsidR="00325AAE">
        <w:rPr>
          <w:lang w:val="en-GB"/>
        </w:rPr>
        <w:t xml:space="preserve"> Morningstar Rating,” Morningstar, accessed August 13, 2017, </w:t>
      </w:r>
      <w:r w:rsidR="00A73B07" w:rsidRPr="00325AAE">
        <w:rPr>
          <w:lang w:val="en-GB"/>
        </w:rPr>
        <w:t>http://financials.morningstar.com/cash-flow/cf.html?t=TSLA&amp;region=usa&amp;culture=en-US</w:t>
      </w:r>
      <w:r w:rsidRPr="00A92D75">
        <w:rPr>
          <w:lang w:val="en-GB"/>
        </w:rPr>
        <w:t>.</w:t>
      </w:r>
    </w:p>
    <w:p w14:paraId="3A50CE76" w14:textId="77777777" w:rsidR="00F9022B" w:rsidRPr="00A92D75" w:rsidRDefault="00F9022B" w:rsidP="00F9022B">
      <w:pPr>
        <w:pStyle w:val="BodyTextMain"/>
        <w:rPr>
          <w:lang w:val="en-GB"/>
        </w:rPr>
      </w:pPr>
    </w:p>
    <w:p w14:paraId="490D5052" w14:textId="77777777" w:rsidR="00F9022B" w:rsidRPr="00A92D75" w:rsidRDefault="00F9022B" w:rsidP="00F9022B">
      <w:pPr>
        <w:pStyle w:val="BodyTextMain"/>
        <w:rPr>
          <w:lang w:val="en-GB"/>
        </w:rPr>
      </w:pPr>
    </w:p>
    <w:p w14:paraId="1ECF3042" w14:textId="0CBCBEAA" w:rsidR="00F9022B" w:rsidRPr="00A92D75" w:rsidRDefault="00F9022B" w:rsidP="00F9022B">
      <w:pPr>
        <w:pStyle w:val="ExhibitHeading"/>
        <w:rPr>
          <w:lang w:val="en-GB"/>
        </w:rPr>
      </w:pPr>
      <w:r w:rsidRPr="00A92D75">
        <w:rPr>
          <w:lang w:val="en-GB"/>
        </w:rPr>
        <w:t>Exhibit 6: Tesla, Inc.</w:t>
      </w:r>
      <w:r w:rsidR="002B2797">
        <w:rPr>
          <w:lang w:val="en-GB"/>
        </w:rPr>
        <w:t>’S</w:t>
      </w:r>
      <w:r w:rsidRPr="00A92D75">
        <w:rPr>
          <w:lang w:val="en-GB"/>
        </w:rPr>
        <w:t xml:space="preserve"> EBI, EBIT, and Net Income</w:t>
      </w:r>
      <w:r w:rsidR="00D21649">
        <w:rPr>
          <w:lang w:val="en-GB"/>
        </w:rPr>
        <w:t>, 2010–2016</w:t>
      </w:r>
      <w:r w:rsidR="002B2797">
        <w:rPr>
          <w:lang w:val="en-GB"/>
        </w:rPr>
        <w:t xml:space="preserve"> (In US$ millions)</w:t>
      </w:r>
    </w:p>
    <w:p w14:paraId="0D7B1EFC" w14:textId="77777777" w:rsidR="00F9022B" w:rsidRPr="00A92D75" w:rsidRDefault="00F9022B" w:rsidP="00F9022B">
      <w:pPr>
        <w:pStyle w:val="BodyTextMain"/>
        <w:rPr>
          <w:lang w:val="en-GB"/>
        </w:rPr>
      </w:pPr>
    </w:p>
    <w:tbl>
      <w:tblPr>
        <w:tblStyle w:val="TableGrid"/>
        <w:tblW w:w="9369" w:type="dxa"/>
        <w:jc w:val="center"/>
        <w:tblLayout w:type="fixed"/>
        <w:tblLook w:val="04A0" w:firstRow="1" w:lastRow="0" w:firstColumn="1" w:lastColumn="0" w:noHBand="0" w:noVBand="1"/>
      </w:tblPr>
      <w:tblGrid>
        <w:gridCol w:w="1890"/>
        <w:gridCol w:w="1080"/>
        <w:gridCol w:w="1080"/>
        <w:gridCol w:w="1080"/>
        <w:gridCol w:w="990"/>
        <w:gridCol w:w="1080"/>
        <w:gridCol w:w="1080"/>
        <w:gridCol w:w="1089"/>
      </w:tblGrid>
      <w:tr w:rsidR="00D21649" w:rsidRPr="00A92D75" w14:paraId="182A022F" w14:textId="77777777" w:rsidTr="004D2F78">
        <w:trPr>
          <w:trHeight w:val="60"/>
          <w:jc w:val="center"/>
        </w:trPr>
        <w:tc>
          <w:tcPr>
            <w:tcW w:w="1890" w:type="dxa"/>
            <w:noWrap/>
            <w:hideMark/>
          </w:tcPr>
          <w:p w14:paraId="21D24260" w14:textId="2A45D15F" w:rsidR="00A4506E" w:rsidRPr="00A92D75" w:rsidRDefault="00A4506E" w:rsidP="004D2F78">
            <w:pPr>
              <w:pStyle w:val="ExhibitText"/>
              <w:jc w:val="left"/>
              <w:rPr>
                <w:b/>
                <w:lang w:val="en-GB"/>
              </w:rPr>
            </w:pPr>
            <w:r w:rsidRPr="00A92D75">
              <w:rPr>
                <w:b/>
                <w:lang w:val="en-GB"/>
              </w:rPr>
              <w:t>FY (end of year data)</w:t>
            </w:r>
          </w:p>
        </w:tc>
        <w:tc>
          <w:tcPr>
            <w:tcW w:w="1080" w:type="dxa"/>
            <w:noWrap/>
            <w:hideMark/>
          </w:tcPr>
          <w:p w14:paraId="1A492A47" w14:textId="77777777" w:rsidR="00A4506E" w:rsidRPr="00A92D75" w:rsidRDefault="00A4506E" w:rsidP="004D2F78">
            <w:pPr>
              <w:pStyle w:val="ExhibitText"/>
              <w:jc w:val="center"/>
              <w:rPr>
                <w:b/>
                <w:lang w:val="en-GB"/>
              </w:rPr>
            </w:pPr>
            <w:r w:rsidRPr="00A92D75">
              <w:rPr>
                <w:b/>
                <w:lang w:val="en-GB"/>
              </w:rPr>
              <w:t>2010</w:t>
            </w:r>
          </w:p>
        </w:tc>
        <w:tc>
          <w:tcPr>
            <w:tcW w:w="1080" w:type="dxa"/>
            <w:noWrap/>
            <w:hideMark/>
          </w:tcPr>
          <w:p w14:paraId="03E7B1A0" w14:textId="77777777" w:rsidR="00A4506E" w:rsidRPr="00A92D75" w:rsidRDefault="00A4506E" w:rsidP="004D2F78">
            <w:pPr>
              <w:pStyle w:val="ExhibitText"/>
              <w:jc w:val="center"/>
              <w:rPr>
                <w:b/>
                <w:lang w:val="en-GB"/>
              </w:rPr>
            </w:pPr>
            <w:r w:rsidRPr="00A92D75">
              <w:rPr>
                <w:b/>
                <w:lang w:val="en-GB"/>
              </w:rPr>
              <w:t>2011</w:t>
            </w:r>
          </w:p>
        </w:tc>
        <w:tc>
          <w:tcPr>
            <w:tcW w:w="1080" w:type="dxa"/>
            <w:noWrap/>
            <w:hideMark/>
          </w:tcPr>
          <w:p w14:paraId="6A95F3B4" w14:textId="77777777" w:rsidR="00A4506E" w:rsidRPr="00A92D75" w:rsidRDefault="00A4506E" w:rsidP="004D2F78">
            <w:pPr>
              <w:pStyle w:val="ExhibitText"/>
              <w:jc w:val="center"/>
              <w:rPr>
                <w:b/>
                <w:lang w:val="en-GB"/>
              </w:rPr>
            </w:pPr>
            <w:r w:rsidRPr="00A92D75">
              <w:rPr>
                <w:b/>
                <w:lang w:val="en-GB"/>
              </w:rPr>
              <w:t>2012</w:t>
            </w:r>
          </w:p>
        </w:tc>
        <w:tc>
          <w:tcPr>
            <w:tcW w:w="990" w:type="dxa"/>
            <w:noWrap/>
            <w:hideMark/>
          </w:tcPr>
          <w:p w14:paraId="15B34385" w14:textId="77777777" w:rsidR="00A4506E" w:rsidRPr="00A92D75" w:rsidRDefault="00A4506E" w:rsidP="004D2F78">
            <w:pPr>
              <w:pStyle w:val="ExhibitText"/>
              <w:jc w:val="center"/>
              <w:rPr>
                <w:b/>
                <w:lang w:val="en-GB"/>
              </w:rPr>
            </w:pPr>
            <w:r w:rsidRPr="00A92D75">
              <w:rPr>
                <w:b/>
                <w:lang w:val="en-GB"/>
              </w:rPr>
              <w:t>2013</w:t>
            </w:r>
          </w:p>
        </w:tc>
        <w:tc>
          <w:tcPr>
            <w:tcW w:w="1080" w:type="dxa"/>
            <w:noWrap/>
            <w:hideMark/>
          </w:tcPr>
          <w:p w14:paraId="1931F3D9" w14:textId="77777777" w:rsidR="00A4506E" w:rsidRPr="00A92D75" w:rsidRDefault="00A4506E" w:rsidP="004D2F78">
            <w:pPr>
              <w:pStyle w:val="ExhibitText"/>
              <w:jc w:val="center"/>
              <w:rPr>
                <w:b/>
                <w:lang w:val="en-GB"/>
              </w:rPr>
            </w:pPr>
            <w:r w:rsidRPr="00A92D75">
              <w:rPr>
                <w:b/>
                <w:lang w:val="en-GB"/>
              </w:rPr>
              <w:t>2014</w:t>
            </w:r>
          </w:p>
        </w:tc>
        <w:tc>
          <w:tcPr>
            <w:tcW w:w="1080" w:type="dxa"/>
            <w:noWrap/>
            <w:hideMark/>
          </w:tcPr>
          <w:p w14:paraId="2C649DF4" w14:textId="77777777" w:rsidR="00A4506E" w:rsidRPr="00A92D75" w:rsidRDefault="00A4506E" w:rsidP="004D2F78">
            <w:pPr>
              <w:pStyle w:val="ExhibitText"/>
              <w:jc w:val="center"/>
              <w:rPr>
                <w:b/>
                <w:lang w:val="en-GB"/>
              </w:rPr>
            </w:pPr>
            <w:r w:rsidRPr="00A92D75">
              <w:rPr>
                <w:b/>
                <w:lang w:val="en-GB"/>
              </w:rPr>
              <w:t>2015</w:t>
            </w:r>
          </w:p>
        </w:tc>
        <w:tc>
          <w:tcPr>
            <w:tcW w:w="1089" w:type="dxa"/>
            <w:noWrap/>
            <w:hideMark/>
          </w:tcPr>
          <w:p w14:paraId="2B0C767A" w14:textId="77777777" w:rsidR="00A4506E" w:rsidRPr="00A92D75" w:rsidRDefault="00A4506E" w:rsidP="004D2F78">
            <w:pPr>
              <w:pStyle w:val="ExhibitText"/>
              <w:jc w:val="center"/>
              <w:rPr>
                <w:b/>
                <w:lang w:val="en-GB"/>
              </w:rPr>
            </w:pPr>
            <w:r w:rsidRPr="00A92D75">
              <w:rPr>
                <w:b/>
                <w:lang w:val="en-GB"/>
              </w:rPr>
              <w:t>2016</w:t>
            </w:r>
          </w:p>
        </w:tc>
      </w:tr>
      <w:tr w:rsidR="00D21649" w:rsidRPr="00A92D75" w14:paraId="3426EB5C" w14:textId="77777777" w:rsidTr="004D2F78">
        <w:trPr>
          <w:trHeight w:val="60"/>
          <w:jc w:val="center"/>
        </w:trPr>
        <w:tc>
          <w:tcPr>
            <w:tcW w:w="1890" w:type="dxa"/>
            <w:noWrap/>
            <w:hideMark/>
          </w:tcPr>
          <w:p w14:paraId="3A8D7D34" w14:textId="77777777" w:rsidR="00A4506E" w:rsidRPr="00A92D75" w:rsidRDefault="00A4506E" w:rsidP="00A4506E">
            <w:pPr>
              <w:pStyle w:val="ExhibitText"/>
              <w:jc w:val="left"/>
              <w:rPr>
                <w:lang w:val="en-GB"/>
              </w:rPr>
            </w:pPr>
            <w:r w:rsidRPr="00A92D75">
              <w:rPr>
                <w:lang w:val="en-GB"/>
              </w:rPr>
              <w:t>EBIT</w:t>
            </w:r>
          </w:p>
        </w:tc>
        <w:tc>
          <w:tcPr>
            <w:tcW w:w="1080" w:type="dxa"/>
            <w:noWrap/>
            <w:hideMark/>
          </w:tcPr>
          <w:p w14:paraId="61090749" w14:textId="617E72C3" w:rsidR="00A4506E" w:rsidRPr="00A92D75" w:rsidRDefault="00D21649" w:rsidP="00A4506E">
            <w:pPr>
              <w:pStyle w:val="ExhibitText"/>
              <w:jc w:val="right"/>
              <w:rPr>
                <w:lang w:val="en-GB"/>
              </w:rPr>
            </w:pPr>
            <w:r>
              <w:rPr>
                <w:lang w:val="en-GB"/>
              </w:rPr>
              <w:t>–</w:t>
            </w:r>
            <w:r w:rsidR="00A4506E" w:rsidRPr="00A92D75">
              <w:rPr>
                <w:lang w:val="en-GB"/>
              </w:rPr>
              <w:t>146.838</w:t>
            </w:r>
          </w:p>
        </w:tc>
        <w:tc>
          <w:tcPr>
            <w:tcW w:w="1080" w:type="dxa"/>
            <w:noWrap/>
            <w:hideMark/>
          </w:tcPr>
          <w:p w14:paraId="32695BBB" w14:textId="4B058CB7" w:rsidR="00A4506E" w:rsidRPr="00A92D75" w:rsidRDefault="00D21649" w:rsidP="00A4506E">
            <w:pPr>
              <w:pStyle w:val="ExhibitText"/>
              <w:jc w:val="right"/>
              <w:rPr>
                <w:lang w:val="en-GB"/>
              </w:rPr>
            </w:pPr>
            <w:r>
              <w:rPr>
                <w:lang w:val="en-GB"/>
              </w:rPr>
              <w:t>–</w:t>
            </w:r>
            <w:r w:rsidR="00A4506E" w:rsidRPr="00A92D75">
              <w:rPr>
                <w:lang w:val="en-GB"/>
              </w:rPr>
              <w:t>251.488</w:t>
            </w:r>
          </w:p>
        </w:tc>
        <w:tc>
          <w:tcPr>
            <w:tcW w:w="1080" w:type="dxa"/>
            <w:noWrap/>
            <w:hideMark/>
          </w:tcPr>
          <w:p w14:paraId="0EF0D11B" w14:textId="2EF41535" w:rsidR="00A4506E" w:rsidRPr="00A92D75" w:rsidRDefault="00D21649" w:rsidP="00A4506E">
            <w:pPr>
              <w:pStyle w:val="ExhibitText"/>
              <w:jc w:val="right"/>
              <w:rPr>
                <w:lang w:val="en-GB"/>
              </w:rPr>
            </w:pPr>
            <w:r>
              <w:rPr>
                <w:lang w:val="en-GB"/>
              </w:rPr>
              <w:t>–</w:t>
            </w:r>
            <w:r w:rsidR="00A4506E" w:rsidRPr="00A92D75">
              <w:rPr>
                <w:lang w:val="en-GB"/>
              </w:rPr>
              <w:t>394.283</w:t>
            </w:r>
          </w:p>
        </w:tc>
        <w:tc>
          <w:tcPr>
            <w:tcW w:w="990" w:type="dxa"/>
            <w:noWrap/>
            <w:hideMark/>
          </w:tcPr>
          <w:p w14:paraId="4792A6D0" w14:textId="64DE6C17" w:rsidR="00A4506E" w:rsidRPr="00A92D75" w:rsidRDefault="00D21649" w:rsidP="00A4506E">
            <w:pPr>
              <w:pStyle w:val="ExhibitText"/>
              <w:jc w:val="right"/>
              <w:rPr>
                <w:lang w:val="en-GB"/>
              </w:rPr>
            </w:pPr>
            <w:r>
              <w:rPr>
                <w:lang w:val="en-GB"/>
              </w:rPr>
              <w:t>–</w:t>
            </w:r>
            <w:r w:rsidR="00A4506E" w:rsidRPr="00A92D75">
              <w:rPr>
                <w:lang w:val="en-GB"/>
              </w:rPr>
              <w:t>61.283</w:t>
            </w:r>
          </w:p>
        </w:tc>
        <w:tc>
          <w:tcPr>
            <w:tcW w:w="1080" w:type="dxa"/>
            <w:noWrap/>
            <w:hideMark/>
          </w:tcPr>
          <w:p w14:paraId="601667A1" w14:textId="43E5A664" w:rsidR="00A4506E" w:rsidRPr="00A92D75" w:rsidRDefault="00D21649" w:rsidP="00A4506E">
            <w:pPr>
              <w:pStyle w:val="ExhibitText"/>
              <w:jc w:val="right"/>
              <w:rPr>
                <w:lang w:val="en-GB"/>
              </w:rPr>
            </w:pPr>
            <w:r>
              <w:rPr>
                <w:lang w:val="en-GB"/>
              </w:rPr>
              <w:t>–</w:t>
            </w:r>
            <w:r w:rsidR="00A4506E" w:rsidRPr="00A92D75">
              <w:rPr>
                <w:lang w:val="en-GB"/>
              </w:rPr>
              <w:t>186.689</w:t>
            </w:r>
          </w:p>
        </w:tc>
        <w:tc>
          <w:tcPr>
            <w:tcW w:w="1080" w:type="dxa"/>
            <w:noWrap/>
            <w:hideMark/>
          </w:tcPr>
          <w:p w14:paraId="5692852C" w14:textId="5C2D23B7" w:rsidR="00A4506E" w:rsidRPr="00A92D75" w:rsidRDefault="00D21649" w:rsidP="00A4506E">
            <w:pPr>
              <w:pStyle w:val="ExhibitText"/>
              <w:jc w:val="right"/>
              <w:rPr>
                <w:lang w:val="en-GB"/>
              </w:rPr>
            </w:pPr>
            <w:r>
              <w:rPr>
                <w:lang w:val="en-GB"/>
              </w:rPr>
              <w:t>–</w:t>
            </w:r>
            <w:r w:rsidR="00A4506E" w:rsidRPr="00A92D75">
              <w:rPr>
                <w:lang w:val="en-GB"/>
              </w:rPr>
              <w:t>716.629</w:t>
            </w:r>
          </w:p>
        </w:tc>
        <w:tc>
          <w:tcPr>
            <w:tcW w:w="1089" w:type="dxa"/>
            <w:noWrap/>
            <w:hideMark/>
          </w:tcPr>
          <w:p w14:paraId="4E0BC239" w14:textId="4AC01812" w:rsidR="00A4506E" w:rsidRPr="00A92D75" w:rsidRDefault="00D21649" w:rsidP="00A4506E">
            <w:pPr>
              <w:pStyle w:val="ExhibitText"/>
              <w:jc w:val="right"/>
              <w:rPr>
                <w:lang w:val="en-GB"/>
              </w:rPr>
            </w:pPr>
            <w:r>
              <w:rPr>
                <w:lang w:val="en-GB"/>
              </w:rPr>
              <w:t>–</w:t>
            </w:r>
            <w:r w:rsidR="00A4506E" w:rsidRPr="00A92D75">
              <w:rPr>
                <w:lang w:val="en-GB"/>
              </w:rPr>
              <w:t>645.64</w:t>
            </w:r>
          </w:p>
        </w:tc>
      </w:tr>
      <w:tr w:rsidR="00D21649" w:rsidRPr="00A92D75" w14:paraId="555E049B" w14:textId="77777777" w:rsidTr="004D2F78">
        <w:trPr>
          <w:trHeight w:val="60"/>
          <w:jc w:val="center"/>
        </w:trPr>
        <w:tc>
          <w:tcPr>
            <w:tcW w:w="1890" w:type="dxa"/>
            <w:noWrap/>
            <w:hideMark/>
          </w:tcPr>
          <w:p w14:paraId="541FFC6A" w14:textId="77777777" w:rsidR="00A4506E" w:rsidRPr="00A92D75" w:rsidRDefault="00A4506E" w:rsidP="00A4506E">
            <w:pPr>
              <w:pStyle w:val="ExhibitText"/>
              <w:jc w:val="left"/>
              <w:rPr>
                <w:lang w:val="en-GB"/>
              </w:rPr>
            </w:pPr>
            <w:r w:rsidRPr="00A92D75">
              <w:rPr>
                <w:lang w:val="en-GB"/>
              </w:rPr>
              <w:t>EBI</w:t>
            </w:r>
          </w:p>
        </w:tc>
        <w:tc>
          <w:tcPr>
            <w:tcW w:w="1080" w:type="dxa"/>
            <w:noWrap/>
            <w:hideMark/>
          </w:tcPr>
          <w:p w14:paraId="6A236019" w14:textId="4668364B" w:rsidR="00A4506E" w:rsidRPr="00A92D75" w:rsidRDefault="00D21649" w:rsidP="00A4506E">
            <w:pPr>
              <w:pStyle w:val="ExhibitText"/>
              <w:jc w:val="right"/>
              <w:rPr>
                <w:lang w:val="en-GB"/>
              </w:rPr>
            </w:pPr>
            <w:r>
              <w:rPr>
                <w:lang w:val="en-GB"/>
              </w:rPr>
              <w:t>–</w:t>
            </w:r>
            <w:r w:rsidR="00A4506E" w:rsidRPr="00A92D75">
              <w:rPr>
                <w:lang w:val="en-GB"/>
              </w:rPr>
              <w:t>136.215</w:t>
            </w:r>
          </w:p>
        </w:tc>
        <w:tc>
          <w:tcPr>
            <w:tcW w:w="1080" w:type="dxa"/>
            <w:noWrap/>
            <w:hideMark/>
          </w:tcPr>
          <w:p w14:paraId="6A2A8701" w14:textId="26F7A73A" w:rsidR="00A4506E" w:rsidRPr="00A92D75" w:rsidRDefault="00D21649" w:rsidP="00A4506E">
            <w:pPr>
              <w:pStyle w:val="ExhibitText"/>
              <w:jc w:val="right"/>
              <w:rPr>
                <w:lang w:val="en-GB"/>
              </w:rPr>
            </w:pPr>
            <w:r>
              <w:rPr>
                <w:lang w:val="en-GB"/>
              </w:rPr>
              <w:t>–</w:t>
            </w:r>
            <w:r w:rsidR="00A4506E" w:rsidRPr="00A92D75">
              <w:rPr>
                <w:lang w:val="en-GB"/>
              </w:rPr>
              <w:t>234.569</w:t>
            </w:r>
          </w:p>
        </w:tc>
        <w:tc>
          <w:tcPr>
            <w:tcW w:w="1080" w:type="dxa"/>
            <w:noWrap/>
            <w:hideMark/>
          </w:tcPr>
          <w:p w14:paraId="7C8A2F17" w14:textId="05D71698" w:rsidR="00A4506E" w:rsidRPr="00A92D75" w:rsidRDefault="00D21649" w:rsidP="00A4506E">
            <w:pPr>
              <w:pStyle w:val="ExhibitText"/>
              <w:jc w:val="right"/>
              <w:rPr>
                <w:lang w:val="en-GB"/>
              </w:rPr>
            </w:pPr>
            <w:r>
              <w:rPr>
                <w:lang w:val="en-GB"/>
              </w:rPr>
              <w:t>–</w:t>
            </w:r>
            <w:r w:rsidR="00A4506E" w:rsidRPr="00A92D75">
              <w:rPr>
                <w:lang w:val="en-GB"/>
              </w:rPr>
              <w:t>365.458</w:t>
            </w:r>
          </w:p>
        </w:tc>
        <w:tc>
          <w:tcPr>
            <w:tcW w:w="990" w:type="dxa"/>
            <w:noWrap/>
            <w:hideMark/>
          </w:tcPr>
          <w:p w14:paraId="5C3D7D9D" w14:textId="77777777" w:rsidR="00A4506E" w:rsidRPr="00A92D75" w:rsidRDefault="00A4506E" w:rsidP="00A4506E">
            <w:pPr>
              <w:pStyle w:val="ExhibitText"/>
              <w:jc w:val="right"/>
              <w:rPr>
                <w:lang w:val="en-GB"/>
              </w:rPr>
            </w:pPr>
            <w:r w:rsidRPr="00A92D75">
              <w:rPr>
                <w:lang w:val="en-GB"/>
              </w:rPr>
              <w:t>44.8</w:t>
            </w:r>
          </w:p>
        </w:tc>
        <w:tc>
          <w:tcPr>
            <w:tcW w:w="1080" w:type="dxa"/>
            <w:noWrap/>
            <w:hideMark/>
          </w:tcPr>
          <w:p w14:paraId="3E08DE68" w14:textId="77777777" w:rsidR="00A4506E" w:rsidRPr="00A92D75" w:rsidRDefault="00A4506E" w:rsidP="00A4506E">
            <w:pPr>
              <w:pStyle w:val="ExhibitText"/>
              <w:jc w:val="right"/>
              <w:rPr>
                <w:lang w:val="en-GB"/>
              </w:rPr>
            </w:pPr>
            <w:r w:rsidRPr="00A92D75">
              <w:rPr>
                <w:lang w:val="en-GB"/>
              </w:rPr>
              <w:t>45.242</w:t>
            </w:r>
          </w:p>
        </w:tc>
        <w:tc>
          <w:tcPr>
            <w:tcW w:w="1080" w:type="dxa"/>
            <w:noWrap/>
            <w:hideMark/>
          </w:tcPr>
          <w:p w14:paraId="7549049C" w14:textId="278A7360" w:rsidR="00A4506E" w:rsidRPr="00A92D75" w:rsidRDefault="00D21649" w:rsidP="00A4506E">
            <w:pPr>
              <w:pStyle w:val="ExhibitText"/>
              <w:jc w:val="right"/>
              <w:rPr>
                <w:lang w:val="en-GB"/>
              </w:rPr>
            </w:pPr>
            <w:r>
              <w:rPr>
                <w:lang w:val="en-GB"/>
              </w:rPr>
              <w:t>–</w:t>
            </w:r>
            <w:r w:rsidR="00A4506E" w:rsidRPr="00A92D75">
              <w:rPr>
                <w:lang w:val="en-GB"/>
              </w:rPr>
              <w:t>294.039</w:t>
            </w:r>
          </w:p>
        </w:tc>
        <w:tc>
          <w:tcPr>
            <w:tcW w:w="1089" w:type="dxa"/>
            <w:noWrap/>
            <w:hideMark/>
          </w:tcPr>
          <w:p w14:paraId="0D42C3CB" w14:textId="77777777" w:rsidR="00A4506E" w:rsidRPr="00A92D75" w:rsidRDefault="00A4506E" w:rsidP="00A4506E">
            <w:pPr>
              <w:pStyle w:val="ExhibitText"/>
              <w:jc w:val="right"/>
              <w:rPr>
                <w:lang w:val="en-GB"/>
              </w:rPr>
            </w:pPr>
            <w:r w:rsidRPr="00A92D75">
              <w:rPr>
                <w:lang w:val="en-GB"/>
              </w:rPr>
              <w:t>301.459</w:t>
            </w:r>
          </w:p>
        </w:tc>
      </w:tr>
      <w:tr w:rsidR="00D21649" w:rsidRPr="00A92D75" w14:paraId="02DEA4A0" w14:textId="77777777" w:rsidTr="004D2F78">
        <w:trPr>
          <w:trHeight w:val="60"/>
          <w:jc w:val="center"/>
        </w:trPr>
        <w:tc>
          <w:tcPr>
            <w:tcW w:w="1890" w:type="dxa"/>
            <w:noWrap/>
            <w:hideMark/>
          </w:tcPr>
          <w:p w14:paraId="12E3A18D" w14:textId="77777777" w:rsidR="00A4506E" w:rsidRPr="00A92D75" w:rsidRDefault="00A4506E" w:rsidP="00A4506E">
            <w:pPr>
              <w:pStyle w:val="ExhibitText"/>
              <w:jc w:val="left"/>
              <w:rPr>
                <w:lang w:val="en-GB"/>
              </w:rPr>
            </w:pPr>
            <w:r w:rsidRPr="00A92D75">
              <w:rPr>
                <w:lang w:val="en-GB"/>
              </w:rPr>
              <w:t>Net Income</w:t>
            </w:r>
          </w:p>
        </w:tc>
        <w:tc>
          <w:tcPr>
            <w:tcW w:w="1080" w:type="dxa"/>
            <w:noWrap/>
            <w:hideMark/>
          </w:tcPr>
          <w:p w14:paraId="41B95FA3" w14:textId="0578FF86" w:rsidR="00A4506E" w:rsidRPr="00A92D75" w:rsidRDefault="00D21649" w:rsidP="00A4506E">
            <w:pPr>
              <w:pStyle w:val="ExhibitText"/>
              <w:jc w:val="right"/>
              <w:rPr>
                <w:lang w:val="en-GB"/>
              </w:rPr>
            </w:pPr>
            <w:r>
              <w:rPr>
                <w:lang w:val="en-GB"/>
              </w:rPr>
              <w:t>–</w:t>
            </w:r>
            <w:r w:rsidR="00A4506E" w:rsidRPr="00A92D75">
              <w:rPr>
                <w:lang w:val="en-GB"/>
              </w:rPr>
              <w:t>154.328</w:t>
            </w:r>
          </w:p>
        </w:tc>
        <w:tc>
          <w:tcPr>
            <w:tcW w:w="1080" w:type="dxa"/>
            <w:noWrap/>
            <w:hideMark/>
          </w:tcPr>
          <w:p w14:paraId="7F96B9A4" w14:textId="0DEF5C66" w:rsidR="00A4506E" w:rsidRPr="00A92D75" w:rsidRDefault="00D21649" w:rsidP="00A4506E">
            <w:pPr>
              <w:pStyle w:val="ExhibitText"/>
              <w:jc w:val="right"/>
              <w:rPr>
                <w:lang w:val="en-GB"/>
              </w:rPr>
            </w:pPr>
            <w:r>
              <w:rPr>
                <w:lang w:val="en-GB"/>
              </w:rPr>
              <w:t>–</w:t>
            </w:r>
            <w:r w:rsidR="00A4506E" w:rsidRPr="00A92D75">
              <w:rPr>
                <w:lang w:val="en-GB"/>
              </w:rPr>
              <w:t>254.411</w:t>
            </w:r>
          </w:p>
        </w:tc>
        <w:tc>
          <w:tcPr>
            <w:tcW w:w="1080" w:type="dxa"/>
            <w:noWrap/>
            <w:hideMark/>
          </w:tcPr>
          <w:p w14:paraId="545CC914" w14:textId="32B868AE" w:rsidR="00A4506E" w:rsidRPr="00A92D75" w:rsidRDefault="00D21649" w:rsidP="00A4506E">
            <w:pPr>
              <w:pStyle w:val="ExhibitText"/>
              <w:jc w:val="right"/>
              <w:rPr>
                <w:lang w:val="en-GB"/>
              </w:rPr>
            </w:pPr>
            <w:r>
              <w:rPr>
                <w:lang w:val="en-GB"/>
              </w:rPr>
              <w:t>–</w:t>
            </w:r>
            <w:r w:rsidR="00A4506E" w:rsidRPr="00A92D75">
              <w:rPr>
                <w:lang w:val="en-GB"/>
              </w:rPr>
              <w:t>396.213</w:t>
            </w:r>
          </w:p>
        </w:tc>
        <w:tc>
          <w:tcPr>
            <w:tcW w:w="990" w:type="dxa"/>
            <w:noWrap/>
            <w:hideMark/>
          </w:tcPr>
          <w:p w14:paraId="069AF1E4" w14:textId="6794BAD1" w:rsidR="00A4506E" w:rsidRPr="00A92D75" w:rsidRDefault="00D21649" w:rsidP="00A4506E">
            <w:pPr>
              <w:pStyle w:val="ExhibitText"/>
              <w:jc w:val="right"/>
              <w:rPr>
                <w:lang w:val="en-GB"/>
              </w:rPr>
            </w:pPr>
            <w:r>
              <w:rPr>
                <w:lang w:val="en-GB"/>
              </w:rPr>
              <w:t>–</w:t>
            </w:r>
            <w:r w:rsidR="00A4506E" w:rsidRPr="00A92D75">
              <w:rPr>
                <w:lang w:val="en-GB"/>
              </w:rPr>
              <w:t>74.014</w:t>
            </w:r>
          </w:p>
        </w:tc>
        <w:tc>
          <w:tcPr>
            <w:tcW w:w="1080" w:type="dxa"/>
            <w:noWrap/>
            <w:hideMark/>
          </w:tcPr>
          <w:p w14:paraId="013E6158" w14:textId="4FCFDB70" w:rsidR="00A4506E" w:rsidRPr="00A92D75" w:rsidRDefault="00D21649" w:rsidP="00A4506E">
            <w:pPr>
              <w:pStyle w:val="ExhibitText"/>
              <w:jc w:val="right"/>
              <w:rPr>
                <w:lang w:val="en-GB"/>
              </w:rPr>
            </w:pPr>
            <w:r>
              <w:rPr>
                <w:lang w:val="en-GB"/>
              </w:rPr>
              <w:t>–</w:t>
            </w:r>
            <w:r w:rsidR="00A4506E" w:rsidRPr="00A92D75">
              <w:rPr>
                <w:lang w:val="en-GB"/>
              </w:rPr>
              <w:t>294.04</w:t>
            </w:r>
          </w:p>
        </w:tc>
        <w:tc>
          <w:tcPr>
            <w:tcW w:w="1080" w:type="dxa"/>
            <w:noWrap/>
            <w:hideMark/>
          </w:tcPr>
          <w:p w14:paraId="51291235" w14:textId="742226A9" w:rsidR="00A4506E" w:rsidRPr="00A92D75" w:rsidRDefault="00D21649" w:rsidP="00A4506E">
            <w:pPr>
              <w:pStyle w:val="ExhibitText"/>
              <w:jc w:val="right"/>
              <w:rPr>
                <w:lang w:val="en-GB"/>
              </w:rPr>
            </w:pPr>
            <w:r>
              <w:rPr>
                <w:lang w:val="en-GB"/>
              </w:rPr>
              <w:t>–</w:t>
            </w:r>
            <w:r w:rsidR="00A4506E" w:rsidRPr="00A92D75">
              <w:rPr>
                <w:lang w:val="en-GB"/>
              </w:rPr>
              <w:t>888.663</w:t>
            </w:r>
          </w:p>
        </w:tc>
        <w:tc>
          <w:tcPr>
            <w:tcW w:w="1089" w:type="dxa"/>
            <w:noWrap/>
            <w:hideMark/>
          </w:tcPr>
          <w:p w14:paraId="2FAC5FA9" w14:textId="5D320C77" w:rsidR="00A4506E" w:rsidRPr="00A92D75" w:rsidRDefault="00D21649" w:rsidP="00A4506E">
            <w:pPr>
              <w:pStyle w:val="ExhibitText"/>
              <w:jc w:val="right"/>
              <w:rPr>
                <w:lang w:val="en-GB"/>
              </w:rPr>
            </w:pPr>
            <w:r>
              <w:rPr>
                <w:lang w:val="en-GB"/>
              </w:rPr>
              <w:t>–</w:t>
            </w:r>
            <w:r w:rsidR="00A4506E" w:rsidRPr="00A92D75">
              <w:rPr>
                <w:lang w:val="en-GB"/>
              </w:rPr>
              <w:t>674.914</w:t>
            </w:r>
          </w:p>
        </w:tc>
      </w:tr>
    </w:tbl>
    <w:p w14:paraId="55D7EC9F" w14:textId="77777777" w:rsidR="004D4F3C" w:rsidRPr="00A92D75" w:rsidRDefault="004D4F3C" w:rsidP="004D4F3C">
      <w:pPr>
        <w:pStyle w:val="Footnote"/>
        <w:rPr>
          <w:noProof/>
          <w:lang w:val="en-GB"/>
        </w:rPr>
      </w:pPr>
    </w:p>
    <w:p w14:paraId="51B68149" w14:textId="4FB735BD" w:rsidR="00D21649" w:rsidRDefault="00D21649" w:rsidP="004D4F3C">
      <w:pPr>
        <w:pStyle w:val="Footnote"/>
        <w:rPr>
          <w:noProof/>
          <w:lang w:val="en-GB"/>
        </w:rPr>
      </w:pPr>
      <w:r>
        <w:rPr>
          <w:noProof/>
          <w:lang w:val="en-GB"/>
        </w:rPr>
        <w:t>Note: EBI = earnings before interest; EBIT = earnings before interest and taxes</w:t>
      </w:r>
      <w:r w:rsidR="002B2797">
        <w:rPr>
          <w:noProof/>
          <w:lang w:val="en-GB"/>
        </w:rPr>
        <w:t xml:space="preserve">; </w:t>
      </w:r>
      <w:r w:rsidR="002B2797">
        <w:rPr>
          <w:lang w:val="en-GB"/>
        </w:rPr>
        <w:t>FY = financial year</w:t>
      </w:r>
    </w:p>
    <w:p w14:paraId="579D6089" w14:textId="0BEC3155" w:rsidR="00F9022B" w:rsidRPr="00A92D75" w:rsidRDefault="004D4F3C" w:rsidP="004D4F3C">
      <w:pPr>
        <w:pStyle w:val="Footnote"/>
        <w:rPr>
          <w:sz w:val="22"/>
          <w:szCs w:val="22"/>
          <w:lang w:val="en-GB"/>
        </w:rPr>
      </w:pPr>
      <w:r w:rsidRPr="00A92D75">
        <w:rPr>
          <w:noProof/>
          <w:lang w:val="en-GB"/>
        </w:rPr>
        <w:t xml:space="preserve">Source: </w:t>
      </w:r>
      <w:r w:rsidR="00A4506E" w:rsidRPr="00A92D75">
        <w:rPr>
          <w:noProof/>
          <w:lang w:val="en-GB"/>
        </w:rPr>
        <w:t>C</w:t>
      </w:r>
      <w:r w:rsidRPr="00A92D75">
        <w:rPr>
          <w:noProof/>
          <w:lang w:val="en-GB"/>
        </w:rPr>
        <w:t>reated by authors using d</w:t>
      </w:r>
      <w:r w:rsidRPr="00A92D75">
        <w:rPr>
          <w:lang w:val="en-GB"/>
        </w:rPr>
        <w:t>ata from Wharton Research Data Services</w:t>
      </w:r>
      <w:r w:rsidR="002B2797">
        <w:rPr>
          <w:lang w:val="en-GB"/>
        </w:rPr>
        <w:t>,</w:t>
      </w:r>
      <w:r w:rsidR="00A92D75" w:rsidRPr="00A92D75">
        <w:rPr>
          <w:lang w:val="en-GB"/>
        </w:rPr>
        <w:t xml:space="preserve"> </w:t>
      </w:r>
      <w:r w:rsidRPr="00A92D75">
        <w:rPr>
          <w:lang w:val="en-GB"/>
        </w:rPr>
        <w:t>“Complete Financial Statements</w:t>
      </w:r>
      <w:r w:rsidRPr="00A92D75">
        <w:rPr>
          <w:noProof/>
          <w:lang w:val="en-GB"/>
        </w:rPr>
        <w:t xml:space="preserve"> </w:t>
      </w:r>
      <w:r w:rsidRPr="00A92D75">
        <w:rPr>
          <w:lang w:val="en-GB"/>
        </w:rPr>
        <w:t>(XLS)</w:t>
      </w:r>
      <w:r w:rsidR="002B2797">
        <w:rPr>
          <w:lang w:val="en-GB"/>
        </w:rPr>
        <w:t>,</w:t>
      </w:r>
      <w:r w:rsidRPr="00A92D75">
        <w:rPr>
          <w:lang w:val="en-GB"/>
        </w:rPr>
        <w:t xml:space="preserve">” </w:t>
      </w:r>
      <w:r w:rsidR="002B2797">
        <w:rPr>
          <w:lang w:val="en-GB"/>
        </w:rPr>
        <w:t xml:space="preserve">accessed August 11, 2017, </w:t>
      </w:r>
      <w:r w:rsidR="00D01FDA">
        <w:rPr>
          <w:lang w:val="en-GB"/>
        </w:rPr>
        <w:t>https://</w:t>
      </w:r>
      <w:r w:rsidRPr="00A92D75">
        <w:rPr>
          <w:lang w:val="en-GB"/>
        </w:rPr>
        <w:t>wrds.wharton.upenn.edu.</w:t>
      </w:r>
      <w:r w:rsidR="00F9022B" w:rsidRPr="00A92D75">
        <w:rPr>
          <w:lang w:val="en-GB"/>
        </w:rPr>
        <w:br w:type="page"/>
      </w:r>
    </w:p>
    <w:p w14:paraId="4B8D3A44" w14:textId="77777777" w:rsidR="00F9022B" w:rsidRPr="00A92D75" w:rsidRDefault="00F9022B" w:rsidP="00F9022B">
      <w:pPr>
        <w:pStyle w:val="Casehead1"/>
        <w:rPr>
          <w:lang w:val="en-GB"/>
        </w:rPr>
      </w:pPr>
      <w:r w:rsidRPr="00A92D75">
        <w:rPr>
          <w:lang w:val="en-GB"/>
        </w:rPr>
        <w:lastRenderedPageBreak/>
        <w:t>Endnotes</w:t>
      </w:r>
    </w:p>
    <w:sectPr w:rsidR="00F9022B" w:rsidRPr="00A92D75"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31813" w14:textId="77777777" w:rsidR="00FE0727" w:rsidRDefault="00FE0727" w:rsidP="00D75295">
      <w:r>
        <w:separator/>
      </w:r>
    </w:p>
  </w:endnote>
  <w:endnote w:type="continuationSeparator" w:id="0">
    <w:p w14:paraId="364A1204" w14:textId="77777777" w:rsidR="00FE0727" w:rsidRDefault="00FE0727" w:rsidP="00D75295">
      <w:r>
        <w:continuationSeparator/>
      </w:r>
    </w:p>
  </w:endnote>
  <w:endnote w:id="1">
    <w:p w14:paraId="526D2FF6" w14:textId="0239A61A" w:rsidR="00FE0727" w:rsidRPr="004B267E" w:rsidRDefault="00FE0727" w:rsidP="00C74511">
      <w:pPr>
        <w:pStyle w:val="Footnote"/>
      </w:pPr>
      <w:r w:rsidRPr="004B267E">
        <w:rPr>
          <w:rStyle w:val="EndnoteReference"/>
        </w:rPr>
        <w:endnoteRef/>
      </w:r>
      <w:r w:rsidRPr="004B267E">
        <w:t xml:space="preserve"> </w:t>
      </w:r>
      <w:r w:rsidRPr="004B267E">
        <w:rPr>
          <w:lang w:val="en-GB"/>
        </w:rPr>
        <w:t xml:space="preserve">This case has been written on the basis of published sources only. Consequently, the interpretation and perspectives presented in this case are not necessarily those of Tesla </w:t>
      </w:r>
      <w:r w:rsidRPr="004B267E">
        <w:rPr>
          <w:spacing w:val="-2"/>
          <w:lang w:val="en-GB"/>
        </w:rPr>
        <w:t xml:space="preserve">Motors, Inc. </w:t>
      </w:r>
      <w:r w:rsidRPr="004B267E">
        <w:rPr>
          <w:lang w:val="en-GB"/>
        </w:rPr>
        <w:t>or any of its employees.</w:t>
      </w:r>
    </w:p>
  </w:endnote>
  <w:endnote w:id="2">
    <w:p w14:paraId="05AEFAF2" w14:textId="4FAA2A01" w:rsidR="00FE0727" w:rsidRPr="004B267E" w:rsidRDefault="00FE0727">
      <w:pPr>
        <w:pStyle w:val="EndnoteText"/>
      </w:pPr>
      <w:r w:rsidRPr="004B267E">
        <w:rPr>
          <w:rStyle w:val="EndnoteReference"/>
          <w:rFonts w:ascii="Arial" w:hAnsi="Arial" w:cs="Arial"/>
          <w:sz w:val="17"/>
          <w:szCs w:val="17"/>
        </w:rPr>
        <w:endnoteRef/>
      </w:r>
      <w:r w:rsidRPr="004B267E">
        <w:rPr>
          <w:rFonts w:ascii="Arial" w:hAnsi="Arial" w:cs="Arial"/>
          <w:sz w:val="17"/>
          <w:szCs w:val="17"/>
        </w:rPr>
        <w:t xml:space="preserve"> All currency amounts are shown in US</w:t>
      </w:r>
      <w:r>
        <w:rPr>
          <w:rFonts w:ascii="Arial" w:hAnsi="Arial" w:cs="Arial"/>
          <w:sz w:val="17"/>
          <w:szCs w:val="17"/>
        </w:rPr>
        <w:t>$</w:t>
      </w:r>
      <w:r w:rsidRPr="004B267E">
        <w:rPr>
          <w:rFonts w:ascii="Arial" w:hAnsi="Arial" w:cs="Arial"/>
          <w:sz w:val="17"/>
          <w:szCs w:val="17"/>
        </w:rPr>
        <w:t>.</w:t>
      </w:r>
    </w:p>
  </w:endnote>
  <w:endnote w:id="3">
    <w:p w14:paraId="6CF9ACF4" w14:textId="23661B59" w:rsidR="00FE0727" w:rsidRPr="004B267E" w:rsidRDefault="00FE0727" w:rsidP="004D4F3C">
      <w:pPr>
        <w:pStyle w:val="Footnote"/>
        <w:rPr>
          <w:b/>
        </w:rPr>
      </w:pPr>
      <w:r w:rsidRPr="004B267E">
        <w:rPr>
          <w:rStyle w:val="EndnoteReference"/>
        </w:rPr>
        <w:endnoteRef/>
      </w:r>
      <w:r w:rsidRPr="004B267E">
        <w:t xml:space="preserve"> Associated Press, “Key Events in the History of Tesla Motors,” </w:t>
      </w:r>
      <w:r w:rsidRPr="004B267E">
        <w:rPr>
          <w:i/>
        </w:rPr>
        <w:t>Washington Times</w:t>
      </w:r>
      <w:r w:rsidRPr="004B267E">
        <w:t>, June 21, 2012, accessed March 6, 2014, www.washingtontimes.com/news/2012/jun/21/key-events-in-the-history-of-tesla-motors/.</w:t>
      </w:r>
    </w:p>
  </w:endnote>
  <w:endnote w:id="4">
    <w:p w14:paraId="416D0B92" w14:textId="62619FEE" w:rsidR="00FE0727" w:rsidRPr="004B267E" w:rsidRDefault="00FE0727" w:rsidP="004D4F3C">
      <w:pPr>
        <w:pStyle w:val="Footnote"/>
      </w:pPr>
      <w:r w:rsidRPr="004B267E">
        <w:rPr>
          <w:rStyle w:val="EndnoteReference"/>
        </w:rPr>
        <w:endnoteRef/>
      </w:r>
      <w:r w:rsidRPr="004B267E">
        <w:t xml:space="preserve"> Erik Gregersen</w:t>
      </w:r>
      <w:r>
        <w:t xml:space="preserve"> and </w:t>
      </w:r>
      <w:r w:rsidRPr="004B267E">
        <w:t xml:space="preserve">Barbara A. Schreiber, “Tesla Motors,” </w:t>
      </w:r>
      <w:r w:rsidRPr="004B267E">
        <w:rPr>
          <w:i/>
        </w:rPr>
        <w:t>Encyclopædia Britannica</w:t>
      </w:r>
      <w:r w:rsidRPr="004B267E">
        <w:t>, accessed March 6, 2014, www.britannica.com/EBchecked/topic/1414616/Tesla-Motors.</w:t>
      </w:r>
    </w:p>
  </w:endnote>
  <w:endnote w:id="5">
    <w:p w14:paraId="0F61AE7E" w14:textId="0646B26E" w:rsidR="00FE0727" w:rsidRPr="004B267E" w:rsidRDefault="00FE0727" w:rsidP="004D4F3C">
      <w:pPr>
        <w:pStyle w:val="Footnote"/>
      </w:pPr>
      <w:r w:rsidRPr="004B267E">
        <w:rPr>
          <w:rStyle w:val="EndnoteReference"/>
        </w:rPr>
        <w:endnoteRef/>
      </w:r>
      <w:r w:rsidRPr="004B267E">
        <w:t xml:space="preserve"> Pictures and videos of the full line of Tesla models can be found at Tesla’s website, accessed August 13, 2017, www.tesla.com/.</w:t>
      </w:r>
    </w:p>
  </w:endnote>
  <w:endnote w:id="6">
    <w:p w14:paraId="316FD212" w14:textId="226FFA1A" w:rsidR="00FE0727" w:rsidRPr="004B267E" w:rsidRDefault="00FE0727" w:rsidP="004D4F3C">
      <w:pPr>
        <w:pStyle w:val="Footnote"/>
      </w:pPr>
      <w:r w:rsidRPr="004B267E">
        <w:rPr>
          <w:rStyle w:val="EndnoteReference"/>
        </w:rPr>
        <w:endnoteRef/>
      </w:r>
      <w:r w:rsidRPr="004B267E">
        <w:t xml:space="preserve"> “The Man behind Tesla, SpaceX, SolarCity ... | Elon Musk,” YouTube video, 21:04, posted by </w:t>
      </w:r>
      <w:r>
        <w:t>“</w:t>
      </w:r>
      <w:r w:rsidRPr="004B267E">
        <w:t>TED,</w:t>
      </w:r>
      <w:r>
        <w:t>”</w:t>
      </w:r>
      <w:r w:rsidRPr="004B267E">
        <w:t xml:space="preserve"> March 19, 2013, accessed August 13, 2017, </w:t>
      </w:r>
      <w:r w:rsidRPr="00C92D59">
        <w:t>https://youtu.be/IgKWPdJWuBQ</w:t>
      </w:r>
      <w:r w:rsidRPr="004B267E">
        <w:t>.</w:t>
      </w:r>
    </w:p>
  </w:endnote>
  <w:endnote w:id="7">
    <w:p w14:paraId="29DABC28" w14:textId="51368FC4" w:rsidR="00FE0727" w:rsidRPr="004B267E" w:rsidRDefault="00FE0727" w:rsidP="004D4F3C">
      <w:pPr>
        <w:pStyle w:val="Footnote"/>
      </w:pPr>
      <w:r w:rsidRPr="004B267E">
        <w:rPr>
          <w:rStyle w:val="EndnoteReference"/>
        </w:rPr>
        <w:endnoteRef/>
      </w:r>
      <w:r w:rsidRPr="004B267E">
        <w:t xml:space="preserve"> For a sample of Elon Musk’s vision on this particular project, see “The Boring Company | Tunnels,” video, 1:09, accessed October 24, 2017, www.boringcompany.com/.</w:t>
      </w:r>
    </w:p>
  </w:endnote>
  <w:endnote w:id="8">
    <w:p w14:paraId="6B6B845D" w14:textId="4EB423E7" w:rsidR="00FE0727" w:rsidRPr="004B267E" w:rsidRDefault="00FE0727">
      <w:pPr>
        <w:pStyle w:val="EndnoteText"/>
      </w:pPr>
      <w:r w:rsidRPr="004B267E">
        <w:rPr>
          <w:rStyle w:val="EndnoteReference"/>
          <w:rFonts w:ascii="Arial" w:hAnsi="Arial" w:cs="Arial"/>
          <w:sz w:val="17"/>
          <w:szCs w:val="17"/>
        </w:rPr>
        <w:endnoteRef/>
      </w:r>
      <w:r w:rsidRPr="004B267E">
        <w:rPr>
          <w:rFonts w:ascii="Arial" w:hAnsi="Arial" w:cs="Arial"/>
          <w:sz w:val="17"/>
          <w:szCs w:val="17"/>
        </w:rPr>
        <w:t xml:space="preserve"> Clayton Christensen, </w:t>
      </w:r>
      <w:r w:rsidRPr="004B267E">
        <w:rPr>
          <w:rFonts w:ascii="Arial" w:hAnsi="Arial" w:cs="Arial"/>
          <w:i/>
          <w:sz w:val="17"/>
          <w:szCs w:val="17"/>
        </w:rPr>
        <w:t>The Innovator’s Dilemma: When New Technologies Cause Great Firms to Fail</w:t>
      </w:r>
      <w:r w:rsidRPr="004B267E">
        <w:rPr>
          <w:rFonts w:ascii="Arial" w:hAnsi="Arial" w:cs="Arial"/>
          <w:sz w:val="17"/>
          <w:szCs w:val="17"/>
        </w:rPr>
        <w:t xml:space="preserve"> (Boston, MA: Harvard Business Review Press, 2016).</w:t>
      </w:r>
    </w:p>
  </w:endnote>
  <w:endnote w:id="9">
    <w:p w14:paraId="4771062D" w14:textId="16351087" w:rsidR="00FE0727" w:rsidRPr="004B267E" w:rsidRDefault="00FE0727" w:rsidP="004D4F3C">
      <w:pPr>
        <w:pStyle w:val="Footnote"/>
      </w:pPr>
      <w:r w:rsidRPr="004B267E">
        <w:rPr>
          <w:rStyle w:val="EndnoteReference"/>
        </w:rPr>
        <w:endnoteRef/>
      </w:r>
      <w:r w:rsidRPr="004B267E">
        <w:t xml:space="preserve"> This level of power was much lower than a comparable gasoline engine used in high-end sports cars because of the efficiency of the lithium battery powertrain.</w:t>
      </w:r>
    </w:p>
  </w:endnote>
  <w:endnote w:id="10">
    <w:p w14:paraId="5606B64D" w14:textId="3CDA80BA" w:rsidR="00FE0727" w:rsidRPr="004B267E" w:rsidRDefault="00FE0727" w:rsidP="004D4F3C">
      <w:pPr>
        <w:pStyle w:val="Footnote"/>
      </w:pPr>
      <w:r w:rsidRPr="004B267E">
        <w:rPr>
          <w:rStyle w:val="EndnoteReference"/>
        </w:rPr>
        <w:endnoteRef/>
      </w:r>
      <w:r w:rsidRPr="004B267E">
        <w:t xml:space="preserve"> Fred Lambert, “Electric Vehicle Battery Cost Dropped 80% in 6 Years </w:t>
      </w:r>
      <w:r>
        <w:t>D</w:t>
      </w:r>
      <w:r w:rsidRPr="004B267E">
        <w:t>own to $227/kWh—Tesla Claim to Be Below $190 kWh,” Electrek, January 30, 2017, accessed December 9, 2017, https://electrek.co/2017/01/30/electric-vehicle-battery-cost-dropped-80-6-years-227kwh-tesla-190kwh/.</w:t>
      </w:r>
    </w:p>
  </w:endnote>
  <w:endnote w:id="11">
    <w:p w14:paraId="5A8C8C86" w14:textId="25892BC6" w:rsidR="00FE0727" w:rsidRPr="004B267E" w:rsidRDefault="00FE0727" w:rsidP="004D4F3C">
      <w:pPr>
        <w:pStyle w:val="Footnote"/>
      </w:pPr>
      <w:r w:rsidRPr="004B267E">
        <w:rPr>
          <w:rStyle w:val="EndnoteReference"/>
        </w:rPr>
        <w:endnoteRef/>
      </w:r>
      <w:r w:rsidRPr="004B267E">
        <w:t xml:space="preserve"> John Hollenhorst, “Southern Utah Towns Now Offer Tesla Car Charging Stations,” K</w:t>
      </w:r>
      <w:r>
        <w:t>SL</w:t>
      </w:r>
      <w:r w:rsidRPr="004B267E">
        <w:t>.com, April 11, 2014, accessed May 6, 2014, www.ksl.com/?nid=148&amp;sid=29446044#CyisQ9brU91KgD6D.99.</w:t>
      </w:r>
    </w:p>
  </w:endnote>
  <w:endnote w:id="12">
    <w:p w14:paraId="5CF7E7BD" w14:textId="115D5090" w:rsidR="00FE0727" w:rsidRPr="004B267E" w:rsidRDefault="00FE0727" w:rsidP="004D4F3C">
      <w:pPr>
        <w:pStyle w:val="Footnote"/>
      </w:pPr>
      <w:r w:rsidRPr="004B267E">
        <w:rPr>
          <w:rStyle w:val="EndnoteReference"/>
        </w:rPr>
        <w:endnoteRef/>
      </w:r>
      <w:r w:rsidRPr="004B267E">
        <w:t xml:space="preserve"> Darren Quick, “Just How Environmentally Friendly Are Electric Vehicles?,” </w:t>
      </w:r>
      <w:r w:rsidRPr="004B267E">
        <w:rPr>
          <w:i/>
        </w:rPr>
        <w:t>New Atlas</w:t>
      </w:r>
      <w:r w:rsidRPr="004B267E">
        <w:t>, August 31, 2010, accessed May 1, 2013, www.gizmag.com/empa-study-environmental-impact-electric-car/16181/.</w:t>
      </w:r>
    </w:p>
  </w:endnote>
  <w:endnote w:id="13">
    <w:p w14:paraId="2D822F8D" w14:textId="6D057FB9" w:rsidR="00FE0727" w:rsidRPr="004B267E" w:rsidRDefault="00FE0727" w:rsidP="004D4F3C">
      <w:pPr>
        <w:pStyle w:val="Footnote"/>
      </w:pPr>
      <w:r w:rsidRPr="004B267E">
        <w:rPr>
          <w:rStyle w:val="EndnoteReference"/>
        </w:rPr>
        <w:endnoteRef/>
      </w:r>
      <w:r w:rsidRPr="004B267E">
        <w:t xml:space="preserve"> Once the company generated wide-scale adoption of its charging network and consumers were forced to use its service, the company would likely charge for this service. </w:t>
      </w:r>
    </w:p>
  </w:endnote>
  <w:endnote w:id="14">
    <w:p w14:paraId="766711A8" w14:textId="60AE60CA" w:rsidR="00FE0727" w:rsidRPr="004B267E" w:rsidRDefault="00FE0727" w:rsidP="004D4F3C">
      <w:pPr>
        <w:pStyle w:val="Footnote"/>
      </w:pPr>
      <w:r w:rsidRPr="004B267E">
        <w:rPr>
          <w:rStyle w:val="EndnoteReference"/>
        </w:rPr>
        <w:endnoteRef/>
      </w:r>
      <w:r w:rsidRPr="004B267E">
        <w:t xml:space="preserve"> Tesla, “Energy,” accessed August 14, 2017, https://www.teslamotors.com/energy. </w:t>
      </w:r>
    </w:p>
  </w:endnote>
  <w:endnote w:id="15">
    <w:p w14:paraId="6B1D4746" w14:textId="7C3C4CDF" w:rsidR="00FE0727" w:rsidRPr="004B267E" w:rsidRDefault="00FE0727" w:rsidP="004D4F3C">
      <w:pPr>
        <w:pStyle w:val="Footnote"/>
      </w:pPr>
      <w:r w:rsidRPr="004B267E">
        <w:rPr>
          <w:rStyle w:val="EndnoteReference"/>
        </w:rPr>
        <w:endnoteRef/>
      </w:r>
      <w:r w:rsidRPr="004B267E">
        <w:t xml:space="preserve"> Ruoshan Tao, “Tesla Supply Chain—Custom-Build World Class Supply Chain,” </w:t>
      </w:r>
      <w:r w:rsidRPr="004B267E">
        <w:rPr>
          <w:i/>
        </w:rPr>
        <w:t>Tradegecko</w:t>
      </w:r>
      <w:r w:rsidRPr="004B267E">
        <w:t>, September 4, 2014, accessed August 13, 2017, www.tradegecko.com/blog/tesla-custom-built-supply-chain.</w:t>
      </w:r>
    </w:p>
  </w:endnote>
  <w:endnote w:id="16">
    <w:p w14:paraId="5D444256" w14:textId="6706C4CF" w:rsidR="00FE0727" w:rsidRPr="004B267E" w:rsidRDefault="00FE0727" w:rsidP="004D4F3C">
      <w:pPr>
        <w:pStyle w:val="Footnote"/>
      </w:pPr>
      <w:r w:rsidRPr="004B267E">
        <w:rPr>
          <w:rStyle w:val="EndnoteReference"/>
        </w:rPr>
        <w:endnoteRef/>
      </w:r>
      <w:r w:rsidRPr="004B267E">
        <w:t xml:space="preserve"> National Automobile Dealers Association, “</w:t>
      </w:r>
      <w:r w:rsidRPr="004B267E">
        <w:rPr>
          <w:bCs/>
        </w:rPr>
        <w:t xml:space="preserve">NADA Data State-of-the-Industry Report 2013,” </w:t>
      </w:r>
      <w:r w:rsidRPr="004B267E">
        <w:t>accessed March 14, 2014, www.asymcar.com/f/2014/2013_NADA_Data_102113.pdf</w:t>
      </w:r>
      <w:r w:rsidRPr="004B267E">
        <w:rPr>
          <w:bCs/>
        </w:rPr>
        <w:t>.</w:t>
      </w:r>
    </w:p>
  </w:endnote>
  <w:endnote w:id="17">
    <w:p w14:paraId="3A6B7F19" w14:textId="4A2800AA" w:rsidR="00FE0727" w:rsidRPr="004B267E" w:rsidRDefault="00FE0727" w:rsidP="004D4F3C">
      <w:pPr>
        <w:pStyle w:val="Footnote"/>
      </w:pPr>
      <w:r w:rsidRPr="004B267E">
        <w:rPr>
          <w:rStyle w:val="EndnoteReference"/>
        </w:rPr>
        <w:endnoteRef/>
      </w:r>
      <w:r w:rsidRPr="004B267E">
        <w:t xml:space="preserve"> Charles Lane, “Tesla Takes on Car Dealership in a Fight to the Death,” </w:t>
      </w:r>
      <w:r w:rsidRPr="004B267E">
        <w:rPr>
          <w:i/>
        </w:rPr>
        <w:t>Washington Post</w:t>
      </w:r>
      <w:r w:rsidRPr="004B267E">
        <w:t>, March 12, 2014, accessed May 6, 2014, www.washingtonpost.com/opinions/charles-lane-tesla-takes-on-car-dealerships-in-a-fight-to-the-death/2014/03/12/</w:t>
      </w:r>
    </w:p>
    <w:p w14:paraId="1EB1CB77" w14:textId="48F7A7C4" w:rsidR="00FE0727" w:rsidRPr="004B267E" w:rsidRDefault="00FE0727" w:rsidP="004D4F3C">
      <w:pPr>
        <w:pStyle w:val="Footnote"/>
      </w:pPr>
      <w:r w:rsidRPr="004B267E">
        <w:t>2956a9f2-a9ff-11e3-8599-ce7295b6851c_story.html.</w:t>
      </w:r>
    </w:p>
  </w:endnote>
  <w:endnote w:id="18">
    <w:p w14:paraId="25D74F20" w14:textId="1A3CDD38" w:rsidR="00FE0727" w:rsidRPr="004B267E" w:rsidRDefault="00FE0727" w:rsidP="004D4F3C">
      <w:pPr>
        <w:pStyle w:val="Footnote"/>
      </w:pPr>
      <w:r w:rsidRPr="004B267E">
        <w:rPr>
          <w:rStyle w:val="EndnoteReference"/>
        </w:rPr>
        <w:endnoteRef/>
      </w:r>
      <w:r w:rsidRPr="004B267E">
        <w:t xml:space="preserve"> Tom O’Leary, “Tesla Store Los Angeles,” </w:t>
      </w:r>
      <w:r>
        <w:t xml:space="preserve">Tesla, Blog, </w:t>
      </w:r>
      <w:r w:rsidRPr="004B267E">
        <w:t xml:space="preserve">May 14, 2008, accessed May 6, 2014,www.teslamotors.com/blog/tesla-store-los-angeles; Phil Patton, “Tesla Opens Manhattan Dealership,” </w:t>
      </w:r>
      <w:r w:rsidRPr="004B267E">
        <w:rPr>
          <w:i/>
        </w:rPr>
        <w:t>New York Times</w:t>
      </w:r>
      <w:r w:rsidRPr="004B267E">
        <w:t xml:space="preserve">, July 15, 2009, accessed May 6, 2014, http://wheels.blogs.nytimes.com/2009/07/15/tesla-opens-manhattan-dealership/?_php=true&amp;_type=blogs&amp;_r=0; Jonathan O’Connell, “Electric Carmaker Tesla to Open D.C. Store,” </w:t>
      </w:r>
      <w:r w:rsidRPr="004B267E">
        <w:rPr>
          <w:i/>
        </w:rPr>
        <w:t>Washington Post</w:t>
      </w:r>
      <w:r w:rsidRPr="004B267E">
        <w:t>, August 30, 2010, accessed May 6, 2014, www.washingtonpost.com/wp-dyn/content/article/2010/08/27/AR2010082704732.html.</w:t>
      </w:r>
    </w:p>
  </w:endnote>
  <w:endnote w:id="19">
    <w:p w14:paraId="50034F9F" w14:textId="0B062741" w:rsidR="00FE0727" w:rsidRPr="004B267E" w:rsidRDefault="00FE0727" w:rsidP="004D4F3C">
      <w:pPr>
        <w:pStyle w:val="Footnote"/>
      </w:pPr>
      <w:r w:rsidRPr="004B267E">
        <w:rPr>
          <w:rStyle w:val="EndnoteReference"/>
        </w:rPr>
        <w:endnoteRef/>
      </w:r>
      <w:r w:rsidRPr="004B267E">
        <w:t xml:space="preserve"> Nick Chambers, “Tesla Is Turning the Car Sales Model on Its Head,” </w:t>
      </w:r>
      <w:r w:rsidRPr="004B267E">
        <w:rPr>
          <w:i/>
        </w:rPr>
        <w:t>Autotrader</w:t>
      </w:r>
      <w:r w:rsidRPr="004B267E">
        <w:t>, November 2011, accessed May 6, 2014, www.autotrader.com/research/article/car-news/132587/tesla-is-turning-the-car-sales-model-on-its-head.jsp.</w:t>
      </w:r>
    </w:p>
  </w:endnote>
  <w:endnote w:id="20">
    <w:p w14:paraId="2A126E2A" w14:textId="7EBC4F42" w:rsidR="00FE0727" w:rsidRPr="004B267E" w:rsidRDefault="00FE0727" w:rsidP="004D4F3C">
      <w:pPr>
        <w:pStyle w:val="Footnote"/>
      </w:pPr>
      <w:r w:rsidRPr="004B267E">
        <w:rPr>
          <w:rStyle w:val="EndnoteReference"/>
        </w:rPr>
        <w:endnoteRef/>
      </w:r>
      <w:r w:rsidRPr="004B267E">
        <w:t xml:space="preserve"> Tesla Motors, Inc., “</w:t>
      </w:r>
      <w:r>
        <w:t xml:space="preserve">News Room: </w:t>
      </w:r>
      <w:r w:rsidRPr="004B267E">
        <w:t>Tesla Delivers 14,820 Vehicles in Q1 2016; On Track for Full-Year Delivery Guidance,”  April 4, 2016, accessed December 9, 2017, www.marketwired.com/press-release/tesla-delivers-14820-vehicles-in-q1-2016-on-track-for-full-year-delivery-guidance-nasdaq-tsla-2111728.htm.</w:t>
      </w:r>
    </w:p>
  </w:endnote>
  <w:endnote w:id="21">
    <w:p w14:paraId="20190E36" w14:textId="290C2FD3" w:rsidR="00FE0727" w:rsidRPr="004B267E" w:rsidRDefault="00FE0727" w:rsidP="004D4F3C">
      <w:pPr>
        <w:pStyle w:val="Footnote"/>
      </w:pPr>
      <w:r w:rsidRPr="004B267E">
        <w:rPr>
          <w:rStyle w:val="EndnoteReference"/>
        </w:rPr>
        <w:endnoteRef/>
      </w:r>
      <w:r w:rsidRPr="004B267E">
        <w:t xml:space="preserve"> Fred Lambert, “Tesla Gives Update on Model 3 Production Problems, Delays Ramp up by 3 Months,” Electrek, November 1, 2017, accessed December 9, 2017, https://electrek.co/2017/11/01/tesla-model-3-production-delays/.</w:t>
      </w:r>
    </w:p>
  </w:endnote>
  <w:endnote w:id="22">
    <w:p w14:paraId="7C42F5FF" w14:textId="53AB5763" w:rsidR="00FE0727" w:rsidRPr="004B267E" w:rsidRDefault="00FE0727" w:rsidP="004D4F3C">
      <w:pPr>
        <w:pStyle w:val="Footnote"/>
      </w:pPr>
      <w:r w:rsidRPr="004B267E">
        <w:rPr>
          <w:rStyle w:val="EndnoteReference"/>
        </w:rPr>
        <w:endnoteRef/>
      </w:r>
      <w:r w:rsidRPr="004B267E">
        <w:t xml:space="preserve"> Sorka95032, “</w:t>
      </w:r>
      <w:r>
        <w:t xml:space="preserve">Forums: </w:t>
      </w:r>
      <w:r w:rsidRPr="004B267E">
        <w:t>Fit and Finish Oddities….,” Tesla, April 15, 2015, accessed July 18, 2016, https://forums.tesla.com/en_CA/forum/forums/fit-and-finish-oddities.</w:t>
      </w:r>
    </w:p>
  </w:endnote>
  <w:endnote w:id="23">
    <w:p w14:paraId="5E2B6849" w14:textId="2F12634C" w:rsidR="00FE0727" w:rsidRPr="004B267E" w:rsidRDefault="00FE0727" w:rsidP="004D4F3C">
      <w:pPr>
        <w:pStyle w:val="Footnote"/>
      </w:pPr>
      <w:r w:rsidRPr="004B267E">
        <w:rPr>
          <w:rStyle w:val="EndnoteReference"/>
        </w:rPr>
        <w:endnoteRef/>
      </w:r>
      <w:r w:rsidRPr="004B267E">
        <w:t xml:space="preserve"> John Hall, “Tesla Motors Extends Innovation to Its Supply Chain,” </w:t>
      </w:r>
      <w:r w:rsidRPr="004B267E">
        <w:rPr>
          <w:i/>
        </w:rPr>
        <w:t>Purchasing News &amp; Procurement Best Practices</w:t>
      </w:r>
      <w:r w:rsidRPr="004B267E">
        <w:t xml:space="preserve">, April 15, 2015, accessed July 18, 2016, www.mypurchasingcenter.com/logistics/articles/tesla-motors-extends-innovation-its-supply-chain/; Matthew Stuart, “This $5 Billion Factory Is the Key to Tesla’s Future—And It’s in the Middle of the Desert,” </w:t>
      </w:r>
      <w:r w:rsidRPr="004B267E">
        <w:rPr>
          <w:i/>
        </w:rPr>
        <w:t>Business Insider</w:t>
      </w:r>
      <w:r w:rsidRPr="004B267E">
        <w:t>, July 27, 2016, accessed December 9, 2017, www.businessinsider.com/tesla-5-billion-gigafactory-elon-musk-2016-7; United States Security and Exchange Commission, SEC Form 8-K, at 1, filed by Tesla Motors, Inc. on November 21, 2016, accessed August 13, 2017, http://ir.tesla.com/secfiling.cfm?filingid=1193125-16-773705&amp;CIK=1318605.</w:t>
      </w:r>
    </w:p>
  </w:endnote>
  <w:endnote w:id="24">
    <w:p w14:paraId="424CA983" w14:textId="146E502F" w:rsidR="00FE0727" w:rsidRPr="004B267E" w:rsidRDefault="00FE0727" w:rsidP="004D4F3C">
      <w:pPr>
        <w:pStyle w:val="Footnote"/>
      </w:pPr>
      <w:r w:rsidRPr="004B267E">
        <w:rPr>
          <w:rStyle w:val="EndnoteReference"/>
        </w:rPr>
        <w:endnoteRef/>
      </w:r>
      <w:r w:rsidRPr="004B267E">
        <w:t xml:space="preserve"> Tao, op. cit. </w:t>
      </w:r>
    </w:p>
  </w:endnote>
  <w:endnote w:id="25">
    <w:p w14:paraId="120FDD23" w14:textId="6F445A03" w:rsidR="00FE0727" w:rsidRPr="004B267E" w:rsidRDefault="00FE0727" w:rsidP="004D4F3C">
      <w:pPr>
        <w:pStyle w:val="Footnote"/>
      </w:pPr>
      <w:r w:rsidRPr="004B267E">
        <w:rPr>
          <w:rStyle w:val="EndnoteReference"/>
        </w:rPr>
        <w:endnoteRef/>
      </w:r>
      <w:r w:rsidRPr="004B267E">
        <w:t xml:space="preserve"> Trefis Team, “Tesla’s Strategic Relationships with Daimler and Toyota Getting Stronger,” Trefis, November 17, 2011, accessed July 18, 2016, www.trefis.com/stock/tsla/articles/86006/teslas-symbiotic-relationship-with-daimler-and-toyota-getting-stronger/2011-11-17.</w:t>
      </w:r>
    </w:p>
  </w:endnote>
  <w:endnote w:id="26">
    <w:p w14:paraId="05A33354" w14:textId="408B9011" w:rsidR="00FE0727" w:rsidRPr="004B267E" w:rsidRDefault="00FE0727" w:rsidP="004D4F3C">
      <w:pPr>
        <w:pStyle w:val="Footnote"/>
      </w:pPr>
      <w:r w:rsidRPr="004B267E">
        <w:rPr>
          <w:rStyle w:val="EndnoteReference"/>
        </w:rPr>
        <w:endnoteRef/>
      </w:r>
      <w:r w:rsidRPr="004B267E">
        <w:t xml:space="preserve"> Gabe Nelson, “Three Factors in Daimler’s $780M Sale of Tesla Stock,” </w:t>
      </w:r>
      <w:r w:rsidRPr="004B267E">
        <w:rPr>
          <w:i/>
        </w:rPr>
        <w:t>Automotive News</w:t>
      </w:r>
      <w:r w:rsidRPr="004B267E">
        <w:t>, October 22, 2014, accessed July 18, 2016, www.autonews.com/article/20141022/BLOG06/141029932/three-factors-in-daimlers-$780m-sale-of-tesla-stock.</w:t>
      </w:r>
    </w:p>
  </w:endnote>
  <w:endnote w:id="27">
    <w:p w14:paraId="60F4C60D" w14:textId="5F4BCD85" w:rsidR="00FE0727" w:rsidRPr="004B267E" w:rsidRDefault="00FE0727" w:rsidP="004D4F3C">
      <w:pPr>
        <w:pStyle w:val="Footnote"/>
      </w:pPr>
      <w:r w:rsidRPr="004B267E">
        <w:rPr>
          <w:rStyle w:val="EndnoteReference"/>
        </w:rPr>
        <w:endnoteRef/>
      </w:r>
      <w:r w:rsidRPr="004B267E">
        <w:t xml:space="preserve"> Ibid.</w:t>
      </w:r>
    </w:p>
  </w:endnote>
  <w:endnote w:id="28">
    <w:p w14:paraId="295EC4D4" w14:textId="6EC670DF" w:rsidR="00FE0727" w:rsidRPr="004B267E" w:rsidRDefault="00FE0727" w:rsidP="004D4F3C">
      <w:pPr>
        <w:pStyle w:val="Footnote"/>
      </w:pPr>
      <w:r w:rsidRPr="004B267E">
        <w:rPr>
          <w:rStyle w:val="EndnoteReference"/>
        </w:rPr>
        <w:endnoteRef/>
      </w:r>
      <w:r w:rsidRPr="004B267E">
        <w:t xml:space="preserve"> Hall, op. cit. </w:t>
      </w:r>
    </w:p>
  </w:endnote>
  <w:endnote w:id="29">
    <w:p w14:paraId="33B1C645" w14:textId="7A1859BB" w:rsidR="00FE0727" w:rsidRPr="004B267E" w:rsidRDefault="00FE0727" w:rsidP="004D4F3C">
      <w:pPr>
        <w:pStyle w:val="Footnote"/>
      </w:pPr>
      <w:r w:rsidRPr="004B267E">
        <w:rPr>
          <w:rStyle w:val="EndnoteReference"/>
        </w:rPr>
        <w:endnoteRef/>
      </w:r>
      <w:r w:rsidRPr="004B267E">
        <w:t xml:space="preserve"> Stuart, op. cit. </w:t>
      </w:r>
    </w:p>
  </w:endnote>
  <w:endnote w:id="30">
    <w:p w14:paraId="461002F5" w14:textId="4A09E991" w:rsidR="00FE0727" w:rsidRPr="004B267E" w:rsidRDefault="00FE0727" w:rsidP="004D4F3C">
      <w:pPr>
        <w:pStyle w:val="Footnote"/>
      </w:pPr>
      <w:r w:rsidRPr="004B267E">
        <w:rPr>
          <w:rStyle w:val="EndnoteReference"/>
          <w:sz w:val="20"/>
          <w:szCs w:val="20"/>
        </w:rPr>
        <w:endnoteRef/>
      </w:r>
      <w:r w:rsidRPr="004B267E">
        <w:rPr>
          <w:sz w:val="20"/>
          <w:szCs w:val="20"/>
        </w:rPr>
        <w:t xml:space="preserve"> </w:t>
      </w:r>
      <w:r w:rsidRPr="004B267E">
        <w:t xml:space="preserve">Bill O’Driscoll, “10 Members to Know about Tesla and Its Gigafactory,” </w:t>
      </w:r>
      <w:r w:rsidRPr="004B267E">
        <w:rPr>
          <w:i/>
        </w:rPr>
        <w:t>USA Today</w:t>
      </w:r>
      <w:r w:rsidRPr="004B267E">
        <w:t>, September 3, 2014, accessed July 18, 2016, www.usatoday.com/story/money/cars/2014/09/03/tesla-gigafactory-10-numbers/15037473/.</w:t>
      </w:r>
    </w:p>
  </w:endnote>
  <w:endnote w:id="31">
    <w:p w14:paraId="6F4E4C30" w14:textId="53BC125B" w:rsidR="00FE0727" w:rsidRPr="004B267E" w:rsidRDefault="00FE0727" w:rsidP="00C92217">
      <w:pPr>
        <w:pStyle w:val="Footnote"/>
      </w:pPr>
      <w:r w:rsidRPr="004B267E">
        <w:rPr>
          <w:rStyle w:val="EndnoteReference"/>
        </w:rPr>
        <w:endnoteRef/>
      </w:r>
      <w:r w:rsidRPr="004B267E">
        <w:t xml:space="preserve"> Katie Fehrenbacher, “Tesla Plans to Buy Lithium for Gigafactory from Nearby Nevada Mine,” Fortune, September 16, 2015, accessed July 18, 2016, http://fortune.com/2015/09/16/tesla-lithium-gigafactory-nevada/.</w:t>
      </w:r>
    </w:p>
  </w:endnote>
  <w:endnote w:id="32">
    <w:p w14:paraId="57AA3A80" w14:textId="27A8B510" w:rsidR="00FE0727" w:rsidRPr="004B267E" w:rsidRDefault="00FE0727" w:rsidP="00C92217">
      <w:pPr>
        <w:pStyle w:val="Footnote"/>
      </w:pPr>
      <w:r w:rsidRPr="004B267E">
        <w:rPr>
          <w:rStyle w:val="EndnoteReference"/>
        </w:rPr>
        <w:endnoteRef/>
      </w:r>
      <w:r w:rsidRPr="004B267E">
        <w:t xml:space="preserve"> United States Security and Exchange Commission, SEC Form 8-K, op. cit., 1. </w:t>
      </w:r>
    </w:p>
  </w:endnote>
  <w:endnote w:id="33">
    <w:p w14:paraId="47AD9F1D" w14:textId="40643A42" w:rsidR="00FE0727" w:rsidRPr="004B267E" w:rsidRDefault="00FE0727" w:rsidP="0099033B">
      <w:pPr>
        <w:pStyle w:val="Footnote"/>
      </w:pPr>
      <w:r w:rsidRPr="004B267E">
        <w:rPr>
          <w:rStyle w:val="EndnoteReference"/>
        </w:rPr>
        <w:endnoteRef/>
      </w:r>
      <w:r w:rsidRPr="004B267E">
        <w:t xml:space="preserve"> </w:t>
      </w:r>
      <w:r>
        <w:t xml:space="preserve">Mike Ramsey and </w:t>
      </w:r>
      <w:r w:rsidRPr="004B267E">
        <w:t xml:space="preserve">Cassandra Sweet, “Tesla and SolarCity Agree to $2.6 Billion Deal,” </w:t>
      </w:r>
      <w:r w:rsidRPr="00711CD5">
        <w:rPr>
          <w:i/>
        </w:rPr>
        <w:t xml:space="preserve">The </w:t>
      </w:r>
      <w:r w:rsidRPr="004B267E">
        <w:rPr>
          <w:i/>
        </w:rPr>
        <w:t>Wall Street Journal</w:t>
      </w:r>
      <w:r w:rsidRPr="004B267E">
        <w:t xml:space="preserve">, August 1, 2016, accessed January 31, 2018, https://www.wsj.com/articles/tesla-and-solarcity-agree-to-2-6-billion-merger-deal-1470050724; Galen Barbose, Samantha Weaver, and Naïm R. Darghouth, </w:t>
      </w:r>
      <w:r w:rsidRPr="004B267E">
        <w:rPr>
          <w:i/>
        </w:rPr>
        <w:t xml:space="preserve">Tracking the Sun VII: An Historical Summary of the Installed Price of Photovoltaics in the United States from 1998-2013 </w:t>
      </w:r>
      <w:r w:rsidRPr="004B267E">
        <w:t>(Berkeley, CA: Lawrence Berkeley National Laboratory, 2014).</w:t>
      </w:r>
    </w:p>
  </w:endnote>
  <w:endnote w:id="34">
    <w:p w14:paraId="38931578" w14:textId="66B2E4D4" w:rsidR="00FE0727" w:rsidRPr="004B267E" w:rsidRDefault="00FE0727" w:rsidP="004D4F3C">
      <w:pPr>
        <w:pStyle w:val="Footnote"/>
      </w:pPr>
      <w:r w:rsidRPr="004B267E">
        <w:rPr>
          <w:rStyle w:val="EndnoteReference"/>
        </w:rPr>
        <w:endnoteRef/>
      </w:r>
      <w:r w:rsidRPr="004B267E">
        <w:t xml:space="preserve"> Alan Ohnsman, “Early Christmas Present </w:t>
      </w:r>
      <w:r>
        <w:t xml:space="preserve">for Elon Musk </w:t>
      </w:r>
      <w:r w:rsidRPr="004B267E">
        <w:t xml:space="preserve">as Shareholders Bless Tesla-SolarCity Merger,” </w:t>
      </w:r>
      <w:r w:rsidRPr="004B267E">
        <w:rPr>
          <w:i/>
        </w:rPr>
        <w:t>Forbes</w:t>
      </w:r>
      <w:r w:rsidRPr="004B267E">
        <w:t>, Nov. 17, 2016, accessed August 13, 2017, www.forbes.com/sites/alanohnsman/2016/11/17/early-christmas-present-for-elon-musk-as-shareholders-bless-tesla-solarcity-merger/#64faefa40b19.</w:t>
      </w:r>
    </w:p>
  </w:endnote>
  <w:endnote w:id="35">
    <w:p w14:paraId="7DAB75AE" w14:textId="55748104" w:rsidR="00FE0727" w:rsidRPr="004B267E" w:rsidRDefault="00FE0727" w:rsidP="004D4F3C">
      <w:pPr>
        <w:pStyle w:val="Footnote"/>
      </w:pPr>
      <w:r w:rsidRPr="004B267E">
        <w:rPr>
          <w:rStyle w:val="EndnoteReference"/>
        </w:rPr>
        <w:endnoteRef/>
      </w:r>
      <w:r w:rsidRPr="004B267E">
        <w:t xml:space="preserve"> United States Security and Exchange Commission, SEC Form 10-Q, at 8, filed by Tesla, Inc. on August 4, 2017, accessed January 26, 2018, www.sec.gov/Archives/edgar/data/1318605/000156459017015705/tsla-10q_20170630.htm. </w:t>
      </w:r>
    </w:p>
  </w:endnote>
  <w:endnote w:id="36">
    <w:p w14:paraId="35CE934A" w14:textId="6F2A94AB" w:rsidR="00FE0727" w:rsidRPr="004B267E" w:rsidRDefault="00FE0727" w:rsidP="004D4F3C">
      <w:pPr>
        <w:pStyle w:val="Footnote"/>
      </w:pPr>
      <w:r w:rsidRPr="004B267E">
        <w:rPr>
          <w:rStyle w:val="EndnoteReference"/>
        </w:rPr>
        <w:endnoteRef/>
      </w:r>
      <w:r w:rsidRPr="004B267E">
        <w:t xml:space="preserve"> Some of Tesla’s key financial data can be found in Exhibits 1–6.</w:t>
      </w:r>
    </w:p>
  </w:endnote>
  <w:endnote w:id="37">
    <w:p w14:paraId="50F55A1E" w14:textId="4A441AA8" w:rsidR="00FE0727" w:rsidRPr="004B267E" w:rsidRDefault="00FE0727" w:rsidP="004D4F3C">
      <w:pPr>
        <w:pStyle w:val="Footnote"/>
      </w:pPr>
      <w:r w:rsidRPr="004B267E">
        <w:rPr>
          <w:rStyle w:val="EndnoteReference"/>
        </w:rPr>
        <w:endnoteRef/>
      </w:r>
      <w:r w:rsidRPr="004B267E">
        <w:t xml:space="preserve"> “Hybrid and Electric Cars 2017–2018: The Best and the Rest,”</w:t>
      </w:r>
      <w:r>
        <w:t xml:space="preserve"> </w:t>
      </w:r>
      <w:r w:rsidRPr="004B267E">
        <w:rPr>
          <w:i/>
        </w:rPr>
        <w:t>Car and Driver</w:t>
      </w:r>
      <w:r w:rsidRPr="004B267E">
        <w:t>,</w:t>
      </w:r>
      <w:r>
        <w:t xml:space="preserve"> </w:t>
      </w:r>
      <w:r w:rsidRPr="004B267E">
        <w:t>accessed December 8, 2017, https://www.caranddriver.com/best-hybrid-electric-cars.</w:t>
      </w:r>
    </w:p>
  </w:endnote>
  <w:endnote w:id="38">
    <w:p w14:paraId="6F8F21BD" w14:textId="31BF74AD" w:rsidR="00FE0727" w:rsidRPr="004B267E" w:rsidRDefault="00FE0727" w:rsidP="004D4F3C">
      <w:pPr>
        <w:pStyle w:val="Footnote"/>
      </w:pPr>
      <w:r w:rsidRPr="004B267E">
        <w:rPr>
          <w:rStyle w:val="EndnoteReference"/>
        </w:rPr>
        <w:endnoteRef/>
      </w:r>
      <w:r w:rsidRPr="004B267E">
        <w:t xml:space="preserve">“Compare Electric Cars and Plug-in Hybrids </w:t>
      </w:r>
      <w:r>
        <w:t>b</w:t>
      </w:r>
      <w:r w:rsidRPr="004B267E">
        <w:t xml:space="preserve">y Features, Price, Range,” </w:t>
      </w:r>
      <w:r>
        <w:t xml:space="preserve">Plugincars, </w:t>
      </w:r>
      <w:r w:rsidRPr="004B267E">
        <w:t>accessed August 14, 2017, www.plugincars.com/cars.</w:t>
      </w:r>
    </w:p>
  </w:endnote>
  <w:endnote w:id="39">
    <w:p w14:paraId="610E3EA1" w14:textId="2B60ED17" w:rsidR="00FE0727" w:rsidRPr="004B267E" w:rsidRDefault="00FE0727" w:rsidP="004D4F3C">
      <w:pPr>
        <w:pStyle w:val="Footnote"/>
      </w:pPr>
      <w:r w:rsidRPr="004B267E">
        <w:rPr>
          <w:rStyle w:val="EndnoteReference"/>
        </w:rPr>
        <w:endnoteRef/>
      </w:r>
      <w:r w:rsidRPr="004B267E">
        <w:t xml:space="preserve"> “</w:t>
      </w:r>
      <w:r>
        <w:t xml:space="preserve">Press Releases: </w:t>
      </w:r>
      <w:r w:rsidRPr="004B267E">
        <w:t xml:space="preserve">Volvo Cars to Go All Electric,” </w:t>
      </w:r>
      <w:r>
        <w:t>Volvo Car USA: Newsroom</w:t>
      </w:r>
      <w:r w:rsidRPr="004B267E">
        <w:t>, July 5, 2017, accessed August 19, 2017, www.media.volvocars.com/us/en-us/media/pressreleases/210058/volvo-cars-to-go-all-electric.</w:t>
      </w:r>
    </w:p>
  </w:endnote>
  <w:endnote w:id="40">
    <w:p w14:paraId="7A8580C6" w14:textId="47789918" w:rsidR="00FE0727" w:rsidRPr="004B267E" w:rsidRDefault="00FE0727" w:rsidP="004D4F3C">
      <w:pPr>
        <w:pStyle w:val="Footnote"/>
      </w:pPr>
      <w:r w:rsidRPr="004B267E">
        <w:rPr>
          <w:rStyle w:val="EndnoteReference"/>
        </w:rPr>
        <w:endnoteRef/>
      </w:r>
      <w:r w:rsidRPr="004B267E">
        <w:t xml:space="preserve"> Avi Salzman, “</w:t>
      </w:r>
      <w:r>
        <w:t xml:space="preserve">Hot Stocks: </w:t>
      </w:r>
      <w:r w:rsidRPr="004B267E">
        <w:t xml:space="preserve">Tesla’s Key Advantages over the Big Automakers,” </w:t>
      </w:r>
      <w:r w:rsidRPr="00711CD5">
        <w:t>Barron’s Next</w:t>
      </w:r>
      <w:r w:rsidRPr="004B267E">
        <w:t>, August 14, 2017,</w:t>
      </w:r>
      <w:r>
        <w:t xml:space="preserve"> accessed August 14, 2017, </w:t>
      </w:r>
      <w:r w:rsidRPr="004B267E">
        <w:t>www.barrons.com/articles/teslas-key-advantages-over-the-big-automakers-1502733760.</w:t>
      </w:r>
    </w:p>
  </w:endnote>
  <w:endnote w:id="41">
    <w:p w14:paraId="6EAA2769" w14:textId="4BB547EE" w:rsidR="00FE0727" w:rsidRPr="004B267E" w:rsidRDefault="00FE0727" w:rsidP="004D4F3C">
      <w:pPr>
        <w:pStyle w:val="Footnote"/>
        <w:rPr>
          <w:b/>
          <w:spacing w:val="-4"/>
        </w:rPr>
      </w:pPr>
      <w:r w:rsidRPr="004B267E">
        <w:rPr>
          <w:rStyle w:val="EndnoteReference"/>
          <w:spacing w:val="-4"/>
        </w:rPr>
        <w:endnoteRef/>
      </w:r>
      <w:r w:rsidRPr="004B267E">
        <w:rPr>
          <w:spacing w:val="-4"/>
        </w:rPr>
        <w:t xml:space="preserve"> Brian Sozzi, “</w:t>
      </w:r>
      <w:r>
        <w:rPr>
          <w:spacing w:val="-4"/>
        </w:rPr>
        <w:t xml:space="preserve">Tesla CEO </w:t>
      </w:r>
      <w:r w:rsidRPr="004B267E">
        <w:rPr>
          <w:spacing w:val="-4"/>
        </w:rPr>
        <w:t>Elon Musk: We Are Going to Be in Production Hell for 6 Months</w:t>
      </w:r>
      <w:r>
        <w:rPr>
          <w:spacing w:val="-4"/>
        </w:rPr>
        <w:t>—Tesla Pulls Back the Curtain</w:t>
      </w:r>
      <w:r w:rsidRPr="004B267E">
        <w:rPr>
          <w:spacing w:val="-4"/>
        </w:rPr>
        <w:t>,” TheStreet, July 29, 2017, accessed January 26, 2018, www.thestreet.com/story/14248123/1/tesla-is-having-a-massive-party-right-now-to-celebrate-its-model-3-release.html.</w:t>
      </w:r>
    </w:p>
  </w:endnote>
  <w:endnote w:id="42">
    <w:p w14:paraId="10B6CE2D" w14:textId="5522DE05" w:rsidR="00FE0727" w:rsidRPr="004B267E" w:rsidRDefault="00FE0727" w:rsidP="004D4F3C">
      <w:pPr>
        <w:pStyle w:val="Footnote"/>
      </w:pPr>
      <w:r w:rsidRPr="004B267E">
        <w:rPr>
          <w:rStyle w:val="EndnoteReference"/>
        </w:rPr>
        <w:endnoteRef/>
      </w:r>
      <w:r w:rsidRPr="004B267E">
        <w:t xml:space="preserve"> Seth Fiegerman, “Tesla Now Averaging More Than 1,800 Model 3 Reservations a Day,” </w:t>
      </w:r>
      <w:r w:rsidRPr="004B267E">
        <w:rPr>
          <w:i/>
        </w:rPr>
        <w:t>CNN</w:t>
      </w:r>
      <w:r>
        <w:rPr>
          <w:i/>
        </w:rPr>
        <w:t xml:space="preserve"> tech</w:t>
      </w:r>
      <w:r w:rsidRPr="004B267E">
        <w:t>, August 3, 2017, accessed August 18, 2017, http://money.cnn.com/2017/08/02/technology/business/tesla-earnings/index.html.</w:t>
      </w:r>
    </w:p>
  </w:endnote>
  <w:endnote w:id="43">
    <w:p w14:paraId="50103E88" w14:textId="49F5CE4C" w:rsidR="00FE0727" w:rsidRDefault="00FE0727" w:rsidP="004D4F3C">
      <w:pPr>
        <w:pStyle w:val="Footnote"/>
      </w:pPr>
      <w:r w:rsidRPr="004B267E">
        <w:rPr>
          <w:rStyle w:val="EndnoteReference"/>
        </w:rPr>
        <w:endnoteRef/>
      </w:r>
      <w:r w:rsidRPr="004B267E">
        <w:t xml:space="preserve"> Danielle Muoio, “Tesla’s Pro-union Workers Say a Skipped Step with the Model 3 Could Lead to Injuries During</w:t>
      </w:r>
      <w:r>
        <w:t xml:space="preserve"> ‘Production Hell,’” </w:t>
      </w:r>
      <w:r w:rsidRPr="00B77CA5">
        <w:rPr>
          <w:i/>
        </w:rPr>
        <w:t>Business Insider</w:t>
      </w:r>
      <w:r>
        <w:t xml:space="preserve">, August 9, 2017, accessed August 18, 2013, </w:t>
      </w:r>
      <w:r w:rsidRPr="00E50AE9">
        <w:t>www.businessinsider.com/tesla-union-problems-possible-model-3-delays-2017-8</w:t>
      </w:r>
      <w:r>
        <w:t>.</w:t>
      </w:r>
    </w:p>
  </w:endnote>
  <w:endnote w:id="44">
    <w:p w14:paraId="1A3BCB5D" w14:textId="7876CFC9" w:rsidR="00FE0727" w:rsidRDefault="00FE0727" w:rsidP="004D4F3C">
      <w:pPr>
        <w:pStyle w:val="Footnote"/>
      </w:pPr>
      <w:r>
        <w:rPr>
          <w:rStyle w:val="EndnoteReference"/>
        </w:rPr>
        <w:endnoteRef/>
      </w:r>
      <w:r>
        <w:t xml:space="preserve"> United States Security and Exchange Commission, SEC Form 8-K, at 1, filed by Tesla, Inc. on August 11, 2017, accessed August 18, 2017, </w:t>
      </w:r>
      <w:r w:rsidRPr="00544DE3">
        <w:t>www.sec.gov/Archives/edgar/</w:t>
      </w:r>
      <w:r w:rsidRPr="00141CA3">
        <w:t>data/1318605/000156459017017445/tsla-8k_20170807.htm</w:t>
      </w:r>
      <w:r>
        <w:t>.</w:t>
      </w:r>
    </w:p>
  </w:endnote>
  <w:endnote w:id="45">
    <w:p w14:paraId="02F56E1B" w14:textId="2D0BFD60" w:rsidR="00FE0727" w:rsidRDefault="00FE0727" w:rsidP="004D4F3C">
      <w:pPr>
        <w:pStyle w:val="Footnote"/>
      </w:pPr>
      <w:r>
        <w:rPr>
          <w:rStyle w:val="EndnoteReference"/>
        </w:rPr>
        <w:endnoteRef/>
      </w:r>
      <w:r>
        <w:t xml:space="preserve"> “Tesla Inc TSLA: Morningstar Rating,” Morningstar, accessed August 16, 2017, </w:t>
      </w:r>
      <w:r w:rsidRPr="00306A38">
        <w:t>http://beta.morningstar.com/stocks/xnas/tsla/quote.html</w:t>
      </w:r>
      <w:r>
        <w:t>.</w:t>
      </w:r>
    </w:p>
  </w:endnote>
  <w:endnote w:id="46">
    <w:p w14:paraId="1C8DA195" w14:textId="2D071DAA" w:rsidR="00FE0727" w:rsidRDefault="00FE0727" w:rsidP="004D4F3C">
      <w:pPr>
        <w:pStyle w:val="Footnote"/>
      </w:pPr>
      <w:r>
        <w:rPr>
          <w:rStyle w:val="EndnoteReference"/>
        </w:rPr>
        <w:endnoteRef/>
      </w:r>
      <w:r>
        <w:t xml:space="preserve"> Robert Ferris, “Tesla Passes General Motors to Become the Most Valuable US Automaker,” </w:t>
      </w:r>
      <w:r w:rsidRPr="00B77CA5">
        <w:rPr>
          <w:i/>
        </w:rPr>
        <w:t>CNBC</w:t>
      </w:r>
      <w:r>
        <w:rPr>
          <w:i/>
        </w:rPr>
        <w:t>: Autos</w:t>
      </w:r>
      <w:r>
        <w:t xml:space="preserve">, April 10, 2017, accessed August 18, 2017, </w:t>
      </w:r>
      <w:r w:rsidRPr="00CD6EFE">
        <w:t>www.cnbc.com/2017/04/10/tesla-passes-general-motors-to-become-the-most-valuable-us-automaker.html</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A2537" w14:textId="77777777" w:rsidR="00FE0727" w:rsidRDefault="00FE0727" w:rsidP="00D75295">
      <w:r>
        <w:separator/>
      </w:r>
    </w:p>
  </w:footnote>
  <w:footnote w:type="continuationSeparator" w:id="0">
    <w:p w14:paraId="63374622" w14:textId="77777777" w:rsidR="00FE0727" w:rsidRDefault="00FE072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D921B" w14:textId="17D1AE54" w:rsidR="00FE0727" w:rsidRDefault="00FE0727"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A77EA">
      <w:rPr>
        <w:rFonts w:ascii="Arial" w:hAnsi="Arial"/>
        <w:b/>
        <w:noProof/>
      </w:rPr>
      <w:t>14</w:t>
    </w:r>
    <w:r>
      <w:rPr>
        <w:rFonts w:ascii="Arial" w:hAnsi="Arial"/>
        <w:b/>
      </w:rPr>
      <w:fldChar w:fldCharType="end"/>
    </w:r>
    <w:r>
      <w:rPr>
        <w:rFonts w:ascii="Arial" w:hAnsi="Arial"/>
        <w:b/>
      </w:rPr>
      <w:tab/>
      <w:t>9B18M033</w:t>
    </w:r>
  </w:p>
  <w:p w14:paraId="6C6B1256" w14:textId="77777777" w:rsidR="00FE0727" w:rsidRPr="00C92CC4" w:rsidRDefault="00FE0727">
    <w:pPr>
      <w:pStyle w:val="Header"/>
      <w:rPr>
        <w:sz w:val="18"/>
        <w:szCs w:val="18"/>
      </w:rPr>
    </w:pPr>
  </w:p>
  <w:p w14:paraId="62AB6919" w14:textId="77777777" w:rsidR="00FE0727" w:rsidRPr="00C92CC4" w:rsidRDefault="00FE072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412A"/>
    <w:rsid w:val="00013360"/>
    <w:rsid w:val="000216CE"/>
    <w:rsid w:val="00022AC3"/>
    <w:rsid w:val="00025DC7"/>
    <w:rsid w:val="00026486"/>
    <w:rsid w:val="000346E5"/>
    <w:rsid w:val="00041E18"/>
    <w:rsid w:val="00041E96"/>
    <w:rsid w:val="00044ECC"/>
    <w:rsid w:val="000531D3"/>
    <w:rsid w:val="0005646B"/>
    <w:rsid w:val="0007011F"/>
    <w:rsid w:val="00071B4A"/>
    <w:rsid w:val="0007404B"/>
    <w:rsid w:val="000746B9"/>
    <w:rsid w:val="00077770"/>
    <w:rsid w:val="0008102D"/>
    <w:rsid w:val="000845A6"/>
    <w:rsid w:val="00094C0E"/>
    <w:rsid w:val="00096F1A"/>
    <w:rsid w:val="000B62F1"/>
    <w:rsid w:val="000C2CA1"/>
    <w:rsid w:val="000F0C22"/>
    <w:rsid w:val="000F6B09"/>
    <w:rsid w:val="000F6FDC"/>
    <w:rsid w:val="00104567"/>
    <w:rsid w:val="00110F0F"/>
    <w:rsid w:val="0012732D"/>
    <w:rsid w:val="00154FC9"/>
    <w:rsid w:val="00165716"/>
    <w:rsid w:val="00167D30"/>
    <w:rsid w:val="00182D06"/>
    <w:rsid w:val="0019241A"/>
    <w:rsid w:val="001A5335"/>
    <w:rsid w:val="001A752D"/>
    <w:rsid w:val="001B4E69"/>
    <w:rsid w:val="00203AA1"/>
    <w:rsid w:val="00213E98"/>
    <w:rsid w:val="002616B0"/>
    <w:rsid w:val="00273B6B"/>
    <w:rsid w:val="002746F6"/>
    <w:rsid w:val="002A6EFD"/>
    <w:rsid w:val="002B2797"/>
    <w:rsid w:val="002B4D2D"/>
    <w:rsid w:val="002B5042"/>
    <w:rsid w:val="002B5E66"/>
    <w:rsid w:val="002B689F"/>
    <w:rsid w:val="002D285C"/>
    <w:rsid w:val="002E1ED3"/>
    <w:rsid w:val="002E32F0"/>
    <w:rsid w:val="002E5887"/>
    <w:rsid w:val="002F210F"/>
    <w:rsid w:val="002F460C"/>
    <w:rsid w:val="002F48D6"/>
    <w:rsid w:val="00324CB4"/>
    <w:rsid w:val="00325AAE"/>
    <w:rsid w:val="00340298"/>
    <w:rsid w:val="00343565"/>
    <w:rsid w:val="00354899"/>
    <w:rsid w:val="00355FD6"/>
    <w:rsid w:val="00361C8E"/>
    <w:rsid w:val="00364A5C"/>
    <w:rsid w:val="00373B07"/>
    <w:rsid w:val="00373FB1"/>
    <w:rsid w:val="00381F55"/>
    <w:rsid w:val="003A7DD7"/>
    <w:rsid w:val="003B30D8"/>
    <w:rsid w:val="003B3AD0"/>
    <w:rsid w:val="003B7EF2"/>
    <w:rsid w:val="003C3FA4"/>
    <w:rsid w:val="003F2B0C"/>
    <w:rsid w:val="003F3D8D"/>
    <w:rsid w:val="004221E4"/>
    <w:rsid w:val="00432A10"/>
    <w:rsid w:val="00445908"/>
    <w:rsid w:val="004504A5"/>
    <w:rsid w:val="004678BB"/>
    <w:rsid w:val="00471088"/>
    <w:rsid w:val="004710AD"/>
    <w:rsid w:val="00480869"/>
    <w:rsid w:val="00483AF9"/>
    <w:rsid w:val="004856B6"/>
    <w:rsid w:val="004B1CCB"/>
    <w:rsid w:val="004B267E"/>
    <w:rsid w:val="004D2685"/>
    <w:rsid w:val="004D2F78"/>
    <w:rsid w:val="004D4F3C"/>
    <w:rsid w:val="004D73A5"/>
    <w:rsid w:val="004E307E"/>
    <w:rsid w:val="0050783B"/>
    <w:rsid w:val="005227E0"/>
    <w:rsid w:val="00532CF5"/>
    <w:rsid w:val="005528CB"/>
    <w:rsid w:val="0055642D"/>
    <w:rsid w:val="0055664D"/>
    <w:rsid w:val="00566771"/>
    <w:rsid w:val="00571B85"/>
    <w:rsid w:val="00571F73"/>
    <w:rsid w:val="00574037"/>
    <w:rsid w:val="00581E2E"/>
    <w:rsid w:val="00584F15"/>
    <w:rsid w:val="005B7CE7"/>
    <w:rsid w:val="005C2684"/>
    <w:rsid w:val="005F0300"/>
    <w:rsid w:val="00610C41"/>
    <w:rsid w:val="0061618A"/>
    <w:rsid w:val="006163F7"/>
    <w:rsid w:val="0062495D"/>
    <w:rsid w:val="00652606"/>
    <w:rsid w:val="00682754"/>
    <w:rsid w:val="00692829"/>
    <w:rsid w:val="006A2F7D"/>
    <w:rsid w:val="006A58A9"/>
    <w:rsid w:val="006A606D"/>
    <w:rsid w:val="006B14B0"/>
    <w:rsid w:val="006B7F7A"/>
    <w:rsid w:val="006C0371"/>
    <w:rsid w:val="006C08B6"/>
    <w:rsid w:val="006C0B1A"/>
    <w:rsid w:val="006C4384"/>
    <w:rsid w:val="006C6065"/>
    <w:rsid w:val="006C70AD"/>
    <w:rsid w:val="006C7F9F"/>
    <w:rsid w:val="006E2F6D"/>
    <w:rsid w:val="006E5122"/>
    <w:rsid w:val="006E58F6"/>
    <w:rsid w:val="006E77E1"/>
    <w:rsid w:val="006F131D"/>
    <w:rsid w:val="00707305"/>
    <w:rsid w:val="00707F4D"/>
    <w:rsid w:val="00711CD5"/>
    <w:rsid w:val="00716997"/>
    <w:rsid w:val="007214B6"/>
    <w:rsid w:val="0073347C"/>
    <w:rsid w:val="00740425"/>
    <w:rsid w:val="00752BCD"/>
    <w:rsid w:val="00766DA1"/>
    <w:rsid w:val="007866A6"/>
    <w:rsid w:val="007A130D"/>
    <w:rsid w:val="007B5C28"/>
    <w:rsid w:val="007D4102"/>
    <w:rsid w:val="007E5921"/>
    <w:rsid w:val="007F51FC"/>
    <w:rsid w:val="00800182"/>
    <w:rsid w:val="008179F1"/>
    <w:rsid w:val="00821FFC"/>
    <w:rsid w:val="00826F46"/>
    <w:rsid w:val="008271CA"/>
    <w:rsid w:val="008467D5"/>
    <w:rsid w:val="00856D9F"/>
    <w:rsid w:val="008575B3"/>
    <w:rsid w:val="00866F6D"/>
    <w:rsid w:val="00867456"/>
    <w:rsid w:val="00872C32"/>
    <w:rsid w:val="008A1B35"/>
    <w:rsid w:val="008A4DC4"/>
    <w:rsid w:val="008A77EA"/>
    <w:rsid w:val="008C6C35"/>
    <w:rsid w:val="008D13C3"/>
    <w:rsid w:val="008E469F"/>
    <w:rsid w:val="00900E13"/>
    <w:rsid w:val="009067A4"/>
    <w:rsid w:val="0090722E"/>
    <w:rsid w:val="00910E35"/>
    <w:rsid w:val="00923475"/>
    <w:rsid w:val="00924739"/>
    <w:rsid w:val="009340DB"/>
    <w:rsid w:val="009373A3"/>
    <w:rsid w:val="009518DD"/>
    <w:rsid w:val="009531FF"/>
    <w:rsid w:val="00955946"/>
    <w:rsid w:val="009561D3"/>
    <w:rsid w:val="00972498"/>
    <w:rsid w:val="00973FBC"/>
    <w:rsid w:val="00974CC6"/>
    <w:rsid w:val="00976186"/>
    <w:rsid w:val="00976AD4"/>
    <w:rsid w:val="00984883"/>
    <w:rsid w:val="0099033B"/>
    <w:rsid w:val="00990CEF"/>
    <w:rsid w:val="009979B8"/>
    <w:rsid w:val="009A119C"/>
    <w:rsid w:val="009A312F"/>
    <w:rsid w:val="009A5348"/>
    <w:rsid w:val="009A67BB"/>
    <w:rsid w:val="009B337E"/>
    <w:rsid w:val="009C76D5"/>
    <w:rsid w:val="009F215E"/>
    <w:rsid w:val="009F7AA4"/>
    <w:rsid w:val="00A07803"/>
    <w:rsid w:val="00A33EB6"/>
    <w:rsid w:val="00A35E98"/>
    <w:rsid w:val="00A4506E"/>
    <w:rsid w:val="00A53DB9"/>
    <w:rsid w:val="00A559DB"/>
    <w:rsid w:val="00A711D7"/>
    <w:rsid w:val="00A71440"/>
    <w:rsid w:val="00A73B07"/>
    <w:rsid w:val="00A85E4F"/>
    <w:rsid w:val="00A92D75"/>
    <w:rsid w:val="00A95C5E"/>
    <w:rsid w:val="00AA4877"/>
    <w:rsid w:val="00AD7FFC"/>
    <w:rsid w:val="00AE54B3"/>
    <w:rsid w:val="00AF0900"/>
    <w:rsid w:val="00AF35FC"/>
    <w:rsid w:val="00B03639"/>
    <w:rsid w:val="00B0652A"/>
    <w:rsid w:val="00B13B99"/>
    <w:rsid w:val="00B2036E"/>
    <w:rsid w:val="00B241CD"/>
    <w:rsid w:val="00B3197A"/>
    <w:rsid w:val="00B3757D"/>
    <w:rsid w:val="00B40937"/>
    <w:rsid w:val="00B423EF"/>
    <w:rsid w:val="00B453DE"/>
    <w:rsid w:val="00B462DC"/>
    <w:rsid w:val="00B4742F"/>
    <w:rsid w:val="00B5645B"/>
    <w:rsid w:val="00B63E2B"/>
    <w:rsid w:val="00B65185"/>
    <w:rsid w:val="00B901F9"/>
    <w:rsid w:val="00BA287F"/>
    <w:rsid w:val="00BA2948"/>
    <w:rsid w:val="00BC0FFE"/>
    <w:rsid w:val="00BC1CB1"/>
    <w:rsid w:val="00BC59F4"/>
    <w:rsid w:val="00BD117F"/>
    <w:rsid w:val="00BD4C2E"/>
    <w:rsid w:val="00BD6EFB"/>
    <w:rsid w:val="00BE3BAA"/>
    <w:rsid w:val="00BE40F0"/>
    <w:rsid w:val="00C04F2D"/>
    <w:rsid w:val="00C07DB3"/>
    <w:rsid w:val="00C15BE2"/>
    <w:rsid w:val="00C22219"/>
    <w:rsid w:val="00C33FD2"/>
    <w:rsid w:val="00C3447F"/>
    <w:rsid w:val="00C6759D"/>
    <w:rsid w:val="00C73E5F"/>
    <w:rsid w:val="00C74511"/>
    <w:rsid w:val="00C81491"/>
    <w:rsid w:val="00C81676"/>
    <w:rsid w:val="00C83E24"/>
    <w:rsid w:val="00C92217"/>
    <w:rsid w:val="00C92CC4"/>
    <w:rsid w:val="00C92D59"/>
    <w:rsid w:val="00CA0AFB"/>
    <w:rsid w:val="00CA2CE1"/>
    <w:rsid w:val="00CA3976"/>
    <w:rsid w:val="00CA757B"/>
    <w:rsid w:val="00CC1787"/>
    <w:rsid w:val="00CC182C"/>
    <w:rsid w:val="00CC31A5"/>
    <w:rsid w:val="00CC62C6"/>
    <w:rsid w:val="00CD0824"/>
    <w:rsid w:val="00CD2908"/>
    <w:rsid w:val="00CF7611"/>
    <w:rsid w:val="00D01FDA"/>
    <w:rsid w:val="00D03A82"/>
    <w:rsid w:val="00D15344"/>
    <w:rsid w:val="00D21649"/>
    <w:rsid w:val="00D31BEC"/>
    <w:rsid w:val="00D4681A"/>
    <w:rsid w:val="00D63150"/>
    <w:rsid w:val="00D64A32"/>
    <w:rsid w:val="00D64EFC"/>
    <w:rsid w:val="00D65365"/>
    <w:rsid w:val="00D75295"/>
    <w:rsid w:val="00D76CE9"/>
    <w:rsid w:val="00D95860"/>
    <w:rsid w:val="00D977BD"/>
    <w:rsid w:val="00D97CAB"/>
    <w:rsid w:val="00D97F12"/>
    <w:rsid w:val="00DA3031"/>
    <w:rsid w:val="00DB42E7"/>
    <w:rsid w:val="00DB4C3F"/>
    <w:rsid w:val="00DC4277"/>
    <w:rsid w:val="00DD7054"/>
    <w:rsid w:val="00DD7785"/>
    <w:rsid w:val="00DE07CB"/>
    <w:rsid w:val="00DE768F"/>
    <w:rsid w:val="00DF32C2"/>
    <w:rsid w:val="00DF70DC"/>
    <w:rsid w:val="00E1117E"/>
    <w:rsid w:val="00E230AE"/>
    <w:rsid w:val="00E25761"/>
    <w:rsid w:val="00E30604"/>
    <w:rsid w:val="00E313A8"/>
    <w:rsid w:val="00E316C8"/>
    <w:rsid w:val="00E41B31"/>
    <w:rsid w:val="00E471A7"/>
    <w:rsid w:val="00E52A66"/>
    <w:rsid w:val="00E5491A"/>
    <w:rsid w:val="00E631E2"/>
    <w:rsid w:val="00E635CF"/>
    <w:rsid w:val="00E91210"/>
    <w:rsid w:val="00E94B29"/>
    <w:rsid w:val="00EA0692"/>
    <w:rsid w:val="00EB5410"/>
    <w:rsid w:val="00EC6025"/>
    <w:rsid w:val="00EC6E0A"/>
    <w:rsid w:val="00EC6E3A"/>
    <w:rsid w:val="00ED4E18"/>
    <w:rsid w:val="00ED6224"/>
    <w:rsid w:val="00EE1F37"/>
    <w:rsid w:val="00EF2069"/>
    <w:rsid w:val="00EF3C58"/>
    <w:rsid w:val="00EF4DBA"/>
    <w:rsid w:val="00F0159C"/>
    <w:rsid w:val="00F105B7"/>
    <w:rsid w:val="00F176CF"/>
    <w:rsid w:val="00F17A21"/>
    <w:rsid w:val="00F30B6B"/>
    <w:rsid w:val="00F50E91"/>
    <w:rsid w:val="00F5245A"/>
    <w:rsid w:val="00F559B7"/>
    <w:rsid w:val="00F57D29"/>
    <w:rsid w:val="00F603C3"/>
    <w:rsid w:val="00F9022B"/>
    <w:rsid w:val="00F92A99"/>
    <w:rsid w:val="00F96201"/>
    <w:rsid w:val="00FB3314"/>
    <w:rsid w:val="00FC0738"/>
    <w:rsid w:val="00FC30E9"/>
    <w:rsid w:val="00FD0B18"/>
    <w:rsid w:val="00FD0F82"/>
    <w:rsid w:val="00FD28C5"/>
    <w:rsid w:val="00FE0727"/>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1C9E100"/>
  <w15:docId w15:val="{29D16985-D760-4896-B5A8-A295A877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table" w:customStyle="1" w:styleId="TableGrid1">
    <w:name w:val="Table Grid1"/>
    <w:basedOn w:val="TableNormal"/>
    <w:next w:val="TableGrid"/>
    <w:uiPriority w:val="99"/>
    <w:rsid w:val="00711CD5"/>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8512">
      <w:bodyDiv w:val="1"/>
      <w:marLeft w:val="0"/>
      <w:marRight w:val="0"/>
      <w:marTop w:val="0"/>
      <w:marBottom w:val="0"/>
      <w:divBdr>
        <w:top w:val="none" w:sz="0" w:space="0" w:color="auto"/>
        <w:left w:val="none" w:sz="0" w:space="0" w:color="auto"/>
        <w:bottom w:val="none" w:sz="0" w:space="0" w:color="auto"/>
        <w:right w:val="none" w:sz="0" w:space="0" w:color="auto"/>
      </w:divBdr>
    </w:div>
    <w:div w:id="329990333">
      <w:bodyDiv w:val="1"/>
      <w:marLeft w:val="0"/>
      <w:marRight w:val="0"/>
      <w:marTop w:val="0"/>
      <w:marBottom w:val="0"/>
      <w:divBdr>
        <w:top w:val="none" w:sz="0" w:space="0" w:color="auto"/>
        <w:left w:val="none" w:sz="0" w:space="0" w:color="auto"/>
        <w:bottom w:val="none" w:sz="0" w:space="0" w:color="auto"/>
        <w:right w:val="none" w:sz="0" w:space="0" w:color="auto"/>
      </w:divBdr>
    </w:div>
    <w:div w:id="745952690">
      <w:bodyDiv w:val="1"/>
      <w:marLeft w:val="0"/>
      <w:marRight w:val="0"/>
      <w:marTop w:val="0"/>
      <w:marBottom w:val="0"/>
      <w:divBdr>
        <w:top w:val="none" w:sz="0" w:space="0" w:color="auto"/>
        <w:left w:val="none" w:sz="0" w:space="0" w:color="auto"/>
        <w:bottom w:val="none" w:sz="0" w:space="0" w:color="auto"/>
        <w:right w:val="none" w:sz="0" w:space="0" w:color="auto"/>
      </w:divBdr>
    </w:div>
    <w:div w:id="773549892">
      <w:bodyDiv w:val="1"/>
      <w:marLeft w:val="0"/>
      <w:marRight w:val="0"/>
      <w:marTop w:val="0"/>
      <w:marBottom w:val="0"/>
      <w:divBdr>
        <w:top w:val="none" w:sz="0" w:space="0" w:color="auto"/>
        <w:left w:val="none" w:sz="0" w:space="0" w:color="auto"/>
        <w:bottom w:val="none" w:sz="0" w:space="0" w:color="auto"/>
        <w:right w:val="none" w:sz="0" w:space="0" w:color="auto"/>
      </w:divBdr>
    </w:div>
    <w:div w:id="811095668">
      <w:bodyDiv w:val="1"/>
      <w:marLeft w:val="0"/>
      <w:marRight w:val="0"/>
      <w:marTop w:val="0"/>
      <w:marBottom w:val="0"/>
      <w:divBdr>
        <w:top w:val="none" w:sz="0" w:space="0" w:color="auto"/>
        <w:left w:val="none" w:sz="0" w:space="0" w:color="auto"/>
        <w:bottom w:val="none" w:sz="0" w:space="0" w:color="auto"/>
        <w:right w:val="none" w:sz="0" w:space="0" w:color="auto"/>
      </w:divBdr>
    </w:div>
    <w:div w:id="889459323">
      <w:bodyDiv w:val="1"/>
      <w:marLeft w:val="0"/>
      <w:marRight w:val="0"/>
      <w:marTop w:val="0"/>
      <w:marBottom w:val="0"/>
      <w:divBdr>
        <w:top w:val="none" w:sz="0" w:space="0" w:color="auto"/>
        <w:left w:val="none" w:sz="0" w:space="0" w:color="auto"/>
        <w:bottom w:val="none" w:sz="0" w:space="0" w:color="auto"/>
        <w:right w:val="none" w:sz="0" w:space="0" w:color="auto"/>
      </w:divBdr>
    </w:div>
    <w:div w:id="1085489642">
      <w:bodyDiv w:val="1"/>
      <w:marLeft w:val="0"/>
      <w:marRight w:val="0"/>
      <w:marTop w:val="0"/>
      <w:marBottom w:val="0"/>
      <w:divBdr>
        <w:top w:val="none" w:sz="0" w:space="0" w:color="auto"/>
        <w:left w:val="none" w:sz="0" w:space="0" w:color="auto"/>
        <w:bottom w:val="none" w:sz="0" w:space="0" w:color="auto"/>
        <w:right w:val="none" w:sz="0" w:space="0" w:color="auto"/>
      </w:divBdr>
    </w:div>
    <w:div w:id="1115639071">
      <w:bodyDiv w:val="1"/>
      <w:marLeft w:val="0"/>
      <w:marRight w:val="0"/>
      <w:marTop w:val="0"/>
      <w:marBottom w:val="0"/>
      <w:divBdr>
        <w:top w:val="none" w:sz="0" w:space="0" w:color="auto"/>
        <w:left w:val="none" w:sz="0" w:space="0" w:color="auto"/>
        <w:bottom w:val="none" w:sz="0" w:space="0" w:color="auto"/>
        <w:right w:val="none" w:sz="0" w:space="0" w:color="auto"/>
      </w:divBdr>
    </w:div>
    <w:div w:id="1127506651">
      <w:bodyDiv w:val="1"/>
      <w:marLeft w:val="0"/>
      <w:marRight w:val="0"/>
      <w:marTop w:val="0"/>
      <w:marBottom w:val="0"/>
      <w:divBdr>
        <w:top w:val="none" w:sz="0" w:space="0" w:color="auto"/>
        <w:left w:val="none" w:sz="0" w:space="0" w:color="auto"/>
        <w:bottom w:val="none" w:sz="0" w:space="0" w:color="auto"/>
        <w:right w:val="none" w:sz="0" w:space="0" w:color="auto"/>
      </w:divBdr>
    </w:div>
    <w:div w:id="1374228548">
      <w:bodyDiv w:val="1"/>
      <w:marLeft w:val="0"/>
      <w:marRight w:val="0"/>
      <w:marTop w:val="0"/>
      <w:marBottom w:val="0"/>
      <w:divBdr>
        <w:top w:val="none" w:sz="0" w:space="0" w:color="auto"/>
        <w:left w:val="none" w:sz="0" w:space="0" w:color="auto"/>
        <w:bottom w:val="none" w:sz="0" w:space="0" w:color="auto"/>
        <w:right w:val="none" w:sz="0" w:space="0" w:color="auto"/>
      </w:divBdr>
    </w:div>
    <w:div w:id="1569922009">
      <w:bodyDiv w:val="1"/>
      <w:marLeft w:val="0"/>
      <w:marRight w:val="0"/>
      <w:marTop w:val="0"/>
      <w:marBottom w:val="0"/>
      <w:divBdr>
        <w:top w:val="none" w:sz="0" w:space="0" w:color="auto"/>
        <w:left w:val="none" w:sz="0" w:space="0" w:color="auto"/>
        <w:bottom w:val="none" w:sz="0" w:space="0" w:color="auto"/>
        <w:right w:val="none" w:sz="0" w:space="0" w:color="auto"/>
      </w:divBdr>
    </w:div>
    <w:div w:id="1674913389">
      <w:bodyDiv w:val="1"/>
      <w:marLeft w:val="0"/>
      <w:marRight w:val="0"/>
      <w:marTop w:val="0"/>
      <w:marBottom w:val="0"/>
      <w:divBdr>
        <w:top w:val="none" w:sz="0" w:space="0" w:color="auto"/>
        <w:left w:val="none" w:sz="0" w:space="0" w:color="auto"/>
        <w:bottom w:val="none" w:sz="0" w:space="0" w:color="auto"/>
        <w:right w:val="none" w:sz="0" w:space="0" w:color="auto"/>
      </w:divBdr>
    </w:div>
    <w:div w:id="185607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FDBB9-F4C9-438B-BFAC-2A853A8F4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6019</Words>
  <Characters>34313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2018-02-28T20:01:00Z</dcterms:created>
  <dcterms:modified xsi:type="dcterms:W3CDTF">2018-03-02T22:01:00Z</dcterms:modified>
</cp:coreProperties>
</file>