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4"/>
        <w:gridCol w:w="4618"/>
      </w:tblGrid>
      <w:tr w:rsidR="00CD26E3" w14:paraId="7A49EF1B" w14:textId="77777777" w:rsidTr="00CF604C">
        <w:tc>
          <w:tcPr>
            <w:tcW w:w="4680" w:type="dxa"/>
          </w:tcPr>
          <w:p w14:paraId="33F85A68" w14:textId="77777777" w:rsidR="00CD26E3" w:rsidRDefault="00CD26E3" w:rsidP="00CF604C">
            <w:pPr>
              <w:tabs>
                <w:tab w:val="left" w:pos="-1440"/>
                <w:tab w:val="left" w:pos="-720"/>
                <w:tab w:val="left" w:pos="1"/>
              </w:tabs>
              <w:jc w:val="both"/>
              <w:rPr>
                <w:rFonts w:ascii="Arial" w:hAnsi="Arial"/>
                <w:b/>
                <w:sz w:val="24"/>
              </w:rPr>
            </w:pPr>
            <w:r>
              <w:rPr>
                <w:rFonts w:ascii="Arial" w:hAnsi="Arial"/>
                <w:b/>
                <w:noProof/>
                <w:sz w:val="24"/>
                <w:lang w:eastAsia="en-GB"/>
              </w:rPr>
              <w:drawing>
                <wp:inline distT="0" distB="0" distL="0" distR="0" wp14:anchorId="0166CC6F" wp14:editId="5FBD67E8">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9B11A47" w14:textId="573435B6" w:rsidR="00CD26E3" w:rsidRDefault="006C0721" w:rsidP="00CF604C">
            <w:pPr>
              <w:tabs>
                <w:tab w:val="left" w:pos="-1440"/>
                <w:tab w:val="left" w:pos="-720"/>
                <w:tab w:val="left" w:pos="1"/>
              </w:tabs>
              <w:jc w:val="right"/>
              <w:rPr>
                <w:rFonts w:ascii="Arial" w:hAnsi="Arial"/>
                <w:b/>
                <w:sz w:val="24"/>
              </w:rPr>
            </w:pPr>
            <w:r w:rsidRPr="007E7679">
              <w:rPr>
                <w:rFonts w:ascii="Arial" w:hAnsi="Arial"/>
                <w:b/>
                <w:noProof/>
                <w:lang w:eastAsia="en-GB"/>
              </w:rPr>
              <w:drawing>
                <wp:inline distT="0" distB="0" distL="0" distR="0" wp14:anchorId="3D715743" wp14:editId="402D83AD">
                  <wp:extent cx="2095500" cy="633424"/>
                  <wp:effectExtent l="0" t="0" r="0" b="0"/>
                  <wp:docPr id="13" name="Picture 13" descr="H:\shared\Partners-External\Suppliers\Case Western Reserve University\Logos and Templates\CWRU FC BAWB logo November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ase Western Reserve University\Logos and Templates\CWRU FC BAWB logo November 2015.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95500" cy="633424"/>
                          </a:xfrm>
                          <a:prstGeom prst="rect">
                            <a:avLst/>
                          </a:prstGeom>
                          <a:noFill/>
                          <a:ln>
                            <a:noFill/>
                          </a:ln>
                        </pic:spPr>
                      </pic:pic>
                    </a:graphicData>
                  </a:graphic>
                </wp:inline>
              </w:drawing>
            </w:r>
          </w:p>
        </w:tc>
      </w:tr>
    </w:tbl>
    <w:p w14:paraId="6EB33688" w14:textId="77777777" w:rsidR="00CD26E3" w:rsidRPr="00CD26E3" w:rsidRDefault="00CD26E3" w:rsidP="008467D5">
      <w:pPr>
        <w:pBdr>
          <w:bottom w:val="single" w:sz="18" w:space="1" w:color="auto"/>
        </w:pBdr>
        <w:tabs>
          <w:tab w:val="left" w:pos="-1440"/>
          <w:tab w:val="left" w:pos="-720"/>
          <w:tab w:val="left" w:pos="1"/>
        </w:tabs>
        <w:jc w:val="both"/>
        <w:rPr>
          <w:rFonts w:ascii="Arial" w:hAnsi="Arial"/>
          <w:b/>
          <w:sz w:val="4"/>
        </w:rPr>
      </w:pPr>
    </w:p>
    <w:p w14:paraId="51F012BD" w14:textId="16331F44" w:rsidR="00D75295" w:rsidRDefault="00CD26E3" w:rsidP="00ED3C44">
      <w:pPr>
        <w:pStyle w:val="ProductNumber"/>
        <w:outlineLvl w:val="0"/>
      </w:pPr>
      <w:r>
        <w:t>9B18M</w:t>
      </w:r>
      <w:r w:rsidR="00BE4DDD">
        <w:t>045</w:t>
      </w:r>
    </w:p>
    <w:p w14:paraId="020BAEA3" w14:textId="77777777" w:rsidR="00D75295" w:rsidRDefault="00D75295" w:rsidP="00D75295">
      <w:pPr>
        <w:jc w:val="right"/>
        <w:rPr>
          <w:rFonts w:ascii="Arial" w:hAnsi="Arial"/>
          <w:b/>
          <w:sz w:val="28"/>
          <w:szCs w:val="28"/>
        </w:rPr>
      </w:pPr>
    </w:p>
    <w:p w14:paraId="5446F4B4" w14:textId="77777777" w:rsidR="007819FA" w:rsidRDefault="007819FA" w:rsidP="00D75295">
      <w:pPr>
        <w:jc w:val="right"/>
        <w:rPr>
          <w:rFonts w:ascii="Arial" w:hAnsi="Arial"/>
          <w:b/>
          <w:sz w:val="28"/>
          <w:szCs w:val="28"/>
        </w:rPr>
      </w:pPr>
    </w:p>
    <w:p w14:paraId="0561E8DC" w14:textId="43BB9662" w:rsidR="00862997" w:rsidRPr="00697F02" w:rsidRDefault="00D00A8B" w:rsidP="00ED3C44">
      <w:pPr>
        <w:pStyle w:val="CaseTitle"/>
        <w:spacing w:after="0" w:line="240" w:lineRule="auto"/>
        <w:outlineLvl w:val="0"/>
      </w:pPr>
      <w:r w:rsidRPr="00697F02">
        <w:rPr>
          <w:caps w:val="0"/>
        </w:rPr>
        <w:t>MOBILIT</w:t>
      </w:r>
      <w:r w:rsidRPr="00D00A8B">
        <w:rPr>
          <w:rFonts w:ascii="Arial Bold" w:hAnsi="Arial Bold"/>
          <w:caps w:val="0"/>
          <w:spacing w:val="30"/>
        </w:rPr>
        <w:t>Y</w:t>
      </w:r>
      <w:r w:rsidRPr="00697F02">
        <w:rPr>
          <w:caps w:val="0"/>
        </w:rPr>
        <w:t>WORKS</w:t>
      </w:r>
      <w:r w:rsidR="00697F02" w:rsidRPr="00697F02">
        <w:t xml:space="preserve">: faster, higher, </w:t>
      </w:r>
      <w:proofErr w:type="gramStart"/>
      <w:r w:rsidR="00697F02" w:rsidRPr="00697F02">
        <w:t>stronger</w:t>
      </w:r>
      <w:proofErr w:type="gramEnd"/>
    </w:p>
    <w:p w14:paraId="182EFDD1" w14:textId="77777777" w:rsidR="00CA3976" w:rsidRDefault="00CA3976" w:rsidP="00013360">
      <w:pPr>
        <w:pStyle w:val="CaseTitle"/>
        <w:spacing w:after="0" w:line="240" w:lineRule="auto"/>
        <w:rPr>
          <w:sz w:val="20"/>
          <w:szCs w:val="20"/>
        </w:rPr>
      </w:pPr>
    </w:p>
    <w:p w14:paraId="5DCBEFC0" w14:textId="77777777" w:rsidR="00013360" w:rsidRPr="00013360" w:rsidRDefault="00013360" w:rsidP="00013360">
      <w:pPr>
        <w:pStyle w:val="CaseTitle"/>
        <w:spacing w:after="0" w:line="240" w:lineRule="auto"/>
        <w:rPr>
          <w:sz w:val="20"/>
          <w:szCs w:val="20"/>
        </w:rPr>
      </w:pPr>
    </w:p>
    <w:p w14:paraId="73B974C2" w14:textId="4A8FF476" w:rsidR="00627C63" w:rsidRPr="00862997" w:rsidRDefault="009C1C6B" w:rsidP="00627C63">
      <w:pPr>
        <w:pStyle w:val="StyleCopyrightStatementAfter0ptBottomSinglesolidline1"/>
        <w:rPr>
          <w:szCs w:val="16"/>
        </w:rPr>
      </w:pPr>
      <w:r>
        <w:rPr>
          <w:rFonts w:cs="Arial"/>
          <w:szCs w:val="16"/>
        </w:rPr>
        <w:t>Manish Gupta</w:t>
      </w:r>
      <w:r w:rsidRPr="00862997">
        <w:rPr>
          <w:rFonts w:cs="Arial"/>
          <w:szCs w:val="16"/>
        </w:rPr>
        <w:t xml:space="preserve"> </w:t>
      </w:r>
      <w:r w:rsidR="004B632F" w:rsidRPr="00862997">
        <w:rPr>
          <w:szCs w:val="16"/>
        </w:rPr>
        <w:t xml:space="preserve">wrote this </w:t>
      </w:r>
      <w:r w:rsidR="00152682" w:rsidRPr="00862997">
        <w:rPr>
          <w:szCs w:val="16"/>
        </w:rPr>
        <w:t>case</w:t>
      </w:r>
      <w:r w:rsidR="004B632F" w:rsidRPr="00862997">
        <w:rPr>
          <w:szCs w:val="16"/>
        </w:rPr>
        <w:t xml:space="preserve"> </w:t>
      </w:r>
      <w:r>
        <w:rPr>
          <w:szCs w:val="16"/>
        </w:rPr>
        <w:t>under the supervision of Chris La</w:t>
      </w:r>
      <w:r w:rsidR="00403793">
        <w:rPr>
          <w:szCs w:val="16"/>
        </w:rPr>
        <w:t>s</w:t>
      </w:r>
      <w:r>
        <w:rPr>
          <w:szCs w:val="16"/>
        </w:rPr>
        <w:t xml:space="preserve">zlo and Katherine Gullet </w:t>
      </w:r>
      <w:r w:rsidR="00152682" w:rsidRPr="00862997">
        <w:rPr>
          <w:szCs w:val="16"/>
        </w:rPr>
        <w:t>solely to provide material for class discussion. The</w:t>
      </w:r>
      <w:r w:rsidR="001C7777" w:rsidRPr="00862997">
        <w:rPr>
          <w:szCs w:val="16"/>
        </w:rPr>
        <w:t xml:space="preserve"> author</w:t>
      </w:r>
      <w:r w:rsidR="001A22D1" w:rsidRPr="00862997">
        <w:rPr>
          <w:szCs w:val="16"/>
        </w:rPr>
        <w:t>s</w:t>
      </w:r>
      <w:r w:rsidR="00152682" w:rsidRPr="00862997">
        <w:rPr>
          <w:szCs w:val="16"/>
        </w:rPr>
        <w:t xml:space="preserve"> do not intend to illustrate either effective or ineffective handling of a managerial situation. The author</w:t>
      </w:r>
      <w:r w:rsidR="001A22D1" w:rsidRPr="00862997">
        <w:rPr>
          <w:szCs w:val="16"/>
        </w:rPr>
        <w:t>s</w:t>
      </w:r>
      <w:r w:rsidR="00152682" w:rsidRPr="00862997">
        <w:rPr>
          <w:szCs w:val="16"/>
        </w:rPr>
        <w:t xml:space="preserve"> may have disguised certain names and other identifying information to protect confidentiality.</w:t>
      </w:r>
    </w:p>
    <w:p w14:paraId="2CC138C7" w14:textId="77777777" w:rsidR="00751E0B" w:rsidRPr="00862997" w:rsidRDefault="00751E0B" w:rsidP="00751E0B">
      <w:pPr>
        <w:pStyle w:val="StyleCopyrightStatementAfter0ptBottomSinglesolidline1"/>
        <w:rPr>
          <w:szCs w:val="16"/>
        </w:rPr>
      </w:pPr>
    </w:p>
    <w:p w14:paraId="57CA854D" w14:textId="2BFA72AB" w:rsidR="00CD26E3" w:rsidRPr="000E27F1" w:rsidRDefault="00CD26E3" w:rsidP="0050100D">
      <w:pPr>
        <w:jc w:val="both"/>
        <w:rPr>
          <w:rFonts w:ascii="Arial" w:hAnsi="Arial" w:cs="Arial"/>
          <w:i/>
          <w:iCs/>
          <w:sz w:val="16"/>
          <w:szCs w:val="16"/>
        </w:rPr>
      </w:pPr>
      <w:r w:rsidRPr="000E27F1">
        <w:rPr>
          <w:rFonts w:ascii="Arial" w:hAnsi="Arial" w:cs="Arial"/>
          <w:i/>
          <w:iCs/>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0E27F1">
          <w:rPr>
            <w:rFonts w:ascii="Arial" w:hAnsi="Arial" w:cs="Arial"/>
            <w:i/>
            <w:iCs/>
            <w:sz w:val="16"/>
            <w:szCs w:val="16"/>
          </w:rPr>
          <w:t>cases@ivey.ca</w:t>
        </w:r>
      </w:hyperlink>
      <w:r w:rsidRPr="000E27F1">
        <w:rPr>
          <w:rFonts w:ascii="Arial" w:hAnsi="Arial" w:cs="Arial"/>
          <w:i/>
          <w:iCs/>
          <w:sz w:val="16"/>
          <w:szCs w:val="16"/>
        </w:rPr>
        <w:t xml:space="preserve">; </w:t>
      </w:r>
      <w:hyperlink r:id="rId12" w:history="1">
        <w:r w:rsidRPr="000E27F1">
          <w:rPr>
            <w:rFonts w:ascii="Arial" w:hAnsi="Arial" w:cs="Arial"/>
            <w:i/>
            <w:iCs/>
            <w:sz w:val="16"/>
            <w:szCs w:val="16"/>
          </w:rPr>
          <w:t>www.iveycases.com</w:t>
        </w:r>
      </w:hyperlink>
      <w:r w:rsidRPr="000E27F1">
        <w:rPr>
          <w:rFonts w:ascii="Arial" w:hAnsi="Arial" w:cs="Arial"/>
          <w:i/>
          <w:iCs/>
          <w:sz w:val="16"/>
          <w:szCs w:val="16"/>
        </w:rPr>
        <w:t>.</w:t>
      </w:r>
    </w:p>
    <w:p w14:paraId="0F68BA5C" w14:textId="77777777" w:rsidR="00CD26E3" w:rsidRPr="000E27F1" w:rsidRDefault="00CD26E3" w:rsidP="0050100D">
      <w:pPr>
        <w:pStyle w:val="StyleCopyrightStatementAfter0ptBottomSinglesolidline1"/>
        <w:pBdr>
          <w:top w:val="none" w:sz="0" w:space="0" w:color="auto"/>
        </w:pBdr>
      </w:pPr>
    </w:p>
    <w:p w14:paraId="20B5D34A" w14:textId="14E09EA5" w:rsidR="00751E0B" w:rsidRDefault="00CD26E3" w:rsidP="00CD26E3">
      <w:pPr>
        <w:pStyle w:val="StyleStyleCopyrightStatementAfter0ptBottomSinglesolid"/>
      </w:pPr>
      <w:r>
        <w:t>Copyright © 2018, Ivey Business School Foundation</w:t>
      </w:r>
      <w:r w:rsidR="00A569EA">
        <w:rPr>
          <w:rFonts w:cs="Arial"/>
          <w:szCs w:val="16"/>
          <w:lang w:val="en-CA"/>
        </w:rPr>
        <w:tab/>
      </w:r>
      <w:r w:rsidR="00751E0B">
        <w:t xml:space="preserve">Version: </w:t>
      </w:r>
      <w:r>
        <w:t>2018</w:t>
      </w:r>
      <w:r w:rsidR="001C7777">
        <w:t>-</w:t>
      </w:r>
      <w:r w:rsidR="00BE4DDD">
        <w:t>03</w:t>
      </w:r>
      <w:r w:rsidR="00751E0B">
        <w:t>-</w:t>
      </w:r>
      <w:r w:rsidR="00403793">
        <w:t>19</w:t>
      </w:r>
    </w:p>
    <w:p w14:paraId="7A7784D6" w14:textId="77777777" w:rsidR="00751E0B" w:rsidRPr="003B7EF2" w:rsidRDefault="00751E0B" w:rsidP="00751E0B">
      <w:pPr>
        <w:pStyle w:val="StyleCopyrightStatementAfter0ptBottomSinglesolidline1"/>
        <w:rPr>
          <w:rFonts w:ascii="Times New Roman" w:hAnsi="Times New Roman"/>
          <w:sz w:val="20"/>
        </w:rPr>
      </w:pPr>
    </w:p>
    <w:p w14:paraId="1E92858B" w14:textId="77777777" w:rsidR="00697F02" w:rsidRPr="00BE4DDD" w:rsidRDefault="00697F02" w:rsidP="00BE4DDD">
      <w:pPr>
        <w:pStyle w:val="BodyTextMain"/>
        <w:rPr>
          <w:sz w:val="16"/>
        </w:rPr>
      </w:pPr>
    </w:p>
    <w:p w14:paraId="78081ADB" w14:textId="0AB6C049" w:rsidR="00697F02" w:rsidRDefault="007819FA" w:rsidP="00697F02">
      <w:pPr>
        <w:pStyle w:val="BodyTextMain"/>
      </w:pPr>
      <w:r>
        <w:t xml:space="preserve">In 2015, </w:t>
      </w:r>
      <w:r w:rsidR="00ED3C44">
        <w:t xml:space="preserve">the </w:t>
      </w:r>
      <w:r w:rsidR="00B82484">
        <w:t xml:space="preserve">U.S. </w:t>
      </w:r>
      <w:r w:rsidR="00ED3C44">
        <w:t>Census Bureau</w:t>
      </w:r>
      <w:r w:rsidR="00697F02" w:rsidRPr="000F540D">
        <w:t xml:space="preserve"> estimated that roughly </w:t>
      </w:r>
      <w:r w:rsidR="00697F02">
        <w:t>3</w:t>
      </w:r>
      <w:r w:rsidR="00697F02" w:rsidRPr="000F540D">
        <w:t xml:space="preserve">0 million people in the </w:t>
      </w:r>
      <w:r w:rsidR="00697F02">
        <w:t>United States</w:t>
      </w:r>
      <w:r w:rsidR="00697F02" w:rsidRPr="000F540D">
        <w:t xml:space="preserve"> suffer</w:t>
      </w:r>
      <w:r w:rsidR="00697F02">
        <w:t>ed</w:t>
      </w:r>
      <w:r w:rsidR="00697F02" w:rsidRPr="000F540D">
        <w:t xml:space="preserve"> from limited mobility. Of these, about 3.</w:t>
      </w:r>
      <w:r w:rsidR="00697F02">
        <w:t>6</w:t>
      </w:r>
      <w:r w:rsidR="00697F02" w:rsidRPr="000F540D">
        <w:t xml:space="preserve"> million people use</w:t>
      </w:r>
      <w:r w:rsidR="00697F02">
        <w:t>d</w:t>
      </w:r>
      <w:r w:rsidR="00697F02" w:rsidRPr="000F540D">
        <w:t xml:space="preserve"> a wheelchair, while an additional 1</w:t>
      </w:r>
      <w:r w:rsidR="00697F02">
        <w:t>1.6</w:t>
      </w:r>
      <w:r w:rsidR="00697F02" w:rsidRPr="000F540D">
        <w:t xml:space="preserve"> million use</w:t>
      </w:r>
      <w:r w:rsidR="00697F02">
        <w:t>d</w:t>
      </w:r>
      <w:r w:rsidR="00697F02" w:rsidRPr="000F540D">
        <w:t xml:space="preserve"> walking aids such as a cane</w:t>
      </w:r>
      <w:r w:rsidR="00697F02">
        <w:t>, crutches</w:t>
      </w:r>
      <w:r w:rsidR="00ED3C44">
        <w:t>,</w:t>
      </w:r>
      <w:r w:rsidR="00697F02" w:rsidRPr="000F540D">
        <w:t xml:space="preserve"> or a walker</w:t>
      </w:r>
      <w:r w:rsidR="00697F02">
        <w:t>.</w:t>
      </w:r>
      <w:r w:rsidR="00697F02">
        <w:rPr>
          <w:rStyle w:val="FootnoteReference"/>
        </w:rPr>
        <w:footnoteReference w:id="1"/>
      </w:r>
      <w:r w:rsidR="00697F02" w:rsidRPr="000F540D">
        <w:t xml:space="preserve"> </w:t>
      </w:r>
      <w:proofErr w:type="spellStart"/>
      <w:r w:rsidR="00697F02" w:rsidRPr="000F540D">
        <w:t>MobilityWorks</w:t>
      </w:r>
      <w:proofErr w:type="spellEnd"/>
      <w:r w:rsidR="00697F02">
        <w:t xml:space="preserve"> provided</w:t>
      </w:r>
      <w:r w:rsidR="00697F02" w:rsidRPr="000F540D">
        <w:t xml:space="preserve"> mobility solutions for </w:t>
      </w:r>
      <w:r w:rsidR="000F2DD9">
        <w:t xml:space="preserve">this population of </w:t>
      </w:r>
      <w:r w:rsidR="00697F02" w:rsidRPr="000F540D">
        <w:t>individuals with limited mobility</w:t>
      </w:r>
      <w:r w:rsidR="00697F02">
        <w:t xml:space="preserve">. </w:t>
      </w:r>
      <w:r w:rsidR="000F2DD9">
        <w:t xml:space="preserve">The company had </w:t>
      </w:r>
      <w:r w:rsidR="00074626">
        <w:t xml:space="preserve">several hundred million </w:t>
      </w:r>
      <w:r w:rsidR="000F2DD9">
        <w:t xml:space="preserve">dollars </w:t>
      </w:r>
      <w:r w:rsidR="00074626">
        <w:t>in revenue</w:t>
      </w:r>
      <w:r w:rsidR="00DC52C3">
        <w:t>,</w:t>
      </w:r>
      <w:r w:rsidR="00074626">
        <w:t xml:space="preserve"> </w:t>
      </w:r>
      <w:r w:rsidR="00DC52C3">
        <w:t>which</w:t>
      </w:r>
      <w:r w:rsidR="00074626">
        <w:t xml:space="preserve"> had grown</w:t>
      </w:r>
      <w:r w:rsidR="00697F02">
        <w:t xml:space="preserve"> by over 100 per cent</w:t>
      </w:r>
      <w:r w:rsidR="00697F02" w:rsidRPr="000F540D">
        <w:t xml:space="preserve"> between 201</w:t>
      </w:r>
      <w:r w:rsidR="00697F02">
        <w:t>1</w:t>
      </w:r>
      <w:r w:rsidR="00697F02" w:rsidRPr="000F540D">
        <w:t xml:space="preserve"> and 201</w:t>
      </w:r>
      <w:r w:rsidR="00697F02">
        <w:t>4</w:t>
      </w:r>
      <w:r w:rsidR="00DC52C3">
        <w:t>.</w:t>
      </w:r>
      <w:r w:rsidR="00697F02">
        <w:rPr>
          <w:rStyle w:val="FootnoteReference"/>
        </w:rPr>
        <w:footnoteReference w:id="2"/>
      </w:r>
      <w:r w:rsidR="00697F02" w:rsidRPr="000F540D">
        <w:t xml:space="preserve"> </w:t>
      </w:r>
      <w:r w:rsidR="00DC52C3">
        <w:t>I</w:t>
      </w:r>
      <w:r w:rsidR="00697F02" w:rsidRPr="000F540D">
        <w:t xml:space="preserve">n </w:t>
      </w:r>
      <w:r w:rsidR="00697F02">
        <w:t>December</w:t>
      </w:r>
      <w:r w:rsidR="00697F02" w:rsidRPr="000F540D">
        <w:t xml:space="preserve"> 2015, </w:t>
      </w:r>
      <w:proofErr w:type="spellStart"/>
      <w:r w:rsidR="000F2DD9">
        <w:t>MobilityWorks</w:t>
      </w:r>
      <w:proofErr w:type="spellEnd"/>
      <w:r w:rsidR="000F2DD9" w:rsidRPr="000F540D">
        <w:t xml:space="preserve"> </w:t>
      </w:r>
      <w:r w:rsidR="00697F02" w:rsidRPr="000F540D">
        <w:t xml:space="preserve">was one of the largest adaptive van providers in the </w:t>
      </w:r>
      <w:r w:rsidR="00697F02">
        <w:t>United States</w:t>
      </w:r>
      <w:r w:rsidR="00697F02" w:rsidRPr="000F540D">
        <w:t xml:space="preserve">. </w:t>
      </w:r>
    </w:p>
    <w:p w14:paraId="7619DC6A" w14:textId="77777777" w:rsidR="00697F02" w:rsidRDefault="00697F02" w:rsidP="00697F02">
      <w:pPr>
        <w:pStyle w:val="BodyTextMain"/>
      </w:pPr>
    </w:p>
    <w:p w14:paraId="4CBD82FD" w14:textId="49F90146" w:rsidR="00397973" w:rsidRPr="000176BF" w:rsidRDefault="002E3049" w:rsidP="00697F02">
      <w:pPr>
        <w:pStyle w:val="BodyTextMain"/>
        <w:rPr>
          <w:spacing w:val="-2"/>
          <w:kern w:val="22"/>
        </w:rPr>
      </w:pPr>
      <w:r w:rsidRPr="000176BF">
        <w:rPr>
          <w:spacing w:val="-2"/>
          <w:kern w:val="22"/>
        </w:rPr>
        <w:t xml:space="preserve">When </w:t>
      </w:r>
      <w:r w:rsidR="00697F02" w:rsidRPr="000176BF">
        <w:rPr>
          <w:spacing w:val="-2"/>
          <w:kern w:val="22"/>
        </w:rPr>
        <w:t xml:space="preserve">Bill </w:t>
      </w:r>
      <w:proofErr w:type="spellStart"/>
      <w:r w:rsidR="00697F02" w:rsidRPr="000176BF">
        <w:rPr>
          <w:spacing w:val="-2"/>
          <w:kern w:val="22"/>
        </w:rPr>
        <w:t>Koeblitz</w:t>
      </w:r>
      <w:proofErr w:type="spellEnd"/>
      <w:r w:rsidR="00697F02" w:rsidRPr="000176BF">
        <w:rPr>
          <w:spacing w:val="-2"/>
          <w:kern w:val="22"/>
        </w:rPr>
        <w:t xml:space="preserve">, the </w:t>
      </w:r>
      <w:r w:rsidR="000F2DD9" w:rsidRPr="000176BF">
        <w:rPr>
          <w:spacing w:val="-2"/>
          <w:kern w:val="22"/>
        </w:rPr>
        <w:t xml:space="preserve">chief executive officer </w:t>
      </w:r>
      <w:r w:rsidR="00697F02" w:rsidRPr="000176BF">
        <w:rPr>
          <w:spacing w:val="-2"/>
          <w:kern w:val="22"/>
        </w:rPr>
        <w:t xml:space="preserve">of </w:t>
      </w:r>
      <w:proofErr w:type="spellStart"/>
      <w:r w:rsidR="00697F02" w:rsidRPr="000176BF">
        <w:rPr>
          <w:spacing w:val="-2"/>
          <w:kern w:val="22"/>
        </w:rPr>
        <w:t>MobilityWorks</w:t>
      </w:r>
      <w:proofErr w:type="spellEnd"/>
      <w:r w:rsidR="00697F02" w:rsidRPr="000176BF">
        <w:rPr>
          <w:spacing w:val="-2"/>
          <w:kern w:val="22"/>
        </w:rPr>
        <w:t>, envision</w:t>
      </w:r>
      <w:r w:rsidRPr="000176BF">
        <w:rPr>
          <w:spacing w:val="-2"/>
          <w:kern w:val="22"/>
        </w:rPr>
        <w:t>ed</w:t>
      </w:r>
      <w:r w:rsidR="00697F02" w:rsidRPr="000176BF">
        <w:rPr>
          <w:spacing w:val="-2"/>
          <w:kern w:val="22"/>
        </w:rPr>
        <w:t xml:space="preserve"> the future of </w:t>
      </w:r>
      <w:r w:rsidR="00B82484" w:rsidRPr="000176BF">
        <w:rPr>
          <w:spacing w:val="-2"/>
          <w:kern w:val="22"/>
        </w:rPr>
        <w:t>the company</w:t>
      </w:r>
      <w:r w:rsidRPr="000176BF">
        <w:rPr>
          <w:spacing w:val="-2"/>
          <w:kern w:val="22"/>
        </w:rPr>
        <w:t>, h</w:t>
      </w:r>
      <w:r w:rsidR="00697F02" w:rsidRPr="000176BF">
        <w:rPr>
          <w:spacing w:val="-2"/>
          <w:kern w:val="22"/>
        </w:rPr>
        <w:t xml:space="preserve">e saw several opportunities to grow at a still faster pace. Some of </w:t>
      </w:r>
      <w:proofErr w:type="spellStart"/>
      <w:r w:rsidR="00697F02" w:rsidRPr="000176BF">
        <w:rPr>
          <w:spacing w:val="-2"/>
          <w:kern w:val="22"/>
        </w:rPr>
        <w:t>Koeblitz’s</w:t>
      </w:r>
      <w:proofErr w:type="spellEnd"/>
      <w:r w:rsidR="00697F02" w:rsidRPr="000176BF">
        <w:rPr>
          <w:spacing w:val="-2"/>
          <w:kern w:val="22"/>
        </w:rPr>
        <w:t xml:space="preserve"> colleagues were concerned that </w:t>
      </w:r>
      <w:proofErr w:type="spellStart"/>
      <w:r w:rsidR="00697F02" w:rsidRPr="000176BF">
        <w:rPr>
          <w:spacing w:val="-2"/>
          <w:kern w:val="22"/>
        </w:rPr>
        <w:t>MobilityWorks</w:t>
      </w:r>
      <w:proofErr w:type="spellEnd"/>
      <w:r w:rsidR="00697F02" w:rsidRPr="000176BF">
        <w:rPr>
          <w:spacing w:val="-2"/>
          <w:kern w:val="22"/>
        </w:rPr>
        <w:t>’ close-knit</w:t>
      </w:r>
      <w:r w:rsidR="00B82484" w:rsidRPr="000176BF">
        <w:rPr>
          <w:spacing w:val="-2"/>
          <w:kern w:val="22"/>
        </w:rPr>
        <w:t>,</w:t>
      </w:r>
      <w:r w:rsidR="00697F02" w:rsidRPr="000176BF">
        <w:rPr>
          <w:spacing w:val="-2"/>
          <w:kern w:val="22"/>
        </w:rPr>
        <w:t xml:space="preserve"> family-type work environment, a key contributor to its success </w:t>
      </w:r>
      <w:r w:rsidR="00B82484" w:rsidRPr="000176BF">
        <w:rPr>
          <w:spacing w:val="-2"/>
          <w:kern w:val="22"/>
        </w:rPr>
        <w:t>to that point</w:t>
      </w:r>
      <w:r w:rsidR="00697F02" w:rsidRPr="000176BF">
        <w:rPr>
          <w:spacing w:val="-2"/>
          <w:kern w:val="22"/>
        </w:rPr>
        <w:t xml:space="preserve">, </w:t>
      </w:r>
      <w:r w:rsidRPr="000176BF">
        <w:rPr>
          <w:spacing w:val="-2"/>
          <w:kern w:val="22"/>
        </w:rPr>
        <w:t xml:space="preserve">might </w:t>
      </w:r>
      <w:r w:rsidR="00697F02" w:rsidRPr="000176BF">
        <w:rPr>
          <w:spacing w:val="-2"/>
          <w:kern w:val="22"/>
        </w:rPr>
        <w:t>not be able to withstand a rapid expansion.</w:t>
      </w:r>
      <w:r w:rsidR="00ED3C44" w:rsidRPr="000176BF">
        <w:rPr>
          <w:spacing w:val="-2"/>
          <w:kern w:val="22"/>
        </w:rPr>
        <w:t xml:space="preserve"> </w:t>
      </w:r>
      <w:r w:rsidR="00697F02" w:rsidRPr="000176BF">
        <w:rPr>
          <w:spacing w:val="-2"/>
          <w:kern w:val="22"/>
        </w:rPr>
        <w:t xml:space="preserve">However, what worried </w:t>
      </w:r>
      <w:proofErr w:type="spellStart"/>
      <w:r w:rsidR="00697F02" w:rsidRPr="000176BF">
        <w:rPr>
          <w:spacing w:val="-2"/>
          <w:kern w:val="22"/>
        </w:rPr>
        <w:t>Koeblitz</w:t>
      </w:r>
      <w:proofErr w:type="spellEnd"/>
      <w:r w:rsidR="00697F02" w:rsidRPr="000176BF">
        <w:rPr>
          <w:spacing w:val="-2"/>
          <w:kern w:val="22"/>
        </w:rPr>
        <w:t xml:space="preserve"> was that </w:t>
      </w:r>
      <w:r w:rsidR="006E3714" w:rsidRPr="000176BF">
        <w:rPr>
          <w:spacing w:val="-2"/>
          <w:kern w:val="22"/>
        </w:rPr>
        <w:t xml:space="preserve">even </w:t>
      </w:r>
      <w:r w:rsidR="00697F02" w:rsidRPr="000176BF">
        <w:rPr>
          <w:spacing w:val="-2"/>
          <w:kern w:val="22"/>
        </w:rPr>
        <w:t xml:space="preserve">with all the growth opportunities, neither </w:t>
      </w:r>
      <w:proofErr w:type="spellStart"/>
      <w:r w:rsidR="00697F02" w:rsidRPr="000176BF">
        <w:rPr>
          <w:spacing w:val="-2"/>
          <w:kern w:val="22"/>
        </w:rPr>
        <w:t>MobilityWorks</w:t>
      </w:r>
      <w:proofErr w:type="spellEnd"/>
      <w:r w:rsidR="00697F02" w:rsidRPr="000176BF">
        <w:rPr>
          <w:spacing w:val="-2"/>
          <w:kern w:val="22"/>
        </w:rPr>
        <w:t xml:space="preserve"> nor the industry </w:t>
      </w:r>
      <w:r w:rsidR="006E3714" w:rsidRPr="000176BF">
        <w:rPr>
          <w:spacing w:val="-2"/>
          <w:kern w:val="22"/>
        </w:rPr>
        <w:t xml:space="preserve">as a whole </w:t>
      </w:r>
      <w:r w:rsidR="00697F02" w:rsidRPr="000176BF">
        <w:rPr>
          <w:spacing w:val="-2"/>
          <w:kern w:val="22"/>
        </w:rPr>
        <w:t xml:space="preserve">would be able to reach even half of the 30 million people who desperately needed </w:t>
      </w:r>
      <w:proofErr w:type="spellStart"/>
      <w:r w:rsidR="006E3714" w:rsidRPr="000176BF">
        <w:rPr>
          <w:spacing w:val="-2"/>
          <w:kern w:val="22"/>
        </w:rPr>
        <w:t>MobilityWorks</w:t>
      </w:r>
      <w:proofErr w:type="spellEnd"/>
      <w:r w:rsidR="006E3714" w:rsidRPr="000176BF">
        <w:rPr>
          <w:spacing w:val="-2"/>
          <w:kern w:val="22"/>
        </w:rPr>
        <w:t>’</w:t>
      </w:r>
      <w:r w:rsidR="00697F02" w:rsidRPr="000176BF">
        <w:rPr>
          <w:spacing w:val="-2"/>
          <w:kern w:val="22"/>
        </w:rPr>
        <w:t xml:space="preserve"> products. Impressive as </w:t>
      </w:r>
      <w:proofErr w:type="spellStart"/>
      <w:r w:rsidR="00697F02" w:rsidRPr="000176BF">
        <w:rPr>
          <w:spacing w:val="-2"/>
          <w:kern w:val="22"/>
        </w:rPr>
        <w:t>MobilityWorks</w:t>
      </w:r>
      <w:proofErr w:type="spellEnd"/>
      <w:r w:rsidR="00697F02" w:rsidRPr="000176BF">
        <w:rPr>
          <w:spacing w:val="-2"/>
          <w:kern w:val="22"/>
        </w:rPr>
        <w:t>’ revenue growth had been, the entire adaptive van industry sold less than 20,000 units in 2013</w:t>
      </w:r>
      <w:r w:rsidR="00397973" w:rsidRPr="000176BF">
        <w:rPr>
          <w:spacing w:val="-2"/>
          <w:kern w:val="22"/>
        </w:rPr>
        <w:t>,</w:t>
      </w:r>
      <w:r w:rsidR="00697F02" w:rsidRPr="000176BF">
        <w:rPr>
          <w:spacing w:val="-2"/>
          <w:kern w:val="22"/>
        </w:rPr>
        <w:t xml:space="preserve"> and less than 150,000 of the 3.6 million people in wheelchairs owned a wheelchair</w:t>
      </w:r>
      <w:r w:rsidR="002C1C0C" w:rsidRPr="000176BF">
        <w:rPr>
          <w:spacing w:val="-2"/>
          <w:kern w:val="22"/>
        </w:rPr>
        <w:t>-</w:t>
      </w:r>
      <w:r w:rsidR="00697F02" w:rsidRPr="000176BF">
        <w:rPr>
          <w:spacing w:val="-2"/>
          <w:kern w:val="22"/>
        </w:rPr>
        <w:t>accessible vehicle</w:t>
      </w:r>
      <w:r w:rsidR="00906FCA" w:rsidRPr="000176BF">
        <w:rPr>
          <w:spacing w:val="-2"/>
          <w:kern w:val="22"/>
        </w:rPr>
        <w:t xml:space="preserve"> (WAV)</w:t>
      </w:r>
      <w:r w:rsidR="00697F02" w:rsidRPr="000176BF">
        <w:rPr>
          <w:spacing w:val="-2"/>
          <w:kern w:val="22"/>
        </w:rPr>
        <w:t>.</w:t>
      </w:r>
      <w:r w:rsidR="00697F02" w:rsidRPr="000176BF">
        <w:rPr>
          <w:rStyle w:val="FootnoteReference"/>
          <w:spacing w:val="-2"/>
          <w:kern w:val="22"/>
        </w:rPr>
        <w:footnoteReference w:id="3"/>
      </w:r>
      <w:r w:rsidR="00697F02" w:rsidRPr="000176BF">
        <w:rPr>
          <w:spacing w:val="-2"/>
          <w:kern w:val="22"/>
        </w:rPr>
        <w:t xml:space="preserve"> </w:t>
      </w:r>
    </w:p>
    <w:p w14:paraId="2FBE647D" w14:textId="77777777" w:rsidR="00397973" w:rsidRDefault="00397973" w:rsidP="00697F02">
      <w:pPr>
        <w:pStyle w:val="BodyTextMain"/>
      </w:pPr>
    </w:p>
    <w:p w14:paraId="63D70A74" w14:textId="2D18FE28" w:rsidR="00697F02" w:rsidRPr="000F540D" w:rsidRDefault="00697F02" w:rsidP="00697F02">
      <w:pPr>
        <w:pStyle w:val="BodyTextMain"/>
      </w:pPr>
      <w:proofErr w:type="spellStart"/>
      <w:r>
        <w:t>Koeblitz</w:t>
      </w:r>
      <w:proofErr w:type="spellEnd"/>
      <w:r w:rsidRPr="000F540D">
        <w:t xml:space="preserve"> wondered</w:t>
      </w:r>
      <w:r w:rsidR="00397973">
        <w:t>,</w:t>
      </w:r>
      <w:r>
        <w:t xml:space="preserve"> h</w:t>
      </w:r>
      <w:r w:rsidRPr="000F540D">
        <w:t xml:space="preserve">ow could </w:t>
      </w:r>
      <w:proofErr w:type="spellStart"/>
      <w:r w:rsidRPr="000F540D">
        <w:t>MobilityWorks</w:t>
      </w:r>
      <w:proofErr w:type="spellEnd"/>
      <w:r w:rsidRPr="000F540D">
        <w:t xml:space="preserve"> continue to grow rapidly and profitably, reach out to the millions who could benefit from its products,</w:t>
      </w:r>
      <w:r>
        <w:t xml:space="preserve"> and still retain </w:t>
      </w:r>
      <w:r w:rsidR="00397973">
        <w:t xml:space="preserve">the company’s </w:t>
      </w:r>
      <w:r>
        <w:t>unique</w:t>
      </w:r>
      <w:r w:rsidRPr="000F540D">
        <w:t xml:space="preserve"> work culture</w:t>
      </w:r>
      <w:r>
        <w:t>?</w:t>
      </w:r>
    </w:p>
    <w:p w14:paraId="4BB8E266" w14:textId="77777777" w:rsidR="00697F02" w:rsidRDefault="00697F02" w:rsidP="00697F02">
      <w:pPr>
        <w:pStyle w:val="BodyTextMain"/>
      </w:pPr>
    </w:p>
    <w:p w14:paraId="794FFE24" w14:textId="77777777" w:rsidR="00697F02" w:rsidRPr="000F540D" w:rsidRDefault="00697F02" w:rsidP="00697F02">
      <w:pPr>
        <w:pStyle w:val="BodyTextMain"/>
      </w:pPr>
    </w:p>
    <w:p w14:paraId="0ED2503B" w14:textId="680B5D67" w:rsidR="00697F02" w:rsidRPr="000F540D" w:rsidRDefault="00697F02" w:rsidP="009C1C6B">
      <w:pPr>
        <w:pStyle w:val="Casehead1"/>
        <w:keepNext/>
        <w:outlineLvl w:val="0"/>
      </w:pPr>
      <w:r w:rsidRPr="000F540D">
        <w:t>MOBILIT</w:t>
      </w:r>
      <w:r w:rsidRPr="009C1C6B">
        <w:rPr>
          <w:rFonts w:ascii="Arial Bold" w:hAnsi="Arial Bold"/>
          <w:spacing w:val="30"/>
        </w:rPr>
        <w:t>Y</w:t>
      </w:r>
      <w:r w:rsidRPr="000F540D">
        <w:t>WORKS’ CUSTOMERS: AN AGING POPULATION AND MOBILITY NEEDS</w:t>
      </w:r>
    </w:p>
    <w:p w14:paraId="0CD5B2ED" w14:textId="77777777" w:rsidR="00697F02" w:rsidRDefault="00697F02" w:rsidP="009C1C6B">
      <w:pPr>
        <w:pStyle w:val="BodyTextMain"/>
        <w:keepNext/>
      </w:pPr>
    </w:p>
    <w:p w14:paraId="355C8D80" w14:textId="4DEC0474" w:rsidR="00697F02" w:rsidRPr="000F540D" w:rsidRDefault="00697F02" w:rsidP="00697F02">
      <w:pPr>
        <w:pStyle w:val="BodyTextMain"/>
      </w:pPr>
      <w:r w:rsidRPr="000F540D">
        <w:t xml:space="preserve">Jim </w:t>
      </w:r>
      <w:proofErr w:type="spellStart"/>
      <w:r w:rsidRPr="000F540D">
        <w:t>Kuzak</w:t>
      </w:r>
      <w:proofErr w:type="spellEnd"/>
      <w:r w:rsidRPr="000F540D">
        <w:t xml:space="preserve"> loved meeting people and being on the move as a </w:t>
      </w:r>
      <w:r w:rsidR="00D00A8B">
        <w:t>p</w:t>
      </w:r>
      <w:r w:rsidRPr="000F540D">
        <w:t>olice officer. That was</w:t>
      </w:r>
      <w:r w:rsidR="00D00A8B">
        <w:t>,</w:t>
      </w:r>
      <w:r w:rsidRPr="000F540D">
        <w:t xml:space="preserve"> until he was shot five times while on duty</w:t>
      </w:r>
      <w:r w:rsidR="000176BF">
        <w:t>.</w:t>
      </w:r>
      <w:r w:rsidRPr="000F540D">
        <w:t xml:space="preserve"> One of the bullets did major damage to his spine</w:t>
      </w:r>
      <w:r>
        <w:t>,</w:t>
      </w:r>
      <w:r w:rsidRPr="000F540D">
        <w:t xml:space="preserve"> leaving him in a wheelchair. After trying several different vehicles with </w:t>
      </w:r>
      <w:proofErr w:type="spellStart"/>
      <w:r w:rsidRPr="000F540D">
        <w:t>MobilityWorks</w:t>
      </w:r>
      <w:proofErr w:type="spellEnd"/>
      <w:r w:rsidRPr="000F540D">
        <w:t xml:space="preserve">, </w:t>
      </w:r>
      <w:proofErr w:type="spellStart"/>
      <w:r>
        <w:t>Kuzak</w:t>
      </w:r>
      <w:proofErr w:type="spellEnd"/>
      <w:r w:rsidRPr="000F540D">
        <w:t xml:space="preserve"> settled on a converted truck</w:t>
      </w:r>
      <w:r w:rsidR="00D00A8B">
        <w:t>—</w:t>
      </w:r>
      <w:r w:rsidRPr="000F540D">
        <w:t xml:space="preserve">a wheelchair accessible Ford F-150. The driver’s seat could </w:t>
      </w:r>
      <w:r w:rsidR="00AB2D46">
        <w:t>be lowered from</w:t>
      </w:r>
      <w:r w:rsidR="00AB2D46" w:rsidRPr="000F540D">
        <w:t xml:space="preserve"> </w:t>
      </w:r>
      <w:r w:rsidRPr="000F540D">
        <w:t xml:space="preserve">the truck </w:t>
      </w:r>
      <w:r w:rsidR="00AB2D46">
        <w:t>to</w:t>
      </w:r>
      <w:r w:rsidR="00AB2D46" w:rsidRPr="000F540D">
        <w:t xml:space="preserve"> </w:t>
      </w:r>
      <w:r w:rsidRPr="000F540D">
        <w:t xml:space="preserve">meet </w:t>
      </w:r>
      <w:proofErr w:type="spellStart"/>
      <w:r w:rsidR="00DC4741">
        <w:t>Kuzak</w:t>
      </w:r>
      <w:proofErr w:type="spellEnd"/>
      <w:r w:rsidR="00DC4741" w:rsidRPr="000F540D">
        <w:t xml:space="preserve"> </w:t>
      </w:r>
      <w:r w:rsidRPr="000F540D">
        <w:t xml:space="preserve">at road level. </w:t>
      </w:r>
      <w:r w:rsidR="00AB2D46">
        <w:t>Once</w:t>
      </w:r>
      <w:r w:rsidR="00AB2D46" w:rsidRPr="000F540D">
        <w:t xml:space="preserve"> </w:t>
      </w:r>
      <w:r w:rsidR="00DC4741">
        <w:t>he</w:t>
      </w:r>
      <w:r w:rsidR="00AB2D46" w:rsidRPr="000F540D">
        <w:t xml:space="preserve"> </w:t>
      </w:r>
      <w:r w:rsidRPr="000F540D">
        <w:t xml:space="preserve">shifted from his wheelchair to the seat, the crane in the back of the truck could automatically load, or </w:t>
      </w:r>
      <w:r w:rsidRPr="000F540D">
        <w:lastRenderedPageBreak/>
        <w:t xml:space="preserve">retrieve, his wheelchair. </w:t>
      </w:r>
      <w:proofErr w:type="spellStart"/>
      <w:r>
        <w:t>Kuzak</w:t>
      </w:r>
      <w:proofErr w:type="spellEnd"/>
      <w:r w:rsidRPr="000F540D">
        <w:t xml:space="preserve"> was thrilled that he could once again get in</w:t>
      </w:r>
      <w:r>
        <w:t>to</w:t>
      </w:r>
      <w:r w:rsidRPr="000F540D">
        <w:t xml:space="preserve"> a vehicle and drive away without having to rely on anyone else. </w:t>
      </w:r>
    </w:p>
    <w:p w14:paraId="7D3DEDB5" w14:textId="77777777" w:rsidR="00697F02" w:rsidRDefault="00697F02" w:rsidP="00697F02">
      <w:pPr>
        <w:pStyle w:val="BodyTextMain"/>
      </w:pPr>
    </w:p>
    <w:p w14:paraId="3AAD2577" w14:textId="5E801599" w:rsidR="00697F02" w:rsidRPr="000F540D" w:rsidRDefault="00697F02" w:rsidP="00697F02">
      <w:pPr>
        <w:pStyle w:val="BodyTextMain"/>
      </w:pPr>
      <w:proofErr w:type="spellStart"/>
      <w:r>
        <w:t>Kuzak</w:t>
      </w:r>
      <w:proofErr w:type="spellEnd"/>
      <w:r w:rsidRPr="000F540D">
        <w:t xml:space="preserve"> was among the fortunate few </w:t>
      </w:r>
      <w:r w:rsidR="00B82484">
        <w:t>who</w:t>
      </w:r>
      <w:r w:rsidRPr="000F540D">
        <w:t xml:space="preserve"> knew about </w:t>
      </w:r>
      <w:proofErr w:type="spellStart"/>
      <w:r w:rsidRPr="000F540D">
        <w:t>MobilityWorks</w:t>
      </w:r>
      <w:proofErr w:type="spellEnd"/>
      <w:r w:rsidR="00B82484">
        <w:t>;</w:t>
      </w:r>
      <w:r w:rsidRPr="000F540D">
        <w:t xml:space="preserve"> </w:t>
      </w:r>
      <w:r w:rsidR="00B82484">
        <w:t>he had</w:t>
      </w:r>
      <w:r w:rsidRPr="000F540D">
        <w:t xml:space="preserve"> received his truck as a gift. Many individuals </w:t>
      </w:r>
      <w:r w:rsidR="00792845">
        <w:t xml:space="preserve">with </w:t>
      </w:r>
      <w:r w:rsidR="00792845" w:rsidRPr="000F540D">
        <w:t xml:space="preserve">limited mobility </w:t>
      </w:r>
      <w:r w:rsidRPr="000F540D">
        <w:t>were not aware that products like th</w:t>
      </w:r>
      <w:r w:rsidR="00B82484">
        <w:t>at</w:t>
      </w:r>
      <w:r w:rsidRPr="000F540D">
        <w:t xml:space="preserve"> existed</w:t>
      </w:r>
      <w:r w:rsidR="00792845">
        <w:t>,</w:t>
      </w:r>
      <w:r w:rsidRPr="000F540D">
        <w:t xml:space="preserve"> and the vast majority</w:t>
      </w:r>
      <w:r w:rsidR="00B82484">
        <w:t xml:space="preserve"> of those individuals</w:t>
      </w:r>
      <w:r w:rsidRPr="000F540D">
        <w:t xml:space="preserve">, even if they knew of </w:t>
      </w:r>
      <w:r w:rsidR="00792845">
        <w:t>the products</w:t>
      </w:r>
      <w:r w:rsidRPr="000F540D">
        <w:t>, simply could not afford one</w:t>
      </w:r>
      <w:r w:rsidR="00B82484">
        <w:t>—f</w:t>
      </w:r>
      <w:r w:rsidR="00792845">
        <w:t>ewer</w:t>
      </w:r>
      <w:r w:rsidR="00792845" w:rsidRPr="00EF6F39">
        <w:t xml:space="preserve"> </w:t>
      </w:r>
      <w:r w:rsidRPr="00EF6F39">
        <w:t xml:space="preserve">than three out of </w:t>
      </w:r>
      <w:r w:rsidR="00792845">
        <w:t>10</w:t>
      </w:r>
      <w:r w:rsidR="00792845" w:rsidRPr="00EF6F39">
        <w:t xml:space="preserve"> </w:t>
      </w:r>
      <w:r>
        <w:t>working</w:t>
      </w:r>
      <w:r w:rsidR="00792845">
        <w:t>-</w:t>
      </w:r>
      <w:r>
        <w:t xml:space="preserve">age </w:t>
      </w:r>
      <w:r w:rsidRPr="00EF6F39">
        <w:t xml:space="preserve">individuals </w:t>
      </w:r>
      <w:r w:rsidR="009848F1">
        <w:t xml:space="preserve">with </w:t>
      </w:r>
      <w:r w:rsidR="009848F1" w:rsidRPr="00EF6F39">
        <w:t>limited</w:t>
      </w:r>
      <w:r w:rsidR="009848F1">
        <w:t xml:space="preserve"> </w:t>
      </w:r>
      <w:r w:rsidR="009848F1" w:rsidRPr="00EF6F39">
        <w:t xml:space="preserve">mobility </w:t>
      </w:r>
      <w:r w:rsidRPr="00EF6F39">
        <w:t>were employed.</w:t>
      </w:r>
      <w:r w:rsidRPr="000F540D">
        <w:t xml:space="preserve"> </w:t>
      </w:r>
    </w:p>
    <w:p w14:paraId="4BD5411F" w14:textId="77777777" w:rsidR="00697F02" w:rsidRDefault="00697F02" w:rsidP="00697F02">
      <w:pPr>
        <w:pStyle w:val="BodyTextMain"/>
      </w:pPr>
    </w:p>
    <w:p w14:paraId="1F832864" w14:textId="72C97AED" w:rsidR="00697F02" w:rsidRPr="000F540D" w:rsidRDefault="00697F02" w:rsidP="00697F02">
      <w:pPr>
        <w:pStyle w:val="BodyTextMain"/>
      </w:pPr>
      <w:r w:rsidRPr="000F540D">
        <w:t xml:space="preserve">The proportion of the population using </w:t>
      </w:r>
      <w:r>
        <w:t>mobility devices</w:t>
      </w:r>
      <w:r w:rsidRPr="000F540D">
        <w:t xml:space="preserve"> increase</w:t>
      </w:r>
      <w:r>
        <w:t>d</w:t>
      </w:r>
      <w:r w:rsidRPr="000F540D">
        <w:t xml:space="preserve"> d</w:t>
      </w:r>
      <w:r>
        <w:t xml:space="preserve">ramatically with age. </w:t>
      </w:r>
      <w:r w:rsidR="003B074B" w:rsidRPr="000F540D">
        <w:t xml:space="preserve">Nearly two-thirds of all mobility devices were used by persons aged 65 or over. </w:t>
      </w:r>
      <w:r>
        <w:t>While 1.5 per cent</w:t>
      </w:r>
      <w:r w:rsidRPr="000F540D">
        <w:t xml:space="preserve"> of </w:t>
      </w:r>
      <w:r>
        <w:t xml:space="preserve">the </w:t>
      </w:r>
      <w:r w:rsidRPr="000F540D">
        <w:t>working</w:t>
      </w:r>
      <w:r w:rsidR="00F1551F">
        <w:t>-</w:t>
      </w:r>
      <w:r w:rsidRPr="000F540D">
        <w:t>age population</w:t>
      </w:r>
      <w:r w:rsidR="003B074B">
        <w:t xml:space="preserve"> (</w:t>
      </w:r>
      <w:r w:rsidRPr="000F540D">
        <w:t>between t</w:t>
      </w:r>
      <w:r>
        <w:t>he ages of 18 and 64 years</w:t>
      </w:r>
      <w:r w:rsidR="003B074B">
        <w:t>)</w:t>
      </w:r>
      <w:r>
        <w:t xml:space="preserve"> used</w:t>
      </w:r>
      <w:r w:rsidRPr="000F540D">
        <w:t xml:space="preserve"> some fo</w:t>
      </w:r>
      <w:r>
        <w:t>rm of mobility device,</w:t>
      </w:r>
      <w:r w:rsidRPr="000F540D">
        <w:t xml:space="preserve"> over 10</w:t>
      </w:r>
      <w:r>
        <w:t xml:space="preserve"> per cent</w:t>
      </w:r>
      <w:r w:rsidRPr="000F540D">
        <w:t xml:space="preserve"> </w:t>
      </w:r>
      <w:r>
        <w:t xml:space="preserve">of </w:t>
      </w:r>
      <w:r w:rsidRPr="000F540D">
        <w:t>individuals over the age of 65</w:t>
      </w:r>
      <w:r>
        <w:t xml:space="preserve"> used a mobility device</w:t>
      </w:r>
      <w:r w:rsidRPr="000F540D">
        <w:t xml:space="preserve">. </w:t>
      </w:r>
      <w:r>
        <w:t>Nearly</w:t>
      </w:r>
      <w:r w:rsidRPr="000F540D">
        <w:t xml:space="preserve"> 40</w:t>
      </w:r>
      <w:r>
        <w:t xml:space="preserve"> per cent</w:t>
      </w:r>
      <w:r w:rsidRPr="000F540D">
        <w:t xml:space="preserve"> of persons aged 85 or over use</w:t>
      </w:r>
      <w:r>
        <w:t>d</w:t>
      </w:r>
      <w:r w:rsidRPr="000F540D">
        <w:t xml:space="preserve"> mobility devices</w:t>
      </w:r>
      <w:r w:rsidR="003B074B">
        <w:t>.</w:t>
      </w:r>
      <w:r>
        <w:rPr>
          <w:rStyle w:val="FootnoteReference"/>
        </w:rPr>
        <w:footnoteReference w:id="4"/>
      </w:r>
      <w:r w:rsidRPr="000F540D">
        <w:t xml:space="preserve"> By 2015, </w:t>
      </w:r>
      <w:r>
        <w:t>10,000</w:t>
      </w:r>
      <w:r w:rsidRPr="000F540D">
        <w:t xml:space="preserve"> Americans were </w:t>
      </w:r>
      <w:r>
        <w:t>turning</w:t>
      </w:r>
      <w:r w:rsidRPr="000F540D">
        <w:t xml:space="preserve"> 65 every </w:t>
      </w:r>
      <w:r>
        <w:t>day</w:t>
      </w:r>
      <w:r w:rsidR="00CF5FEC">
        <w:t>—</w:t>
      </w:r>
      <w:r w:rsidRPr="000F540D">
        <w:t>3</w:t>
      </w:r>
      <w:r>
        <w:t xml:space="preserve">.6 million people per </w:t>
      </w:r>
      <w:r w:rsidRPr="000F540D">
        <w:t>year. That represented an additional 3</w:t>
      </w:r>
      <w:r>
        <w:t>6</w:t>
      </w:r>
      <w:r w:rsidRPr="000F540D">
        <w:t xml:space="preserve">0,000 mobility device users a year, for another </w:t>
      </w:r>
      <w:r>
        <w:t>15</w:t>
      </w:r>
      <w:r w:rsidRPr="000F540D">
        <w:t xml:space="preserve"> years.</w:t>
      </w:r>
      <w:r>
        <w:rPr>
          <w:rStyle w:val="FootnoteReference"/>
        </w:rPr>
        <w:footnoteReference w:id="5"/>
      </w:r>
      <w:r w:rsidRPr="000F540D">
        <w:t xml:space="preserve"> </w:t>
      </w:r>
    </w:p>
    <w:p w14:paraId="05B135DC" w14:textId="77777777" w:rsidR="00697F02" w:rsidRPr="000F540D" w:rsidRDefault="00697F02" w:rsidP="009C1C6B">
      <w:pPr>
        <w:pStyle w:val="BodyTextMain"/>
      </w:pPr>
    </w:p>
    <w:p w14:paraId="7A6BEEDE" w14:textId="77777777" w:rsidR="00697F02" w:rsidRPr="000F540D" w:rsidRDefault="00697F02" w:rsidP="00697F02">
      <w:pPr>
        <w:pStyle w:val="BodyTextMain"/>
      </w:pPr>
    </w:p>
    <w:p w14:paraId="19B7B276" w14:textId="237409DA" w:rsidR="00697F02" w:rsidRPr="000F540D" w:rsidRDefault="00697F02" w:rsidP="009C1C6B">
      <w:pPr>
        <w:pStyle w:val="Casehead1"/>
      </w:pPr>
      <w:r w:rsidRPr="000F540D">
        <w:t>MOBILIT</w:t>
      </w:r>
      <w:r w:rsidRPr="009C1C6B">
        <w:rPr>
          <w:rFonts w:ascii="Arial Bold" w:hAnsi="Arial Bold"/>
          <w:spacing w:val="30"/>
        </w:rPr>
        <w:t>Y</w:t>
      </w:r>
      <w:r w:rsidRPr="000F540D">
        <w:t>WORKS’ HISTORY</w:t>
      </w:r>
    </w:p>
    <w:p w14:paraId="4F303294" w14:textId="77777777" w:rsidR="00697F02" w:rsidRDefault="00697F02" w:rsidP="00697F02">
      <w:pPr>
        <w:pStyle w:val="BodyTextMain"/>
      </w:pPr>
    </w:p>
    <w:p w14:paraId="37461D6D" w14:textId="345FB404" w:rsidR="00697F02" w:rsidRPr="000176BF" w:rsidRDefault="00697F02" w:rsidP="00697F02">
      <w:pPr>
        <w:pStyle w:val="BodyTextMain"/>
        <w:rPr>
          <w:spacing w:val="-4"/>
          <w:kern w:val="22"/>
        </w:rPr>
      </w:pPr>
      <w:r w:rsidRPr="000176BF">
        <w:rPr>
          <w:spacing w:val="-4"/>
          <w:kern w:val="22"/>
        </w:rPr>
        <w:t xml:space="preserve">In 1997, </w:t>
      </w:r>
      <w:proofErr w:type="spellStart"/>
      <w:r w:rsidRPr="000176BF">
        <w:rPr>
          <w:spacing w:val="-4"/>
          <w:kern w:val="22"/>
        </w:rPr>
        <w:t>Koeblitz</w:t>
      </w:r>
      <w:proofErr w:type="spellEnd"/>
      <w:r w:rsidRPr="000176BF">
        <w:rPr>
          <w:spacing w:val="-4"/>
          <w:kern w:val="22"/>
        </w:rPr>
        <w:t xml:space="preserve"> sold </w:t>
      </w:r>
      <w:r w:rsidR="003B074B" w:rsidRPr="000176BF">
        <w:rPr>
          <w:spacing w:val="-4"/>
          <w:kern w:val="22"/>
        </w:rPr>
        <w:t xml:space="preserve">a </w:t>
      </w:r>
      <w:r w:rsidRPr="000176BF">
        <w:rPr>
          <w:spacing w:val="-4"/>
          <w:kern w:val="22"/>
        </w:rPr>
        <w:t xml:space="preserve">health care enterprise </w:t>
      </w:r>
      <w:r w:rsidR="003B074B" w:rsidRPr="000176BF">
        <w:rPr>
          <w:spacing w:val="-4"/>
          <w:kern w:val="22"/>
        </w:rPr>
        <w:t xml:space="preserve">he owned </w:t>
      </w:r>
      <w:r w:rsidRPr="000176BF">
        <w:rPr>
          <w:spacing w:val="-4"/>
          <w:kern w:val="22"/>
        </w:rPr>
        <w:t xml:space="preserve">to a public company and </w:t>
      </w:r>
      <w:r w:rsidR="003B074B" w:rsidRPr="000176BF">
        <w:rPr>
          <w:spacing w:val="-4"/>
          <w:kern w:val="22"/>
        </w:rPr>
        <w:t xml:space="preserve">went </w:t>
      </w:r>
      <w:r w:rsidRPr="000176BF">
        <w:rPr>
          <w:spacing w:val="-4"/>
          <w:kern w:val="22"/>
        </w:rPr>
        <w:t xml:space="preserve">looking for a new business opportunity, one that offered social value to people. Word reached </w:t>
      </w:r>
      <w:proofErr w:type="spellStart"/>
      <w:r w:rsidR="009079E2" w:rsidRPr="000176BF">
        <w:rPr>
          <w:spacing w:val="-4"/>
          <w:kern w:val="22"/>
        </w:rPr>
        <w:t>Koeblitz</w:t>
      </w:r>
      <w:proofErr w:type="spellEnd"/>
      <w:r w:rsidR="009079E2" w:rsidRPr="000176BF">
        <w:rPr>
          <w:spacing w:val="-4"/>
          <w:kern w:val="22"/>
        </w:rPr>
        <w:t xml:space="preserve"> </w:t>
      </w:r>
      <w:r w:rsidRPr="000176BF">
        <w:rPr>
          <w:spacing w:val="-4"/>
          <w:kern w:val="22"/>
        </w:rPr>
        <w:t>that a Ford dealer in Akron, Ohio</w:t>
      </w:r>
      <w:r w:rsidR="009079E2" w:rsidRPr="000176BF">
        <w:rPr>
          <w:spacing w:val="-4"/>
          <w:kern w:val="22"/>
        </w:rPr>
        <w:t>,</w:t>
      </w:r>
      <w:r w:rsidRPr="000176BF">
        <w:rPr>
          <w:spacing w:val="-4"/>
          <w:kern w:val="22"/>
        </w:rPr>
        <w:t xml:space="preserve"> wanted to get out of his business after having taken over a company that built vans for people in wheelchairs. </w:t>
      </w:r>
      <w:proofErr w:type="spellStart"/>
      <w:r w:rsidRPr="000176BF">
        <w:rPr>
          <w:spacing w:val="-4"/>
          <w:kern w:val="22"/>
        </w:rPr>
        <w:t>Koeblitz</w:t>
      </w:r>
      <w:proofErr w:type="spellEnd"/>
      <w:r w:rsidRPr="000176BF">
        <w:rPr>
          <w:spacing w:val="-4"/>
          <w:kern w:val="22"/>
        </w:rPr>
        <w:t xml:space="preserve"> looked at the company and found that even though they were trying hard to do a good job, they were producing vehicles that were not safe. There were no quality standards, no crash testing</w:t>
      </w:r>
      <w:r w:rsidR="00E9285C" w:rsidRPr="000176BF">
        <w:rPr>
          <w:spacing w:val="-4"/>
          <w:kern w:val="22"/>
        </w:rPr>
        <w:t>,</w:t>
      </w:r>
      <w:r w:rsidRPr="000176BF">
        <w:rPr>
          <w:spacing w:val="-4"/>
          <w:kern w:val="22"/>
        </w:rPr>
        <w:t xml:space="preserve"> and no assurance of safety. </w:t>
      </w:r>
      <w:r w:rsidR="00E9285C" w:rsidRPr="000176BF">
        <w:rPr>
          <w:spacing w:val="-4"/>
          <w:kern w:val="22"/>
        </w:rPr>
        <w:t xml:space="preserve">A wheelchair-bound </w:t>
      </w:r>
      <w:r w:rsidRPr="000176BF">
        <w:rPr>
          <w:spacing w:val="-4"/>
          <w:kern w:val="22"/>
        </w:rPr>
        <w:t xml:space="preserve">customer would give up </w:t>
      </w:r>
      <w:r w:rsidR="00E9285C" w:rsidRPr="000176BF">
        <w:rPr>
          <w:spacing w:val="-4"/>
          <w:kern w:val="22"/>
        </w:rPr>
        <w:t xml:space="preserve">a </w:t>
      </w:r>
      <w:r w:rsidRPr="000176BF">
        <w:rPr>
          <w:spacing w:val="-4"/>
          <w:kern w:val="22"/>
        </w:rPr>
        <w:t xml:space="preserve">new van for three months and get back a vehicle </w:t>
      </w:r>
      <w:r w:rsidR="00E9285C" w:rsidRPr="000176BF">
        <w:rPr>
          <w:spacing w:val="-4"/>
          <w:kern w:val="22"/>
        </w:rPr>
        <w:t xml:space="preserve">that may not have been </w:t>
      </w:r>
      <w:r w:rsidRPr="000176BF">
        <w:rPr>
          <w:spacing w:val="-4"/>
          <w:kern w:val="22"/>
        </w:rPr>
        <w:t>safe</w:t>
      </w:r>
      <w:r w:rsidR="00E9285C" w:rsidRPr="000176BF">
        <w:rPr>
          <w:spacing w:val="-4"/>
          <w:kern w:val="22"/>
        </w:rPr>
        <w:t xml:space="preserve"> or able to accommodate the customer’s wheelchair</w:t>
      </w:r>
      <w:r w:rsidRPr="000176BF">
        <w:rPr>
          <w:spacing w:val="-4"/>
          <w:kern w:val="22"/>
        </w:rPr>
        <w:t xml:space="preserve">. It became obvious to </w:t>
      </w:r>
      <w:proofErr w:type="spellStart"/>
      <w:r w:rsidRPr="000176BF">
        <w:rPr>
          <w:spacing w:val="-4"/>
          <w:kern w:val="22"/>
        </w:rPr>
        <w:t>Koeblitz</w:t>
      </w:r>
      <w:proofErr w:type="spellEnd"/>
      <w:r w:rsidRPr="000176BF">
        <w:rPr>
          <w:spacing w:val="-4"/>
          <w:kern w:val="22"/>
        </w:rPr>
        <w:t xml:space="preserve"> that the whole process could be done in a better way. </w:t>
      </w:r>
      <w:r w:rsidR="00E9285C" w:rsidRPr="000176BF">
        <w:rPr>
          <w:spacing w:val="-4"/>
          <w:kern w:val="22"/>
        </w:rPr>
        <w:t xml:space="preserve">And, thus, </w:t>
      </w:r>
      <w:proofErr w:type="spellStart"/>
      <w:r w:rsidRPr="000176BF">
        <w:rPr>
          <w:spacing w:val="-4"/>
          <w:kern w:val="22"/>
        </w:rPr>
        <w:t>MobilityWorks</w:t>
      </w:r>
      <w:proofErr w:type="spellEnd"/>
      <w:r w:rsidRPr="000176BF">
        <w:rPr>
          <w:spacing w:val="-4"/>
          <w:kern w:val="22"/>
        </w:rPr>
        <w:t xml:space="preserve"> was born in 1997.</w:t>
      </w:r>
      <w:r w:rsidR="00ED3C44" w:rsidRPr="000176BF">
        <w:rPr>
          <w:spacing w:val="-4"/>
          <w:kern w:val="22"/>
        </w:rPr>
        <w:t xml:space="preserve"> </w:t>
      </w:r>
      <w:r w:rsidRPr="000176BF">
        <w:rPr>
          <w:spacing w:val="-4"/>
          <w:kern w:val="22"/>
        </w:rPr>
        <w:t xml:space="preserve"> </w:t>
      </w:r>
    </w:p>
    <w:p w14:paraId="07113C53" w14:textId="77777777" w:rsidR="00697F02" w:rsidRDefault="00697F02" w:rsidP="00697F02">
      <w:pPr>
        <w:pStyle w:val="BodyTextMain"/>
      </w:pPr>
    </w:p>
    <w:p w14:paraId="17E3C028" w14:textId="1F2FD55B" w:rsidR="00697F02" w:rsidRPr="000F540D" w:rsidRDefault="00697F02" w:rsidP="00697F02">
      <w:pPr>
        <w:pStyle w:val="BodyTextMain"/>
      </w:pPr>
      <w:r w:rsidRPr="000F540D">
        <w:t xml:space="preserve">Two years later, </w:t>
      </w:r>
      <w:proofErr w:type="spellStart"/>
      <w:r w:rsidRPr="000F540D">
        <w:t>MobilityWorks</w:t>
      </w:r>
      <w:proofErr w:type="spellEnd"/>
      <w:r w:rsidRPr="000F540D">
        <w:t xml:space="preserve"> </w:t>
      </w:r>
      <w:r w:rsidR="006C3F25">
        <w:t xml:space="preserve">had a team of eight and </w:t>
      </w:r>
      <w:r w:rsidRPr="000F540D">
        <w:t>was selling 50 wheelchair vans a year. Sixteen years later, in 2013, the company had grown to a</w:t>
      </w:r>
      <w:r>
        <w:t>n employee</w:t>
      </w:r>
      <w:r w:rsidRPr="000F540D">
        <w:t xml:space="preserve"> head</w:t>
      </w:r>
      <w:r w:rsidR="0083083C">
        <w:t xml:space="preserve"> </w:t>
      </w:r>
      <w:r w:rsidRPr="000F540D">
        <w:t>count of 456 and sold 4</w:t>
      </w:r>
      <w:r w:rsidR="006C3F25">
        <w:t>,</w:t>
      </w:r>
      <w:r w:rsidRPr="000F540D">
        <w:t xml:space="preserve">000 vehicles across 35 locations in the </w:t>
      </w:r>
      <w:r>
        <w:t>United States</w:t>
      </w:r>
      <w:r w:rsidRPr="000F540D">
        <w:t xml:space="preserve">. </w:t>
      </w:r>
    </w:p>
    <w:p w14:paraId="0D0B7903" w14:textId="77777777" w:rsidR="00697F02" w:rsidRDefault="00697F02" w:rsidP="00697F02">
      <w:pPr>
        <w:pStyle w:val="BodyTextMain"/>
      </w:pPr>
    </w:p>
    <w:p w14:paraId="174F850B" w14:textId="32BFE2F7" w:rsidR="00697F02" w:rsidRDefault="00697F02" w:rsidP="00697F02">
      <w:pPr>
        <w:pStyle w:val="BodyTextMain"/>
      </w:pPr>
      <w:r w:rsidRPr="000F540D">
        <w:t xml:space="preserve">Most of the growth in </w:t>
      </w:r>
      <w:proofErr w:type="spellStart"/>
      <w:r w:rsidRPr="000F540D">
        <w:t>MobilityWorks</w:t>
      </w:r>
      <w:proofErr w:type="spellEnd"/>
      <w:r w:rsidRPr="000F540D">
        <w:t xml:space="preserve">’ early years came from its </w:t>
      </w:r>
      <w:r w:rsidR="00142E68">
        <w:t>c</w:t>
      </w:r>
      <w:r w:rsidRPr="000F540D">
        <w:t>ommercial segment</w:t>
      </w:r>
      <w:r w:rsidR="00142E68">
        <w:t>, which sold</w:t>
      </w:r>
      <w:r w:rsidRPr="000F540D">
        <w:t xml:space="preserve"> </w:t>
      </w:r>
      <w:r w:rsidR="00461486">
        <w:t>“</w:t>
      </w:r>
      <w:proofErr w:type="spellStart"/>
      <w:r w:rsidRPr="000F540D">
        <w:t>upfitted</w:t>
      </w:r>
      <w:proofErr w:type="spellEnd"/>
      <w:r w:rsidR="00461486">
        <w:t>”</w:t>
      </w:r>
      <w:r w:rsidRPr="000F540D">
        <w:t xml:space="preserve"> commercial vehicles and WAVs for commercial use.</w:t>
      </w:r>
      <w:r w:rsidR="00461486">
        <w:rPr>
          <w:rStyle w:val="FootnoteReference"/>
        </w:rPr>
        <w:footnoteReference w:id="6"/>
      </w:r>
      <w:r w:rsidRPr="000F540D">
        <w:t xml:space="preserve"> </w:t>
      </w:r>
      <w:proofErr w:type="spellStart"/>
      <w:r w:rsidRPr="000F540D">
        <w:t>MobilityWorks</w:t>
      </w:r>
      <w:proofErr w:type="spellEnd"/>
      <w:r w:rsidRPr="000F540D">
        <w:t xml:space="preserve"> grew steadily over the years by opening new stores and consolidating small mobility dealers in key </w:t>
      </w:r>
      <w:r w:rsidR="00142E68" w:rsidRPr="000F540D">
        <w:t>geographi</w:t>
      </w:r>
      <w:r w:rsidR="00142E68">
        <w:t>c areas</w:t>
      </w:r>
      <w:r w:rsidR="00460628">
        <w:t>. The company had more retail locations in more states than any of its competitors</w:t>
      </w:r>
      <w:r w:rsidRPr="000F540D">
        <w:t xml:space="preserve"> </w:t>
      </w:r>
      <w:r w:rsidR="00460628">
        <w:t>(</w:t>
      </w:r>
      <w:r w:rsidR="00906FCA">
        <w:t xml:space="preserve">see </w:t>
      </w:r>
      <w:r w:rsidRPr="000F540D">
        <w:t>Exhibit 1</w:t>
      </w:r>
      <w:r w:rsidR="00460628">
        <w:t>)</w:t>
      </w:r>
      <w:r w:rsidRPr="000F540D">
        <w:t xml:space="preserve">. </w:t>
      </w:r>
    </w:p>
    <w:p w14:paraId="2C03E68E" w14:textId="77777777" w:rsidR="00142E68" w:rsidRPr="000F540D" w:rsidRDefault="00142E68" w:rsidP="00697F02">
      <w:pPr>
        <w:pStyle w:val="BodyTextMain"/>
      </w:pPr>
    </w:p>
    <w:p w14:paraId="60AFA78C" w14:textId="1908DF0B" w:rsidR="00697F02" w:rsidRPr="000F540D" w:rsidRDefault="00CA7CEA" w:rsidP="00697F02">
      <w:pPr>
        <w:pStyle w:val="BodyTextMain"/>
      </w:pPr>
      <w:proofErr w:type="spellStart"/>
      <w:r>
        <w:t>MobilityWorks</w:t>
      </w:r>
      <w:proofErr w:type="spellEnd"/>
      <w:r>
        <w:t xml:space="preserve"> hit</w:t>
      </w:r>
      <w:r w:rsidR="00697F02" w:rsidRPr="000F540D">
        <w:t xml:space="preserve"> a bump, albeit temporar</w:t>
      </w:r>
      <w:r w:rsidR="00142E68">
        <w:t>il</w:t>
      </w:r>
      <w:r w:rsidR="00697F02" w:rsidRPr="000F540D">
        <w:t xml:space="preserve">y, in </w:t>
      </w:r>
      <w:r>
        <w:t>its</w:t>
      </w:r>
      <w:r w:rsidR="00697F02" w:rsidRPr="000F540D">
        <w:t xml:space="preserve"> steady growth</w:t>
      </w:r>
      <w:r>
        <w:t xml:space="preserve"> due to the 2008 financial crisis</w:t>
      </w:r>
      <w:r w:rsidR="00697F02" w:rsidRPr="000F540D">
        <w:t xml:space="preserve">. The </w:t>
      </w:r>
      <w:r w:rsidR="00697F02">
        <w:t>U.S.</w:t>
      </w:r>
      <w:r w:rsidR="00697F02" w:rsidRPr="000F540D">
        <w:t xml:space="preserve"> auto industry was hit pretty hard by the crisis, with a </w:t>
      </w:r>
      <w:r w:rsidR="00697F02">
        <w:t xml:space="preserve">30 per cent </w:t>
      </w:r>
      <w:r w:rsidR="00697F02" w:rsidRPr="000F540D">
        <w:t xml:space="preserve">decline in revenues. </w:t>
      </w:r>
      <w:r w:rsidR="00DA3CD2">
        <w:t xml:space="preserve">Although </w:t>
      </w:r>
      <w:proofErr w:type="spellStart"/>
      <w:r w:rsidR="00697F02" w:rsidRPr="000F540D">
        <w:t>MobilityWorks</w:t>
      </w:r>
      <w:proofErr w:type="spellEnd"/>
      <w:r w:rsidR="00697F02" w:rsidRPr="000F540D">
        <w:t xml:space="preserve"> was hit less severely, register</w:t>
      </w:r>
      <w:r w:rsidR="00142E68">
        <w:t>ing</w:t>
      </w:r>
      <w:r w:rsidR="00697F02" w:rsidRPr="000F540D">
        <w:t xml:space="preserve"> an </w:t>
      </w:r>
      <w:r w:rsidR="00142E68">
        <w:t xml:space="preserve">8 </w:t>
      </w:r>
      <w:r w:rsidR="00697F02">
        <w:t>per cent</w:t>
      </w:r>
      <w:r w:rsidR="00697F02" w:rsidRPr="000F540D">
        <w:t xml:space="preserve"> decline in revenues</w:t>
      </w:r>
      <w:r w:rsidR="00DA3CD2">
        <w:t>,</w:t>
      </w:r>
      <w:r w:rsidR="00697F02" w:rsidRPr="000F540D">
        <w:t xml:space="preserve"> </w:t>
      </w:r>
      <w:r w:rsidR="00142E68">
        <w:t>the financial crisis</w:t>
      </w:r>
      <w:r w:rsidR="00142E68" w:rsidRPr="000F540D">
        <w:t xml:space="preserve"> </w:t>
      </w:r>
      <w:r w:rsidR="00697F02" w:rsidRPr="000F540D">
        <w:t xml:space="preserve">did </w:t>
      </w:r>
      <w:r w:rsidR="00142E68">
        <w:t xml:space="preserve">make it more difficult </w:t>
      </w:r>
      <w:r w:rsidR="00697F02" w:rsidRPr="000F540D">
        <w:t xml:space="preserve">for </w:t>
      </w:r>
      <w:proofErr w:type="spellStart"/>
      <w:r w:rsidR="00697F02" w:rsidRPr="000F540D">
        <w:t>MobilityWorks</w:t>
      </w:r>
      <w:proofErr w:type="spellEnd"/>
      <w:r w:rsidR="00697F02" w:rsidRPr="000F540D">
        <w:t xml:space="preserve">’ customers to get their </w:t>
      </w:r>
      <w:r w:rsidR="00906FCA">
        <w:t>custom-fitted</w:t>
      </w:r>
      <w:r w:rsidR="00906FCA" w:rsidRPr="000F540D">
        <w:t xml:space="preserve"> </w:t>
      </w:r>
      <w:r w:rsidR="00697F02" w:rsidRPr="000F540D">
        <w:t xml:space="preserve">vehicles financed through banks, putting additional pressure on </w:t>
      </w:r>
      <w:r w:rsidR="00697F02">
        <w:t xml:space="preserve">the </w:t>
      </w:r>
      <w:r w:rsidR="00697F02" w:rsidRPr="000F540D">
        <w:t>company’s revenues</w:t>
      </w:r>
      <w:r w:rsidR="00697F02">
        <w:t>.</w:t>
      </w:r>
      <w:r w:rsidR="000176BF" w:rsidRPr="000F540D">
        <w:t xml:space="preserve"> </w:t>
      </w:r>
    </w:p>
    <w:p w14:paraId="630E12C9" w14:textId="77777777" w:rsidR="00697F02" w:rsidRDefault="00697F02" w:rsidP="00697F02">
      <w:pPr>
        <w:pStyle w:val="BodyTextMain"/>
      </w:pPr>
    </w:p>
    <w:p w14:paraId="1FB8BA5E" w14:textId="5177509E" w:rsidR="001A532E" w:rsidRDefault="00ED7A75" w:rsidP="001A532E">
      <w:pPr>
        <w:pStyle w:val="BodyTextMain"/>
        <w:rPr>
          <w:spacing w:val="-2"/>
          <w:kern w:val="22"/>
        </w:rPr>
      </w:pPr>
      <w:r w:rsidRPr="001A532E">
        <w:rPr>
          <w:spacing w:val="-2"/>
          <w:kern w:val="22"/>
        </w:rPr>
        <w:t>However, i</w:t>
      </w:r>
      <w:r w:rsidR="00697F02" w:rsidRPr="001A532E">
        <w:rPr>
          <w:spacing w:val="-2"/>
          <w:kern w:val="22"/>
        </w:rPr>
        <w:t xml:space="preserve">t did not take long before </w:t>
      </w:r>
      <w:proofErr w:type="spellStart"/>
      <w:r w:rsidR="00697F02" w:rsidRPr="001A532E">
        <w:rPr>
          <w:spacing w:val="-2"/>
          <w:kern w:val="22"/>
        </w:rPr>
        <w:t>MobilityWorks</w:t>
      </w:r>
      <w:proofErr w:type="spellEnd"/>
      <w:r w:rsidR="00697F02" w:rsidRPr="001A532E">
        <w:rPr>
          <w:spacing w:val="-2"/>
          <w:kern w:val="22"/>
        </w:rPr>
        <w:t xml:space="preserve"> was back on the fast track. By 2015, </w:t>
      </w:r>
      <w:proofErr w:type="spellStart"/>
      <w:r w:rsidR="00697F02" w:rsidRPr="001A532E">
        <w:rPr>
          <w:spacing w:val="-2"/>
          <w:kern w:val="22"/>
        </w:rPr>
        <w:t>MobilityWorks</w:t>
      </w:r>
      <w:proofErr w:type="spellEnd"/>
      <w:r w:rsidR="00697F02" w:rsidRPr="001A532E">
        <w:rPr>
          <w:spacing w:val="-2"/>
          <w:kern w:val="22"/>
        </w:rPr>
        <w:t xml:space="preserve"> commanded a 16 per cent market share and was the nation’s largest mobility dealership and </w:t>
      </w:r>
      <w:proofErr w:type="spellStart"/>
      <w:r w:rsidR="00697F02" w:rsidRPr="001A532E">
        <w:rPr>
          <w:spacing w:val="-2"/>
          <w:kern w:val="22"/>
        </w:rPr>
        <w:t>upfitter</w:t>
      </w:r>
      <w:proofErr w:type="spellEnd"/>
      <w:r w:rsidR="00697F02" w:rsidRPr="001A532E">
        <w:rPr>
          <w:spacing w:val="-2"/>
          <w:kern w:val="22"/>
        </w:rPr>
        <w:t xml:space="preserve"> of WAVs.</w:t>
      </w:r>
      <w:r w:rsidR="001A532E">
        <w:rPr>
          <w:spacing w:val="-2"/>
          <w:kern w:val="22"/>
        </w:rPr>
        <w:br w:type="page"/>
      </w:r>
    </w:p>
    <w:p w14:paraId="23E4E00F" w14:textId="70107B3D" w:rsidR="00697F02" w:rsidRPr="000F540D" w:rsidRDefault="00697F02" w:rsidP="009C1C6B">
      <w:pPr>
        <w:pStyle w:val="Casehead1"/>
      </w:pPr>
      <w:r w:rsidRPr="000F540D">
        <w:lastRenderedPageBreak/>
        <w:t>MOBILIT</w:t>
      </w:r>
      <w:r w:rsidRPr="009C1C6B">
        <w:rPr>
          <w:rFonts w:ascii="Arial Bold" w:hAnsi="Arial Bold"/>
          <w:spacing w:val="30"/>
        </w:rPr>
        <w:t>Y</w:t>
      </w:r>
      <w:r w:rsidRPr="000F540D">
        <w:t>WORKS IN 2015</w:t>
      </w:r>
    </w:p>
    <w:p w14:paraId="0C2E1520" w14:textId="77777777" w:rsidR="00697F02" w:rsidRDefault="00697F02" w:rsidP="00697F02">
      <w:pPr>
        <w:pStyle w:val="BodyTextMain"/>
      </w:pPr>
    </w:p>
    <w:p w14:paraId="1E745B18" w14:textId="1AE00C65" w:rsidR="00697F02" w:rsidRPr="000F540D" w:rsidRDefault="00697F02" w:rsidP="00697F02">
      <w:pPr>
        <w:pStyle w:val="BodyTextMain"/>
      </w:pPr>
      <w:r w:rsidRPr="000F540D">
        <w:t xml:space="preserve">A privately-owned WAV </w:t>
      </w:r>
      <w:r w:rsidR="00461486">
        <w:t>was</w:t>
      </w:r>
      <w:r w:rsidR="00461486" w:rsidRPr="000F540D">
        <w:t xml:space="preserve"> </w:t>
      </w:r>
      <w:r w:rsidRPr="000F540D">
        <w:t>pretty much a luxury item, accessible to the few who could afford it. Unlike most luxury items</w:t>
      </w:r>
      <w:r w:rsidR="00015570">
        <w:t>,</w:t>
      </w:r>
      <w:r w:rsidRPr="000F540D">
        <w:t xml:space="preserve"> however, a WAV could truly transform the life of a</w:t>
      </w:r>
      <w:r w:rsidR="009848F1">
        <w:t>n</w:t>
      </w:r>
      <w:r w:rsidRPr="000F540D">
        <w:t xml:space="preserve"> individual</w:t>
      </w:r>
      <w:r w:rsidR="009848F1">
        <w:t xml:space="preserve"> with limited mobility</w:t>
      </w:r>
      <w:r w:rsidRPr="000F540D">
        <w:t xml:space="preserve">. </w:t>
      </w:r>
      <w:r w:rsidR="00D304CC">
        <w:t>Also, b</w:t>
      </w:r>
      <w:r w:rsidRPr="000F540D">
        <w:t xml:space="preserve">y boosting income generated through employment and simultaneously reducing withdrawals from social security and health insurance for millions of people, improved access to WAVs had the potential to </w:t>
      </w:r>
      <w:r w:rsidR="00D304CC">
        <w:t>bring about</w:t>
      </w:r>
      <w:r w:rsidR="00D304CC" w:rsidRPr="000F540D">
        <w:t xml:space="preserve"> </w:t>
      </w:r>
      <w:r w:rsidRPr="000F540D">
        <w:t xml:space="preserve">a net gain in </w:t>
      </w:r>
      <w:r w:rsidR="00D304CC">
        <w:t xml:space="preserve">national </w:t>
      </w:r>
      <w:r w:rsidRPr="000F540D">
        <w:t xml:space="preserve">productivity and income. </w:t>
      </w:r>
    </w:p>
    <w:p w14:paraId="70D771AC" w14:textId="77777777" w:rsidR="00697F02" w:rsidRPr="000F540D" w:rsidRDefault="00697F02" w:rsidP="00697F02">
      <w:pPr>
        <w:pStyle w:val="BodyTextMain"/>
      </w:pPr>
    </w:p>
    <w:p w14:paraId="1430B80B" w14:textId="42DFCC4F" w:rsidR="00697F02" w:rsidRPr="000F540D" w:rsidRDefault="00697F02" w:rsidP="00697F02">
      <w:pPr>
        <w:pStyle w:val="BodyTextMain"/>
      </w:pPr>
      <w:r w:rsidRPr="000F540D">
        <w:t xml:space="preserve">After a steady growth over the </w:t>
      </w:r>
      <w:r w:rsidR="00D304CC">
        <w:t>previous</w:t>
      </w:r>
      <w:r w:rsidR="00D304CC" w:rsidRPr="000F540D">
        <w:t xml:space="preserve"> </w:t>
      </w:r>
      <w:r w:rsidRPr="000F540D">
        <w:t xml:space="preserve">two decades, </w:t>
      </w:r>
      <w:proofErr w:type="spellStart"/>
      <w:r w:rsidRPr="000F540D">
        <w:t>MobilityWorks</w:t>
      </w:r>
      <w:proofErr w:type="spellEnd"/>
      <w:r w:rsidRPr="000F540D">
        <w:t xml:space="preserve"> was on the threshold of its biggest challenge yet</w:t>
      </w:r>
      <w:r w:rsidR="00D304CC">
        <w:t>:</w:t>
      </w:r>
      <w:r w:rsidRPr="000F540D">
        <w:t xml:space="preserve"> taking WAVs mainstream</w:t>
      </w:r>
      <w:r w:rsidR="00D304CC">
        <w:t xml:space="preserve"> and</w:t>
      </w:r>
      <w:r w:rsidRPr="000F540D">
        <w:t xml:space="preserve"> making them accessible for the millions of underserved mobility</w:t>
      </w:r>
      <w:r w:rsidR="00D624C1">
        <w:t>-</w:t>
      </w:r>
      <w:r w:rsidR="00D624C1" w:rsidRPr="000F540D">
        <w:t xml:space="preserve">limited </w:t>
      </w:r>
      <w:r w:rsidRPr="000F540D">
        <w:t xml:space="preserve">individuals in the </w:t>
      </w:r>
      <w:r>
        <w:t>United States</w:t>
      </w:r>
      <w:r w:rsidRPr="000F540D">
        <w:t xml:space="preserve">. </w:t>
      </w:r>
      <w:proofErr w:type="spellStart"/>
      <w:r>
        <w:t>Koeblitz</w:t>
      </w:r>
      <w:proofErr w:type="spellEnd"/>
      <w:r w:rsidRPr="000F540D">
        <w:t xml:space="preserve"> and his executive team saw three major hurdles in getting there</w:t>
      </w:r>
      <w:r w:rsidR="00E0456A">
        <w:t>:</w:t>
      </w:r>
      <w:r w:rsidRPr="000F540D">
        <w:t xml:space="preserve"> product and company awareness, supply of eligible and motivated employees, and access to capital for further expansion. </w:t>
      </w:r>
    </w:p>
    <w:p w14:paraId="2C112855" w14:textId="77777777" w:rsidR="00697F02" w:rsidRPr="000F540D" w:rsidRDefault="00697F02" w:rsidP="00697F02">
      <w:pPr>
        <w:pStyle w:val="BodyTextMain"/>
      </w:pPr>
    </w:p>
    <w:p w14:paraId="29451069" w14:textId="3E656999" w:rsidR="00697F02" w:rsidRPr="000F540D" w:rsidRDefault="00697F02" w:rsidP="00697F02">
      <w:pPr>
        <w:pStyle w:val="BodyTextMain"/>
      </w:pPr>
      <w:r w:rsidRPr="000F540D">
        <w:t xml:space="preserve">Typically, people who could benefit the most from </w:t>
      </w:r>
      <w:proofErr w:type="spellStart"/>
      <w:r w:rsidRPr="000F540D">
        <w:t>MobilityWorks</w:t>
      </w:r>
      <w:proofErr w:type="spellEnd"/>
      <w:r w:rsidRPr="000F540D">
        <w:t xml:space="preserve"> product</w:t>
      </w:r>
      <w:r w:rsidR="00DA3CD2">
        <w:t>s</w:t>
      </w:r>
      <w:r w:rsidRPr="000F540D">
        <w:t xml:space="preserve"> had never heard of the</w:t>
      </w:r>
      <w:r w:rsidR="00DA3CD2">
        <w:t>m</w:t>
      </w:r>
      <w:r w:rsidRPr="000F540D">
        <w:t xml:space="preserve"> before. Eric Mansfield, </w:t>
      </w:r>
      <w:proofErr w:type="spellStart"/>
      <w:r w:rsidRPr="000F540D">
        <w:t>MobilityWorks</w:t>
      </w:r>
      <w:proofErr w:type="spellEnd"/>
      <w:r w:rsidRPr="000F540D">
        <w:t xml:space="preserve">’ </w:t>
      </w:r>
      <w:r w:rsidR="00E0456A">
        <w:t>e</w:t>
      </w:r>
      <w:r w:rsidRPr="000F540D">
        <w:t xml:space="preserve">xecutive </w:t>
      </w:r>
      <w:r w:rsidR="00E0456A">
        <w:t>v</w:t>
      </w:r>
      <w:r w:rsidRPr="000F540D">
        <w:t>ice</w:t>
      </w:r>
      <w:r w:rsidR="00E0456A">
        <w:t>-p</w:t>
      </w:r>
      <w:r w:rsidRPr="000F540D">
        <w:t xml:space="preserve">resident, summed up the central challenge of </w:t>
      </w:r>
      <w:proofErr w:type="spellStart"/>
      <w:r w:rsidRPr="000F540D">
        <w:t>MobilityWorks</w:t>
      </w:r>
      <w:proofErr w:type="spellEnd"/>
      <w:r w:rsidRPr="000F540D">
        <w:t>’ business succinctly</w:t>
      </w:r>
      <w:r w:rsidR="001F16AA">
        <w:t xml:space="preserve">: </w:t>
      </w:r>
      <w:r w:rsidRPr="000F540D">
        <w:t>“How do you market to people who are looking for something that they have never used before?”</w:t>
      </w:r>
    </w:p>
    <w:p w14:paraId="4AE9AC20" w14:textId="77777777" w:rsidR="00697F02" w:rsidRDefault="00697F02" w:rsidP="00697F02">
      <w:pPr>
        <w:pStyle w:val="BodyTextMain"/>
      </w:pPr>
    </w:p>
    <w:p w14:paraId="59934337" w14:textId="666BC6EA" w:rsidR="00697F02" w:rsidRPr="001A532E" w:rsidRDefault="00697F02" w:rsidP="00697F02">
      <w:pPr>
        <w:pStyle w:val="BodyTextMain"/>
        <w:rPr>
          <w:spacing w:val="-2"/>
          <w:kern w:val="22"/>
        </w:rPr>
      </w:pPr>
      <w:proofErr w:type="spellStart"/>
      <w:r w:rsidRPr="001A532E">
        <w:rPr>
          <w:spacing w:val="-2"/>
          <w:kern w:val="22"/>
        </w:rPr>
        <w:t>MobilityWorks</w:t>
      </w:r>
      <w:proofErr w:type="spellEnd"/>
      <w:r w:rsidRPr="001A532E">
        <w:rPr>
          <w:spacing w:val="-2"/>
          <w:kern w:val="22"/>
        </w:rPr>
        <w:t xml:space="preserve"> dealt with the challenge by trying to find the right solution for each individual client. By 2015, </w:t>
      </w:r>
      <w:proofErr w:type="spellStart"/>
      <w:r w:rsidRPr="001A532E">
        <w:rPr>
          <w:spacing w:val="-2"/>
          <w:kern w:val="22"/>
        </w:rPr>
        <w:t>MobilityWorks</w:t>
      </w:r>
      <w:proofErr w:type="spellEnd"/>
      <w:r w:rsidRPr="001A532E">
        <w:rPr>
          <w:spacing w:val="-2"/>
          <w:kern w:val="22"/>
        </w:rPr>
        <w:t xml:space="preserve"> was able to find a solution for 44 per cent of the people who walked into its stores, a significant increase from 30 per cent just three years </w:t>
      </w:r>
      <w:r w:rsidR="00E0456A" w:rsidRPr="001A532E">
        <w:rPr>
          <w:spacing w:val="-2"/>
          <w:kern w:val="22"/>
        </w:rPr>
        <w:t>before</w:t>
      </w:r>
      <w:r w:rsidRPr="001A532E">
        <w:rPr>
          <w:spacing w:val="-2"/>
          <w:kern w:val="22"/>
        </w:rPr>
        <w:t xml:space="preserve">. </w:t>
      </w:r>
      <w:r w:rsidR="00E0456A" w:rsidRPr="001A532E">
        <w:rPr>
          <w:spacing w:val="-2"/>
          <w:kern w:val="22"/>
        </w:rPr>
        <w:t xml:space="preserve">The </w:t>
      </w:r>
      <w:r w:rsidRPr="001A532E">
        <w:rPr>
          <w:spacing w:val="-2"/>
          <w:kern w:val="22"/>
        </w:rPr>
        <w:t xml:space="preserve">increase </w:t>
      </w:r>
      <w:r w:rsidR="00E0456A" w:rsidRPr="001A532E">
        <w:rPr>
          <w:spacing w:val="-2"/>
          <w:kern w:val="22"/>
        </w:rPr>
        <w:t xml:space="preserve">was largely a result of </w:t>
      </w:r>
      <w:r w:rsidRPr="001A532E">
        <w:rPr>
          <w:spacing w:val="-2"/>
          <w:kern w:val="22"/>
        </w:rPr>
        <w:t xml:space="preserve">the company’s focus on creatively exploring all possible avenues to make a </w:t>
      </w:r>
      <w:proofErr w:type="spellStart"/>
      <w:r w:rsidRPr="001A532E">
        <w:rPr>
          <w:spacing w:val="-2"/>
          <w:kern w:val="22"/>
        </w:rPr>
        <w:t>MobilityWorks</w:t>
      </w:r>
      <w:proofErr w:type="spellEnd"/>
      <w:r w:rsidRPr="001A532E">
        <w:rPr>
          <w:spacing w:val="-2"/>
          <w:kern w:val="22"/>
        </w:rPr>
        <w:t xml:space="preserve"> solution affordable for a customer. </w:t>
      </w:r>
    </w:p>
    <w:p w14:paraId="017D1C00" w14:textId="77777777" w:rsidR="00697F02" w:rsidRDefault="00697F02" w:rsidP="00697F02">
      <w:pPr>
        <w:pStyle w:val="BodyTextMain"/>
      </w:pPr>
    </w:p>
    <w:p w14:paraId="0186823B" w14:textId="4E2F9C94" w:rsidR="00697F02" w:rsidRPr="000F540D" w:rsidRDefault="00697F02" w:rsidP="00697F02">
      <w:pPr>
        <w:pStyle w:val="BodyTextMain"/>
      </w:pPr>
      <w:r w:rsidRPr="000F540D">
        <w:t xml:space="preserve">The engagement of every new </w:t>
      </w:r>
      <w:proofErr w:type="spellStart"/>
      <w:r w:rsidRPr="000F540D">
        <w:t>MobilityWorks</w:t>
      </w:r>
      <w:proofErr w:type="spellEnd"/>
      <w:r w:rsidRPr="000F540D">
        <w:t xml:space="preserve"> customer started with a needs analysis by a certified mobility consultant</w:t>
      </w:r>
      <w:r w:rsidR="0093002F">
        <w:t>. Using</w:t>
      </w:r>
      <w:r w:rsidRPr="000F540D">
        <w:t xml:space="preserve"> casual conversation and direct questioning</w:t>
      </w:r>
      <w:r w:rsidR="0093002F">
        <w:t>, the consultant would learn about</w:t>
      </w:r>
      <w:r w:rsidRPr="000F540D">
        <w:t xml:space="preserve"> the nature of the person’s disability and </w:t>
      </w:r>
      <w:r w:rsidR="0093002F">
        <w:t>any</w:t>
      </w:r>
      <w:r w:rsidR="0093002F" w:rsidRPr="000F540D">
        <w:t xml:space="preserve"> </w:t>
      </w:r>
      <w:r w:rsidRPr="000F540D">
        <w:t xml:space="preserve">extenuating circumstances. This </w:t>
      </w:r>
      <w:r w:rsidR="0093002F">
        <w:t xml:space="preserve">information </w:t>
      </w:r>
      <w:r w:rsidRPr="000F540D">
        <w:t>was used to formulate the best options for the customer</w:t>
      </w:r>
      <w:r w:rsidR="0093002F">
        <w:t>’</w:t>
      </w:r>
      <w:r w:rsidRPr="000F540D">
        <w:t xml:space="preserve">s situation </w:t>
      </w:r>
      <w:r w:rsidR="0093002F">
        <w:t>and</w:t>
      </w:r>
      <w:r w:rsidR="0093002F" w:rsidRPr="000F540D">
        <w:t xml:space="preserve"> </w:t>
      </w:r>
      <w:r w:rsidRPr="000F540D">
        <w:t xml:space="preserve">transportation and family needs. Often, </w:t>
      </w:r>
      <w:r w:rsidR="0093002F">
        <w:t xml:space="preserve">all that was needed was </w:t>
      </w:r>
      <w:r w:rsidRPr="000F540D">
        <w:t xml:space="preserve">an additional piece of equipment </w:t>
      </w:r>
      <w:r w:rsidR="0093002F">
        <w:t>added to</w:t>
      </w:r>
      <w:r w:rsidR="0093002F" w:rsidRPr="000F540D">
        <w:t xml:space="preserve"> </w:t>
      </w:r>
      <w:r w:rsidRPr="000F540D">
        <w:t>the current vehicle</w:t>
      </w:r>
      <w:r w:rsidR="00480CFE">
        <w:t>, such as</w:t>
      </w:r>
      <w:r w:rsidR="00480CFE" w:rsidRPr="000F540D">
        <w:t xml:space="preserve"> </w:t>
      </w:r>
      <w:r w:rsidR="00480CFE">
        <w:t>a</w:t>
      </w:r>
      <w:r w:rsidR="00480CFE" w:rsidRPr="000F540D">
        <w:t xml:space="preserve"> stowage lift or hand controls</w:t>
      </w:r>
      <w:r w:rsidR="00480CFE">
        <w:t>;</w:t>
      </w:r>
      <w:r w:rsidR="00480CFE" w:rsidRPr="000F540D">
        <w:t xml:space="preserve"> </w:t>
      </w:r>
      <w:r w:rsidRPr="000F540D">
        <w:t>for some</w:t>
      </w:r>
      <w:r w:rsidR="006A0FBC">
        <w:t>,</w:t>
      </w:r>
      <w:r w:rsidRPr="000F540D">
        <w:t xml:space="preserve"> only a full conversion into a wheelchair accessible van would do. </w:t>
      </w:r>
    </w:p>
    <w:p w14:paraId="37A7CD58" w14:textId="77777777" w:rsidR="00697F02" w:rsidRDefault="00697F02" w:rsidP="00697F02">
      <w:pPr>
        <w:pStyle w:val="BodyTextMain"/>
      </w:pPr>
    </w:p>
    <w:p w14:paraId="203EBE78" w14:textId="1396A7EB" w:rsidR="00697F02" w:rsidRPr="000F540D" w:rsidRDefault="00697F02" w:rsidP="00697F02">
      <w:pPr>
        <w:pStyle w:val="BodyTextMain"/>
      </w:pPr>
      <w:proofErr w:type="spellStart"/>
      <w:r w:rsidRPr="000F540D">
        <w:t>MobilityWorks</w:t>
      </w:r>
      <w:proofErr w:type="spellEnd"/>
      <w:r w:rsidRPr="000F540D">
        <w:t xml:space="preserve"> derived its revenues from vehicle sales, service and maintenance activities, van rentals, financing activities, extended service contracts</w:t>
      </w:r>
      <w:r w:rsidR="006A0FBC">
        <w:t>,</w:t>
      </w:r>
      <w:r w:rsidRPr="000F540D">
        <w:t xml:space="preserve"> and miscellaneous packages</w:t>
      </w:r>
      <w:r w:rsidR="006A0FBC">
        <w:t>—</w:t>
      </w:r>
      <w:r w:rsidRPr="000F540D">
        <w:t xml:space="preserve">pretty much </w:t>
      </w:r>
      <w:r>
        <w:t>along</w:t>
      </w:r>
      <w:r w:rsidRPr="000F540D">
        <w:t xml:space="preserve"> the same lines as a traditional auto dealership. </w:t>
      </w:r>
    </w:p>
    <w:p w14:paraId="221DBB71" w14:textId="77777777" w:rsidR="00697F02" w:rsidRDefault="00697F02" w:rsidP="009C1C6B">
      <w:pPr>
        <w:pStyle w:val="BodyTextMain"/>
      </w:pPr>
    </w:p>
    <w:p w14:paraId="3B7D7C4A" w14:textId="77777777" w:rsidR="00697F02" w:rsidRPr="000F540D" w:rsidRDefault="00697F02" w:rsidP="009C1C6B">
      <w:pPr>
        <w:pStyle w:val="BodyTextMain"/>
      </w:pPr>
    </w:p>
    <w:p w14:paraId="69ACA5B8" w14:textId="00C290D2" w:rsidR="00697F02" w:rsidRDefault="00697F02" w:rsidP="009C1C6B">
      <w:pPr>
        <w:pStyle w:val="Casehead1"/>
        <w:keepNext/>
      </w:pPr>
      <w:r w:rsidRPr="000F540D">
        <w:t>MOBILIT</w:t>
      </w:r>
      <w:r w:rsidRPr="009C1C6B">
        <w:rPr>
          <w:rFonts w:ascii="Arial Bold" w:hAnsi="Arial Bold"/>
          <w:spacing w:val="30"/>
        </w:rPr>
        <w:t>Y</w:t>
      </w:r>
      <w:r w:rsidRPr="000F540D">
        <w:t>WORKS’ SECRET SAUCE: THE TEAM</w:t>
      </w:r>
    </w:p>
    <w:p w14:paraId="7463D09B" w14:textId="77777777" w:rsidR="00697F02" w:rsidRPr="000F540D" w:rsidRDefault="00697F02" w:rsidP="009C1C6B">
      <w:pPr>
        <w:pStyle w:val="BodyTextMain"/>
        <w:keepNext/>
      </w:pPr>
    </w:p>
    <w:p w14:paraId="1F5E66DD" w14:textId="5390F08B" w:rsidR="00697F02" w:rsidRPr="000F540D" w:rsidRDefault="00DF4F69" w:rsidP="00697F02">
      <w:pPr>
        <w:pStyle w:val="BodyTextMain"/>
      </w:pPr>
      <w:r w:rsidRPr="000F540D">
        <w:t>The ability to hire and retain good people had been at the centr</w:t>
      </w:r>
      <w:r>
        <w:t>e</w:t>
      </w:r>
      <w:r w:rsidRPr="000F540D">
        <w:t xml:space="preserve"> of </w:t>
      </w:r>
      <w:proofErr w:type="spellStart"/>
      <w:r w:rsidRPr="000F540D">
        <w:t>MobilityWorks</w:t>
      </w:r>
      <w:proofErr w:type="spellEnd"/>
      <w:r w:rsidRPr="000F540D">
        <w:t xml:space="preserve">’ sustained growth over the years. </w:t>
      </w:r>
      <w:r w:rsidR="006A0FBC">
        <w:t xml:space="preserve">In 2014, </w:t>
      </w:r>
      <w:proofErr w:type="spellStart"/>
      <w:r w:rsidR="00697F02" w:rsidRPr="000F540D">
        <w:t>MobilityWorks</w:t>
      </w:r>
      <w:proofErr w:type="spellEnd"/>
      <w:r w:rsidR="00697F02" w:rsidRPr="000F540D">
        <w:t xml:space="preserve"> employees scored 79</w:t>
      </w:r>
      <w:r w:rsidR="00697F02">
        <w:t xml:space="preserve"> per cent</w:t>
      </w:r>
      <w:r w:rsidR="00697F02" w:rsidRPr="000F540D">
        <w:t xml:space="preserve"> </w:t>
      </w:r>
      <w:r w:rsidR="00B166BF">
        <w:t xml:space="preserve">in </w:t>
      </w:r>
      <w:r w:rsidR="00697F02" w:rsidRPr="000F540D">
        <w:t>engagement on Modern Survey’s employee engagement survey.</w:t>
      </w:r>
      <w:r w:rsidR="006A0FBC">
        <w:rPr>
          <w:rStyle w:val="FootnoteReference"/>
        </w:rPr>
        <w:footnoteReference w:id="7"/>
      </w:r>
      <w:r w:rsidR="00697F02" w:rsidRPr="000F540D">
        <w:t xml:space="preserve"> The survey </w:t>
      </w:r>
      <w:r w:rsidR="00074626" w:rsidRPr="009C1C6B">
        <w:t xml:space="preserve">measured employee </w:t>
      </w:r>
      <w:r w:rsidR="00697F02" w:rsidRPr="009C1C6B">
        <w:t xml:space="preserve">engagement </w:t>
      </w:r>
      <w:r w:rsidR="00074626" w:rsidRPr="009C1C6B">
        <w:t xml:space="preserve">by </w:t>
      </w:r>
      <w:r w:rsidRPr="009C1C6B">
        <w:t xml:space="preserve">assessing </w:t>
      </w:r>
      <w:r w:rsidR="00074626" w:rsidRPr="009C1C6B">
        <w:t xml:space="preserve">an individual’s </w:t>
      </w:r>
      <w:r w:rsidR="00697F02" w:rsidRPr="009C1C6B">
        <w:t>psychological invest</w:t>
      </w:r>
      <w:r w:rsidR="00074626" w:rsidRPr="009C1C6B">
        <w:t>ment</w:t>
      </w:r>
      <w:r w:rsidR="00697F02" w:rsidRPr="009C1C6B">
        <w:t xml:space="preserve"> in the </w:t>
      </w:r>
      <w:r w:rsidR="00074626" w:rsidRPr="009C1C6B">
        <w:t xml:space="preserve">company </w:t>
      </w:r>
      <w:r w:rsidR="00697F02" w:rsidRPr="009C1C6B">
        <w:t>and motivat</w:t>
      </w:r>
      <w:r w:rsidR="00074626" w:rsidRPr="009C1C6B">
        <w:t>ion</w:t>
      </w:r>
      <w:r w:rsidR="00697F02" w:rsidRPr="009C1C6B">
        <w:t xml:space="preserve"> to contribute to its success</w:t>
      </w:r>
      <w:r w:rsidR="00697F02" w:rsidRPr="000F540D">
        <w:t xml:space="preserve">. </w:t>
      </w:r>
      <w:r w:rsidRPr="000F540D">
        <w:t xml:space="preserve">The corresponding figure for the average </w:t>
      </w:r>
      <w:r>
        <w:t>U.S.</w:t>
      </w:r>
      <w:r w:rsidRPr="000F540D">
        <w:t xml:space="preserve"> workforce was 58</w:t>
      </w:r>
      <w:r>
        <w:t xml:space="preserve"> per cent</w:t>
      </w:r>
      <w:r w:rsidRPr="000F540D">
        <w:t xml:space="preserve">. </w:t>
      </w:r>
    </w:p>
    <w:p w14:paraId="58160796" w14:textId="77777777" w:rsidR="00697F02" w:rsidRDefault="00697F02" w:rsidP="00697F02">
      <w:pPr>
        <w:pStyle w:val="BodyTextMain"/>
      </w:pPr>
    </w:p>
    <w:p w14:paraId="375A69D2" w14:textId="7A68D5CA" w:rsidR="00697F02" w:rsidRPr="000F540D" w:rsidRDefault="00697F02" w:rsidP="00697F02">
      <w:pPr>
        <w:pStyle w:val="BodyTextMain"/>
      </w:pPr>
      <w:r w:rsidRPr="000F540D">
        <w:t xml:space="preserve">Over the years, </w:t>
      </w:r>
      <w:proofErr w:type="spellStart"/>
      <w:r w:rsidRPr="000F540D">
        <w:t>MobilityWorks</w:t>
      </w:r>
      <w:proofErr w:type="spellEnd"/>
      <w:r w:rsidRPr="000F540D">
        <w:t xml:space="preserve"> had succeeded in establishing an exceptional work culture of caring for its employees. The employees in turn were heavily invested in th</w:t>
      </w:r>
      <w:r>
        <w:t xml:space="preserve">e company and its mission. </w:t>
      </w:r>
      <w:r w:rsidR="00DF4F69" w:rsidRPr="000F540D">
        <w:t>“It is hard not to like what we do. If you care about people, it is hard to say I am not engaged</w:t>
      </w:r>
      <w:r w:rsidR="00DF4F69">
        <w:t>,”</w:t>
      </w:r>
      <w:r w:rsidR="00DF4F69" w:rsidRPr="000F540D">
        <w:t xml:space="preserve"> said </w:t>
      </w:r>
      <w:r w:rsidR="00DF4F69">
        <w:t>Mansfield</w:t>
      </w:r>
      <w:r w:rsidR="00DF4F69" w:rsidRPr="000F540D">
        <w:t xml:space="preserve">. </w:t>
      </w:r>
      <w:r>
        <w:t>This</w:t>
      </w:r>
      <w:r w:rsidRPr="000F540D">
        <w:t xml:space="preserve"> </w:t>
      </w:r>
      <w:r>
        <w:t xml:space="preserve">had </w:t>
      </w:r>
      <w:r w:rsidRPr="000F540D">
        <w:t xml:space="preserve">translated into a thriving and profitable business with a significant positive social impact. </w:t>
      </w:r>
    </w:p>
    <w:p w14:paraId="229A5DCE" w14:textId="78D30C29" w:rsidR="00697F02" w:rsidRPr="000F540D" w:rsidRDefault="00697F02" w:rsidP="00697F02">
      <w:pPr>
        <w:pStyle w:val="BodyTextMain"/>
      </w:pPr>
      <w:r w:rsidRPr="000F540D">
        <w:lastRenderedPageBreak/>
        <w:t>“People is what makes us successful</w:t>
      </w:r>
      <w:r>
        <w:t>,”</w:t>
      </w:r>
      <w:r w:rsidRPr="000F540D">
        <w:t xml:space="preserve"> said </w:t>
      </w:r>
      <w:r>
        <w:t xml:space="preserve">Charla Givens, </w:t>
      </w:r>
      <w:proofErr w:type="spellStart"/>
      <w:r>
        <w:t>MobilityWorks</w:t>
      </w:r>
      <w:proofErr w:type="spellEnd"/>
      <w:r>
        <w:t xml:space="preserve">’ </w:t>
      </w:r>
      <w:r w:rsidR="00307260">
        <w:t>h</w:t>
      </w:r>
      <w:r>
        <w:t xml:space="preserve">uman </w:t>
      </w:r>
      <w:r w:rsidR="00307260">
        <w:t>r</w:t>
      </w:r>
      <w:r>
        <w:t>esources</w:t>
      </w:r>
      <w:r w:rsidRPr="000F540D">
        <w:t xml:space="preserve"> </w:t>
      </w:r>
      <w:r w:rsidR="00307260">
        <w:t>d</w:t>
      </w:r>
      <w:r w:rsidRPr="000F540D">
        <w:t>irector. She joined the company in 2007</w:t>
      </w:r>
      <w:r>
        <w:t>,</w:t>
      </w:r>
      <w:r w:rsidRPr="000F540D">
        <w:t xml:space="preserve"> when it had </w:t>
      </w:r>
      <w:r w:rsidR="00307260">
        <w:t>13</w:t>
      </w:r>
      <w:r w:rsidR="00307260" w:rsidRPr="000F540D">
        <w:t xml:space="preserve"> </w:t>
      </w:r>
      <w:r w:rsidRPr="000F540D">
        <w:t xml:space="preserve">stores and a </w:t>
      </w:r>
      <w:r>
        <w:t>three</w:t>
      </w:r>
      <w:r w:rsidR="00307260">
        <w:t>-</w:t>
      </w:r>
      <w:r w:rsidRPr="000F540D">
        <w:t xml:space="preserve">person </w:t>
      </w:r>
      <w:r w:rsidR="00307260">
        <w:t>human resources</w:t>
      </w:r>
      <w:r w:rsidR="00307260" w:rsidRPr="000F540D">
        <w:t xml:space="preserve"> </w:t>
      </w:r>
      <w:r w:rsidRPr="000F540D">
        <w:t xml:space="preserve">team. In 2010, </w:t>
      </w:r>
      <w:proofErr w:type="spellStart"/>
      <w:r w:rsidRPr="000F540D">
        <w:t>MobilityWorks</w:t>
      </w:r>
      <w:proofErr w:type="spellEnd"/>
      <w:r w:rsidRPr="000F540D">
        <w:t xml:space="preserve"> developed its set of core values, LOVE IT</w:t>
      </w:r>
      <w:r w:rsidR="00EA7FE4">
        <w:t xml:space="preserve">: </w:t>
      </w:r>
      <w:r w:rsidRPr="000F540D">
        <w:t>Listen, Ownership, Value, Excitement, Integrity</w:t>
      </w:r>
      <w:r w:rsidR="00EA7FE4">
        <w:t>,</w:t>
      </w:r>
      <w:r w:rsidRPr="000F540D">
        <w:t xml:space="preserve"> and Team. </w:t>
      </w:r>
      <w:r w:rsidR="00B166BF">
        <w:t>Givens said that e</w:t>
      </w:r>
      <w:r w:rsidRPr="000F540D">
        <w:t xml:space="preserve">stablishing and adopting the core values had been the biggest cultural change in </w:t>
      </w:r>
      <w:proofErr w:type="spellStart"/>
      <w:r w:rsidRPr="000F540D">
        <w:t>MobilityWorks</w:t>
      </w:r>
      <w:proofErr w:type="spellEnd"/>
      <w:r w:rsidRPr="000F540D">
        <w:t xml:space="preserve"> over the last few years.</w:t>
      </w:r>
      <w:r w:rsidR="00ED3C44">
        <w:t xml:space="preserve"> </w:t>
      </w:r>
      <w:r>
        <w:t>Employees embraced the catchy motto and t</w:t>
      </w:r>
      <w:r w:rsidRPr="000F540D">
        <w:t xml:space="preserve">he </w:t>
      </w:r>
      <w:proofErr w:type="spellStart"/>
      <w:r w:rsidRPr="000F540D">
        <w:t>MobilityWorks</w:t>
      </w:r>
      <w:proofErr w:type="spellEnd"/>
      <w:r w:rsidRPr="000F540D">
        <w:t xml:space="preserve"> team </w:t>
      </w:r>
      <w:r>
        <w:t xml:space="preserve">started to </w:t>
      </w:r>
      <w:r w:rsidRPr="000F540D">
        <w:t>live and breathe</w:t>
      </w:r>
      <w:r>
        <w:t xml:space="preserve"> the</w:t>
      </w:r>
      <w:r w:rsidRPr="000F540D">
        <w:t xml:space="preserve"> core values. </w:t>
      </w:r>
    </w:p>
    <w:p w14:paraId="12C0209E" w14:textId="77777777" w:rsidR="00697F02" w:rsidRDefault="00697F02" w:rsidP="00697F02">
      <w:pPr>
        <w:pStyle w:val="BodyTextMain"/>
      </w:pPr>
    </w:p>
    <w:p w14:paraId="170D6A60" w14:textId="28893BD1" w:rsidR="00697F02" w:rsidRPr="000F540D" w:rsidRDefault="00697F02" w:rsidP="00697F02">
      <w:pPr>
        <w:pStyle w:val="BodyTextMain"/>
      </w:pPr>
      <w:r w:rsidRPr="000F540D">
        <w:t xml:space="preserve">Finding the right people to hire was a critical part of </w:t>
      </w:r>
      <w:r>
        <w:t>Givens’</w:t>
      </w:r>
      <w:r w:rsidRPr="000F540D">
        <w:t xml:space="preserve"> role, </w:t>
      </w:r>
      <w:r w:rsidR="00EA7FE4">
        <w:t>a task</w:t>
      </w:r>
      <w:r w:rsidR="00EA7FE4" w:rsidRPr="000F540D">
        <w:t xml:space="preserve"> </w:t>
      </w:r>
      <w:r w:rsidRPr="000F540D">
        <w:t xml:space="preserve">that was also the most challenging. People with prior experience in the automotive industry minus the </w:t>
      </w:r>
      <w:r w:rsidR="00EA7FE4">
        <w:t>“</w:t>
      </w:r>
      <w:r w:rsidRPr="000F540D">
        <w:t>car dealership attitude</w:t>
      </w:r>
      <w:r w:rsidR="00EA7FE4">
        <w:t>”</w:t>
      </w:r>
      <w:r w:rsidRPr="000F540D">
        <w:t xml:space="preserve"> were hard to find, added </w:t>
      </w:r>
      <w:r>
        <w:t>Mansfield</w:t>
      </w:r>
      <w:r w:rsidRPr="000F540D">
        <w:t xml:space="preserve">. Not everyone was willing to leave the monetary benefits that came with the car dealership environment for </w:t>
      </w:r>
      <w:proofErr w:type="spellStart"/>
      <w:r w:rsidRPr="000F540D">
        <w:t>MobilityWorks</w:t>
      </w:r>
      <w:proofErr w:type="spellEnd"/>
      <w:r w:rsidRPr="000F540D">
        <w:t>’ better work</w:t>
      </w:r>
      <w:r w:rsidR="00463845">
        <w:t>/</w:t>
      </w:r>
      <w:r w:rsidRPr="000F540D">
        <w:t>life balance and purpose</w:t>
      </w:r>
      <w:r w:rsidR="00463845">
        <w:t>-</w:t>
      </w:r>
      <w:r w:rsidRPr="000F540D">
        <w:t xml:space="preserve">driven work, even though </w:t>
      </w:r>
      <w:proofErr w:type="spellStart"/>
      <w:r w:rsidRPr="000F540D">
        <w:t>MobilityWorks</w:t>
      </w:r>
      <w:proofErr w:type="spellEnd"/>
      <w:r w:rsidRPr="000F540D">
        <w:t xml:space="preserve"> offered reasonably good pay and benefits. </w:t>
      </w:r>
      <w:r>
        <w:t>Givens</w:t>
      </w:r>
      <w:r w:rsidRPr="000F540D">
        <w:t xml:space="preserve"> felt that</w:t>
      </w:r>
      <w:r>
        <w:t>,</w:t>
      </w:r>
      <w:r w:rsidRPr="000F540D">
        <w:t xml:space="preserve"> increasingly</w:t>
      </w:r>
      <w:r>
        <w:t>,</w:t>
      </w:r>
      <w:r w:rsidRPr="000F540D">
        <w:t xml:space="preserve"> it was an employees’ market. As </w:t>
      </w:r>
      <w:proofErr w:type="spellStart"/>
      <w:r w:rsidRPr="000F540D">
        <w:t>Mobil</w:t>
      </w:r>
      <w:r>
        <w:t>i</w:t>
      </w:r>
      <w:r w:rsidRPr="000F540D">
        <w:t>tyWorks</w:t>
      </w:r>
      <w:proofErr w:type="spellEnd"/>
      <w:r w:rsidRPr="000F540D">
        <w:t xml:space="preserve"> continued to grow, it realized that </w:t>
      </w:r>
      <w:r w:rsidR="00403793">
        <w:t>M</w:t>
      </w:r>
      <w:r w:rsidRPr="000F540D">
        <w:t>illennials were truly the future</w:t>
      </w:r>
      <w:r w:rsidR="00463845">
        <w:t>,</w:t>
      </w:r>
      <w:r w:rsidR="00EA7FE4">
        <w:t xml:space="preserve"> but</w:t>
      </w:r>
      <w:r w:rsidR="00EA7FE4" w:rsidRPr="000F540D">
        <w:t xml:space="preserve"> not enough </w:t>
      </w:r>
      <w:r w:rsidR="00EA7FE4">
        <w:t>m</w:t>
      </w:r>
      <w:r w:rsidR="00EA7FE4" w:rsidRPr="000F540D">
        <w:t>illennials seemed to be entering the automotive industry</w:t>
      </w:r>
      <w:r w:rsidRPr="000F540D">
        <w:t xml:space="preserve">. </w:t>
      </w:r>
      <w:r>
        <w:t>Givens</w:t>
      </w:r>
      <w:r w:rsidRPr="000F540D">
        <w:t xml:space="preserve"> was concerned that </w:t>
      </w:r>
      <w:r w:rsidR="00EA7FE4">
        <w:t>m</w:t>
      </w:r>
      <w:r w:rsidRPr="000F540D">
        <w:t xml:space="preserve">illennials may not want to work for a company like </w:t>
      </w:r>
      <w:proofErr w:type="spellStart"/>
      <w:r w:rsidRPr="000F540D">
        <w:t>MobilityWorks</w:t>
      </w:r>
      <w:proofErr w:type="spellEnd"/>
      <w:r w:rsidRPr="000F540D">
        <w:t xml:space="preserve">. </w:t>
      </w:r>
    </w:p>
    <w:p w14:paraId="6FB00D3C" w14:textId="77777777" w:rsidR="00697F02" w:rsidRDefault="00697F02" w:rsidP="00697F02">
      <w:pPr>
        <w:pStyle w:val="BodyTextMain"/>
      </w:pPr>
    </w:p>
    <w:p w14:paraId="78B6A3BD" w14:textId="538684D8" w:rsidR="00697F02" w:rsidRPr="000F540D" w:rsidRDefault="00697F02" w:rsidP="00697F02">
      <w:pPr>
        <w:pStyle w:val="BodyTextMain"/>
      </w:pPr>
      <w:r>
        <w:t xml:space="preserve">Marketing not </w:t>
      </w:r>
      <w:r w:rsidRPr="000F540D">
        <w:t xml:space="preserve">only </w:t>
      </w:r>
      <w:r>
        <w:t>to potential customers</w:t>
      </w:r>
      <w:r w:rsidRPr="000F540D">
        <w:t xml:space="preserve"> but also to future employees and leadership could be a critical challenge even for a successful and high impact business like </w:t>
      </w:r>
      <w:proofErr w:type="spellStart"/>
      <w:r w:rsidRPr="000F540D">
        <w:t>MobilityWorks</w:t>
      </w:r>
      <w:proofErr w:type="spellEnd"/>
      <w:r w:rsidRPr="000F540D">
        <w:t>.</w:t>
      </w:r>
    </w:p>
    <w:p w14:paraId="11B472B6" w14:textId="77777777" w:rsidR="00697F02" w:rsidRDefault="00697F02" w:rsidP="00697F02">
      <w:pPr>
        <w:pStyle w:val="BodyTextMain"/>
      </w:pPr>
    </w:p>
    <w:p w14:paraId="4FF8ADB5" w14:textId="77777777" w:rsidR="00697F02" w:rsidRPr="000F540D" w:rsidRDefault="00697F02" w:rsidP="00697F02">
      <w:pPr>
        <w:pStyle w:val="BodyTextMain"/>
      </w:pPr>
    </w:p>
    <w:p w14:paraId="52A17CEB" w14:textId="77777777" w:rsidR="00697F02" w:rsidRPr="000F540D" w:rsidRDefault="00697F02" w:rsidP="009C1C6B">
      <w:pPr>
        <w:pStyle w:val="Casehead1"/>
      </w:pPr>
      <w:r w:rsidRPr="000F540D">
        <w:t>AFFORDABILITY</w:t>
      </w:r>
    </w:p>
    <w:p w14:paraId="122CDCC9" w14:textId="77777777" w:rsidR="00697F02" w:rsidRDefault="00697F02" w:rsidP="00697F02">
      <w:pPr>
        <w:pStyle w:val="BodyTextMain"/>
      </w:pPr>
    </w:p>
    <w:p w14:paraId="1842242E" w14:textId="31346A8B" w:rsidR="00697F02" w:rsidRDefault="000315FD" w:rsidP="00697F02">
      <w:pPr>
        <w:pStyle w:val="BodyTextMain"/>
      </w:pPr>
      <w:r>
        <w:t>In the United States in 2012, t</w:t>
      </w:r>
      <w:r w:rsidR="00697F02" w:rsidRPr="000F540D">
        <w:t>he median annual income of a</w:t>
      </w:r>
      <w:r w:rsidR="00697F02">
        <w:t>n employed</w:t>
      </w:r>
      <w:r w:rsidR="00697F02" w:rsidRPr="000F540D">
        <w:t xml:space="preserve"> working-age individual </w:t>
      </w:r>
      <w:r>
        <w:t xml:space="preserve">with </w:t>
      </w:r>
      <w:r w:rsidRPr="000F540D">
        <w:t xml:space="preserve">limited mobility </w:t>
      </w:r>
      <w:r w:rsidR="00697F02" w:rsidRPr="000F540D">
        <w:t xml:space="preserve">was </w:t>
      </w:r>
      <w:r>
        <w:t>US</w:t>
      </w:r>
      <w:r w:rsidR="00697F02" w:rsidRPr="000F540D">
        <w:t>$20,808</w:t>
      </w:r>
      <w:r>
        <w:t>.</w:t>
      </w:r>
      <w:r>
        <w:rPr>
          <w:rStyle w:val="FootnoteReference"/>
        </w:rPr>
        <w:footnoteReference w:id="8"/>
      </w:r>
      <w:r>
        <w:t xml:space="preserve"> T</w:t>
      </w:r>
      <w:r w:rsidR="00697F02" w:rsidRPr="000F540D">
        <w:t xml:space="preserve">he average price of a </w:t>
      </w:r>
      <w:r>
        <w:t>WAV</w:t>
      </w:r>
      <w:r w:rsidR="00697F02" w:rsidRPr="000F540D">
        <w:t xml:space="preserve"> was roughly $45,000. </w:t>
      </w:r>
      <w:r w:rsidRPr="000F540D">
        <w:t>It could cost as much as</w:t>
      </w:r>
      <w:r>
        <w:t xml:space="preserve"> an additional</w:t>
      </w:r>
      <w:r w:rsidRPr="000F540D">
        <w:t xml:space="preserve"> </w:t>
      </w:r>
      <w:r>
        <w:t>$</w:t>
      </w:r>
      <w:r w:rsidRPr="000F540D">
        <w:t xml:space="preserve">26,000 to convert a $26,000 Toyota Sienna </w:t>
      </w:r>
      <w:r w:rsidR="004C5A25">
        <w:t xml:space="preserve">minivan </w:t>
      </w:r>
      <w:r w:rsidRPr="000F540D">
        <w:t xml:space="preserve">into a </w:t>
      </w:r>
      <w:r>
        <w:t xml:space="preserve">WAV. </w:t>
      </w:r>
      <w:r w:rsidR="00697F02" w:rsidRPr="000F540D">
        <w:t>By contrast, the median annual income of a</w:t>
      </w:r>
      <w:r w:rsidR="00697F02">
        <w:t>n employed</w:t>
      </w:r>
      <w:r w:rsidR="00697F02" w:rsidRPr="000F540D">
        <w:t xml:space="preserve"> working-age adult with no disability was $32,688</w:t>
      </w:r>
      <w:r w:rsidR="00697F02">
        <w:t>,</w:t>
      </w:r>
      <w:r w:rsidR="00697F02">
        <w:rPr>
          <w:rStyle w:val="FootnoteReference"/>
        </w:rPr>
        <w:footnoteReference w:id="9"/>
      </w:r>
      <w:r w:rsidR="00697F02" w:rsidRPr="000F540D">
        <w:t xml:space="preserve"> </w:t>
      </w:r>
      <w:r>
        <w:t>and</w:t>
      </w:r>
      <w:r w:rsidRPr="000F540D">
        <w:t xml:space="preserve"> </w:t>
      </w:r>
      <w:r w:rsidR="00697F02" w:rsidRPr="000F540D">
        <w:t>the average price of a car was $24,296</w:t>
      </w:r>
      <w:r w:rsidR="00697F02">
        <w:t>.</w:t>
      </w:r>
      <w:r w:rsidR="00697F02" w:rsidRPr="000F540D">
        <w:t xml:space="preserve"> Affordability was clearly the predominant obstacle separating a mobility</w:t>
      </w:r>
      <w:r>
        <w:t>-</w:t>
      </w:r>
      <w:r w:rsidRPr="000F540D">
        <w:t xml:space="preserve">limited </w:t>
      </w:r>
      <w:r w:rsidR="00697F02" w:rsidRPr="000F540D">
        <w:t xml:space="preserve">individual from a </w:t>
      </w:r>
      <w:r w:rsidR="00697F02">
        <w:t>WAV</w:t>
      </w:r>
      <w:r w:rsidR="00697F02" w:rsidRPr="000F540D">
        <w:t xml:space="preserve">. </w:t>
      </w:r>
    </w:p>
    <w:p w14:paraId="38F61446" w14:textId="77777777" w:rsidR="00E0570C" w:rsidRDefault="00E0570C" w:rsidP="00697F02">
      <w:pPr>
        <w:pStyle w:val="BodyTextMain"/>
      </w:pPr>
    </w:p>
    <w:p w14:paraId="15758624" w14:textId="3F7BD49F" w:rsidR="00D376D3" w:rsidRDefault="00D376D3" w:rsidP="00697F02">
      <w:pPr>
        <w:pStyle w:val="BodyTextMain"/>
      </w:pPr>
      <w:proofErr w:type="spellStart"/>
      <w:r>
        <w:t>MobilityWorks</w:t>
      </w:r>
      <w:proofErr w:type="spellEnd"/>
      <w:r>
        <w:t xml:space="preserve"> did what they could to make WAVs accessible. Costs could be lowered by e</w:t>
      </w:r>
      <w:r w:rsidR="00697F02" w:rsidRPr="000F540D">
        <w:t xml:space="preserve">xecuting a conversion on a used vehicle in good condition. </w:t>
      </w:r>
      <w:proofErr w:type="spellStart"/>
      <w:r w:rsidR="00697F02" w:rsidRPr="000F540D">
        <w:t>MobilityWorks</w:t>
      </w:r>
      <w:proofErr w:type="spellEnd"/>
      <w:r w:rsidR="00697F02" w:rsidRPr="000F540D">
        <w:t>’ inventory of 550 accessible vehicles included both new and used vehicles</w:t>
      </w:r>
      <w:r>
        <w:t>, with</w:t>
      </w:r>
      <w:r w:rsidR="00697F02" w:rsidRPr="000F540D">
        <w:t xml:space="preserve"> a used </w:t>
      </w:r>
      <w:r w:rsidR="00697F02">
        <w:t xml:space="preserve">WAV </w:t>
      </w:r>
      <w:r>
        <w:t>available</w:t>
      </w:r>
      <w:r w:rsidR="00697F02">
        <w:t xml:space="preserve"> for as little as $10,500</w:t>
      </w:r>
      <w:r w:rsidR="00697F02" w:rsidRPr="000F540D">
        <w:t>.</w:t>
      </w:r>
      <w:r w:rsidR="00697F02">
        <w:rPr>
          <w:rStyle w:val="FootnoteReference"/>
        </w:rPr>
        <w:footnoteReference w:id="10"/>
      </w:r>
      <w:r>
        <w:t xml:space="preserve"> </w:t>
      </w:r>
      <w:r w:rsidR="00697F02" w:rsidRPr="000F540D">
        <w:t xml:space="preserve">In 2011, the company established </w:t>
      </w:r>
      <w:r w:rsidR="004C5A25">
        <w:t>t</w:t>
      </w:r>
      <w:r w:rsidR="00697F02" w:rsidRPr="000F540D">
        <w:t xml:space="preserve">he </w:t>
      </w:r>
      <w:proofErr w:type="spellStart"/>
      <w:r w:rsidR="00697F02" w:rsidRPr="000F540D">
        <w:t>MobilityWorks</w:t>
      </w:r>
      <w:proofErr w:type="spellEnd"/>
      <w:r w:rsidR="00697F02" w:rsidRPr="000F540D">
        <w:t xml:space="preserve"> Foundation, a non</w:t>
      </w:r>
      <w:r w:rsidR="005028FA">
        <w:t>-</w:t>
      </w:r>
      <w:r w:rsidR="00697F02" w:rsidRPr="000F540D">
        <w:t xml:space="preserve">profit organization </w:t>
      </w:r>
      <w:r w:rsidR="004C5A25">
        <w:t>that</w:t>
      </w:r>
      <w:r w:rsidR="00697F02" w:rsidRPr="000F540D">
        <w:t xml:space="preserve"> provide</w:t>
      </w:r>
      <w:r w:rsidR="004C5A25">
        <w:t>d</w:t>
      </w:r>
      <w:r w:rsidR="00697F02" w:rsidRPr="000F540D">
        <w:t xml:space="preserve"> financial assistance or equipment</w:t>
      </w:r>
      <w:r w:rsidR="004C5A25">
        <w:t>, or both,</w:t>
      </w:r>
      <w:r w:rsidR="00697F02" w:rsidRPr="000F540D">
        <w:t xml:space="preserve"> to individuals requiring help with mobility needs.</w:t>
      </w:r>
      <w:r w:rsidR="00ED3C44">
        <w:t xml:space="preserve"> </w:t>
      </w:r>
    </w:p>
    <w:p w14:paraId="58A7D730" w14:textId="77777777" w:rsidR="00D376D3" w:rsidRPr="000F540D" w:rsidRDefault="00D376D3" w:rsidP="00697F02">
      <w:pPr>
        <w:pStyle w:val="BodyTextMain"/>
      </w:pPr>
    </w:p>
    <w:p w14:paraId="44852083" w14:textId="13EF2161" w:rsidR="00697F02" w:rsidRPr="000176BF" w:rsidRDefault="00601DA9" w:rsidP="004C5A25">
      <w:pPr>
        <w:pStyle w:val="BodyTextMain"/>
        <w:rPr>
          <w:spacing w:val="-2"/>
          <w:kern w:val="22"/>
        </w:rPr>
      </w:pPr>
      <w:r w:rsidRPr="000176BF">
        <w:rPr>
          <w:spacing w:val="-2"/>
          <w:kern w:val="22"/>
        </w:rPr>
        <w:t>The scope of health insurance had widened over the years, but n</w:t>
      </w:r>
      <w:r w:rsidR="00697F02" w:rsidRPr="000176BF">
        <w:rPr>
          <w:spacing w:val="-2"/>
          <w:kern w:val="22"/>
        </w:rPr>
        <w:t>either regular health insurance</w:t>
      </w:r>
      <w:r w:rsidRPr="000176BF">
        <w:rPr>
          <w:spacing w:val="-2"/>
          <w:kern w:val="22"/>
        </w:rPr>
        <w:t xml:space="preserve">, </w:t>
      </w:r>
      <w:r w:rsidR="00697F02" w:rsidRPr="000176BF">
        <w:rPr>
          <w:spacing w:val="-2"/>
          <w:kern w:val="22"/>
        </w:rPr>
        <w:t xml:space="preserve">Medicare, nor Medicaid </w:t>
      </w:r>
      <w:r w:rsidR="004C5A25" w:rsidRPr="000176BF">
        <w:rPr>
          <w:spacing w:val="-2"/>
          <w:kern w:val="22"/>
        </w:rPr>
        <w:t xml:space="preserve">would </w:t>
      </w:r>
      <w:r w:rsidR="00697F02" w:rsidRPr="000176BF">
        <w:rPr>
          <w:spacing w:val="-2"/>
          <w:kern w:val="22"/>
        </w:rPr>
        <w:t xml:space="preserve">help pay for a wheelchair access modification to a vehicle. They would cover </w:t>
      </w:r>
      <w:r w:rsidR="004C5A25" w:rsidRPr="000176BF">
        <w:rPr>
          <w:spacing w:val="-2"/>
          <w:kern w:val="22"/>
        </w:rPr>
        <w:t xml:space="preserve">the needs of </w:t>
      </w:r>
      <w:r w:rsidR="00697F02" w:rsidRPr="000176BF">
        <w:rPr>
          <w:spacing w:val="-2"/>
          <w:kern w:val="22"/>
        </w:rPr>
        <w:t>a mobility</w:t>
      </w:r>
      <w:r w:rsidR="004C5A25" w:rsidRPr="000176BF">
        <w:rPr>
          <w:spacing w:val="-2"/>
          <w:kern w:val="22"/>
        </w:rPr>
        <w:t xml:space="preserve">-limited </w:t>
      </w:r>
      <w:r w:rsidR="00697F02" w:rsidRPr="000176BF">
        <w:rPr>
          <w:spacing w:val="-2"/>
          <w:kern w:val="22"/>
        </w:rPr>
        <w:t xml:space="preserve">individual in </w:t>
      </w:r>
      <w:r w:rsidR="00834B40" w:rsidRPr="000176BF">
        <w:rPr>
          <w:spacing w:val="-2"/>
          <w:kern w:val="22"/>
        </w:rPr>
        <w:t xml:space="preserve">the </w:t>
      </w:r>
      <w:r w:rsidR="00697F02" w:rsidRPr="000176BF">
        <w:rPr>
          <w:spacing w:val="-2"/>
          <w:kern w:val="22"/>
        </w:rPr>
        <w:t>home and would subsidize a wheelchair</w:t>
      </w:r>
      <w:r w:rsidR="003D5E52" w:rsidRPr="000176BF">
        <w:rPr>
          <w:spacing w:val="-2"/>
          <w:kern w:val="22"/>
        </w:rPr>
        <w:t xml:space="preserve"> and</w:t>
      </w:r>
      <w:r w:rsidR="00697F02" w:rsidRPr="000176BF">
        <w:rPr>
          <w:spacing w:val="-2"/>
          <w:kern w:val="22"/>
        </w:rPr>
        <w:t xml:space="preserve"> even a mobility scooter, but </w:t>
      </w:r>
      <w:r w:rsidR="00834B40" w:rsidRPr="000176BF">
        <w:rPr>
          <w:spacing w:val="-2"/>
          <w:kern w:val="22"/>
        </w:rPr>
        <w:t xml:space="preserve">would </w:t>
      </w:r>
      <w:r w:rsidR="00697F02" w:rsidRPr="000176BF">
        <w:rPr>
          <w:spacing w:val="-2"/>
          <w:kern w:val="22"/>
        </w:rPr>
        <w:t xml:space="preserve">not </w:t>
      </w:r>
      <w:r w:rsidR="00834B40" w:rsidRPr="000176BF">
        <w:rPr>
          <w:spacing w:val="-2"/>
          <w:kern w:val="22"/>
        </w:rPr>
        <w:t xml:space="preserve">cover costs </w:t>
      </w:r>
      <w:r w:rsidR="00697F02" w:rsidRPr="000176BF">
        <w:rPr>
          <w:spacing w:val="-2"/>
          <w:kern w:val="22"/>
        </w:rPr>
        <w:t xml:space="preserve">incurred to enable travel beyond the home. </w:t>
      </w:r>
      <w:r w:rsidRPr="000176BF">
        <w:rPr>
          <w:spacing w:val="-2"/>
          <w:kern w:val="22"/>
        </w:rPr>
        <w:t>I</w:t>
      </w:r>
      <w:r w:rsidR="00697F02" w:rsidRPr="000176BF">
        <w:rPr>
          <w:spacing w:val="-2"/>
          <w:kern w:val="22"/>
        </w:rPr>
        <w:t xml:space="preserve">f </w:t>
      </w:r>
      <w:r w:rsidRPr="000176BF">
        <w:rPr>
          <w:spacing w:val="-2"/>
          <w:kern w:val="22"/>
        </w:rPr>
        <w:t xml:space="preserve">health insurance plans </w:t>
      </w:r>
      <w:r w:rsidR="00697F02" w:rsidRPr="000176BF">
        <w:rPr>
          <w:spacing w:val="-2"/>
          <w:kern w:val="22"/>
        </w:rPr>
        <w:t>were to include WAVs in the future, millions of people who could benefit from a WAV would finally be able to afford one.</w:t>
      </w:r>
      <w:r w:rsidR="00ED3C44" w:rsidRPr="000176BF">
        <w:rPr>
          <w:spacing w:val="-2"/>
          <w:kern w:val="22"/>
        </w:rPr>
        <w:t xml:space="preserve"> </w:t>
      </w:r>
    </w:p>
    <w:p w14:paraId="423D1F1A" w14:textId="77777777" w:rsidR="00697F02" w:rsidRPr="000F540D" w:rsidRDefault="00697F02" w:rsidP="00697F02">
      <w:pPr>
        <w:pStyle w:val="BodyTextMain"/>
      </w:pPr>
    </w:p>
    <w:p w14:paraId="3DDEF64C" w14:textId="33725D1E" w:rsidR="00697F02" w:rsidRPr="000F540D" w:rsidRDefault="00697F02" w:rsidP="00697F02">
      <w:pPr>
        <w:pStyle w:val="BodyTextMain"/>
      </w:pPr>
      <w:r w:rsidRPr="000F540D">
        <w:t xml:space="preserve">One </w:t>
      </w:r>
      <w:r>
        <w:t>might</w:t>
      </w:r>
      <w:r w:rsidRPr="000F540D">
        <w:t xml:space="preserve"> assume that a number of non-profits and government programs </w:t>
      </w:r>
      <w:r w:rsidR="00601DA9">
        <w:t>would</w:t>
      </w:r>
      <w:r w:rsidRPr="000F540D">
        <w:t xml:space="preserve"> support </w:t>
      </w:r>
      <w:r w:rsidR="00601DA9">
        <w:t xml:space="preserve">the growing </w:t>
      </w:r>
      <w:r w:rsidRPr="000F540D">
        <w:t xml:space="preserve">population </w:t>
      </w:r>
      <w:r w:rsidR="003D5E52">
        <w:t xml:space="preserve">with </w:t>
      </w:r>
      <w:r w:rsidR="003D5E52" w:rsidRPr="000F540D">
        <w:t xml:space="preserve">limited </w:t>
      </w:r>
      <w:r w:rsidR="003D5E52">
        <w:t xml:space="preserve">mobility </w:t>
      </w:r>
      <w:r w:rsidRPr="000F540D">
        <w:t xml:space="preserve">and provide funding for </w:t>
      </w:r>
      <w:r>
        <w:t>WAVs</w:t>
      </w:r>
      <w:r w:rsidR="00DB0A2B">
        <w:t>;</w:t>
      </w:r>
      <w:r w:rsidRPr="000F540D">
        <w:t xml:space="preserve"> </w:t>
      </w:r>
      <w:r w:rsidR="00DB0A2B">
        <w:t>a</w:t>
      </w:r>
      <w:r w:rsidRPr="000F540D">
        <w:t xml:space="preserve">fter all, </w:t>
      </w:r>
      <w:r>
        <w:t xml:space="preserve">$519.2 billion </w:t>
      </w:r>
      <w:r w:rsidR="00601DA9">
        <w:t xml:space="preserve">was </w:t>
      </w:r>
      <w:r>
        <w:t xml:space="preserve">spent </w:t>
      </w:r>
      <w:r w:rsidR="00DB0A2B">
        <w:t>on</w:t>
      </w:r>
      <w:r w:rsidRPr="000F540D">
        <w:t xml:space="preserve"> disability programs in the United States in 2006.</w:t>
      </w:r>
      <w:r>
        <w:rPr>
          <w:rStyle w:val="FootnoteReference"/>
        </w:rPr>
        <w:footnoteReference w:id="11"/>
      </w:r>
      <w:r w:rsidRPr="000F540D">
        <w:t xml:space="preserve"> This constituted </w:t>
      </w:r>
      <w:r w:rsidR="00601DA9">
        <w:t>11</w:t>
      </w:r>
      <w:r w:rsidR="00601DA9" w:rsidRPr="000F540D">
        <w:t xml:space="preserve"> </w:t>
      </w:r>
      <w:r w:rsidRPr="000F540D">
        <w:t>per</w:t>
      </w:r>
      <w:r w:rsidR="00601DA9">
        <w:t xml:space="preserve"> </w:t>
      </w:r>
      <w:r w:rsidRPr="000F540D">
        <w:t xml:space="preserve">cent of total federal, state, and </w:t>
      </w:r>
      <w:r w:rsidRPr="000F540D">
        <w:lastRenderedPageBreak/>
        <w:t>local spending in the U</w:t>
      </w:r>
      <w:r w:rsidR="00601DA9">
        <w:t xml:space="preserve">nited </w:t>
      </w:r>
      <w:r w:rsidRPr="000F540D">
        <w:t>S</w:t>
      </w:r>
      <w:r w:rsidR="00601DA9">
        <w:t>tates</w:t>
      </w:r>
      <w:r w:rsidRPr="000F540D">
        <w:t xml:space="preserve"> that year. As many as </w:t>
      </w:r>
      <w:r>
        <w:t>six</w:t>
      </w:r>
      <w:r w:rsidRPr="000F540D">
        <w:t xml:space="preserve"> grants and assistance programs were available in the state of Ohio alone</w:t>
      </w:r>
      <w:r>
        <w:t>.</w:t>
      </w:r>
      <w:r>
        <w:rPr>
          <w:rStyle w:val="FootnoteReference"/>
        </w:rPr>
        <w:footnoteReference w:id="12"/>
      </w:r>
      <w:r w:rsidRPr="000F540D">
        <w:t xml:space="preserve"> On </w:t>
      </w:r>
      <w:r>
        <w:t xml:space="preserve">the </w:t>
      </w:r>
      <w:r w:rsidRPr="000F540D">
        <w:t>ground</w:t>
      </w:r>
      <w:r>
        <w:t>,</w:t>
      </w:r>
      <w:r w:rsidRPr="000F540D">
        <w:t xml:space="preserve"> however, it seemed that third</w:t>
      </w:r>
      <w:r w:rsidR="009F098A">
        <w:t>-</w:t>
      </w:r>
      <w:r w:rsidRPr="000F540D">
        <w:t>party funding was limited. The Veterans Administration was an exception. It would fully fund a vehicle, including the conversion, for all veterans injured on duty. Fifteen per</w:t>
      </w:r>
      <w:r w:rsidR="009F098A">
        <w:t xml:space="preserve"> </w:t>
      </w:r>
      <w:r w:rsidRPr="000F540D">
        <w:t xml:space="preserve">cent of all </w:t>
      </w:r>
      <w:proofErr w:type="spellStart"/>
      <w:r w:rsidRPr="000F540D">
        <w:t>MobilityWorks</w:t>
      </w:r>
      <w:proofErr w:type="spellEnd"/>
      <w:r w:rsidR="009F098A">
        <w:t>’</w:t>
      </w:r>
      <w:r w:rsidRPr="000F540D">
        <w:t xml:space="preserve"> sales were generated through veterans funded by the V</w:t>
      </w:r>
      <w:r w:rsidR="009F098A">
        <w:t xml:space="preserve">eterans </w:t>
      </w:r>
      <w:r w:rsidRPr="000F540D">
        <w:t>A</w:t>
      </w:r>
      <w:r w:rsidR="009F098A">
        <w:t>dministration</w:t>
      </w:r>
      <w:r w:rsidRPr="000F540D">
        <w:t>.</w:t>
      </w:r>
      <w:r w:rsidR="00ED3C44">
        <w:t xml:space="preserve"> </w:t>
      </w:r>
    </w:p>
    <w:p w14:paraId="5F505F59" w14:textId="77777777" w:rsidR="00697F02" w:rsidRDefault="00697F02" w:rsidP="00697F02">
      <w:pPr>
        <w:pStyle w:val="BodyTextMain"/>
      </w:pPr>
    </w:p>
    <w:p w14:paraId="2D9B90E3" w14:textId="1130E349" w:rsidR="00697F02" w:rsidRPr="000F540D" w:rsidRDefault="00697F02" w:rsidP="00697F02">
      <w:pPr>
        <w:pStyle w:val="BodyTextMain"/>
      </w:pPr>
      <w:r w:rsidRPr="000F540D">
        <w:t>Affordability was a relatively lesser concern for another customer segment</w:t>
      </w:r>
      <w:r w:rsidR="009F098A">
        <w:t xml:space="preserve">: </w:t>
      </w:r>
      <w:r w:rsidRPr="000F540D">
        <w:t>institutions such as hospitals, old-age homes, universities</w:t>
      </w:r>
      <w:r w:rsidR="009F098A">
        <w:t>,</w:t>
      </w:r>
      <w:r w:rsidRPr="000F540D">
        <w:t xml:space="preserve"> and schools. They were grouped under the </w:t>
      </w:r>
      <w:r w:rsidR="009F098A">
        <w:t>c</w:t>
      </w:r>
      <w:r w:rsidRPr="000F540D">
        <w:t xml:space="preserve">ommercial segment and represented another </w:t>
      </w:r>
      <w:r w:rsidR="009F098A">
        <w:t>14</w:t>
      </w:r>
      <w:r w:rsidR="009F098A" w:rsidRPr="000F540D">
        <w:t xml:space="preserve"> </w:t>
      </w:r>
      <w:r w:rsidRPr="000F540D">
        <w:t>per</w:t>
      </w:r>
      <w:r w:rsidR="009F098A">
        <w:t xml:space="preserve"> </w:t>
      </w:r>
      <w:r w:rsidRPr="000F540D">
        <w:t xml:space="preserve">cent of </w:t>
      </w:r>
      <w:proofErr w:type="spellStart"/>
      <w:r w:rsidRPr="000F540D">
        <w:t>MobilityWorks</w:t>
      </w:r>
      <w:proofErr w:type="spellEnd"/>
      <w:r w:rsidRPr="000F540D">
        <w:t xml:space="preserve">’ 2014 revenues. </w:t>
      </w:r>
    </w:p>
    <w:p w14:paraId="2966B426" w14:textId="77777777" w:rsidR="00697F02" w:rsidRDefault="00697F02" w:rsidP="00697F02">
      <w:pPr>
        <w:pStyle w:val="BodyTextMain"/>
      </w:pPr>
    </w:p>
    <w:p w14:paraId="44120EAF" w14:textId="456B23C3" w:rsidR="00697F02" w:rsidRPr="000F540D" w:rsidRDefault="00697F02" w:rsidP="00697F02">
      <w:pPr>
        <w:pStyle w:val="BodyTextMain"/>
      </w:pPr>
      <w:r w:rsidRPr="000F540D">
        <w:t>A typical van conversion cost $22,000</w:t>
      </w:r>
      <w:r w:rsidR="009F098A">
        <w:t>–</w:t>
      </w:r>
      <w:r w:rsidRPr="000F540D">
        <w:t>$26,000. A scooter lift cost $3</w:t>
      </w:r>
      <w:r w:rsidR="00F42BC8">
        <w:t>,</w:t>
      </w:r>
      <w:r w:rsidRPr="000F540D">
        <w:t>400 and a hand control installation</w:t>
      </w:r>
      <w:r w:rsidR="00F42BC8">
        <w:t>,</w:t>
      </w:r>
      <w:r w:rsidRPr="000F540D">
        <w:t xml:space="preserve"> $1</w:t>
      </w:r>
      <w:r w:rsidR="00F42BC8">
        <w:t>,</w:t>
      </w:r>
      <w:r w:rsidRPr="000F540D">
        <w:t>000. A typical service bill range</w:t>
      </w:r>
      <w:r w:rsidR="00C26191">
        <w:t>d</w:t>
      </w:r>
      <w:r w:rsidRPr="000F540D">
        <w:t xml:space="preserve"> </w:t>
      </w:r>
      <w:proofErr w:type="gramStart"/>
      <w:r w:rsidR="00C26191">
        <w:t>between</w:t>
      </w:r>
      <w:r w:rsidR="00C26191" w:rsidRPr="000F540D">
        <w:t xml:space="preserve"> </w:t>
      </w:r>
      <w:r w:rsidRPr="000F540D">
        <w:t>$200</w:t>
      </w:r>
      <w:r w:rsidR="00C26191">
        <w:t>–</w:t>
      </w:r>
      <w:r w:rsidRPr="000F540D">
        <w:t>$300</w:t>
      </w:r>
      <w:r w:rsidR="00DB0A2B">
        <w:t>,</w:t>
      </w:r>
      <w:proofErr w:type="gramEnd"/>
      <w:r w:rsidRPr="000F540D">
        <w:t xml:space="preserve"> and it </w:t>
      </w:r>
      <w:r w:rsidR="00DB0A2B">
        <w:t>cost</w:t>
      </w:r>
      <w:r w:rsidRPr="000F540D">
        <w:t xml:space="preserve"> $129 to rent a </w:t>
      </w:r>
      <w:proofErr w:type="spellStart"/>
      <w:r w:rsidRPr="000F540D">
        <w:t>MobilityWorks</w:t>
      </w:r>
      <w:proofErr w:type="spellEnd"/>
      <w:r w:rsidRPr="000F540D">
        <w:t xml:space="preserve"> WAV for a day</w:t>
      </w:r>
      <w:r>
        <w:t xml:space="preserve">. </w:t>
      </w:r>
      <w:r w:rsidR="008E6135">
        <w:t xml:space="preserve">The rental fee </w:t>
      </w:r>
      <w:r w:rsidRPr="000F540D">
        <w:t xml:space="preserve">was only a fraction of the revenue generated from a single van sale, but </w:t>
      </w:r>
      <w:r w:rsidR="008E6135">
        <w:t>$129 could</w:t>
      </w:r>
      <w:r w:rsidR="008E6135" w:rsidRPr="000F540D">
        <w:t xml:space="preserve"> </w:t>
      </w:r>
      <w:r w:rsidRPr="000F540D">
        <w:t xml:space="preserve">be </w:t>
      </w:r>
      <w:r w:rsidR="00DB0A2B">
        <w:t xml:space="preserve">a </w:t>
      </w:r>
      <w:r w:rsidRPr="000F540D">
        <w:t xml:space="preserve">significant </w:t>
      </w:r>
      <w:r w:rsidR="00DB0A2B">
        <w:t xml:space="preserve">amount </w:t>
      </w:r>
      <w:r w:rsidRPr="000F540D">
        <w:t>for an unemployed</w:t>
      </w:r>
      <w:r w:rsidR="003D5E52">
        <w:t>,</w:t>
      </w:r>
      <w:r w:rsidRPr="000F540D">
        <w:t xml:space="preserve"> mobility</w:t>
      </w:r>
      <w:r w:rsidR="008E6135">
        <w:t>-</w:t>
      </w:r>
      <w:r w:rsidR="008E6135" w:rsidRPr="000F540D">
        <w:t xml:space="preserve">limited </w:t>
      </w:r>
      <w:r w:rsidRPr="000F540D">
        <w:t>individual to spend on convenie</w:t>
      </w:r>
      <w:r>
        <w:t xml:space="preserve">nce or pleasure for one day. </w:t>
      </w:r>
      <w:r w:rsidRPr="000F540D">
        <w:t xml:space="preserve">From the company’s perspective, </w:t>
      </w:r>
      <w:r w:rsidR="00703E86">
        <w:t xml:space="preserve">though, </w:t>
      </w:r>
      <w:r w:rsidRPr="000F540D">
        <w:t xml:space="preserve">van rentals and other revenue streams </w:t>
      </w:r>
      <w:r w:rsidR="00703E86">
        <w:t>were</w:t>
      </w:r>
      <w:r w:rsidR="00703E86" w:rsidRPr="000F540D">
        <w:t xml:space="preserve"> </w:t>
      </w:r>
      <w:r w:rsidRPr="000F540D">
        <w:t>relatively insignificant in driving future business growth</w:t>
      </w:r>
      <w:r w:rsidR="00703E86">
        <w:t>. F</w:t>
      </w:r>
      <w:r w:rsidR="00703E86" w:rsidRPr="000F540D">
        <w:t>ront-end sale</w:t>
      </w:r>
      <w:r w:rsidR="00703E86">
        <w:t>s of</w:t>
      </w:r>
      <w:r w:rsidR="00703E86" w:rsidRPr="000F540D">
        <w:t xml:space="preserve"> WAV</w:t>
      </w:r>
      <w:r w:rsidR="00703E86">
        <w:t>s</w:t>
      </w:r>
      <w:r w:rsidR="00703E86" w:rsidRPr="000F540D">
        <w:t xml:space="preserve"> </w:t>
      </w:r>
      <w:r w:rsidR="00703E86">
        <w:t>and</w:t>
      </w:r>
      <w:r w:rsidR="00703E86" w:rsidRPr="000F540D">
        <w:t xml:space="preserve"> new add-on equipment</w:t>
      </w:r>
      <w:r w:rsidR="00703E86">
        <w:t xml:space="preserve"> provided about</w:t>
      </w:r>
      <w:r w:rsidR="00703E86" w:rsidRPr="000F540D">
        <w:t xml:space="preserve"> </w:t>
      </w:r>
      <w:r w:rsidR="00703E86">
        <w:t>95</w:t>
      </w:r>
      <w:r w:rsidR="00703E86" w:rsidRPr="000F540D">
        <w:t xml:space="preserve"> per</w:t>
      </w:r>
      <w:r w:rsidR="00703E86">
        <w:t xml:space="preserve"> </w:t>
      </w:r>
      <w:r w:rsidR="00703E86" w:rsidRPr="000F540D">
        <w:t xml:space="preserve">cent of a typical </w:t>
      </w:r>
      <w:proofErr w:type="spellStart"/>
      <w:r w:rsidR="00703E86" w:rsidRPr="000F540D">
        <w:t>MobilityWorks</w:t>
      </w:r>
      <w:proofErr w:type="spellEnd"/>
      <w:r w:rsidR="00703E86" w:rsidRPr="000F540D">
        <w:t xml:space="preserve"> stor</w:t>
      </w:r>
      <w:r w:rsidR="00703E86">
        <w:t>e’s revenues.</w:t>
      </w:r>
      <w:r w:rsidR="00703E86" w:rsidRPr="000F540D">
        <w:t xml:space="preserve"> </w:t>
      </w:r>
    </w:p>
    <w:p w14:paraId="03CA2E96" w14:textId="77777777" w:rsidR="00697F02" w:rsidRDefault="00697F02" w:rsidP="00697F02">
      <w:pPr>
        <w:pStyle w:val="BodyTextMain"/>
      </w:pPr>
    </w:p>
    <w:p w14:paraId="6419CEF9" w14:textId="77777777" w:rsidR="00697F02" w:rsidRPr="000F540D" w:rsidRDefault="00697F02" w:rsidP="00697F02">
      <w:pPr>
        <w:pStyle w:val="BodyTextMain"/>
      </w:pPr>
    </w:p>
    <w:p w14:paraId="7E69F041" w14:textId="77777777" w:rsidR="00697F02" w:rsidRPr="000F540D" w:rsidRDefault="00697F02" w:rsidP="009C1C6B">
      <w:pPr>
        <w:pStyle w:val="Casehead1"/>
      </w:pPr>
      <w:r w:rsidRPr="000F540D">
        <w:t>OTHER GROWTH OPPORTUNITIES</w:t>
      </w:r>
    </w:p>
    <w:p w14:paraId="66A6189F" w14:textId="77777777" w:rsidR="00697F02" w:rsidRDefault="00697F02" w:rsidP="00697F02">
      <w:pPr>
        <w:pStyle w:val="BodyTextMain"/>
      </w:pPr>
    </w:p>
    <w:p w14:paraId="4132DD8E" w14:textId="3C5E2F79" w:rsidR="00697F02" w:rsidRPr="000F540D" w:rsidRDefault="00697F02" w:rsidP="00697F02">
      <w:pPr>
        <w:pStyle w:val="BodyTextMain"/>
      </w:pPr>
      <w:r w:rsidRPr="000F540D">
        <w:t>While a WAV remained unaffordable for most individuals</w:t>
      </w:r>
      <w:r w:rsidR="00AB630D">
        <w:t xml:space="preserve"> with limited mobility</w:t>
      </w:r>
      <w:r w:rsidRPr="000F540D">
        <w:t xml:space="preserve">, </w:t>
      </w:r>
      <w:r w:rsidR="003D5E52">
        <w:t xml:space="preserve">purchasing </w:t>
      </w:r>
      <w:r w:rsidR="00DB0A2B">
        <w:t xml:space="preserve">one </w:t>
      </w:r>
      <w:r w:rsidR="003D5E52">
        <w:t>as a group</w:t>
      </w:r>
      <w:r w:rsidRPr="000F540D">
        <w:t xml:space="preserve"> spread the cost over several people, making </w:t>
      </w:r>
      <w:r w:rsidR="00F02B5E">
        <w:t>a WAV</w:t>
      </w:r>
      <w:r w:rsidR="00F02B5E" w:rsidRPr="000F540D">
        <w:t xml:space="preserve"> </w:t>
      </w:r>
      <w:r w:rsidRPr="000F540D">
        <w:t xml:space="preserve">affordable and accessible to all within the group. A public cab in a city could be seen as a common resource shared </w:t>
      </w:r>
      <w:r w:rsidR="00F02B5E">
        <w:t>among</w:t>
      </w:r>
      <w:r w:rsidR="00F02B5E" w:rsidRPr="000F540D">
        <w:t xml:space="preserve"> </w:t>
      </w:r>
      <w:r w:rsidRPr="000F540D">
        <w:t>the residents of the city. WAV cabs could therefore be a viable solution for the vast majority of mobility</w:t>
      </w:r>
      <w:r w:rsidR="00F02B5E">
        <w:t>-</w:t>
      </w:r>
      <w:r w:rsidR="00F02B5E" w:rsidRPr="000F540D">
        <w:t xml:space="preserve">limited </w:t>
      </w:r>
      <w:r w:rsidRPr="000F540D">
        <w:t xml:space="preserve">individuals who were not covered within the veteran or institutional segments. </w:t>
      </w:r>
    </w:p>
    <w:p w14:paraId="576A78A9" w14:textId="77777777" w:rsidR="00697F02" w:rsidRPr="000F540D" w:rsidRDefault="00697F02" w:rsidP="00697F02">
      <w:pPr>
        <w:pStyle w:val="BodyTextMain"/>
      </w:pPr>
    </w:p>
    <w:p w14:paraId="2AA3D0B3" w14:textId="7FFCB606" w:rsidR="00697F02" w:rsidRPr="000F540D" w:rsidRDefault="00697F02" w:rsidP="00697F02">
      <w:pPr>
        <w:pStyle w:val="BodyTextMain"/>
      </w:pPr>
      <w:proofErr w:type="spellStart"/>
      <w:r>
        <w:t>Koeblitz</w:t>
      </w:r>
      <w:proofErr w:type="spellEnd"/>
      <w:r w:rsidRPr="000F540D">
        <w:t xml:space="preserve"> did a quick back-of-the-envelope calculation. If </w:t>
      </w:r>
      <w:r>
        <w:t xml:space="preserve">three </w:t>
      </w:r>
      <w:r w:rsidRPr="000F540D">
        <w:t xml:space="preserve">out of </w:t>
      </w:r>
      <w:r>
        <w:t>four</w:t>
      </w:r>
      <w:r w:rsidRPr="000F540D">
        <w:t xml:space="preserve"> of </w:t>
      </w:r>
      <w:r w:rsidRPr="001B521E">
        <w:t xml:space="preserve">the </w:t>
      </w:r>
      <w:r>
        <w:t>3</w:t>
      </w:r>
      <w:r w:rsidRPr="001B521E">
        <w:t>0 million</w:t>
      </w:r>
      <w:r w:rsidRPr="000F540D">
        <w:t xml:space="preserve"> individuals </w:t>
      </w:r>
      <w:r w:rsidR="00F02B5E">
        <w:t xml:space="preserve">with </w:t>
      </w:r>
      <w:r w:rsidR="00F02B5E" w:rsidRPr="000F540D">
        <w:t xml:space="preserve">limited mobility </w:t>
      </w:r>
      <w:r w:rsidRPr="000F540D">
        <w:t xml:space="preserve">ordered one WAV cab ride every month, an additional </w:t>
      </w:r>
      <w:r>
        <w:t>6</w:t>
      </w:r>
      <w:r w:rsidRPr="000F540D">
        <w:t>0,000 WAV cabs would be needed to fill the gap</w:t>
      </w:r>
      <w:r w:rsidR="00F02B5E">
        <w:t>—</w:t>
      </w:r>
      <w:r>
        <w:t xml:space="preserve">more than </w:t>
      </w:r>
      <w:r w:rsidRPr="000F540D">
        <w:t>t</w:t>
      </w:r>
      <w:r>
        <w:t>hrice</w:t>
      </w:r>
      <w:r w:rsidRPr="000F540D">
        <w:t xml:space="preserve"> the number the industry sold in 2013. That could translate into $</w:t>
      </w:r>
      <w:r>
        <w:t>2.4</w:t>
      </w:r>
      <w:r w:rsidRPr="000F540D">
        <w:t xml:space="preserve"> billion in fresh sale revenues, and $</w:t>
      </w:r>
      <w:r>
        <w:t>120</w:t>
      </w:r>
      <w:r w:rsidRPr="000F540D">
        <w:t xml:space="preserve"> million in net income. If each ride were to cost an average of $2</w:t>
      </w:r>
      <w:r>
        <w:t>0</w:t>
      </w:r>
      <w:r w:rsidRPr="000F540D">
        <w:t>, that could mean $</w:t>
      </w:r>
      <w:r>
        <w:t>5.4</w:t>
      </w:r>
      <w:r w:rsidRPr="000F540D">
        <w:t xml:space="preserve"> billion in cab ride revenues and $</w:t>
      </w:r>
      <w:r>
        <w:t>270</w:t>
      </w:r>
      <w:r w:rsidRPr="000F540D">
        <w:t xml:space="preserve"> million in net income, every year.</w:t>
      </w:r>
    </w:p>
    <w:p w14:paraId="698A2CAE" w14:textId="77777777" w:rsidR="00697F02" w:rsidRPr="000F540D" w:rsidRDefault="00697F02" w:rsidP="00697F02">
      <w:pPr>
        <w:pStyle w:val="BodyTextMain"/>
      </w:pPr>
    </w:p>
    <w:p w14:paraId="74E0FE40" w14:textId="581240FD" w:rsidR="00697F02" w:rsidRPr="000F540D" w:rsidRDefault="00697F02" w:rsidP="00697F02">
      <w:pPr>
        <w:pStyle w:val="BodyTextMain"/>
      </w:pPr>
      <w:r w:rsidRPr="000F540D">
        <w:t>These were fairly significant numbers that represented an opportunity not only for the WAV manufacturers and service providers</w:t>
      </w:r>
      <w:r w:rsidR="00B23987">
        <w:t>,</w:t>
      </w:r>
      <w:r w:rsidRPr="000F540D">
        <w:t xml:space="preserve"> but also for the WAV cab industry</w:t>
      </w:r>
      <w:r w:rsidR="00F02B5E">
        <w:t xml:space="preserve">. The structure would </w:t>
      </w:r>
      <w:r w:rsidRPr="000F540D">
        <w:t>simultaneously enabl</w:t>
      </w:r>
      <w:r w:rsidR="00F02B5E">
        <w:t>e</w:t>
      </w:r>
      <w:r w:rsidRPr="000F540D">
        <w:t xml:space="preserve"> WAV access to all who needed it without having to invest in the purchase of a vehicle. What then was preventing the WAV cab indust</w:t>
      </w:r>
      <w:r>
        <w:t>ry from reaching these numbers?</w:t>
      </w:r>
    </w:p>
    <w:p w14:paraId="7686E4CB" w14:textId="77777777" w:rsidR="00697F02" w:rsidRPr="000F540D" w:rsidRDefault="00697F02" w:rsidP="00697F02">
      <w:pPr>
        <w:pStyle w:val="BodyTextMain"/>
      </w:pPr>
    </w:p>
    <w:p w14:paraId="30043037" w14:textId="543F9C64" w:rsidR="00697F02" w:rsidRPr="000F540D" w:rsidRDefault="00697F02" w:rsidP="00697F02">
      <w:pPr>
        <w:pStyle w:val="BodyTextMain"/>
      </w:pPr>
      <w:r w:rsidRPr="000F540D">
        <w:t xml:space="preserve">The </w:t>
      </w:r>
      <w:r w:rsidRPr="009C1C6B">
        <w:rPr>
          <w:i/>
        </w:rPr>
        <w:t>Americans with Disabilities Act</w:t>
      </w:r>
      <w:r w:rsidR="00F02B5E" w:rsidRPr="009C1C6B">
        <w:rPr>
          <w:rStyle w:val="FootnoteReference"/>
        </w:rPr>
        <w:footnoteReference w:id="13"/>
      </w:r>
      <w:r w:rsidRPr="000F540D">
        <w:t xml:space="preserve"> stipulated that </w:t>
      </w:r>
      <w:r w:rsidR="002B1C34">
        <w:t xml:space="preserve">the cost to a passenger for </w:t>
      </w:r>
      <w:r w:rsidR="00074626">
        <w:t xml:space="preserve">specialized curb-to-curb WAV cab service could not </w:t>
      </w:r>
      <w:r w:rsidR="002B1C34">
        <w:t>be higher than the cost for regular sedan taxicab service</w:t>
      </w:r>
      <w:r w:rsidRPr="000F540D">
        <w:t xml:space="preserve">. </w:t>
      </w:r>
      <w:r w:rsidR="00BD52EC">
        <w:t xml:space="preserve">However, </w:t>
      </w:r>
      <w:r w:rsidRPr="000F540D">
        <w:t xml:space="preserve">a WAV cab cost more than an ordinary cab to begin with, </w:t>
      </w:r>
      <w:r w:rsidR="00BD52EC">
        <w:t xml:space="preserve">and </w:t>
      </w:r>
      <w:r w:rsidRPr="000F540D">
        <w:t>it yielded a lower mileage per gallon of fuel, partly due to the added weight of the wheelchair. With many more cost-increasing factors at play, operating a WAV cab could cost up</w:t>
      </w:r>
      <w:r>
        <w:t xml:space="preserve"> </w:t>
      </w:r>
      <w:r w:rsidRPr="000F540D">
        <w:t>to $10,000 more per year as compared to an ordinary cab</w:t>
      </w:r>
      <w:r>
        <w:t>.</w:t>
      </w:r>
      <w:r>
        <w:rPr>
          <w:rStyle w:val="FootnoteReference"/>
        </w:rPr>
        <w:footnoteReference w:id="14"/>
      </w:r>
      <w:r w:rsidRPr="000F540D">
        <w:t xml:space="preserve"> Running a WAV cab had</w:t>
      </w:r>
      <w:r w:rsidR="00BD52EC">
        <w:t>,</w:t>
      </w:r>
      <w:r w:rsidRPr="000F540D">
        <w:t xml:space="preserve"> therefore</w:t>
      </w:r>
      <w:r w:rsidR="00BD52EC">
        <w:t>,</w:t>
      </w:r>
      <w:r w:rsidRPr="000F540D">
        <w:t xml:space="preserve"> ended up becoming a relatively unprofitable enterprise, which in turn had led to a shortage in </w:t>
      </w:r>
      <w:r w:rsidRPr="000F540D">
        <w:lastRenderedPageBreak/>
        <w:t xml:space="preserve">supply of WAV cabs. In this particular instance, the </w:t>
      </w:r>
      <w:r w:rsidR="00BD52EC" w:rsidRPr="000F540D">
        <w:t>A</w:t>
      </w:r>
      <w:r w:rsidR="00BD52EC">
        <w:t>ct</w:t>
      </w:r>
      <w:r w:rsidR="00BD52EC" w:rsidRPr="000F540D">
        <w:t xml:space="preserve"> </w:t>
      </w:r>
      <w:r w:rsidRPr="000F540D">
        <w:t xml:space="preserve">may have ended up hurting the interests of the very people it intended to protect. </w:t>
      </w:r>
    </w:p>
    <w:p w14:paraId="2BBA7A2F" w14:textId="77777777" w:rsidR="00697F02" w:rsidRPr="000F540D" w:rsidRDefault="00697F02" w:rsidP="00697F02">
      <w:pPr>
        <w:pStyle w:val="BodyTextMain"/>
      </w:pPr>
    </w:p>
    <w:p w14:paraId="2BEE2C80" w14:textId="3A47BDD7" w:rsidR="00697F02" w:rsidRPr="000F540D" w:rsidRDefault="00697F02" w:rsidP="00697F02">
      <w:pPr>
        <w:pStyle w:val="BodyTextMain"/>
      </w:pPr>
      <w:r>
        <w:t xml:space="preserve">There </w:t>
      </w:r>
      <w:r w:rsidRPr="000F540D">
        <w:t xml:space="preserve">was </w:t>
      </w:r>
      <w:r>
        <w:t xml:space="preserve">an </w:t>
      </w:r>
      <w:r w:rsidRPr="000F540D">
        <w:t xml:space="preserve">opportunity to expand sales </w:t>
      </w:r>
      <w:r w:rsidR="00BD52EC">
        <w:t>by</w:t>
      </w:r>
      <w:r w:rsidR="00BD52EC" w:rsidRPr="000F540D">
        <w:t xml:space="preserve"> </w:t>
      </w:r>
      <w:r w:rsidRPr="000F540D">
        <w:t>reduc</w:t>
      </w:r>
      <w:r w:rsidR="00BD52EC">
        <w:t>ing</w:t>
      </w:r>
      <w:r w:rsidRPr="000F540D">
        <w:t xml:space="preserve"> production costs. In order to convert a vehicle into a WAV, an </w:t>
      </w:r>
      <w:proofErr w:type="spellStart"/>
      <w:r w:rsidRPr="000F540D">
        <w:t>upfitter</w:t>
      </w:r>
      <w:proofErr w:type="spellEnd"/>
      <w:r w:rsidRPr="000F540D">
        <w:t xml:space="preserve"> would often start by t</w:t>
      </w:r>
      <w:r>
        <w:t>aking apart a brand new vehicle and</w:t>
      </w:r>
      <w:r w:rsidRPr="000F540D">
        <w:t xml:space="preserve"> reducing it to little more than a shell. A large</w:t>
      </w:r>
      <w:r w:rsidR="00DB0A2B">
        <w:t>-</w:t>
      </w:r>
      <w:r w:rsidRPr="000F540D">
        <w:t>scale assembly line production, improved standardization</w:t>
      </w:r>
      <w:r w:rsidR="00BD52EC">
        <w:t>,</w:t>
      </w:r>
      <w:r w:rsidRPr="000F540D">
        <w:t xml:space="preserve"> and better integration between original equipment manufacturers and adaptive van </w:t>
      </w:r>
      <w:proofErr w:type="spellStart"/>
      <w:r w:rsidRPr="000F540D">
        <w:t>upfitters</w:t>
      </w:r>
      <w:proofErr w:type="spellEnd"/>
      <w:r w:rsidRPr="000F540D">
        <w:t xml:space="preserve"> could lead to a reduction in production costs. Passing on some of this benefit to </w:t>
      </w:r>
      <w:r>
        <w:t>the customers as lowered prices</w:t>
      </w:r>
      <w:r w:rsidRPr="000F540D">
        <w:t xml:space="preserve"> could im</w:t>
      </w:r>
      <w:r>
        <w:t xml:space="preserve">prove the affordability of WAVs, and </w:t>
      </w:r>
      <w:r w:rsidRPr="000F540D">
        <w:t xml:space="preserve">increase sales. However, given the high level of customization, this was not easy to accomplish. </w:t>
      </w:r>
    </w:p>
    <w:p w14:paraId="4D261700" w14:textId="77777777" w:rsidR="00697F02" w:rsidRDefault="00697F02" w:rsidP="00697F02">
      <w:pPr>
        <w:pStyle w:val="BodyTextMain"/>
      </w:pPr>
    </w:p>
    <w:p w14:paraId="6B2DF2A7" w14:textId="677401C4" w:rsidR="00697F02" w:rsidRPr="000F540D" w:rsidRDefault="00697F02" w:rsidP="00697F02">
      <w:pPr>
        <w:pStyle w:val="BodyTextMain"/>
      </w:pPr>
      <w:r w:rsidRPr="000F540D">
        <w:t xml:space="preserve">The market penetration varied widely </w:t>
      </w:r>
      <w:r w:rsidR="00BD52EC">
        <w:t>among</w:t>
      </w:r>
      <w:r w:rsidR="00BD52EC" w:rsidRPr="000F540D">
        <w:t xml:space="preserve"> </w:t>
      </w:r>
      <w:proofErr w:type="spellStart"/>
      <w:r w:rsidRPr="000F540D">
        <w:t>MobilityWorks</w:t>
      </w:r>
      <w:proofErr w:type="spellEnd"/>
      <w:r w:rsidRPr="000F540D">
        <w:t xml:space="preserve">’ 35 stores spread </w:t>
      </w:r>
      <w:r>
        <w:t xml:space="preserve">across </w:t>
      </w:r>
      <w:r w:rsidRPr="000F540D">
        <w:t>the United States. While one st</w:t>
      </w:r>
      <w:r>
        <w:t xml:space="preserve">ore could be selling one van per </w:t>
      </w:r>
      <w:r w:rsidRPr="000F540D">
        <w:t xml:space="preserve">year for every 14,000 people in its region, another could be selling as little as one for every 70,000. </w:t>
      </w:r>
      <w:r>
        <w:t>Mansfield</w:t>
      </w:r>
      <w:r w:rsidRPr="000F540D">
        <w:t xml:space="preserve"> estimated </w:t>
      </w:r>
      <w:r>
        <w:t xml:space="preserve">that </w:t>
      </w:r>
      <w:r w:rsidRPr="000F540D">
        <w:t xml:space="preserve">if </w:t>
      </w:r>
      <w:proofErr w:type="spellStart"/>
      <w:r w:rsidRPr="000F540D">
        <w:t>MobilityWorks</w:t>
      </w:r>
      <w:proofErr w:type="spellEnd"/>
      <w:r w:rsidRPr="000F540D">
        <w:t xml:space="preserve">’ market penetration in </w:t>
      </w:r>
      <w:r>
        <w:t xml:space="preserve">each of </w:t>
      </w:r>
      <w:r w:rsidR="0009693D">
        <w:t>its</w:t>
      </w:r>
      <w:r>
        <w:t xml:space="preserve"> </w:t>
      </w:r>
      <w:r w:rsidRPr="000F540D">
        <w:t>market</w:t>
      </w:r>
      <w:r>
        <w:t>s</w:t>
      </w:r>
      <w:r w:rsidRPr="000F540D">
        <w:t xml:space="preserve"> </w:t>
      </w:r>
      <w:r>
        <w:t xml:space="preserve">was </w:t>
      </w:r>
      <w:r w:rsidRPr="000F540D">
        <w:t xml:space="preserve">as good as </w:t>
      </w:r>
      <w:r w:rsidR="0009693D">
        <w:t>its</w:t>
      </w:r>
      <w:r w:rsidRPr="000F540D">
        <w:t xml:space="preserve"> best market</w:t>
      </w:r>
      <w:r>
        <w:t>,</w:t>
      </w:r>
      <w:r w:rsidRPr="000F540D">
        <w:t xml:space="preserve"> </w:t>
      </w:r>
      <w:r>
        <w:t xml:space="preserve">that change </w:t>
      </w:r>
      <w:r w:rsidRPr="000F540D">
        <w:t>alone would drive a 100</w:t>
      </w:r>
      <w:r>
        <w:t xml:space="preserve"> per cent</w:t>
      </w:r>
      <w:r w:rsidRPr="000F540D">
        <w:t xml:space="preserve"> growth in revenues, without opening a single new store.</w:t>
      </w:r>
      <w:r w:rsidR="00ED3C44">
        <w:t xml:space="preserve"> </w:t>
      </w:r>
      <w:r w:rsidRPr="000F540D">
        <w:t xml:space="preserve">However, the market penetration depended not only on the effectiveness of the store staff but </w:t>
      </w:r>
      <w:r w:rsidR="00217397">
        <w:t xml:space="preserve">also </w:t>
      </w:r>
      <w:r w:rsidRPr="000F540D">
        <w:t>on several other factors, including the attributes of the population the store catered</w:t>
      </w:r>
      <w:r>
        <w:t xml:space="preserve"> to</w:t>
      </w:r>
      <w:r w:rsidRPr="000F540D">
        <w:t xml:space="preserve">. </w:t>
      </w:r>
    </w:p>
    <w:p w14:paraId="494D2E18" w14:textId="77777777" w:rsidR="00697F02" w:rsidRDefault="00697F02" w:rsidP="00697F02">
      <w:pPr>
        <w:pStyle w:val="BodyTextMain"/>
      </w:pPr>
    </w:p>
    <w:p w14:paraId="5CC2EDCC" w14:textId="0B2D3B04" w:rsidR="00697F02" w:rsidRPr="000176BF" w:rsidRDefault="00697F02" w:rsidP="00697F02">
      <w:pPr>
        <w:pStyle w:val="BodyTextMain"/>
        <w:rPr>
          <w:spacing w:val="-2"/>
          <w:kern w:val="22"/>
        </w:rPr>
      </w:pPr>
      <w:r w:rsidRPr="000176BF">
        <w:rPr>
          <w:spacing w:val="-2"/>
          <w:kern w:val="22"/>
        </w:rPr>
        <w:t xml:space="preserve">Having said that, opening or acquiring new stores was the most apparent path to revenue growth. </w:t>
      </w:r>
      <w:proofErr w:type="spellStart"/>
      <w:r w:rsidRPr="000176BF">
        <w:rPr>
          <w:spacing w:val="-2"/>
          <w:kern w:val="22"/>
        </w:rPr>
        <w:t>MobilityWorks</w:t>
      </w:r>
      <w:proofErr w:type="spellEnd"/>
      <w:r w:rsidRPr="000176BF">
        <w:rPr>
          <w:spacing w:val="-2"/>
          <w:kern w:val="22"/>
        </w:rPr>
        <w:t xml:space="preserve">’ 35 stores were all located within 13 states in the United States. The remaining 37 states represented a sure-shot opportunity for expansion and revenue growth, as did other countries across the globe. </w:t>
      </w:r>
    </w:p>
    <w:p w14:paraId="30EE396B" w14:textId="77777777" w:rsidR="00697F02" w:rsidRDefault="00697F02" w:rsidP="00697F02">
      <w:pPr>
        <w:pStyle w:val="BodyTextMain"/>
      </w:pPr>
    </w:p>
    <w:p w14:paraId="5FD986A1" w14:textId="77777777" w:rsidR="003A6004" w:rsidRDefault="00697F02" w:rsidP="00697F02">
      <w:pPr>
        <w:pStyle w:val="BodyTextMain"/>
      </w:pPr>
      <w:proofErr w:type="spellStart"/>
      <w:r w:rsidRPr="000F540D">
        <w:t>MobilityWorks</w:t>
      </w:r>
      <w:proofErr w:type="spellEnd"/>
      <w:r w:rsidRPr="000F540D">
        <w:t xml:space="preserve"> was also considering additional investment in increasing brand recognition and consumer awareness of its products. Since its products and services catered to a select audience, there was a good opportunity to leverage targeted advertising to enhance the effectiveness of marketing efforts while simultaneously reducing marketing costs. </w:t>
      </w:r>
    </w:p>
    <w:p w14:paraId="4CA67EC9" w14:textId="77777777" w:rsidR="003A6004" w:rsidRDefault="003A6004" w:rsidP="00697F02">
      <w:pPr>
        <w:pStyle w:val="BodyTextMain"/>
      </w:pPr>
    </w:p>
    <w:p w14:paraId="36EE14F0" w14:textId="0E721181" w:rsidR="00697F02" w:rsidRDefault="003A6004" w:rsidP="00697F02">
      <w:pPr>
        <w:pStyle w:val="BodyTextMain"/>
      </w:pPr>
      <w:r>
        <w:t>Improving financing options for customers was yet one more option. U</w:t>
      </w:r>
      <w:r w:rsidR="00697F02" w:rsidRPr="000F540D">
        <w:t xml:space="preserve">nlike </w:t>
      </w:r>
      <w:r>
        <w:t xml:space="preserve">financing </w:t>
      </w:r>
      <w:r w:rsidR="00697F02" w:rsidRPr="000F540D">
        <w:t xml:space="preserve">an automobile </w:t>
      </w:r>
      <w:r w:rsidR="00697F02">
        <w:t xml:space="preserve">purchase </w:t>
      </w:r>
      <w:r w:rsidR="00697F02" w:rsidRPr="000F540D">
        <w:t>from a major brand, organizing financing for the same vehicle for conversion into a WAV could be a challenge</w:t>
      </w:r>
      <w:r w:rsidR="00697F02">
        <w:t xml:space="preserve">, </w:t>
      </w:r>
      <w:r w:rsidR="00697F02" w:rsidRPr="000F540D">
        <w:t xml:space="preserve">limiting the options for customers. </w:t>
      </w:r>
      <w:proofErr w:type="spellStart"/>
      <w:r w:rsidR="00697F02" w:rsidRPr="000F540D">
        <w:t>MobilityWorks</w:t>
      </w:r>
      <w:proofErr w:type="spellEnd"/>
      <w:r w:rsidR="00697F02" w:rsidRPr="000F540D">
        <w:t xml:space="preserve"> continued to work with banks and leasing companies to further improve consumer financing for its vehicles.</w:t>
      </w:r>
    </w:p>
    <w:p w14:paraId="49163A0F" w14:textId="71E17EDF" w:rsidR="00CD26E3" w:rsidRDefault="00CD26E3" w:rsidP="00697F02">
      <w:pPr>
        <w:pStyle w:val="BodyTextMain"/>
      </w:pPr>
    </w:p>
    <w:p w14:paraId="72CD145D" w14:textId="77777777" w:rsidR="00CD26E3" w:rsidRDefault="00CD26E3" w:rsidP="00697F02">
      <w:pPr>
        <w:pStyle w:val="BodyTextMain"/>
      </w:pPr>
    </w:p>
    <w:p w14:paraId="66BE4FA4" w14:textId="77777777" w:rsidR="00697F02" w:rsidRPr="002D2555" w:rsidRDefault="00697F02" w:rsidP="009C1C6B">
      <w:pPr>
        <w:pStyle w:val="Casehead1"/>
        <w:keepNext/>
      </w:pPr>
      <w:r w:rsidRPr="002D2555">
        <w:t xml:space="preserve">GROWTH OPPORTUNITIES: NECESSARY TRADE-OFF WITH THE COMPANY’S WORK CULTURE? </w:t>
      </w:r>
    </w:p>
    <w:p w14:paraId="3B43E67D" w14:textId="77777777" w:rsidR="00697F02" w:rsidRDefault="00697F02" w:rsidP="009C1C6B">
      <w:pPr>
        <w:pStyle w:val="BodyTextMain"/>
        <w:keepNext/>
      </w:pPr>
    </w:p>
    <w:p w14:paraId="2E022FB4" w14:textId="2C96D20A" w:rsidR="00697F02" w:rsidRPr="000176BF" w:rsidRDefault="00697F02" w:rsidP="00697F02">
      <w:pPr>
        <w:pStyle w:val="BodyTextMain"/>
        <w:rPr>
          <w:spacing w:val="-2"/>
          <w:kern w:val="22"/>
        </w:rPr>
      </w:pPr>
      <w:proofErr w:type="spellStart"/>
      <w:r w:rsidRPr="000176BF">
        <w:rPr>
          <w:spacing w:val="-2"/>
          <w:kern w:val="22"/>
        </w:rPr>
        <w:t>Koeblitz</w:t>
      </w:r>
      <w:proofErr w:type="spellEnd"/>
      <w:r w:rsidRPr="000176BF">
        <w:rPr>
          <w:spacing w:val="-2"/>
          <w:kern w:val="22"/>
        </w:rPr>
        <w:t xml:space="preserve"> saw several big challenges ahead of him. He wondered which would be the most profitable and feasible growth opportunities for </w:t>
      </w:r>
      <w:proofErr w:type="spellStart"/>
      <w:r w:rsidRPr="000176BF">
        <w:rPr>
          <w:spacing w:val="-2"/>
          <w:kern w:val="22"/>
        </w:rPr>
        <w:t>MobilityWorks</w:t>
      </w:r>
      <w:proofErr w:type="spellEnd"/>
      <w:r w:rsidRPr="000176BF">
        <w:rPr>
          <w:spacing w:val="-2"/>
          <w:kern w:val="22"/>
        </w:rPr>
        <w:t xml:space="preserve"> over the short</w:t>
      </w:r>
      <w:r w:rsidR="0009693D" w:rsidRPr="000176BF">
        <w:rPr>
          <w:spacing w:val="-2"/>
          <w:kern w:val="22"/>
        </w:rPr>
        <w:t xml:space="preserve"> </w:t>
      </w:r>
      <w:r w:rsidRPr="000176BF">
        <w:rPr>
          <w:spacing w:val="-2"/>
          <w:kern w:val="22"/>
        </w:rPr>
        <w:t>term, and which would be the most promising over the long</w:t>
      </w:r>
      <w:r w:rsidR="0009693D" w:rsidRPr="000176BF">
        <w:rPr>
          <w:spacing w:val="-2"/>
          <w:kern w:val="22"/>
        </w:rPr>
        <w:t xml:space="preserve"> </w:t>
      </w:r>
      <w:r w:rsidRPr="000176BF">
        <w:rPr>
          <w:spacing w:val="-2"/>
          <w:kern w:val="22"/>
        </w:rPr>
        <w:t>term. Would there be a necessary financial trade-off between the short and long</w:t>
      </w:r>
      <w:r w:rsidR="0009693D" w:rsidRPr="000176BF">
        <w:rPr>
          <w:spacing w:val="-2"/>
          <w:kern w:val="22"/>
        </w:rPr>
        <w:t xml:space="preserve"> </w:t>
      </w:r>
      <w:r w:rsidRPr="000176BF">
        <w:rPr>
          <w:spacing w:val="-2"/>
          <w:kern w:val="22"/>
        </w:rPr>
        <w:t xml:space="preserve">term? And which growth opportunities would best serve the interests of the underserved </w:t>
      </w:r>
      <w:r w:rsidR="00051810" w:rsidRPr="000176BF">
        <w:rPr>
          <w:spacing w:val="-2"/>
          <w:kern w:val="22"/>
        </w:rPr>
        <w:t>mobility-</w:t>
      </w:r>
      <w:r w:rsidRPr="000176BF">
        <w:rPr>
          <w:spacing w:val="-2"/>
          <w:kern w:val="22"/>
        </w:rPr>
        <w:t xml:space="preserve">limited population? </w:t>
      </w:r>
    </w:p>
    <w:p w14:paraId="3E1D8A86" w14:textId="77777777" w:rsidR="00697F02" w:rsidRDefault="00697F02" w:rsidP="00697F02">
      <w:pPr>
        <w:pStyle w:val="BodyTextMain"/>
      </w:pPr>
    </w:p>
    <w:p w14:paraId="24ECE02A" w14:textId="41096EC2" w:rsidR="00697F02" w:rsidRPr="000F540D" w:rsidRDefault="00697F02" w:rsidP="00697F02">
      <w:pPr>
        <w:pStyle w:val="BodyTextMain"/>
      </w:pPr>
      <w:r>
        <w:t xml:space="preserve">The biggest question </w:t>
      </w:r>
      <w:proofErr w:type="spellStart"/>
      <w:r>
        <w:t>Koeblitz</w:t>
      </w:r>
      <w:proofErr w:type="spellEnd"/>
      <w:r>
        <w:t xml:space="preserve"> struggled with was whether</w:t>
      </w:r>
      <w:r w:rsidRPr="000F540D">
        <w:t xml:space="preserve"> </w:t>
      </w:r>
      <w:r w:rsidR="005334E7">
        <w:t>faster</w:t>
      </w:r>
      <w:r w:rsidRPr="000F540D">
        <w:t xml:space="preserve"> grow</w:t>
      </w:r>
      <w:r>
        <w:t>th across multiple market segments necessarily came</w:t>
      </w:r>
      <w:r w:rsidRPr="000F540D">
        <w:t xml:space="preserve"> at the expense of </w:t>
      </w:r>
      <w:proofErr w:type="spellStart"/>
      <w:r w:rsidRPr="000F540D">
        <w:t>Mobility</w:t>
      </w:r>
      <w:r>
        <w:t>Works</w:t>
      </w:r>
      <w:proofErr w:type="spellEnd"/>
      <w:r>
        <w:t>’ winning work culture. C</w:t>
      </w:r>
      <w:r w:rsidRPr="000F540D">
        <w:t xml:space="preserve">ould a mid-size company like </w:t>
      </w:r>
      <w:proofErr w:type="spellStart"/>
      <w:r w:rsidRPr="000F540D">
        <w:t>MobilityWorks</w:t>
      </w:r>
      <w:proofErr w:type="spellEnd"/>
      <w:r w:rsidRPr="000F540D">
        <w:t xml:space="preserve"> seize multiple growth opportunities to satisfy the large and rising market demand for its products and still retain its close-knit</w:t>
      </w:r>
      <w:r w:rsidR="004D01EC">
        <w:t>,</w:t>
      </w:r>
      <w:r w:rsidRPr="000F540D">
        <w:t xml:space="preserve"> purpose-driven work culture? </w:t>
      </w:r>
    </w:p>
    <w:p w14:paraId="0E58098E" w14:textId="77777777" w:rsidR="00697F02" w:rsidRDefault="00697F02" w:rsidP="00697F02">
      <w:pPr>
        <w:pStyle w:val="BodyTextMain"/>
      </w:pPr>
    </w:p>
    <w:p w14:paraId="31F9A6EA" w14:textId="24769C59" w:rsidR="00697F02" w:rsidRPr="000176BF" w:rsidRDefault="00697F02" w:rsidP="00697F02">
      <w:pPr>
        <w:pStyle w:val="BodyTextMain"/>
        <w:rPr>
          <w:spacing w:val="-2"/>
          <w:kern w:val="22"/>
        </w:rPr>
      </w:pPr>
      <w:r w:rsidRPr="000176BF">
        <w:rPr>
          <w:spacing w:val="-2"/>
          <w:kern w:val="22"/>
        </w:rPr>
        <w:t xml:space="preserve">Relatedly, what could </w:t>
      </w:r>
      <w:proofErr w:type="spellStart"/>
      <w:r w:rsidRPr="000176BF">
        <w:rPr>
          <w:spacing w:val="-2"/>
          <w:kern w:val="22"/>
        </w:rPr>
        <w:t>MobilityWorks</w:t>
      </w:r>
      <w:proofErr w:type="spellEnd"/>
      <w:r w:rsidRPr="000176BF">
        <w:rPr>
          <w:spacing w:val="-2"/>
          <w:kern w:val="22"/>
        </w:rPr>
        <w:t xml:space="preserve"> do to become more attractive as an employer to the </w:t>
      </w:r>
      <w:r w:rsidR="004D01EC" w:rsidRPr="000176BF">
        <w:rPr>
          <w:spacing w:val="-2"/>
          <w:kern w:val="22"/>
        </w:rPr>
        <w:t>m</w:t>
      </w:r>
      <w:r w:rsidRPr="000176BF">
        <w:rPr>
          <w:spacing w:val="-2"/>
          <w:kern w:val="22"/>
        </w:rPr>
        <w:t xml:space="preserve">illennials looking for socially meaningful careers? As he thought about the </w:t>
      </w:r>
      <w:r w:rsidR="004D01EC" w:rsidRPr="000176BF">
        <w:rPr>
          <w:spacing w:val="-2"/>
          <w:kern w:val="22"/>
        </w:rPr>
        <w:t>m</w:t>
      </w:r>
      <w:r w:rsidRPr="000176BF">
        <w:rPr>
          <w:spacing w:val="-2"/>
          <w:kern w:val="22"/>
        </w:rPr>
        <w:t xml:space="preserve">illennials, </w:t>
      </w:r>
      <w:proofErr w:type="spellStart"/>
      <w:r w:rsidRPr="000176BF">
        <w:rPr>
          <w:spacing w:val="-2"/>
          <w:kern w:val="22"/>
        </w:rPr>
        <w:t>Koeblitz</w:t>
      </w:r>
      <w:proofErr w:type="spellEnd"/>
      <w:r w:rsidRPr="000176BF">
        <w:rPr>
          <w:spacing w:val="-2"/>
          <w:kern w:val="22"/>
        </w:rPr>
        <w:t xml:space="preserve"> chuckled. It would not be long before </w:t>
      </w:r>
      <w:proofErr w:type="spellStart"/>
      <w:r w:rsidRPr="000176BF">
        <w:rPr>
          <w:spacing w:val="-2"/>
          <w:kern w:val="22"/>
        </w:rPr>
        <w:t>MobilityWorks</w:t>
      </w:r>
      <w:proofErr w:type="spellEnd"/>
      <w:r w:rsidRPr="000176BF">
        <w:rPr>
          <w:spacing w:val="-2"/>
          <w:kern w:val="22"/>
        </w:rPr>
        <w:t xml:space="preserve"> would have to think about not just the </w:t>
      </w:r>
      <w:r w:rsidR="00403793">
        <w:rPr>
          <w:spacing w:val="-2"/>
          <w:kern w:val="22"/>
        </w:rPr>
        <w:t>M</w:t>
      </w:r>
      <w:r w:rsidRPr="000176BF">
        <w:rPr>
          <w:spacing w:val="-2"/>
          <w:kern w:val="22"/>
        </w:rPr>
        <w:t xml:space="preserve">illennials, but </w:t>
      </w:r>
      <w:r w:rsidR="00403793">
        <w:rPr>
          <w:spacing w:val="-2"/>
          <w:kern w:val="22"/>
        </w:rPr>
        <w:t>G</w:t>
      </w:r>
      <w:r w:rsidRPr="000176BF">
        <w:rPr>
          <w:spacing w:val="-2"/>
          <w:kern w:val="22"/>
        </w:rPr>
        <w:t>eneration Z as well</w:t>
      </w:r>
      <w:r w:rsidR="000176BF" w:rsidRPr="000176BF">
        <w:rPr>
          <w:spacing w:val="-2"/>
          <w:kern w:val="22"/>
        </w:rPr>
        <w:t>.</w:t>
      </w:r>
    </w:p>
    <w:p w14:paraId="2E606195" w14:textId="2E9CA2F4" w:rsidR="00697F02" w:rsidRPr="000F540D" w:rsidRDefault="00697F02" w:rsidP="006E1A5D">
      <w:pPr>
        <w:pStyle w:val="BodyTextMain"/>
      </w:pPr>
      <w:r w:rsidRPr="000F540D">
        <w:br w:type="page"/>
      </w:r>
    </w:p>
    <w:p w14:paraId="6A59DCFA" w14:textId="1E8042CC" w:rsidR="00697F02" w:rsidRDefault="00697F02" w:rsidP="009C1C6B">
      <w:pPr>
        <w:pStyle w:val="ExhibitHeading"/>
      </w:pPr>
      <w:r w:rsidRPr="000F540D">
        <w:lastRenderedPageBreak/>
        <w:t>Exhibit 1: Competitive Landscape by Geography</w:t>
      </w:r>
    </w:p>
    <w:p w14:paraId="79D23E77" w14:textId="77777777" w:rsidR="00697F02" w:rsidRPr="000F540D" w:rsidRDefault="00697F02" w:rsidP="009C1C6B">
      <w:pPr>
        <w:pStyle w:val="ExhibitText"/>
      </w:pP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1767"/>
        <w:gridCol w:w="1487"/>
      </w:tblGrid>
      <w:tr w:rsidR="00CB4334" w:rsidRPr="00CB4334" w14:paraId="4DCB73E1" w14:textId="77777777" w:rsidTr="00CB4334">
        <w:trPr>
          <w:trHeight w:val="300"/>
          <w:jc w:val="center"/>
        </w:trPr>
        <w:tc>
          <w:tcPr>
            <w:tcW w:w="2411" w:type="dxa"/>
            <w:shd w:val="clear" w:color="auto" w:fill="auto"/>
            <w:noWrap/>
            <w:vAlign w:val="center"/>
            <w:hideMark/>
          </w:tcPr>
          <w:p w14:paraId="30E4C28D" w14:textId="77777777" w:rsidR="00CB4334" w:rsidRPr="00CB4334" w:rsidRDefault="00CB4334" w:rsidP="00CB4334">
            <w:pPr>
              <w:pStyle w:val="ExhibitText"/>
              <w:jc w:val="center"/>
              <w:rPr>
                <w:lang w:eastAsia="en-GB"/>
              </w:rPr>
            </w:pPr>
            <w:r w:rsidRPr="00CB4334">
              <w:rPr>
                <w:lang w:eastAsia="en-GB"/>
              </w:rPr>
              <w:t>Company</w:t>
            </w:r>
          </w:p>
        </w:tc>
        <w:tc>
          <w:tcPr>
            <w:tcW w:w="1767" w:type="dxa"/>
            <w:shd w:val="clear" w:color="auto" w:fill="auto"/>
            <w:noWrap/>
            <w:vAlign w:val="center"/>
            <w:hideMark/>
          </w:tcPr>
          <w:p w14:paraId="53086241" w14:textId="77777777" w:rsidR="00CB4334" w:rsidRPr="00CB4334" w:rsidRDefault="00CB4334" w:rsidP="00CB4334">
            <w:pPr>
              <w:pStyle w:val="ExhibitText"/>
              <w:jc w:val="center"/>
              <w:rPr>
                <w:lang w:eastAsia="en-GB"/>
              </w:rPr>
            </w:pPr>
            <w:r w:rsidRPr="00CB4334">
              <w:rPr>
                <w:lang w:eastAsia="en-GB"/>
              </w:rPr>
              <w:t>No. of Locations</w:t>
            </w:r>
          </w:p>
        </w:tc>
        <w:tc>
          <w:tcPr>
            <w:tcW w:w="1487" w:type="dxa"/>
            <w:shd w:val="clear" w:color="auto" w:fill="auto"/>
            <w:noWrap/>
            <w:vAlign w:val="center"/>
            <w:hideMark/>
          </w:tcPr>
          <w:p w14:paraId="03AE38F3" w14:textId="77777777" w:rsidR="00CB4334" w:rsidRPr="00CB4334" w:rsidRDefault="00CB4334" w:rsidP="00CB4334">
            <w:pPr>
              <w:pStyle w:val="ExhibitText"/>
              <w:jc w:val="center"/>
              <w:rPr>
                <w:lang w:eastAsia="en-GB"/>
              </w:rPr>
            </w:pPr>
            <w:r w:rsidRPr="00CB4334">
              <w:rPr>
                <w:lang w:eastAsia="en-GB"/>
              </w:rPr>
              <w:t>No. of States</w:t>
            </w:r>
          </w:p>
        </w:tc>
      </w:tr>
      <w:tr w:rsidR="00CB4334" w:rsidRPr="00CB4334" w14:paraId="0ABB101E" w14:textId="77777777" w:rsidTr="00CB4334">
        <w:trPr>
          <w:trHeight w:val="300"/>
          <w:jc w:val="center"/>
        </w:trPr>
        <w:tc>
          <w:tcPr>
            <w:tcW w:w="2411" w:type="dxa"/>
            <w:shd w:val="clear" w:color="auto" w:fill="auto"/>
            <w:noWrap/>
            <w:vAlign w:val="center"/>
            <w:hideMark/>
          </w:tcPr>
          <w:p w14:paraId="11296205" w14:textId="77777777" w:rsidR="00CB4334" w:rsidRPr="00CB4334" w:rsidRDefault="00CB4334" w:rsidP="00CB4334">
            <w:pPr>
              <w:pStyle w:val="ExhibitText"/>
              <w:jc w:val="left"/>
              <w:rPr>
                <w:lang w:eastAsia="en-GB"/>
              </w:rPr>
            </w:pPr>
            <w:proofErr w:type="spellStart"/>
            <w:r w:rsidRPr="00CB4334">
              <w:rPr>
                <w:lang w:eastAsia="en-GB"/>
              </w:rPr>
              <w:t>MobilityWorks</w:t>
            </w:r>
            <w:proofErr w:type="spellEnd"/>
          </w:p>
        </w:tc>
        <w:tc>
          <w:tcPr>
            <w:tcW w:w="1767" w:type="dxa"/>
            <w:shd w:val="clear" w:color="auto" w:fill="auto"/>
            <w:noWrap/>
            <w:vAlign w:val="center"/>
            <w:hideMark/>
          </w:tcPr>
          <w:p w14:paraId="7BA22724" w14:textId="77777777" w:rsidR="00CB4334" w:rsidRPr="00CB4334" w:rsidRDefault="00CB4334" w:rsidP="00CB4334">
            <w:pPr>
              <w:pStyle w:val="ExhibitText"/>
              <w:jc w:val="center"/>
              <w:rPr>
                <w:lang w:eastAsia="en-GB"/>
              </w:rPr>
            </w:pPr>
            <w:r w:rsidRPr="00CB4334">
              <w:rPr>
                <w:lang w:eastAsia="en-GB"/>
              </w:rPr>
              <w:t>29</w:t>
            </w:r>
          </w:p>
        </w:tc>
        <w:tc>
          <w:tcPr>
            <w:tcW w:w="1487" w:type="dxa"/>
            <w:shd w:val="clear" w:color="auto" w:fill="auto"/>
            <w:noWrap/>
            <w:vAlign w:val="center"/>
            <w:hideMark/>
          </w:tcPr>
          <w:p w14:paraId="16C47B4E" w14:textId="77777777" w:rsidR="00CB4334" w:rsidRPr="00CB4334" w:rsidRDefault="00CB4334" w:rsidP="00CB4334">
            <w:pPr>
              <w:pStyle w:val="ExhibitText"/>
              <w:jc w:val="center"/>
              <w:rPr>
                <w:lang w:eastAsia="en-GB"/>
              </w:rPr>
            </w:pPr>
            <w:r w:rsidRPr="00CB4334">
              <w:rPr>
                <w:lang w:eastAsia="en-GB"/>
              </w:rPr>
              <w:t>12</w:t>
            </w:r>
          </w:p>
        </w:tc>
      </w:tr>
      <w:tr w:rsidR="00CB4334" w:rsidRPr="00CB4334" w14:paraId="7B021139" w14:textId="77777777" w:rsidTr="00CB4334">
        <w:trPr>
          <w:trHeight w:val="300"/>
          <w:jc w:val="center"/>
        </w:trPr>
        <w:tc>
          <w:tcPr>
            <w:tcW w:w="2411" w:type="dxa"/>
            <w:shd w:val="clear" w:color="auto" w:fill="auto"/>
            <w:noWrap/>
            <w:vAlign w:val="center"/>
            <w:hideMark/>
          </w:tcPr>
          <w:p w14:paraId="45660BE4" w14:textId="77777777" w:rsidR="00CB4334" w:rsidRPr="00CB4334" w:rsidRDefault="00CB4334" w:rsidP="00CB4334">
            <w:pPr>
              <w:pStyle w:val="ExhibitText"/>
              <w:jc w:val="left"/>
              <w:rPr>
                <w:lang w:eastAsia="en-GB"/>
              </w:rPr>
            </w:pPr>
            <w:r w:rsidRPr="00CB4334">
              <w:rPr>
                <w:lang w:eastAsia="en-GB"/>
              </w:rPr>
              <w:t>HASCO Medical, Inc.</w:t>
            </w:r>
          </w:p>
        </w:tc>
        <w:tc>
          <w:tcPr>
            <w:tcW w:w="1767" w:type="dxa"/>
            <w:shd w:val="clear" w:color="auto" w:fill="auto"/>
            <w:noWrap/>
            <w:vAlign w:val="center"/>
            <w:hideMark/>
          </w:tcPr>
          <w:p w14:paraId="76E2FE1F" w14:textId="77777777" w:rsidR="00CB4334" w:rsidRPr="00CB4334" w:rsidRDefault="00CB4334" w:rsidP="00CB4334">
            <w:pPr>
              <w:pStyle w:val="ExhibitText"/>
              <w:jc w:val="center"/>
              <w:rPr>
                <w:lang w:eastAsia="en-GB"/>
              </w:rPr>
            </w:pPr>
            <w:r w:rsidRPr="00CB4334">
              <w:rPr>
                <w:lang w:eastAsia="en-GB"/>
              </w:rPr>
              <w:t>21</w:t>
            </w:r>
          </w:p>
        </w:tc>
        <w:tc>
          <w:tcPr>
            <w:tcW w:w="1487" w:type="dxa"/>
            <w:shd w:val="clear" w:color="auto" w:fill="auto"/>
            <w:noWrap/>
            <w:vAlign w:val="center"/>
            <w:hideMark/>
          </w:tcPr>
          <w:p w14:paraId="7D3BD25C" w14:textId="77777777" w:rsidR="00CB4334" w:rsidRPr="00CB4334" w:rsidRDefault="00CB4334" w:rsidP="00CB4334">
            <w:pPr>
              <w:pStyle w:val="ExhibitText"/>
              <w:jc w:val="center"/>
              <w:rPr>
                <w:lang w:eastAsia="en-GB"/>
              </w:rPr>
            </w:pPr>
            <w:r w:rsidRPr="00CB4334">
              <w:rPr>
                <w:lang w:eastAsia="en-GB"/>
              </w:rPr>
              <w:t>10</w:t>
            </w:r>
          </w:p>
        </w:tc>
      </w:tr>
      <w:tr w:rsidR="00CB4334" w:rsidRPr="00CB4334" w14:paraId="446382C2" w14:textId="77777777" w:rsidTr="00CB4334">
        <w:trPr>
          <w:trHeight w:val="300"/>
          <w:jc w:val="center"/>
        </w:trPr>
        <w:tc>
          <w:tcPr>
            <w:tcW w:w="2411" w:type="dxa"/>
            <w:shd w:val="clear" w:color="auto" w:fill="auto"/>
            <w:noWrap/>
            <w:vAlign w:val="center"/>
            <w:hideMark/>
          </w:tcPr>
          <w:p w14:paraId="195BB703" w14:textId="77777777" w:rsidR="00CB4334" w:rsidRPr="00CB4334" w:rsidRDefault="00CB4334" w:rsidP="00CB4334">
            <w:pPr>
              <w:pStyle w:val="ExhibitText"/>
              <w:jc w:val="left"/>
              <w:rPr>
                <w:lang w:eastAsia="en-GB"/>
              </w:rPr>
            </w:pPr>
            <w:r w:rsidRPr="00CB4334">
              <w:rPr>
                <w:lang w:eastAsia="en-GB"/>
              </w:rPr>
              <w:t>United Access</w:t>
            </w:r>
          </w:p>
        </w:tc>
        <w:tc>
          <w:tcPr>
            <w:tcW w:w="1767" w:type="dxa"/>
            <w:shd w:val="clear" w:color="auto" w:fill="auto"/>
            <w:noWrap/>
            <w:vAlign w:val="center"/>
            <w:hideMark/>
          </w:tcPr>
          <w:p w14:paraId="6E88B8F1" w14:textId="77777777" w:rsidR="00CB4334" w:rsidRPr="00CB4334" w:rsidRDefault="00CB4334" w:rsidP="00CB4334">
            <w:pPr>
              <w:pStyle w:val="ExhibitText"/>
              <w:jc w:val="center"/>
              <w:rPr>
                <w:lang w:eastAsia="en-GB"/>
              </w:rPr>
            </w:pPr>
            <w:r w:rsidRPr="00CB4334">
              <w:rPr>
                <w:lang w:eastAsia="en-GB"/>
              </w:rPr>
              <w:t>14</w:t>
            </w:r>
          </w:p>
        </w:tc>
        <w:tc>
          <w:tcPr>
            <w:tcW w:w="1487" w:type="dxa"/>
            <w:shd w:val="clear" w:color="auto" w:fill="auto"/>
            <w:noWrap/>
            <w:vAlign w:val="center"/>
            <w:hideMark/>
          </w:tcPr>
          <w:p w14:paraId="0E2BE100" w14:textId="52A7327A" w:rsidR="00CB4334" w:rsidRPr="00CB4334" w:rsidRDefault="00CB4334" w:rsidP="00CB4334">
            <w:pPr>
              <w:pStyle w:val="ExhibitText"/>
              <w:jc w:val="center"/>
              <w:rPr>
                <w:lang w:eastAsia="en-GB"/>
              </w:rPr>
            </w:pPr>
            <w:r>
              <w:rPr>
                <w:lang w:eastAsia="en-GB"/>
              </w:rPr>
              <w:t xml:space="preserve">  </w:t>
            </w:r>
            <w:r w:rsidRPr="00CB4334">
              <w:rPr>
                <w:lang w:eastAsia="en-GB"/>
              </w:rPr>
              <w:t>6</w:t>
            </w:r>
          </w:p>
        </w:tc>
      </w:tr>
      <w:tr w:rsidR="00CB4334" w:rsidRPr="00CB4334" w14:paraId="05517E57" w14:textId="77777777" w:rsidTr="00CB4334">
        <w:trPr>
          <w:trHeight w:val="300"/>
          <w:jc w:val="center"/>
        </w:trPr>
        <w:tc>
          <w:tcPr>
            <w:tcW w:w="2411" w:type="dxa"/>
            <w:shd w:val="clear" w:color="auto" w:fill="auto"/>
            <w:noWrap/>
            <w:vAlign w:val="center"/>
            <w:hideMark/>
          </w:tcPr>
          <w:p w14:paraId="389C2A70" w14:textId="77777777" w:rsidR="00CB4334" w:rsidRPr="00CB4334" w:rsidRDefault="00CB4334" w:rsidP="00CB4334">
            <w:pPr>
              <w:pStyle w:val="ExhibitText"/>
              <w:jc w:val="left"/>
              <w:rPr>
                <w:lang w:eastAsia="en-GB"/>
              </w:rPr>
            </w:pPr>
            <w:r w:rsidRPr="00CB4334">
              <w:rPr>
                <w:lang w:eastAsia="en-GB"/>
              </w:rPr>
              <w:t xml:space="preserve">Ability </w:t>
            </w:r>
            <w:proofErr w:type="spellStart"/>
            <w:r w:rsidRPr="00CB4334">
              <w:rPr>
                <w:lang w:eastAsia="en-GB"/>
              </w:rPr>
              <w:t>Center</w:t>
            </w:r>
            <w:proofErr w:type="spellEnd"/>
          </w:p>
        </w:tc>
        <w:tc>
          <w:tcPr>
            <w:tcW w:w="1767" w:type="dxa"/>
            <w:shd w:val="clear" w:color="auto" w:fill="auto"/>
            <w:noWrap/>
            <w:vAlign w:val="center"/>
            <w:hideMark/>
          </w:tcPr>
          <w:p w14:paraId="5A14DBFC" w14:textId="6A02F397" w:rsidR="00CB4334" w:rsidRPr="00CB4334" w:rsidRDefault="00CB4334" w:rsidP="00CB4334">
            <w:pPr>
              <w:pStyle w:val="ExhibitText"/>
              <w:jc w:val="center"/>
              <w:rPr>
                <w:lang w:eastAsia="en-GB"/>
              </w:rPr>
            </w:pPr>
            <w:r>
              <w:rPr>
                <w:lang w:eastAsia="en-GB"/>
              </w:rPr>
              <w:t xml:space="preserve">  </w:t>
            </w:r>
            <w:r w:rsidRPr="00CB4334">
              <w:rPr>
                <w:lang w:eastAsia="en-GB"/>
              </w:rPr>
              <w:t>9</w:t>
            </w:r>
          </w:p>
        </w:tc>
        <w:tc>
          <w:tcPr>
            <w:tcW w:w="1487" w:type="dxa"/>
            <w:shd w:val="clear" w:color="auto" w:fill="auto"/>
            <w:noWrap/>
            <w:vAlign w:val="center"/>
            <w:hideMark/>
          </w:tcPr>
          <w:p w14:paraId="6D482F75" w14:textId="15CA6282" w:rsidR="00CB4334" w:rsidRPr="00CB4334" w:rsidRDefault="00CB4334" w:rsidP="00CB4334">
            <w:pPr>
              <w:pStyle w:val="ExhibitText"/>
              <w:jc w:val="center"/>
              <w:rPr>
                <w:lang w:eastAsia="en-GB"/>
              </w:rPr>
            </w:pPr>
            <w:r>
              <w:rPr>
                <w:lang w:eastAsia="en-GB"/>
              </w:rPr>
              <w:t xml:space="preserve">  </w:t>
            </w:r>
            <w:r w:rsidRPr="00CB4334">
              <w:rPr>
                <w:lang w:eastAsia="en-GB"/>
              </w:rPr>
              <w:t>3</w:t>
            </w:r>
          </w:p>
        </w:tc>
      </w:tr>
      <w:tr w:rsidR="00CB4334" w:rsidRPr="00CB4334" w14:paraId="73BCC805" w14:textId="77777777" w:rsidTr="00CB4334">
        <w:trPr>
          <w:trHeight w:val="300"/>
          <w:jc w:val="center"/>
        </w:trPr>
        <w:tc>
          <w:tcPr>
            <w:tcW w:w="2411" w:type="dxa"/>
            <w:shd w:val="clear" w:color="auto" w:fill="auto"/>
            <w:noWrap/>
            <w:vAlign w:val="center"/>
            <w:hideMark/>
          </w:tcPr>
          <w:p w14:paraId="22687333" w14:textId="77777777" w:rsidR="00CB4334" w:rsidRPr="00CB4334" w:rsidRDefault="00CB4334" w:rsidP="00CB4334">
            <w:pPr>
              <w:pStyle w:val="ExhibitText"/>
              <w:jc w:val="left"/>
              <w:rPr>
                <w:lang w:eastAsia="en-GB"/>
              </w:rPr>
            </w:pPr>
            <w:r w:rsidRPr="00CB4334">
              <w:rPr>
                <w:lang w:eastAsia="en-GB"/>
              </w:rPr>
              <w:t>Superior Van &amp; Mobility</w:t>
            </w:r>
          </w:p>
        </w:tc>
        <w:tc>
          <w:tcPr>
            <w:tcW w:w="1767" w:type="dxa"/>
            <w:shd w:val="clear" w:color="auto" w:fill="auto"/>
            <w:noWrap/>
            <w:vAlign w:val="center"/>
            <w:hideMark/>
          </w:tcPr>
          <w:p w14:paraId="1C1829B8" w14:textId="4984755A" w:rsidR="00CB4334" w:rsidRPr="00CB4334" w:rsidRDefault="00CB4334" w:rsidP="00CB4334">
            <w:pPr>
              <w:pStyle w:val="ExhibitText"/>
              <w:jc w:val="center"/>
              <w:rPr>
                <w:lang w:eastAsia="en-GB"/>
              </w:rPr>
            </w:pPr>
            <w:r>
              <w:rPr>
                <w:lang w:eastAsia="en-GB"/>
              </w:rPr>
              <w:t xml:space="preserve">  </w:t>
            </w:r>
            <w:r w:rsidRPr="00CB4334">
              <w:rPr>
                <w:lang w:eastAsia="en-GB"/>
              </w:rPr>
              <w:t>9</w:t>
            </w:r>
          </w:p>
        </w:tc>
        <w:tc>
          <w:tcPr>
            <w:tcW w:w="1487" w:type="dxa"/>
            <w:shd w:val="clear" w:color="auto" w:fill="auto"/>
            <w:noWrap/>
            <w:vAlign w:val="center"/>
            <w:hideMark/>
          </w:tcPr>
          <w:p w14:paraId="6605488A" w14:textId="710D79E6" w:rsidR="00CB4334" w:rsidRPr="00CB4334" w:rsidRDefault="00CB4334" w:rsidP="00CB4334">
            <w:pPr>
              <w:pStyle w:val="ExhibitText"/>
              <w:jc w:val="center"/>
              <w:rPr>
                <w:lang w:eastAsia="en-GB"/>
              </w:rPr>
            </w:pPr>
            <w:r>
              <w:rPr>
                <w:lang w:eastAsia="en-GB"/>
              </w:rPr>
              <w:t xml:space="preserve">  </w:t>
            </w:r>
            <w:r w:rsidRPr="00CB4334">
              <w:rPr>
                <w:lang w:eastAsia="en-GB"/>
              </w:rPr>
              <w:t>4</w:t>
            </w:r>
          </w:p>
        </w:tc>
      </w:tr>
      <w:tr w:rsidR="00CB4334" w:rsidRPr="00CB4334" w14:paraId="19C19F79" w14:textId="77777777" w:rsidTr="00CB4334">
        <w:trPr>
          <w:trHeight w:val="300"/>
          <w:jc w:val="center"/>
        </w:trPr>
        <w:tc>
          <w:tcPr>
            <w:tcW w:w="2411" w:type="dxa"/>
            <w:shd w:val="clear" w:color="auto" w:fill="auto"/>
            <w:noWrap/>
            <w:vAlign w:val="center"/>
            <w:hideMark/>
          </w:tcPr>
          <w:p w14:paraId="2C526B9E" w14:textId="77777777" w:rsidR="00CB4334" w:rsidRPr="00CB4334" w:rsidRDefault="00CB4334" w:rsidP="00CB4334">
            <w:pPr>
              <w:pStyle w:val="ExhibitText"/>
              <w:jc w:val="left"/>
              <w:rPr>
                <w:lang w:eastAsia="en-GB"/>
              </w:rPr>
            </w:pPr>
            <w:r w:rsidRPr="00CB4334">
              <w:rPr>
                <w:lang w:eastAsia="en-GB"/>
              </w:rPr>
              <w:t>Performance Mobility</w:t>
            </w:r>
          </w:p>
        </w:tc>
        <w:tc>
          <w:tcPr>
            <w:tcW w:w="1767" w:type="dxa"/>
            <w:shd w:val="clear" w:color="auto" w:fill="auto"/>
            <w:noWrap/>
            <w:vAlign w:val="center"/>
            <w:hideMark/>
          </w:tcPr>
          <w:p w14:paraId="70F7535A" w14:textId="62A4DB6A" w:rsidR="00CB4334" w:rsidRPr="00CB4334" w:rsidRDefault="00CB4334" w:rsidP="00CB4334">
            <w:pPr>
              <w:pStyle w:val="ExhibitText"/>
              <w:jc w:val="center"/>
              <w:rPr>
                <w:lang w:eastAsia="en-GB"/>
              </w:rPr>
            </w:pPr>
            <w:r>
              <w:rPr>
                <w:lang w:eastAsia="en-GB"/>
              </w:rPr>
              <w:t xml:space="preserve">  </w:t>
            </w:r>
            <w:r w:rsidRPr="00CB4334">
              <w:rPr>
                <w:lang w:eastAsia="en-GB"/>
              </w:rPr>
              <w:t>7</w:t>
            </w:r>
          </w:p>
        </w:tc>
        <w:tc>
          <w:tcPr>
            <w:tcW w:w="1487" w:type="dxa"/>
            <w:shd w:val="clear" w:color="auto" w:fill="auto"/>
            <w:noWrap/>
            <w:vAlign w:val="center"/>
            <w:hideMark/>
          </w:tcPr>
          <w:p w14:paraId="5B45A46C" w14:textId="046D750B" w:rsidR="00CB4334" w:rsidRPr="00CB4334" w:rsidRDefault="00CB4334" w:rsidP="00CB4334">
            <w:pPr>
              <w:pStyle w:val="ExhibitText"/>
              <w:jc w:val="center"/>
              <w:rPr>
                <w:lang w:eastAsia="en-GB"/>
              </w:rPr>
            </w:pPr>
            <w:r>
              <w:rPr>
                <w:lang w:eastAsia="en-GB"/>
              </w:rPr>
              <w:t xml:space="preserve">  </w:t>
            </w:r>
            <w:r w:rsidRPr="00CB4334">
              <w:rPr>
                <w:lang w:eastAsia="en-GB"/>
              </w:rPr>
              <w:t>3</w:t>
            </w:r>
          </w:p>
        </w:tc>
        <w:bookmarkStart w:id="0" w:name="_GoBack"/>
        <w:bookmarkEnd w:id="0"/>
      </w:tr>
      <w:tr w:rsidR="00CB4334" w:rsidRPr="00CB4334" w14:paraId="55931C04" w14:textId="77777777" w:rsidTr="00CB4334">
        <w:trPr>
          <w:trHeight w:val="300"/>
          <w:jc w:val="center"/>
        </w:trPr>
        <w:tc>
          <w:tcPr>
            <w:tcW w:w="2411" w:type="dxa"/>
            <w:shd w:val="clear" w:color="auto" w:fill="auto"/>
            <w:noWrap/>
            <w:vAlign w:val="center"/>
            <w:hideMark/>
          </w:tcPr>
          <w:p w14:paraId="340FAF70" w14:textId="77777777" w:rsidR="00CB4334" w:rsidRPr="00CB4334" w:rsidRDefault="00CB4334" w:rsidP="00CB4334">
            <w:pPr>
              <w:pStyle w:val="ExhibitText"/>
              <w:jc w:val="left"/>
              <w:rPr>
                <w:lang w:eastAsia="en-GB"/>
              </w:rPr>
            </w:pPr>
            <w:r w:rsidRPr="00CB4334">
              <w:rPr>
                <w:lang w:eastAsia="en-GB"/>
              </w:rPr>
              <w:t>Adaptive Driving Access</w:t>
            </w:r>
          </w:p>
        </w:tc>
        <w:tc>
          <w:tcPr>
            <w:tcW w:w="1767" w:type="dxa"/>
            <w:shd w:val="clear" w:color="auto" w:fill="auto"/>
            <w:noWrap/>
            <w:vAlign w:val="center"/>
            <w:hideMark/>
          </w:tcPr>
          <w:p w14:paraId="58CA244B" w14:textId="2158E069" w:rsidR="00CB4334" w:rsidRPr="00CB4334" w:rsidRDefault="00CB4334" w:rsidP="00CB4334">
            <w:pPr>
              <w:pStyle w:val="ExhibitText"/>
              <w:jc w:val="center"/>
              <w:rPr>
                <w:lang w:eastAsia="en-GB"/>
              </w:rPr>
            </w:pPr>
            <w:r>
              <w:rPr>
                <w:lang w:eastAsia="en-GB"/>
              </w:rPr>
              <w:t xml:space="preserve">  </w:t>
            </w:r>
            <w:r w:rsidRPr="00CB4334">
              <w:rPr>
                <w:lang w:eastAsia="en-GB"/>
              </w:rPr>
              <w:t>4</w:t>
            </w:r>
          </w:p>
        </w:tc>
        <w:tc>
          <w:tcPr>
            <w:tcW w:w="1487" w:type="dxa"/>
            <w:shd w:val="clear" w:color="auto" w:fill="auto"/>
            <w:noWrap/>
            <w:vAlign w:val="center"/>
            <w:hideMark/>
          </w:tcPr>
          <w:p w14:paraId="5DDF2B75" w14:textId="597ED5F2" w:rsidR="00CB4334" w:rsidRPr="00CB4334" w:rsidRDefault="00CB4334" w:rsidP="00CB4334">
            <w:pPr>
              <w:pStyle w:val="ExhibitText"/>
              <w:jc w:val="center"/>
              <w:rPr>
                <w:lang w:eastAsia="en-GB"/>
              </w:rPr>
            </w:pPr>
            <w:r>
              <w:rPr>
                <w:lang w:eastAsia="en-GB"/>
              </w:rPr>
              <w:t xml:space="preserve">  </w:t>
            </w:r>
            <w:r w:rsidRPr="00CB4334">
              <w:rPr>
                <w:lang w:eastAsia="en-GB"/>
              </w:rPr>
              <w:t>1</w:t>
            </w:r>
          </w:p>
        </w:tc>
      </w:tr>
    </w:tbl>
    <w:p w14:paraId="4A398AB4" w14:textId="77777777" w:rsidR="00CB4334" w:rsidRDefault="00CB4334" w:rsidP="009C1C6B">
      <w:pPr>
        <w:pStyle w:val="ExhibitText"/>
      </w:pPr>
    </w:p>
    <w:p w14:paraId="4CF58E79" w14:textId="4645D04E" w:rsidR="00697F02" w:rsidRPr="000F540D" w:rsidRDefault="00697F02" w:rsidP="009C1C6B">
      <w:pPr>
        <w:pStyle w:val="Footnote"/>
      </w:pPr>
      <w:r w:rsidRPr="000F540D">
        <w:t xml:space="preserve">Source: </w:t>
      </w:r>
      <w:r w:rsidR="009C1C6B">
        <w:t xml:space="preserve">Company documents. </w:t>
      </w:r>
    </w:p>
    <w:sectPr w:rsidR="00697F02" w:rsidRPr="000F540D" w:rsidSect="003A20A1">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A5571" w14:textId="77777777" w:rsidR="00B71C5A" w:rsidRDefault="00B71C5A" w:rsidP="00D75295">
      <w:r>
        <w:separator/>
      </w:r>
    </w:p>
  </w:endnote>
  <w:endnote w:type="continuationSeparator" w:id="0">
    <w:p w14:paraId="047814D4" w14:textId="77777777" w:rsidR="00B71C5A" w:rsidRDefault="00B71C5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23C15" w14:textId="77777777" w:rsidR="00B71C5A" w:rsidRDefault="00B71C5A" w:rsidP="00D75295">
      <w:r>
        <w:separator/>
      </w:r>
    </w:p>
  </w:footnote>
  <w:footnote w:type="continuationSeparator" w:id="0">
    <w:p w14:paraId="45DAB8EC" w14:textId="77777777" w:rsidR="00B71C5A" w:rsidRDefault="00B71C5A" w:rsidP="00D75295">
      <w:r>
        <w:continuationSeparator/>
      </w:r>
    </w:p>
  </w:footnote>
  <w:footnote w:id="1">
    <w:p w14:paraId="4766FA6E" w14:textId="62F96BBA" w:rsidR="00834B40" w:rsidRPr="000176BF" w:rsidRDefault="00834B40" w:rsidP="009C1C6B">
      <w:pPr>
        <w:pStyle w:val="Footnote"/>
        <w:rPr>
          <w:spacing w:val="-6"/>
          <w:kern w:val="17"/>
        </w:rPr>
      </w:pPr>
      <w:r w:rsidRPr="000176BF">
        <w:rPr>
          <w:rStyle w:val="FootnoteReference"/>
          <w:spacing w:val="-6"/>
          <w:kern w:val="17"/>
        </w:rPr>
        <w:footnoteRef/>
      </w:r>
      <w:r w:rsidRPr="000176BF">
        <w:rPr>
          <w:spacing w:val="-6"/>
          <w:kern w:val="17"/>
        </w:rPr>
        <w:t xml:space="preserve"> </w:t>
      </w:r>
      <w:r w:rsidR="00BC61F1" w:rsidRPr="000176BF">
        <w:rPr>
          <w:spacing w:val="-6"/>
          <w:kern w:val="17"/>
        </w:rPr>
        <w:t xml:space="preserve">Matthew W. </w:t>
      </w:r>
      <w:proofErr w:type="spellStart"/>
      <w:r w:rsidRPr="000176BF">
        <w:rPr>
          <w:spacing w:val="-6"/>
          <w:kern w:val="17"/>
        </w:rPr>
        <w:t>Brault</w:t>
      </w:r>
      <w:proofErr w:type="spellEnd"/>
      <w:r w:rsidRPr="000176BF">
        <w:rPr>
          <w:spacing w:val="-6"/>
          <w:kern w:val="17"/>
        </w:rPr>
        <w:t xml:space="preserve">, “Americans </w:t>
      </w:r>
      <w:proofErr w:type="gramStart"/>
      <w:r w:rsidRPr="000176BF">
        <w:rPr>
          <w:spacing w:val="-6"/>
          <w:kern w:val="17"/>
        </w:rPr>
        <w:t>With</w:t>
      </w:r>
      <w:proofErr w:type="gramEnd"/>
      <w:r w:rsidRPr="000176BF">
        <w:rPr>
          <w:spacing w:val="-6"/>
          <w:kern w:val="17"/>
        </w:rPr>
        <w:t xml:space="preserve"> Disabilities: 2010,” </w:t>
      </w:r>
      <w:r w:rsidRPr="000176BF">
        <w:rPr>
          <w:i/>
          <w:spacing w:val="-6"/>
          <w:kern w:val="17"/>
        </w:rPr>
        <w:t>Current Population Reports</w:t>
      </w:r>
      <w:r w:rsidR="000176BF" w:rsidRPr="000176BF">
        <w:rPr>
          <w:spacing w:val="-6"/>
          <w:kern w:val="17"/>
        </w:rPr>
        <w:t xml:space="preserve"> </w:t>
      </w:r>
      <w:r w:rsidR="005220FF" w:rsidRPr="000176BF">
        <w:rPr>
          <w:spacing w:val="-6"/>
          <w:kern w:val="17"/>
        </w:rPr>
        <w:t>(Washington, DC:</w:t>
      </w:r>
      <w:r w:rsidRPr="000176BF">
        <w:rPr>
          <w:spacing w:val="-6"/>
          <w:kern w:val="17"/>
        </w:rPr>
        <w:t xml:space="preserve"> U.S. Census Bureau, 2012</w:t>
      </w:r>
      <w:r w:rsidR="005220FF" w:rsidRPr="000176BF">
        <w:rPr>
          <w:spacing w:val="-6"/>
          <w:kern w:val="17"/>
        </w:rPr>
        <w:t>)</w:t>
      </w:r>
      <w:r w:rsidRPr="000176BF">
        <w:rPr>
          <w:spacing w:val="-6"/>
          <w:kern w:val="17"/>
        </w:rPr>
        <w:t xml:space="preserve">, 8. </w:t>
      </w:r>
    </w:p>
  </w:footnote>
  <w:footnote w:id="2">
    <w:p w14:paraId="54A22062" w14:textId="014DEFD2" w:rsidR="00834B40" w:rsidRPr="00697F02" w:rsidRDefault="00834B40" w:rsidP="009C1C6B">
      <w:pPr>
        <w:pStyle w:val="Footnote"/>
      </w:pPr>
      <w:r w:rsidRPr="00697F02">
        <w:rPr>
          <w:rStyle w:val="FootnoteReference"/>
        </w:rPr>
        <w:footnoteRef/>
      </w:r>
      <w:r w:rsidRPr="00697F02">
        <w:t xml:space="preserve"> </w:t>
      </w:r>
      <w:r w:rsidR="005220FF">
        <w:t xml:space="preserve">“WMK,” Inc. 5000, </w:t>
      </w:r>
      <w:r w:rsidR="005220FF" w:rsidRPr="00697F02">
        <w:t>accessed December 30, 2015</w:t>
      </w:r>
      <w:r w:rsidR="005220FF">
        <w:t xml:space="preserve">, </w:t>
      </w:r>
      <w:r w:rsidRPr="009C1C6B">
        <w:t>www.inc.com/profile/wmk</w:t>
      </w:r>
      <w:r w:rsidRPr="00697F02">
        <w:t xml:space="preserve">. </w:t>
      </w:r>
    </w:p>
  </w:footnote>
  <w:footnote w:id="3">
    <w:p w14:paraId="0E4032A9" w14:textId="2639C497" w:rsidR="00834B40" w:rsidRPr="000176BF" w:rsidRDefault="00834B40" w:rsidP="009C1C6B">
      <w:pPr>
        <w:pStyle w:val="Footnote"/>
        <w:rPr>
          <w:spacing w:val="-2"/>
          <w:kern w:val="17"/>
        </w:rPr>
      </w:pPr>
      <w:r w:rsidRPr="000176BF">
        <w:rPr>
          <w:rStyle w:val="FootnoteReference"/>
          <w:spacing w:val="-2"/>
          <w:kern w:val="17"/>
        </w:rPr>
        <w:footnoteRef/>
      </w:r>
      <w:r w:rsidRPr="000176BF">
        <w:rPr>
          <w:spacing w:val="-2"/>
          <w:kern w:val="17"/>
        </w:rPr>
        <w:t xml:space="preserve"> </w:t>
      </w:r>
      <w:r w:rsidR="005220FF" w:rsidRPr="000176BF">
        <w:rPr>
          <w:spacing w:val="-2"/>
          <w:kern w:val="17"/>
        </w:rPr>
        <w:t xml:space="preserve">Lindsay Chappell, “Wheelchair Van Makers See Growth: But Retailing Isn’t for Everyone” </w:t>
      </w:r>
      <w:r w:rsidR="005220FF" w:rsidRPr="000176BF">
        <w:rPr>
          <w:i/>
          <w:spacing w:val="-2"/>
          <w:kern w:val="17"/>
        </w:rPr>
        <w:t>Automotive News</w:t>
      </w:r>
      <w:r w:rsidR="005220FF" w:rsidRPr="000176BF">
        <w:rPr>
          <w:spacing w:val="-2"/>
          <w:kern w:val="17"/>
        </w:rPr>
        <w:t>, April 8, 2013</w:t>
      </w:r>
      <w:r w:rsidR="007F2D1D" w:rsidRPr="000176BF">
        <w:rPr>
          <w:spacing w:val="-2"/>
          <w:kern w:val="17"/>
        </w:rPr>
        <w:t>, accessed December 30, 2015</w:t>
      </w:r>
      <w:r w:rsidR="005220FF" w:rsidRPr="000176BF">
        <w:rPr>
          <w:spacing w:val="-2"/>
          <w:kern w:val="17"/>
        </w:rPr>
        <w:t xml:space="preserve">, </w:t>
      </w:r>
      <w:r w:rsidRPr="000176BF">
        <w:rPr>
          <w:spacing w:val="-2"/>
          <w:kern w:val="17"/>
        </w:rPr>
        <w:t>www.autonews.com/article/20130408/RETAIL03/304089975/wheelchair-van-makers-see-growth</w:t>
      </w:r>
      <w:r w:rsidR="007F2D1D" w:rsidRPr="000176BF">
        <w:rPr>
          <w:spacing w:val="-2"/>
          <w:kern w:val="17"/>
        </w:rPr>
        <w:t>.</w:t>
      </w:r>
    </w:p>
  </w:footnote>
  <w:footnote w:id="4">
    <w:p w14:paraId="7EA6FE87" w14:textId="1BFCCE0F" w:rsidR="00834B40" w:rsidRPr="000176BF" w:rsidRDefault="00834B40" w:rsidP="009C1C6B">
      <w:pPr>
        <w:pStyle w:val="Footnote"/>
        <w:rPr>
          <w:spacing w:val="-2"/>
          <w:kern w:val="17"/>
        </w:rPr>
      </w:pPr>
      <w:r w:rsidRPr="000176BF">
        <w:rPr>
          <w:rStyle w:val="FootnoteReference"/>
          <w:spacing w:val="-2"/>
          <w:kern w:val="17"/>
        </w:rPr>
        <w:footnoteRef/>
      </w:r>
      <w:r w:rsidRPr="000176BF">
        <w:rPr>
          <w:spacing w:val="-2"/>
          <w:kern w:val="17"/>
        </w:rPr>
        <w:t xml:space="preserve"> H. Stephen Kaye, </w:t>
      </w:r>
      <w:proofErr w:type="spellStart"/>
      <w:r w:rsidRPr="000176BF">
        <w:rPr>
          <w:spacing w:val="-2"/>
          <w:kern w:val="17"/>
        </w:rPr>
        <w:t>Taewoon</w:t>
      </w:r>
      <w:proofErr w:type="spellEnd"/>
      <w:r w:rsidRPr="000176BF">
        <w:rPr>
          <w:spacing w:val="-2"/>
          <w:kern w:val="17"/>
        </w:rPr>
        <w:t xml:space="preserve"> Kang</w:t>
      </w:r>
      <w:r w:rsidR="00FB2B6D" w:rsidRPr="000176BF">
        <w:rPr>
          <w:spacing w:val="-2"/>
          <w:kern w:val="17"/>
        </w:rPr>
        <w:t>, and</w:t>
      </w:r>
      <w:r w:rsidRPr="000176BF">
        <w:rPr>
          <w:spacing w:val="-2"/>
          <w:kern w:val="17"/>
        </w:rPr>
        <w:t xml:space="preserve"> Mitchell P. </w:t>
      </w:r>
      <w:proofErr w:type="spellStart"/>
      <w:r w:rsidRPr="000176BF">
        <w:rPr>
          <w:spacing w:val="-2"/>
          <w:kern w:val="17"/>
        </w:rPr>
        <w:t>LaPlante</w:t>
      </w:r>
      <w:proofErr w:type="spellEnd"/>
      <w:r w:rsidRPr="000176BF">
        <w:rPr>
          <w:spacing w:val="-2"/>
          <w:kern w:val="17"/>
        </w:rPr>
        <w:t xml:space="preserve">, </w:t>
      </w:r>
      <w:r w:rsidR="00FB2B6D" w:rsidRPr="000176BF">
        <w:rPr>
          <w:spacing w:val="-2"/>
          <w:kern w:val="17"/>
        </w:rPr>
        <w:t>“</w:t>
      </w:r>
      <w:r w:rsidRPr="000176BF">
        <w:rPr>
          <w:spacing w:val="-2"/>
          <w:kern w:val="17"/>
        </w:rPr>
        <w:t>Mobility Device Use in the United States</w:t>
      </w:r>
      <w:r w:rsidR="00FB2B6D" w:rsidRPr="000176BF">
        <w:rPr>
          <w:spacing w:val="-2"/>
          <w:kern w:val="17"/>
        </w:rPr>
        <w:t xml:space="preserve">,” </w:t>
      </w:r>
      <w:r w:rsidR="00FB2B6D" w:rsidRPr="000176BF">
        <w:rPr>
          <w:i/>
          <w:spacing w:val="-2"/>
          <w:kern w:val="17"/>
        </w:rPr>
        <w:t>Disability Statistics Report</w:t>
      </w:r>
      <w:r w:rsidR="00FB2B6D" w:rsidRPr="000176BF">
        <w:rPr>
          <w:spacing w:val="-2"/>
          <w:kern w:val="17"/>
        </w:rPr>
        <w:t xml:space="preserve"> 14</w:t>
      </w:r>
      <w:r w:rsidRPr="000176BF">
        <w:rPr>
          <w:spacing w:val="-2"/>
          <w:kern w:val="17"/>
        </w:rPr>
        <w:t xml:space="preserve"> </w:t>
      </w:r>
      <w:r w:rsidR="00FB2B6D" w:rsidRPr="000176BF">
        <w:rPr>
          <w:spacing w:val="-2"/>
          <w:kern w:val="17"/>
        </w:rPr>
        <w:t xml:space="preserve">(Washington, DC: U.S. Department of Education, National Institute on Disability and Rehabilitation Research, </w:t>
      </w:r>
      <w:r w:rsidRPr="000176BF">
        <w:rPr>
          <w:spacing w:val="-2"/>
          <w:kern w:val="17"/>
        </w:rPr>
        <w:t>June 2000</w:t>
      </w:r>
      <w:r w:rsidR="00FB2B6D" w:rsidRPr="000176BF">
        <w:rPr>
          <w:spacing w:val="-2"/>
          <w:kern w:val="17"/>
        </w:rPr>
        <w:t>)</w:t>
      </w:r>
      <w:r w:rsidRPr="000176BF">
        <w:rPr>
          <w:spacing w:val="-2"/>
          <w:kern w:val="17"/>
        </w:rPr>
        <w:t xml:space="preserve">, 7. </w:t>
      </w:r>
    </w:p>
  </w:footnote>
  <w:footnote w:id="5">
    <w:p w14:paraId="677F7A0D" w14:textId="782C319C" w:rsidR="00834B40" w:rsidRPr="000176BF" w:rsidRDefault="00834B40" w:rsidP="009C1C6B">
      <w:pPr>
        <w:pStyle w:val="Footnote"/>
        <w:rPr>
          <w:spacing w:val="-2"/>
          <w:kern w:val="17"/>
        </w:rPr>
      </w:pPr>
      <w:r w:rsidRPr="000176BF">
        <w:rPr>
          <w:rStyle w:val="FootnoteReference"/>
          <w:spacing w:val="-2"/>
          <w:kern w:val="17"/>
        </w:rPr>
        <w:footnoteRef/>
      </w:r>
      <w:r w:rsidRPr="000176BF">
        <w:rPr>
          <w:spacing w:val="-2"/>
          <w:kern w:val="17"/>
        </w:rPr>
        <w:t xml:space="preserve"> </w:t>
      </w:r>
      <w:proofErr w:type="spellStart"/>
      <w:r w:rsidR="008C1ED7" w:rsidRPr="000176BF">
        <w:rPr>
          <w:spacing w:val="-2"/>
          <w:kern w:val="17"/>
        </w:rPr>
        <w:t>D’Vera</w:t>
      </w:r>
      <w:proofErr w:type="spellEnd"/>
      <w:r w:rsidR="008C1ED7" w:rsidRPr="000176BF">
        <w:rPr>
          <w:spacing w:val="-2"/>
          <w:kern w:val="17"/>
        </w:rPr>
        <w:t xml:space="preserve"> Cohn and Paul Taylor, “Baby Boomers Approach 65—</w:t>
      </w:r>
      <w:proofErr w:type="gramStart"/>
      <w:r w:rsidR="008C1ED7" w:rsidRPr="000176BF">
        <w:rPr>
          <w:spacing w:val="-2"/>
          <w:kern w:val="17"/>
        </w:rPr>
        <w:t>Glumly</w:t>
      </w:r>
      <w:proofErr w:type="gramEnd"/>
      <w:r w:rsidR="008C1ED7" w:rsidRPr="000176BF">
        <w:rPr>
          <w:spacing w:val="-2"/>
          <w:kern w:val="17"/>
        </w:rPr>
        <w:t xml:space="preserve">,” </w:t>
      </w:r>
      <w:r w:rsidR="00E47125" w:rsidRPr="000176BF">
        <w:rPr>
          <w:spacing w:val="-2"/>
          <w:kern w:val="17"/>
        </w:rPr>
        <w:t xml:space="preserve">Pew Research </w:t>
      </w:r>
      <w:proofErr w:type="spellStart"/>
      <w:r w:rsidR="00E47125" w:rsidRPr="000176BF">
        <w:rPr>
          <w:spacing w:val="-2"/>
          <w:kern w:val="17"/>
        </w:rPr>
        <w:t>Center</w:t>
      </w:r>
      <w:proofErr w:type="spellEnd"/>
      <w:r w:rsidR="00E47125" w:rsidRPr="000176BF">
        <w:rPr>
          <w:spacing w:val="-2"/>
          <w:kern w:val="17"/>
        </w:rPr>
        <w:t xml:space="preserve">, Social and Demographic Trends, December 20, 2010, accessed December 30, 2015, </w:t>
      </w:r>
      <w:r w:rsidRPr="000176BF">
        <w:rPr>
          <w:spacing w:val="-2"/>
          <w:kern w:val="17"/>
        </w:rPr>
        <w:t>www.pewsocialtrends.org/2010/12/20/baby-boomers-approach-65-glumly.</w:t>
      </w:r>
    </w:p>
  </w:footnote>
  <w:footnote w:id="6">
    <w:p w14:paraId="7EDF03B1" w14:textId="31D204A0" w:rsidR="00834B40" w:rsidRDefault="00834B40" w:rsidP="009C1C6B">
      <w:pPr>
        <w:pStyle w:val="Footnote"/>
      </w:pPr>
      <w:r>
        <w:rPr>
          <w:rStyle w:val="FootnoteReference"/>
        </w:rPr>
        <w:footnoteRef/>
      </w:r>
      <w:r>
        <w:t xml:space="preserve"> “</w:t>
      </w:r>
      <w:proofErr w:type="spellStart"/>
      <w:r>
        <w:t>Upfitting</w:t>
      </w:r>
      <w:proofErr w:type="spellEnd"/>
      <w:r>
        <w:t>” referred to adding new or customized features to an existing product or system.</w:t>
      </w:r>
    </w:p>
  </w:footnote>
  <w:footnote w:id="7">
    <w:p w14:paraId="19AD8738" w14:textId="0BEB3952" w:rsidR="00834B40" w:rsidRDefault="00834B40" w:rsidP="009C1C6B">
      <w:pPr>
        <w:pStyle w:val="Footnote"/>
      </w:pPr>
      <w:r>
        <w:rPr>
          <w:rStyle w:val="FootnoteReference"/>
        </w:rPr>
        <w:footnoteRef/>
      </w:r>
      <w:r>
        <w:t xml:space="preserve"> </w:t>
      </w:r>
      <w:r w:rsidR="002A5A02">
        <w:t>“</w:t>
      </w:r>
      <w:r>
        <w:t>Modern Survey,</w:t>
      </w:r>
      <w:r w:rsidR="002A5A02">
        <w:t>”</w:t>
      </w:r>
      <w:r>
        <w:t xml:space="preserve"> Aon Empower Results, accessed December 22, 2016, www.modernsurvey.com.</w:t>
      </w:r>
    </w:p>
  </w:footnote>
  <w:footnote w:id="8">
    <w:p w14:paraId="2FB4D242" w14:textId="127516D8" w:rsidR="00834B40" w:rsidRDefault="00834B40" w:rsidP="009C1C6B">
      <w:pPr>
        <w:pStyle w:val="Footnote"/>
      </w:pPr>
      <w:r>
        <w:rPr>
          <w:rStyle w:val="FootnoteReference"/>
        </w:rPr>
        <w:footnoteRef/>
      </w:r>
      <w:r>
        <w:t xml:space="preserve"> </w:t>
      </w:r>
      <w:r w:rsidRPr="00457211">
        <w:t xml:space="preserve">All </w:t>
      </w:r>
      <w:r w:rsidRPr="00457211" w:rsidDel="00933797">
        <w:t>currenc</w:t>
      </w:r>
      <w:r w:rsidDel="00933797">
        <w:t>y amounts</w:t>
      </w:r>
      <w:r w:rsidRPr="00457211" w:rsidDel="00933797">
        <w:t xml:space="preserve"> </w:t>
      </w:r>
      <w:r w:rsidRPr="00457211">
        <w:t>are in U</w:t>
      </w:r>
      <w:r w:rsidR="00B166BF">
        <w:t>.</w:t>
      </w:r>
      <w:r w:rsidRPr="00457211">
        <w:t>S</w:t>
      </w:r>
      <w:r w:rsidR="00B166BF">
        <w:t>. dollars</w:t>
      </w:r>
      <w:r>
        <w:t xml:space="preserve"> </w:t>
      </w:r>
      <w:r w:rsidRPr="00457211">
        <w:t>unless ot</w:t>
      </w:r>
      <w:r>
        <w:t xml:space="preserve">herwise </w:t>
      </w:r>
      <w:r w:rsidDel="00933797">
        <w:t>specified</w:t>
      </w:r>
      <w:r>
        <w:t>.</w:t>
      </w:r>
    </w:p>
  </w:footnote>
  <w:footnote w:id="9">
    <w:p w14:paraId="0EA08691" w14:textId="139AFD3F" w:rsidR="00834B40" w:rsidRPr="00697F02" w:rsidRDefault="00834B40" w:rsidP="009C1C6B">
      <w:pPr>
        <w:pStyle w:val="Footnote"/>
      </w:pPr>
      <w:r w:rsidRPr="00697F02">
        <w:rPr>
          <w:rStyle w:val="FootnoteReference"/>
        </w:rPr>
        <w:footnoteRef/>
      </w:r>
      <w:r w:rsidRPr="00697F02">
        <w:t xml:space="preserve"> </w:t>
      </w:r>
      <w:r w:rsidR="002A5A02" w:rsidRPr="00697F02">
        <w:t>Matthew W.</w:t>
      </w:r>
      <w:r w:rsidR="002A5A02">
        <w:t xml:space="preserve"> </w:t>
      </w:r>
      <w:proofErr w:type="spellStart"/>
      <w:r w:rsidR="002A5A02" w:rsidRPr="00697F02">
        <w:t>Brault</w:t>
      </w:r>
      <w:proofErr w:type="spellEnd"/>
      <w:r w:rsidR="002A5A02" w:rsidRPr="00697F02">
        <w:t xml:space="preserve">, “Americans </w:t>
      </w:r>
      <w:proofErr w:type="gramStart"/>
      <w:r w:rsidR="002A5A02" w:rsidRPr="00697F02">
        <w:t>With</w:t>
      </w:r>
      <w:proofErr w:type="gramEnd"/>
      <w:r w:rsidR="002A5A02" w:rsidRPr="00697F02">
        <w:t xml:space="preserve"> Disabilities: 2010,” </w:t>
      </w:r>
      <w:r w:rsidR="002A5A02" w:rsidRPr="00697F02">
        <w:rPr>
          <w:i/>
        </w:rPr>
        <w:t>Current Population Reports</w:t>
      </w:r>
      <w:r w:rsidR="002A5A02" w:rsidRPr="00697F02">
        <w:t>, P70-131</w:t>
      </w:r>
      <w:r w:rsidR="002A5A02">
        <w:t xml:space="preserve"> (Washington, DC:</w:t>
      </w:r>
      <w:r w:rsidR="002A5A02" w:rsidRPr="00697F02">
        <w:t xml:space="preserve"> U.S. Census Bureau, 2012</w:t>
      </w:r>
      <w:r w:rsidR="002A5A02">
        <w:t>)</w:t>
      </w:r>
      <w:r w:rsidR="002A5A02" w:rsidRPr="00697F02">
        <w:t xml:space="preserve">, </w:t>
      </w:r>
      <w:r w:rsidR="00673790">
        <w:t>20,</w:t>
      </w:r>
      <w:r w:rsidR="002A5A02">
        <w:t xml:space="preserve"> </w:t>
      </w:r>
      <w:r w:rsidR="00673790">
        <w:t>t</w:t>
      </w:r>
      <w:r w:rsidRPr="00697F02">
        <w:t xml:space="preserve">able A2. </w:t>
      </w:r>
    </w:p>
  </w:footnote>
  <w:footnote w:id="10">
    <w:p w14:paraId="3F571901" w14:textId="311A0FD8" w:rsidR="00834B40" w:rsidRPr="00697F02" w:rsidRDefault="00834B40" w:rsidP="009C1C6B">
      <w:pPr>
        <w:pStyle w:val="Footnote"/>
      </w:pPr>
      <w:r w:rsidRPr="00697F02">
        <w:rPr>
          <w:rStyle w:val="FootnoteReference"/>
        </w:rPr>
        <w:footnoteRef/>
      </w:r>
      <w:r w:rsidRPr="00697F02">
        <w:t xml:space="preserve"> </w:t>
      </w:r>
      <w:r w:rsidR="00F552D8">
        <w:t xml:space="preserve">“New Conversions and Used Wheelchair Vans for Sale,” </w:t>
      </w:r>
      <w:proofErr w:type="spellStart"/>
      <w:r w:rsidR="00F552D8">
        <w:t>MobilityWorks</w:t>
      </w:r>
      <w:proofErr w:type="spellEnd"/>
      <w:r w:rsidR="00F552D8" w:rsidRPr="00697F02">
        <w:t>, accessed August 15, 2015</w:t>
      </w:r>
      <w:r w:rsidR="00F552D8">
        <w:t xml:space="preserve">, </w:t>
      </w:r>
      <w:r w:rsidRPr="009C1C6B">
        <w:t>www.mobilityworks.com/wheelchair-vans-for-sale</w:t>
      </w:r>
      <w:r w:rsidRPr="00697F02">
        <w:t>.</w:t>
      </w:r>
    </w:p>
  </w:footnote>
  <w:footnote w:id="11">
    <w:p w14:paraId="0B671B46" w14:textId="05A8DBBF" w:rsidR="00834B40" w:rsidRPr="000176BF" w:rsidRDefault="00834B40" w:rsidP="009C1C6B">
      <w:pPr>
        <w:pStyle w:val="Footnote"/>
      </w:pPr>
      <w:r w:rsidRPr="000176BF">
        <w:rPr>
          <w:rStyle w:val="FootnoteReference"/>
        </w:rPr>
        <w:footnoteRef/>
      </w:r>
      <w:r w:rsidRPr="000176BF">
        <w:t xml:space="preserve"> </w:t>
      </w:r>
      <w:r w:rsidR="00F552D8" w:rsidRPr="000176BF">
        <w:t xml:space="preserve">David </w:t>
      </w:r>
      <w:r w:rsidR="000176BF" w:rsidRPr="000176BF">
        <w:t xml:space="preserve">Braddock, </w:t>
      </w:r>
      <w:r w:rsidRPr="000176BF">
        <w:rPr>
          <w:i/>
        </w:rPr>
        <w:t>Public Spending for Disability i</w:t>
      </w:r>
      <w:r w:rsidR="000176BF" w:rsidRPr="000176BF">
        <w:rPr>
          <w:i/>
        </w:rPr>
        <w:t>n the United States: 1997–2006</w:t>
      </w:r>
      <w:r w:rsidR="000176BF" w:rsidRPr="000176BF">
        <w:t xml:space="preserve"> </w:t>
      </w:r>
      <w:r w:rsidR="00860427" w:rsidRPr="000176BF">
        <w:t>(</w:t>
      </w:r>
      <w:r w:rsidRPr="000176BF">
        <w:t>Federal Reserve Bank of Boston</w:t>
      </w:r>
      <w:r w:rsidR="00262AE5" w:rsidRPr="000176BF">
        <w:t xml:space="preserve">, </w:t>
      </w:r>
      <w:proofErr w:type="spellStart"/>
      <w:r w:rsidR="00262AE5" w:rsidRPr="000176BF">
        <w:t>n.d.</w:t>
      </w:r>
      <w:proofErr w:type="spellEnd"/>
      <w:r w:rsidR="00262AE5" w:rsidRPr="000176BF">
        <w:t>)</w:t>
      </w:r>
      <w:r w:rsidRPr="000176BF">
        <w:t xml:space="preserve">, 1. </w:t>
      </w:r>
    </w:p>
  </w:footnote>
  <w:footnote w:id="12">
    <w:p w14:paraId="0D8E1317" w14:textId="5BD88108" w:rsidR="00834B40" w:rsidRPr="00697F02" w:rsidRDefault="00834B40" w:rsidP="009C1C6B">
      <w:pPr>
        <w:pStyle w:val="Footnote"/>
      </w:pPr>
      <w:r w:rsidRPr="00697F02">
        <w:rPr>
          <w:rStyle w:val="FootnoteReference"/>
        </w:rPr>
        <w:footnoteRef/>
      </w:r>
      <w:r w:rsidRPr="00697F02">
        <w:t xml:space="preserve"> </w:t>
      </w:r>
      <w:r w:rsidR="00262AE5">
        <w:t xml:space="preserve">“Handicap Van Financing and Resources in Ohio,” </w:t>
      </w:r>
      <w:proofErr w:type="spellStart"/>
      <w:r w:rsidR="00262AE5">
        <w:t>MobilityWorks</w:t>
      </w:r>
      <w:proofErr w:type="spellEnd"/>
      <w:r w:rsidR="00262AE5" w:rsidRPr="00697F02">
        <w:t>, accessed December 30, 2015</w:t>
      </w:r>
      <w:r w:rsidR="00262AE5">
        <w:t xml:space="preserve">, </w:t>
      </w:r>
      <w:r w:rsidRPr="00697F02">
        <w:t>www.mobilityworks.com/financing/grant-assistance/ohio.php.</w:t>
      </w:r>
    </w:p>
  </w:footnote>
  <w:footnote w:id="13">
    <w:p w14:paraId="00C7CA01" w14:textId="1653B454" w:rsidR="00F02B5E" w:rsidRDefault="00F02B5E" w:rsidP="009C1C6B">
      <w:pPr>
        <w:pStyle w:val="Footnote"/>
      </w:pPr>
      <w:r>
        <w:rPr>
          <w:rStyle w:val="FootnoteReference"/>
        </w:rPr>
        <w:footnoteRef/>
      </w:r>
      <w:r>
        <w:t xml:space="preserve"> </w:t>
      </w:r>
      <w:r w:rsidRPr="009C1C6B">
        <w:rPr>
          <w:i/>
        </w:rPr>
        <w:t xml:space="preserve">Americans with </w:t>
      </w:r>
      <w:r w:rsidR="00BD52EC" w:rsidRPr="00BD52EC">
        <w:rPr>
          <w:i/>
        </w:rPr>
        <w:t>Disabilities</w:t>
      </w:r>
      <w:r w:rsidRPr="009C1C6B">
        <w:rPr>
          <w:i/>
        </w:rPr>
        <w:t xml:space="preserve"> Act</w:t>
      </w:r>
      <w:r>
        <w:t>, 42. U.S.C. §12101</w:t>
      </w:r>
      <w:r w:rsidR="00BD52EC">
        <w:t>.</w:t>
      </w:r>
    </w:p>
  </w:footnote>
  <w:footnote w:id="14">
    <w:p w14:paraId="2268AF0B" w14:textId="5F532C27" w:rsidR="00834B40" w:rsidRPr="00697F02" w:rsidRDefault="00834B40" w:rsidP="009C1C6B">
      <w:pPr>
        <w:pStyle w:val="Footnote"/>
      </w:pPr>
      <w:r w:rsidRPr="00697F02">
        <w:rPr>
          <w:rStyle w:val="FootnoteReference"/>
        </w:rPr>
        <w:footnoteRef/>
      </w:r>
      <w:r w:rsidRPr="00697F02">
        <w:t xml:space="preserve"> </w:t>
      </w:r>
      <w:proofErr w:type="spellStart"/>
      <w:r w:rsidRPr="00697F02">
        <w:t>Esha</w:t>
      </w:r>
      <w:proofErr w:type="spellEnd"/>
      <w:r w:rsidRPr="00697F02">
        <w:t xml:space="preserve"> Christie</w:t>
      </w:r>
      <w:r w:rsidR="00270952">
        <w:t xml:space="preserve"> </w:t>
      </w:r>
      <w:r w:rsidR="00270952" w:rsidRPr="006C0721">
        <w:t>et al</w:t>
      </w:r>
      <w:r w:rsidR="00270952">
        <w:t>.</w:t>
      </w:r>
      <w:r w:rsidRPr="00697F02">
        <w:t>,</w:t>
      </w:r>
      <w:r w:rsidR="000176BF">
        <w:t xml:space="preserve"> </w:t>
      </w:r>
      <w:r w:rsidRPr="000176BF">
        <w:rPr>
          <w:bCs/>
          <w:i/>
        </w:rPr>
        <w:t xml:space="preserve">Assessing the Full Cost of Implementing </w:t>
      </w:r>
      <w:r w:rsidR="00270952" w:rsidRPr="000176BF">
        <w:rPr>
          <w:bCs/>
          <w:i/>
        </w:rPr>
        <w:t>a</w:t>
      </w:r>
      <w:r w:rsidRPr="000176BF">
        <w:rPr>
          <w:bCs/>
          <w:i/>
        </w:rPr>
        <w:t>n Accessible Taxicab Program</w:t>
      </w:r>
      <w:r w:rsidR="000176BF">
        <w:rPr>
          <w:bCs/>
        </w:rPr>
        <w:t xml:space="preserve"> (</w:t>
      </w:r>
      <w:proofErr w:type="spellStart"/>
      <w:r w:rsidRPr="00697F02">
        <w:t>Center</w:t>
      </w:r>
      <w:proofErr w:type="spellEnd"/>
      <w:r w:rsidRPr="00697F02">
        <w:t xml:space="preserve"> for Transportation Studies, University of Missouri</w:t>
      </w:r>
      <w:r w:rsidR="006E1A5D">
        <w:t>–</w:t>
      </w:r>
      <w:r w:rsidRPr="00697F02">
        <w:t>Saint Louis</w:t>
      </w:r>
      <w:r w:rsidR="006E1A5D">
        <w:t xml:space="preserve">, </w:t>
      </w:r>
      <w:proofErr w:type="gramStart"/>
      <w:r w:rsidR="006E1A5D">
        <w:t>March</w:t>
      </w:r>
      <w:proofErr w:type="gramEnd"/>
      <w:r w:rsidR="006E1A5D">
        <w:t xml:space="preserve"> 1, 2010)</w:t>
      </w:r>
      <w:r w:rsidRPr="00697F02">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5A68B" w14:textId="4BF4A068" w:rsidR="00834B40" w:rsidRPr="00C92CC4" w:rsidRDefault="00834B40" w:rsidP="00C966C3">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03793">
      <w:rPr>
        <w:rFonts w:ascii="Arial" w:hAnsi="Arial"/>
        <w:b/>
        <w:noProof/>
      </w:rPr>
      <w:t>7</w:t>
    </w:r>
    <w:r>
      <w:rPr>
        <w:rFonts w:ascii="Arial" w:hAnsi="Arial"/>
        <w:b/>
      </w:rPr>
      <w:fldChar w:fldCharType="end"/>
    </w:r>
    <w:r>
      <w:rPr>
        <w:rFonts w:ascii="Arial" w:hAnsi="Arial"/>
        <w:b/>
      </w:rPr>
      <w:tab/>
    </w:r>
    <w:r w:rsidR="00CD26E3">
      <w:rPr>
        <w:rFonts w:ascii="Arial" w:hAnsi="Arial"/>
        <w:b/>
      </w:rPr>
      <w:t>9B18M</w:t>
    </w:r>
    <w:r w:rsidR="000176BF">
      <w:rPr>
        <w:rFonts w:ascii="Arial" w:hAnsi="Arial"/>
        <w:b/>
      </w:rPr>
      <w:t>045</w:t>
    </w:r>
  </w:p>
  <w:p w14:paraId="71632BFD" w14:textId="77777777" w:rsidR="00834B40" w:rsidRDefault="00834B40" w:rsidP="00C966C3">
    <w:pPr>
      <w:pStyle w:val="Header"/>
      <w:tabs>
        <w:tab w:val="clear" w:pos="4680"/>
      </w:tabs>
      <w:rPr>
        <w:sz w:val="18"/>
        <w:szCs w:val="18"/>
      </w:rPr>
    </w:pPr>
  </w:p>
  <w:p w14:paraId="2131F0DE" w14:textId="77777777" w:rsidR="00834B40" w:rsidRDefault="00834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96469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BDE8EE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6AD1A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134A08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21624C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74A187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40EC4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21262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608186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5E45E4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07AC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570"/>
    <w:rsid w:val="00016759"/>
    <w:rsid w:val="000176BF"/>
    <w:rsid w:val="000216CE"/>
    <w:rsid w:val="00025DC7"/>
    <w:rsid w:val="000315FD"/>
    <w:rsid w:val="000332E9"/>
    <w:rsid w:val="00035F09"/>
    <w:rsid w:val="00044ECC"/>
    <w:rsid w:val="00051810"/>
    <w:rsid w:val="000531D3"/>
    <w:rsid w:val="0005646B"/>
    <w:rsid w:val="00074626"/>
    <w:rsid w:val="0008102D"/>
    <w:rsid w:val="00094C0E"/>
    <w:rsid w:val="0009693D"/>
    <w:rsid w:val="000C511E"/>
    <w:rsid w:val="000D5589"/>
    <w:rsid w:val="000D7091"/>
    <w:rsid w:val="000E13EC"/>
    <w:rsid w:val="000F0C22"/>
    <w:rsid w:val="000F2DD9"/>
    <w:rsid w:val="000F6B09"/>
    <w:rsid w:val="000F6FDC"/>
    <w:rsid w:val="00104567"/>
    <w:rsid w:val="00104916"/>
    <w:rsid w:val="00104AA7"/>
    <w:rsid w:val="001264AA"/>
    <w:rsid w:val="0012732D"/>
    <w:rsid w:val="00142E68"/>
    <w:rsid w:val="00143F25"/>
    <w:rsid w:val="00152682"/>
    <w:rsid w:val="00154880"/>
    <w:rsid w:val="00154FC9"/>
    <w:rsid w:val="00181D34"/>
    <w:rsid w:val="0019241A"/>
    <w:rsid w:val="001A22D1"/>
    <w:rsid w:val="001A532E"/>
    <w:rsid w:val="001A752D"/>
    <w:rsid w:val="001A757E"/>
    <w:rsid w:val="001B5032"/>
    <w:rsid w:val="001C7777"/>
    <w:rsid w:val="001D0638"/>
    <w:rsid w:val="001E364F"/>
    <w:rsid w:val="001F16AA"/>
    <w:rsid w:val="00203AA1"/>
    <w:rsid w:val="00213E98"/>
    <w:rsid w:val="00217397"/>
    <w:rsid w:val="00227E28"/>
    <w:rsid w:val="0023081A"/>
    <w:rsid w:val="00251C7B"/>
    <w:rsid w:val="00262AE5"/>
    <w:rsid w:val="00270952"/>
    <w:rsid w:val="002900EE"/>
    <w:rsid w:val="002A5A02"/>
    <w:rsid w:val="002B1C34"/>
    <w:rsid w:val="002C1C0C"/>
    <w:rsid w:val="002C28FE"/>
    <w:rsid w:val="002E3049"/>
    <w:rsid w:val="002F460C"/>
    <w:rsid w:val="002F48D6"/>
    <w:rsid w:val="00307260"/>
    <w:rsid w:val="00317391"/>
    <w:rsid w:val="00326216"/>
    <w:rsid w:val="00336580"/>
    <w:rsid w:val="00354899"/>
    <w:rsid w:val="00355FD6"/>
    <w:rsid w:val="00364A5C"/>
    <w:rsid w:val="00373FB1"/>
    <w:rsid w:val="00396C76"/>
    <w:rsid w:val="00397973"/>
    <w:rsid w:val="003A1A51"/>
    <w:rsid w:val="003A20A1"/>
    <w:rsid w:val="003A6004"/>
    <w:rsid w:val="003B074B"/>
    <w:rsid w:val="003B30D8"/>
    <w:rsid w:val="003B7EF2"/>
    <w:rsid w:val="003C3FA4"/>
    <w:rsid w:val="003D5E52"/>
    <w:rsid w:val="003F2B0C"/>
    <w:rsid w:val="00403793"/>
    <w:rsid w:val="004105B2"/>
    <w:rsid w:val="004221E4"/>
    <w:rsid w:val="004273F8"/>
    <w:rsid w:val="004355A3"/>
    <w:rsid w:val="00446546"/>
    <w:rsid w:val="00452769"/>
    <w:rsid w:val="004573A2"/>
    <w:rsid w:val="00460628"/>
    <w:rsid w:val="00461486"/>
    <w:rsid w:val="00463845"/>
    <w:rsid w:val="00465348"/>
    <w:rsid w:val="00480CFE"/>
    <w:rsid w:val="004819F7"/>
    <w:rsid w:val="00484C26"/>
    <w:rsid w:val="004A2C6A"/>
    <w:rsid w:val="004B1CCB"/>
    <w:rsid w:val="004B632F"/>
    <w:rsid w:val="004C5A25"/>
    <w:rsid w:val="004D01EC"/>
    <w:rsid w:val="004D3FB1"/>
    <w:rsid w:val="004D6F21"/>
    <w:rsid w:val="004D73A5"/>
    <w:rsid w:val="005028FA"/>
    <w:rsid w:val="00503D5C"/>
    <w:rsid w:val="00515296"/>
    <w:rsid w:val="005160F1"/>
    <w:rsid w:val="005220FF"/>
    <w:rsid w:val="00524F2F"/>
    <w:rsid w:val="00527E5C"/>
    <w:rsid w:val="00532CF5"/>
    <w:rsid w:val="005334E7"/>
    <w:rsid w:val="00536495"/>
    <w:rsid w:val="005528CB"/>
    <w:rsid w:val="00566771"/>
    <w:rsid w:val="00581E2E"/>
    <w:rsid w:val="00584F15"/>
    <w:rsid w:val="005918CB"/>
    <w:rsid w:val="0059514B"/>
    <w:rsid w:val="005B1F78"/>
    <w:rsid w:val="00601DA9"/>
    <w:rsid w:val="006163F7"/>
    <w:rsid w:val="00627C63"/>
    <w:rsid w:val="0063350B"/>
    <w:rsid w:val="00641634"/>
    <w:rsid w:val="0065077B"/>
    <w:rsid w:val="00652606"/>
    <w:rsid w:val="006630BD"/>
    <w:rsid w:val="0067283F"/>
    <w:rsid w:val="00673790"/>
    <w:rsid w:val="0067533F"/>
    <w:rsid w:val="006946EE"/>
    <w:rsid w:val="00697F02"/>
    <w:rsid w:val="006A0FBC"/>
    <w:rsid w:val="006A1233"/>
    <w:rsid w:val="006A58A9"/>
    <w:rsid w:val="006A606D"/>
    <w:rsid w:val="006C0371"/>
    <w:rsid w:val="006C0721"/>
    <w:rsid w:val="006C08B6"/>
    <w:rsid w:val="006C0B1A"/>
    <w:rsid w:val="006C3F25"/>
    <w:rsid w:val="006C6065"/>
    <w:rsid w:val="006C7F9F"/>
    <w:rsid w:val="006E1A5D"/>
    <w:rsid w:val="006E2F6D"/>
    <w:rsid w:val="006E3714"/>
    <w:rsid w:val="006E58F6"/>
    <w:rsid w:val="006E77E1"/>
    <w:rsid w:val="006F131D"/>
    <w:rsid w:val="006F3AF5"/>
    <w:rsid w:val="006F5319"/>
    <w:rsid w:val="00703E86"/>
    <w:rsid w:val="00711642"/>
    <w:rsid w:val="00712F94"/>
    <w:rsid w:val="007507C6"/>
    <w:rsid w:val="00751E0B"/>
    <w:rsid w:val="00752BCD"/>
    <w:rsid w:val="00766DA1"/>
    <w:rsid w:val="007819FA"/>
    <w:rsid w:val="007866A6"/>
    <w:rsid w:val="00792845"/>
    <w:rsid w:val="007A130D"/>
    <w:rsid w:val="007D1A2D"/>
    <w:rsid w:val="007D4102"/>
    <w:rsid w:val="007F2D1D"/>
    <w:rsid w:val="007F43B7"/>
    <w:rsid w:val="00821FFC"/>
    <w:rsid w:val="008271CA"/>
    <w:rsid w:val="0083083C"/>
    <w:rsid w:val="00834B40"/>
    <w:rsid w:val="00844CB5"/>
    <w:rsid w:val="008467D5"/>
    <w:rsid w:val="00860427"/>
    <w:rsid w:val="00862997"/>
    <w:rsid w:val="00882FE8"/>
    <w:rsid w:val="008A4DC4"/>
    <w:rsid w:val="008B438C"/>
    <w:rsid w:val="008C1ED7"/>
    <w:rsid w:val="008D36C9"/>
    <w:rsid w:val="008D3A46"/>
    <w:rsid w:val="008E6135"/>
    <w:rsid w:val="009067A4"/>
    <w:rsid w:val="00906FCA"/>
    <w:rsid w:val="009079E2"/>
    <w:rsid w:val="0093002F"/>
    <w:rsid w:val="00933D68"/>
    <w:rsid w:val="009340DB"/>
    <w:rsid w:val="0094618C"/>
    <w:rsid w:val="0095684B"/>
    <w:rsid w:val="00972498"/>
    <w:rsid w:val="0097481F"/>
    <w:rsid w:val="00974CC6"/>
    <w:rsid w:val="00976AD4"/>
    <w:rsid w:val="00977DE0"/>
    <w:rsid w:val="009848F1"/>
    <w:rsid w:val="00995547"/>
    <w:rsid w:val="009A0AB2"/>
    <w:rsid w:val="009A312F"/>
    <w:rsid w:val="009A5348"/>
    <w:rsid w:val="009B0AB7"/>
    <w:rsid w:val="009C1C6B"/>
    <w:rsid w:val="009C76D5"/>
    <w:rsid w:val="009F098A"/>
    <w:rsid w:val="009F7AA4"/>
    <w:rsid w:val="00A10AD7"/>
    <w:rsid w:val="00A559DB"/>
    <w:rsid w:val="00A569EA"/>
    <w:rsid w:val="00A81F4C"/>
    <w:rsid w:val="00AB2D46"/>
    <w:rsid w:val="00AB48CB"/>
    <w:rsid w:val="00AB630D"/>
    <w:rsid w:val="00AD2D3C"/>
    <w:rsid w:val="00AD49C9"/>
    <w:rsid w:val="00AF35FC"/>
    <w:rsid w:val="00AF5556"/>
    <w:rsid w:val="00B03639"/>
    <w:rsid w:val="00B03967"/>
    <w:rsid w:val="00B0652A"/>
    <w:rsid w:val="00B166BF"/>
    <w:rsid w:val="00B23987"/>
    <w:rsid w:val="00B40937"/>
    <w:rsid w:val="00B423EF"/>
    <w:rsid w:val="00B453DE"/>
    <w:rsid w:val="00B613A7"/>
    <w:rsid w:val="00B71C5A"/>
    <w:rsid w:val="00B72597"/>
    <w:rsid w:val="00B82484"/>
    <w:rsid w:val="00B901F9"/>
    <w:rsid w:val="00BC61F1"/>
    <w:rsid w:val="00BD52EC"/>
    <w:rsid w:val="00BD6EFB"/>
    <w:rsid w:val="00BE4DDD"/>
    <w:rsid w:val="00C1584D"/>
    <w:rsid w:val="00C15BE2"/>
    <w:rsid w:val="00C26191"/>
    <w:rsid w:val="00C3447F"/>
    <w:rsid w:val="00C40B9F"/>
    <w:rsid w:val="00C63843"/>
    <w:rsid w:val="00C67102"/>
    <w:rsid w:val="00C81491"/>
    <w:rsid w:val="00C81676"/>
    <w:rsid w:val="00C85C5D"/>
    <w:rsid w:val="00C92CC4"/>
    <w:rsid w:val="00C966C3"/>
    <w:rsid w:val="00CA0AFB"/>
    <w:rsid w:val="00CA2CE1"/>
    <w:rsid w:val="00CA3976"/>
    <w:rsid w:val="00CA50E3"/>
    <w:rsid w:val="00CA757B"/>
    <w:rsid w:val="00CA7CEA"/>
    <w:rsid w:val="00CB4334"/>
    <w:rsid w:val="00CC1787"/>
    <w:rsid w:val="00CC182C"/>
    <w:rsid w:val="00CD0824"/>
    <w:rsid w:val="00CD26E3"/>
    <w:rsid w:val="00CD2908"/>
    <w:rsid w:val="00CF5FEC"/>
    <w:rsid w:val="00D00A8B"/>
    <w:rsid w:val="00D02589"/>
    <w:rsid w:val="00D03A82"/>
    <w:rsid w:val="00D13667"/>
    <w:rsid w:val="00D15344"/>
    <w:rsid w:val="00D23F57"/>
    <w:rsid w:val="00D304CC"/>
    <w:rsid w:val="00D30FFD"/>
    <w:rsid w:val="00D31BEC"/>
    <w:rsid w:val="00D376D3"/>
    <w:rsid w:val="00D624C1"/>
    <w:rsid w:val="00D63150"/>
    <w:rsid w:val="00D636BA"/>
    <w:rsid w:val="00D64A32"/>
    <w:rsid w:val="00D64EFC"/>
    <w:rsid w:val="00D75295"/>
    <w:rsid w:val="00D76CE9"/>
    <w:rsid w:val="00D97F12"/>
    <w:rsid w:val="00DA3CD2"/>
    <w:rsid w:val="00DA6095"/>
    <w:rsid w:val="00DB0A2B"/>
    <w:rsid w:val="00DB42E7"/>
    <w:rsid w:val="00DC4741"/>
    <w:rsid w:val="00DC52C3"/>
    <w:rsid w:val="00DE01A6"/>
    <w:rsid w:val="00DE7A98"/>
    <w:rsid w:val="00DF0919"/>
    <w:rsid w:val="00DF32C2"/>
    <w:rsid w:val="00DF4F69"/>
    <w:rsid w:val="00E0456A"/>
    <w:rsid w:val="00E0570C"/>
    <w:rsid w:val="00E47125"/>
    <w:rsid w:val="00E471A7"/>
    <w:rsid w:val="00E635CF"/>
    <w:rsid w:val="00E9285C"/>
    <w:rsid w:val="00E947A5"/>
    <w:rsid w:val="00EA7FE4"/>
    <w:rsid w:val="00EC6E0A"/>
    <w:rsid w:val="00ED3C44"/>
    <w:rsid w:val="00ED4E18"/>
    <w:rsid w:val="00ED7A75"/>
    <w:rsid w:val="00EE1F37"/>
    <w:rsid w:val="00F0159C"/>
    <w:rsid w:val="00F02B5E"/>
    <w:rsid w:val="00F105B7"/>
    <w:rsid w:val="00F13220"/>
    <w:rsid w:val="00F1551F"/>
    <w:rsid w:val="00F17A21"/>
    <w:rsid w:val="00F37B27"/>
    <w:rsid w:val="00F42BC8"/>
    <w:rsid w:val="00F46556"/>
    <w:rsid w:val="00F50E91"/>
    <w:rsid w:val="00F552D8"/>
    <w:rsid w:val="00F57D29"/>
    <w:rsid w:val="00F90087"/>
    <w:rsid w:val="00F96201"/>
    <w:rsid w:val="00FB2B6D"/>
    <w:rsid w:val="00FC7774"/>
    <w:rsid w:val="00FD0B18"/>
    <w:rsid w:val="00FD2FAD"/>
    <w:rsid w:val="00FE714F"/>
    <w:rsid w:val="00FF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BCE224"/>
  <w15:docId w15:val="{1ED3D024-C419-4A71-B7A0-3C702B87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3C44"/>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3AF5"/>
    <w:pPr>
      <w:jc w:val="both"/>
    </w:pPr>
    <w:rPr>
      <w:rFonts w:ascii="Arial" w:hAnsi="Arial" w:cs="Arial"/>
      <w:sz w:val="17"/>
      <w:szCs w:val="17"/>
    </w:rPr>
  </w:style>
  <w:style w:type="character" w:customStyle="1" w:styleId="FootnoteChar">
    <w:name w:val="Footnote Char"/>
    <w:basedOn w:val="FootnoteTextChar"/>
    <w:link w:val="Footnote"/>
    <w:rsid w:val="006F3AF5"/>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2C28F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link w:val="NormalWebChar"/>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862997"/>
  </w:style>
  <w:style w:type="paragraph" w:styleId="PlainText">
    <w:name w:val="Plain Text"/>
    <w:basedOn w:val="Normal"/>
    <w:link w:val="PlainTextChar"/>
    <w:uiPriority w:val="99"/>
    <w:rsid w:val="00862997"/>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862997"/>
    <w:rPr>
      <w:rFonts w:ascii="Consolas" w:eastAsiaTheme="minorEastAsia" w:hAnsi="Consolas" w:cs="Consolas"/>
      <w:sz w:val="21"/>
      <w:szCs w:val="21"/>
      <w:lang w:eastAsia="zh-CN"/>
    </w:rPr>
  </w:style>
  <w:style w:type="character" w:customStyle="1" w:styleId="Title1">
    <w:name w:val="Title1"/>
    <w:basedOn w:val="DefaultParagraphFont"/>
    <w:uiPriority w:val="99"/>
    <w:rsid w:val="00862997"/>
  </w:style>
  <w:style w:type="paragraph" w:styleId="Caption">
    <w:name w:val="caption"/>
    <w:basedOn w:val="Normal"/>
    <w:next w:val="Normal"/>
    <w:uiPriority w:val="35"/>
    <w:unhideWhenUsed/>
    <w:rsid w:val="00862997"/>
    <w:pPr>
      <w:spacing w:after="200"/>
      <w:jc w:val="center"/>
    </w:pPr>
    <w:rPr>
      <w:rFonts w:ascii="Arial" w:eastAsiaTheme="minorHAnsi" w:hAnsi="Arial" w:cs="Arial"/>
      <w:b/>
      <w:iCs/>
      <w:color w:val="000000" w:themeColor="text1"/>
    </w:rPr>
  </w:style>
  <w:style w:type="character" w:customStyle="1" w:styleId="NormalWebChar">
    <w:name w:val="Normal (Web) Char"/>
    <w:link w:val="NormalWeb"/>
    <w:rsid w:val="00862997"/>
    <w:rPr>
      <w:rFonts w:ascii="Times New Roman" w:eastAsia="Times New Roman" w:hAnsi="Times New Roman" w:cs="Times New Roman"/>
      <w:sz w:val="24"/>
      <w:szCs w:val="24"/>
      <w:lang w:val="en-IN" w:eastAsia="en-IN"/>
    </w:rPr>
  </w:style>
  <w:style w:type="paragraph" w:customStyle="1" w:styleId="Default">
    <w:name w:val="Default"/>
    <w:rsid w:val="00862997"/>
    <w:pPr>
      <w:autoSpaceDE w:val="0"/>
      <w:autoSpaceDN w:val="0"/>
      <w:adjustRightInd w:val="0"/>
      <w:spacing w:after="0" w:line="240" w:lineRule="auto"/>
    </w:pPr>
    <w:rPr>
      <w:rFonts w:ascii="TimesNewRoman" w:eastAsia="Times New Roman" w:hAnsi="TimesNewRoman" w:cs="TimesNewRoman"/>
      <w:sz w:val="20"/>
      <w:szCs w:val="20"/>
      <w:lang w:bidi="hi-IN"/>
    </w:rPr>
  </w:style>
  <w:style w:type="paragraph" w:customStyle="1" w:styleId="indentedquotation">
    <w:name w:val="indented quotation"/>
    <w:basedOn w:val="NormalWeb"/>
    <w:link w:val="indentedquotationChar"/>
    <w:rsid w:val="00862997"/>
    <w:pPr>
      <w:ind w:left="720"/>
      <w:jc w:val="both"/>
    </w:pPr>
    <w:rPr>
      <w:rFonts w:ascii="Arial" w:hAnsi="Arial" w:cs="Arial"/>
      <w:color w:val="000000"/>
      <w:szCs w:val="20"/>
      <w:lang w:eastAsia="zh-TW" w:bidi="hi-IN"/>
    </w:rPr>
  </w:style>
  <w:style w:type="character" w:customStyle="1" w:styleId="indentedquotationChar">
    <w:name w:val="indented quotation Char"/>
    <w:basedOn w:val="NormalWebChar"/>
    <w:link w:val="indentedquotation"/>
    <w:rsid w:val="00862997"/>
    <w:rPr>
      <w:rFonts w:ascii="Arial" w:eastAsia="Times New Roman" w:hAnsi="Arial" w:cs="Arial"/>
      <w:color w:val="000000"/>
      <w:sz w:val="24"/>
      <w:szCs w:val="20"/>
      <w:lang w:val="en-IN" w:eastAsia="zh-TW" w:bidi="hi-IN"/>
    </w:rPr>
  </w:style>
  <w:style w:type="paragraph" w:customStyle="1" w:styleId="blabktxt">
    <w:name w:val="blabktxt"/>
    <w:basedOn w:val="Normal"/>
    <w:rsid w:val="00862997"/>
    <w:pPr>
      <w:spacing w:before="100" w:beforeAutospacing="1" w:after="100" w:afterAutospacing="1"/>
      <w:jc w:val="both"/>
    </w:pPr>
    <w:rPr>
      <w:rFonts w:ascii="Verdana" w:hAnsi="Verdana"/>
      <w:color w:val="000000"/>
      <w:sz w:val="18"/>
      <w:szCs w:val="18"/>
      <w:lang w:bidi="hi-IN"/>
    </w:rPr>
  </w:style>
  <w:style w:type="paragraph" w:styleId="DocumentMap">
    <w:name w:val="Document Map"/>
    <w:basedOn w:val="Normal"/>
    <w:link w:val="DocumentMapChar"/>
    <w:uiPriority w:val="99"/>
    <w:semiHidden/>
    <w:unhideWhenUsed/>
    <w:rsid w:val="00ED3C44"/>
    <w:rPr>
      <w:sz w:val="24"/>
      <w:szCs w:val="24"/>
    </w:rPr>
  </w:style>
  <w:style w:type="character" w:customStyle="1" w:styleId="DocumentMapChar">
    <w:name w:val="Document Map Char"/>
    <w:basedOn w:val="DefaultParagraphFont"/>
    <w:link w:val="DocumentMap"/>
    <w:uiPriority w:val="99"/>
    <w:semiHidden/>
    <w:rsid w:val="00ED3C44"/>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47375">
      <w:bodyDiv w:val="1"/>
      <w:marLeft w:val="0"/>
      <w:marRight w:val="0"/>
      <w:marTop w:val="0"/>
      <w:marBottom w:val="0"/>
      <w:divBdr>
        <w:top w:val="none" w:sz="0" w:space="0" w:color="auto"/>
        <w:left w:val="none" w:sz="0" w:space="0" w:color="auto"/>
        <w:bottom w:val="none" w:sz="0" w:space="0" w:color="auto"/>
        <w:right w:val="none" w:sz="0" w:space="0" w:color="auto"/>
      </w:divBdr>
    </w:div>
    <w:div w:id="684400606">
      <w:bodyDiv w:val="1"/>
      <w:marLeft w:val="0"/>
      <w:marRight w:val="0"/>
      <w:marTop w:val="0"/>
      <w:marBottom w:val="0"/>
      <w:divBdr>
        <w:top w:val="none" w:sz="0" w:space="0" w:color="auto"/>
        <w:left w:val="none" w:sz="0" w:space="0" w:color="auto"/>
        <w:bottom w:val="none" w:sz="0" w:space="0" w:color="auto"/>
        <w:right w:val="none" w:sz="0" w:space="0" w:color="auto"/>
      </w:divBdr>
    </w:div>
    <w:div w:id="807093852">
      <w:bodyDiv w:val="1"/>
      <w:marLeft w:val="0"/>
      <w:marRight w:val="0"/>
      <w:marTop w:val="0"/>
      <w:marBottom w:val="0"/>
      <w:divBdr>
        <w:top w:val="none" w:sz="0" w:space="0" w:color="auto"/>
        <w:left w:val="none" w:sz="0" w:space="0" w:color="auto"/>
        <w:bottom w:val="none" w:sz="0" w:space="0" w:color="auto"/>
        <w:right w:val="none" w:sz="0" w:space="0" w:color="auto"/>
      </w:divBdr>
    </w:div>
    <w:div w:id="1046878535">
      <w:bodyDiv w:val="1"/>
      <w:marLeft w:val="0"/>
      <w:marRight w:val="0"/>
      <w:marTop w:val="0"/>
      <w:marBottom w:val="0"/>
      <w:divBdr>
        <w:top w:val="none" w:sz="0" w:space="0" w:color="auto"/>
        <w:left w:val="none" w:sz="0" w:space="0" w:color="auto"/>
        <w:bottom w:val="none" w:sz="0" w:space="0" w:color="auto"/>
        <w:right w:val="none" w:sz="0" w:space="0" w:color="auto"/>
      </w:divBdr>
    </w:div>
    <w:div w:id="1231648712">
      <w:bodyDiv w:val="1"/>
      <w:marLeft w:val="0"/>
      <w:marRight w:val="0"/>
      <w:marTop w:val="0"/>
      <w:marBottom w:val="0"/>
      <w:divBdr>
        <w:top w:val="none" w:sz="0" w:space="0" w:color="auto"/>
        <w:left w:val="none" w:sz="0" w:space="0" w:color="auto"/>
        <w:bottom w:val="none" w:sz="0" w:space="0" w:color="auto"/>
        <w:right w:val="none" w:sz="0" w:space="0" w:color="auto"/>
      </w:divBdr>
    </w:div>
    <w:div w:id="1272933516">
      <w:bodyDiv w:val="1"/>
      <w:marLeft w:val="0"/>
      <w:marRight w:val="0"/>
      <w:marTop w:val="0"/>
      <w:marBottom w:val="0"/>
      <w:divBdr>
        <w:top w:val="none" w:sz="0" w:space="0" w:color="auto"/>
        <w:left w:val="none" w:sz="0" w:space="0" w:color="auto"/>
        <w:bottom w:val="none" w:sz="0" w:space="0" w:color="auto"/>
        <w:right w:val="none" w:sz="0" w:space="0" w:color="auto"/>
      </w:divBdr>
    </w:div>
    <w:div w:id="1456171647">
      <w:bodyDiv w:val="1"/>
      <w:marLeft w:val="0"/>
      <w:marRight w:val="0"/>
      <w:marTop w:val="0"/>
      <w:marBottom w:val="0"/>
      <w:divBdr>
        <w:top w:val="none" w:sz="0" w:space="0" w:color="auto"/>
        <w:left w:val="none" w:sz="0" w:space="0" w:color="auto"/>
        <w:bottom w:val="none" w:sz="0" w:space="0" w:color="auto"/>
        <w:right w:val="none" w:sz="0" w:space="0" w:color="auto"/>
      </w:divBdr>
    </w:div>
    <w:div w:id="145852626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9381281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657BC-53C7-47D3-AF2D-57353CBC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2015-03-04T20:34:00Z</cp:lastPrinted>
  <dcterms:created xsi:type="dcterms:W3CDTF">2018-03-13T17:44:00Z</dcterms:created>
  <dcterms:modified xsi:type="dcterms:W3CDTF">2018-03-19T14:43:00Z</dcterms:modified>
</cp:coreProperties>
</file>