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591CD" w14:textId="31378E2E" w:rsidR="008467D5" w:rsidRDefault="00B844FD" w:rsidP="00013360">
      <w:pPr>
        <w:tabs>
          <w:tab w:val="left" w:pos="-1440"/>
          <w:tab w:val="left" w:pos="-720"/>
          <w:tab w:val="left" w:pos="1"/>
          <w:tab w:val="right" w:pos="9360"/>
        </w:tabs>
        <w:jc w:val="both"/>
        <w:rPr>
          <w:rFonts w:ascii="Arial" w:hAnsi="Arial"/>
          <w:sz w:val="24"/>
        </w:rPr>
      </w:pPr>
      <w:r w:rsidRPr="00B844FD">
        <w:rPr>
          <w:rFonts w:ascii="Arial" w:hAnsi="Arial"/>
          <w:b/>
          <w:noProof/>
          <w:sz w:val="24"/>
          <w:lang w:val="en-US"/>
        </w:rPr>
        <w:drawing>
          <wp:inline distT="0" distB="0" distL="0" distR="0" wp14:anchorId="3B563A1A" wp14:editId="75FFC48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F35577A" w14:textId="77777777" w:rsidR="00856D9F" w:rsidRPr="00B844FD" w:rsidRDefault="00856D9F" w:rsidP="008467D5">
      <w:pPr>
        <w:pBdr>
          <w:bottom w:val="single" w:sz="18" w:space="1" w:color="auto"/>
        </w:pBdr>
        <w:tabs>
          <w:tab w:val="left" w:pos="-1440"/>
          <w:tab w:val="left" w:pos="-720"/>
          <w:tab w:val="left" w:pos="1"/>
        </w:tabs>
        <w:jc w:val="both"/>
        <w:rPr>
          <w:rFonts w:ascii="Arial" w:hAnsi="Arial"/>
          <w:b/>
          <w:sz w:val="2"/>
          <w:szCs w:val="2"/>
        </w:rPr>
      </w:pPr>
    </w:p>
    <w:p w14:paraId="4C69C780" w14:textId="03BCC002" w:rsidR="00D75295" w:rsidRDefault="00D928D7" w:rsidP="007A2E3C">
      <w:pPr>
        <w:pStyle w:val="ProductNumber"/>
        <w:outlineLvl w:val="0"/>
      </w:pPr>
      <w:r>
        <w:t>9B18M052</w:t>
      </w:r>
    </w:p>
    <w:p w14:paraId="11174DB9" w14:textId="77777777" w:rsidR="00D75295" w:rsidRDefault="00D75295" w:rsidP="00D75295">
      <w:pPr>
        <w:jc w:val="right"/>
        <w:rPr>
          <w:rFonts w:ascii="Arial" w:hAnsi="Arial"/>
          <w:b/>
          <w:sz w:val="28"/>
          <w:szCs w:val="28"/>
        </w:rPr>
      </w:pPr>
    </w:p>
    <w:p w14:paraId="460D6BFA" w14:textId="77777777" w:rsidR="00866F6D" w:rsidRDefault="00866F6D" w:rsidP="00D75295">
      <w:pPr>
        <w:jc w:val="right"/>
        <w:rPr>
          <w:rFonts w:ascii="Arial" w:hAnsi="Arial"/>
          <w:b/>
          <w:sz w:val="28"/>
          <w:szCs w:val="28"/>
        </w:rPr>
      </w:pPr>
    </w:p>
    <w:p w14:paraId="0BF43163" w14:textId="528F0B31" w:rsidR="001061D6" w:rsidRPr="00361C8E" w:rsidRDefault="0058743F" w:rsidP="007A2E3C">
      <w:pPr>
        <w:pStyle w:val="CaseTitle"/>
        <w:spacing w:after="0" w:line="240" w:lineRule="auto"/>
        <w:outlineLvl w:val="0"/>
      </w:pPr>
      <w:r w:rsidRPr="0058743F">
        <w:t>ING BANK: FACING DIGITAL DISRUPTION</w:t>
      </w:r>
      <w:r w:rsidR="001061D6">
        <w:rPr>
          <w:rStyle w:val="EndnoteReference"/>
        </w:rPr>
        <w:endnoteReference w:id="1"/>
      </w:r>
    </w:p>
    <w:p w14:paraId="32175518" w14:textId="77777777" w:rsidR="001061D6" w:rsidRDefault="001061D6" w:rsidP="00013360">
      <w:pPr>
        <w:pStyle w:val="CaseTitle"/>
        <w:spacing w:after="0" w:line="240" w:lineRule="auto"/>
        <w:rPr>
          <w:sz w:val="20"/>
          <w:szCs w:val="20"/>
        </w:rPr>
      </w:pPr>
    </w:p>
    <w:p w14:paraId="57546690" w14:textId="77777777" w:rsidR="001061D6" w:rsidRPr="00013360" w:rsidRDefault="001061D6" w:rsidP="00013360">
      <w:pPr>
        <w:pStyle w:val="CaseTitle"/>
        <w:spacing w:after="0" w:line="240" w:lineRule="auto"/>
        <w:rPr>
          <w:sz w:val="20"/>
          <w:szCs w:val="20"/>
        </w:rPr>
      </w:pPr>
    </w:p>
    <w:p w14:paraId="5BEF9028" w14:textId="77777777" w:rsidR="001061D6" w:rsidRDefault="001061D6" w:rsidP="00104567">
      <w:pPr>
        <w:pStyle w:val="StyleCopyrightStatementAfter0ptBottomSinglesolidline1"/>
      </w:pPr>
      <w:r w:rsidRPr="0058743F">
        <w:t xml:space="preserve">Niccolò Pisani and Vivien </w:t>
      </w:r>
      <w:proofErr w:type="spellStart"/>
      <w:r w:rsidRPr="0058743F">
        <w:t>Fodor</w:t>
      </w:r>
      <w:proofErr w:type="spellEnd"/>
      <w:r w:rsidRPr="0058743F">
        <w:t xml:space="preserve"> </w:t>
      </w:r>
      <w:r>
        <w:t>wrote this case sol</w:t>
      </w:r>
      <w:r w:rsidRPr="00104567">
        <w:t>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14:paraId="107A3350" w14:textId="77777777" w:rsidR="001061D6" w:rsidRDefault="001061D6" w:rsidP="00104567">
      <w:pPr>
        <w:pStyle w:val="StyleCopyrightStatementAfter0ptBottomSinglesolidline1"/>
      </w:pPr>
    </w:p>
    <w:p w14:paraId="3099A49C" w14:textId="77777777" w:rsidR="001061D6" w:rsidRPr="00E23AB7" w:rsidRDefault="001061D6"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14CD4CF" w14:textId="77777777" w:rsidR="001061D6" w:rsidRPr="00E23AB7" w:rsidRDefault="001061D6"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67BEC012" w14:textId="3C167875" w:rsidR="001061D6" w:rsidRDefault="001061D6" w:rsidP="00B844FD">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8409DC">
        <w:tab/>
        <w:t>Version: 2018-03-23</w:t>
      </w:r>
    </w:p>
    <w:p w14:paraId="1BDB6CF9" w14:textId="77777777" w:rsidR="001061D6" w:rsidRPr="00D928D7" w:rsidRDefault="001061D6" w:rsidP="00104567">
      <w:pPr>
        <w:pStyle w:val="StyleCopyrightStatementAfter0ptBottomSinglesolidline1"/>
        <w:rPr>
          <w:rFonts w:ascii="Times New Roman" w:hAnsi="Times New Roman"/>
          <w:sz w:val="20"/>
        </w:rPr>
      </w:pPr>
    </w:p>
    <w:p w14:paraId="4BF05EA7" w14:textId="77777777" w:rsidR="001061D6" w:rsidRPr="00D928D7" w:rsidRDefault="001061D6" w:rsidP="0058743F">
      <w:pPr>
        <w:pStyle w:val="BodyTextMain"/>
        <w:rPr>
          <w:sz w:val="20"/>
          <w:szCs w:val="20"/>
        </w:rPr>
      </w:pPr>
    </w:p>
    <w:p w14:paraId="5F6C1079" w14:textId="1664545E" w:rsidR="001061D6" w:rsidRDefault="001061D6" w:rsidP="0058743F">
      <w:pPr>
        <w:pStyle w:val="BodyTextMain"/>
        <w:rPr>
          <w:rFonts w:eastAsia="Arial Unicode MS" w:cs="Arial Unicode MS"/>
          <w:color w:val="000000"/>
          <w:bdr w:val="nil"/>
        </w:rPr>
      </w:pPr>
      <w:r>
        <w:rPr>
          <w:rFonts w:eastAsia="Arial Unicode MS" w:cs="Arial Unicode MS"/>
          <w:color w:val="000000"/>
          <w:bdr w:val="nil"/>
        </w:rPr>
        <w:t>I</w:t>
      </w:r>
      <w:r w:rsidRPr="0058743F">
        <w:rPr>
          <w:rFonts w:eastAsia="Arial Unicode MS" w:cs="Arial Unicode MS"/>
          <w:color w:val="000000"/>
          <w:bdr w:val="nil"/>
        </w:rPr>
        <w:t xml:space="preserve">n March 2017, </w:t>
      </w:r>
      <w:r>
        <w:rPr>
          <w:rFonts w:eastAsia="Arial Unicode MS" w:cs="Arial Unicode MS"/>
          <w:color w:val="000000"/>
          <w:bdr w:val="nil"/>
        </w:rPr>
        <w:t xml:space="preserve">Ralph </w:t>
      </w:r>
      <w:proofErr w:type="spellStart"/>
      <w:r>
        <w:rPr>
          <w:rFonts w:eastAsia="Arial Unicode MS" w:cs="Arial Unicode MS"/>
          <w:color w:val="000000"/>
          <w:bdr w:val="nil"/>
        </w:rPr>
        <w:t>Hamers</w:t>
      </w:r>
      <w:proofErr w:type="spellEnd"/>
      <w:r>
        <w:rPr>
          <w:rFonts w:eastAsia="Arial Unicode MS" w:cs="Arial Unicode MS"/>
          <w:color w:val="000000"/>
          <w:bdr w:val="nil"/>
        </w:rPr>
        <w:t xml:space="preserve">, chief executive officer (CEO) of </w:t>
      </w:r>
      <w:r w:rsidRPr="0058743F">
        <w:rPr>
          <w:rFonts w:eastAsia="Arial Unicode MS" w:cs="Arial Unicode MS"/>
          <w:color w:val="000000"/>
          <w:bdr w:val="nil"/>
        </w:rPr>
        <w:t>ING</w:t>
      </w:r>
      <w:r>
        <w:rPr>
          <w:rFonts w:eastAsia="Arial Unicode MS" w:cs="Arial Unicode MS"/>
          <w:color w:val="000000"/>
          <w:bdr w:val="nil"/>
        </w:rPr>
        <w:t xml:space="preserve"> </w:t>
      </w:r>
      <w:proofErr w:type="spellStart"/>
      <w:r>
        <w:rPr>
          <w:rFonts w:eastAsia="Arial Unicode MS" w:cs="Arial Unicode MS"/>
          <w:color w:val="000000"/>
          <w:bdr w:val="nil"/>
        </w:rPr>
        <w:t>Groep</w:t>
      </w:r>
      <w:proofErr w:type="spellEnd"/>
      <w:r>
        <w:rPr>
          <w:rFonts w:eastAsia="Arial Unicode MS" w:cs="Arial Unicode MS"/>
          <w:color w:val="000000"/>
          <w:bdr w:val="nil"/>
        </w:rPr>
        <w:t xml:space="preserve"> NV (ING),</w:t>
      </w:r>
      <w:r w:rsidRPr="0058743F">
        <w:rPr>
          <w:rFonts w:eastAsia="Arial Unicode MS" w:cs="Arial Unicode MS"/>
          <w:color w:val="000000"/>
          <w:bdr w:val="nil"/>
        </w:rPr>
        <w:t xml:space="preserve"> </w:t>
      </w:r>
      <w:r>
        <w:rPr>
          <w:rFonts w:eastAsia="Arial Unicode MS" w:cs="Arial Unicode MS"/>
          <w:color w:val="000000"/>
          <w:bdr w:val="nil"/>
        </w:rPr>
        <w:t xml:space="preserve">needed to decide </w:t>
      </w:r>
      <w:r w:rsidRPr="0058743F">
        <w:rPr>
          <w:rFonts w:eastAsia="Arial Unicode MS" w:cs="Arial Unicode MS"/>
          <w:color w:val="000000"/>
          <w:bdr w:val="nil"/>
        </w:rPr>
        <w:t xml:space="preserve">how to </w:t>
      </w:r>
      <w:r>
        <w:rPr>
          <w:rFonts w:eastAsia="Arial Unicode MS" w:cs="Arial Unicode MS"/>
          <w:color w:val="000000"/>
          <w:bdr w:val="nil"/>
        </w:rPr>
        <w:t>deal with the</w:t>
      </w:r>
      <w:r w:rsidRPr="0058743F">
        <w:rPr>
          <w:rFonts w:eastAsia="Arial Unicode MS" w:cs="Arial Unicode MS"/>
          <w:color w:val="000000"/>
          <w:bdr w:val="nil"/>
        </w:rPr>
        <w:t xml:space="preserve"> many challenges posed by digitization. Despite the positive numbers reported in </w:t>
      </w:r>
      <w:r>
        <w:rPr>
          <w:rFonts w:eastAsia="Arial Unicode MS" w:cs="Arial Unicode MS"/>
          <w:color w:val="000000"/>
          <w:bdr w:val="nil"/>
        </w:rPr>
        <w:t>the</w:t>
      </w:r>
      <w:r w:rsidRPr="0058743F">
        <w:rPr>
          <w:rFonts w:eastAsia="Arial Unicode MS" w:cs="Arial Unicode MS"/>
          <w:color w:val="000000"/>
          <w:bdr w:val="nil"/>
        </w:rPr>
        <w:t xml:space="preserve"> 2016 annual report, the outlook for the bank did not seem certain. </w:t>
      </w:r>
      <w:r>
        <w:rPr>
          <w:rFonts w:eastAsia="Arial Unicode MS" w:cs="Arial Unicode MS"/>
          <w:color w:val="000000"/>
          <w:bdr w:val="nil"/>
        </w:rPr>
        <w:t>T</w:t>
      </w:r>
      <w:r w:rsidRPr="0058743F">
        <w:rPr>
          <w:rFonts w:eastAsia="Arial Unicode MS" w:cs="Arial Unicode MS"/>
          <w:color w:val="000000"/>
          <w:bdr w:val="nil"/>
        </w:rPr>
        <w:t>hree figures</w:t>
      </w:r>
      <w:r>
        <w:rPr>
          <w:rFonts w:eastAsia="Arial Unicode MS" w:cs="Arial Unicode MS"/>
          <w:color w:val="000000"/>
          <w:bdr w:val="nil"/>
        </w:rPr>
        <w:t xml:space="preserve"> in particular</w:t>
      </w:r>
      <w:r w:rsidRPr="0058743F">
        <w:rPr>
          <w:rFonts w:eastAsia="Arial Unicode MS" w:cs="Arial Unicode MS"/>
          <w:color w:val="000000"/>
          <w:bdr w:val="nil"/>
        </w:rPr>
        <w:t xml:space="preserve"> called for careful reflection on the future of ING and, more broadly, the banking sector: (1) </w:t>
      </w:r>
      <w:r>
        <w:rPr>
          <w:rFonts w:eastAsia="Arial Unicode MS" w:cs="Arial Unicode MS"/>
          <w:color w:val="000000"/>
          <w:bdr w:val="nil"/>
        </w:rPr>
        <w:t>d</w:t>
      </w:r>
      <w:r w:rsidRPr="0058743F">
        <w:rPr>
          <w:rFonts w:eastAsia="Arial Unicode MS" w:cs="Arial Unicode MS"/>
          <w:color w:val="000000"/>
          <w:bdr w:val="nil"/>
        </w:rPr>
        <w:t xml:space="preserve">igital channels already accounted for 98 per cent of contact with ING retail customers in 2016; (2) </w:t>
      </w:r>
      <w:r>
        <w:rPr>
          <w:rFonts w:eastAsia="Arial Unicode MS" w:cs="Arial Unicode MS"/>
          <w:color w:val="000000"/>
          <w:bdr w:val="nil"/>
        </w:rPr>
        <w:t>m</w:t>
      </w:r>
      <w:r w:rsidRPr="0058743F">
        <w:rPr>
          <w:rFonts w:eastAsia="Arial Unicode MS" w:cs="Arial Unicode MS"/>
          <w:color w:val="000000"/>
          <w:bdr w:val="nil"/>
        </w:rPr>
        <w:t xml:space="preserve">obile interactions with ING retail customers increased by more than 50 per cent during 2016; </w:t>
      </w:r>
      <w:r>
        <w:rPr>
          <w:rFonts w:eastAsia="Arial Unicode MS" w:cs="Arial Unicode MS"/>
          <w:color w:val="000000"/>
          <w:bdr w:val="nil"/>
        </w:rPr>
        <w:t xml:space="preserve">and </w:t>
      </w:r>
      <w:r w:rsidRPr="0058743F">
        <w:rPr>
          <w:rFonts w:eastAsia="Arial Unicode MS" w:cs="Arial Unicode MS"/>
          <w:color w:val="000000"/>
          <w:bdr w:val="nil"/>
        </w:rPr>
        <w:t xml:space="preserve">(3) </w:t>
      </w:r>
      <w:r>
        <w:rPr>
          <w:rFonts w:eastAsia="Arial Unicode MS" w:cs="Arial Unicode MS"/>
          <w:color w:val="000000"/>
          <w:bdr w:val="nil"/>
        </w:rPr>
        <w:t>a</w:t>
      </w:r>
      <w:r w:rsidRPr="0058743F">
        <w:rPr>
          <w:rFonts w:eastAsia="Arial Unicode MS" w:cs="Arial Unicode MS"/>
          <w:color w:val="000000"/>
          <w:bdr w:val="nil"/>
        </w:rPr>
        <w:t xml:space="preserve"> report by Citigroup </w:t>
      </w:r>
      <w:r>
        <w:rPr>
          <w:rFonts w:eastAsia="Arial Unicode MS" w:cs="Arial Unicode MS"/>
          <w:color w:val="000000"/>
          <w:bdr w:val="nil"/>
        </w:rPr>
        <w:t xml:space="preserve">Inc. </w:t>
      </w:r>
      <w:r w:rsidRPr="0058743F">
        <w:rPr>
          <w:rFonts w:eastAsia="Arial Unicode MS" w:cs="Arial Unicode MS"/>
          <w:color w:val="000000"/>
          <w:bdr w:val="nil"/>
        </w:rPr>
        <w:t>showed that investments in financial technology (</w:t>
      </w:r>
      <w:proofErr w:type="spellStart"/>
      <w:r w:rsidRPr="0058743F">
        <w:rPr>
          <w:rFonts w:eastAsia="Arial Unicode MS" w:cs="Arial Unicode MS"/>
          <w:color w:val="000000"/>
          <w:bdr w:val="nil"/>
        </w:rPr>
        <w:t>fintech</w:t>
      </w:r>
      <w:proofErr w:type="spellEnd"/>
      <w:r w:rsidRPr="0058743F">
        <w:rPr>
          <w:rFonts w:eastAsia="Arial Unicode MS" w:cs="Arial Unicode MS"/>
          <w:color w:val="000000"/>
          <w:bdr w:val="nil"/>
        </w:rPr>
        <w:t xml:space="preserve">) companies had grown exponentially </w:t>
      </w:r>
      <w:r>
        <w:rPr>
          <w:rFonts w:eastAsia="Arial Unicode MS" w:cs="Arial Unicode MS"/>
          <w:color w:val="000000"/>
          <w:bdr w:val="nil"/>
        </w:rPr>
        <w:t>over the</w:t>
      </w:r>
      <w:r w:rsidRPr="0058743F">
        <w:rPr>
          <w:rFonts w:eastAsia="Arial Unicode MS" w:cs="Arial Unicode MS"/>
          <w:color w:val="000000"/>
          <w:bdr w:val="nil"/>
        </w:rPr>
        <w:t xml:space="preserve"> decade</w:t>
      </w:r>
      <w:r>
        <w:rPr>
          <w:rFonts w:eastAsia="Arial Unicode MS" w:cs="Arial Unicode MS"/>
          <w:color w:val="000000"/>
          <w:bdr w:val="nil"/>
        </w:rPr>
        <w:t>—</w:t>
      </w:r>
      <w:r w:rsidRPr="0058743F">
        <w:rPr>
          <w:rFonts w:eastAsia="Arial Unicode MS" w:cs="Arial Unicode MS"/>
          <w:color w:val="000000"/>
          <w:bdr w:val="nil"/>
        </w:rPr>
        <w:t>from US$1.8 billion in 2010 to $19 billion in 2015</w:t>
      </w:r>
      <w:r>
        <w:rPr>
          <w:rFonts w:eastAsia="Arial Unicode MS" w:cs="Arial Unicode MS"/>
          <w:color w:val="000000"/>
          <w:bdr w:val="nil"/>
        </w:rPr>
        <w:t xml:space="preserve">—indicating </w:t>
      </w:r>
      <w:r w:rsidRPr="0058743F">
        <w:rPr>
          <w:rFonts w:eastAsia="Arial Unicode MS" w:cs="Arial Unicode MS"/>
          <w:color w:val="000000"/>
          <w:bdr w:val="nil"/>
        </w:rPr>
        <w:t xml:space="preserve">that </w:t>
      </w:r>
      <w:proofErr w:type="spellStart"/>
      <w:r>
        <w:rPr>
          <w:rFonts w:eastAsia="Arial Unicode MS" w:cs="Arial Unicode MS"/>
          <w:color w:val="000000"/>
          <w:bdr w:val="nil"/>
        </w:rPr>
        <w:t>fintech</w:t>
      </w:r>
      <w:proofErr w:type="spellEnd"/>
      <w:r w:rsidRPr="0058743F">
        <w:rPr>
          <w:rFonts w:eastAsia="Arial Unicode MS" w:cs="Arial Unicode MS"/>
          <w:color w:val="000000"/>
          <w:bdr w:val="nil"/>
        </w:rPr>
        <w:t xml:space="preserve"> was rapidly bringing the banking sector to a tipping point.</w:t>
      </w:r>
      <w:r w:rsidRPr="007363D7">
        <w:rPr>
          <w:rStyle w:val="EndnoteReference"/>
          <w:rFonts w:eastAsia="Arial Unicode MS"/>
        </w:rPr>
        <w:endnoteReference w:id="2"/>
      </w:r>
      <w:r w:rsidRPr="0058743F">
        <w:rPr>
          <w:rFonts w:eastAsia="Arial Unicode MS" w:cs="Arial Unicode MS"/>
          <w:color w:val="000000"/>
          <w:bdr w:val="nil"/>
        </w:rPr>
        <w:t xml:space="preserve"> </w:t>
      </w:r>
    </w:p>
    <w:p w14:paraId="4FC0C9B3" w14:textId="77777777" w:rsidR="001061D6" w:rsidRPr="00D928D7" w:rsidRDefault="001061D6" w:rsidP="00D928D7">
      <w:pPr>
        <w:pStyle w:val="BodyTextMain"/>
        <w:rPr>
          <w:rFonts w:eastAsia="Arial Unicode MS"/>
        </w:rPr>
      </w:pPr>
    </w:p>
    <w:p w14:paraId="3206A667" w14:textId="220562FB" w:rsidR="001061D6" w:rsidRPr="0058743F" w:rsidRDefault="001061D6" w:rsidP="0058743F">
      <w:pPr>
        <w:pStyle w:val="BodyTextMain"/>
        <w:rPr>
          <w:rFonts w:eastAsia="Arial Unicode MS" w:cs="Arial Unicode MS"/>
          <w:b/>
          <w:bCs/>
          <w:color w:val="000000"/>
          <w:szCs w:val="24"/>
          <w:bdr w:val="nil"/>
        </w:rPr>
      </w:pPr>
      <w:r>
        <w:rPr>
          <w:rFonts w:eastAsia="Arial Unicode MS" w:cs="Arial Unicode MS"/>
          <w:color w:val="000000"/>
          <w:bdr w:val="nil"/>
        </w:rPr>
        <w:t>I</w:t>
      </w:r>
      <w:r w:rsidRPr="0058743F">
        <w:rPr>
          <w:rFonts w:eastAsia="Arial Unicode MS" w:cs="Arial Unicode MS"/>
          <w:color w:val="000000"/>
          <w:bdr w:val="nil"/>
        </w:rPr>
        <w:t xml:space="preserve">n view of the many challenges posed by </w:t>
      </w:r>
      <w:r>
        <w:rPr>
          <w:rFonts w:eastAsia="Arial Unicode MS" w:cs="Arial Unicode MS"/>
          <w:color w:val="000000"/>
          <w:bdr w:val="nil"/>
        </w:rPr>
        <w:t xml:space="preserve">digitization, </w:t>
      </w:r>
      <w:proofErr w:type="spellStart"/>
      <w:r>
        <w:rPr>
          <w:rFonts w:eastAsia="Arial Unicode MS" w:cs="Arial Unicode MS"/>
          <w:color w:val="000000"/>
          <w:bdr w:val="nil"/>
        </w:rPr>
        <w:t>Hamers</w:t>
      </w:r>
      <w:proofErr w:type="spellEnd"/>
      <w:r>
        <w:rPr>
          <w:rFonts w:eastAsia="Arial Unicode MS" w:cs="Arial Unicode MS"/>
          <w:color w:val="000000"/>
          <w:bdr w:val="nil"/>
        </w:rPr>
        <w:t xml:space="preserve"> had recently announced that the bank would invest </w:t>
      </w:r>
      <w:r>
        <w:rPr>
          <w:rFonts w:eastAsia="Arial Unicode MS"/>
          <w:color w:val="000000"/>
          <w:bdr w:val="nil"/>
        </w:rPr>
        <w:t>€</w:t>
      </w:r>
      <w:r w:rsidRPr="0058743F">
        <w:rPr>
          <w:rFonts w:eastAsia="Arial Unicode MS" w:cs="Arial Unicode MS"/>
          <w:color w:val="000000"/>
          <w:bdr w:val="nil"/>
        </w:rPr>
        <w:t xml:space="preserve">800 </w:t>
      </w:r>
      <w:r w:rsidRPr="00B844FD">
        <w:rPr>
          <w:rFonts w:eastAsia="Arial Unicode MS" w:cs="Arial Unicode MS"/>
          <w:bdr w:val="nil"/>
        </w:rPr>
        <w:t xml:space="preserve">million in </w:t>
      </w:r>
      <w:r>
        <w:rPr>
          <w:rFonts w:eastAsia="Arial Unicode MS" w:cs="Arial Unicode MS"/>
          <w:color w:val="000000"/>
          <w:bdr w:val="nil"/>
        </w:rPr>
        <w:t>continued digital transformation to further improve the customer experience and accelerate growth</w:t>
      </w:r>
      <w:r w:rsidRPr="0058743F">
        <w:rPr>
          <w:rFonts w:eastAsia="Arial Unicode MS" w:cs="Arial Unicode MS"/>
          <w:color w:val="000000"/>
          <w:bdr w:val="nil"/>
        </w:rPr>
        <w:t>.</w:t>
      </w:r>
      <w:r>
        <w:rPr>
          <w:rStyle w:val="EndnoteReference"/>
        </w:rPr>
        <w:endnoteReference w:id="3"/>
      </w:r>
      <w:r>
        <w:rPr>
          <w:rFonts w:eastAsia="Arial Unicode MS" w:cs="Arial Unicode MS"/>
          <w:color w:val="000000"/>
          <w:bdr w:val="nil"/>
        </w:rPr>
        <w:t xml:space="preserve"> While there was no doubt that this investment was needed, </w:t>
      </w:r>
      <w:proofErr w:type="spellStart"/>
      <w:r>
        <w:rPr>
          <w:rFonts w:eastAsia="Arial Unicode MS" w:cs="Arial Unicode MS"/>
          <w:color w:val="000000"/>
          <w:bdr w:val="nil"/>
        </w:rPr>
        <w:t>Hamers</w:t>
      </w:r>
      <w:proofErr w:type="spellEnd"/>
      <w:r>
        <w:rPr>
          <w:rFonts w:eastAsia="Arial Unicode MS" w:cs="Arial Unicode MS"/>
          <w:color w:val="000000"/>
          <w:bdr w:val="nil"/>
        </w:rPr>
        <w:t xml:space="preserve"> had to decide how </w:t>
      </w:r>
      <w:r w:rsidRPr="0058743F">
        <w:rPr>
          <w:rFonts w:eastAsia="Arial Unicode MS" w:cs="Arial Unicode MS"/>
          <w:color w:val="000000"/>
          <w:bdr w:val="nil"/>
        </w:rPr>
        <w:t xml:space="preserve">ING </w:t>
      </w:r>
      <w:r>
        <w:rPr>
          <w:rFonts w:eastAsia="Arial Unicode MS" w:cs="Arial Unicode MS"/>
          <w:color w:val="000000"/>
          <w:bdr w:val="nil"/>
        </w:rPr>
        <w:t>would</w:t>
      </w:r>
      <w:r w:rsidRPr="0058743F">
        <w:rPr>
          <w:rFonts w:eastAsia="Arial Unicode MS" w:cs="Arial Unicode MS"/>
          <w:color w:val="000000"/>
          <w:bdr w:val="nil"/>
        </w:rPr>
        <w:t xml:space="preserve"> respond to and take advantage of the radical changes that would likely further disrupt the banking sector</w:t>
      </w:r>
      <w:r>
        <w:rPr>
          <w:rFonts w:eastAsia="Arial Unicode MS" w:cs="Arial Unicode MS"/>
          <w:color w:val="000000"/>
          <w:bdr w:val="nil"/>
        </w:rPr>
        <w:t>.</w:t>
      </w:r>
      <w:r w:rsidRPr="0058743F">
        <w:rPr>
          <w:rFonts w:eastAsia="Arial Unicode MS" w:cs="Arial Unicode MS"/>
          <w:color w:val="000000"/>
          <w:bdr w:val="nil"/>
        </w:rPr>
        <w:t xml:space="preserve"> Which </w:t>
      </w:r>
      <w:r>
        <w:rPr>
          <w:rFonts w:eastAsia="Arial Unicode MS" w:cs="Arial Unicode MS"/>
          <w:color w:val="000000"/>
          <w:bdr w:val="nil"/>
        </w:rPr>
        <w:t>strategic actions</w:t>
      </w:r>
      <w:r w:rsidRPr="0058743F">
        <w:rPr>
          <w:rFonts w:eastAsia="Arial Unicode MS" w:cs="Arial Unicode MS"/>
          <w:color w:val="000000"/>
          <w:bdr w:val="nil"/>
        </w:rPr>
        <w:t xml:space="preserve"> </w:t>
      </w:r>
      <w:r>
        <w:rPr>
          <w:rFonts w:eastAsia="Arial Unicode MS" w:cs="Arial Unicode MS"/>
          <w:color w:val="000000"/>
          <w:bdr w:val="nil"/>
        </w:rPr>
        <w:t>were</w:t>
      </w:r>
      <w:r w:rsidRPr="0058743F">
        <w:rPr>
          <w:rFonts w:eastAsia="Arial Unicode MS" w:cs="Arial Unicode MS"/>
          <w:color w:val="000000"/>
          <w:bdr w:val="nil"/>
        </w:rPr>
        <w:t xml:space="preserve"> </w:t>
      </w:r>
      <w:r>
        <w:rPr>
          <w:rFonts w:eastAsia="Arial Unicode MS" w:cs="Arial Unicode MS"/>
          <w:color w:val="000000"/>
          <w:bdr w:val="nil"/>
        </w:rPr>
        <w:t xml:space="preserve">most </w:t>
      </w:r>
      <w:r w:rsidRPr="0058743F">
        <w:rPr>
          <w:rFonts w:eastAsia="Arial Unicode MS" w:cs="Arial Unicode MS"/>
          <w:color w:val="000000"/>
          <w:bdr w:val="nil"/>
        </w:rPr>
        <w:t xml:space="preserve">needed for the </w:t>
      </w:r>
      <w:r>
        <w:rPr>
          <w:rFonts w:eastAsia="Arial Unicode MS" w:cs="Arial Unicode MS"/>
          <w:color w:val="000000"/>
          <w:bdr w:val="nil"/>
        </w:rPr>
        <w:t>bank</w:t>
      </w:r>
      <w:r w:rsidRPr="0058743F">
        <w:rPr>
          <w:rFonts w:eastAsia="Arial Unicode MS" w:cs="Arial Unicode MS"/>
          <w:color w:val="000000"/>
          <w:bdr w:val="nil"/>
        </w:rPr>
        <w:t xml:space="preserve"> to thriv</w:t>
      </w:r>
      <w:r>
        <w:rPr>
          <w:rFonts w:eastAsia="Arial Unicode MS" w:cs="Arial Unicode MS"/>
          <w:color w:val="000000"/>
          <w:bdr w:val="nil"/>
        </w:rPr>
        <w:t>e</w:t>
      </w:r>
      <w:r w:rsidRPr="0058743F">
        <w:rPr>
          <w:rFonts w:eastAsia="Arial Unicode MS" w:cs="Arial Unicode MS"/>
          <w:color w:val="000000"/>
          <w:bdr w:val="nil"/>
        </w:rPr>
        <w:t xml:space="preserve"> in the digital disruption? </w:t>
      </w:r>
      <w:r>
        <w:rPr>
          <w:rFonts w:eastAsia="Arial Unicode MS" w:cs="Arial Unicode MS"/>
          <w:color w:val="000000"/>
          <w:bdr w:val="nil"/>
        </w:rPr>
        <w:t xml:space="preserve">Which specific initiatives should </w:t>
      </w:r>
      <w:proofErr w:type="spellStart"/>
      <w:r>
        <w:rPr>
          <w:rFonts w:eastAsia="Arial Unicode MS" w:cs="Arial Unicode MS"/>
          <w:color w:val="000000"/>
          <w:bdr w:val="nil"/>
        </w:rPr>
        <w:t>Hamers</w:t>
      </w:r>
      <w:proofErr w:type="spellEnd"/>
      <w:r>
        <w:rPr>
          <w:rFonts w:eastAsia="Arial Unicode MS" w:cs="Arial Unicode MS"/>
          <w:color w:val="000000"/>
          <w:bdr w:val="nil"/>
        </w:rPr>
        <w:t xml:space="preserve"> prioritize for the </w:t>
      </w:r>
      <w:r>
        <w:rPr>
          <w:rFonts w:eastAsia="Arial Unicode MS"/>
          <w:color w:val="000000"/>
          <w:bdr w:val="nil"/>
        </w:rPr>
        <w:t>€</w:t>
      </w:r>
      <w:r>
        <w:rPr>
          <w:rFonts w:eastAsia="Arial Unicode MS" w:cs="Arial Unicode MS"/>
          <w:color w:val="000000"/>
          <w:bdr w:val="nil"/>
        </w:rPr>
        <w:t>800 million investment</w:t>
      </w:r>
      <w:r w:rsidRPr="0058743F">
        <w:rPr>
          <w:rFonts w:eastAsia="Arial Unicode MS" w:cs="Arial Unicode MS"/>
          <w:color w:val="000000"/>
          <w:bdr w:val="nil"/>
        </w:rPr>
        <w:t>?</w:t>
      </w:r>
    </w:p>
    <w:p w14:paraId="442A971B" w14:textId="77777777" w:rsidR="001061D6" w:rsidRPr="00D928D7" w:rsidRDefault="001061D6" w:rsidP="00D928D7">
      <w:pPr>
        <w:pStyle w:val="BodyTextMain"/>
        <w:rPr>
          <w:rFonts w:eastAsia="Arial Unicode MS"/>
        </w:rPr>
      </w:pPr>
    </w:p>
    <w:p w14:paraId="30F3D0E9" w14:textId="77777777" w:rsidR="001061D6" w:rsidRPr="00D928D7" w:rsidRDefault="001061D6" w:rsidP="00D928D7">
      <w:pPr>
        <w:pStyle w:val="BodyTextMain"/>
        <w:rPr>
          <w:rFonts w:eastAsia="Arial Unicode MS"/>
        </w:rPr>
      </w:pPr>
    </w:p>
    <w:p w14:paraId="14A235EA" w14:textId="77777777" w:rsidR="001061D6" w:rsidRDefault="001061D6" w:rsidP="00B844FD">
      <w:pPr>
        <w:pStyle w:val="Casehead1"/>
        <w:outlineLvl w:val="0"/>
        <w:rPr>
          <w:rFonts w:eastAsia="Arial Unicode MS"/>
          <w:bdr w:val="nil"/>
        </w:rPr>
      </w:pPr>
      <w:r w:rsidRPr="0058743F">
        <w:rPr>
          <w:rFonts w:eastAsia="Arial Unicode MS"/>
          <w:bdr w:val="nil"/>
        </w:rPr>
        <w:t>THE HISTORY AND GROWTH OF ING</w:t>
      </w:r>
    </w:p>
    <w:p w14:paraId="3E510CC5" w14:textId="77777777" w:rsidR="001061D6" w:rsidRPr="00D928D7" w:rsidRDefault="001061D6" w:rsidP="00D928D7">
      <w:pPr>
        <w:pStyle w:val="BodyTextMain"/>
      </w:pPr>
    </w:p>
    <w:p w14:paraId="15F3AAD8" w14:textId="3DDECE77" w:rsidR="001061D6" w:rsidRPr="0058743F" w:rsidRDefault="001061D6" w:rsidP="007363D7">
      <w:pPr>
        <w:pStyle w:val="BodyTextMain"/>
        <w:rPr>
          <w:bdr w:val="nil"/>
        </w:rPr>
      </w:pPr>
      <w:r w:rsidRPr="0058743F">
        <w:rPr>
          <w:rFonts w:eastAsia="Arial Unicode MS"/>
          <w:bdr w:val="nil"/>
        </w:rPr>
        <w:t xml:space="preserve">ING was </w:t>
      </w:r>
      <w:r>
        <w:rPr>
          <w:rFonts w:eastAsia="Arial Unicode MS"/>
          <w:bdr w:val="nil"/>
        </w:rPr>
        <w:t xml:space="preserve">the product </w:t>
      </w:r>
      <w:r w:rsidRPr="0058743F">
        <w:rPr>
          <w:rFonts w:eastAsia="Arial Unicode MS"/>
          <w:bdr w:val="nil"/>
        </w:rPr>
        <w:t xml:space="preserve">of a merger between </w:t>
      </w:r>
      <w:r>
        <w:rPr>
          <w:rFonts w:eastAsia="Arial Unicode MS"/>
          <w:bdr w:val="nil"/>
        </w:rPr>
        <w:t xml:space="preserve">insurance company </w:t>
      </w:r>
      <w:proofErr w:type="spellStart"/>
      <w:r w:rsidRPr="0058743F">
        <w:rPr>
          <w:rFonts w:eastAsia="Arial Unicode MS"/>
          <w:bdr w:val="nil"/>
        </w:rPr>
        <w:t>Nationale-Ne</w:t>
      </w:r>
      <w:r>
        <w:rPr>
          <w:rFonts w:eastAsia="Arial Unicode MS"/>
          <w:bdr w:val="nil"/>
        </w:rPr>
        <w:t>derlanden</w:t>
      </w:r>
      <w:proofErr w:type="spellEnd"/>
      <w:r>
        <w:rPr>
          <w:rFonts w:eastAsia="Arial Unicode MS"/>
          <w:bdr w:val="nil"/>
        </w:rPr>
        <w:t xml:space="preserve"> and banking </w:t>
      </w:r>
      <w:r w:rsidRPr="007363D7">
        <w:rPr>
          <w:rFonts w:eastAsia="Arial Unicode MS"/>
        </w:rPr>
        <w:t xml:space="preserve">company NMB Postbank </w:t>
      </w:r>
      <w:proofErr w:type="spellStart"/>
      <w:r w:rsidRPr="007363D7">
        <w:rPr>
          <w:rFonts w:eastAsia="Arial Unicode MS"/>
        </w:rPr>
        <w:t>Groep</w:t>
      </w:r>
      <w:proofErr w:type="spellEnd"/>
      <w:r w:rsidRPr="007363D7">
        <w:rPr>
          <w:rFonts w:eastAsia="Arial Unicode MS"/>
        </w:rPr>
        <w:t xml:space="preserve"> in 1991. </w:t>
      </w:r>
      <w:r>
        <w:rPr>
          <w:rFonts w:eastAsia="Arial Unicode MS"/>
        </w:rPr>
        <w:t>The new bank was i</w:t>
      </w:r>
      <w:r w:rsidRPr="007363D7">
        <w:rPr>
          <w:rFonts w:eastAsia="Arial Unicode MS"/>
        </w:rPr>
        <w:t xml:space="preserve">nitially named Internationale </w:t>
      </w:r>
      <w:proofErr w:type="spellStart"/>
      <w:r w:rsidRPr="007363D7">
        <w:rPr>
          <w:rFonts w:eastAsia="Arial Unicode MS"/>
        </w:rPr>
        <w:t>Nederlanden</w:t>
      </w:r>
      <w:proofErr w:type="spellEnd"/>
      <w:r w:rsidRPr="007363D7">
        <w:rPr>
          <w:rFonts w:eastAsia="Arial Unicode MS"/>
        </w:rPr>
        <w:t xml:space="preserve"> </w:t>
      </w:r>
      <w:proofErr w:type="spellStart"/>
      <w:r w:rsidRPr="007363D7">
        <w:rPr>
          <w:rFonts w:eastAsia="Arial Unicode MS"/>
        </w:rPr>
        <w:t>Groep</w:t>
      </w:r>
      <w:proofErr w:type="spellEnd"/>
      <w:r w:rsidRPr="007363D7">
        <w:rPr>
          <w:rFonts w:eastAsia="Arial Unicode MS"/>
        </w:rPr>
        <w:t xml:space="preserve">, </w:t>
      </w:r>
      <w:r>
        <w:rPr>
          <w:rFonts w:eastAsia="Arial Unicode MS"/>
        </w:rPr>
        <w:t xml:space="preserve">which </w:t>
      </w:r>
      <w:r w:rsidRPr="007363D7">
        <w:rPr>
          <w:rFonts w:eastAsia="Arial Unicode MS"/>
        </w:rPr>
        <w:t>the market</w:t>
      </w:r>
      <w:r w:rsidRPr="0058743F">
        <w:rPr>
          <w:rFonts w:eastAsia="Arial Unicode MS"/>
          <w:bdr w:val="nil"/>
        </w:rPr>
        <w:t xml:space="preserve"> immediately abbreviated to I-N-G</w:t>
      </w:r>
      <w:r>
        <w:rPr>
          <w:rFonts w:eastAsia="Arial Unicode MS"/>
          <w:bdr w:val="nil"/>
        </w:rPr>
        <w:t>,</w:t>
      </w:r>
      <w:r w:rsidRPr="0058743F">
        <w:rPr>
          <w:rFonts w:eastAsia="Arial Unicode MS"/>
          <w:bdr w:val="nil"/>
        </w:rPr>
        <w:t xml:space="preserve"> so the company formally changed </w:t>
      </w:r>
      <w:r>
        <w:rPr>
          <w:rFonts w:eastAsia="Arial Unicode MS"/>
          <w:bdr w:val="nil"/>
        </w:rPr>
        <w:t>its name</w:t>
      </w:r>
      <w:r w:rsidRPr="0058743F">
        <w:rPr>
          <w:rFonts w:eastAsia="Arial Unicode MS"/>
          <w:bdr w:val="nil"/>
        </w:rPr>
        <w:t xml:space="preserve"> to ING </w:t>
      </w:r>
      <w:r>
        <w:rPr>
          <w:rFonts w:eastAsia="Arial Unicode MS"/>
          <w:bdr w:val="nil"/>
        </w:rPr>
        <w:t>Group</w:t>
      </w:r>
      <w:r w:rsidRPr="0058743F">
        <w:rPr>
          <w:rFonts w:eastAsia="Arial Unicode MS"/>
          <w:bdr w:val="nil"/>
        </w:rPr>
        <w:t xml:space="preserve">. </w:t>
      </w:r>
      <w:r>
        <w:rPr>
          <w:rFonts w:eastAsia="Arial Unicode MS"/>
          <w:bdr w:val="nil"/>
        </w:rPr>
        <w:t>Within a few years of</w:t>
      </w:r>
      <w:r w:rsidRPr="0058743F">
        <w:rPr>
          <w:rFonts w:eastAsia="Arial Unicode MS"/>
          <w:bdr w:val="nil"/>
        </w:rPr>
        <w:t xml:space="preserve"> its foundation, ING </w:t>
      </w:r>
      <w:r>
        <w:rPr>
          <w:rFonts w:eastAsia="Arial Unicode MS"/>
          <w:bdr w:val="nil"/>
        </w:rPr>
        <w:t xml:space="preserve">had </w:t>
      </w:r>
      <w:r w:rsidRPr="0058743F">
        <w:rPr>
          <w:rFonts w:eastAsia="Arial Unicode MS"/>
          <w:bdr w:val="nil"/>
        </w:rPr>
        <w:t>rapidly expand</w:t>
      </w:r>
      <w:r>
        <w:rPr>
          <w:rFonts w:eastAsia="Arial Unicode MS"/>
          <w:bdr w:val="nil"/>
        </w:rPr>
        <w:t>ed</w:t>
      </w:r>
      <w:r w:rsidRPr="0058743F">
        <w:rPr>
          <w:rFonts w:eastAsia="Arial Unicode MS"/>
          <w:bdr w:val="nil"/>
        </w:rPr>
        <w:t xml:space="preserve"> its range of activities through a combination of organic growth and a series of acquisitions. ING </w:t>
      </w:r>
      <w:r>
        <w:rPr>
          <w:rFonts w:eastAsia="Arial Unicode MS"/>
          <w:bdr w:val="nil"/>
        </w:rPr>
        <w:t>had evolved</w:t>
      </w:r>
      <w:r w:rsidRPr="0058743F">
        <w:rPr>
          <w:rFonts w:eastAsia="Arial Unicode MS"/>
          <w:bdr w:val="nil"/>
        </w:rPr>
        <w:t xml:space="preserve"> from a Dutch company with limited international activities to a large multinational with operations across several countries. </w:t>
      </w:r>
      <w:r>
        <w:rPr>
          <w:rFonts w:eastAsia="Arial Unicode MS"/>
          <w:bdr w:val="nil"/>
        </w:rPr>
        <w:t>B</w:t>
      </w:r>
      <w:r w:rsidRPr="0058743F">
        <w:rPr>
          <w:rFonts w:eastAsia="Arial Unicode MS"/>
          <w:bdr w:val="nil"/>
        </w:rPr>
        <w:t>y the end of 2016</w:t>
      </w:r>
      <w:r>
        <w:rPr>
          <w:rFonts w:eastAsia="Arial Unicode MS"/>
          <w:bdr w:val="nil"/>
        </w:rPr>
        <w:t>,</w:t>
      </w:r>
      <w:r w:rsidRPr="0058743F">
        <w:rPr>
          <w:rFonts w:eastAsia="Arial Unicode MS"/>
          <w:bdr w:val="nil"/>
        </w:rPr>
        <w:t xml:space="preserve"> </w:t>
      </w:r>
      <w:r>
        <w:rPr>
          <w:rFonts w:eastAsia="Arial Unicode MS"/>
          <w:bdr w:val="nil"/>
        </w:rPr>
        <w:t>as a</w:t>
      </w:r>
      <w:r w:rsidRPr="0058743F">
        <w:rPr>
          <w:rFonts w:eastAsia="Arial Unicode MS"/>
          <w:bdr w:val="nil"/>
        </w:rPr>
        <w:t xml:space="preserve"> global financial institution with a strong European base, ING offered banking services in more than 40 countries and employed over 54,000 people worldwide.</w:t>
      </w:r>
      <w:r>
        <w:rPr>
          <w:rFonts w:eastAsia="Arial Unicode MS"/>
          <w:bdr w:val="nil"/>
        </w:rPr>
        <w:t xml:space="preserve"> The bank</w:t>
      </w:r>
      <w:r w:rsidRPr="0058743F">
        <w:rPr>
          <w:rFonts w:eastAsia="Arial Unicode MS"/>
          <w:bdr w:val="nil"/>
        </w:rPr>
        <w:t xml:space="preserve"> </w:t>
      </w:r>
      <w:r>
        <w:rPr>
          <w:rFonts w:eastAsia="Arial Unicode MS"/>
          <w:bdr w:val="nil"/>
        </w:rPr>
        <w:t>had</w:t>
      </w:r>
      <w:r w:rsidRPr="0058743F">
        <w:rPr>
          <w:rFonts w:eastAsia="Arial Unicode MS"/>
          <w:bdr w:val="nil"/>
        </w:rPr>
        <w:t xml:space="preserve"> 35.8 million customers and the ING brand ranked 27th on the list of the most valuable bank brands in the world.</w:t>
      </w:r>
      <w:r w:rsidRPr="007363D7">
        <w:rPr>
          <w:rStyle w:val="EndnoteReference"/>
          <w:rFonts w:eastAsia="Arial Unicode MS"/>
        </w:rPr>
        <w:endnoteReference w:id="4"/>
      </w:r>
    </w:p>
    <w:p w14:paraId="3FEDEF4B" w14:textId="77777777" w:rsidR="001061D6" w:rsidRPr="00D928D7" w:rsidRDefault="001061D6" w:rsidP="00D928D7">
      <w:pPr>
        <w:pStyle w:val="BodyTextMain"/>
        <w:rPr>
          <w:rFonts w:eastAsia="Arial Unicode MS"/>
        </w:rPr>
      </w:pPr>
    </w:p>
    <w:p w14:paraId="2601ED62" w14:textId="7B49EF94" w:rsidR="001061D6" w:rsidRPr="0058743F" w:rsidRDefault="001061D6" w:rsidP="007363D7">
      <w:pPr>
        <w:pStyle w:val="BodyTextMain"/>
        <w:rPr>
          <w:bdr w:val="nil"/>
        </w:rPr>
      </w:pPr>
      <w:r w:rsidRPr="0058743F">
        <w:rPr>
          <w:rFonts w:eastAsia="Arial Unicode MS"/>
          <w:bdr w:val="nil"/>
        </w:rPr>
        <w:t>Over the years, ING had segment</w:t>
      </w:r>
      <w:r>
        <w:rPr>
          <w:rFonts w:eastAsia="Arial Unicode MS"/>
          <w:bdr w:val="nil"/>
        </w:rPr>
        <w:t>ed</w:t>
      </w:r>
      <w:r w:rsidRPr="0058743F">
        <w:rPr>
          <w:rFonts w:eastAsia="Arial Unicode MS"/>
          <w:bdr w:val="nil"/>
        </w:rPr>
        <w:t xml:space="preserve"> </w:t>
      </w:r>
      <w:r>
        <w:rPr>
          <w:rFonts w:eastAsia="Arial Unicode MS"/>
          <w:bdr w:val="nil"/>
        </w:rPr>
        <w:t>its</w:t>
      </w:r>
      <w:r w:rsidRPr="0058743F">
        <w:rPr>
          <w:rFonts w:eastAsia="Arial Unicode MS"/>
          <w:bdr w:val="nil"/>
        </w:rPr>
        <w:t xml:space="preserve"> geographic</w:t>
      </w:r>
      <w:r>
        <w:rPr>
          <w:rFonts w:eastAsia="Arial Unicode MS"/>
          <w:bdr w:val="nil"/>
        </w:rPr>
        <w:t>al</w:t>
      </w:r>
      <w:r w:rsidRPr="0058743F">
        <w:rPr>
          <w:rFonts w:eastAsia="Arial Unicode MS"/>
          <w:bdr w:val="nil"/>
        </w:rPr>
        <w:t xml:space="preserve"> markets. The Netherlands, Belgium, and Luxembourg (the </w:t>
      </w:r>
      <w:r>
        <w:rPr>
          <w:rFonts w:eastAsia="Arial Unicode MS"/>
          <w:bdr w:val="nil"/>
        </w:rPr>
        <w:t>m</w:t>
      </w:r>
      <w:r w:rsidRPr="0058743F">
        <w:rPr>
          <w:rFonts w:eastAsia="Arial Unicode MS"/>
          <w:bdr w:val="nil"/>
        </w:rPr>
        <w:t xml:space="preserve">arket </w:t>
      </w:r>
      <w:r>
        <w:rPr>
          <w:rFonts w:eastAsia="Arial Unicode MS"/>
          <w:bdr w:val="nil"/>
        </w:rPr>
        <w:t>l</w:t>
      </w:r>
      <w:r w:rsidRPr="0058743F">
        <w:rPr>
          <w:rFonts w:eastAsia="Arial Unicode MS"/>
          <w:bdr w:val="nil"/>
        </w:rPr>
        <w:t>eaders)</w:t>
      </w:r>
      <w:r>
        <w:rPr>
          <w:rFonts w:eastAsia="Arial Unicode MS"/>
          <w:bdr w:val="nil"/>
        </w:rPr>
        <w:t xml:space="preserve"> </w:t>
      </w:r>
      <w:r w:rsidRPr="0058743F">
        <w:rPr>
          <w:rFonts w:eastAsia="Arial Unicode MS"/>
          <w:bdr w:val="nil"/>
        </w:rPr>
        <w:t xml:space="preserve">constituted its key markets. ING had a strong position in both retail and wholesale </w:t>
      </w:r>
      <w:r w:rsidRPr="0058743F">
        <w:rPr>
          <w:rFonts w:eastAsia="Arial Unicode MS"/>
          <w:bdr w:val="nil"/>
        </w:rPr>
        <w:lastRenderedPageBreak/>
        <w:t>banking</w:t>
      </w:r>
      <w:r w:rsidRPr="00801767">
        <w:rPr>
          <w:rFonts w:eastAsia="Arial Unicode MS"/>
          <w:bdr w:val="nil"/>
        </w:rPr>
        <w:t xml:space="preserve"> </w:t>
      </w:r>
      <w:r>
        <w:rPr>
          <w:rFonts w:eastAsia="Arial Unicode MS"/>
          <w:bdr w:val="nil"/>
        </w:rPr>
        <w:t>i</w:t>
      </w:r>
      <w:r w:rsidRPr="0058743F">
        <w:rPr>
          <w:rFonts w:eastAsia="Arial Unicode MS"/>
          <w:bdr w:val="nil"/>
        </w:rPr>
        <w:t xml:space="preserve">n these countries. Germany, Austria, Spain, Italy, France, Australia, and the Czech Republic constituted the </w:t>
      </w:r>
      <w:r>
        <w:rPr>
          <w:rFonts w:eastAsia="Arial Unicode MS"/>
          <w:bdr w:val="nil"/>
        </w:rPr>
        <w:t>c</w:t>
      </w:r>
      <w:r w:rsidRPr="0058743F">
        <w:rPr>
          <w:rFonts w:eastAsia="Arial Unicode MS"/>
          <w:bdr w:val="nil"/>
        </w:rPr>
        <w:t xml:space="preserve">hallengers. ING mainly offered retail direct-banking with strong savings franchises </w:t>
      </w:r>
      <w:r>
        <w:rPr>
          <w:rFonts w:eastAsia="Arial Unicode MS"/>
          <w:bdr w:val="nil"/>
        </w:rPr>
        <w:t>i</w:t>
      </w:r>
      <w:r w:rsidRPr="0058743F">
        <w:rPr>
          <w:rFonts w:eastAsia="Arial Unicode MS"/>
          <w:bdr w:val="nil"/>
        </w:rPr>
        <w:t xml:space="preserve">n </w:t>
      </w:r>
      <w:r>
        <w:rPr>
          <w:rFonts w:eastAsia="Arial Unicode MS"/>
          <w:bdr w:val="nil"/>
        </w:rPr>
        <w:t>these</w:t>
      </w:r>
      <w:r w:rsidRPr="0058743F">
        <w:rPr>
          <w:rFonts w:eastAsia="Arial Unicode MS"/>
          <w:bdr w:val="nil"/>
        </w:rPr>
        <w:t xml:space="preserve"> countries</w:t>
      </w:r>
      <w:r>
        <w:rPr>
          <w:rFonts w:eastAsia="Arial Unicode MS"/>
          <w:bdr w:val="nil"/>
        </w:rPr>
        <w:t xml:space="preserve"> </w:t>
      </w:r>
      <w:r w:rsidRPr="0058743F">
        <w:rPr>
          <w:rFonts w:eastAsia="Arial Unicode MS"/>
          <w:bdr w:val="nil"/>
        </w:rPr>
        <w:t xml:space="preserve">and </w:t>
      </w:r>
      <w:r>
        <w:rPr>
          <w:rFonts w:eastAsia="Arial Unicode MS"/>
          <w:bdr w:val="nil"/>
        </w:rPr>
        <w:t xml:space="preserve">showed </w:t>
      </w:r>
      <w:r w:rsidRPr="0058743F">
        <w:rPr>
          <w:rFonts w:eastAsia="Arial Unicode MS"/>
          <w:bdr w:val="nil"/>
        </w:rPr>
        <w:t xml:space="preserve">potential </w:t>
      </w:r>
      <w:r>
        <w:rPr>
          <w:rFonts w:eastAsia="Arial Unicode MS"/>
          <w:bdr w:val="nil"/>
        </w:rPr>
        <w:t>for</w:t>
      </w:r>
      <w:r w:rsidRPr="0058743F">
        <w:rPr>
          <w:rFonts w:eastAsia="Arial Unicode MS"/>
          <w:bdr w:val="nil"/>
        </w:rPr>
        <w:t xml:space="preserve"> growth in wholesale banking. In Poland, Turkey, Romania, and selected countries in Asia (the </w:t>
      </w:r>
      <w:r>
        <w:rPr>
          <w:rFonts w:eastAsia="Arial Unicode MS"/>
          <w:iCs/>
          <w:bdr w:val="nil"/>
        </w:rPr>
        <w:t>g</w:t>
      </w:r>
      <w:r w:rsidRPr="0058743F">
        <w:rPr>
          <w:rFonts w:eastAsia="Arial Unicode MS"/>
          <w:iCs/>
          <w:bdr w:val="nil"/>
        </w:rPr>
        <w:t xml:space="preserve">rowth </w:t>
      </w:r>
      <w:r>
        <w:rPr>
          <w:rFonts w:eastAsia="Arial Unicode MS"/>
          <w:iCs/>
          <w:bdr w:val="nil"/>
        </w:rPr>
        <w:t>m</w:t>
      </w:r>
      <w:r w:rsidRPr="0058743F">
        <w:rPr>
          <w:rFonts w:eastAsia="Arial Unicode MS"/>
          <w:iCs/>
          <w:bdr w:val="nil"/>
        </w:rPr>
        <w:t>arkets</w:t>
      </w:r>
      <w:r w:rsidRPr="0058743F">
        <w:rPr>
          <w:rFonts w:eastAsia="Arial Unicode MS"/>
          <w:bdr w:val="nil"/>
        </w:rPr>
        <w:t>), ING provided a full range of retail and wholesale banking services</w:t>
      </w:r>
      <w:r>
        <w:rPr>
          <w:rFonts w:eastAsia="Arial Unicode MS"/>
          <w:bdr w:val="nil"/>
        </w:rPr>
        <w:t>. Alt</w:t>
      </w:r>
      <w:r w:rsidRPr="0058743F">
        <w:rPr>
          <w:rFonts w:eastAsia="Arial Unicode MS"/>
          <w:bdr w:val="nil"/>
        </w:rPr>
        <w:t xml:space="preserve">hough </w:t>
      </w:r>
      <w:r>
        <w:rPr>
          <w:rFonts w:eastAsia="Arial Unicode MS"/>
          <w:bdr w:val="nil"/>
        </w:rPr>
        <w:t>the bank</w:t>
      </w:r>
      <w:r w:rsidRPr="0058743F">
        <w:rPr>
          <w:rFonts w:eastAsia="Arial Unicode MS"/>
          <w:bdr w:val="nil"/>
        </w:rPr>
        <w:t xml:space="preserve"> did not hold large shares of </w:t>
      </w:r>
      <w:r>
        <w:rPr>
          <w:rFonts w:eastAsia="Arial Unicode MS"/>
          <w:bdr w:val="nil"/>
        </w:rPr>
        <w:t>that</w:t>
      </w:r>
      <w:r w:rsidRPr="0058743F">
        <w:rPr>
          <w:rFonts w:eastAsia="Arial Unicode MS"/>
          <w:bdr w:val="nil"/>
        </w:rPr>
        <w:t xml:space="preserve"> market, its businesses were characterized by strong growth potential. ING only had wholesale banking activities</w:t>
      </w:r>
      <w:r w:rsidRPr="00801767">
        <w:rPr>
          <w:rFonts w:eastAsia="Arial Unicode MS"/>
          <w:bdr w:val="nil"/>
        </w:rPr>
        <w:t xml:space="preserve"> </w:t>
      </w:r>
      <w:r>
        <w:rPr>
          <w:rFonts w:eastAsia="Arial Unicode MS"/>
          <w:bdr w:val="nil"/>
        </w:rPr>
        <w:t>i</w:t>
      </w:r>
      <w:r w:rsidRPr="0058743F">
        <w:rPr>
          <w:rFonts w:eastAsia="Arial Unicode MS"/>
          <w:bdr w:val="nil"/>
        </w:rPr>
        <w:t xml:space="preserve">n </w:t>
      </w:r>
      <w:r>
        <w:rPr>
          <w:rFonts w:eastAsia="Arial Unicode MS"/>
          <w:bdr w:val="nil"/>
        </w:rPr>
        <w:t xml:space="preserve">the </w:t>
      </w:r>
      <w:r w:rsidRPr="0058743F">
        <w:rPr>
          <w:rFonts w:eastAsia="Arial Unicode MS"/>
          <w:bdr w:val="nil"/>
        </w:rPr>
        <w:t>other countries</w:t>
      </w:r>
      <w:r>
        <w:rPr>
          <w:rFonts w:eastAsia="Arial Unicode MS"/>
          <w:bdr w:val="nil"/>
        </w:rPr>
        <w:t xml:space="preserve"> where it had operations</w:t>
      </w:r>
      <w:r w:rsidRPr="0058743F">
        <w:rPr>
          <w:rFonts w:eastAsia="Arial Unicode MS"/>
          <w:bdr w:val="nil"/>
        </w:rPr>
        <w:t>.</w:t>
      </w:r>
      <w:r w:rsidRPr="007363D7">
        <w:rPr>
          <w:rStyle w:val="EndnoteReference"/>
          <w:rFonts w:eastAsia="Arial Unicode MS"/>
        </w:rPr>
        <w:endnoteReference w:id="5"/>
      </w:r>
    </w:p>
    <w:p w14:paraId="32FC99FA" w14:textId="77777777" w:rsidR="001061D6" w:rsidRPr="00D928D7" w:rsidRDefault="001061D6" w:rsidP="00D928D7">
      <w:pPr>
        <w:pStyle w:val="BodyTextMain"/>
        <w:rPr>
          <w:rFonts w:eastAsia="Arial Unicode MS"/>
        </w:rPr>
      </w:pPr>
    </w:p>
    <w:p w14:paraId="070CA392" w14:textId="767D2797" w:rsidR="001061D6" w:rsidRPr="0058743F" w:rsidRDefault="001061D6" w:rsidP="007363D7">
      <w:pPr>
        <w:pStyle w:val="BodyTextMain"/>
        <w:rPr>
          <w:bdr w:val="nil"/>
        </w:rPr>
      </w:pPr>
      <w:r w:rsidRPr="0058743F">
        <w:rPr>
          <w:rFonts w:eastAsia="Arial Unicode MS"/>
          <w:bdr w:val="nil"/>
        </w:rPr>
        <w:t>A</w:t>
      </w:r>
      <w:r>
        <w:rPr>
          <w:rFonts w:eastAsia="Arial Unicode MS"/>
          <w:bdr w:val="nil"/>
        </w:rPr>
        <w:t>ccording to its</w:t>
      </w:r>
      <w:r w:rsidRPr="0058743F">
        <w:rPr>
          <w:rFonts w:eastAsia="Arial Unicode MS"/>
          <w:bdr w:val="nil"/>
        </w:rPr>
        <w:t xml:space="preserve"> 2016 annual report, ING </w:t>
      </w:r>
      <w:r>
        <w:rPr>
          <w:rFonts w:eastAsia="Arial Unicode MS"/>
          <w:bdr w:val="nil"/>
        </w:rPr>
        <w:t>was committed to</w:t>
      </w:r>
      <w:r w:rsidRPr="0058743F">
        <w:rPr>
          <w:rFonts w:eastAsia="Arial Unicode MS"/>
          <w:bdr w:val="nil"/>
        </w:rPr>
        <w:t xml:space="preserve"> </w:t>
      </w:r>
      <w:r>
        <w:rPr>
          <w:rFonts w:eastAsia="Arial Unicode MS"/>
          <w:bdr w:val="nil"/>
        </w:rPr>
        <w:t xml:space="preserve">achieving </w:t>
      </w:r>
      <w:r w:rsidRPr="0058743F">
        <w:rPr>
          <w:rFonts w:eastAsia="Arial Unicode MS"/>
          <w:bdr w:val="nil"/>
        </w:rPr>
        <w:t>sustainable progress and empower</w:t>
      </w:r>
      <w:r>
        <w:rPr>
          <w:rFonts w:eastAsia="Arial Unicode MS"/>
          <w:bdr w:val="nil"/>
        </w:rPr>
        <w:t>ing its customers to make informed financial decisions. The bank</w:t>
      </w:r>
      <w:r w:rsidRPr="0058743F">
        <w:rPr>
          <w:rFonts w:eastAsia="Arial Unicode MS"/>
          <w:bdr w:val="nil"/>
        </w:rPr>
        <w:t xml:space="preserve"> defined its purpose as “empowering people to stay a step ahead in life and in business.” This purpose was embedded in </w:t>
      </w:r>
      <w:r>
        <w:rPr>
          <w:rFonts w:eastAsia="Arial Unicode MS"/>
          <w:bdr w:val="nil"/>
        </w:rPr>
        <w:t xml:space="preserve">four promises </w:t>
      </w:r>
      <w:r w:rsidRPr="0058743F">
        <w:rPr>
          <w:rFonts w:eastAsia="Arial Unicode MS"/>
          <w:bdr w:val="nil"/>
        </w:rPr>
        <w:t>ING</w:t>
      </w:r>
      <w:r>
        <w:rPr>
          <w:rFonts w:eastAsia="Arial Unicode MS"/>
          <w:bdr w:val="nil"/>
        </w:rPr>
        <w:t xml:space="preserve"> made to provide its </w:t>
      </w:r>
      <w:r w:rsidRPr="0058743F">
        <w:rPr>
          <w:rFonts w:eastAsia="Arial Unicode MS"/>
          <w:bdr w:val="nil"/>
        </w:rPr>
        <w:t>increasingly digital and self-directed customers</w:t>
      </w:r>
      <w:r>
        <w:rPr>
          <w:rFonts w:eastAsia="Arial Unicode MS"/>
          <w:bdr w:val="nil"/>
        </w:rPr>
        <w:t xml:space="preserve"> a differentiating experience: “</w:t>
      </w:r>
      <w:r w:rsidRPr="007363D7">
        <w:rPr>
          <w:rFonts w:eastAsiaTheme="minorHAnsi"/>
        </w:rPr>
        <w:t>to be clear and easy, with an anytime, anywhere service offering that empowers customers to make smart decisions</w:t>
      </w:r>
      <w:r>
        <w:rPr>
          <w:rFonts w:eastAsiaTheme="minorHAnsi"/>
        </w:rPr>
        <w:t>” and “</w:t>
      </w:r>
      <w:r w:rsidRPr="007363D7">
        <w:rPr>
          <w:rFonts w:eastAsiaTheme="minorHAnsi"/>
        </w:rPr>
        <w:t>to keep getting better.</w:t>
      </w:r>
      <w:r>
        <w:rPr>
          <w:rFonts w:eastAsia="Arial Unicode MS"/>
          <w:bdr w:val="nil"/>
        </w:rPr>
        <w:t>”</w:t>
      </w:r>
      <w:r>
        <w:rPr>
          <w:rStyle w:val="EndnoteReference"/>
          <w:rFonts w:eastAsia="Arial Unicode MS"/>
          <w:bdr w:val="nil"/>
        </w:rPr>
        <w:endnoteReference w:id="6"/>
      </w:r>
      <w:r>
        <w:rPr>
          <w:rFonts w:eastAsia="Arial Unicode MS"/>
          <w:bdr w:val="nil"/>
        </w:rPr>
        <w:t xml:space="preserve"> </w:t>
      </w:r>
      <w:r w:rsidRPr="007363D7">
        <w:rPr>
          <w:rFonts w:eastAsia="Arial Unicode MS" w:cs="Arial Unicode MS"/>
          <w:i/>
          <w:bdr w:val="nil"/>
        </w:rPr>
        <w:t>Clear and easy</w:t>
      </w:r>
      <w:r w:rsidRPr="0058743F">
        <w:rPr>
          <w:rFonts w:eastAsia="Arial Unicode MS" w:cs="Arial Unicode MS"/>
          <w:bdr w:val="nil"/>
        </w:rPr>
        <w:t xml:space="preserve"> </w:t>
      </w:r>
      <w:r>
        <w:rPr>
          <w:rFonts w:eastAsia="Arial Unicode MS" w:cs="Arial Unicode MS"/>
          <w:bdr w:val="nil"/>
        </w:rPr>
        <w:t xml:space="preserve">reflected the bank’s efforts to </w:t>
      </w:r>
      <w:r w:rsidRPr="0058743F">
        <w:rPr>
          <w:rFonts w:eastAsia="Arial Unicode MS" w:cs="Arial Unicode MS"/>
          <w:bdr w:val="nil"/>
        </w:rPr>
        <w:t>sav</w:t>
      </w:r>
      <w:r>
        <w:rPr>
          <w:rFonts w:eastAsia="Arial Unicode MS" w:cs="Arial Unicode MS"/>
          <w:bdr w:val="nil"/>
        </w:rPr>
        <w:t>e its clients</w:t>
      </w:r>
      <w:r w:rsidRPr="0058743F">
        <w:rPr>
          <w:rFonts w:eastAsia="Arial Unicode MS" w:cs="Arial Unicode MS"/>
          <w:bdr w:val="nil"/>
        </w:rPr>
        <w:t xml:space="preserve"> both time and money by providing clear products</w:t>
      </w:r>
      <w:r>
        <w:rPr>
          <w:rFonts w:eastAsia="Arial Unicode MS" w:cs="Arial Unicode MS"/>
          <w:bdr w:val="nil"/>
        </w:rPr>
        <w:t xml:space="preserve"> and</w:t>
      </w:r>
      <w:r w:rsidRPr="0058743F">
        <w:rPr>
          <w:rFonts w:eastAsia="Arial Unicode MS" w:cs="Arial Unicode MS"/>
          <w:bdr w:val="nil"/>
        </w:rPr>
        <w:t xml:space="preserve"> striving for plain language, fair pricing, and simple processes.</w:t>
      </w:r>
      <w:r>
        <w:rPr>
          <w:rFonts w:eastAsia="Arial Unicode MS" w:cs="Arial Unicode MS"/>
          <w:bdr w:val="nil"/>
        </w:rPr>
        <w:t xml:space="preserve"> </w:t>
      </w:r>
      <w:r w:rsidRPr="007363D7">
        <w:rPr>
          <w:rFonts w:eastAsia="Arial Unicode MS" w:cs="Arial Unicode MS"/>
          <w:i/>
          <w:bdr w:val="nil"/>
        </w:rPr>
        <w:t>Anytime, anywhere</w:t>
      </w:r>
      <w:r w:rsidRPr="0058743F">
        <w:rPr>
          <w:rFonts w:eastAsia="Arial Unicode MS" w:cs="Arial Unicode MS"/>
          <w:bdr w:val="nil"/>
        </w:rPr>
        <w:t xml:space="preserve"> represented ING</w:t>
      </w:r>
      <w:r>
        <w:rPr>
          <w:rFonts w:eastAsia="Arial Unicode MS" w:cs="Arial Unicode MS"/>
          <w:bdr w:val="nil"/>
        </w:rPr>
        <w:t>’s</w:t>
      </w:r>
      <w:r w:rsidRPr="0058743F">
        <w:rPr>
          <w:rFonts w:eastAsia="Arial Unicode MS" w:cs="Arial Unicode MS"/>
          <w:bdr w:val="nil"/>
        </w:rPr>
        <w:t xml:space="preserve"> work to get its services </w:t>
      </w:r>
      <w:r>
        <w:rPr>
          <w:rFonts w:eastAsia="Arial Unicode MS" w:cs="Arial Unicode MS"/>
          <w:bdr w:val="nil"/>
        </w:rPr>
        <w:t xml:space="preserve">to </w:t>
      </w:r>
      <w:r w:rsidRPr="0058743F">
        <w:rPr>
          <w:rFonts w:eastAsia="Arial Unicode MS" w:cs="Arial Unicode MS"/>
          <w:bdr w:val="nil"/>
        </w:rPr>
        <w:t xml:space="preserve">where </w:t>
      </w:r>
      <w:r>
        <w:rPr>
          <w:rFonts w:eastAsia="Arial Unicode MS" w:cs="Arial Unicode MS"/>
          <w:bdr w:val="nil"/>
        </w:rPr>
        <w:t>its</w:t>
      </w:r>
      <w:r w:rsidRPr="0058743F">
        <w:rPr>
          <w:rFonts w:eastAsia="Arial Unicode MS" w:cs="Arial Unicode MS"/>
          <w:bdr w:val="nil"/>
        </w:rPr>
        <w:t xml:space="preserve"> customers </w:t>
      </w:r>
      <w:r>
        <w:rPr>
          <w:rFonts w:eastAsia="Arial Unicode MS" w:cs="Arial Unicode MS"/>
          <w:bdr w:val="nil"/>
        </w:rPr>
        <w:t>were, giving them</w:t>
      </w:r>
      <w:r w:rsidRPr="0058743F">
        <w:rPr>
          <w:rFonts w:eastAsia="Arial Unicode MS" w:cs="Arial Unicode MS"/>
          <w:bdr w:val="nil"/>
        </w:rPr>
        <w:t xml:space="preserve"> the possibility </w:t>
      </w:r>
      <w:r>
        <w:rPr>
          <w:rFonts w:eastAsia="Arial Unicode MS" w:cs="Arial Unicode MS"/>
          <w:bdr w:val="nil"/>
        </w:rPr>
        <w:t>of</w:t>
      </w:r>
      <w:r w:rsidRPr="0058743F">
        <w:rPr>
          <w:rFonts w:eastAsia="Arial Unicode MS" w:cs="Arial Unicode MS"/>
          <w:bdr w:val="nil"/>
        </w:rPr>
        <w:t xml:space="preserve"> access</w:t>
      </w:r>
      <w:r>
        <w:rPr>
          <w:rFonts w:eastAsia="Arial Unicode MS" w:cs="Arial Unicode MS"/>
          <w:bdr w:val="nil"/>
        </w:rPr>
        <w:t>ing</w:t>
      </w:r>
      <w:r w:rsidRPr="0058743F">
        <w:rPr>
          <w:rFonts w:eastAsia="Arial Unicode MS" w:cs="Arial Unicode MS"/>
          <w:bdr w:val="nil"/>
        </w:rPr>
        <w:t xml:space="preserve"> banking service</w:t>
      </w:r>
      <w:r>
        <w:rPr>
          <w:rFonts w:eastAsia="Arial Unicode MS" w:cs="Arial Unicode MS"/>
          <w:bdr w:val="nil"/>
        </w:rPr>
        <w:t>s</w:t>
      </w:r>
      <w:r w:rsidRPr="0058743F">
        <w:rPr>
          <w:rFonts w:eastAsia="Arial Unicode MS" w:cs="Arial Unicode MS"/>
          <w:bdr w:val="nil"/>
        </w:rPr>
        <w:t xml:space="preserve"> at </w:t>
      </w:r>
      <w:r>
        <w:rPr>
          <w:rFonts w:eastAsia="Arial Unicode MS" w:cs="Arial Unicode MS"/>
          <w:bdr w:val="nil"/>
        </w:rPr>
        <w:t>their</w:t>
      </w:r>
      <w:r w:rsidRPr="0058743F">
        <w:rPr>
          <w:rFonts w:eastAsia="Arial Unicode MS" w:cs="Arial Unicode MS"/>
          <w:bdr w:val="nil"/>
        </w:rPr>
        <w:t xml:space="preserve"> convenience.</w:t>
      </w:r>
      <w:r>
        <w:rPr>
          <w:rFonts w:eastAsia="Arial Unicode MS" w:cs="Arial Unicode MS"/>
          <w:bdr w:val="nil"/>
        </w:rPr>
        <w:t xml:space="preserve"> </w:t>
      </w:r>
      <w:r w:rsidRPr="007363D7">
        <w:rPr>
          <w:rFonts w:eastAsia="Arial Unicode MS" w:cs="Arial Unicode MS"/>
          <w:i/>
          <w:bdr w:val="nil"/>
        </w:rPr>
        <w:t>Empowering</w:t>
      </w:r>
      <w:r w:rsidRPr="0058743F">
        <w:rPr>
          <w:rFonts w:eastAsia="Arial Unicode MS" w:cs="Arial Unicode MS"/>
          <w:bdr w:val="nil"/>
        </w:rPr>
        <w:t xml:space="preserve"> meant providing customers with relevant, up-to-date information about their choices and </w:t>
      </w:r>
      <w:r>
        <w:rPr>
          <w:rFonts w:eastAsia="Arial Unicode MS" w:cs="Arial Unicode MS"/>
          <w:bdr w:val="nil"/>
        </w:rPr>
        <w:t>related short- and long-term</w:t>
      </w:r>
      <w:r w:rsidRPr="0058743F">
        <w:rPr>
          <w:rFonts w:eastAsia="Arial Unicode MS" w:cs="Arial Unicode MS"/>
          <w:bdr w:val="nil"/>
        </w:rPr>
        <w:t xml:space="preserve"> implications. ING believed that the best financial decisions were informed decisions.</w:t>
      </w:r>
      <w:r>
        <w:rPr>
          <w:rFonts w:eastAsia="Arial Unicode MS" w:cs="Arial Unicode MS"/>
          <w:bdr w:val="nil"/>
        </w:rPr>
        <w:t xml:space="preserve"> </w:t>
      </w:r>
      <w:r w:rsidRPr="0058743F">
        <w:rPr>
          <w:rFonts w:eastAsia="Arial Unicode MS" w:cs="Arial Unicode MS"/>
          <w:bdr w:val="nil"/>
        </w:rPr>
        <w:t xml:space="preserve">And finally, </w:t>
      </w:r>
      <w:r w:rsidRPr="007363D7">
        <w:rPr>
          <w:rFonts w:eastAsia="Arial Unicode MS" w:cs="Arial Unicode MS"/>
          <w:i/>
          <w:bdr w:val="nil"/>
        </w:rPr>
        <w:t>keep getting better</w:t>
      </w:r>
      <w:r w:rsidRPr="0058743F">
        <w:rPr>
          <w:rFonts w:eastAsia="Arial Unicode MS" w:cs="Arial Unicode MS"/>
          <w:bdr w:val="nil"/>
        </w:rPr>
        <w:t xml:space="preserve"> corresponded to the </w:t>
      </w:r>
      <w:r>
        <w:rPr>
          <w:rFonts w:eastAsia="Arial Unicode MS" w:cs="Arial Unicode MS"/>
          <w:bdr w:val="nil"/>
        </w:rPr>
        <w:t>bank’s efforts</w:t>
      </w:r>
      <w:r w:rsidRPr="0058743F">
        <w:rPr>
          <w:rFonts w:eastAsia="Arial Unicode MS" w:cs="Arial Unicode MS"/>
          <w:bdr w:val="nil"/>
        </w:rPr>
        <w:t xml:space="preserve"> to </w:t>
      </w:r>
      <w:r>
        <w:rPr>
          <w:rFonts w:eastAsia="Arial Unicode MS" w:cs="Arial Unicode MS"/>
          <w:bdr w:val="nil"/>
        </w:rPr>
        <w:t>make its</w:t>
      </w:r>
      <w:r w:rsidRPr="0058743F">
        <w:rPr>
          <w:rFonts w:eastAsia="Arial Unicode MS" w:cs="Arial Unicode MS"/>
          <w:bdr w:val="nil"/>
        </w:rPr>
        <w:t xml:space="preserve"> customers</w:t>
      </w:r>
      <w:r>
        <w:rPr>
          <w:rFonts w:eastAsia="Arial Unicode MS" w:cs="Arial Unicode MS"/>
          <w:bdr w:val="nil"/>
        </w:rPr>
        <w:t>’ lives easier</w:t>
      </w:r>
      <w:r w:rsidRPr="0058743F">
        <w:rPr>
          <w:rFonts w:eastAsia="Arial Unicode MS" w:cs="Arial Unicode MS"/>
          <w:bdr w:val="nil"/>
        </w:rPr>
        <w:t xml:space="preserve"> with new ideas, solutions</w:t>
      </w:r>
      <w:r>
        <w:rPr>
          <w:rFonts w:eastAsia="Arial Unicode MS" w:cs="Arial Unicode MS"/>
          <w:bdr w:val="nil"/>
        </w:rPr>
        <w:t>,</w:t>
      </w:r>
      <w:r w:rsidRPr="0058743F">
        <w:rPr>
          <w:rFonts w:eastAsia="Arial Unicode MS" w:cs="Arial Unicode MS"/>
          <w:bdr w:val="nil"/>
        </w:rPr>
        <w:t xml:space="preserve"> and approaches. </w:t>
      </w:r>
      <w:r>
        <w:rPr>
          <w:rFonts w:eastAsia="Arial Unicode MS" w:cs="Arial Unicode MS"/>
          <w:bdr w:val="nil"/>
        </w:rPr>
        <w:t>With improvements</w:t>
      </w:r>
      <w:r w:rsidRPr="0058743F">
        <w:rPr>
          <w:rFonts w:eastAsia="Arial Unicode MS" w:cs="Arial Unicode MS"/>
          <w:bdr w:val="nil"/>
        </w:rPr>
        <w:t>, both ING and its customers could stay ahead.</w:t>
      </w:r>
    </w:p>
    <w:p w14:paraId="0AEBDF26" w14:textId="77777777" w:rsidR="001061D6" w:rsidRPr="00D928D7" w:rsidRDefault="001061D6" w:rsidP="00D928D7">
      <w:pPr>
        <w:pStyle w:val="BodyTextMain"/>
        <w:rPr>
          <w:rFonts w:eastAsia="Arial Unicode MS"/>
        </w:rPr>
      </w:pPr>
    </w:p>
    <w:p w14:paraId="15DC76BF" w14:textId="3A64B847" w:rsidR="001061D6" w:rsidRPr="00102EB2" w:rsidRDefault="001061D6" w:rsidP="007363D7">
      <w:pPr>
        <w:pStyle w:val="BodyTextMain"/>
        <w:rPr>
          <w:lang w:eastAsia="nl-NL"/>
        </w:rPr>
      </w:pPr>
      <w:r>
        <w:rPr>
          <w:rFonts w:eastAsia="Arial Unicode MS"/>
          <w:bdr w:val="nil"/>
        </w:rPr>
        <w:t xml:space="preserve">ING had a successful year in </w:t>
      </w:r>
      <w:r w:rsidRPr="0058743F">
        <w:rPr>
          <w:rFonts w:eastAsia="Arial Unicode MS"/>
          <w:bdr w:val="nil"/>
        </w:rPr>
        <w:t>2016</w:t>
      </w:r>
      <w:r>
        <w:rPr>
          <w:rFonts w:eastAsia="Arial Unicode MS"/>
          <w:bdr w:val="nil"/>
        </w:rPr>
        <w:t>, showing</w:t>
      </w:r>
      <w:r w:rsidRPr="0058743F">
        <w:rPr>
          <w:rFonts w:eastAsia="Arial Unicode MS"/>
          <w:bdr w:val="nil"/>
        </w:rPr>
        <w:t xml:space="preserve"> strong growth in customer numbers, savings, and lending. </w:t>
      </w:r>
      <w:r>
        <w:rPr>
          <w:rFonts w:eastAsia="Arial Unicode MS"/>
          <w:bdr w:val="nil"/>
        </w:rPr>
        <w:t xml:space="preserve">The bank was </w:t>
      </w:r>
      <w:r w:rsidRPr="0058743F">
        <w:rPr>
          <w:rFonts w:eastAsia="Arial Unicode MS"/>
          <w:bdr w:val="nil"/>
        </w:rPr>
        <w:t xml:space="preserve">also </w:t>
      </w:r>
      <w:r>
        <w:rPr>
          <w:rFonts w:eastAsia="Arial Unicode MS"/>
          <w:bdr w:val="nil"/>
        </w:rPr>
        <w:t>recognized</w:t>
      </w:r>
      <w:r w:rsidRPr="0058743F">
        <w:rPr>
          <w:rFonts w:eastAsia="Arial Unicode MS"/>
          <w:bdr w:val="nil"/>
        </w:rPr>
        <w:t xml:space="preserve"> by </w:t>
      </w:r>
      <w:r w:rsidRPr="007363D7">
        <w:rPr>
          <w:rFonts w:eastAsia="Arial Unicode MS"/>
          <w:i/>
          <w:bdr w:val="nil"/>
        </w:rPr>
        <w:t>The Banker</w:t>
      </w:r>
      <w:r w:rsidRPr="0058743F">
        <w:rPr>
          <w:rFonts w:eastAsia="Arial Unicode MS"/>
          <w:bdr w:val="nil"/>
        </w:rPr>
        <w:t xml:space="preserve"> as 2016’s global bank</w:t>
      </w:r>
      <w:r>
        <w:rPr>
          <w:rFonts w:eastAsia="Arial Unicode MS"/>
          <w:bdr w:val="nil"/>
        </w:rPr>
        <w:t xml:space="preserve"> of the year and bank of the year for </w:t>
      </w:r>
      <w:r w:rsidRPr="0058743F">
        <w:rPr>
          <w:rFonts w:eastAsia="Arial Unicode MS"/>
          <w:bdr w:val="nil"/>
        </w:rPr>
        <w:t>Western Europe, the Netherlands</w:t>
      </w:r>
      <w:r>
        <w:rPr>
          <w:rFonts w:eastAsia="Arial Unicode MS"/>
          <w:bdr w:val="nil"/>
        </w:rPr>
        <w:t>,</w:t>
      </w:r>
      <w:r w:rsidRPr="0058743F">
        <w:rPr>
          <w:rFonts w:eastAsia="Arial Unicode MS"/>
          <w:bdr w:val="nil"/>
        </w:rPr>
        <w:t xml:space="preserve"> </w:t>
      </w:r>
      <w:r>
        <w:rPr>
          <w:rFonts w:eastAsia="Arial Unicode MS"/>
          <w:bdr w:val="nil"/>
        </w:rPr>
        <w:t>and</w:t>
      </w:r>
      <w:r w:rsidRPr="0058743F">
        <w:rPr>
          <w:rFonts w:eastAsia="Arial Unicode MS"/>
          <w:bdr w:val="nil"/>
        </w:rPr>
        <w:t xml:space="preserve"> Belgium.</w:t>
      </w:r>
      <w:r>
        <w:rPr>
          <w:rFonts w:eastAsia="Arial Unicode MS"/>
          <w:bdr w:val="nil"/>
        </w:rPr>
        <w:t xml:space="preserve"> Since </w:t>
      </w:r>
      <w:proofErr w:type="spellStart"/>
      <w:r>
        <w:rPr>
          <w:rFonts w:eastAsia="Arial Unicode MS"/>
          <w:bdr w:val="nil"/>
        </w:rPr>
        <w:t>Hamers</w:t>
      </w:r>
      <w:proofErr w:type="spellEnd"/>
      <w:r>
        <w:rPr>
          <w:rFonts w:eastAsia="Arial Unicode MS"/>
          <w:bdr w:val="nil"/>
        </w:rPr>
        <w:t xml:space="preserve"> was appointed CEO and chairman on October 1, 2013, ING had been reporting increasingly positive results, which confirmed the bank’s sound competitive position in the market.</w:t>
      </w:r>
      <w:r w:rsidRPr="007363D7">
        <w:rPr>
          <w:rStyle w:val="EndnoteReference"/>
          <w:sz w:val="20"/>
          <w:szCs w:val="20"/>
        </w:rPr>
        <w:endnoteReference w:id="7"/>
      </w:r>
    </w:p>
    <w:p w14:paraId="45C42ADE" w14:textId="3D396094" w:rsidR="001061D6" w:rsidRPr="00D928D7" w:rsidRDefault="001061D6" w:rsidP="00D928D7">
      <w:pPr>
        <w:pStyle w:val="BodyTextMain"/>
      </w:pPr>
    </w:p>
    <w:p w14:paraId="5D3AD180" w14:textId="77777777" w:rsidR="001061D6" w:rsidRPr="00D928D7" w:rsidRDefault="001061D6" w:rsidP="00D928D7">
      <w:pPr>
        <w:pStyle w:val="BodyTextMain"/>
      </w:pPr>
    </w:p>
    <w:p w14:paraId="69FB4590" w14:textId="77777777" w:rsidR="001061D6" w:rsidRDefault="001061D6" w:rsidP="007363D7">
      <w:pPr>
        <w:pStyle w:val="Casehead2"/>
        <w:keepNext/>
        <w:rPr>
          <w:lang w:eastAsia="nl-NL"/>
        </w:rPr>
      </w:pPr>
      <w:r>
        <w:rPr>
          <w:lang w:eastAsia="nl-NL"/>
        </w:rPr>
        <w:t>ING’s Competitive Position</w:t>
      </w:r>
    </w:p>
    <w:p w14:paraId="4B920E3F" w14:textId="77777777" w:rsidR="001061D6" w:rsidRPr="00D928D7" w:rsidRDefault="001061D6" w:rsidP="00D928D7">
      <w:pPr>
        <w:pStyle w:val="BodyTextMain"/>
      </w:pPr>
    </w:p>
    <w:p w14:paraId="11AD6A4E" w14:textId="49D82054" w:rsidR="001061D6" w:rsidRDefault="001061D6" w:rsidP="007363D7">
      <w:pPr>
        <w:pStyle w:val="BodyTextMain"/>
        <w:rPr>
          <w:lang w:eastAsia="nl-NL"/>
        </w:rPr>
      </w:pPr>
      <w:r>
        <w:rPr>
          <w:lang w:eastAsia="nl-NL"/>
        </w:rPr>
        <w:t>One of ING’s key strengths was its branding: ING was a w</w:t>
      </w:r>
      <w:r w:rsidRPr="00102EB2">
        <w:rPr>
          <w:lang w:eastAsia="nl-NL"/>
        </w:rPr>
        <w:t>ell-known, strong brand with positive recognition from cust</w:t>
      </w:r>
      <w:r>
        <w:rPr>
          <w:lang w:eastAsia="nl-NL"/>
        </w:rPr>
        <w:t>omers across multiple countries. The bank also enjoyed</w:t>
      </w:r>
      <w:r w:rsidRPr="00102EB2">
        <w:rPr>
          <w:lang w:eastAsia="nl-NL"/>
        </w:rPr>
        <w:t xml:space="preserve"> </w:t>
      </w:r>
      <w:r>
        <w:rPr>
          <w:lang w:eastAsia="nl-NL"/>
        </w:rPr>
        <w:t xml:space="preserve">a </w:t>
      </w:r>
      <w:r w:rsidRPr="00102EB2">
        <w:rPr>
          <w:lang w:eastAsia="nl-NL"/>
        </w:rPr>
        <w:t>strong capital</w:t>
      </w:r>
      <w:r>
        <w:rPr>
          <w:lang w:eastAsia="nl-NL"/>
        </w:rPr>
        <w:t xml:space="preserve"> and liquidity position, and a</w:t>
      </w:r>
      <w:r w:rsidRPr="00102EB2">
        <w:rPr>
          <w:lang w:eastAsia="nl-NL"/>
        </w:rPr>
        <w:t xml:space="preserve"> solid fina</w:t>
      </w:r>
      <w:r>
        <w:rPr>
          <w:lang w:eastAsia="nl-NL"/>
        </w:rPr>
        <w:t>ncial and operating performance. The</w:t>
      </w:r>
      <w:r w:rsidRPr="00102EB2">
        <w:rPr>
          <w:lang w:eastAsia="nl-NL"/>
        </w:rPr>
        <w:t xml:space="preserve"> </w:t>
      </w:r>
      <w:proofErr w:type="spellStart"/>
      <w:r w:rsidRPr="00102EB2">
        <w:rPr>
          <w:lang w:eastAsia="nl-NL"/>
        </w:rPr>
        <w:t>omni</w:t>
      </w:r>
      <w:proofErr w:type="spellEnd"/>
      <w:r w:rsidRPr="00102EB2">
        <w:rPr>
          <w:lang w:eastAsia="nl-NL"/>
        </w:rPr>
        <w:t>-channel distribution strategy</w:t>
      </w:r>
      <w:r>
        <w:rPr>
          <w:lang w:eastAsia="nl-NL"/>
        </w:rPr>
        <w:t xml:space="preserve"> that ING had adopted years before had been successful in growing the number of customers. Moreover, ING had</w:t>
      </w:r>
      <w:r w:rsidRPr="00102EB2">
        <w:rPr>
          <w:lang w:eastAsia="nl-NL"/>
        </w:rPr>
        <w:t xml:space="preserve"> been one of the first traditional banks to invest </w:t>
      </w:r>
      <w:r>
        <w:rPr>
          <w:lang w:eastAsia="nl-NL"/>
        </w:rPr>
        <w:t>i</w:t>
      </w:r>
      <w:r w:rsidRPr="00102EB2">
        <w:rPr>
          <w:lang w:eastAsia="nl-NL"/>
        </w:rPr>
        <w:t>n digital platforms</w:t>
      </w:r>
      <w:r>
        <w:rPr>
          <w:lang w:eastAsia="nl-NL"/>
        </w:rPr>
        <w:t>, which proved to be</w:t>
      </w:r>
      <w:r w:rsidRPr="00102EB2">
        <w:rPr>
          <w:lang w:eastAsia="nl-NL"/>
        </w:rPr>
        <w:t xml:space="preserve"> </w:t>
      </w:r>
      <w:r>
        <w:rPr>
          <w:lang w:eastAsia="nl-NL"/>
        </w:rPr>
        <w:t>a significant advantage, with</w:t>
      </w:r>
      <w:r w:rsidRPr="00102EB2">
        <w:rPr>
          <w:lang w:eastAsia="nl-NL"/>
        </w:rPr>
        <w:t xml:space="preserve"> t</w:t>
      </w:r>
      <w:r>
        <w:rPr>
          <w:lang w:eastAsia="nl-NL"/>
        </w:rPr>
        <w:t>he bank acquiring</w:t>
      </w:r>
      <w:r w:rsidRPr="00102EB2">
        <w:rPr>
          <w:lang w:eastAsia="nl-NL"/>
        </w:rPr>
        <w:t xml:space="preserve"> precious experi</w:t>
      </w:r>
      <w:r>
        <w:rPr>
          <w:lang w:eastAsia="nl-NL"/>
        </w:rPr>
        <w:t xml:space="preserve">ence in the digital environment. </w:t>
      </w:r>
    </w:p>
    <w:p w14:paraId="44D3FC24" w14:textId="77777777" w:rsidR="001061D6" w:rsidRPr="00D928D7" w:rsidRDefault="001061D6" w:rsidP="00D928D7">
      <w:pPr>
        <w:pStyle w:val="BodyTextMain"/>
      </w:pPr>
    </w:p>
    <w:p w14:paraId="137CC7B3" w14:textId="44FE4F57" w:rsidR="001061D6" w:rsidRPr="00102EB2" w:rsidRDefault="001061D6" w:rsidP="007363D7">
      <w:pPr>
        <w:pStyle w:val="BodyTextMain"/>
        <w:rPr>
          <w:lang w:eastAsia="nl-NL"/>
        </w:rPr>
      </w:pPr>
      <w:r>
        <w:rPr>
          <w:lang w:eastAsia="nl-NL"/>
        </w:rPr>
        <w:t>A weakness for ING was its dependence on interest income. It</w:t>
      </w:r>
      <w:r w:rsidRPr="00102EB2">
        <w:rPr>
          <w:lang w:eastAsia="nl-NL"/>
        </w:rPr>
        <w:t xml:space="preserve"> need</w:t>
      </w:r>
      <w:r>
        <w:rPr>
          <w:lang w:eastAsia="nl-NL"/>
        </w:rPr>
        <w:t>ed</w:t>
      </w:r>
      <w:r w:rsidRPr="00102EB2">
        <w:rPr>
          <w:lang w:eastAsia="nl-NL"/>
        </w:rPr>
        <w:t xml:space="preserve"> more agility</w:t>
      </w:r>
      <w:r>
        <w:rPr>
          <w:lang w:eastAsia="nl-NL"/>
        </w:rPr>
        <w:t xml:space="preserve"> to compete in the new environment and</w:t>
      </w:r>
      <w:r w:rsidRPr="00102EB2">
        <w:rPr>
          <w:lang w:eastAsia="nl-NL"/>
        </w:rPr>
        <w:t xml:space="preserve"> </w:t>
      </w:r>
      <w:r>
        <w:rPr>
          <w:lang w:eastAsia="nl-NL"/>
        </w:rPr>
        <w:t xml:space="preserve">needed more </w:t>
      </w:r>
      <w:r w:rsidRPr="00102EB2">
        <w:rPr>
          <w:lang w:eastAsia="nl-NL"/>
        </w:rPr>
        <w:t>efficienc</w:t>
      </w:r>
      <w:r>
        <w:rPr>
          <w:lang w:eastAsia="nl-NL"/>
        </w:rPr>
        <w:t xml:space="preserve">ies to remain profitable in the future. The bank also faced </w:t>
      </w:r>
      <w:r w:rsidRPr="00102EB2">
        <w:rPr>
          <w:lang w:eastAsia="nl-NL"/>
        </w:rPr>
        <w:t xml:space="preserve">challenges </w:t>
      </w:r>
      <w:r>
        <w:rPr>
          <w:lang w:eastAsia="nl-NL"/>
        </w:rPr>
        <w:t xml:space="preserve">with </w:t>
      </w:r>
      <w:r w:rsidRPr="00102EB2">
        <w:rPr>
          <w:lang w:eastAsia="nl-NL"/>
        </w:rPr>
        <w:t xml:space="preserve">different market positions in the </w:t>
      </w:r>
      <w:r>
        <w:rPr>
          <w:lang w:eastAsia="nl-NL"/>
        </w:rPr>
        <w:t>various markets in which ING had</w:t>
      </w:r>
      <w:r w:rsidRPr="00102EB2">
        <w:rPr>
          <w:lang w:eastAsia="nl-NL"/>
        </w:rPr>
        <w:t xml:space="preserve"> opera</w:t>
      </w:r>
      <w:r>
        <w:rPr>
          <w:lang w:eastAsia="nl-NL"/>
        </w:rPr>
        <w:t>tions. Moreover, its global presence meant the bank had to deal with</w:t>
      </w:r>
      <w:r w:rsidRPr="00102EB2">
        <w:rPr>
          <w:lang w:eastAsia="nl-NL"/>
        </w:rPr>
        <w:t xml:space="preserve"> </w:t>
      </w:r>
      <w:r>
        <w:rPr>
          <w:lang w:eastAsia="nl-NL"/>
        </w:rPr>
        <w:t xml:space="preserve">varying customer needs </w:t>
      </w:r>
      <w:r w:rsidRPr="00102EB2">
        <w:rPr>
          <w:lang w:eastAsia="nl-NL"/>
        </w:rPr>
        <w:t>and regulatory environments</w:t>
      </w:r>
      <w:r>
        <w:rPr>
          <w:lang w:eastAsia="nl-NL"/>
        </w:rPr>
        <w:t>;</w:t>
      </w:r>
      <w:r w:rsidRPr="00102EB2">
        <w:rPr>
          <w:lang w:eastAsia="nl-NL"/>
        </w:rPr>
        <w:t xml:space="preserve"> adaptin</w:t>
      </w:r>
      <w:r>
        <w:rPr>
          <w:lang w:eastAsia="nl-NL"/>
        </w:rPr>
        <w:t>g</w:t>
      </w:r>
      <w:r w:rsidRPr="00102EB2">
        <w:rPr>
          <w:lang w:eastAsia="nl-NL"/>
        </w:rPr>
        <w:t xml:space="preserve"> to these </w:t>
      </w:r>
      <w:r>
        <w:rPr>
          <w:lang w:eastAsia="nl-NL"/>
        </w:rPr>
        <w:t>distinct</w:t>
      </w:r>
      <w:r w:rsidRPr="00102EB2">
        <w:rPr>
          <w:lang w:eastAsia="nl-NL"/>
        </w:rPr>
        <w:t xml:space="preserve"> environments </w:t>
      </w:r>
      <w:r>
        <w:rPr>
          <w:lang w:eastAsia="nl-NL"/>
        </w:rPr>
        <w:t xml:space="preserve">was still a costly element of ING’s operations. </w:t>
      </w:r>
    </w:p>
    <w:p w14:paraId="3505D09B" w14:textId="77777777" w:rsidR="001061D6" w:rsidRPr="00D928D7" w:rsidRDefault="001061D6" w:rsidP="00D928D7">
      <w:pPr>
        <w:pStyle w:val="BodyTextMain"/>
      </w:pPr>
    </w:p>
    <w:p w14:paraId="3B209516" w14:textId="7529D14E" w:rsidR="001061D6" w:rsidRDefault="001061D6" w:rsidP="007363D7">
      <w:pPr>
        <w:pStyle w:val="BodyTextMain"/>
        <w:rPr>
          <w:lang w:eastAsia="nl-NL"/>
        </w:rPr>
      </w:pPr>
      <w:r>
        <w:rPr>
          <w:lang w:eastAsia="nl-NL"/>
        </w:rPr>
        <w:t>Further</w:t>
      </w:r>
      <w:r w:rsidRPr="00102EB2">
        <w:rPr>
          <w:lang w:eastAsia="nl-NL"/>
        </w:rPr>
        <w:t xml:space="preserve"> improv</w:t>
      </w:r>
      <w:r>
        <w:rPr>
          <w:lang w:eastAsia="nl-NL"/>
        </w:rPr>
        <w:t xml:space="preserve">ing its customers’ experience would give ING the opportunity to </w:t>
      </w:r>
      <w:r w:rsidRPr="00102EB2">
        <w:rPr>
          <w:lang w:eastAsia="nl-NL"/>
        </w:rPr>
        <w:t>grow faster than the market</w:t>
      </w:r>
      <w:r>
        <w:rPr>
          <w:lang w:eastAsia="nl-NL"/>
        </w:rPr>
        <w:t>.</w:t>
      </w:r>
      <w:r w:rsidRPr="00102EB2">
        <w:rPr>
          <w:lang w:eastAsia="nl-NL"/>
        </w:rPr>
        <w:t xml:space="preserve"> </w:t>
      </w:r>
      <w:r>
        <w:rPr>
          <w:lang w:eastAsia="nl-NL"/>
        </w:rPr>
        <w:t xml:space="preserve">To </w:t>
      </w:r>
      <w:r w:rsidRPr="00102EB2">
        <w:rPr>
          <w:lang w:eastAsia="nl-NL"/>
        </w:rPr>
        <w:t>offer a diff</w:t>
      </w:r>
      <w:r>
        <w:rPr>
          <w:lang w:eastAsia="nl-NL"/>
        </w:rPr>
        <w:t>erentiating customer experience, the bank needed to leverage its</w:t>
      </w:r>
      <w:r w:rsidRPr="00102EB2">
        <w:rPr>
          <w:lang w:eastAsia="nl-NL"/>
        </w:rPr>
        <w:t xml:space="preserve"> scale </w:t>
      </w:r>
      <w:r>
        <w:rPr>
          <w:lang w:eastAsia="nl-NL"/>
        </w:rPr>
        <w:t xml:space="preserve">and early experience with digital platforms </w:t>
      </w:r>
      <w:r w:rsidRPr="00102EB2">
        <w:rPr>
          <w:lang w:eastAsia="nl-NL"/>
        </w:rPr>
        <w:t>to invest in new digital technologies.</w:t>
      </w:r>
      <w:r>
        <w:rPr>
          <w:lang w:eastAsia="nl-NL"/>
        </w:rPr>
        <w:t xml:space="preserve"> </w:t>
      </w:r>
    </w:p>
    <w:p w14:paraId="6C045178" w14:textId="77777777" w:rsidR="001061D6" w:rsidRDefault="001061D6" w:rsidP="007363D7">
      <w:pPr>
        <w:pStyle w:val="BodyTextMain"/>
        <w:rPr>
          <w:lang w:eastAsia="nl-NL"/>
        </w:rPr>
      </w:pPr>
    </w:p>
    <w:p w14:paraId="7CB658AF" w14:textId="798726CE" w:rsidR="001061D6" w:rsidRPr="00D928D7" w:rsidRDefault="001061D6" w:rsidP="007363D7">
      <w:pPr>
        <w:pStyle w:val="BodyTextMain"/>
        <w:rPr>
          <w:rFonts w:eastAsia="Arial Unicode MS" w:cs="Arial Unicode MS"/>
          <w:spacing w:val="-2"/>
          <w:kern w:val="22"/>
          <w:bdr w:val="nil"/>
        </w:rPr>
      </w:pPr>
      <w:r w:rsidRPr="00D928D7">
        <w:rPr>
          <w:spacing w:val="-2"/>
          <w:kern w:val="22"/>
          <w:lang w:eastAsia="nl-NL"/>
        </w:rPr>
        <w:t xml:space="preserve">A major threat was further disruption caused by digitization, which exposed the banks to cybercrimes. ING also faced growing competition from new entrants to the market, such as </w:t>
      </w:r>
      <w:proofErr w:type="spellStart"/>
      <w:r w:rsidRPr="00D928D7">
        <w:rPr>
          <w:spacing w:val="-2"/>
          <w:kern w:val="22"/>
          <w:lang w:eastAsia="nl-NL"/>
        </w:rPr>
        <w:t>fintech</w:t>
      </w:r>
      <w:proofErr w:type="spellEnd"/>
      <w:r w:rsidRPr="00D928D7">
        <w:rPr>
          <w:spacing w:val="-2"/>
          <w:kern w:val="22"/>
          <w:lang w:eastAsia="nl-NL"/>
        </w:rPr>
        <w:t xml:space="preserve"> companies. As well, the </w:t>
      </w:r>
      <w:r w:rsidRPr="00D928D7">
        <w:rPr>
          <w:spacing w:val="-2"/>
          <w:kern w:val="22"/>
          <w:lang w:eastAsia="nl-NL"/>
        </w:rPr>
        <w:lastRenderedPageBreak/>
        <w:t>financial sector generally had an unfavourable image in many countries, and the regulatory environment was becoming increasingly complex, heightening the execution risk. To resolve the latest capital requirements of the Basel Committee on Banking Supervision, the bank still needed to accumulate more capital.</w:t>
      </w:r>
      <w:r w:rsidRPr="00D928D7">
        <w:rPr>
          <w:rStyle w:val="EndnoteReference"/>
          <w:spacing w:val="-2"/>
          <w:kern w:val="22"/>
          <w:lang w:eastAsia="nl-NL"/>
        </w:rPr>
        <w:endnoteReference w:id="8"/>
      </w:r>
    </w:p>
    <w:p w14:paraId="7A752795" w14:textId="77777777" w:rsidR="001061D6" w:rsidRDefault="001061D6" w:rsidP="007363D7">
      <w:pPr>
        <w:pStyle w:val="BodyTextMain"/>
        <w:rPr>
          <w:rFonts w:eastAsia="Arial Unicode MS" w:cs="Arial Unicode MS"/>
          <w:bdr w:val="nil"/>
        </w:rPr>
      </w:pPr>
    </w:p>
    <w:p w14:paraId="7B7C82A0" w14:textId="50E89AD4" w:rsidR="001061D6" w:rsidRDefault="001061D6" w:rsidP="007363D7">
      <w:pPr>
        <w:pStyle w:val="BodyTextMain"/>
        <w:rPr>
          <w:rFonts w:eastAsia="Arial Unicode MS" w:cs="Arial Unicode MS"/>
          <w:bdr w:val="nil"/>
        </w:rPr>
      </w:pPr>
      <w:r>
        <w:rPr>
          <w:rFonts w:eastAsia="Arial Unicode MS" w:cs="Arial Unicode MS"/>
          <w:bdr w:val="nil"/>
        </w:rPr>
        <w:t xml:space="preserve">In an assessment of the competitive challenges lying ahead for ING, </w:t>
      </w:r>
      <w:proofErr w:type="spellStart"/>
      <w:r>
        <w:rPr>
          <w:rFonts w:eastAsia="Arial Unicode MS" w:cs="Arial Unicode MS"/>
          <w:bdr w:val="nil"/>
        </w:rPr>
        <w:t>Hamers</w:t>
      </w:r>
      <w:proofErr w:type="spellEnd"/>
      <w:r>
        <w:rPr>
          <w:rFonts w:eastAsia="Arial Unicode MS" w:cs="Arial Unicode MS"/>
          <w:bdr w:val="nil"/>
        </w:rPr>
        <w:t xml:space="preserve"> stated,</w:t>
      </w:r>
    </w:p>
    <w:p w14:paraId="72AC2BEF" w14:textId="77777777" w:rsidR="001061D6" w:rsidRDefault="001061D6" w:rsidP="007363D7">
      <w:pPr>
        <w:pStyle w:val="BodyTextMain"/>
        <w:rPr>
          <w:rFonts w:eastAsia="Arial Unicode MS" w:cs="Arial Unicode MS"/>
          <w:bdr w:val="nil"/>
        </w:rPr>
      </w:pPr>
    </w:p>
    <w:p w14:paraId="521E5ABF" w14:textId="0DB5FA28" w:rsidR="001061D6" w:rsidRDefault="001061D6" w:rsidP="007363D7">
      <w:pPr>
        <w:pStyle w:val="BodyTextMain"/>
        <w:ind w:left="720"/>
        <w:rPr>
          <w:rFonts w:eastAsia="Arial Unicode MS"/>
          <w:bdr w:val="nil"/>
        </w:rPr>
      </w:pPr>
      <w:r>
        <w:rPr>
          <w:rFonts w:eastAsia="Arial Unicode MS"/>
          <w:bdr w:val="nil"/>
        </w:rPr>
        <w:t>C</w:t>
      </w:r>
      <w:r w:rsidRPr="00A13684">
        <w:rPr>
          <w:rFonts w:eastAsia="Arial Unicode MS"/>
          <w:bdr w:val="nil"/>
        </w:rPr>
        <w:t xml:space="preserve">ustomers are increasingly digital and bank with us more and more through mobile devices. Their needs and expectations are the same, all over the world, and they expect us to adopt new technology as fast as companies in other sectors. In order to continue to lead in digital banking, we need to offer a better customer experience that’s instant, personal, frictionless and relevant. At the same time, banks are confronted with continuous regulatory burden and a prolonged period of ultra-low interest rates. These factors put pressure on the returns which are necessary to fund growth and investments, and </w:t>
      </w:r>
      <w:r>
        <w:rPr>
          <w:rFonts w:eastAsia="Arial Unicode MS"/>
          <w:bdr w:val="nil"/>
        </w:rPr>
        <w:t xml:space="preserve">[to] </w:t>
      </w:r>
      <w:r w:rsidRPr="00A13684">
        <w:rPr>
          <w:rFonts w:eastAsia="Arial Unicode MS"/>
          <w:bdr w:val="nil"/>
        </w:rPr>
        <w:t>cover our cost of capital.</w:t>
      </w:r>
      <w:r w:rsidRPr="00B844FD">
        <w:rPr>
          <w:rStyle w:val="EndnoteReference"/>
          <w:rFonts w:eastAsia="Arial Unicode MS"/>
          <w:color w:val="000000" w:themeColor="text1"/>
        </w:rPr>
        <w:endnoteReference w:id="9"/>
      </w:r>
    </w:p>
    <w:p w14:paraId="718C3304" w14:textId="77777777" w:rsidR="001061D6" w:rsidRPr="0058743F" w:rsidRDefault="001061D6" w:rsidP="007363D7">
      <w:pPr>
        <w:pStyle w:val="BodyTextMain"/>
        <w:rPr>
          <w:rFonts w:eastAsia="Arial Unicode MS"/>
          <w:bdr w:val="nil"/>
        </w:rPr>
      </w:pPr>
    </w:p>
    <w:p w14:paraId="2A8E144B" w14:textId="77777777" w:rsidR="001061D6" w:rsidRDefault="001061D6" w:rsidP="007363D7">
      <w:pPr>
        <w:pStyle w:val="BodyTextMain"/>
        <w:rPr>
          <w:rFonts w:eastAsia="Arial Unicode MS"/>
          <w:bdr w:val="nil"/>
        </w:rPr>
      </w:pPr>
    </w:p>
    <w:p w14:paraId="27AD5432" w14:textId="77777777" w:rsidR="001061D6" w:rsidRDefault="001061D6" w:rsidP="007363D7">
      <w:pPr>
        <w:pStyle w:val="Casehead1"/>
        <w:keepNext/>
        <w:outlineLvl w:val="0"/>
        <w:rPr>
          <w:rFonts w:eastAsia="Arial Unicode MS"/>
          <w:bdr w:val="nil"/>
        </w:rPr>
      </w:pPr>
      <w:r w:rsidRPr="0058743F">
        <w:rPr>
          <w:rFonts w:eastAsia="Arial Unicode MS"/>
          <w:bdr w:val="nil"/>
        </w:rPr>
        <w:t>DIGITAL DISRUPTION IN THE BANKING SECTOR</w:t>
      </w:r>
    </w:p>
    <w:p w14:paraId="3F83B890" w14:textId="77777777" w:rsidR="001061D6" w:rsidRPr="0058743F" w:rsidRDefault="001061D6" w:rsidP="007363D7">
      <w:pPr>
        <w:pStyle w:val="BodyTextMain"/>
        <w:keepNext/>
        <w:rPr>
          <w:rFonts w:eastAsia="Arial Unicode MS" w:cs="Arial Unicode MS"/>
          <w:bCs/>
          <w:color w:val="000000"/>
          <w:bdr w:val="nil"/>
        </w:rPr>
      </w:pPr>
    </w:p>
    <w:p w14:paraId="6259D980" w14:textId="0688A9BC" w:rsidR="001061D6" w:rsidRDefault="001061D6" w:rsidP="007363D7">
      <w:pPr>
        <w:pStyle w:val="BodyTextMain"/>
        <w:rPr>
          <w:rFonts w:eastAsia="Arial Unicode MS"/>
          <w:bdr w:val="nil"/>
        </w:rPr>
      </w:pPr>
      <w:r>
        <w:rPr>
          <w:rFonts w:eastAsia="Arial Unicode MS"/>
          <w:bdr w:val="nil"/>
        </w:rPr>
        <w:t>D</w:t>
      </w:r>
      <w:r w:rsidRPr="0058743F">
        <w:rPr>
          <w:rFonts w:eastAsia="Arial Unicode MS"/>
          <w:bdr w:val="nil"/>
        </w:rPr>
        <w:t xml:space="preserve">igital technology </w:t>
      </w:r>
      <w:r>
        <w:rPr>
          <w:rFonts w:eastAsia="Arial Unicode MS"/>
          <w:bdr w:val="nil"/>
        </w:rPr>
        <w:t xml:space="preserve">was affecting </w:t>
      </w:r>
      <w:r w:rsidRPr="0058743F">
        <w:rPr>
          <w:rFonts w:eastAsia="Arial Unicode MS"/>
          <w:bdr w:val="nil"/>
        </w:rPr>
        <w:t>all aspects of life</w:t>
      </w:r>
      <w:r>
        <w:rPr>
          <w:rFonts w:eastAsia="Arial Unicode MS"/>
          <w:bdr w:val="nil"/>
        </w:rPr>
        <w:t>, and digitization</w:t>
      </w:r>
      <w:r w:rsidRPr="0058743F">
        <w:rPr>
          <w:rFonts w:eastAsia="Arial Unicode MS"/>
          <w:i/>
          <w:iCs/>
          <w:bdr w:val="nil"/>
        </w:rPr>
        <w:t xml:space="preserve"> </w:t>
      </w:r>
      <w:r w:rsidRPr="0058743F">
        <w:rPr>
          <w:rFonts w:eastAsia="Arial Unicode MS"/>
          <w:bdr w:val="nil"/>
        </w:rPr>
        <w:t xml:space="preserve">was responsible for considerable large-scale changes in the business environment. It </w:t>
      </w:r>
      <w:r>
        <w:rPr>
          <w:rFonts w:eastAsia="Arial Unicode MS"/>
          <w:bdr w:val="nil"/>
        </w:rPr>
        <w:t>led to</w:t>
      </w:r>
      <w:r w:rsidRPr="0058743F">
        <w:rPr>
          <w:rFonts w:eastAsia="Arial Unicode MS"/>
          <w:bdr w:val="nil"/>
        </w:rPr>
        <w:t xml:space="preserve"> greater efficiency</w:t>
      </w:r>
      <w:r>
        <w:rPr>
          <w:rFonts w:eastAsia="Arial Unicode MS"/>
          <w:bdr w:val="nil"/>
        </w:rPr>
        <w:t xml:space="preserve"> and</w:t>
      </w:r>
      <w:r w:rsidRPr="0058743F">
        <w:rPr>
          <w:rFonts w:eastAsia="Arial Unicode MS"/>
          <w:bdr w:val="nil"/>
        </w:rPr>
        <w:t xml:space="preserve"> significant innovation </w:t>
      </w:r>
      <w:r>
        <w:rPr>
          <w:rFonts w:eastAsia="Arial Unicode MS"/>
          <w:bdr w:val="nil"/>
        </w:rPr>
        <w:t>as companies responded to the changes digitization made to</w:t>
      </w:r>
      <w:r w:rsidRPr="0058743F">
        <w:rPr>
          <w:rFonts w:eastAsia="Arial Unicode MS"/>
          <w:bdr w:val="nil"/>
        </w:rPr>
        <w:t xml:space="preserve"> the way companies operated and customers experienced products and services. </w:t>
      </w:r>
      <w:r>
        <w:rPr>
          <w:rFonts w:eastAsia="Arial Unicode MS"/>
          <w:bdr w:val="nil"/>
        </w:rPr>
        <w:t>C</w:t>
      </w:r>
      <w:r w:rsidRPr="0058743F">
        <w:rPr>
          <w:rFonts w:eastAsia="Arial Unicode MS"/>
          <w:bdr w:val="nil"/>
        </w:rPr>
        <w:t xml:space="preserve">ompanies were called to radically transform themselves to remain competitive. </w:t>
      </w:r>
      <w:r>
        <w:rPr>
          <w:rFonts w:eastAsia="Arial Unicode MS"/>
          <w:bdr w:val="nil"/>
        </w:rPr>
        <w:t>The</w:t>
      </w:r>
      <w:r w:rsidRPr="0058743F">
        <w:rPr>
          <w:rFonts w:eastAsia="Arial Unicode MS"/>
          <w:bdr w:val="nil"/>
        </w:rPr>
        <w:t xml:space="preserve"> </w:t>
      </w:r>
      <w:r>
        <w:rPr>
          <w:rFonts w:eastAsia="Arial Unicode MS"/>
          <w:bdr w:val="nil"/>
        </w:rPr>
        <w:t>d</w:t>
      </w:r>
      <w:r w:rsidRPr="0058743F">
        <w:rPr>
          <w:rFonts w:eastAsia="Arial Unicode MS"/>
          <w:bdr w:val="nil"/>
        </w:rPr>
        <w:t xml:space="preserve">igital </w:t>
      </w:r>
      <w:r>
        <w:rPr>
          <w:rFonts w:eastAsia="Arial Unicode MS"/>
          <w:bdr w:val="nil"/>
        </w:rPr>
        <w:t>t</w:t>
      </w:r>
      <w:r w:rsidRPr="0058743F">
        <w:rPr>
          <w:rFonts w:eastAsia="Arial Unicode MS"/>
          <w:bdr w:val="nil"/>
        </w:rPr>
        <w:t xml:space="preserve">ransformation </w:t>
      </w:r>
      <w:r>
        <w:rPr>
          <w:rFonts w:eastAsia="Arial Unicode MS"/>
          <w:bdr w:val="nil"/>
        </w:rPr>
        <w:t xml:space="preserve">project launched by </w:t>
      </w:r>
      <w:r w:rsidRPr="0058743F">
        <w:rPr>
          <w:rFonts w:eastAsia="Arial Unicode MS"/>
          <w:bdr w:val="nil"/>
        </w:rPr>
        <w:t>the World Economic Forum</w:t>
      </w:r>
      <w:r>
        <w:rPr>
          <w:rFonts w:eastAsia="Arial Unicode MS"/>
          <w:bdr w:val="nil"/>
        </w:rPr>
        <w:t xml:space="preserve"> reported,</w:t>
      </w:r>
    </w:p>
    <w:p w14:paraId="2D5F30C0" w14:textId="77777777" w:rsidR="001061D6" w:rsidRDefault="001061D6" w:rsidP="007363D7">
      <w:pPr>
        <w:pStyle w:val="BodyTextMain"/>
        <w:rPr>
          <w:rFonts w:eastAsia="Arial Unicode MS"/>
          <w:bdr w:val="nil"/>
        </w:rPr>
      </w:pPr>
    </w:p>
    <w:p w14:paraId="3B4C4135" w14:textId="022637FB" w:rsidR="001061D6" w:rsidRPr="0058743F" w:rsidRDefault="001061D6" w:rsidP="007363D7">
      <w:pPr>
        <w:pStyle w:val="BodyTextMain"/>
        <w:ind w:left="720"/>
        <w:rPr>
          <w:rFonts w:eastAsia="Arial Unicode MS"/>
          <w:bdr w:val="nil"/>
        </w:rPr>
      </w:pPr>
      <w:r>
        <w:rPr>
          <w:rFonts w:eastAsia="Arial Unicode MS"/>
          <w:bdr w:val="nil"/>
        </w:rPr>
        <w:t>B</w:t>
      </w:r>
      <w:r w:rsidRPr="0058743F">
        <w:rPr>
          <w:rFonts w:eastAsia="Arial Unicode MS"/>
          <w:bdr w:val="nil"/>
        </w:rPr>
        <w:t>ecoming a digital enterprise requires far more profound changes than merely investing in the latest digital technologies. Companies will need to search for new business models, fundamentally rethink their operating models, revamp how they attract and foster digital talent, and consider afresh how they measure the success of their business.</w:t>
      </w:r>
      <w:r w:rsidRPr="007363D7">
        <w:rPr>
          <w:rStyle w:val="EndnoteReference"/>
          <w:rFonts w:eastAsia="Arial Unicode MS"/>
          <w:sz w:val="20"/>
          <w:szCs w:val="20"/>
        </w:rPr>
        <w:endnoteReference w:id="10"/>
      </w:r>
    </w:p>
    <w:p w14:paraId="776E605F" w14:textId="77777777" w:rsidR="001061D6" w:rsidRPr="0058743F" w:rsidRDefault="001061D6" w:rsidP="007363D7">
      <w:pPr>
        <w:pStyle w:val="BodyTextMain"/>
        <w:rPr>
          <w:rFonts w:eastAsia="Arial Unicode MS"/>
          <w:bdr w:val="nil"/>
        </w:rPr>
      </w:pPr>
    </w:p>
    <w:p w14:paraId="60741FB6" w14:textId="60ABE6D7" w:rsidR="001061D6" w:rsidRPr="0058743F" w:rsidRDefault="001061D6" w:rsidP="007363D7">
      <w:pPr>
        <w:pStyle w:val="BodyTextMain"/>
        <w:rPr>
          <w:rFonts w:eastAsia="Arial Unicode MS"/>
          <w:bdr w:val="nil"/>
        </w:rPr>
      </w:pPr>
      <w:r w:rsidRPr="0058743F">
        <w:rPr>
          <w:rFonts w:eastAsia="Arial Unicode MS"/>
          <w:bdr w:val="nil"/>
        </w:rPr>
        <w:t>Accenture</w:t>
      </w:r>
      <w:r>
        <w:rPr>
          <w:rFonts w:eastAsia="Arial Unicode MS"/>
          <w:bdr w:val="nil"/>
        </w:rPr>
        <w:t xml:space="preserve"> highlighted</w:t>
      </w:r>
      <w:r w:rsidRPr="00AF57E8">
        <w:rPr>
          <w:rFonts w:eastAsia="Arial Unicode MS"/>
          <w:bdr w:val="nil"/>
        </w:rPr>
        <w:t xml:space="preserve"> </w:t>
      </w:r>
      <w:r>
        <w:rPr>
          <w:rFonts w:eastAsia="Arial Unicode MS"/>
          <w:bdr w:val="nil"/>
        </w:rPr>
        <w:t xml:space="preserve">that </w:t>
      </w:r>
      <w:r w:rsidRPr="0058743F">
        <w:rPr>
          <w:rFonts w:eastAsia="Arial Unicode MS"/>
          <w:bdr w:val="nil"/>
        </w:rPr>
        <w:t>digital disruption had been occurring at every single level in the banking industry</w:t>
      </w:r>
      <w:r>
        <w:rPr>
          <w:rFonts w:eastAsia="Arial Unicode MS"/>
          <w:bdr w:val="nil"/>
        </w:rPr>
        <w:t>,</w:t>
      </w:r>
      <w:r w:rsidRPr="0058743F">
        <w:rPr>
          <w:rFonts w:eastAsia="Arial Unicode MS"/>
          <w:bdr w:val="nil"/>
        </w:rPr>
        <w:t xml:space="preserve"> and the other major consultancy companies</w:t>
      </w:r>
      <w:r w:rsidRPr="005B4DBD">
        <w:rPr>
          <w:rFonts w:eastAsia="Arial Unicode MS"/>
          <w:bdr w:val="nil"/>
        </w:rPr>
        <w:t xml:space="preserve"> </w:t>
      </w:r>
      <w:r w:rsidRPr="0058743F">
        <w:rPr>
          <w:rFonts w:eastAsia="Arial Unicode MS"/>
          <w:bdr w:val="nil"/>
        </w:rPr>
        <w:t>corroborated</w:t>
      </w:r>
      <w:r>
        <w:rPr>
          <w:rFonts w:eastAsia="Arial Unicode MS"/>
          <w:bdr w:val="nil"/>
        </w:rPr>
        <w:t xml:space="preserve"> this.</w:t>
      </w:r>
      <w:r>
        <w:rPr>
          <w:rStyle w:val="EndnoteReference"/>
          <w:rFonts w:eastAsia="Arial Unicode MS"/>
          <w:bdr w:val="nil"/>
        </w:rPr>
        <w:endnoteReference w:id="11"/>
      </w:r>
      <w:r w:rsidRPr="0058743F">
        <w:rPr>
          <w:rFonts w:eastAsia="Arial Unicode MS"/>
          <w:bdr w:val="nil"/>
        </w:rPr>
        <w:t xml:space="preserve"> Customers had increased their expectations and changed the way they want</w:t>
      </w:r>
      <w:r>
        <w:rPr>
          <w:rFonts w:eastAsia="Arial Unicode MS"/>
          <w:bdr w:val="nil"/>
        </w:rPr>
        <w:t>ed</w:t>
      </w:r>
      <w:r w:rsidRPr="0058743F">
        <w:rPr>
          <w:rFonts w:eastAsia="Arial Unicode MS"/>
          <w:bdr w:val="nil"/>
        </w:rPr>
        <w:t xml:space="preserve"> to communicate with their banks and make use of their services. New digital technologies had given banks the opportunity to revolutionize their business models, creating digital platforms for their clients, introducing new products, and increasing their efficiency levels. New entrants characterized by their heavy reliance o</w:t>
      </w:r>
      <w:r>
        <w:rPr>
          <w:rFonts w:eastAsia="Arial Unicode MS"/>
          <w:bdr w:val="nil"/>
        </w:rPr>
        <w:t>n</w:t>
      </w:r>
      <w:r w:rsidRPr="0058743F">
        <w:rPr>
          <w:rFonts w:eastAsia="Arial Unicode MS"/>
          <w:bdr w:val="nil"/>
        </w:rPr>
        <w:t xml:space="preserve"> digital technologies—the </w:t>
      </w:r>
      <w:proofErr w:type="spellStart"/>
      <w:r w:rsidRPr="0058743F">
        <w:rPr>
          <w:rFonts w:eastAsia="Arial Unicode MS"/>
          <w:bdr w:val="nil"/>
        </w:rPr>
        <w:t>fintech</w:t>
      </w:r>
      <w:proofErr w:type="spellEnd"/>
      <w:r w:rsidRPr="0058743F">
        <w:rPr>
          <w:rFonts w:eastAsia="Arial Unicode MS"/>
          <w:bdr w:val="nil"/>
        </w:rPr>
        <w:t xml:space="preserve"> companies—had started offering financial services to their customers, representing a growing threat to the once secure revenue streams of traditional banks. According to Accenture estimates, by 2020</w:t>
      </w:r>
      <w:r>
        <w:rPr>
          <w:rFonts w:eastAsia="Arial Unicode MS"/>
          <w:bdr w:val="nil"/>
        </w:rPr>
        <w:t>,</w:t>
      </w:r>
      <w:r w:rsidRPr="0058743F">
        <w:rPr>
          <w:rFonts w:eastAsia="Arial Unicode MS"/>
          <w:bdr w:val="nil"/>
        </w:rPr>
        <w:t xml:space="preserve"> different business models would impact up to 80</w:t>
      </w:r>
      <w:r>
        <w:rPr>
          <w:rFonts w:eastAsia="Arial Unicode MS"/>
          <w:bdr w:val="nil"/>
        </w:rPr>
        <w:t xml:space="preserve"> per cent</w:t>
      </w:r>
      <w:r w:rsidRPr="0058743F">
        <w:rPr>
          <w:rFonts w:eastAsia="Arial Unicode MS"/>
          <w:bdr w:val="nil"/>
        </w:rPr>
        <w:t xml:space="preserve"> of the revenues the banking sector made in 2016.</w:t>
      </w:r>
      <w:r w:rsidRPr="007363D7">
        <w:rPr>
          <w:rStyle w:val="EndnoteReference"/>
          <w:rFonts w:eastAsia="Arial Unicode MS"/>
        </w:rPr>
        <w:endnoteReference w:id="12"/>
      </w:r>
    </w:p>
    <w:p w14:paraId="61F1650D" w14:textId="77777777" w:rsidR="001061D6" w:rsidRPr="0058743F" w:rsidRDefault="001061D6" w:rsidP="007363D7">
      <w:pPr>
        <w:pStyle w:val="BodyTextMain"/>
        <w:rPr>
          <w:rFonts w:eastAsia="Arial Unicode MS"/>
          <w:bdr w:val="nil"/>
        </w:rPr>
      </w:pPr>
    </w:p>
    <w:p w14:paraId="4D7DD05A" w14:textId="57AE5CC4" w:rsidR="001061D6" w:rsidRPr="00AF57E8" w:rsidRDefault="001061D6" w:rsidP="002B7515">
      <w:pPr>
        <w:pStyle w:val="BodyTextMain"/>
        <w:rPr>
          <w:rFonts w:eastAsia="Arial Unicode MS"/>
          <w:bdr w:val="nil"/>
        </w:rPr>
      </w:pPr>
      <w:r>
        <w:rPr>
          <w:rFonts w:eastAsia="Arial Unicode MS"/>
          <w:bdr w:val="nil"/>
        </w:rPr>
        <w:t>A</w:t>
      </w:r>
      <w:r w:rsidRPr="0058743F">
        <w:rPr>
          <w:rFonts w:eastAsia="Arial Unicode MS"/>
          <w:bdr w:val="nil"/>
        </w:rPr>
        <w:t>n analysis for the World Economic Forum</w:t>
      </w:r>
      <w:r>
        <w:rPr>
          <w:rFonts w:eastAsia="Arial Unicode MS"/>
          <w:bdr w:val="nil"/>
        </w:rPr>
        <w:t xml:space="preserve"> listed</w:t>
      </w:r>
      <w:r w:rsidRPr="0058743F">
        <w:rPr>
          <w:rFonts w:eastAsia="Arial Unicode MS"/>
          <w:bdr w:val="nil"/>
        </w:rPr>
        <w:t xml:space="preserve"> five key developments </w:t>
      </w:r>
      <w:r>
        <w:rPr>
          <w:rFonts w:eastAsia="Arial Unicode MS"/>
          <w:bdr w:val="nil"/>
        </w:rPr>
        <w:t xml:space="preserve">that </w:t>
      </w:r>
      <w:r w:rsidRPr="0058743F">
        <w:rPr>
          <w:rFonts w:eastAsia="Arial Unicode MS"/>
          <w:bdr w:val="nil"/>
        </w:rPr>
        <w:t>had contributed to the radical transformation of the banking sector:</w:t>
      </w:r>
      <w:r>
        <w:rPr>
          <w:rFonts w:eastAsia="Arial Unicode MS"/>
          <w:bdr w:val="nil"/>
        </w:rPr>
        <w:t xml:space="preserve"> </w:t>
      </w:r>
      <w:r w:rsidRPr="00AF57E8">
        <w:rPr>
          <w:rFonts w:eastAsia="Arial Unicode MS"/>
          <w:bdr w:val="nil"/>
        </w:rPr>
        <w:t>Consumers had lost their trust in the traditional banking system after the global financial crisis of 2008. Clients’ expectations were increasing as the clients became accustomed to faster and more convenient experiences, mainly as a result of the digital transformation. The millennials—an entirely new demographic—had different expectations and a stronger technological orientation than older segments of the population. Use of the mobile Internet was on the rise</w:t>
      </w:r>
      <w:r>
        <w:rPr>
          <w:rFonts w:eastAsia="Arial Unicode MS"/>
          <w:bdr w:val="nil"/>
        </w:rPr>
        <w:t>; c</w:t>
      </w:r>
      <w:r w:rsidRPr="00AF57E8">
        <w:rPr>
          <w:rFonts w:eastAsia="Arial Unicode MS"/>
          <w:bdr w:val="nil"/>
        </w:rPr>
        <w:t>onsumers were always connected and were widening the range of services they accessed through their smartphones. Generally, the financial sector was already tightly regulated, but several countries had further enhanced their regulations to protect consumers’ rights.</w:t>
      </w:r>
      <w:r w:rsidRPr="007363D7">
        <w:rPr>
          <w:rStyle w:val="EndnoteReference"/>
          <w:rFonts w:eastAsia="Arial Unicode MS"/>
        </w:rPr>
        <w:endnoteReference w:id="13"/>
      </w:r>
    </w:p>
    <w:p w14:paraId="6EAEDAD8" w14:textId="77777777" w:rsidR="001061D6" w:rsidRPr="0058743F" w:rsidRDefault="001061D6" w:rsidP="007363D7">
      <w:pPr>
        <w:pStyle w:val="BodyTextMain"/>
        <w:rPr>
          <w:rFonts w:eastAsia="Arial Unicode MS"/>
          <w:bdr w:val="nil"/>
        </w:rPr>
      </w:pPr>
    </w:p>
    <w:p w14:paraId="45E400A3" w14:textId="77777777" w:rsidR="00D928D7" w:rsidRPr="0058743F" w:rsidRDefault="00D928D7" w:rsidP="007363D7">
      <w:pPr>
        <w:pStyle w:val="BodyTextMain"/>
        <w:rPr>
          <w:rFonts w:eastAsia="Arial Unicode MS"/>
          <w:bdr w:val="nil"/>
        </w:rPr>
      </w:pPr>
    </w:p>
    <w:p w14:paraId="57A92CA5" w14:textId="5729B5E6" w:rsidR="001061D6" w:rsidRPr="0058743F" w:rsidRDefault="001061D6" w:rsidP="007363D7">
      <w:pPr>
        <w:pStyle w:val="Casehead2"/>
        <w:keepNext/>
        <w:rPr>
          <w:rFonts w:eastAsia="Arial Unicode MS"/>
          <w:bdr w:val="nil"/>
        </w:rPr>
      </w:pPr>
      <w:r w:rsidRPr="0058743F">
        <w:rPr>
          <w:rFonts w:eastAsia="Arial Unicode MS"/>
          <w:bdr w:val="nil"/>
        </w:rPr>
        <w:lastRenderedPageBreak/>
        <w:t>T</w:t>
      </w:r>
      <w:r>
        <w:rPr>
          <w:rFonts w:eastAsia="Arial Unicode MS"/>
          <w:bdr w:val="nil"/>
        </w:rPr>
        <w:t>he</w:t>
      </w:r>
      <w:r w:rsidRPr="0058743F">
        <w:rPr>
          <w:rFonts w:eastAsia="Arial Unicode MS"/>
          <w:bdr w:val="nil"/>
        </w:rPr>
        <w:t xml:space="preserve"> </w:t>
      </w:r>
      <w:r>
        <w:rPr>
          <w:rFonts w:eastAsia="Arial Unicode MS"/>
          <w:bdr w:val="nil"/>
        </w:rPr>
        <w:t>Rise of Fintech</w:t>
      </w:r>
    </w:p>
    <w:p w14:paraId="1022A464" w14:textId="77777777" w:rsidR="001061D6" w:rsidRPr="0058743F" w:rsidRDefault="001061D6" w:rsidP="007363D7">
      <w:pPr>
        <w:pStyle w:val="BodyTextMain"/>
        <w:keepNext/>
        <w:rPr>
          <w:bdr w:val="nil"/>
        </w:rPr>
      </w:pPr>
    </w:p>
    <w:p w14:paraId="006119F6" w14:textId="76342B91" w:rsidR="001061D6" w:rsidRDefault="001061D6" w:rsidP="007363D7">
      <w:pPr>
        <w:pStyle w:val="BodyTextMain"/>
        <w:rPr>
          <w:rFonts w:eastAsia="Arial Unicode MS"/>
          <w:bdr w:val="nil"/>
        </w:rPr>
      </w:pPr>
      <w:r w:rsidRPr="0058743F">
        <w:rPr>
          <w:rFonts w:eastAsia="Arial Unicode MS"/>
          <w:bdr w:val="nil"/>
        </w:rPr>
        <w:t xml:space="preserve">Numerous analyses </w:t>
      </w:r>
      <w:r>
        <w:rPr>
          <w:rFonts w:eastAsia="Arial Unicode MS"/>
          <w:bdr w:val="nil"/>
        </w:rPr>
        <w:t>indicated</w:t>
      </w:r>
      <w:r w:rsidRPr="0058743F">
        <w:rPr>
          <w:rFonts w:eastAsia="Arial Unicode MS"/>
          <w:bdr w:val="nil"/>
        </w:rPr>
        <w:t xml:space="preserve"> that one of the phenomena related to </w:t>
      </w:r>
      <w:r>
        <w:rPr>
          <w:rFonts w:eastAsia="Arial Unicode MS"/>
          <w:bdr w:val="nil"/>
        </w:rPr>
        <w:t>digitization</w:t>
      </w:r>
      <w:r w:rsidRPr="0058743F">
        <w:rPr>
          <w:rFonts w:eastAsia="Arial Unicode MS"/>
          <w:bdr w:val="nil"/>
        </w:rPr>
        <w:t xml:space="preserve"> in the financial services sector was the rise of </w:t>
      </w:r>
      <w:proofErr w:type="spellStart"/>
      <w:r w:rsidRPr="0058743F">
        <w:rPr>
          <w:rFonts w:eastAsia="Arial Unicode MS"/>
          <w:bdr w:val="nil"/>
        </w:rPr>
        <w:t>fintech</w:t>
      </w:r>
      <w:proofErr w:type="spellEnd"/>
      <w:r w:rsidRPr="0058743F">
        <w:rPr>
          <w:rFonts w:eastAsia="Arial Unicode MS"/>
          <w:bdr w:val="nil"/>
        </w:rPr>
        <w:t xml:space="preserve"> companies</w:t>
      </w:r>
      <w:r>
        <w:rPr>
          <w:rFonts w:eastAsia="Arial Unicode MS"/>
          <w:bdr w:val="nil"/>
        </w:rPr>
        <w:t>—</w:t>
      </w:r>
      <w:r w:rsidRPr="0058743F">
        <w:rPr>
          <w:rFonts w:eastAsia="Arial Unicode MS"/>
          <w:bdr w:val="nil"/>
        </w:rPr>
        <w:t xml:space="preserve">businesses </w:t>
      </w:r>
      <w:r>
        <w:rPr>
          <w:rFonts w:eastAsia="Arial Unicode MS"/>
          <w:bdr w:val="nil"/>
        </w:rPr>
        <w:t xml:space="preserve">that </w:t>
      </w:r>
      <w:r w:rsidRPr="0058743F">
        <w:rPr>
          <w:rFonts w:eastAsia="Arial Unicode MS"/>
          <w:bdr w:val="nil"/>
        </w:rPr>
        <w:t>offer</w:t>
      </w:r>
      <w:r>
        <w:rPr>
          <w:rFonts w:eastAsia="Arial Unicode MS"/>
          <w:bdr w:val="nil"/>
        </w:rPr>
        <w:t>ed</w:t>
      </w:r>
      <w:r w:rsidRPr="0058743F">
        <w:rPr>
          <w:rFonts w:eastAsia="Arial Unicode MS"/>
          <w:bdr w:val="nil"/>
        </w:rPr>
        <w:t xml:space="preserve"> financial services by making use of software and modern technology.</w:t>
      </w:r>
      <w:r>
        <w:rPr>
          <w:rStyle w:val="EndnoteReference"/>
          <w:rFonts w:eastAsia="Arial Unicode MS"/>
          <w:bdr w:val="nil"/>
        </w:rPr>
        <w:endnoteReference w:id="14"/>
      </w:r>
      <w:r w:rsidRPr="0058743F">
        <w:rPr>
          <w:rFonts w:eastAsia="Arial Unicode MS"/>
          <w:bdr w:val="nil"/>
        </w:rPr>
        <w:t xml:space="preserve"> </w:t>
      </w:r>
      <w:r>
        <w:rPr>
          <w:rFonts w:eastAsia="Arial Unicode MS"/>
          <w:bdr w:val="nil"/>
        </w:rPr>
        <w:t>They</w:t>
      </w:r>
      <w:r w:rsidRPr="0058743F">
        <w:rPr>
          <w:rFonts w:eastAsia="Arial Unicode MS"/>
          <w:bdr w:val="nil"/>
        </w:rPr>
        <w:t xml:space="preserve"> competed directly with banks in most areas of the financial sector. These companies realized that financial services of all kinds (money transfer</w:t>
      </w:r>
      <w:r>
        <w:rPr>
          <w:rFonts w:eastAsia="Arial Unicode MS"/>
          <w:bdr w:val="nil"/>
        </w:rPr>
        <w:t>s</w:t>
      </w:r>
      <w:r w:rsidRPr="0058743F">
        <w:rPr>
          <w:rFonts w:eastAsia="Arial Unicode MS"/>
          <w:bdr w:val="nil"/>
        </w:rPr>
        <w:t xml:space="preserve">, lending, investing, </w:t>
      </w:r>
      <w:r>
        <w:rPr>
          <w:rFonts w:eastAsia="Arial Unicode MS"/>
          <w:bdr w:val="nil"/>
        </w:rPr>
        <w:t xml:space="preserve">and </w:t>
      </w:r>
      <w:r w:rsidRPr="0058743F">
        <w:rPr>
          <w:rFonts w:eastAsia="Arial Unicode MS"/>
          <w:bdr w:val="nil"/>
        </w:rPr>
        <w:t xml:space="preserve">payments) </w:t>
      </w:r>
      <w:r>
        <w:rPr>
          <w:rFonts w:eastAsia="Arial Unicode MS"/>
          <w:bdr w:val="nil"/>
        </w:rPr>
        <w:t>were</w:t>
      </w:r>
      <w:r w:rsidRPr="0058743F">
        <w:rPr>
          <w:rFonts w:eastAsia="Arial Unicode MS"/>
          <w:bdr w:val="nil"/>
        </w:rPr>
        <w:t xml:space="preserve"> better </w:t>
      </w:r>
      <w:r>
        <w:rPr>
          <w:rFonts w:eastAsia="Arial Unicode MS"/>
          <w:bdr w:val="nil"/>
        </w:rPr>
        <w:t xml:space="preserve">when </w:t>
      </w:r>
      <w:r w:rsidRPr="0058743F">
        <w:rPr>
          <w:rFonts w:eastAsia="Arial Unicode MS"/>
          <w:bdr w:val="nil"/>
        </w:rPr>
        <w:t xml:space="preserve">integrated </w:t>
      </w:r>
      <w:r>
        <w:rPr>
          <w:rFonts w:eastAsia="Arial Unicode MS"/>
          <w:bdr w:val="nil"/>
        </w:rPr>
        <w:t>with</w:t>
      </w:r>
      <w:r w:rsidRPr="0058743F">
        <w:rPr>
          <w:rFonts w:eastAsia="Arial Unicode MS"/>
          <w:bdr w:val="nil"/>
        </w:rPr>
        <w:t xml:space="preserve"> the increasingly digitalized lives </w:t>
      </w:r>
      <w:r>
        <w:rPr>
          <w:rFonts w:eastAsia="Arial Unicode MS"/>
          <w:bdr w:val="nil"/>
        </w:rPr>
        <w:t xml:space="preserve">of </w:t>
      </w:r>
      <w:r w:rsidRPr="0058743F">
        <w:rPr>
          <w:rFonts w:eastAsia="Arial Unicode MS"/>
          <w:bdr w:val="nil"/>
        </w:rPr>
        <w:t xml:space="preserve">customers. </w:t>
      </w:r>
    </w:p>
    <w:p w14:paraId="797CA9EF" w14:textId="77777777" w:rsidR="001061D6" w:rsidRDefault="001061D6" w:rsidP="007363D7">
      <w:pPr>
        <w:pStyle w:val="BodyTextMain"/>
        <w:rPr>
          <w:rFonts w:eastAsia="Arial Unicode MS"/>
          <w:bdr w:val="nil"/>
        </w:rPr>
      </w:pPr>
    </w:p>
    <w:p w14:paraId="1C0939C4" w14:textId="4A7852E9" w:rsidR="001061D6" w:rsidRPr="00B844FD" w:rsidRDefault="001061D6" w:rsidP="007363D7">
      <w:pPr>
        <w:pStyle w:val="BodyTextMain"/>
        <w:rPr>
          <w:rFonts w:eastAsia="Arial Unicode MS"/>
          <w:spacing w:val="-2"/>
          <w:kern w:val="22"/>
          <w:bdr w:val="nil"/>
        </w:rPr>
      </w:pPr>
      <w:r w:rsidRPr="00B844FD">
        <w:rPr>
          <w:rFonts w:eastAsia="Arial Unicode MS"/>
          <w:spacing w:val="-2"/>
          <w:kern w:val="22"/>
          <w:bdr w:val="nil"/>
        </w:rPr>
        <w:t xml:space="preserve">The explosion of </w:t>
      </w:r>
      <w:proofErr w:type="spellStart"/>
      <w:r w:rsidRPr="00B844FD">
        <w:rPr>
          <w:rFonts w:eastAsia="Arial Unicode MS"/>
          <w:spacing w:val="-2"/>
          <w:kern w:val="22"/>
          <w:bdr w:val="nil"/>
        </w:rPr>
        <w:t>fintech</w:t>
      </w:r>
      <w:proofErr w:type="spellEnd"/>
      <w:r w:rsidRPr="00B844FD">
        <w:rPr>
          <w:rFonts w:eastAsia="Arial Unicode MS"/>
          <w:spacing w:val="-2"/>
          <w:kern w:val="22"/>
          <w:bdr w:val="nil"/>
        </w:rPr>
        <w:t xml:space="preserve"> companies was disrupting the banking industry, with the phenomenon mostly affecting American and European banks. A Citigroup report showed that investments in </w:t>
      </w:r>
      <w:proofErr w:type="spellStart"/>
      <w:r w:rsidRPr="00B844FD">
        <w:rPr>
          <w:rFonts w:eastAsia="Arial Unicode MS"/>
          <w:spacing w:val="-2"/>
          <w:kern w:val="22"/>
          <w:bdr w:val="nil"/>
        </w:rPr>
        <w:t>fintech</w:t>
      </w:r>
      <w:proofErr w:type="spellEnd"/>
      <w:r w:rsidRPr="00B844FD">
        <w:rPr>
          <w:rFonts w:eastAsia="Arial Unicode MS"/>
          <w:spacing w:val="-2"/>
          <w:kern w:val="22"/>
          <w:bdr w:val="nil"/>
        </w:rPr>
        <w:t xml:space="preserve"> companies had grown exponentially over the previous decade, from $1.8 billion in 2010 to $19 billion in 2015. The report predicted that the rise and development of </w:t>
      </w:r>
      <w:proofErr w:type="spellStart"/>
      <w:r w:rsidRPr="00B844FD">
        <w:rPr>
          <w:rFonts w:eastAsia="Arial Unicode MS"/>
          <w:spacing w:val="-2"/>
          <w:kern w:val="22"/>
          <w:bdr w:val="nil"/>
        </w:rPr>
        <w:t>fintech</w:t>
      </w:r>
      <w:proofErr w:type="spellEnd"/>
      <w:r w:rsidRPr="00B844FD">
        <w:rPr>
          <w:rFonts w:eastAsia="Arial Unicode MS"/>
          <w:spacing w:val="-2"/>
          <w:kern w:val="22"/>
          <w:bdr w:val="nil"/>
        </w:rPr>
        <w:t xml:space="preserve"> would soon bring the banking world to a tipping point.</w:t>
      </w:r>
      <w:r w:rsidRPr="00B844FD">
        <w:rPr>
          <w:rStyle w:val="EndnoteReference"/>
          <w:rFonts w:eastAsia="Arial Unicode MS"/>
          <w:spacing w:val="-2"/>
          <w:kern w:val="22"/>
        </w:rPr>
        <w:endnoteReference w:id="15"/>
      </w:r>
    </w:p>
    <w:p w14:paraId="28F9D8D7" w14:textId="77777777" w:rsidR="001061D6" w:rsidRPr="0058743F" w:rsidRDefault="001061D6" w:rsidP="007363D7">
      <w:pPr>
        <w:pStyle w:val="BodyTextMain"/>
        <w:rPr>
          <w:rFonts w:eastAsia="Arial Unicode MS"/>
          <w:bdr w:val="nil"/>
        </w:rPr>
      </w:pPr>
    </w:p>
    <w:p w14:paraId="239B6451" w14:textId="6B083556" w:rsidR="001061D6" w:rsidRPr="00B844FD" w:rsidRDefault="001061D6" w:rsidP="007363D7">
      <w:pPr>
        <w:pStyle w:val="BodyTextMain"/>
        <w:rPr>
          <w:rFonts w:eastAsia="Arial Unicode MS"/>
          <w:spacing w:val="-2"/>
          <w:kern w:val="22"/>
          <w:bdr w:val="nil"/>
        </w:rPr>
      </w:pPr>
      <w:r w:rsidRPr="00B844FD">
        <w:rPr>
          <w:rFonts w:eastAsia="Arial Unicode MS"/>
          <w:spacing w:val="-2"/>
          <w:kern w:val="22"/>
          <w:bdr w:val="nil"/>
        </w:rPr>
        <w:t>The majority of investments in financial technology were being made to facilitate payments, such as those required for online invoicing and purchases.</w:t>
      </w:r>
      <w:r w:rsidRPr="00B844FD">
        <w:rPr>
          <w:rStyle w:val="EndnoteReference"/>
          <w:rFonts w:eastAsia="Arial Unicode MS" w:cs="Arial Unicode MS"/>
          <w:spacing w:val="-2"/>
          <w:kern w:val="22"/>
          <w:bdr w:val="nil"/>
        </w:rPr>
        <w:endnoteReference w:id="16"/>
      </w:r>
      <w:r w:rsidRPr="00B844FD">
        <w:rPr>
          <w:rFonts w:eastAsia="Arial Unicode MS"/>
          <w:spacing w:val="-2"/>
          <w:kern w:val="22"/>
          <w:bdr w:val="nil"/>
        </w:rPr>
        <w:t xml:space="preserve"> Online services with payment options and mobile phones with direct money transfer functions were only some of the digital options that were offered to consumers. The result was that fewer customers were likely to walk into a bank for financial services and fewer employees would be required. Citigroup predicted that up to 30 per cent of employees in banks across Europe and the United States could lose their jobs by 2025, primarily as a result of the automation of retail banking.</w:t>
      </w:r>
      <w:r w:rsidRPr="00B844FD">
        <w:rPr>
          <w:rStyle w:val="EndnoteReference"/>
          <w:rFonts w:eastAsia="Arial Unicode MS" w:cs="Arial Unicode MS"/>
          <w:spacing w:val="-2"/>
          <w:kern w:val="22"/>
          <w:bdr w:val="nil"/>
        </w:rPr>
        <w:endnoteReference w:id="17"/>
      </w:r>
    </w:p>
    <w:p w14:paraId="09EC4273" w14:textId="77777777" w:rsidR="001061D6" w:rsidRDefault="001061D6" w:rsidP="007363D7">
      <w:pPr>
        <w:pStyle w:val="BodyTextMain"/>
        <w:rPr>
          <w:rFonts w:eastAsia="Arial Unicode MS"/>
          <w:bdr w:val="nil"/>
        </w:rPr>
      </w:pPr>
    </w:p>
    <w:p w14:paraId="14007245" w14:textId="0CFE8372" w:rsidR="001061D6" w:rsidRPr="0058743F" w:rsidRDefault="001061D6" w:rsidP="007363D7">
      <w:pPr>
        <w:pStyle w:val="BodyTextMain"/>
        <w:rPr>
          <w:bdr w:val="nil"/>
        </w:rPr>
      </w:pPr>
      <w:r>
        <w:rPr>
          <w:rFonts w:eastAsia="Arial Unicode MS"/>
          <w:bdr w:val="nil"/>
        </w:rPr>
        <w:t>T</w:t>
      </w:r>
      <w:r w:rsidRPr="0058743F">
        <w:rPr>
          <w:rFonts w:eastAsia="Arial Unicode MS"/>
          <w:bdr w:val="nil"/>
        </w:rPr>
        <w:t>raditional banks still had the advantage of scale</w:t>
      </w:r>
      <w:r>
        <w:rPr>
          <w:rFonts w:eastAsia="Arial Unicode MS"/>
          <w:bdr w:val="nil"/>
        </w:rPr>
        <w:t>; however, only about</w:t>
      </w:r>
      <w:r w:rsidRPr="0058743F">
        <w:rPr>
          <w:rFonts w:eastAsia="Arial Unicode MS"/>
          <w:bdr w:val="nil"/>
        </w:rPr>
        <w:t xml:space="preserve"> </w:t>
      </w:r>
      <w:r>
        <w:rPr>
          <w:rFonts w:eastAsia="Arial Unicode MS"/>
          <w:bdr w:val="nil"/>
        </w:rPr>
        <w:t>1 per cent</w:t>
      </w:r>
      <w:r w:rsidRPr="0058743F">
        <w:rPr>
          <w:rFonts w:eastAsia="Arial Unicode MS"/>
          <w:bdr w:val="nil"/>
        </w:rPr>
        <w:t xml:space="preserve"> of North American consumer banking revenues had moved to new digital models by 2017</w:t>
      </w:r>
      <w:r>
        <w:rPr>
          <w:rFonts w:eastAsia="Arial Unicode MS"/>
          <w:bdr w:val="nil"/>
        </w:rPr>
        <w:t xml:space="preserve">, and </w:t>
      </w:r>
      <w:r w:rsidRPr="0058743F">
        <w:rPr>
          <w:rFonts w:eastAsia="Arial Unicode MS"/>
          <w:bdr w:val="nil"/>
        </w:rPr>
        <w:t xml:space="preserve">this percentage was likely to grow exponentially. </w:t>
      </w:r>
      <w:r>
        <w:rPr>
          <w:rFonts w:eastAsia="Arial Unicode MS"/>
          <w:bdr w:val="nil"/>
        </w:rPr>
        <w:t>F</w:t>
      </w:r>
      <w:r w:rsidRPr="0058743F">
        <w:rPr>
          <w:rFonts w:eastAsia="Arial Unicode MS"/>
          <w:bdr w:val="nil"/>
        </w:rPr>
        <w:t>intech companies had already gained considerable market shares</w:t>
      </w:r>
      <w:r>
        <w:rPr>
          <w:rFonts w:eastAsia="Arial Unicode MS"/>
          <w:bdr w:val="nil"/>
        </w:rPr>
        <w:t xml:space="preserve"> beyond the United States</w:t>
      </w:r>
      <w:r w:rsidRPr="0058743F">
        <w:rPr>
          <w:rFonts w:eastAsia="Arial Unicode MS"/>
          <w:bdr w:val="nil"/>
        </w:rPr>
        <w:t>. For example</w:t>
      </w:r>
      <w:r>
        <w:rPr>
          <w:rFonts w:eastAsia="Arial Unicode MS"/>
          <w:bdr w:val="nil"/>
        </w:rPr>
        <w:t>,</w:t>
      </w:r>
      <w:r w:rsidRPr="0058743F">
        <w:rPr>
          <w:rFonts w:eastAsia="Arial Unicode MS"/>
          <w:bdr w:val="nil"/>
        </w:rPr>
        <w:t xml:space="preserve"> in China, </w:t>
      </w:r>
      <w:r>
        <w:rPr>
          <w:rFonts w:eastAsia="Arial Unicode MS"/>
          <w:bdr w:val="nil"/>
        </w:rPr>
        <w:t>I</w:t>
      </w:r>
      <w:r w:rsidRPr="0058743F">
        <w:rPr>
          <w:rFonts w:eastAsia="Arial Unicode MS"/>
          <w:bdr w:val="nil"/>
        </w:rPr>
        <w:t xml:space="preserve">nternet giants moved very early into financial services and gained significant market shares in e-commerce as well as </w:t>
      </w:r>
      <w:r>
        <w:rPr>
          <w:rFonts w:eastAsia="Arial Unicode MS"/>
          <w:bdr w:val="nil"/>
        </w:rPr>
        <w:t xml:space="preserve">in </w:t>
      </w:r>
      <w:r w:rsidRPr="0058743F">
        <w:rPr>
          <w:rFonts w:eastAsia="Arial Unicode MS"/>
          <w:bdr w:val="nil"/>
        </w:rPr>
        <w:t>third-party payments. Building on the extensive knowledge acquired in the digital world, these companies were able to rapidly create convenient, quick, and cost-efficient alternatives to traditional bank payments.</w:t>
      </w:r>
      <w:r w:rsidRPr="007363D7">
        <w:rPr>
          <w:rStyle w:val="EndnoteReference"/>
          <w:rFonts w:eastAsia="Arial Unicode MS"/>
          <w:sz w:val="20"/>
          <w:szCs w:val="20"/>
        </w:rPr>
        <w:endnoteReference w:id="18"/>
      </w:r>
    </w:p>
    <w:p w14:paraId="702C8373" w14:textId="77777777" w:rsidR="001061D6" w:rsidRPr="0058743F" w:rsidRDefault="001061D6" w:rsidP="007363D7">
      <w:pPr>
        <w:pStyle w:val="BodyTextMain"/>
        <w:rPr>
          <w:rFonts w:eastAsia="Arial Unicode MS"/>
          <w:bdr w:val="nil"/>
        </w:rPr>
      </w:pPr>
    </w:p>
    <w:p w14:paraId="76BBD06E" w14:textId="28D1C6BF" w:rsidR="001061D6" w:rsidRPr="0058743F" w:rsidRDefault="001061D6" w:rsidP="007363D7">
      <w:pPr>
        <w:pStyle w:val="BodyTextMain"/>
        <w:rPr>
          <w:rFonts w:eastAsia="Arial Unicode MS"/>
          <w:bdr w:val="nil"/>
        </w:rPr>
      </w:pPr>
      <w:r>
        <w:rPr>
          <w:rFonts w:eastAsia="Arial Unicode MS"/>
          <w:bdr w:val="nil"/>
        </w:rPr>
        <w:t>Although</w:t>
      </w:r>
      <w:r w:rsidRPr="0058743F">
        <w:rPr>
          <w:rFonts w:eastAsia="Arial Unicode MS"/>
          <w:bdr w:val="nil"/>
        </w:rPr>
        <w:t xml:space="preserve"> the financial industry was </w:t>
      </w:r>
      <w:r>
        <w:rPr>
          <w:rFonts w:eastAsia="Arial Unicode MS"/>
          <w:bdr w:val="nil"/>
        </w:rPr>
        <w:t>generally known</w:t>
      </w:r>
      <w:r w:rsidRPr="0058743F">
        <w:rPr>
          <w:rFonts w:eastAsia="Arial Unicode MS"/>
          <w:bdr w:val="nil"/>
        </w:rPr>
        <w:t xml:space="preserve"> for its relatively tight regulations, variations </w:t>
      </w:r>
      <w:r>
        <w:rPr>
          <w:rFonts w:eastAsia="Arial Unicode MS"/>
          <w:bdr w:val="nil"/>
        </w:rPr>
        <w:t xml:space="preserve">did </w:t>
      </w:r>
      <w:r w:rsidRPr="0058743F">
        <w:rPr>
          <w:rFonts w:eastAsia="Arial Unicode MS"/>
          <w:bdr w:val="nil"/>
        </w:rPr>
        <w:t>occur from country to country</w:t>
      </w:r>
      <w:r>
        <w:rPr>
          <w:rFonts w:eastAsia="Arial Unicode MS"/>
          <w:bdr w:val="nil"/>
        </w:rPr>
        <w:t xml:space="preserve">, and the same was true </w:t>
      </w:r>
      <w:r w:rsidR="00BE6B16">
        <w:rPr>
          <w:rFonts w:eastAsia="Arial Unicode MS"/>
          <w:bdr w:val="nil"/>
        </w:rPr>
        <w:t>of</w:t>
      </w:r>
      <w:r w:rsidRPr="0058743F">
        <w:rPr>
          <w:rFonts w:eastAsia="Arial Unicode MS"/>
          <w:bdr w:val="nil"/>
        </w:rPr>
        <w:t xml:space="preserve"> </w:t>
      </w:r>
      <w:r>
        <w:rPr>
          <w:rFonts w:eastAsia="Arial Unicode MS"/>
          <w:bdr w:val="nil"/>
        </w:rPr>
        <w:t>the</w:t>
      </w:r>
      <w:r w:rsidRPr="0058743F">
        <w:rPr>
          <w:rFonts w:eastAsia="Arial Unicode MS"/>
          <w:bdr w:val="nil"/>
        </w:rPr>
        <w:t xml:space="preserve"> regulators</w:t>
      </w:r>
      <w:r>
        <w:rPr>
          <w:rFonts w:eastAsia="Arial Unicode MS"/>
          <w:bdr w:val="nil"/>
        </w:rPr>
        <w:t>’</w:t>
      </w:r>
      <w:r w:rsidRPr="0058743F">
        <w:rPr>
          <w:rFonts w:eastAsia="Arial Unicode MS"/>
          <w:bdr w:val="nil"/>
        </w:rPr>
        <w:t xml:space="preserve"> respon</w:t>
      </w:r>
      <w:r>
        <w:rPr>
          <w:rFonts w:eastAsia="Arial Unicode MS"/>
          <w:bdr w:val="nil"/>
        </w:rPr>
        <w:t>s</w:t>
      </w:r>
      <w:r w:rsidRPr="0058743F">
        <w:rPr>
          <w:rFonts w:eastAsia="Arial Unicode MS"/>
          <w:bdr w:val="nil"/>
        </w:rPr>
        <w:t>e</w:t>
      </w:r>
      <w:r>
        <w:rPr>
          <w:rFonts w:eastAsia="Arial Unicode MS"/>
          <w:bdr w:val="nil"/>
        </w:rPr>
        <w:t>s</w:t>
      </w:r>
      <w:r w:rsidRPr="0058743F">
        <w:rPr>
          <w:rFonts w:eastAsia="Arial Unicode MS"/>
          <w:bdr w:val="nil"/>
        </w:rPr>
        <w:t xml:space="preserve"> to the rise and growth of </w:t>
      </w:r>
      <w:proofErr w:type="spellStart"/>
      <w:r>
        <w:rPr>
          <w:rFonts w:eastAsia="Arial Unicode MS"/>
          <w:bdr w:val="nil"/>
        </w:rPr>
        <w:t>fintech</w:t>
      </w:r>
      <w:proofErr w:type="spellEnd"/>
      <w:r w:rsidRPr="0058743F">
        <w:rPr>
          <w:rFonts w:eastAsia="Arial Unicode MS"/>
          <w:bdr w:val="nil"/>
        </w:rPr>
        <w:t>. For instance, in the U</w:t>
      </w:r>
      <w:r>
        <w:rPr>
          <w:rFonts w:eastAsia="Arial Unicode MS"/>
          <w:bdr w:val="nil"/>
        </w:rPr>
        <w:t xml:space="preserve">nited </w:t>
      </w:r>
      <w:r w:rsidRPr="0058743F">
        <w:rPr>
          <w:rFonts w:eastAsia="Arial Unicode MS"/>
          <w:bdr w:val="nil"/>
        </w:rPr>
        <w:t>K</w:t>
      </w:r>
      <w:r>
        <w:rPr>
          <w:rFonts w:eastAsia="Arial Unicode MS"/>
          <w:bdr w:val="nil"/>
        </w:rPr>
        <w:t>ingdom,</w:t>
      </w:r>
      <w:r w:rsidRPr="0058743F">
        <w:rPr>
          <w:rFonts w:eastAsia="Arial Unicode MS"/>
          <w:bdr w:val="nil"/>
        </w:rPr>
        <w:t xml:space="preserve"> the Financial Conduct Authority (FCA) launched Project Innovate in 2014 to work with innovative businesses in regulated sectors. The same approach was followed by Singapore and Australia. </w:t>
      </w:r>
      <w:r>
        <w:rPr>
          <w:rFonts w:eastAsia="Arial Unicode MS"/>
          <w:bdr w:val="nil"/>
        </w:rPr>
        <w:t>However</w:t>
      </w:r>
      <w:r w:rsidRPr="0058743F">
        <w:rPr>
          <w:rFonts w:eastAsia="Arial Unicode MS"/>
          <w:bdr w:val="nil"/>
        </w:rPr>
        <w:t xml:space="preserve">, in </w:t>
      </w:r>
      <w:r>
        <w:rPr>
          <w:rFonts w:eastAsia="Arial Unicode MS"/>
          <w:bdr w:val="nil"/>
        </w:rPr>
        <w:t>some</w:t>
      </w:r>
      <w:r w:rsidRPr="0058743F">
        <w:rPr>
          <w:rFonts w:eastAsia="Arial Unicode MS"/>
          <w:bdr w:val="nil"/>
        </w:rPr>
        <w:t xml:space="preserve"> countries</w:t>
      </w:r>
      <w:r>
        <w:rPr>
          <w:rFonts w:eastAsia="Arial Unicode MS"/>
          <w:bdr w:val="nil"/>
        </w:rPr>
        <w:t>,</w:t>
      </w:r>
      <w:r w:rsidRPr="0058743F">
        <w:rPr>
          <w:rFonts w:eastAsia="Arial Unicode MS"/>
          <w:bdr w:val="nil"/>
        </w:rPr>
        <w:t xml:space="preserve"> a company was still required to be a formal </w:t>
      </w:r>
      <w:r>
        <w:rPr>
          <w:rFonts w:eastAsia="Arial Unicode MS"/>
          <w:bdr w:val="nil"/>
        </w:rPr>
        <w:t>“</w:t>
      </w:r>
      <w:r w:rsidRPr="0058743F">
        <w:rPr>
          <w:rFonts w:eastAsia="Arial Unicode MS"/>
          <w:bdr w:val="nil"/>
        </w:rPr>
        <w:t>bank</w:t>
      </w:r>
      <w:r>
        <w:rPr>
          <w:rFonts w:eastAsia="Arial Unicode MS"/>
          <w:bdr w:val="nil"/>
        </w:rPr>
        <w:t>”</w:t>
      </w:r>
      <w:r w:rsidRPr="0058743F">
        <w:rPr>
          <w:rFonts w:eastAsia="Arial Unicode MS"/>
          <w:bdr w:val="nil"/>
        </w:rPr>
        <w:t xml:space="preserve"> even to </w:t>
      </w:r>
      <w:r>
        <w:rPr>
          <w:rFonts w:eastAsia="Arial Unicode MS"/>
          <w:bdr w:val="nil"/>
        </w:rPr>
        <w:t xml:space="preserve">offer </w:t>
      </w:r>
      <w:r w:rsidRPr="0058743F">
        <w:rPr>
          <w:rFonts w:eastAsia="Arial Unicode MS"/>
          <w:bdr w:val="nil"/>
        </w:rPr>
        <w:t xml:space="preserve">one </w:t>
      </w:r>
      <w:r>
        <w:rPr>
          <w:rFonts w:eastAsia="Arial Unicode MS"/>
          <w:bdr w:val="nil"/>
        </w:rPr>
        <w:t>financial</w:t>
      </w:r>
      <w:r w:rsidRPr="0058743F">
        <w:rPr>
          <w:rFonts w:eastAsia="Arial Unicode MS"/>
          <w:bdr w:val="nil"/>
        </w:rPr>
        <w:t xml:space="preserve"> activity</w:t>
      </w:r>
      <w:r>
        <w:rPr>
          <w:rFonts w:eastAsia="Arial Unicode MS"/>
          <w:bdr w:val="nil"/>
        </w:rPr>
        <w:t>,</w:t>
      </w:r>
      <w:r w:rsidRPr="0058743F">
        <w:rPr>
          <w:rFonts w:eastAsia="Arial Unicode MS"/>
          <w:bdr w:val="nil"/>
        </w:rPr>
        <w:t xml:space="preserve"> such as payments.</w:t>
      </w:r>
      <w:r w:rsidRPr="007363D7">
        <w:rPr>
          <w:rStyle w:val="EndnoteReference"/>
          <w:rFonts w:eastAsia="Arial Unicode MS"/>
          <w:sz w:val="20"/>
          <w:szCs w:val="20"/>
        </w:rPr>
        <w:endnoteReference w:id="19"/>
      </w:r>
    </w:p>
    <w:p w14:paraId="1E37FD54" w14:textId="77777777" w:rsidR="001061D6" w:rsidRDefault="001061D6" w:rsidP="00B854E9">
      <w:pPr>
        <w:pStyle w:val="BodyTextMain"/>
        <w:rPr>
          <w:rFonts w:eastAsia="Arial Unicode MS"/>
          <w:bdr w:val="nil"/>
        </w:rPr>
      </w:pPr>
    </w:p>
    <w:p w14:paraId="64FE529C" w14:textId="77777777" w:rsidR="001061D6" w:rsidRPr="0058743F" w:rsidRDefault="001061D6" w:rsidP="00B854E9">
      <w:pPr>
        <w:pStyle w:val="BodyTextMain"/>
        <w:rPr>
          <w:rFonts w:eastAsia="Arial Unicode MS"/>
          <w:bdr w:val="nil"/>
        </w:rPr>
      </w:pPr>
    </w:p>
    <w:p w14:paraId="0BB41560" w14:textId="77777777" w:rsidR="001061D6" w:rsidRPr="00A13684" w:rsidRDefault="001061D6" w:rsidP="007363D7">
      <w:pPr>
        <w:pStyle w:val="Casehead1"/>
        <w:keepNext/>
        <w:outlineLvl w:val="0"/>
        <w:rPr>
          <w:rFonts w:eastAsia="Arial Unicode MS"/>
          <w:bdr w:val="nil"/>
        </w:rPr>
      </w:pPr>
      <w:r w:rsidRPr="00636550">
        <w:rPr>
          <w:rFonts w:eastAsia="Arial Unicode MS"/>
          <w:bdr w:val="nil"/>
        </w:rPr>
        <w:t>DIGITAL TRANSFORMATION AT I</w:t>
      </w:r>
      <w:r w:rsidRPr="00A13684">
        <w:rPr>
          <w:rFonts w:eastAsia="Arial Unicode MS"/>
          <w:bdr w:val="nil"/>
        </w:rPr>
        <w:t>NG</w:t>
      </w:r>
    </w:p>
    <w:p w14:paraId="16A4AA2B" w14:textId="77777777" w:rsidR="001061D6" w:rsidRDefault="001061D6" w:rsidP="007363D7">
      <w:pPr>
        <w:pStyle w:val="BodyTextMain"/>
        <w:keepNext/>
        <w:rPr>
          <w:rFonts w:eastAsia="Arial Unicode MS"/>
          <w:bdr w:val="nil"/>
        </w:rPr>
      </w:pPr>
    </w:p>
    <w:p w14:paraId="4620E021" w14:textId="38F00625" w:rsidR="001061D6" w:rsidRPr="00A13684" w:rsidRDefault="001061D6" w:rsidP="00E47A7C">
      <w:pPr>
        <w:pStyle w:val="BodyTextMain"/>
        <w:rPr>
          <w:rFonts w:eastAsia="Arial Unicode MS"/>
          <w:bdr w:val="nil"/>
        </w:rPr>
      </w:pPr>
      <w:r w:rsidRPr="0058743F">
        <w:rPr>
          <w:rFonts w:eastAsia="Arial Unicode MS" w:cs="Arial Unicode MS"/>
          <w:color w:val="000000"/>
          <w:bdr w:val="nil"/>
        </w:rPr>
        <w:t xml:space="preserve">Despite the positive financial results and reassuring awards obtained in 2016, </w:t>
      </w:r>
      <w:r>
        <w:rPr>
          <w:rFonts w:eastAsia="Arial Unicode MS" w:cs="Arial Unicode MS"/>
          <w:color w:val="000000"/>
          <w:bdr w:val="nil"/>
        </w:rPr>
        <w:t>ING</w:t>
      </w:r>
      <w:r w:rsidRPr="0058743F">
        <w:rPr>
          <w:rFonts w:eastAsia="Arial Unicode MS" w:cs="Arial Unicode MS"/>
          <w:color w:val="000000"/>
          <w:bdr w:val="nil"/>
        </w:rPr>
        <w:t xml:space="preserve"> was aware that </w:t>
      </w:r>
      <w:r>
        <w:rPr>
          <w:rFonts w:eastAsia="Arial Unicode MS" w:cs="Arial Unicode MS"/>
          <w:color w:val="000000"/>
          <w:bdr w:val="nil"/>
        </w:rPr>
        <w:t>its</w:t>
      </w:r>
      <w:r w:rsidRPr="0058743F">
        <w:rPr>
          <w:rFonts w:eastAsia="Arial Unicode MS" w:cs="Arial Unicode MS"/>
          <w:color w:val="000000"/>
          <w:bdr w:val="nil"/>
        </w:rPr>
        <w:t xml:space="preserve"> future</w:t>
      </w:r>
      <w:r>
        <w:rPr>
          <w:rFonts w:eastAsia="Arial Unicode MS" w:cs="Arial Unicode MS"/>
          <w:color w:val="000000"/>
          <w:bdr w:val="nil"/>
        </w:rPr>
        <w:t xml:space="preserve">, </w:t>
      </w:r>
      <w:r w:rsidRPr="0058743F">
        <w:rPr>
          <w:rFonts w:eastAsia="Arial Unicode MS" w:cs="Arial Unicode MS"/>
          <w:color w:val="000000"/>
          <w:bdr w:val="nil"/>
        </w:rPr>
        <w:t xml:space="preserve">and </w:t>
      </w:r>
      <w:r>
        <w:rPr>
          <w:rFonts w:eastAsia="Arial Unicode MS" w:cs="Arial Unicode MS"/>
          <w:color w:val="000000"/>
          <w:bdr w:val="nil"/>
        </w:rPr>
        <w:t xml:space="preserve">the future of </w:t>
      </w:r>
      <w:r w:rsidRPr="0058743F">
        <w:rPr>
          <w:rFonts w:eastAsia="Arial Unicode MS" w:cs="Arial Unicode MS"/>
          <w:color w:val="000000"/>
          <w:bdr w:val="nil"/>
        </w:rPr>
        <w:t>all traditional banks</w:t>
      </w:r>
      <w:r>
        <w:rPr>
          <w:rFonts w:eastAsia="Arial Unicode MS" w:cs="Arial Unicode MS"/>
          <w:color w:val="000000"/>
          <w:bdr w:val="nil"/>
        </w:rPr>
        <w:t>,</w:t>
      </w:r>
      <w:r w:rsidRPr="0058743F">
        <w:rPr>
          <w:rFonts w:eastAsia="Arial Unicode MS" w:cs="Arial Unicode MS"/>
          <w:color w:val="000000"/>
          <w:bdr w:val="nil"/>
        </w:rPr>
        <w:t xml:space="preserve"> </w:t>
      </w:r>
      <w:r>
        <w:rPr>
          <w:rFonts w:eastAsia="Arial Unicode MS" w:cs="Arial Unicode MS"/>
          <w:color w:val="000000"/>
          <w:bdr w:val="nil"/>
        </w:rPr>
        <w:t>was</w:t>
      </w:r>
      <w:r w:rsidRPr="0058743F">
        <w:rPr>
          <w:rFonts w:eastAsia="Arial Unicode MS" w:cs="Arial Unicode MS"/>
          <w:color w:val="000000"/>
          <w:bdr w:val="nil"/>
        </w:rPr>
        <w:t xml:space="preserve"> </w:t>
      </w:r>
      <w:r>
        <w:rPr>
          <w:rFonts w:eastAsia="Arial Unicode MS" w:cs="Arial Unicode MS"/>
          <w:color w:val="000000"/>
          <w:bdr w:val="nil"/>
        </w:rPr>
        <w:t>threatened by digitization</w:t>
      </w:r>
      <w:r w:rsidRPr="0058743F">
        <w:rPr>
          <w:rFonts w:eastAsia="Arial Unicode MS" w:cs="Arial Unicode MS"/>
          <w:color w:val="000000"/>
          <w:bdr w:val="nil"/>
        </w:rPr>
        <w:t>.</w:t>
      </w:r>
      <w:r>
        <w:rPr>
          <w:rFonts w:eastAsia="Arial Unicode MS" w:cs="Arial Unicode MS"/>
          <w:color w:val="000000"/>
          <w:bdr w:val="nil"/>
        </w:rPr>
        <w:t xml:space="preserve"> </w:t>
      </w:r>
      <w:proofErr w:type="spellStart"/>
      <w:r>
        <w:rPr>
          <w:rFonts w:eastAsia="Arial Unicode MS" w:cs="Arial Unicode MS"/>
          <w:color w:val="000000"/>
          <w:bdr w:val="nil"/>
        </w:rPr>
        <w:t>Hamers</w:t>
      </w:r>
      <w:proofErr w:type="spellEnd"/>
      <w:r>
        <w:rPr>
          <w:rFonts w:eastAsia="Arial Unicode MS" w:cs="Arial Unicode MS"/>
          <w:color w:val="000000"/>
          <w:bdr w:val="nil"/>
        </w:rPr>
        <w:t xml:space="preserve"> acknowledged the risk and the need for change just a few months after releasing the bank’s 2016 annual report. In an interview in New York City, he declared, </w:t>
      </w:r>
      <w:r>
        <w:rPr>
          <w:rFonts w:eastAsia="Arial Unicode MS"/>
          <w:bdr w:val="nil"/>
        </w:rPr>
        <w:t>“We want to be a tech company with a banking license.”</w:t>
      </w:r>
      <w:r>
        <w:rPr>
          <w:rStyle w:val="EndnoteReference"/>
          <w:rFonts w:eastAsia="Arial Unicode MS"/>
          <w:bdr w:val="nil"/>
        </w:rPr>
        <w:endnoteReference w:id="20"/>
      </w:r>
      <w:r>
        <w:rPr>
          <w:rFonts w:eastAsia="Arial Unicode MS"/>
          <w:bdr w:val="nil"/>
        </w:rPr>
        <w:t xml:space="preserve"> Clearly, </w:t>
      </w:r>
      <w:proofErr w:type="spellStart"/>
      <w:r>
        <w:rPr>
          <w:rFonts w:eastAsia="Arial Unicode MS"/>
          <w:bdr w:val="nil"/>
        </w:rPr>
        <w:t>Hamers</w:t>
      </w:r>
      <w:proofErr w:type="spellEnd"/>
      <w:r>
        <w:rPr>
          <w:rFonts w:eastAsia="Arial Unicode MS"/>
          <w:bdr w:val="nil"/>
        </w:rPr>
        <w:t xml:space="preserve"> was indicating </w:t>
      </w:r>
      <w:r>
        <w:rPr>
          <w:rFonts w:eastAsia="Arial Unicode MS" w:cs="Arial Unicode MS"/>
          <w:color w:val="000000"/>
          <w:bdr w:val="nil"/>
        </w:rPr>
        <w:t xml:space="preserve">that the bank </w:t>
      </w:r>
      <w:r w:rsidRPr="0058743F">
        <w:rPr>
          <w:rFonts w:eastAsia="Arial Unicode MS" w:cs="Arial Unicode MS"/>
          <w:color w:val="000000"/>
          <w:bdr w:val="nil"/>
        </w:rPr>
        <w:t xml:space="preserve">had already </w:t>
      </w:r>
      <w:r>
        <w:rPr>
          <w:rFonts w:eastAsia="Arial Unicode MS" w:cs="Arial Unicode MS"/>
          <w:color w:val="000000"/>
          <w:bdr w:val="nil"/>
        </w:rPr>
        <w:t>begun</w:t>
      </w:r>
      <w:r w:rsidRPr="0058743F">
        <w:rPr>
          <w:rFonts w:eastAsia="Arial Unicode MS" w:cs="Arial Unicode MS"/>
          <w:color w:val="000000"/>
          <w:bdr w:val="nil"/>
        </w:rPr>
        <w:t xml:space="preserve"> to adjust </w:t>
      </w:r>
      <w:r>
        <w:rPr>
          <w:rFonts w:eastAsia="Arial Unicode MS" w:cs="Arial Unicode MS"/>
          <w:color w:val="000000"/>
          <w:bdr w:val="nil"/>
        </w:rPr>
        <w:t>its</w:t>
      </w:r>
      <w:r w:rsidRPr="0058743F">
        <w:rPr>
          <w:rFonts w:eastAsia="Arial Unicode MS" w:cs="Arial Unicode MS"/>
          <w:color w:val="000000"/>
          <w:bdr w:val="nil"/>
        </w:rPr>
        <w:t xml:space="preserve"> strategy to remain competitive in the resulting fundamental transformation </w:t>
      </w:r>
      <w:r>
        <w:rPr>
          <w:rFonts w:eastAsia="Arial Unicode MS" w:cs="Arial Unicode MS"/>
          <w:color w:val="000000"/>
          <w:bdr w:val="nil"/>
        </w:rPr>
        <w:t xml:space="preserve">digitization was causing </w:t>
      </w:r>
      <w:r w:rsidRPr="0058743F">
        <w:rPr>
          <w:rFonts w:eastAsia="Arial Unicode MS" w:cs="Arial Unicode MS"/>
          <w:color w:val="000000"/>
          <w:bdr w:val="nil"/>
        </w:rPr>
        <w:t>in the banking sector</w:t>
      </w:r>
      <w:r>
        <w:rPr>
          <w:rFonts w:eastAsia="Arial Unicode MS" w:cs="Arial Unicode MS"/>
          <w:color w:val="000000"/>
          <w:bdr w:val="nil"/>
        </w:rPr>
        <w:t>.</w:t>
      </w:r>
    </w:p>
    <w:p w14:paraId="764327C7" w14:textId="77777777" w:rsidR="001061D6" w:rsidRPr="0058743F" w:rsidRDefault="001061D6" w:rsidP="007363D7">
      <w:pPr>
        <w:pStyle w:val="BodyTextMain"/>
        <w:rPr>
          <w:rFonts w:eastAsia="Arial Unicode MS"/>
          <w:bdr w:val="nil"/>
        </w:rPr>
      </w:pPr>
    </w:p>
    <w:p w14:paraId="0959FCAD" w14:textId="088B52ED" w:rsidR="001061D6" w:rsidRPr="00B844FD" w:rsidRDefault="001061D6" w:rsidP="007363D7">
      <w:pPr>
        <w:pStyle w:val="BodyTextMain"/>
        <w:rPr>
          <w:rFonts w:eastAsia="Arial Unicode MS"/>
          <w:spacing w:val="-2"/>
          <w:kern w:val="2"/>
          <w:bdr w:val="nil"/>
        </w:rPr>
      </w:pPr>
      <w:r w:rsidRPr="00B844FD">
        <w:rPr>
          <w:rFonts w:eastAsia="Arial Unicode MS"/>
          <w:spacing w:val="-2"/>
          <w:kern w:val="2"/>
          <w:bdr w:val="nil"/>
        </w:rPr>
        <w:t>The primary goal of ING’s transformation and €800 million investment in digitization was to enhance the experience of its customers with an integrated digital platform that catered to all of its customers’ financial needs and to provide new digital tools that made their financial planning and decision</w:t>
      </w:r>
      <w:r>
        <w:rPr>
          <w:rFonts w:eastAsia="Arial Unicode MS"/>
          <w:spacing w:val="-2"/>
          <w:kern w:val="2"/>
          <w:bdr w:val="nil"/>
        </w:rPr>
        <w:t xml:space="preserve"> </w:t>
      </w:r>
      <w:r w:rsidRPr="00B844FD">
        <w:rPr>
          <w:rFonts w:eastAsia="Arial Unicode MS"/>
          <w:spacing w:val="-2"/>
          <w:kern w:val="2"/>
          <w:bdr w:val="nil"/>
        </w:rPr>
        <w:t xml:space="preserve">making easier. For example, My Money Coach, launched in 2016 in Spain, was a free digital adviser that helped customers create a personalized plan to achieve their savings, investment, and retirement goals. In Poland, ING launched a </w:t>
      </w:r>
      <w:r w:rsidRPr="00B844FD">
        <w:rPr>
          <w:rFonts w:eastAsia="Arial Unicode MS"/>
          <w:spacing w:val="-2"/>
          <w:kern w:val="2"/>
          <w:bdr w:val="nil"/>
        </w:rPr>
        <w:lastRenderedPageBreak/>
        <w:t>customer lending application that us</w:t>
      </w:r>
      <w:r>
        <w:rPr>
          <w:rFonts w:eastAsia="Arial Unicode MS"/>
          <w:spacing w:val="-2"/>
          <w:kern w:val="2"/>
          <w:bdr w:val="nil"/>
        </w:rPr>
        <w:t xml:space="preserve">ed </w:t>
      </w:r>
      <w:r w:rsidRPr="00B844FD">
        <w:rPr>
          <w:rFonts w:eastAsia="Arial Unicode MS"/>
          <w:spacing w:val="-2"/>
          <w:kern w:val="2"/>
          <w:bdr w:val="nil"/>
        </w:rPr>
        <w:t xml:space="preserve">advanced analytics to approve applications from existing customers </w:t>
      </w:r>
      <w:r>
        <w:rPr>
          <w:rFonts w:eastAsia="Arial Unicode MS"/>
          <w:spacing w:val="-2"/>
          <w:kern w:val="2"/>
          <w:bdr w:val="nil"/>
        </w:rPr>
        <w:t xml:space="preserve">and </w:t>
      </w:r>
      <w:r w:rsidRPr="00B844FD">
        <w:rPr>
          <w:rFonts w:eastAsia="Arial Unicode MS"/>
          <w:spacing w:val="-2"/>
          <w:kern w:val="2"/>
          <w:bdr w:val="nil"/>
        </w:rPr>
        <w:t>allowed customers to secure loan</w:t>
      </w:r>
      <w:r w:rsidR="00BE6B16">
        <w:rPr>
          <w:rFonts w:eastAsia="Arial Unicode MS"/>
          <w:spacing w:val="-2"/>
          <w:kern w:val="2"/>
          <w:bdr w:val="nil"/>
        </w:rPr>
        <w:t>s</w:t>
      </w:r>
      <w:r w:rsidRPr="00B844FD">
        <w:rPr>
          <w:rFonts w:eastAsia="Arial Unicode MS"/>
          <w:spacing w:val="-2"/>
          <w:kern w:val="2"/>
          <w:bdr w:val="nil"/>
        </w:rPr>
        <w:t xml:space="preserve"> in minutes. ING developed similar tools for its customers in Belgium, France, and the Netherlands. ING had also worked on transforming its wholesale banking division, expanding the reach of its digital cross-border banking platform, </w:t>
      </w:r>
      <w:proofErr w:type="spellStart"/>
      <w:r w:rsidRPr="00B844FD">
        <w:rPr>
          <w:rFonts w:eastAsia="Arial Unicode MS"/>
          <w:spacing w:val="-2"/>
          <w:kern w:val="2"/>
          <w:bdr w:val="nil"/>
        </w:rPr>
        <w:t>InsideBusiness</w:t>
      </w:r>
      <w:proofErr w:type="spellEnd"/>
      <w:r w:rsidRPr="00B844FD">
        <w:rPr>
          <w:rFonts w:eastAsia="Arial Unicode MS"/>
          <w:spacing w:val="-2"/>
          <w:kern w:val="2"/>
          <w:bdr w:val="nil"/>
        </w:rPr>
        <w:t xml:space="preserve">, </w:t>
      </w:r>
      <w:r>
        <w:rPr>
          <w:rFonts w:eastAsia="Arial Unicode MS"/>
          <w:spacing w:val="-2"/>
          <w:kern w:val="2"/>
          <w:bdr w:val="nil"/>
        </w:rPr>
        <w:t>which</w:t>
      </w:r>
      <w:r w:rsidRPr="00B844FD">
        <w:rPr>
          <w:rFonts w:eastAsia="Arial Unicode MS"/>
          <w:spacing w:val="-2"/>
          <w:kern w:val="2"/>
          <w:bdr w:val="nil"/>
        </w:rPr>
        <w:t xml:space="preserve"> gave customers real-time insights and a single point of access to manage all their financial operations. The bank intended to merge its platforms as rapidly as possible to a single digital and scalable banking platform across countries.</w:t>
      </w:r>
      <w:r w:rsidRPr="00B844FD">
        <w:rPr>
          <w:rStyle w:val="EndnoteReference"/>
          <w:rFonts w:eastAsia="Arial Unicode MS"/>
          <w:spacing w:val="-2"/>
          <w:kern w:val="2"/>
          <w:sz w:val="20"/>
          <w:szCs w:val="20"/>
        </w:rPr>
        <w:endnoteReference w:id="21"/>
      </w:r>
    </w:p>
    <w:p w14:paraId="5C3F243B" w14:textId="77777777" w:rsidR="001061D6" w:rsidRDefault="001061D6" w:rsidP="007363D7">
      <w:pPr>
        <w:pStyle w:val="BodyTextMain"/>
        <w:rPr>
          <w:rFonts w:eastAsia="Arial Unicode MS"/>
          <w:bdr w:val="nil"/>
        </w:rPr>
      </w:pPr>
    </w:p>
    <w:p w14:paraId="6527ED2B" w14:textId="3A886DBC" w:rsidR="001061D6" w:rsidRDefault="001061D6" w:rsidP="007363D7">
      <w:pPr>
        <w:pStyle w:val="BodyTextMain"/>
        <w:rPr>
          <w:rFonts w:eastAsia="Arial Unicode MS"/>
          <w:bdr w:val="nil"/>
        </w:rPr>
      </w:pPr>
      <w:r>
        <w:rPr>
          <w:rFonts w:eastAsia="Arial Unicode MS"/>
          <w:bdr w:val="nil"/>
        </w:rPr>
        <w:t xml:space="preserve">The bank seemed to be focusing on three areas for its digital transformation. The first focus was improving customer experience by engaging clients through their new necessities and habits. </w:t>
      </w:r>
      <w:proofErr w:type="spellStart"/>
      <w:r>
        <w:rPr>
          <w:rFonts w:eastAsia="Arial Unicode MS"/>
          <w:bdr w:val="nil"/>
        </w:rPr>
        <w:t>Hamers</w:t>
      </w:r>
      <w:proofErr w:type="spellEnd"/>
      <w:r>
        <w:rPr>
          <w:rFonts w:eastAsia="Arial Unicode MS"/>
          <w:bdr w:val="nil"/>
        </w:rPr>
        <w:t xml:space="preserve"> was convinced that ING needed to be where people were. He described the change by talking about his own banking experience as a client: </w:t>
      </w:r>
    </w:p>
    <w:p w14:paraId="09A89C9E" w14:textId="77777777" w:rsidR="001061D6" w:rsidRDefault="001061D6" w:rsidP="007363D7">
      <w:pPr>
        <w:pStyle w:val="BodyTextMain"/>
        <w:rPr>
          <w:rFonts w:eastAsia="Arial Unicode MS"/>
          <w:bdr w:val="nil"/>
        </w:rPr>
      </w:pPr>
    </w:p>
    <w:p w14:paraId="7D5DCBCA" w14:textId="674F78F4" w:rsidR="001061D6" w:rsidRDefault="001061D6" w:rsidP="007363D7">
      <w:pPr>
        <w:pStyle w:val="BodyTextMain"/>
        <w:ind w:left="720"/>
        <w:rPr>
          <w:rFonts w:eastAsia="Arial Unicode MS"/>
          <w:bdr w:val="nil"/>
        </w:rPr>
      </w:pPr>
      <w:r w:rsidRPr="002C0168">
        <w:rPr>
          <w:rFonts w:eastAsia="Arial Unicode MS"/>
          <w:bdr w:val="nil"/>
        </w:rPr>
        <w:t>I was in the line-up, 20 people ahead of me. None of them were talking. All of them were right here</w:t>
      </w:r>
      <w:r>
        <w:rPr>
          <w:rFonts w:eastAsia="Arial Unicode MS"/>
          <w:bdr w:val="nil"/>
        </w:rPr>
        <w:t>—</w:t>
      </w:r>
      <w:r w:rsidRPr="002C0168">
        <w:rPr>
          <w:rFonts w:eastAsia="Arial Unicode MS"/>
          <w:bdr w:val="nil"/>
        </w:rPr>
        <w:t>on their mobile phone! This is where people</w:t>
      </w:r>
      <w:r>
        <w:rPr>
          <w:rFonts w:eastAsia="Arial Unicode MS"/>
          <w:bdr w:val="nil"/>
        </w:rPr>
        <w:t xml:space="preserve"> spend their lives these days. . . . </w:t>
      </w:r>
      <w:r w:rsidRPr="002C0168">
        <w:rPr>
          <w:rFonts w:eastAsia="Arial Unicode MS"/>
          <w:bdr w:val="nil"/>
        </w:rPr>
        <w:t>They’re not on the street. You can’t reach them with your branches. They have no interest. They’re spending their lives on social media. Posting their blogs, making their comments, posting their pictures. They’re buying stuff on Amazon</w:t>
      </w:r>
      <w:r>
        <w:rPr>
          <w:rFonts w:eastAsia="Arial Unicode MS"/>
          <w:bdr w:val="nil"/>
        </w:rPr>
        <w:t>.</w:t>
      </w:r>
      <w:r w:rsidRPr="00B844FD">
        <w:rPr>
          <w:rStyle w:val="EndnoteReference"/>
          <w:rFonts w:eastAsia="Arial Unicode MS"/>
          <w:color w:val="000000" w:themeColor="text1"/>
          <w:sz w:val="20"/>
          <w:szCs w:val="20"/>
        </w:rPr>
        <w:endnoteReference w:id="22"/>
      </w:r>
      <w:r w:rsidRPr="00B844FD">
        <w:rPr>
          <w:rFonts w:eastAsia="Arial Unicode MS"/>
          <w:color w:val="000000" w:themeColor="text1"/>
          <w:bdr w:val="nil"/>
        </w:rPr>
        <w:t xml:space="preserve"> </w:t>
      </w:r>
    </w:p>
    <w:p w14:paraId="125FF4DA" w14:textId="77777777" w:rsidR="001061D6" w:rsidRDefault="001061D6" w:rsidP="007363D7">
      <w:pPr>
        <w:pStyle w:val="BodyTextMain"/>
        <w:rPr>
          <w:rFonts w:eastAsia="Arial Unicode MS"/>
          <w:bdr w:val="nil"/>
        </w:rPr>
      </w:pPr>
    </w:p>
    <w:p w14:paraId="5523F7B4" w14:textId="25D9D72E" w:rsidR="001061D6" w:rsidRDefault="001061D6" w:rsidP="00E47A7C">
      <w:pPr>
        <w:pStyle w:val="BodyTextMain"/>
        <w:rPr>
          <w:rFonts w:eastAsia="Arial Unicode MS" w:cs="Arial Unicode MS"/>
          <w:color w:val="000000"/>
          <w:bdr w:val="nil"/>
        </w:rPr>
      </w:pPr>
      <w:r w:rsidRPr="00862DC4">
        <w:rPr>
          <w:rFonts w:eastAsia="Arial Unicode MS" w:cs="Arial Unicode MS"/>
          <w:color w:val="000000"/>
          <w:bdr w:val="nil"/>
        </w:rPr>
        <w:t xml:space="preserve">The second area </w:t>
      </w:r>
      <w:r>
        <w:rPr>
          <w:rFonts w:eastAsia="Arial Unicode MS" w:cs="Arial Unicode MS"/>
          <w:color w:val="000000"/>
          <w:bdr w:val="nil"/>
        </w:rPr>
        <w:t xml:space="preserve">of focus </w:t>
      </w:r>
      <w:r w:rsidRPr="00862DC4">
        <w:rPr>
          <w:rFonts w:eastAsia="Arial Unicode MS" w:cs="Arial Unicode MS"/>
          <w:color w:val="000000"/>
          <w:bdr w:val="nil"/>
        </w:rPr>
        <w:t xml:space="preserve">dealt with the rise of </w:t>
      </w:r>
      <w:proofErr w:type="spellStart"/>
      <w:r w:rsidRPr="00862DC4">
        <w:rPr>
          <w:rFonts w:eastAsia="Arial Unicode MS" w:cs="Arial Unicode MS"/>
          <w:color w:val="000000"/>
          <w:bdr w:val="nil"/>
        </w:rPr>
        <w:t>fintech</w:t>
      </w:r>
      <w:proofErr w:type="spellEnd"/>
      <w:r w:rsidRPr="00862DC4">
        <w:rPr>
          <w:rFonts w:eastAsia="Arial Unicode MS" w:cs="Arial Unicode MS"/>
          <w:color w:val="000000"/>
          <w:bdr w:val="nil"/>
        </w:rPr>
        <w:t xml:space="preserve"> companies. </w:t>
      </w:r>
      <w:proofErr w:type="spellStart"/>
      <w:r w:rsidRPr="00862DC4">
        <w:rPr>
          <w:rFonts w:eastAsia="Arial Unicode MS" w:cs="Arial Unicode MS"/>
          <w:color w:val="000000"/>
          <w:bdr w:val="nil"/>
        </w:rPr>
        <w:t>Hamers</w:t>
      </w:r>
      <w:proofErr w:type="spellEnd"/>
      <w:r>
        <w:rPr>
          <w:rFonts w:eastAsia="Arial Unicode MS" w:cs="Arial Unicode MS"/>
          <w:color w:val="000000"/>
          <w:bdr w:val="nil"/>
        </w:rPr>
        <w:t xml:space="preserve"> believed that ING had to deal with this new form of competition while finding a way to learn from them:</w:t>
      </w:r>
    </w:p>
    <w:p w14:paraId="118B5E34" w14:textId="77777777" w:rsidR="001061D6" w:rsidRDefault="001061D6" w:rsidP="00E47A7C">
      <w:pPr>
        <w:pStyle w:val="BodyTextMain"/>
        <w:rPr>
          <w:rFonts w:eastAsia="Arial Unicode MS" w:cs="Arial Unicode MS"/>
          <w:color w:val="000000"/>
          <w:bdr w:val="nil"/>
        </w:rPr>
      </w:pPr>
    </w:p>
    <w:p w14:paraId="2472C9F9" w14:textId="52F956E5" w:rsidR="001061D6" w:rsidRDefault="001061D6" w:rsidP="007363D7">
      <w:pPr>
        <w:pStyle w:val="BodyTextMain"/>
        <w:ind w:left="720"/>
        <w:rPr>
          <w:rFonts w:eastAsia="Arial Unicode MS" w:cs="Arial Unicode MS"/>
          <w:color w:val="000000"/>
          <w:bdr w:val="nil"/>
        </w:rPr>
      </w:pPr>
      <w:r>
        <w:rPr>
          <w:rFonts w:eastAsia="Arial Unicode MS" w:cs="Arial Unicode MS"/>
          <w:color w:val="000000"/>
          <w:bdr w:val="nil"/>
        </w:rPr>
        <w:t>D</w:t>
      </w:r>
      <w:r w:rsidRPr="003129F5">
        <w:rPr>
          <w:rFonts w:eastAsia="Arial Unicode MS" w:cs="Arial Unicode MS"/>
          <w:color w:val="000000"/>
          <w:bdr w:val="nil"/>
        </w:rPr>
        <w:t xml:space="preserve">oing their personal finances is no one’s hobby—not even mine. People need banking but not necessarily banks. And a new breed of financial services competitor has emerged to meet that need: the </w:t>
      </w:r>
      <w:proofErr w:type="spellStart"/>
      <w:r w:rsidRPr="003129F5">
        <w:rPr>
          <w:rFonts w:eastAsia="Arial Unicode MS" w:cs="Arial Unicode MS"/>
          <w:color w:val="000000"/>
          <w:bdr w:val="nil"/>
        </w:rPr>
        <w:t>fintechs</w:t>
      </w:r>
      <w:proofErr w:type="spellEnd"/>
      <w:r w:rsidRPr="003129F5">
        <w:rPr>
          <w:rFonts w:eastAsia="Arial Unicode MS" w:cs="Arial Unicode MS"/>
          <w:color w:val="000000"/>
          <w:bdr w:val="nil"/>
        </w:rPr>
        <w:t>. There’s much to learn from these new competitors.</w:t>
      </w:r>
      <w:r>
        <w:rPr>
          <w:rStyle w:val="EndnoteReference"/>
          <w:rFonts w:eastAsia="Arial Unicode MS" w:cs="Arial Unicode MS"/>
          <w:bdr w:val="nil"/>
        </w:rPr>
        <w:endnoteReference w:id="23"/>
      </w:r>
    </w:p>
    <w:p w14:paraId="3F57C7B5" w14:textId="77777777" w:rsidR="001061D6" w:rsidRDefault="001061D6" w:rsidP="00576168">
      <w:pPr>
        <w:pStyle w:val="BodyTextMain"/>
        <w:rPr>
          <w:rFonts w:eastAsia="Arial Unicode MS" w:cs="Arial Unicode MS"/>
          <w:color w:val="000000"/>
          <w:bdr w:val="nil"/>
        </w:rPr>
      </w:pPr>
    </w:p>
    <w:p w14:paraId="72B88BA5" w14:textId="0CE65AC7" w:rsidR="001061D6" w:rsidRDefault="001061D6" w:rsidP="00576168">
      <w:pPr>
        <w:pStyle w:val="BodyTextMain"/>
        <w:rPr>
          <w:rFonts w:eastAsia="Arial Unicode MS"/>
          <w:bdr w:val="nil"/>
        </w:rPr>
      </w:pPr>
      <w:r w:rsidRPr="003129F5">
        <w:rPr>
          <w:rFonts w:eastAsia="Arial Unicode MS"/>
          <w:bdr w:val="nil"/>
        </w:rPr>
        <w:t xml:space="preserve">The third area </w:t>
      </w:r>
      <w:r>
        <w:rPr>
          <w:rFonts w:eastAsia="Arial Unicode MS"/>
          <w:bdr w:val="nil"/>
        </w:rPr>
        <w:t>of focus was</w:t>
      </w:r>
      <w:r w:rsidRPr="003129F5">
        <w:rPr>
          <w:rFonts w:eastAsia="Arial Unicode MS"/>
          <w:bdr w:val="nil"/>
        </w:rPr>
        <w:t xml:space="preserve"> </w:t>
      </w:r>
      <w:r>
        <w:rPr>
          <w:rFonts w:eastAsia="Arial Unicode MS"/>
          <w:bdr w:val="nil"/>
        </w:rPr>
        <w:t xml:space="preserve">similar, but broader: ING needed to come to terms with the fundamental role </w:t>
      </w:r>
      <w:r w:rsidRPr="003129F5">
        <w:rPr>
          <w:rFonts w:eastAsia="Arial Unicode MS"/>
          <w:bdr w:val="nil"/>
        </w:rPr>
        <w:t>technology and innovation</w:t>
      </w:r>
      <w:r>
        <w:rPr>
          <w:rFonts w:eastAsia="Arial Unicode MS"/>
          <w:bdr w:val="nil"/>
        </w:rPr>
        <w:t xml:space="preserve"> were</w:t>
      </w:r>
      <w:r w:rsidRPr="003129F5">
        <w:rPr>
          <w:rFonts w:eastAsia="Arial Unicode MS"/>
          <w:bdr w:val="nil"/>
        </w:rPr>
        <w:t xml:space="preserve"> </w:t>
      </w:r>
      <w:r>
        <w:rPr>
          <w:rFonts w:eastAsia="Arial Unicode MS"/>
          <w:bdr w:val="nil"/>
        </w:rPr>
        <w:t xml:space="preserve">playing in the future of banks. </w:t>
      </w:r>
      <w:proofErr w:type="spellStart"/>
      <w:r>
        <w:rPr>
          <w:rFonts w:eastAsia="Arial Unicode MS"/>
          <w:bdr w:val="nil"/>
        </w:rPr>
        <w:t>Hamers</w:t>
      </w:r>
      <w:proofErr w:type="spellEnd"/>
      <w:r>
        <w:rPr>
          <w:rFonts w:eastAsia="Arial Unicode MS"/>
          <w:bdr w:val="nil"/>
        </w:rPr>
        <w:t xml:space="preserve"> understood that, and he also understood the need for talent who could deal with it: </w:t>
      </w:r>
    </w:p>
    <w:p w14:paraId="1599CCC7" w14:textId="77777777" w:rsidR="001061D6" w:rsidRDefault="001061D6" w:rsidP="00576168">
      <w:pPr>
        <w:pStyle w:val="BodyTextMain"/>
        <w:rPr>
          <w:rFonts w:eastAsia="Arial Unicode MS"/>
          <w:bdr w:val="nil"/>
        </w:rPr>
      </w:pPr>
    </w:p>
    <w:p w14:paraId="06411B67" w14:textId="6A496B03" w:rsidR="001061D6" w:rsidRDefault="001061D6" w:rsidP="007363D7">
      <w:pPr>
        <w:pStyle w:val="BodyTextMain"/>
        <w:ind w:left="720"/>
        <w:rPr>
          <w:rFonts w:eastAsia="Arial Unicode MS"/>
          <w:bdr w:val="nil"/>
        </w:rPr>
      </w:pPr>
      <w:r w:rsidRPr="003129F5">
        <w:rPr>
          <w:rFonts w:eastAsia="Arial Unicode MS"/>
          <w:bdr w:val="nil"/>
        </w:rPr>
        <w:t xml:space="preserve">Banking is becoming more of a technology play than a content play, with people who have a lot of knowledge about a specific product. The product is not what differentiates you as a bank, it’s the experience that differentiates you as a bank. Your experience more than ever before is in how you deliver in a digital way, how quickly and easily you can deliver, and how real time the information is, because clients want instant satisfaction. They’re used to that through Facebook, through all of their </w:t>
      </w:r>
      <w:r>
        <w:rPr>
          <w:rFonts w:eastAsia="Arial Unicode MS"/>
          <w:bdr w:val="nil"/>
        </w:rPr>
        <w:t>I</w:t>
      </w:r>
      <w:r w:rsidRPr="003129F5">
        <w:rPr>
          <w:rFonts w:eastAsia="Arial Unicode MS"/>
          <w:bdr w:val="nil"/>
        </w:rPr>
        <w:t>nternet experiences. Instant satisfaction is what is needed. Now, knowing that, you know that you have to attract more and more talent on the technology side of things.</w:t>
      </w:r>
      <w:r w:rsidRPr="00862DC4">
        <w:rPr>
          <w:rStyle w:val="EndnoteReference"/>
          <w:rFonts w:eastAsia="Arial Unicode MS"/>
          <w:bdr w:val="nil"/>
        </w:rPr>
        <w:endnoteReference w:id="24"/>
      </w:r>
    </w:p>
    <w:p w14:paraId="3C867313" w14:textId="77777777" w:rsidR="00B479EE" w:rsidRDefault="00B479EE" w:rsidP="007363D7">
      <w:pPr>
        <w:pStyle w:val="BodyTextMain"/>
        <w:ind w:left="720"/>
        <w:rPr>
          <w:rFonts w:eastAsia="Arial Unicode MS"/>
          <w:bdr w:val="nil"/>
        </w:rPr>
      </w:pPr>
    </w:p>
    <w:p w14:paraId="0CF96930" w14:textId="77777777" w:rsidR="00B479EE" w:rsidRPr="004D7228" w:rsidRDefault="00B479EE" w:rsidP="007363D7">
      <w:pPr>
        <w:pStyle w:val="BodyTextMain"/>
        <w:ind w:left="720"/>
        <w:rPr>
          <w:rFonts w:eastAsia="Arial Unicode MS" w:cs="Arial Unicode MS"/>
          <w:color w:val="000000"/>
          <w:bdr w:val="nil"/>
        </w:rPr>
      </w:pPr>
    </w:p>
    <w:p w14:paraId="43AC0BDF" w14:textId="1D9B3B24" w:rsidR="0058743F" w:rsidRPr="0058743F" w:rsidRDefault="00410B26" w:rsidP="00B844FD">
      <w:pPr>
        <w:pStyle w:val="Casehead1"/>
        <w:keepNext/>
        <w:rPr>
          <w:bdr w:val="nil"/>
        </w:rPr>
      </w:pPr>
      <w:r>
        <w:rPr>
          <w:rFonts w:eastAsia="Arial Unicode MS"/>
          <w:bdr w:val="nil"/>
        </w:rPr>
        <w:t>ING’s Future</w:t>
      </w:r>
    </w:p>
    <w:p w14:paraId="3A5050E4" w14:textId="77777777" w:rsidR="0058743F" w:rsidRPr="0058743F" w:rsidRDefault="0058743F" w:rsidP="00B844FD">
      <w:pPr>
        <w:pStyle w:val="BodyTextMain"/>
        <w:keepNext/>
        <w:rPr>
          <w:rFonts w:eastAsia="Arial Unicode MS"/>
          <w:bdr w:val="nil"/>
        </w:rPr>
      </w:pPr>
    </w:p>
    <w:p w14:paraId="363BFD5E" w14:textId="225E3E95" w:rsidR="0058743F" w:rsidRPr="0058743F" w:rsidRDefault="00C97357" w:rsidP="007363D7">
      <w:pPr>
        <w:pStyle w:val="BodyTextMain"/>
        <w:rPr>
          <w:bdr w:val="nil"/>
        </w:rPr>
      </w:pPr>
      <w:r>
        <w:rPr>
          <w:rFonts w:eastAsia="Arial Unicode MS"/>
          <w:bdr w:val="nil"/>
        </w:rPr>
        <w:t>Digitization</w:t>
      </w:r>
      <w:r w:rsidR="0058743F" w:rsidRPr="0058743F">
        <w:rPr>
          <w:rFonts w:eastAsia="Arial Unicode MS"/>
          <w:bdr w:val="nil"/>
        </w:rPr>
        <w:t xml:space="preserve"> and changing customer needs were clearly affecting the whole financial services sector, including ING. </w:t>
      </w:r>
      <w:r w:rsidR="0058743F" w:rsidRPr="0058743F">
        <w:rPr>
          <w:rFonts w:eastAsia="Arial Unicode MS"/>
          <w:bdr w:val="nil"/>
          <w:lang w:val="pt-PT"/>
        </w:rPr>
        <w:t xml:space="preserve">As </w:t>
      </w:r>
      <w:r w:rsidR="0058743F" w:rsidRPr="0058743F">
        <w:rPr>
          <w:rFonts w:eastAsia="Arial Unicode MS"/>
          <w:bdr w:val="nil"/>
        </w:rPr>
        <w:t xml:space="preserve">in other industries that had been disrupted, consumers were </w:t>
      </w:r>
      <w:r w:rsidR="002A6E0B">
        <w:rPr>
          <w:rFonts w:eastAsia="Arial Unicode MS"/>
          <w:bdr w:val="nil"/>
        </w:rPr>
        <w:t xml:space="preserve">becoming accustomed to and expecting </w:t>
      </w:r>
      <w:r w:rsidR="0058743F" w:rsidRPr="0058743F">
        <w:rPr>
          <w:rFonts w:eastAsia="Arial Unicode MS"/>
          <w:bdr w:val="nil"/>
        </w:rPr>
        <w:t>a better, digitally</w:t>
      </w:r>
      <w:r w:rsidR="00B479EE">
        <w:rPr>
          <w:rFonts w:eastAsia="Arial Unicode MS"/>
          <w:bdr w:val="nil"/>
        </w:rPr>
        <w:t xml:space="preserve"> </w:t>
      </w:r>
      <w:r w:rsidR="0058743F" w:rsidRPr="0058743F">
        <w:rPr>
          <w:rFonts w:eastAsia="Arial Unicode MS"/>
          <w:bdr w:val="nil"/>
        </w:rPr>
        <w:t>enhanced experience. In an industry such as banking</w:t>
      </w:r>
      <w:r w:rsidR="00B479EE">
        <w:rPr>
          <w:rFonts w:eastAsia="Arial Unicode MS"/>
          <w:bdr w:val="nil"/>
        </w:rPr>
        <w:t>,</w:t>
      </w:r>
      <w:r w:rsidR="0058743F" w:rsidRPr="0058743F">
        <w:rPr>
          <w:rFonts w:eastAsia="Arial Unicode MS"/>
          <w:bdr w:val="nil"/>
        </w:rPr>
        <w:t xml:space="preserve"> where trust and loyalty had </w:t>
      </w:r>
      <w:r w:rsidR="002A6E0B">
        <w:rPr>
          <w:rFonts w:eastAsia="Arial Unicode MS"/>
          <w:bdr w:val="nil"/>
        </w:rPr>
        <w:t>been key</w:t>
      </w:r>
      <w:r w:rsidR="0058743F" w:rsidRPr="0058743F">
        <w:rPr>
          <w:rFonts w:eastAsia="Arial Unicode MS"/>
          <w:bdr w:val="nil"/>
        </w:rPr>
        <w:t xml:space="preserve"> in attracting and retaining customers, there was a diminishing need for personal contact as people </w:t>
      </w:r>
      <w:r w:rsidR="002A6E0B">
        <w:rPr>
          <w:rFonts w:eastAsia="Arial Unicode MS"/>
          <w:bdr w:val="nil"/>
        </w:rPr>
        <w:t>increasingly</w:t>
      </w:r>
      <w:r w:rsidR="002A6E0B" w:rsidRPr="0058743F">
        <w:rPr>
          <w:rFonts w:eastAsia="Arial Unicode MS"/>
          <w:bdr w:val="nil"/>
        </w:rPr>
        <w:t xml:space="preserve"> </w:t>
      </w:r>
      <w:r w:rsidR="0058743F" w:rsidRPr="0058743F">
        <w:rPr>
          <w:rFonts w:eastAsia="Arial Unicode MS"/>
          <w:bdr w:val="nil"/>
        </w:rPr>
        <w:t>manag</w:t>
      </w:r>
      <w:r w:rsidR="002A6E0B">
        <w:rPr>
          <w:rFonts w:eastAsia="Arial Unicode MS"/>
          <w:bdr w:val="nil"/>
        </w:rPr>
        <w:t>ed</w:t>
      </w:r>
      <w:r w:rsidR="0058743F" w:rsidRPr="0058743F">
        <w:rPr>
          <w:rFonts w:eastAsia="Arial Unicode MS"/>
          <w:bdr w:val="nil"/>
        </w:rPr>
        <w:t xml:space="preserve"> their financial transactions digitally. This turned banking products into commodities, making differentiation significantly more complicated for banks. Moreover, as in many other industries, consumer loyalty was decreasing: customers were often turning away from their well-known and trusted banks to small, newly established companies </w:t>
      </w:r>
      <w:r w:rsidR="002A6E0B">
        <w:rPr>
          <w:rFonts w:eastAsia="Arial Unicode MS"/>
          <w:bdr w:val="nil"/>
        </w:rPr>
        <w:t xml:space="preserve">that </w:t>
      </w:r>
      <w:r w:rsidR="0058743F" w:rsidRPr="0058743F">
        <w:rPr>
          <w:rFonts w:eastAsia="Arial Unicode MS"/>
          <w:bdr w:val="nil"/>
        </w:rPr>
        <w:t>provid</w:t>
      </w:r>
      <w:r w:rsidR="002A6E0B">
        <w:rPr>
          <w:rFonts w:eastAsia="Arial Unicode MS"/>
          <w:bdr w:val="nil"/>
        </w:rPr>
        <w:t>ed</w:t>
      </w:r>
      <w:r w:rsidR="0058743F" w:rsidRPr="0058743F">
        <w:rPr>
          <w:rFonts w:eastAsia="Arial Unicode MS"/>
          <w:bdr w:val="nil"/>
        </w:rPr>
        <w:t xml:space="preserve"> financial services at lower costs in a more digitally</w:t>
      </w:r>
      <w:r w:rsidR="00B479EE">
        <w:rPr>
          <w:rFonts w:eastAsia="Arial Unicode MS"/>
          <w:bdr w:val="nil"/>
        </w:rPr>
        <w:t xml:space="preserve"> </w:t>
      </w:r>
      <w:r w:rsidR="0058743F" w:rsidRPr="0058743F">
        <w:rPr>
          <w:rFonts w:eastAsia="Arial Unicode MS"/>
          <w:bdr w:val="nil"/>
        </w:rPr>
        <w:t>friendly way.</w:t>
      </w:r>
    </w:p>
    <w:p w14:paraId="114D6224" w14:textId="32954654" w:rsidR="0058743F" w:rsidRPr="0058743F" w:rsidRDefault="0058743F" w:rsidP="007363D7">
      <w:pPr>
        <w:pStyle w:val="BodyTextMain"/>
        <w:rPr>
          <w:rFonts w:eastAsia="Arial Unicode MS"/>
          <w:bdr w:val="nil"/>
        </w:rPr>
      </w:pPr>
      <w:r w:rsidRPr="0058743F">
        <w:rPr>
          <w:rFonts w:eastAsia="Arial Unicode MS"/>
          <w:bdr w:val="nil"/>
        </w:rPr>
        <w:lastRenderedPageBreak/>
        <w:t xml:space="preserve">ING, being a multinational that operated in over 40 countries, had to cope with these challenges in very different country settings. The differences between countries made it even more difficult for the bank to respond to current trends. Investing in digital solutions was also likely to </w:t>
      </w:r>
      <w:r w:rsidR="00356D90">
        <w:rPr>
          <w:rFonts w:eastAsia="Arial Unicode MS"/>
          <w:bdr w:val="nil"/>
        </w:rPr>
        <w:t>affect</w:t>
      </w:r>
      <w:r w:rsidRPr="0058743F">
        <w:rPr>
          <w:rFonts w:eastAsia="Arial Unicode MS"/>
          <w:bdr w:val="nil"/>
        </w:rPr>
        <w:t xml:space="preserve"> the bank’s future need for human resources</w:t>
      </w:r>
      <w:r w:rsidR="00356D90">
        <w:rPr>
          <w:rFonts w:eastAsia="Arial Unicode MS"/>
          <w:bdr w:val="nil"/>
        </w:rPr>
        <w:t>, reducing the need for staff</w:t>
      </w:r>
      <w:r w:rsidRPr="0058743F">
        <w:rPr>
          <w:rFonts w:eastAsia="Arial Unicode MS"/>
          <w:bdr w:val="nil"/>
        </w:rPr>
        <w:t xml:space="preserve"> across countries. </w:t>
      </w:r>
      <w:r w:rsidR="00356D90">
        <w:rPr>
          <w:rFonts w:eastAsia="Arial Unicode MS"/>
          <w:bdr w:val="nil"/>
        </w:rPr>
        <w:t>Dismissing</w:t>
      </w:r>
      <w:r w:rsidRPr="0058743F">
        <w:rPr>
          <w:rFonts w:eastAsia="Arial Unicode MS"/>
          <w:bdr w:val="nil"/>
        </w:rPr>
        <w:t xml:space="preserve"> a significant number of employees would surely hurt the bank’s reputation among consumers, especially in established markets such as the Netherlands, Belgium, and Luxembourg.</w:t>
      </w:r>
    </w:p>
    <w:p w14:paraId="60BACBE1" w14:textId="77777777" w:rsidR="0058743F" w:rsidRPr="0058743F" w:rsidRDefault="0058743F" w:rsidP="007363D7">
      <w:pPr>
        <w:pStyle w:val="BodyTextMain"/>
        <w:rPr>
          <w:rFonts w:eastAsia="Arial Unicode MS"/>
          <w:bdr w:val="nil"/>
        </w:rPr>
      </w:pPr>
    </w:p>
    <w:p w14:paraId="792C578B" w14:textId="7F7D9902" w:rsidR="0058743F" w:rsidRPr="0058743F" w:rsidRDefault="000E4F5B" w:rsidP="007363D7">
      <w:pPr>
        <w:pStyle w:val="BodyTextMain"/>
        <w:rPr>
          <w:rFonts w:eastAsia="Arial Unicode MS"/>
          <w:bdr w:val="nil"/>
        </w:rPr>
      </w:pPr>
      <w:r>
        <w:rPr>
          <w:rFonts w:eastAsia="Arial Unicode MS"/>
          <w:bdr w:val="nil"/>
        </w:rPr>
        <w:t>How</w:t>
      </w:r>
      <w:r w:rsidRPr="0058743F">
        <w:rPr>
          <w:rFonts w:eastAsia="Arial Unicode MS"/>
          <w:bdr w:val="nil"/>
        </w:rPr>
        <w:t xml:space="preserve"> </w:t>
      </w:r>
      <w:r w:rsidR="00B479EE">
        <w:rPr>
          <w:rFonts w:eastAsia="Arial Unicode MS"/>
          <w:bdr w:val="nil"/>
        </w:rPr>
        <w:t>would</w:t>
      </w:r>
      <w:r w:rsidR="00B479EE" w:rsidRPr="0058743F">
        <w:rPr>
          <w:rFonts w:eastAsia="Arial Unicode MS"/>
          <w:bdr w:val="nil"/>
        </w:rPr>
        <w:t xml:space="preserve"> </w:t>
      </w:r>
      <w:r w:rsidR="0058743F" w:rsidRPr="0058743F">
        <w:rPr>
          <w:rFonts w:eastAsia="Arial Unicode MS"/>
          <w:bdr w:val="nil"/>
        </w:rPr>
        <w:t xml:space="preserve">ING </w:t>
      </w:r>
      <w:r w:rsidR="00356D90">
        <w:rPr>
          <w:rFonts w:eastAsia="Arial Unicode MS"/>
          <w:bdr w:val="nil"/>
        </w:rPr>
        <w:t xml:space="preserve">take on these challenges </w:t>
      </w:r>
      <w:r w:rsidR="0058743F" w:rsidRPr="0058743F">
        <w:rPr>
          <w:rFonts w:eastAsia="Arial Unicode MS"/>
          <w:bdr w:val="nil"/>
        </w:rPr>
        <w:t xml:space="preserve">and take advantage of the radical changes that would likely </w:t>
      </w:r>
      <w:r w:rsidR="00356D90">
        <w:rPr>
          <w:rFonts w:eastAsia="Arial Unicode MS"/>
          <w:bdr w:val="nil"/>
        </w:rPr>
        <w:t>continue to</w:t>
      </w:r>
      <w:r w:rsidR="00356D90" w:rsidRPr="0058743F">
        <w:rPr>
          <w:rFonts w:eastAsia="Arial Unicode MS"/>
          <w:bdr w:val="nil"/>
        </w:rPr>
        <w:t xml:space="preserve"> </w:t>
      </w:r>
      <w:r w:rsidR="0058743F" w:rsidRPr="0058743F">
        <w:rPr>
          <w:rFonts w:eastAsia="Arial Unicode MS"/>
          <w:bdr w:val="nil"/>
        </w:rPr>
        <w:t>disrupt the banking sector? Which strateg</w:t>
      </w:r>
      <w:r w:rsidR="00356D90">
        <w:rPr>
          <w:rFonts w:eastAsia="Arial Unicode MS"/>
          <w:bdr w:val="nil"/>
        </w:rPr>
        <w:t>i</w:t>
      </w:r>
      <w:r>
        <w:rPr>
          <w:rFonts w:eastAsia="Arial Unicode MS"/>
          <w:bdr w:val="nil"/>
        </w:rPr>
        <w:t>c actions</w:t>
      </w:r>
      <w:r w:rsidR="0058743F" w:rsidRPr="0058743F">
        <w:rPr>
          <w:rFonts w:eastAsia="Arial Unicode MS"/>
          <w:bdr w:val="nil"/>
        </w:rPr>
        <w:t xml:space="preserve"> </w:t>
      </w:r>
      <w:r w:rsidR="00F0342F">
        <w:rPr>
          <w:rFonts w:eastAsia="Arial Unicode MS"/>
          <w:bdr w:val="nil"/>
        </w:rPr>
        <w:t>were</w:t>
      </w:r>
      <w:r w:rsidR="0058743F" w:rsidRPr="0058743F">
        <w:rPr>
          <w:rFonts w:eastAsia="Arial Unicode MS"/>
          <w:bdr w:val="nil"/>
        </w:rPr>
        <w:t xml:space="preserve"> most needed for the </w:t>
      </w:r>
      <w:r w:rsidR="00F0342F">
        <w:rPr>
          <w:rFonts w:eastAsia="Arial Unicode MS"/>
          <w:bdr w:val="nil"/>
        </w:rPr>
        <w:t>bank</w:t>
      </w:r>
      <w:r w:rsidR="00F0342F" w:rsidRPr="0058743F">
        <w:rPr>
          <w:rFonts w:eastAsia="Arial Unicode MS"/>
          <w:bdr w:val="nil"/>
        </w:rPr>
        <w:t xml:space="preserve"> </w:t>
      </w:r>
      <w:r w:rsidR="0058743F" w:rsidRPr="0058743F">
        <w:rPr>
          <w:rFonts w:eastAsia="Arial Unicode MS"/>
          <w:bdr w:val="nil"/>
        </w:rPr>
        <w:t>to continue thriving in the face of the digital disruption?</w:t>
      </w:r>
      <w:r w:rsidR="0058743F" w:rsidRPr="001320E1">
        <w:rPr>
          <w:rFonts w:eastAsia="Arial Unicode MS"/>
          <w:sz w:val="24"/>
          <w:bdr w:val="nil"/>
        </w:rPr>
        <w:t xml:space="preserve"> </w:t>
      </w:r>
      <w:r w:rsidR="00356D90" w:rsidRPr="00B844FD">
        <w:rPr>
          <w:rFonts w:eastAsia="Arial Unicode MS"/>
          <w:bdr w:val="nil"/>
        </w:rPr>
        <w:t xml:space="preserve">How </w:t>
      </w:r>
      <w:r w:rsidR="00F0342F" w:rsidRPr="001320E1">
        <w:rPr>
          <w:rFonts w:eastAsia="Arial Unicode MS"/>
          <w:bdr w:val="nil"/>
        </w:rPr>
        <w:t xml:space="preserve">should </w:t>
      </w:r>
      <w:proofErr w:type="spellStart"/>
      <w:r w:rsidR="00E34C1A">
        <w:rPr>
          <w:rFonts w:eastAsia="Arial Unicode MS"/>
          <w:bdr w:val="nil"/>
        </w:rPr>
        <w:t>Hamers</w:t>
      </w:r>
      <w:proofErr w:type="spellEnd"/>
      <w:r w:rsidR="00F0342F" w:rsidRPr="001320E1">
        <w:rPr>
          <w:rFonts w:eastAsia="Arial Unicode MS"/>
          <w:bdr w:val="nil"/>
        </w:rPr>
        <w:t xml:space="preserve"> prioritize </w:t>
      </w:r>
      <w:r w:rsidR="00356D90">
        <w:rPr>
          <w:rFonts w:eastAsia="Arial Unicode MS"/>
          <w:bdr w:val="nil"/>
        </w:rPr>
        <w:t>the initiatives for his announced</w:t>
      </w:r>
      <w:r w:rsidR="00731FE4">
        <w:rPr>
          <w:rFonts w:eastAsia="Arial Unicode MS"/>
          <w:bdr w:val="nil"/>
        </w:rPr>
        <w:t xml:space="preserve"> investment of</w:t>
      </w:r>
      <w:r w:rsidR="00F0342F" w:rsidRPr="001320E1">
        <w:rPr>
          <w:rFonts w:eastAsia="Arial Unicode MS"/>
          <w:bdr w:val="nil"/>
        </w:rPr>
        <w:t xml:space="preserve"> </w:t>
      </w:r>
      <w:r w:rsidR="002C0168">
        <w:rPr>
          <w:rFonts w:eastAsia="Arial Unicode MS"/>
          <w:bdr w:val="nil"/>
        </w:rPr>
        <w:t>€</w:t>
      </w:r>
      <w:r w:rsidR="00F0342F" w:rsidRPr="001320E1">
        <w:rPr>
          <w:rFonts w:eastAsia="Arial Unicode MS"/>
          <w:bdr w:val="nil"/>
        </w:rPr>
        <w:t>800 million?</w:t>
      </w:r>
      <w:r w:rsidR="00B479EE">
        <w:rPr>
          <w:rFonts w:eastAsia="Arial Unicode MS"/>
          <w:bdr w:val="nil"/>
        </w:rPr>
        <w:t xml:space="preserve"> </w:t>
      </w:r>
    </w:p>
    <w:p w14:paraId="35276369" w14:textId="77777777" w:rsidR="0058743F" w:rsidRDefault="0058743F">
      <w:pPr>
        <w:pStyle w:val="BodyTextMain"/>
      </w:pPr>
    </w:p>
    <w:p w14:paraId="3C3D6AC6" w14:textId="77777777" w:rsidR="001061D6" w:rsidRDefault="001061D6">
      <w:pPr>
        <w:spacing w:after="200" w:line="276" w:lineRule="auto"/>
        <w:rPr>
          <w:rFonts w:ascii="Arial" w:hAnsi="Arial" w:cs="Arial"/>
          <w:b/>
          <w:caps/>
        </w:rPr>
      </w:pPr>
      <w:r>
        <w:br w:type="page"/>
      </w:r>
    </w:p>
    <w:p w14:paraId="14B6C3AA" w14:textId="5345EA61" w:rsidR="001061D6" w:rsidRDefault="001061D6" w:rsidP="002B7515">
      <w:pPr>
        <w:pStyle w:val="Casehead1"/>
      </w:pPr>
      <w:r>
        <w:lastRenderedPageBreak/>
        <w:t>ENDNOTES</w:t>
      </w:r>
    </w:p>
    <w:sectPr w:rsidR="001061D6"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90734" w16cid:durableId="1E3031EE"/>
  <w16cid:commentId w16cid:paraId="1F21C839" w16cid:durableId="1E2FF561"/>
  <w16cid:commentId w16cid:paraId="38B98DBA" w16cid:durableId="1E2FF548"/>
  <w16cid:commentId w16cid:paraId="56E3AA5A" w16cid:durableId="1E2FDC22"/>
  <w16cid:commentId w16cid:paraId="09E7DF4D" w16cid:durableId="1E303199"/>
  <w16cid:commentId w16cid:paraId="398FDFD3" w16cid:durableId="1E31265C"/>
  <w16cid:commentId w16cid:paraId="5F935254" w16cid:durableId="1E2EBEC0"/>
  <w16cid:commentId w16cid:paraId="30365D9D" w16cid:durableId="1E301C01"/>
  <w16cid:commentId w16cid:paraId="1CFB68B7" w16cid:durableId="1E2EDF64"/>
  <w16cid:commentId w16cid:paraId="534D448C" w16cid:durableId="1E2FDFFD"/>
  <w16cid:commentId w16cid:paraId="1732DE2C" w16cid:durableId="1E2FCB19"/>
  <w16cid:commentId w16cid:paraId="6CB1B2C9" w16cid:durableId="1E3128E1"/>
  <w16cid:commentId w16cid:paraId="5032D042" w16cid:durableId="1E2FE128"/>
  <w16cid:commentId w16cid:paraId="1110CC98" w16cid:durableId="1E302CB2"/>
  <w16cid:commentId w16cid:paraId="25850923" w16cid:durableId="1E302C8C"/>
  <w16cid:commentId w16cid:paraId="13FCB771" w16cid:durableId="1E302E81"/>
  <w16cid:commentId w16cid:paraId="419CC096" w16cid:durableId="1E2FE199"/>
  <w16cid:commentId w16cid:paraId="0EF067F2" w16cid:durableId="1E2FD1A4"/>
  <w16cid:commentId w16cid:paraId="2D83848D" w16cid:durableId="1E2FD287"/>
  <w16cid:commentId w16cid:paraId="4B0E4A4D" w16cid:durableId="1E2FD403"/>
  <w16cid:commentId w16cid:paraId="7911519B" w16cid:durableId="1E302F29"/>
  <w16cid:commentId w16cid:paraId="33A73205" w16cid:durableId="1E3030B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56734" w14:textId="77777777" w:rsidR="000F2A75" w:rsidRDefault="000F2A75" w:rsidP="00D75295">
      <w:r>
        <w:separator/>
      </w:r>
    </w:p>
  </w:endnote>
  <w:endnote w:type="continuationSeparator" w:id="0">
    <w:p w14:paraId="7C77C4E9" w14:textId="77777777" w:rsidR="000F2A75" w:rsidRDefault="000F2A75" w:rsidP="00D75295">
      <w:r>
        <w:continuationSeparator/>
      </w:r>
    </w:p>
  </w:endnote>
  <w:endnote w:id="1">
    <w:p w14:paraId="45573AEF" w14:textId="77777777" w:rsidR="001061D6" w:rsidRPr="00A65A66" w:rsidRDefault="001061D6" w:rsidP="00B854E9">
      <w:pPr>
        <w:pStyle w:val="Footnote"/>
      </w:pPr>
      <w:r>
        <w:rPr>
          <w:rStyle w:val="EndnoteReference"/>
        </w:rPr>
        <w:endnoteRef/>
      </w:r>
      <w:r>
        <w:t xml:space="preserve"> </w:t>
      </w:r>
      <w:r w:rsidRPr="00E66022">
        <w:rPr>
          <w:rStyle w:val="FootnoteChar"/>
        </w:rPr>
        <w:t xml:space="preserve">This case has been written on the basis of published sources only. Consequently, the interpretation and perspectives </w:t>
      </w:r>
      <w:r w:rsidRPr="007363D7">
        <w:t>presented in this case are not necessarily those of ING Bank or any of its employees.</w:t>
      </w:r>
    </w:p>
  </w:endnote>
  <w:endnote w:id="2">
    <w:p w14:paraId="528BF87D" w14:textId="40373E52" w:rsidR="001061D6" w:rsidRPr="00B844FD" w:rsidRDefault="001061D6" w:rsidP="00B854E9">
      <w:pPr>
        <w:pStyle w:val="Footnote"/>
        <w:rPr>
          <w:spacing w:val="-4"/>
          <w:kern w:val="17"/>
        </w:rPr>
      </w:pPr>
      <w:r w:rsidRPr="00B844FD">
        <w:rPr>
          <w:rStyle w:val="EndnoteReference"/>
          <w:spacing w:val="-4"/>
          <w:kern w:val="17"/>
        </w:rPr>
        <w:endnoteRef/>
      </w:r>
      <w:r w:rsidRPr="00B844FD">
        <w:rPr>
          <w:spacing w:val="-4"/>
          <w:kern w:val="17"/>
        </w:rPr>
        <w:t xml:space="preserve"> </w:t>
      </w:r>
      <w:r w:rsidRPr="00356F07">
        <w:t>ING Group</w:t>
      </w:r>
      <w:r>
        <w:t xml:space="preserve">, </w:t>
      </w:r>
      <w:r w:rsidRPr="00356F07">
        <w:rPr>
          <w:i/>
        </w:rPr>
        <w:t>Annual Report 2016</w:t>
      </w:r>
      <w:r>
        <w:rPr>
          <w:i/>
        </w:rPr>
        <w:t>: Accelerate,</w:t>
      </w:r>
      <w:r>
        <w:t xml:space="preserve"> March 2017, accessed June 10, 2017, </w:t>
      </w:r>
      <w:r w:rsidRPr="00EB0FBC">
        <w:t>www.ing.com/About-us/Annual-reporting-suite/Annual-Reports-archive.htm</w:t>
      </w:r>
      <w:r>
        <w:t>;</w:t>
      </w:r>
      <w:r w:rsidR="008409DC">
        <w:t xml:space="preserve"> All currency amounts are in US </w:t>
      </w:r>
      <w:r w:rsidR="008409DC">
        <w:t>dollars</w:t>
      </w:r>
      <w:bookmarkStart w:id="0" w:name="_GoBack"/>
      <w:bookmarkEnd w:id="0"/>
      <w:r>
        <w:t xml:space="preserve"> unless otherwise specified; </w:t>
      </w:r>
      <w:r w:rsidRPr="00B844FD">
        <w:rPr>
          <w:spacing w:val="-4"/>
          <w:kern w:val="17"/>
        </w:rPr>
        <w:t xml:space="preserve">Citigroup, </w:t>
      </w:r>
      <w:r w:rsidRPr="00B844FD">
        <w:rPr>
          <w:i/>
          <w:spacing w:val="-4"/>
          <w:kern w:val="17"/>
        </w:rPr>
        <w:t xml:space="preserve">Digital Disruption: How </w:t>
      </w:r>
      <w:proofErr w:type="spellStart"/>
      <w:r w:rsidRPr="00B844FD">
        <w:rPr>
          <w:i/>
          <w:spacing w:val="-4"/>
          <w:kern w:val="17"/>
        </w:rPr>
        <w:t>FinTech</w:t>
      </w:r>
      <w:proofErr w:type="spellEnd"/>
      <w:r w:rsidRPr="00B844FD">
        <w:rPr>
          <w:i/>
          <w:spacing w:val="-4"/>
          <w:kern w:val="17"/>
        </w:rPr>
        <w:t xml:space="preserve"> is Forcing Banking to a Tipping Point</w:t>
      </w:r>
      <w:r>
        <w:rPr>
          <w:i/>
          <w:spacing w:val="-4"/>
          <w:kern w:val="17"/>
        </w:rPr>
        <w:t>,</w:t>
      </w:r>
      <w:r>
        <w:rPr>
          <w:spacing w:val="-4"/>
          <w:kern w:val="17"/>
        </w:rPr>
        <w:t xml:space="preserve"> </w:t>
      </w:r>
      <w:r w:rsidRPr="00B844FD">
        <w:rPr>
          <w:spacing w:val="-4"/>
          <w:kern w:val="17"/>
        </w:rPr>
        <w:t>March 2016, accessed July 1, 2017, https://ir.citi.com/D%2F5GCKN6uoSvhbvCmUDS05SYsRaDvAykPjb5subGr7f1JMe8w2oX1bqpFm6RdjSRSpGzSaXhyXY%3D.</w:t>
      </w:r>
    </w:p>
  </w:endnote>
  <w:endnote w:id="3">
    <w:p w14:paraId="52245382" w14:textId="2DEEAA89" w:rsidR="001061D6" w:rsidRDefault="001061D6" w:rsidP="007363D7">
      <w:pPr>
        <w:pStyle w:val="Footnote"/>
      </w:pPr>
      <w:r w:rsidRPr="00442567">
        <w:rPr>
          <w:rStyle w:val="EndnoteReference"/>
        </w:rPr>
        <w:endnoteRef/>
      </w:r>
      <w:r w:rsidRPr="00442567">
        <w:t xml:space="preserve"> </w:t>
      </w:r>
      <w:r>
        <w:t>€ = EUR = euro; €1 = US$1.07 on March 31, 2017; ING Group, “</w:t>
      </w:r>
      <w:r w:rsidRPr="007363D7">
        <w:t>ING Strategy Update: Accelerating Think Forward</w:t>
      </w:r>
      <w:r>
        <w:t xml:space="preserve">,” press release, October 3, 2016, accessed January 5, 2018, </w:t>
      </w:r>
      <w:r w:rsidRPr="00994535">
        <w:t>www.ing.com/Newsroom/All-news/Press-releases/ING-strategy-update-Accelerating-Think-Forward.htm</w:t>
      </w:r>
      <w:r>
        <w:t>.</w:t>
      </w:r>
    </w:p>
  </w:endnote>
  <w:endnote w:id="4">
    <w:p w14:paraId="56A492FE" w14:textId="3C1F1DE8" w:rsidR="001061D6" w:rsidRDefault="001061D6" w:rsidP="00B854E9">
      <w:pPr>
        <w:pStyle w:val="Footnote"/>
      </w:pPr>
      <w:r>
        <w:rPr>
          <w:rStyle w:val="EndnoteReference"/>
        </w:rPr>
        <w:endnoteRef/>
      </w:r>
      <w:r>
        <w:t xml:space="preserve"> </w:t>
      </w:r>
      <w:r w:rsidRPr="00BC2454">
        <w:t xml:space="preserve">“The History of ING,” </w:t>
      </w:r>
      <w:r>
        <w:t>ING</w:t>
      </w:r>
      <w:r w:rsidRPr="00BC2454">
        <w:t xml:space="preserve">, accessed February 15, 2018, </w:t>
      </w:r>
      <w:r w:rsidRPr="00EB0FBC">
        <w:t>https://www.ing.com/About-us/Profile-Fast-facts/History-of-ING.htm</w:t>
      </w:r>
      <w:r>
        <w:t xml:space="preserve">; </w:t>
      </w:r>
      <w:r w:rsidRPr="00356F07">
        <w:t>ING Group</w:t>
      </w:r>
      <w:r>
        <w:t xml:space="preserve">, </w:t>
      </w:r>
      <w:r w:rsidRPr="00356F07">
        <w:rPr>
          <w:i/>
        </w:rPr>
        <w:t>Annual Report 2016</w:t>
      </w:r>
      <w:r>
        <w:t xml:space="preserve">, op. cit. </w:t>
      </w:r>
    </w:p>
  </w:endnote>
  <w:endnote w:id="5">
    <w:p w14:paraId="02A80247" w14:textId="1075ED57" w:rsidR="001061D6" w:rsidRDefault="001061D6" w:rsidP="00B854E9">
      <w:pPr>
        <w:pStyle w:val="Footnote"/>
      </w:pPr>
      <w:r>
        <w:rPr>
          <w:rStyle w:val="EndnoteReference"/>
        </w:rPr>
        <w:endnoteRef/>
      </w:r>
      <w:r>
        <w:t xml:space="preserve"> Ibid. </w:t>
      </w:r>
    </w:p>
  </w:endnote>
  <w:endnote w:id="6">
    <w:p w14:paraId="5FB72AB1" w14:textId="57941A51" w:rsidR="001061D6" w:rsidRDefault="001061D6" w:rsidP="007363D7">
      <w:pPr>
        <w:pStyle w:val="Footnote"/>
      </w:pPr>
      <w:r>
        <w:rPr>
          <w:rStyle w:val="EndnoteReference"/>
        </w:rPr>
        <w:endnoteRef/>
      </w:r>
      <w:r>
        <w:t xml:space="preserve"> Ibid. </w:t>
      </w:r>
    </w:p>
  </w:endnote>
  <w:endnote w:id="7">
    <w:p w14:paraId="078BCDFC" w14:textId="46C22DEB" w:rsidR="001061D6" w:rsidRPr="0074078F" w:rsidRDefault="001061D6" w:rsidP="00862DC4">
      <w:pPr>
        <w:pStyle w:val="Footnote"/>
      </w:pPr>
      <w:r w:rsidRPr="0074078F">
        <w:rPr>
          <w:rStyle w:val="EndnoteReference"/>
        </w:rPr>
        <w:endnoteRef/>
      </w:r>
      <w:r w:rsidRPr="0074078F">
        <w:t xml:space="preserve"> </w:t>
      </w:r>
      <w:r>
        <w:t xml:space="preserve">ING Group, “ING Named Global Bank of the Year,” press release, December 8, 2016, accessed February 15, 2018, </w:t>
      </w:r>
      <w:r w:rsidRPr="00220057">
        <w:t>www.ing.com/Newsroom/All-news/ING-named-Global-Bank-of-the-Year.htm</w:t>
      </w:r>
      <w:r>
        <w:t>;</w:t>
      </w:r>
      <w:r w:rsidDel="00917E41">
        <w:t xml:space="preserve"> </w:t>
      </w:r>
      <w:r w:rsidRPr="00356F07">
        <w:t>ING Group</w:t>
      </w:r>
      <w:r>
        <w:t xml:space="preserve">, </w:t>
      </w:r>
      <w:r w:rsidRPr="00356F07">
        <w:rPr>
          <w:i/>
        </w:rPr>
        <w:t>Annual Report 2016</w:t>
      </w:r>
      <w:r>
        <w:rPr>
          <w:i/>
        </w:rPr>
        <w:t xml:space="preserve">: Accelerate, </w:t>
      </w:r>
      <w:r w:rsidRPr="002B7515">
        <w:t>op. cit</w:t>
      </w:r>
      <w:r w:rsidRPr="00BE6B16">
        <w:t xml:space="preserve">., </w:t>
      </w:r>
      <w:r>
        <w:t>10.</w:t>
      </w:r>
      <w:r w:rsidRPr="0074078F">
        <w:t xml:space="preserve"> </w:t>
      </w:r>
    </w:p>
  </w:endnote>
  <w:endnote w:id="8">
    <w:p w14:paraId="6627D6B3" w14:textId="226869FD" w:rsidR="001061D6" w:rsidRDefault="001061D6" w:rsidP="007363D7">
      <w:pPr>
        <w:pStyle w:val="Footnote"/>
      </w:pPr>
      <w:r>
        <w:rPr>
          <w:rStyle w:val="EndnoteReference"/>
        </w:rPr>
        <w:endnoteRef/>
      </w:r>
      <w:r>
        <w:t xml:space="preserve"> Basel Committee on Banking Supervision, </w:t>
      </w:r>
      <w:r w:rsidRPr="007363D7">
        <w:rPr>
          <w:i/>
        </w:rPr>
        <w:t>Capital Requirements for Bank Exposures to Central Counterparties</w:t>
      </w:r>
      <w:r>
        <w:t xml:space="preserve"> (Bank for International Settlements, April 2014), accessed February 15, 2018, </w:t>
      </w:r>
      <w:r w:rsidRPr="00943AB8">
        <w:t>www.bis.org/publ/bcbs282.pdf</w:t>
      </w:r>
      <w:r>
        <w:t xml:space="preserve">; Basel Committee on Banking Supervision, </w:t>
      </w:r>
      <w:r w:rsidRPr="007363D7">
        <w:rPr>
          <w:i/>
        </w:rPr>
        <w:t>Capital Requirements for Banks’ Equity Investments in Funds</w:t>
      </w:r>
      <w:r>
        <w:t xml:space="preserve"> (Bank for International Settlements, December 2013), accessed February 15, 2018, </w:t>
      </w:r>
      <w:r w:rsidRPr="00943AB8">
        <w:t>www.bis.org/publ/bcbs266.pdf</w:t>
      </w:r>
      <w:r>
        <w:t>.</w:t>
      </w:r>
    </w:p>
  </w:endnote>
  <w:endnote w:id="9">
    <w:p w14:paraId="1969F57E" w14:textId="116770F3" w:rsidR="001061D6" w:rsidRPr="0074078F" w:rsidRDefault="001061D6" w:rsidP="007363D7">
      <w:pPr>
        <w:pStyle w:val="Footnote"/>
      </w:pPr>
      <w:r w:rsidRPr="0074078F">
        <w:rPr>
          <w:rStyle w:val="EndnoteReference"/>
        </w:rPr>
        <w:endnoteRef/>
      </w:r>
      <w:r w:rsidRPr="0074078F">
        <w:t xml:space="preserve"> ING Group, </w:t>
      </w:r>
      <w:r>
        <w:t>“</w:t>
      </w:r>
      <w:r w:rsidRPr="007363D7">
        <w:t>ING Strategy Update: Accelerating Think Forward</w:t>
      </w:r>
      <w:r w:rsidRPr="0074078F">
        <w:t>,</w:t>
      </w:r>
      <w:r>
        <w:t>” op. cit.</w:t>
      </w:r>
      <w:r w:rsidRPr="0074078F">
        <w:t xml:space="preserve"> </w:t>
      </w:r>
    </w:p>
  </w:endnote>
  <w:endnote w:id="10">
    <w:p w14:paraId="10FB906D" w14:textId="5FA6263B" w:rsidR="001061D6" w:rsidRDefault="001061D6" w:rsidP="00B854E9">
      <w:pPr>
        <w:pStyle w:val="Footnote"/>
      </w:pPr>
      <w:r>
        <w:rPr>
          <w:rStyle w:val="EndnoteReference"/>
        </w:rPr>
        <w:endnoteRef/>
      </w:r>
      <w:r>
        <w:t xml:space="preserve"> </w:t>
      </w:r>
      <w:r w:rsidRPr="00A119E8">
        <w:t>World Economic Forum</w:t>
      </w:r>
      <w:r>
        <w:t>,</w:t>
      </w:r>
      <w:r w:rsidRPr="00A119E8">
        <w:t xml:space="preserve"> </w:t>
      </w:r>
      <w:r w:rsidRPr="00A119E8">
        <w:rPr>
          <w:i/>
        </w:rPr>
        <w:t>Digital Transformation of Industries</w:t>
      </w:r>
      <w:r>
        <w:rPr>
          <w:i/>
        </w:rPr>
        <w:t>: In Collaboration with Accenture,</w:t>
      </w:r>
      <w:r>
        <w:t xml:space="preserve"> January 2016, 4, accessed May 22,</w:t>
      </w:r>
      <w:r w:rsidRPr="00A119E8">
        <w:t xml:space="preserve"> 2017, http://reports.weforum.org/digital-transformation/wp-content/blogs.dir/94/mp/files/pages/files/digital-enterprise-narrative-final-january-2016.pdf</w:t>
      </w:r>
      <w:r>
        <w:t>.</w:t>
      </w:r>
    </w:p>
  </w:endnote>
  <w:endnote w:id="11">
    <w:p w14:paraId="34FC2FD7" w14:textId="5BEAEA78" w:rsidR="001061D6" w:rsidRPr="00B844FD" w:rsidRDefault="001061D6" w:rsidP="002B7515">
      <w:pPr>
        <w:pStyle w:val="Footnote"/>
        <w:rPr>
          <w:rStyle w:val="FootnoteChar"/>
        </w:rPr>
      </w:pPr>
      <w:r>
        <w:rPr>
          <w:rStyle w:val="EndnoteReference"/>
        </w:rPr>
        <w:endnoteRef/>
      </w:r>
      <w:r>
        <w:t xml:space="preserve"> Accenture, “</w:t>
      </w:r>
      <w:r w:rsidRPr="007363D7">
        <w:t>Digital Transformation in Banking</w:t>
      </w:r>
      <w:r>
        <w:t xml:space="preserve">,” Accenture, accessed September 1, 2017, </w:t>
      </w:r>
      <w:r w:rsidRPr="00EB0FBC">
        <w:t>www.accenture.com/nl-en/digital-transformation-banking</w:t>
      </w:r>
      <w:r>
        <w:t xml:space="preserve">; </w:t>
      </w:r>
      <w:proofErr w:type="spellStart"/>
      <w:r w:rsidRPr="00BC2454">
        <w:t>Henk</w:t>
      </w:r>
      <w:proofErr w:type="spellEnd"/>
      <w:r w:rsidRPr="00BC2454">
        <w:t xml:space="preserve"> </w:t>
      </w:r>
      <w:proofErr w:type="spellStart"/>
      <w:r w:rsidRPr="00BC2454">
        <w:t>Broeders</w:t>
      </w:r>
      <w:proofErr w:type="spellEnd"/>
      <w:r w:rsidRPr="00BC2454">
        <w:t xml:space="preserve"> and </w:t>
      </w:r>
      <w:proofErr w:type="spellStart"/>
      <w:r w:rsidRPr="00BC2454">
        <w:t>Somesh</w:t>
      </w:r>
      <w:proofErr w:type="spellEnd"/>
      <w:r w:rsidRPr="00BC2454">
        <w:t xml:space="preserve"> Khanna, </w:t>
      </w:r>
      <w:r w:rsidRPr="002B7515">
        <w:rPr>
          <w:i/>
        </w:rPr>
        <w:t>Strategic Choices for Banks in the Digital Age</w:t>
      </w:r>
      <w:r>
        <w:t>,</w:t>
      </w:r>
      <w:r w:rsidRPr="00BC2454">
        <w:t xml:space="preserve"> McKinsey &amp; Company, accessed February 15, 2018, https://www.mckinsey.com/industries/financial-services/our-insights/strategic-choices-for-banks-in-the-digital-age</w:t>
      </w:r>
      <w:r>
        <w:t>.</w:t>
      </w:r>
    </w:p>
  </w:endnote>
  <w:endnote w:id="12">
    <w:p w14:paraId="45281C20" w14:textId="7BDAB2FB" w:rsidR="001061D6" w:rsidRDefault="001061D6" w:rsidP="00B854E9">
      <w:pPr>
        <w:pStyle w:val="Footnote"/>
      </w:pPr>
      <w:r>
        <w:rPr>
          <w:rStyle w:val="EndnoteReference"/>
        </w:rPr>
        <w:endnoteRef/>
      </w:r>
      <w:r>
        <w:t xml:space="preserve"> Accenture, op. cit.</w:t>
      </w:r>
    </w:p>
  </w:endnote>
  <w:endnote w:id="13">
    <w:p w14:paraId="28268B08" w14:textId="326E6984" w:rsidR="001061D6" w:rsidRPr="007363D7" w:rsidRDefault="001061D6" w:rsidP="007363D7">
      <w:pPr>
        <w:pStyle w:val="Footnote"/>
      </w:pPr>
      <w:r>
        <w:rPr>
          <w:rStyle w:val="EndnoteReference"/>
        </w:rPr>
        <w:endnoteRef/>
      </w:r>
      <w:r>
        <w:t xml:space="preserve"> </w:t>
      </w:r>
      <w:proofErr w:type="spellStart"/>
      <w:r>
        <w:t>Taavet</w:t>
      </w:r>
      <w:proofErr w:type="spellEnd"/>
      <w:r>
        <w:t xml:space="preserve"> </w:t>
      </w:r>
      <w:proofErr w:type="spellStart"/>
      <w:r>
        <w:t>Hinrikus</w:t>
      </w:r>
      <w:proofErr w:type="spellEnd"/>
      <w:r>
        <w:t xml:space="preserve">, </w:t>
      </w:r>
      <w:r w:rsidRPr="00B854E9">
        <w:rPr>
          <w:rStyle w:val="FootnoteChar"/>
        </w:rPr>
        <w:t>“What Will the Bank of the Future Look Like</w:t>
      </w:r>
      <w:proofErr w:type="gramStart"/>
      <w:r w:rsidRPr="00B854E9">
        <w:rPr>
          <w:rStyle w:val="FootnoteChar"/>
        </w:rPr>
        <w:t>?</w:t>
      </w:r>
      <w:r>
        <w:rPr>
          <w:rStyle w:val="FootnoteChar"/>
        </w:rPr>
        <w:t>,</w:t>
      </w:r>
      <w:proofErr w:type="gramEnd"/>
      <w:r w:rsidRPr="00B854E9">
        <w:rPr>
          <w:rStyle w:val="FootnoteChar"/>
        </w:rPr>
        <w:t>” World Economic Forum</w:t>
      </w:r>
      <w:r>
        <w:rPr>
          <w:rStyle w:val="FootnoteChar"/>
        </w:rPr>
        <w:t xml:space="preserve"> (blog)</w:t>
      </w:r>
      <w:r w:rsidRPr="00B854E9">
        <w:rPr>
          <w:rStyle w:val="FootnoteChar"/>
        </w:rPr>
        <w:t xml:space="preserve">, February </w:t>
      </w:r>
      <w:r>
        <w:rPr>
          <w:rStyle w:val="FootnoteChar"/>
        </w:rPr>
        <w:t xml:space="preserve">15, </w:t>
      </w:r>
      <w:r w:rsidRPr="00B854E9">
        <w:rPr>
          <w:rStyle w:val="FootnoteChar"/>
        </w:rPr>
        <w:t xml:space="preserve">2016, </w:t>
      </w:r>
      <w:r w:rsidRPr="007363D7">
        <w:t>accessed September 1, 2017, www.weforum.org/agenda/2016/02/what-will-the-bank-of-the-future-look-like.</w:t>
      </w:r>
    </w:p>
  </w:endnote>
  <w:endnote w:id="14">
    <w:p w14:paraId="427B77FC" w14:textId="03B29E48" w:rsidR="001061D6" w:rsidRPr="00B844FD" w:rsidRDefault="001061D6" w:rsidP="002B7515">
      <w:pPr>
        <w:pStyle w:val="Footnote"/>
      </w:pPr>
      <w:r>
        <w:rPr>
          <w:rStyle w:val="EndnoteReference"/>
        </w:rPr>
        <w:endnoteRef/>
      </w:r>
      <w:r>
        <w:t xml:space="preserve"> </w:t>
      </w:r>
      <w:r w:rsidRPr="00BC2454">
        <w:t xml:space="preserve">Miklos Dietz, Philipp </w:t>
      </w:r>
      <w:proofErr w:type="spellStart"/>
      <w:r w:rsidRPr="00BC2454">
        <w:t>Härle</w:t>
      </w:r>
      <w:proofErr w:type="spellEnd"/>
      <w:r w:rsidRPr="00BC2454">
        <w:t xml:space="preserve">, and </w:t>
      </w:r>
      <w:proofErr w:type="spellStart"/>
      <w:r w:rsidRPr="00BC2454">
        <w:t>Somesh</w:t>
      </w:r>
      <w:proofErr w:type="spellEnd"/>
      <w:r w:rsidRPr="00BC2454">
        <w:t xml:space="preserve"> Khanna, “A Digital Crack in Banking’s Business Model,” </w:t>
      </w:r>
      <w:r w:rsidRPr="002B7515">
        <w:rPr>
          <w:i/>
        </w:rPr>
        <w:t>McKinsey Quarterly</w:t>
      </w:r>
      <w:r w:rsidRPr="00BC2454">
        <w:t>, April 1, 2016, accessed February 15, 2018, https://www.mckinsey.com/industries/financial-services/our-insights/a-digital-crack-in-bankings-business-model</w:t>
      </w:r>
      <w:r>
        <w:rPr>
          <w:rStyle w:val="FootnoteChar"/>
        </w:rPr>
        <w:t>.</w:t>
      </w:r>
    </w:p>
  </w:endnote>
  <w:endnote w:id="15">
    <w:p w14:paraId="7BBC41D4" w14:textId="399589D3" w:rsidR="001061D6" w:rsidRPr="00B844FD" w:rsidRDefault="001061D6" w:rsidP="009C3A6D">
      <w:pPr>
        <w:pStyle w:val="Footnote"/>
        <w:rPr>
          <w:spacing w:val="-4"/>
          <w:kern w:val="17"/>
        </w:rPr>
      </w:pPr>
      <w:r w:rsidRPr="00B844FD">
        <w:rPr>
          <w:rStyle w:val="EndnoteReference"/>
          <w:spacing w:val="-4"/>
          <w:kern w:val="17"/>
        </w:rPr>
        <w:endnoteRef/>
      </w:r>
      <w:r w:rsidRPr="00B844FD">
        <w:rPr>
          <w:spacing w:val="-4"/>
          <w:kern w:val="17"/>
        </w:rPr>
        <w:t xml:space="preserve"> </w:t>
      </w:r>
      <w:r>
        <w:t>Rosamond Hutt</w:t>
      </w:r>
      <w:r w:rsidRPr="00862DC4">
        <w:t>, “What Does the Rise of Fintech Mean for Banking?</w:t>
      </w:r>
      <w:r>
        <w:t>,</w:t>
      </w:r>
      <w:r w:rsidRPr="00862DC4">
        <w:t>” World Economic Forum</w:t>
      </w:r>
      <w:r>
        <w:t xml:space="preserve"> (blog)</w:t>
      </w:r>
      <w:r w:rsidRPr="00862DC4">
        <w:t xml:space="preserve">, </w:t>
      </w:r>
      <w:r>
        <w:t xml:space="preserve">April 4, </w:t>
      </w:r>
      <w:r w:rsidRPr="00862DC4">
        <w:t>2016, accessed September 1</w:t>
      </w:r>
      <w:r>
        <w:t>,</w:t>
      </w:r>
      <w:r w:rsidRPr="00862DC4">
        <w:t xml:space="preserve"> 2017, </w:t>
      </w:r>
      <w:r w:rsidRPr="00EB0FBC">
        <w:t>www.weforum.org/agenda/2016/04/what-does-the-rise-of-fintech-mean-for-banking</w:t>
      </w:r>
      <w:r>
        <w:t xml:space="preserve">; </w:t>
      </w:r>
      <w:r w:rsidRPr="00B844FD">
        <w:rPr>
          <w:spacing w:val="-4"/>
          <w:kern w:val="17"/>
        </w:rPr>
        <w:t xml:space="preserve">Kathleen Boyle, “Digital Disruption: How </w:t>
      </w:r>
      <w:proofErr w:type="spellStart"/>
      <w:r w:rsidRPr="00B844FD">
        <w:rPr>
          <w:spacing w:val="-4"/>
          <w:kern w:val="17"/>
        </w:rPr>
        <w:t>FinTech</w:t>
      </w:r>
      <w:proofErr w:type="spellEnd"/>
      <w:r w:rsidRPr="00B844FD">
        <w:rPr>
          <w:spacing w:val="-4"/>
          <w:kern w:val="17"/>
        </w:rPr>
        <w:t xml:space="preserve"> is Forcing Banking to a Tipping Point,” foreword to Citigroup, </w:t>
      </w:r>
      <w:r w:rsidRPr="00B844FD">
        <w:rPr>
          <w:i/>
          <w:spacing w:val="-4"/>
          <w:kern w:val="17"/>
        </w:rPr>
        <w:t xml:space="preserve">Digital Disruption: How </w:t>
      </w:r>
      <w:proofErr w:type="spellStart"/>
      <w:r w:rsidRPr="00B844FD">
        <w:rPr>
          <w:i/>
          <w:spacing w:val="-4"/>
          <w:kern w:val="17"/>
        </w:rPr>
        <w:t>FinTech</w:t>
      </w:r>
      <w:proofErr w:type="spellEnd"/>
      <w:r w:rsidRPr="00B844FD">
        <w:rPr>
          <w:i/>
          <w:spacing w:val="-4"/>
          <w:kern w:val="17"/>
        </w:rPr>
        <w:t xml:space="preserve"> is Forcing Banking to a Tipping Point</w:t>
      </w:r>
      <w:r w:rsidRPr="00B844FD">
        <w:rPr>
          <w:spacing w:val="-4"/>
          <w:kern w:val="17"/>
        </w:rPr>
        <w:t>, March 2016, 3, accessed July 1, 2017, https://ir.citi.com/D%2F5GCKN6uoSvhbvCmUDS05SYsRaDvAykPjb5subGr7f1JMe8w2oX1bqpFm6RdjSRSpGzSaXhyXY%3D.</w:t>
      </w:r>
    </w:p>
  </w:endnote>
  <w:endnote w:id="16">
    <w:p w14:paraId="45BD8B69" w14:textId="46958A09" w:rsidR="001061D6" w:rsidRPr="00B844FD" w:rsidRDefault="001061D6" w:rsidP="007363D7">
      <w:pPr>
        <w:pStyle w:val="Footnote"/>
        <w:rPr>
          <w:spacing w:val="-4"/>
          <w:kern w:val="17"/>
        </w:rPr>
      </w:pPr>
      <w:r w:rsidRPr="00B844FD">
        <w:rPr>
          <w:rStyle w:val="EndnoteReference"/>
          <w:spacing w:val="-4"/>
          <w:kern w:val="17"/>
        </w:rPr>
        <w:endnoteRef/>
      </w:r>
      <w:r w:rsidRPr="00B844FD">
        <w:rPr>
          <w:spacing w:val="-4"/>
          <w:kern w:val="17"/>
        </w:rPr>
        <w:t xml:space="preserve"> Ibid. </w:t>
      </w:r>
    </w:p>
  </w:endnote>
  <w:endnote w:id="17">
    <w:p w14:paraId="41DD67BE" w14:textId="7B4E2EB7" w:rsidR="001061D6" w:rsidRPr="00B844FD" w:rsidRDefault="001061D6" w:rsidP="007363D7">
      <w:pPr>
        <w:pStyle w:val="Footnote"/>
      </w:pPr>
      <w:r w:rsidRPr="00B844FD">
        <w:rPr>
          <w:rStyle w:val="EndnoteReference"/>
        </w:rPr>
        <w:endnoteRef/>
      </w:r>
      <w:r w:rsidRPr="00B844FD">
        <w:t xml:space="preserve"> Citigroup, op. cit. </w:t>
      </w:r>
    </w:p>
  </w:endnote>
  <w:endnote w:id="18">
    <w:p w14:paraId="4B58446F" w14:textId="4943B1F3" w:rsidR="001061D6" w:rsidRPr="00B844FD" w:rsidRDefault="001061D6" w:rsidP="00862DC4">
      <w:pPr>
        <w:pStyle w:val="Footnote"/>
        <w:rPr>
          <w:spacing w:val="-4"/>
          <w:kern w:val="17"/>
        </w:rPr>
      </w:pPr>
      <w:r w:rsidRPr="00B844FD">
        <w:rPr>
          <w:rStyle w:val="EndnoteReference"/>
          <w:spacing w:val="-4"/>
          <w:kern w:val="17"/>
        </w:rPr>
        <w:endnoteRef/>
      </w:r>
      <w:r w:rsidRPr="00B844FD">
        <w:rPr>
          <w:spacing w:val="-4"/>
          <w:kern w:val="17"/>
        </w:rPr>
        <w:t xml:space="preserve"> Boyle, op. cit. </w:t>
      </w:r>
    </w:p>
  </w:endnote>
  <w:endnote w:id="19">
    <w:p w14:paraId="1446460C" w14:textId="5A9D00AC" w:rsidR="001061D6" w:rsidRPr="007363D7" w:rsidRDefault="001061D6" w:rsidP="007363D7">
      <w:pPr>
        <w:pStyle w:val="Footnote"/>
      </w:pPr>
      <w:r w:rsidRPr="007363D7">
        <w:rPr>
          <w:rStyle w:val="EndnoteReference"/>
        </w:rPr>
        <w:endnoteRef/>
      </w:r>
      <w:r w:rsidRPr="007363D7">
        <w:t xml:space="preserve"> </w:t>
      </w:r>
      <w:proofErr w:type="spellStart"/>
      <w:r w:rsidRPr="007363D7">
        <w:t>Hinrikus</w:t>
      </w:r>
      <w:proofErr w:type="spellEnd"/>
      <w:r w:rsidRPr="007363D7">
        <w:t>, op. cit</w:t>
      </w:r>
      <w:r>
        <w:t>.</w:t>
      </w:r>
    </w:p>
  </w:endnote>
  <w:endnote w:id="20">
    <w:p w14:paraId="66F9E72A" w14:textId="5155489C" w:rsidR="001061D6" w:rsidRDefault="001061D6" w:rsidP="007363D7">
      <w:pPr>
        <w:pStyle w:val="Footnote"/>
      </w:pPr>
      <w:r w:rsidRPr="00F61176">
        <w:rPr>
          <w:rStyle w:val="EndnoteReference"/>
        </w:rPr>
        <w:endnoteRef/>
      </w:r>
      <w:r w:rsidRPr="00A13684">
        <w:t xml:space="preserve"> ING Group, </w:t>
      </w:r>
      <w:r>
        <w:t>“’</w:t>
      </w:r>
      <w:r w:rsidRPr="007363D7">
        <w:t>We Want to Be a Tech Company with a Banking License</w:t>
      </w:r>
      <w:r>
        <w:t xml:space="preserve">’—Ralph </w:t>
      </w:r>
      <w:proofErr w:type="spellStart"/>
      <w:r>
        <w:t>Hamers</w:t>
      </w:r>
      <w:proofErr w:type="spellEnd"/>
      <w:r w:rsidRPr="00A13684">
        <w:t>,</w:t>
      </w:r>
      <w:r>
        <w:t>”</w:t>
      </w:r>
      <w:r w:rsidRPr="00A13684">
        <w:t xml:space="preserve"> </w:t>
      </w:r>
      <w:r>
        <w:t xml:space="preserve">press release, </w:t>
      </w:r>
      <w:r w:rsidRPr="00A13684">
        <w:t>August 8</w:t>
      </w:r>
      <w:r>
        <w:t>,</w:t>
      </w:r>
      <w:r w:rsidRPr="00A13684">
        <w:t xml:space="preserve"> 2017, accessed January 8</w:t>
      </w:r>
      <w:r>
        <w:t>,</w:t>
      </w:r>
      <w:r w:rsidRPr="00A13684">
        <w:t xml:space="preserve"> 2018, www.ing.com/Newsroom/All-news/We-want-to-be-a-tech-company-with-a-banking-license-Ralph-Hamers.htm</w:t>
      </w:r>
      <w:r>
        <w:t>.</w:t>
      </w:r>
    </w:p>
  </w:endnote>
  <w:endnote w:id="21">
    <w:p w14:paraId="1C2627ED" w14:textId="5EDA55CE" w:rsidR="001061D6" w:rsidRPr="00862DC4" w:rsidRDefault="001061D6" w:rsidP="00E47A7C">
      <w:pPr>
        <w:pStyle w:val="Footnote"/>
      </w:pPr>
      <w:r w:rsidRPr="00862DC4">
        <w:rPr>
          <w:rStyle w:val="EndnoteReference"/>
        </w:rPr>
        <w:endnoteRef/>
      </w:r>
      <w:r w:rsidRPr="00862DC4">
        <w:t xml:space="preserve"> </w:t>
      </w:r>
      <w:r w:rsidRPr="0074078F">
        <w:t xml:space="preserve">ING Group, </w:t>
      </w:r>
      <w:r w:rsidRPr="0074078F">
        <w:rPr>
          <w:i/>
        </w:rPr>
        <w:t>Annual Report 2016</w:t>
      </w:r>
      <w:r w:rsidRPr="0074078F">
        <w:t>,</w:t>
      </w:r>
      <w:r>
        <w:t xml:space="preserve"> op. cit.</w:t>
      </w:r>
      <w:r w:rsidRPr="0074078F">
        <w:t xml:space="preserve"> </w:t>
      </w:r>
    </w:p>
  </w:endnote>
  <w:endnote w:id="22">
    <w:p w14:paraId="04B82EBD" w14:textId="1CDCD788" w:rsidR="001061D6" w:rsidRPr="00862DC4" w:rsidRDefault="001061D6" w:rsidP="007363D7">
      <w:pPr>
        <w:pStyle w:val="Footnote"/>
      </w:pPr>
      <w:r w:rsidRPr="00862DC4">
        <w:rPr>
          <w:rStyle w:val="EndnoteReference"/>
        </w:rPr>
        <w:endnoteRef/>
      </w:r>
      <w:r w:rsidRPr="00862DC4">
        <w:t xml:space="preserve"> ING Group, </w:t>
      </w:r>
      <w:r>
        <w:t>“</w:t>
      </w:r>
      <w:r w:rsidRPr="007363D7">
        <w:t>Even I Don’t Have Time for Banking</w:t>
      </w:r>
      <w:r>
        <w:t>!—</w:t>
      </w:r>
      <w:r w:rsidRPr="007363D7">
        <w:t xml:space="preserve">Ralph </w:t>
      </w:r>
      <w:proofErr w:type="spellStart"/>
      <w:r w:rsidRPr="007363D7">
        <w:t>Hamers</w:t>
      </w:r>
      <w:proofErr w:type="spellEnd"/>
      <w:r w:rsidRPr="00862DC4">
        <w:t>,</w:t>
      </w:r>
      <w:r>
        <w:t>” press release,</w:t>
      </w:r>
      <w:r w:rsidRPr="00862DC4">
        <w:t xml:space="preserve"> October 27</w:t>
      </w:r>
      <w:r>
        <w:t>,</w:t>
      </w:r>
      <w:r w:rsidRPr="00862DC4">
        <w:t xml:space="preserve"> 2017, accessed January 21</w:t>
      </w:r>
      <w:r>
        <w:t>,</w:t>
      </w:r>
      <w:r w:rsidRPr="00862DC4">
        <w:t xml:space="preserve"> 2018, </w:t>
      </w:r>
      <w:r w:rsidRPr="00B479EE">
        <w:t>https://</w:t>
      </w:r>
      <w:r w:rsidRPr="00862DC4">
        <w:t>www.ing.com/Newsroom/All-news/Even-I-dont-have-time-for-banking-Ralph-Hamers.htm.</w:t>
      </w:r>
    </w:p>
  </w:endnote>
  <w:endnote w:id="23">
    <w:p w14:paraId="7E27FBAA" w14:textId="11771A9F" w:rsidR="001061D6" w:rsidRDefault="001061D6" w:rsidP="007363D7">
      <w:pPr>
        <w:pStyle w:val="Footnote"/>
      </w:pPr>
      <w:r>
        <w:rPr>
          <w:rStyle w:val="EndnoteReference"/>
        </w:rPr>
        <w:endnoteRef/>
      </w:r>
      <w:r>
        <w:t xml:space="preserve"> “Ralph </w:t>
      </w:r>
      <w:proofErr w:type="spellStart"/>
      <w:r>
        <w:t>Hamers</w:t>
      </w:r>
      <w:proofErr w:type="spellEnd"/>
      <w:r>
        <w:t xml:space="preserve">’ Vlog at Money 20/20,” YouTube video, 0:59, posted by “ING,” October 26, 2017, accessed February 15, 2018, </w:t>
      </w:r>
      <w:r w:rsidRPr="000B2FD8">
        <w:t>https://youtu.be/lQjqV0c4M78</w:t>
      </w:r>
      <w:r>
        <w:t>.</w:t>
      </w:r>
    </w:p>
  </w:endnote>
  <w:endnote w:id="24">
    <w:p w14:paraId="28E5B4A5" w14:textId="295B2139" w:rsidR="001061D6" w:rsidRDefault="001061D6" w:rsidP="007363D7">
      <w:pPr>
        <w:pStyle w:val="Footnote"/>
      </w:pPr>
      <w:r w:rsidRPr="00862DC4">
        <w:rPr>
          <w:rStyle w:val="EndnoteReference"/>
        </w:rPr>
        <w:endnoteRef/>
      </w:r>
      <w:r w:rsidRPr="00862DC4">
        <w:t xml:space="preserve"> </w:t>
      </w:r>
      <w:proofErr w:type="spellStart"/>
      <w:r>
        <w:t>Huib</w:t>
      </w:r>
      <w:proofErr w:type="spellEnd"/>
      <w:r>
        <w:t xml:space="preserve"> </w:t>
      </w:r>
      <w:proofErr w:type="spellStart"/>
      <w:r>
        <w:t>Kurstjens</w:t>
      </w:r>
      <w:proofErr w:type="spellEnd"/>
      <w:r>
        <w:t>, “</w:t>
      </w:r>
      <w:r w:rsidRPr="007363D7">
        <w:t xml:space="preserve">Ralph </w:t>
      </w:r>
      <w:proofErr w:type="spellStart"/>
      <w:r w:rsidRPr="007363D7">
        <w:t>Hamers</w:t>
      </w:r>
      <w:proofErr w:type="spellEnd"/>
      <w:r w:rsidRPr="007363D7">
        <w:t xml:space="preserve"> on Disrupting the Banking Industry</w:t>
      </w:r>
      <w:r>
        <w:t>: A Conversation with the CEO of ING</w:t>
      </w:r>
      <w:r w:rsidRPr="00862DC4">
        <w:t>,</w:t>
      </w:r>
      <w:r>
        <w:t>” Boston Consulting Group,</w:t>
      </w:r>
      <w:r w:rsidRPr="00862DC4">
        <w:t xml:space="preserve"> September 20</w:t>
      </w:r>
      <w:r>
        <w:t>,</w:t>
      </w:r>
      <w:r w:rsidRPr="00862DC4">
        <w:t xml:space="preserve"> 2016, accessed January 5</w:t>
      </w:r>
      <w:r>
        <w:t>,</w:t>
      </w:r>
      <w:r w:rsidRPr="00862DC4">
        <w:t xml:space="preserve"> 2018, www.bcg.com/publications/2016/financial-institutions-people-organization-ralph-hamers-disrupting-banking-industry.aspx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D7D82" w14:textId="77777777" w:rsidR="000F2A75" w:rsidRDefault="000F2A75" w:rsidP="00D75295">
      <w:r>
        <w:separator/>
      </w:r>
    </w:p>
  </w:footnote>
  <w:footnote w:type="continuationSeparator" w:id="0">
    <w:p w14:paraId="28F7989D" w14:textId="77777777" w:rsidR="000F2A75" w:rsidRDefault="000F2A7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7D3D4" w14:textId="406FC9B3" w:rsidR="00815342" w:rsidRDefault="0081534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409DC">
      <w:rPr>
        <w:rFonts w:ascii="Arial" w:hAnsi="Arial"/>
        <w:b/>
        <w:noProof/>
      </w:rPr>
      <w:t>7</w:t>
    </w:r>
    <w:r>
      <w:rPr>
        <w:rFonts w:ascii="Arial" w:hAnsi="Arial"/>
        <w:b/>
      </w:rPr>
      <w:fldChar w:fldCharType="end"/>
    </w:r>
    <w:r>
      <w:rPr>
        <w:rFonts w:ascii="Arial" w:hAnsi="Arial"/>
        <w:b/>
      </w:rPr>
      <w:tab/>
    </w:r>
    <w:r w:rsidR="00D928D7">
      <w:rPr>
        <w:rFonts w:ascii="Arial" w:hAnsi="Arial"/>
        <w:b/>
      </w:rPr>
      <w:t>9B18M052</w:t>
    </w:r>
  </w:p>
  <w:p w14:paraId="3D7644F5" w14:textId="77777777" w:rsidR="00815342" w:rsidRPr="00C92CC4" w:rsidRDefault="00815342">
    <w:pPr>
      <w:pStyle w:val="Header"/>
      <w:rPr>
        <w:sz w:val="18"/>
        <w:szCs w:val="18"/>
      </w:rPr>
    </w:pPr>
  </w:p>
  <w:p w14:paraId="7D4035C7" w14:textId="77777777" w:rsidR="00815342" w:rsidRPr="00C92CC4" w:rsidRDefault="0081534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3A20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567B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CE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264B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24A4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249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C67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A2CF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E686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66D2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2E03604"/>
    <w:multiLevelType w:val="hybridMultilevel"/>
    <w:tmpl w:val="E1D8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84AF5"/>
    <w:multiLevelType w:val="hybridMultilevel"/>
    <w:tmpl w:val="B25AA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5B896C8D"/>
    <w:multiLevelType w:val="hybridMultilevel"/>
    <w:tmpl w:val="4BC06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3046EEF"/>
    <w:multiLevelType w:val="hybridMultilevel"/>
    <w:tmpl w:val="1C26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21"/>
  </w:num>
  <w:num w:numId="15">
    <w:abstractNumId w:val="22"/>
  </w:num>
  <w:num w:numId="16">
    <w:abstractNumId w:val="24"/>
  </w:num>
  <w:num w:numId="17">
    <w:abstractNumId w:val="16"/>
  </w:num>
  <w:num w:numId="18">
    <w:abstractNumId w:val="26"/>
  </w:num>
  <w:num w:numId="19">
    <w:abstractNumId w:val="11"/>
  </w:num>
  <w:num w:numId="20">
    <w:abstractNumId w:val="10"/>
  </w:num>
  <w:num w:numId="21">
    <w:abstractNumId w:val="27"/>
  </w:num>
  <w:num w:numId="22">
    <w:abstractNumId w:val="19"/>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8"/>
  </w:num>
  <w:num w:numId="28">
    <w:abstractNumId w:val="25"/>
  </w:num>
  <w:num w:numId="29">
    <w:abstractNumId w:val="15"/>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7FCE"/>
    <w:rsid w:val="0004023F"/>
    <w:rsid w:val="00044ECC"/>
    <w:rsid w:val="000455AA"/>
    <w:rsid w:val="000466E0"/>
    <w:rsid w:val="000531D3"/>
    <w:rsid w:val="0005646B"/>
    <w:rsid w:val="0007586D"/>
    <w:rsid w:val="0008102D"/>
    <w:rsid w:val="00094C0E"/>
    <w:rsid w:val="000952B2"/>
    <w:rsid w:val="000B0440"/>
    <w:rsid w:val="000B0D95"/>
    <w:rsid w:val="000B2FD8"/>
    <w:rsid w:val="000B5BB0"/>
    <w:rsid w:val="000B6562"/>
    <w:rsid w:val="000C79BD"/>
    <w:rsid w:val="000D30AB"/>
    <w:rsid w:val="000E4F5B"/>
    <w:rsid w:val="000E7582"/>
    <w:rsid w:val="000F0C22"/>
    <w:rsid w:val="000F2A75"/>
    <w:rsid w:val="000F6B09"/>
    <w:rsid w:val="000F6FDC"/>
    <w:rsid w:val="00104567"/>
    <w:rsid w:val="001061D6"/>
    <w:rsid w:val="0011510C"/>
    <w:rsid w:val="00117209"/>
    <w:rsid w:val="0011767F"/>
    <w:rsid w:val="0012732D"/>
    <w:rsid w:val="001320E1"/>
    <w:rsid w:val="00151E9D"/>
    <w:rsid w:val="00154FC9"/>
    <w:rsid w:val="00161330"/>
    <w:rsid w:val="001812E3"/>
    <w:rsid w:val="0019241A"/>
    <w:rsid w:val="001A125C"/>
    <w:rsid w:val="001A5136"/>
    <w:rsid w:val="001A5335"/>
    <w:rsid w:val="001A752D"/>
    <w:rsid w:val="001A7B79"/>
    <w:rsid w:val="001B52A7"/>
    <w:rsid w:val="001C1451"/>
    <w:rsid w:val="001D3C5C"/>
    <w:rsid w:val="001E7D96"/>
    <w:rsid w:val="00203AA1"/>
    <w:rsid w:val="00213E98"/>
    <w:rsid w:val="002167A6"/>
    <w:rsid w:val="00220057"/>
    <w:rsid w:val="002325D4"/>
    <w:rsid w:val="00236617"/>
    <w:rsid w:val="00241A3F"/>
    <w:rsid w:val="002458EA"/>
    <w:rsid w:val="00273E5F"/>
    <w:rsid w:val="00291E09"/>
    <w:rsid w:val="002A64F9"/>
    <w:rsid w:val="002A6E0B"/>
    <w:rsid w:val="002B4958"/>
    <w:rsid w:val="002B7515"/>
    <w:rsid w:val="002C0168"/>
    <w:rsid w:val="002C46A7"/>
    <w:rsid w:val="002E32F0"/>
    <w:rsid w:val="002E68C0"/>
    <w:rsid w:val="002F460C"/>
    <w:rsid w:val="002F48D6"/>
    <w:rsid w:val="003011DC"/>
    <w:rsid w:val="0030196A"/>
    <w:rsid w:val="0032617C"/>
    <w:rsid w:val="00343565"/>
    <w:rsid w:val="00351137"/>
    <w:rsid w:val="003526A2"/>
    <w:rsid w:val="00354899"/>
    <w:rsid w:val="00355FD6"/>
    <w:rsid w:val="00356D90"/>
    <w:rsid w:val="00361C8E"/>
    <w:rsid w:val="00364A5C"/>
    <w:rsid w:val="003703D8"/>
    <w:rsid w:val="00370DA4"/>
    <w:rsid w:val="00373FB1"/>
    <w:rsid w:val="003B30D8"/>
    <w:rsid w:val="003B4951"/>
    <w:rsid w:val="003B7EF2"/>
    <w:rsid w:val="003C1276"/>
    <w:rsid w:val="003C3FA4"/>
    <w:rsid w:val="003D585D"/>
    <w:rsid w:val="003F2B0C"/>
    <w:rsid w:val="00404B6C"/>
    <w:rsid w:val="00410B26"/>
    <w:rsid w:val="004221E4"/>
    <w:rsid w:val="004253AD"/>
    <w:rsid w:val="00442567"/>
    <w:rsid w:val="00462AB8"/>
    <w:rsid w:val="004678CD"/>
    <w:rsid w:val="00471088"/>
    <w:rsid w:val="00473A0F"/>
    <w:rsid w:val="00483AF9"/>
    <w:rsid w:val="00484B39"/>
    <w:rsid w:val="004B1CCB"/>
    <w:rsid w:val="004D3A08"/>
    <w:rsid w:val="004D7228"/>
    <w:rsid w:val="004D73A5"/>
    <w:rsid w:val="00506C84"/>
    <w:rsid w:val="00524213"/>
    <w:rsid w:val="005254DF"/>
    <w:rsid w:val="00525C51"/>
    <w:rsid w:val="00532CF5"/>
    <w:rsid w:val="005377DB"/>
    <w:rsid w:val="005505C2"/>
    <w:rsid w:val="005528CB"/>
    <w:rsid w:val="00566771"/>
    <w:rsid w:val="00576168"/>
    <w:rsid w:val="00581E2E"/>
    <w:rsid w:val="00584F15"/>
    <w:rsid w:val="00585863"/>
    <w:rsid w:val="00585963"/>
    <w:rsid w:val="0058743F"/>
    <w:rsid w:val="005A0289"/>
    <w:rsid w:val="005B4DBD"/>
    <w:rsid w:val="005B50FF"/>
    <w:rsid w:val="005C0959"/>
    <w:rsid w:val="005D32B9"/>
    <w:rsid w:val="005D36AE"/>
    <w:rsid w:val="005E7E60"/>
    <w:rsid w:val="005F401E"/>
    <w:rsid w:val="00604AE1"/>
    <w:rsid w:val="00614E82"/>
    <w:rsid w:val="006163F7"/>
    <w:rsid w:val="006164FE"/>
    <w:rsid w:val="006350D9"/>
    <w:rsid w:val="00636550"/>
    <w:rsid w:val="00652606"/>
    <w:rsid w:val="0067211E"/>
    <w:rsid w:val="00682754"/>
    <w:rsid w:val="00690AD7"/>
    <w:rsid w:val="00697E35"/>
    <w:rsid w:val="006A151B"/>
    <w:rsid w:val="006A2796"/>
    <w:rsid w:val="006A58A9"/>
    <w:rsid w:val="006A606D"/>
    <w:rsid w:val="006B6D6C"/>
    <w:rsid w:val="006B7F7A"/>
    <w:rsid w:val="006C0371"/>
    <w:rsid w:val="006C08B6"/>
    <w:rsid w:val="006C0B1A"/>
    <w:rsid w:val="006C4384"/>
    <w:rsid w:val="006C548C"/>
    <w:rsid w:val="006C6065"/>
    <w:rsid w:val="006C7F9F"/>
    <w:rsid w:val="006E2F6D"/>
    <w:rsid w:val="006E58F6"/>
    <w:rsid w:val="006E77E1"/>
    <w:rsid w:val="006F131D"/>
    <w:rsid w:val="00700E00"/>
    <w:rsid w:val="007059A1"/>
    <w:rsid w:val="00715BD1"/>
    <w:rsid w:val="00717536"/>
    <w:rsid w:val="00731FE4"/>
    <w:rsid w:val="00733CF3"/>
    <w:rsid w:val="007363D7"/>
    <w:rsid w:val="0074078F"/>
    <w:rsid w:val="00752BCD"/>
    <w:rsid w:val="00760A57"/>
    <w:rsid w:val="00766DA1"/>
    <w:rsid w:val="007809EC"/>
    <w:rsid w:val="00781BBC"/>
    <w:rsid w:val="007866A6"/>
    <w:rsid w:val="007A06B1"/>
    <w:rsid w:val="007A130D"/>
    <w:rsid w:val="007A2E3C"/>
    <w:rsid w:val="007A7E07"/>
    <w:rsid w:val="007B015C"/>
    <w:rsid w:val="007B09F5"/>
    <w:rsid w:val="007C35DE"/>
    <w:rsid w:val="007D38ED"/>
    <w:rsid w:val="007D4102"/>
    <w:rsid w:val="007E2671"/>
    <w:rsid w:val="007E5921"/>
    <w:rsid w:val="007F51FC"/>
    <w:rsid w:val="007F69A0"/>
    <w:rsid w:val="00801767"/>
    <w:rsid w:val="00815342"/>
    <w:rsid w:val="00815BC7"/>
    <w:rsid w:val="00820731"/>
    <w:rsid w:val="00821FFC"/>
    <w:rsid w:val="008271CA"/>
    <w:rsid w:val="008409DC"/>
    <w:rsid w:val="008467D5"/>
    <w:rsid w:val="008535E8"/>
    <w:rsid w:val="00856D9F"/>
    <w:rsid w:val="008575B3"/>
    <w:rsid w:val="00862DC4"/>
    <w:rsid w:val="00866F6D"/>
    <w:rsid w:val="0086772D"/>
    <w:rsid w:val="00880492"/>
    <w:rsid w:val="0089747B"/>
    <w:rsid w:val="008A4DC4"/>
    <w:rsid w:val="008B41C2"/>
    <w:rsid w:val="008E2B7C"/>
    <w:rsid w:val="009018AC"/>
    <w:rsid w:val="009044C1"/>
    <w:rsid w:val="009067A4"/>
    <w:rsid w:val="0090722E"/>
    <w:rsid w:val="00917E41"/>
    <w:rsid w:val="009340DB"/>
    <w:rsid w:val="0094362D"/>
    <w:rsid w:val="00943AB8"/>
    <w:rsid w:val="00972498"/>
    <w:rsid w:val="00974CC6"/>
    <w:rsid w:val="00976AD4"/>
    <w:rsid w:val="0098295C"/>
    <w:rsid w:val="00986C77"/>
    <w:rsid w:val="0099086B"/>
    <w:rsid w:val="00994535"/>
    <w:rsid w:val="009958E0"/>
    <w:rsid w:val="009A2783"/>
    <w:rsid w:val="009A312F"/>
    <w:rsid w:val="009A43D2"/>
    <w:rsid w:val="009A5348"/>
    <w:rsid w:val="009A67BB"/>
    <w:rsid w:val="009B3DEB"/>
    <w:rsid w:val="009B5A64"/>
    <w:rsid w:val="009C3A6D"/>
    <w:rsid w:val="009C76D5"/>
    <w:rsid w:val="009D58E7"/>
    <w:rsid w:val="009F22B8"/>
    <w:rsid w:val="009F7AA4"/>
    <w:rsid w:val="00A0024A"/>
    <w:rsid w:val="00A13684"/>
    <w:rsid w:val="00A233FC"/>
    <w:rsid w:val="00A559DB"/>
    <w:rsid w:val="00A65A66"/>
    <w:rsid w:val="00AA08A1"/>
    <w:rsid w:val="00AE509A"/>
    <w:rsid w:val="00AF35FC"/>
    <w:rsid w:val="00AF57E8"/>
    <w:rsid w:val="00B02EA4"/>
    <w:rsid w:val="00B03639"/>
    <w:rsid w:val="00B05086"/>
    <w:rsid w:val="00B05572"/>
    <w:rsid w:val="00B0652A"/>
    <w:rsid w:val="00B34FB4"/>
    <w:rsid w:val="00B3757D"/>
    <w:rsid w:val="00B40937"/>
    <w:rsid w:val="00B4229E"/>
    <w:rsid w:val="00B423EF"/>
    <w:rsid w:val="00B453DE"/>
    <w:rsid w:val="00B4742F"/>
    <w:rsid w:val="00B479EE"/>
    <w:rsid w:val="00B527FC"/>
    <w:rsid w:val="00B53021"/>
    <w:rsid w:val="00B611C0"/>
    <w:rsid w:val="00B7051D"/>
    <w:rsid w:val="00B77772"/>
    <w:rsid w:val="00B844FD"/>
    <w:rsid w:val="00B854E9"/>
    <w:rsid w:val="00B901F9"/>
    <w:rsid w:val="00BB18BD"/>
    <w:rsid w:val="00BB7D6A"/>
    <w:rsid w:val="00BC2454"/>
    <w:rsid w:val="00BD121A"/>
    <w:rsid w:val="00BD6EFB"/>
    <w:rsid w:val="00BE6B16"/>
    <w:rsid w:val="00C008CD"/>
    <w:rsid w:val="00C03E3A"/>
    <w:rsid w:val="00C110D4"/>
    <w:rsid w:val="00C15BE2"/>
    <w:rsid w:val="00C22219"/>
    <w:rsid w:val="00C23855"/>
    <w:rsid w:val="00C268DF"/>
    <w:rsid w:val="00C3447F"/>
    <w:rsid w:val="00C35335"/>
    <w:rsid w:val="00C463F9"/>
    <w:rsid w:val="00C521F6"/>
    <w:rsid w:val="00C60303"/>
    <w:rsid w:val="00C81491"/>
    <w:rsid w:val="00C81676"/>
    <w:rsid w:val="00C85059"/>
    <w:rsid w:val="00C92CC4"/>
    <w:rsid w:val="00C97357"/>
    <w:rsid w:val="00CA0AFB"/>
    <w:rsid w:val="00CA2CE1"/>
    <w:rsid w:val="00CA3976"/>
    <w:rsid w:val="00CA757B"/>
    <w:rsid w:val="00CB3827"/>
    <w:rsid w:val="00CC1787"/>
    <w:rsid w:val="00CC182C"/>
    <w:rsid w:val="00CC669F"/>
    <w:rsid w:val="00CD0824"/>
    <w:rsid w:val="00CD2908"/>
    <w:rsid w:val="00D020C1"/>
    <w:rsid w:val="00D03A82"/>
    <w:rsid w:val="00D15344"/>
    <w:rsid w:val="00D30FD7"/>
    <w:rsid w:val="00D31BEC"/>
    <w:rsid w:val="00D46EEC"/>
    <w:rsid w:val="00D53AFA"/>
    <w:rsid w:val="00D62371"/>
    <w:rsid w:val="00D63150"/>
    <w:rsid w:val="00D64A32"/>
    <w:rsid w:val="00D64EFC"/>
    <w:rsid w:val="00D707CF"/>
    <w:rsid w:val="00D75295"/>
    <w:rsid w:val="00D76CE9"/>
    <w:rsid w:val="00D82711"/>
    <w:rsid w:val="00D928D7"/>
    <w:rsid w:val="00D97F12"/>
    <w:rsid w:val="00DA13AE"/>
    <w:rsid w:val="00DA4F6B"/>
    <w:rsid w:val="00DB42E7"/>
    <w:rsid w:val="00DC26A9"/>
    <w:rsid w:val="00DC4DA8"/>
    <w:rsid w:val="00DF32C2"/>
    <w:rsid w:val="00E02470"/>
    <w:rsid w:val="00E32F45"/>
    <w:rsid w:val="00E34C1A"/>
    <w:rsid w:val="00E471A7"/>
    <w:rsid w:val="00E47A7C"/>
    <w:rsid w:val="00E635CF"/>
    <w:rsid w:val="00E760ED"/>
    <w:rsid w:val="00E769CA"/>
    <w:rsid w:val="00E84E5B"/>
    <w:rsid w:val="00E951DC"/>
    <w:rsid w:val="00EB0FBC"/>
    <w:rsid w:val="00EB5410"/>
    <w:rsid w:val="00EB5494"/>
    <w:rsid w:val="00EC6E0A"/>
    <w:rsid w:val="00ED4E18"/>
    <w:rsid w:val="00EE1F37"/>
    <w:rsid w:val="00F0159C"/>
    <w:rsid w:val="00F0342F"/>
    <w:rsid w:val="00F04F24"/>
    <w:rsid w:val="00F105B7"/>
    <w:rsid w:val="00F14B9C"/>
    <w:rsid w:val="00F1794A"/>
    <w:rsid w:val="00F17A21"/>
    <w:rsid w:val="00F50E91"/>
    <w:rsid w:val="00F57D29"/>
    <w:rsid w:val="00F61176"/>
    <w:rsid w:val="00F839B0"/>
    <w:rsid w:val="00F863D5"/>
    <w:rsid w:val="00F92A99"/>
    <w:rsid w:val="00F96201"/>
    <w:rsid w:val="00F96EE5"/>
    <w:rsid w:val="00FC30E9"/>
    <w:rsid w:val="00FD0B18"/>
    <w:rsid w:val="00FD0F82"/>
    <w:rsid w:val="00FD4B9B"/>
    <w:rsid w:val="00FD653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60623F"/>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794A"/>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B527FC"/>
    <w:rPr>
      <w:b w:val="0"/>
      <w:color w:val="auto"/>
      <w:vertAlign w:val="superscript"/>
    </w:rPr>
  </w:style>
  <w:style w:type="paragraph" w:customStyle="1" w:styleId="Footnote">
    <w:name w:val="Footnote"/>
    <w:basedOn w:val="FootnoteText"/>
    <w:link w:val="FootnoteChar"/>
    <w:qFormat/>
    <w:rsid w:val="00B527FC"/>
    <w:pPr>
      <w:jc w:val="both"/>
    </w:pPr>
    <w:rPr>
      <w:rFonts w:ascii="Arial" w:hAnsi="Arial" w:cs="Arial"/>
      <w:sz w:val="17"/>
      <w:szCs w:val="17"/>
    </w:rPr>
  </w:style>
  <w:style w:type="character" w:customStyle="1" w:styleId="FootnoteChar">
    <w:name w:val="Footnote Char"/>
    <w:basedOn w:val="FootnoteTextChar"/>
    <w:link w:val="Footnote"/>
    <w:rsid w:val="00B527FC"/>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A6F69A8-F46B-43C1-ACEC-750D9C58D79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1671233-64C0-4D4B-BBFE-44A8212FA56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6EBA3-AFD5-4D90-817D-877EDAEF5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2018-03-12T20:31:00Z</cp:lastPrinted>
  <dcterms:created xsi:type="dcterms:W3CDTF">2018-03-22T15:28:00Z</dcterms:created>
  <dcterms:modified xsi:type="dcterms:W3CDTF">2018-03-23T15:26:00Z</dcterms:modified>
</cp:coreProperties>
</file>