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D7D996" w14:textId="77777777" w:rsidR="007D1A2D" w:rsidRDefault="00A569EA" w:rsidP="008467D5">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rPr>
        <w:drawing>
          <wp:inline distT="0" distB="0" distL="0" distR="0" wp14:anchorId="42CC35FC" wp14:editId="2F3FD82B">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3AC34FB2" w14:textId="15BF0EB6" w:rsidR="00D75295" w:rsidRDefault="00336EBF" w:rsidP="00F105B7">
      <w:pPr>
        <w:pStyle w:val="ProductNumber"/>
      </w:pPr>
      <w:r>
        <w:t>9B18M059</w:t>
      </w:r>
    </w:p>
    <w:p w14:paraId="71D53168" w14:textId="77777777" w:rsidR="00D75295" w:rsidRPr="003D0BA1" w:rsidRDefault="00D75295" w:rsidP="00D75295">
      <w:pPr>
        <w:jc w:val="right"/>
        <w:rPr>
          <w:rFonts w:ascii="Arial" w:hAnsi="Arial"/>
          <w:b/>
          <w:sz w:val="28"/>
          <w:szCs w:val="28"/>
        </w:rPr>
      </w:pPr>
    </w:p>
    <w:p w14:paraId="1AD56981" w14:textId="77777777" w:rsidR="00013360" w:rsidRPr="003D0BA1" w:rsidRDefault="00013360" w:rsidP="00D75295">
      <w:pPr>
        <w:jc w:val="right"/>
        <w:rPr>
          <w:rFonts w:ascii="Arial" w:hAnsi="Arial"/>
          <w:b/>
          <w:sz w:val="28"/>
          <w:szCs w:val="28"/>
        </w:rPr>
      </w:pPr>
    </w:p>
    <w:p w14:paraId="083D441F" w14:textId="77A7118B" w:rsidR="00013360" w:rsidRDefault="00860FD1" w:rsidP="00013360">
      <w:pPr>
        <w:pStyle w:val="CaseTitle"/>
        <w:spacing w:after="0" w:line="240" w:lineRule="auto"/>
        <w:rPr>
          <w:sz w:val="20"/>
          <w:szCs w:val="20"/>
        </w:rPr>
      </w:pPr>
      <w:r w:rsidRPr="00860FD1">
        <w:rPr>
          <w:rFonts w:eastAsia="Times New Roman"/>
          <w:szCs w:val="20"/>
          <w:lang w:val="en-GB"/>
        </w:rPr>
        <w:t>STUDENT GUIDE TO THE CASE METHOD:</w:t>
      </w:r>
      <w:r>
        <w:rPr>
          <w:rFonts w:eastAsia="Times New Roman"/>
          <w:szCs w:val="20"/>
          <w:lang w:val="en-GB"/>
        </w:rPr>
        <w:t xml:space="preserve"> note 7—</w:t>
      </w:r>
      <w:r w:rsidR="00C261C1">
        <w:rPr>
          <w:rFonts w:eastAsia="Times New Roman"/>
          <w:szCs w:val="20"/>
          <w:lang w:val="en-GB"/>
        </w:rPr>
        <w:t xml:space="preserve">USING </w:t>
      </w:r>
      <w:r>
        <w:rPr>
          <w:rFonts w:eastAsia="Times New Roman"/>
          <w:szCs w:val="20"/>
          <w:lang w:val="en-GB"/>
        </w:rPr>
        <w:t>common tools for case analysis</w:t>
      </w:r>
    </w:p>
    <w:p w14:paraId="316B0CF7" w14:textId="77777777" w:rsidR="00CA3976" w:rsidRDefault="00CA3976" w:rsidP="00013360">
      <w:pPr>
        <w:pStyle w:val="CaseTitle"/>
        <w:spacing w:after="0" w:line="240" w:lineRule="auto"/>
        <w:rPr>
          <w:sz w:val="20"/>
          <w:szCs w:val="20"/>
        </w:rPr>
      </w:pPr>
    </w:p>
    <w:p w14:paraId="72DD1FF1" w14:textId="77777777" w:rsidR="00013360" w:rsidRPr="00013360" w:rsidRDefault="00013360" w:rsidP="00013360">
      <w:pPr>
        <w:pStyle w:val="CaseTitle"/>
        <w:spacing w:after="0" w:line="240" w:lineRule="auto"/>
        <w:rPr>
          <w:sz w:val="20"/>
          <w:szCs w:val="20"/>
        </w:rPr>
      </w:pPr>
    </w:p>
    <w:p w14:paraId="281F53F1" w14:textId="30548A8F" w:rsidR="00627C63" w:rsidRPr="00627C63" w:rsidRDefault="00BA4AC3" w:rsidP="00627C63">
      <w:pPr>
        <w:pStyle w:val="StyleCopyrightStatementAfter0ptBottomSinglesolidline1"/>
      </w:pPr>
      <w:r w:rsidRPr="003A3527">
        <w:rPr>
          <w:lang w:val="en-GB"/>
        </w:rPr>
        <w:t xml:space="preserve">Susan J. Van </w:t>
      </w:r>
      <w:proofErr w:type="spellStart"/>
      <w:r w:rsidRPr="003A3527">
        <w:rPr>
          <w:lang w:val="en-GB"/>
        </w:rPr>
        <w:t>Weelden</w:t>
      </w:r>
      <w:proofErr w:type="spellEnd"/>
      <w:r w:rsidRPr="003A3527">
        <w:rPr>
          <w:lang w:val="en-GB"/>
        </w:rPr>
        <w:t xml:space="preserve"> and Laurie George </w:t>
      </w:r>
      <w:proofErr w:type="spellStart"/>
      <w:r w:rsidRPr="003A3527">
        <w:rPr>
          <w:lang w:val="en-GB"/>
        </w:rPr>
        <w:t>Busuttil</w:t>
      </w:r>
      <w:proofErr w:type="spellEnd"/>
      <w:r w:rsidRPr="003A3527">
        <w:rPr>
          <w:lang w:val="en-GB"/>
        </w:rPr>
        <w:t xml:space="preserve"> </w:t>
      </w:r>
      <w:r w:rsidR="004B632F" w:rsidRPr="00104567">
        <w:t>wrote this</w:t>
      </w:r>
      <w:r w:rsidR="004B632F">
        <w:t xml:space="preserve"> </w:t>
      </w:r>
      <w:r w:rsidR="00C261C1">
        <w:t xml:space="preserve">note </w:t>
      </w:r>
      <w:r w:rsidR="00C261C1" w:rsidRPr="00104567">
        <w:t xml:space="preserve">solely to </w:t>
      </w:r>
      <w:r w:rsidR="00C261C1">
        <w:t>assist students with understanding and using the case method</w:t>
      </w:r>
      <w:r w:rsidR="00152682" w:rsidRPr="00104567">
        <w:t>. The</w:t>
      </w:r>
      <w:r w:rsidR="001C7777">
        <w:t xml:space="preserve"> author</w:t>
      </w:r>
      <w:r w:rsidR="001A22D1">
        <w:t>s</w:t>
      </w:r>
      <w:r w:rsidR="00152682">
        <w:t xml:space="preserve"> do not intend to illustrate either effective or ineffective handling of a managerial situation. The author</w:t>
      </w:r>
      <w:r w:rsidR="001A22D1">
        <w:t>s</w:t>
      </w:r>
      <w:r w:rsidR="00152682">
        <w:t xml:space="preserve"> may have disguised certain names and other identifying information to protect confidentiality.</w:t>
      </w:r>
    </w:p>
    <w:p w14:paraId="54E413E6" w14:textId="77777777" w:rsidR="00751E0B" w:rsidRDefault="00751E0B" w:rsidP="00751E0B">
      <w:pPr>
        <w:pStyle w:val="StyleCopyrightStatementAfter0ptBottomSinglesolidline1"/>
      </w:pPr>
    </w:p>
    <w:p w14:paraId="4CDC461B" w14:textId="77777777" w:rsidR="00A569EA" w:rsidRPr="00E23AB7" w:rsidRDefault="00A569EA" w:rsidP="00860FD1">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sidR="00024ED4">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0" w:history="1">
        <w:r w:rsidRPr="00E23AB7">
          <w:rPr>
            <w:rFonts w:ascii="Arial" w:hAnsi="Arial"/>
            <w:i/>
            <w:iCs/>
            <w:color w:val="000000"/>
            <w:sz w:val="16"/>
          </w:rPr>
          <w:t>www.iveycases.com</w:t>
        </w:r>
      </w:hyperlink>
      <w:r w:rsidRPr="00E23AB7">
        <w:rPr>
          <w:rFonts w:ascii="Arial" w:hAnsi="Arial"/>
          <w:i/>
          <w:iCs/>
          <w:color w:val="000000"/>
          <w:sz w:val="16"/>
        </w:rPr>
        <w:t>.</w:t>
      </w:r>
    </w:p>
    <w:p w14:paraId="397A54B3" w14:textId="77777777" w:rsidR="00A569EA" w:rsidRPr="00E23AB7" w:rsidRDefault="00A569EA" w:rsidP="00860FD1">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14:paraId="2510172B" w14:textId="1282D2B4" w:rsidR="00751E0B" w:rsidRDefault="00A569EA" w:rsidP="00751E0B">
      <w:pPr>
        <w:pStyle w:val="StyleStyleCopyrightStatementAfter0ptBottomSinglesolid"/>
      </w:pPr>
      <w:r w:rsidRPr="00E23AB7">
        <w:rPr>
          <w:rFonts w:cs="Arial"/>
          <w:szCs w:val="16"/>
        </w:rPr>
        <w:t>Copyright © 20</w:t>
      </w:r>
      <w:r w:rsidR="00860FD1">
        <w:rPr>
          <w:rFonts w:cs="Arial"/>
          <w:szCs w:val="16"/>
        </w:rPr>
        <w:t>18</w:t>
      </w:r>
      <w:r w:rsidRPr="00E23AB7">
        <w:rPr>
          <w:rFonts w:cs="Arial"/>
          <w:szCs w:val="16"/>
        </w:rPr>
        <w:t xml:space="preserve">, </w:t>
      </w:r>
      <w:r w:rsidRPr="00E23AB7">
        <w:rPr>
          <w:rFonts w:cs="Arial"/>
          <w:szCs w:val="16"/>
          <w:lang w:val="en-CA"/>
        </w:rPr>
        <w:t xml:space="preserve">Ivey </w:t>
      </w:r>
      <w:r w:rsidR="00780D94">
        <w:rPr>
          <w:rFonts w:cs="Arial"/>
          <w:szCs w:val="16"/>
          <w:lang w:val="en-CA"/>
        </w:rPr>
        <w:t xml:space="preserve">Business </w:t>
      </w:r>
      <w:r w:rsidRPr="00E23AB7">
        <w:rPr>
          <w:rFonts w:cs="Arial"/>
          <w:szCs w:val="16"/>
          <w:lang w:val="en-CA"/>
        </w:rPr>
        <w:t>School Foundation</w:t>
      </w:r>
      <w:r>
        <w:rPr>
          <w:rFonts w:cs="Arial"/>
          <w:szCs w:val="16"/>
          <w:lang w:val="en-CA"/>
        </w:rPr>
        <w:tab/>
      </w:r>
      <w:r w:rsidR="00751E0B">
        <w:t xml:space="preserve">Version: </w:t>
      </w:r>
      <w:r w:rsidR="003D0BA1">
        <w:t>20</w:t>
      </w:r>
      <w:r w:rsidR="00860FD1">
        <w:t>18</w:t>
      </w:r>
      <w:r w:rsidR="001C7777">
        <w:t>-</w:t>
      </w:r>
      <w:r w:rsidR="00336EBF">
        <w:t>03</w:t>
      </w:r>
      <w:r w:rsidR="00751E0B">
        <w:t>-</w:t>
      </w:r>
      <w:r w:rsidR="00336EBF">
        <w:t>22</w:t>
      </w:r>
    </w:p>
    <w:p w14:paraId="755592AD" w14:textId="77777777" w:rsidR="00751E0B" w:rsidRPr="003B7EF2" w:rsidRDefault="00751E0B" w:rsidP="00751E0B">
      <w:pPr>
        <w:pStyle w:val="StyleCopyrightStatementAfter0ptBottomSinglesolidline1"/>
        <w:rPr>
          <w:rFonts w:ascii="Times New Roman" w:hAnsi="Times New Roman"/>
          <w:sz w:val="20"/>
        </w:rPr>
      </w:pPr>
    </w:p>
    <w:p w14:paraId="6EE8F0AE" w14:textId="77777777" w:rsidR="004B632F" w:rsidRDefault="004B632F" w:rsidP="004B632F">
      <w:pPr>
        <w:pStyle w:val="StyleCopyrightStatementAfter0ptBottomSinglesolidline1"/>
        <w:rPr>
          <w:rFonts w:ascii="Times New Roman" w:hAnsi="Times New Roman"/>
          <w:sz w:val="20"/>
        </w:rPr>
      </w:pPr>
    </w:p>
    <w:p w14:paraId="2BB59D47" w14:textId="77777777" w:rsidR="00336EBF" w:rsidRDefault="00336EBF" w:rsidP="00336EBF">
      <w:pPr>
        <w:pStyle w:val="BodyTextMain"/>
        <w:rPr>
          <w:rFonts w:eastAsia="Calibri"/>
          <w:lang w:val="en-CA"/>
        </w:rPr>
      </w:pPr>
      <w:r w:rsidRPr="00336EBF">
        <w:rPr>
          <w:rFonts w:eastAsia="Calibri"/>
          <w:lang w:val="en-CA"/>
        </w:rPr>
        <w:t xml:space="preserve">A </w:t>
      </w:r>
      <w:r w:rsidRPr="00336EBF">
        <w:rPr>
          <w:rFonts w:eastAsia="Calibri"/>
          <w:i/>
          <w:lang w:val="en-CA"/>
        </w:rPr>
        <w:t>case</w:t>
      </w:r>
      <w:r w:rsidRPr="00336EBF">
        <w:rPr>
          <w:rFonts w:eastAsia="Calibri"/>
          <w:lang w:val="en-CA"/>
        </w:rPr>
        <w:t xml:space="preserve"> or </w:t>
      </w:r>
      <w:r w:rsidRPr="00336EBF">
        <w:rPr>
          <w:rFonts w:eastAsia="Calibri"/>
          <w:i/>
          <w:lang w:val="en-CA"/>
        </w:rPr>
        <w:t>case study</w:t>
      </w:r>
      <w:r w:rsidRPr="00336EBF">
        <w:rPr>
          <w:rFonts w:eastAsia="Calibri"/>
          <w:lang w:val="en-CA"/>
        </w:rPr>
        <w:t xml:space="preserve"> is a real business story that requires you to step into the role of a manager or a member of the management team that faces a dilemma, or the role of a consultant assisting an organization that faces a dilemma. Acting in that role, you are tasked with resolving the issues or problems that the profiled organization is facing at a particular moment in time. Alternatively, you are asked to evaluate and choose among opportunities that exist for the organization at a specific point in time. Those issues and opportunities may be confined to a specific discipline in business, such as accounting, marketing, human resources, or strategic management. However, the challenges often involve several disciplines, reflecting the multi-faceted nature of business in practice.</w:t>
      </w:r>
    </w:p>
    <w:p w14:paraId="744799DD" w14:textId="77777777" w:rsidR="00336EBF" w:rsidRPr="00336EBF" w:rsidRDefault="00336EBF" w:rsidP="00336EBF">
      <w:pPr>
        <w:pStyle w:val="BodyTextMain"/>
        <w:rPr>
          <w:rFonts w:eastAsia="Calibri"/>
          <w:lang w:val="en-CA"/>
        </w:rPr>
      </w:pPr>
    </w:p>
    <w:p w14:paraId="5F7AB630" w14:textId="715F68E2" w:rsidR="00860FD1" w:rsidRPr="00860FD1" w:rsidRDefault="00336EBF" w:rsidP="00336EBF">
      <w:pPr>
        <w:pStyle w:val="BodyTextMain"/>
        <w:rPr>
          <w:lang w:val="en-GB"/>
        </w:rPr>
      </w:pPr>
      <w:r w:rsidRPr="00336EBF">
        <w:rPr>
          <w:rFonts w:eastAsia="Calibri"/>
          <w:lang w:val="en-CA"/>
        </w:rPr>
        <w:t xml:space="preserve">The case method involves learning by doing. It provides you with an opportunity to apply your knowledge and skills to real-life and realistic situations. Listening to class lectures, reading about various business subjects, and performing quantitative and qualitative analyses to solve well-defined problems are all valuable learning tools; however, management skills and knowledge cannot be developed by these methods </w:t>
      </w:r>
      <w:proofErr w:type="gramStart"/>
      <w:r w:rsidRPr="00336EBF">
        <w:rPr>
          <w:rFonts w:eastAsia="Calibri"/>
          <w:lang w:val="en-CA"/>
        </w:rPr>
        <w:t>alone</w:t>
      </w:r>
      <w:proofErr w:type="gramEnd"/>
      <w:r w:rsidRPr="00336EBF">
        <w:rPr>
          <w:rFonts w:eastAsia="Calibri"/>
          <w:lang w:val="en-CA"/>
        </w:rPr>
        <w:t xml:space="preserve">. Management requires more than applying a storehouse of prepackaged solutions or standard answers. Each situation faced by management has its own variables </w:t>
      </w:r>
      <w:r w:rsidRPr="00336EBF">
        <w:rPr>
          <w:rFonts w:eastAsia="Calibri"/>
          <w:lang w:val="en-GB"/>
        </w:rPr>
        <w:t>unique to the situation</w:t>
      </w:r>
      <w:r w:rsidRPr="00336EBF">
        <w:rPr>
          <w:rFonts w:eastAsia="Calibri"/>
          <w:lang w:val="en-CA"/>
        </w:rPr>
        <w:t>. Using the case method provides you with valuable opportunities to develop and practise skills you will need in those situations.</w:t>
      </w:r>
    </w:p>
    <w:p w14:paraId="01AC495A" w14:textId="77777777" w:rsidR="00860FD1" w:rsidRDefault="00860FD1" w:rsidP="00860FD1">
      <w:pPr>
        <w:jc w:val="both"/>
        <w:rPr>
          <w:sz w:val="22"/>
          <w:szCs w:val="22"/>
          <w:lang w:val="en-GB"/>
        </w:rPr>
      </w:pPr>
    </w:p>
    <w:p w14:paraId="79E6A58C" w14:textId="77777777" w:rsidR="00336EBF" w:rsidRPr="00860FD1" w:rsidRDefault="00336EBF" w:rsidP="00860FD1">
      <w:pPr>
        <w:jc w:val="both"/>
        <w:rPr>
          <w:sz w:val="22"/>
          <w:szCs w:val="22"/>
          <w:lang w:val="en-GB"/>
        </w:rPr>
      </w:pPr>
    </w:p>
    <w:p w14:paraId="4986A31D" w14:textId="77777777" w:rsidR="00860FD1" w:rsidRPr="00860FD1" w:rsidRDefault="00860FD1" w:rsidP="00100EF4">
      <w:pPr>
        <w:numPr>
          <w:ilvl w:val="0"/>
          <w:numId w:val="6"/>
        </w:numPr>
        <w:tabs>
          <w:tab w:val="left" w:pos="284"/>
        </w:tabs>
        <w:jc w:val="both"/>
        <w:rPr>
          <w:rFonts w:ascii="Arial" w:hAnsi="Arial" w:cs="Arial"/>
          <w:b/>
          <w:caps/>
          <w:lang w:val="en-GB"/>
        </w:rPr>
      </w:pPr>
      <w:bookmarkStart w:id="0" w:name="_Toc392920671"/>
      <w:bookmarkStart w:id="1" w:name="_Toc393181049"/>
      <w:r w:rsidRPr="00860FD1">
        <w:rPr>
          <w:rFonts w:ascii="Arial" w:hAnsi="Arial" w:cs="Arial"/>
          <w:b/>
          <w:caps/>
          <w:lang w:val="en-GB"/>
        </w:rPr>
        <w:t>Introduction to Common Tools for Case Analysis</w:t>
      </w:r>
    </w:p>
    <w:p w14:paraId="4D2C69D3" w14:textId="77777777" w:rsidR="00860FD1" w:rsidRPr="00860FD1" w:rsidRDefault="00860FD1" w:rsidP="00860FD1">
      <w:pPr>
        <w:jc w:val="both"/>
        <w:rPr>
          <w:sz w:val="22"/>
          <w:szCs w:val="22"/>
          <w:lang w:val="en-GB"/>
        </w:rPr>
      </w:pPr>
      <w:bookmarkStart w:id="2" w:name="Generated_Bookmark4"/>
      <w:bookmarkEnd w:id="2"/>
    </w:p>
    <w:p w14:paraId="3BE4AFC6" w14:textId="43149D26" w:rsidR="00860FD1" w:rsidRPr="00860FD1" w:rsidRDefault="00336EBF" w:rsidP="00860FD1">
      <w:pPr>
        <w:jc w:val="both"/>
        <w:rPr>
          <w:sz w:val="22"/>
          <w:szCs w:val="22"/>
          <w:lang w:val="en-GB"/>
        </w:rPr>
      </w:pPr>
      <w:r w:rsidRPr="00336EBF">
        <w:rPr>
          <w:rStyle w:val="BodyTextMainChar"/>
          <w:sz w:val="22"/>
          <w:szCs w:val="22"/>
          <w:lang w:val="en-CA"/>
        </w:rPr>
        <w:t>The method for a basic case analysis presented in Note 2 of the Case Guide Series—“Perfor</w:t>
      </w:r>
      <w:r>
        <w:rPr>
          <w:rStyle w:val="BodyTextMainChar"/>
          <w:sz w:val="22"/>
          <w:szCs w:val="22"/>
          <w:lang w:val="en-CA"/>
        </w:rPr>
        <w:t>ming a Case Analysis,” No. 9B18M054</w:t>
      </w:r>
      <w:r w:rsidRPr="00336EBF">
        <w:rPr>
          <w:rStyle w:val="BodyTextMainChar"/>
          <w:sz w:val="22"/>
          <w:szCs w:val="22"/>
          <w:lang w:val="en-CA"/>
        </w:rPr>
        <w:t>—can be used for various purposes: discussing the case in class, writing a report, making a presentation, or writing a case exam.</w:t>
      </w:r>
      <w:r w:rsidRPr="00336EBF">
        <w:rPr>
          <w:rFonts w:ascii="Calibri" w:eastAsia="Calibri" w:hAnsi="Calibri"/>
          <w:sz w:val="24"/>
          <w:szCs w:val="24"/>
          <w:lang w:val="en-CA"/>
        </w:rPr>
        <w:t xml:space="preserve"> </w:t>
      </w:r>
      <w:r w:rsidR="00860FD1" w:rsidRPr="00860FD1">
        <w:rPr>
          <w:sz w:val="22"/>
          <w:szCs w:val="22"/>
          <w:lang w:val="en-GB"/>
        </w:rPr>
        <w:t xml:space="preserve">This note provides you with a few of the more popular tools used in </w:t>
      </w:r>
      <w:r w:rsidR="00BC6FC9">
        <w:rPr>
          <w:sz w:val="22"/>
          <w:szCs w:val="22"/>
          <w:lang w:val="en-GB"/>
        </w:rPr>
        <w:t>c</w:t>
      </w:r>
      <w:r w:rsidR="00860FD1" w:rsidRPr="00860FD1">
        <w:rPr>
          <w:sz w:val="22"/>
          <w:szCs w:val="22"/>
          <w:lang w:val="en-GB"/>
        </w:rPr>
        <w:t>ase analysis</w:t>
      </w:r>
      <w:r w:rsidR="00C261C1">
        <w:rPr>
          <w:sz w:val="22"/>
          <w:szCs w:val="22"/>
          <w:lang w:val="en-GB"/>
        </w:rPr>
        <w:t xml:space="preserve"> and guides you in using those tools</w:t>
      </w:r>
      <w:r w:rsidR="00860FD1" w:rsidRPr="00860FD1">
        <w:rPr>
          <w:sz w:val="22"/>
          <w:szCs w:val="22"/>
          <w:lang w:val="en-GB"/>
        </w:rPr>
        <w:t>.</w:t>
      </w:r>
    </w:p>
    <w:p w14:paraId="4F381CE4" w14:textId="77777777" w:rsidR="00860FD1" w:rsidRPr="00860FD1" w:rsidRDefault="00860FD1" w:rsidP="00860FD1">
      <w:pPr>
        <w:jc w:val="both"/>
        <w:rPr>
          <w:sz w:val="22"/>
          <w:szCs w:val="22"/>
          <w:lang w:val="en-GB"/>
        </w:rPr>
      </w:pPr>
    </w:p>
    <w:p w14:paraId="33C7D36A" w14:textId="203E5F1C" w:rsidR="00336EBF" w:rsidRPr="00336EBF" w:rsidRDefault="00336EBF" w:rsidP="00336EBF">
      <w:pPr>
        <w:pStyle w:val="BodyTextMain"/>
        <w:rPr>
          <w:rFonts w:eastAsia="Calibri"/>
          <w:lang w:val="en-CA"/>
        </w:rPr>
      </w:pPr>
      <w:r w:rsidRPr="00336EBF">
        <w:rPr>
          <w:rFonts w:eastAsia="Calibri"/>
          <w:lang w:val="en-CA"/>
        </w:rPr>
        <w:t xml:space="preserve">The guidelines in this note are for general use. You should always defer to your instructor’s requirements, which </w:t>
      </w:r>
      <w:r w:rsidR="005711AE">
        <w:rPr>
          <w:rFonts w:eastAsia="Calibri"/>
          <w:lang w:val="en-CA"/>
        </w:rPr>
        <w:t>may differ or be more specific.</w:t>
      </w:r>
    </w:p>
    <w:p w14:paraId="78453088" w14:textId="77777777" w:rsidR="00860FD1" w:rsidRPr="00860FD1" w:rsidRDefault="00860FD1" w:rsidP="00860FD1">
      <w:pPr>
        <w:jc w:val="both"/>
        <w:rPr>
          <w:sz w:val="22"/>
          <w:szCs w:val="22"/>
          <w:lang w:val="en-GB"/>
        </w:rPr>
      </w:pPr>
    </w:p>
    <w:p w14:paraId="1163DA9A" w14:textId="77777777" w:rsidR="00860FD1" w:rsidRPr="00860FD1" w:rsidRDefault="00860FD1" w:rsidP="00860FD1">
      <w:pPr>
        <w:jc w:val="both"/>
        <w:rPr>
          <w:sz w:val="22"/>
          <w:szCs w:val="22"/>
          <w:lang w:val="en-GB"/>
        </w:rPr>
      </w:pPr>
    </w:p>
    <w:p w14:paraId="3EC60FE6" w14:textId="26DEC6B0" w:rsidR="00860FD1" w:rsidRPr="00860FD1" w:rsidRDefault="00456349" w:rsidP="00336EBF">
      <w:pPr>
        <w:keepNext/>
        <w:numPr>
          <w:ilvl w:val="0"/>
          <w:numId w:val="6"/>
        </w:numPr>
        <w:tabs>
          <w:tab w:val="left" w:pos="284"/>
        </w:tabs>
        <w:ind w:left="426" w:hanging="426"/>
        <w:jc w:val="both"/>
        <w:rPr>
          <w:rFonts w:ascii="Arial" w:hAnsi="Arial" w:cs="Arial"/>
          <w:b/>
          <w:caps/>
          <w:lang w:val="en-GB"/>
        </w:rPr>
      </w:pPr>
      <w:r>
        <w:rPr>
          <w:rFonts w:ascii="Arial" w:hAnsi="Arial" w:cs="Arial"/>
          <w:b/>
          <w:caps/>
          <w:lang w:val="en-GB"/>
        </w:rPr>
        <w:lastRenderedPageBreak/>
        <w:t xml:space="preserve">horizontal </w:t>
      </w:r>
      <w:r w:rsidR="00860FD1" w:rsidRPr="00860FD1">
        <w:rPr>
          <w:rFonts w:ascii="Arial" w:hAnsi="Arial" w:cs="Arial"/>
          <w:b/>
          <w:caps/>
          <w:lang w:val="en-GB"/>
        </w:rPr>
        <w:t>Analysis</w:t>
      </w:r>
    </w:p>
    <w:p w14:paraId="4F5CCF1C" w14:textId="77777777" w:rsidR="00860FD1" w:rsidRPr="00860FD1" w:rsidRDefault="00860FD1" w:rsidP="00336EBF">
      <w:pPr>
        <w:keepNext/>
        <w:jc w:val="both"/>
        <w:rPr>
          <w:sz w:val="22"/>
          <w:szCs w:val="22"/>
          <w:lang w:val="en-GB"/>
        </w:rPr>
      </w:pPr>
      <w:bookmarkStart w:id="3" w:name="_Toc393181050"/>
      <w:bookmarkEnd w:id="0"/>
      <w:bookmarkEnd w:id="1"/>
    </w:p>
    <w:p w14:paraId="368235DF" w14:textId="26F11F33" w:rsidR="00860FD1" w:rsidRPr="00860FD1" w:rsidRDefault="00860FD1" w:rsidP="00336EBF">
      <w:pPr>
        <w:keepNext/>
        <w:jc w:val="both"/>
        <w:rPr>
          <w:i/>
          <w:lang w:val="en-GB"/>
        </w:rPr>
      </w:pPr>
      <w:r w:rsidRPr="00860FD1">
        <w:rPr>
          <w:sz w:val="22"/>
          <w:szCs w:val="22"/>
          <w:lang w:val="en-GB"/>
        </w:rPr>
        <w:t xml:space="preserve">The data presented by the case author(s) in figures and exhibits </w:t>
      </w:r>
      <w:r w:rsidR="00C261C1">
        <w:rPr>
          <w:sz w:val="22"/>
          <w:szCs w:val="22"/>
          <w:lang w:val="en-GB"/>
        </w:rPr>
        <w:t xml:space="preserve">will </w:t>
      </w:r>
      <w:r w:rsidRPr="00860FD1">
        <w:rPr>
          <w:sz w:val="22"/>
          <w:szCs w:val="22"/>
          <w:lang w:val="en-GB"/>
        </w:rPr>
        <w:t xml:space="preserve">provide you with some of the best opportunities </w:t>
      </w:r>
      <w:r w:rsidR="00C261C1">
        <w:rPr>
          <w:sz w:val="22"/>
          <w:szCs w:val="22"/>
          <w:lang w:val="en-GB"/>
        </w:rPr>
        <w:t xml:space="preserve">for </w:t>
      </w:r>
      <w:r w:rsidRPr="00860FD1">
        <w:rPr>
          <w:sz w:val="22"/>
          <w:szCs w:val="22"/>
          <w:lang w:val="en-GB"/>
        </w:rPr>
        <w:t>value</w:t>
      </w:r>
      <w:r w:rsidR="00C261C1">
        <w:rPr>
          <w:sz w:val="22"/>
          <w:szCs w:val="22"/>
          <w:lang w:val="en-GB"/>
        </w:rPr>
        <w:t>-added</w:t>
      </w:r>
      <w:r w:rsidRPr="00860FD1">
        <w:rPr>
          <w:sz w:val="22"/>
          <w:szCs w:val="22"/>
          <w:lang w:val="en-GB"/>
        </w:rPr>
        <w:t xml:space="preserve"> analysis</w:t>
      </w:r>
      <w:r w:rsidR="005E7DB9">
        <w:rPr>
          <w:sz w:val="22"/>
          <w:szCs w:val="22"/>
          <w:lang w:val="en-GB"/>
        </w:rPr>
        <w:t xml:space="preserve">. Reorganize and summarize the data. Perform </w:t>
      </w:r>
      <w:proofErr w:type="gramStart"/>
      <w:r w:rsidR="005E7DB9">
        <w:rPr>
          <w:sz w:val="22"/>
          <w:szCs w:val="22"/>
          <w:lang w:val="en-GB"/>
        </w:rPr>
        <w:t>additional  calculations</w:t>
      </w:r>
      <w:proofErr w:type="gramEnd"/>
      <w:r w:rsidR="005E7DB9">
        <w:rPr>
          <w:sz w:val="22"/>
          <w:szCs w:val="22"/>
          <w:lang w:val="en-GB"/>
        </w:rPr>
        <w:t>. Draw new comparisons. In doing so, you will be able to interpret existing information in new ways and provide support for new findings.</w:t>
      </w:r>
    </w:p>
    <w:p w14:paraId="4F4BC691" w14:textId="77777777" w:rsidR="00860FD1" w:rsidRPr="00860FD1" w:rsidRDefault="00860FD1" w:rsidP="00860FD1">
      <w:pPr>
        <w:jc w:val="both"/>
        <w:rPr>
          <w:sz w:val="22"/>
          <w:szCs w:val="22"/>
          <w:lang w:val="en-GB"/>
        </w:rPr>
      </w:pPr>
    </w:p>
    <w:bookmarkEnd w:id="3"/>
    <w:p w14:paraId="10849C33" w14:textId="4A16286C" w:rsidR="00860FD1" w:rsidRPr="00860FD1" w:rsidRDefault="00860FD1" w:rsidP="00860FD1">
      <w:pPr>
        <w:jc w:val="both"/>
        <w:rPr>
          <w:sz w:val="22"/>
          <w:szCs w:val="22"/>
          <w:lang w:val="en-GB"/>
        </w:rPr>
      </w:pPr>
      <w:r w:rsidRPr="00860FD1">
        <w:rPr>
          <w:sz w:val="22"/>
          <w:szCs w:val="22"/>
          <w:lang w:val="en-GB"/>
        </w:rPr>
        <w:t xml:space="preserve">When data are presented in numerical form, a logical first step in </w:t>
      </w:r>
      <w:proofErr w:type="spellStart"/>
      <w:r w:rsidRPr="00860FD1">
        <w:rPr>
          <w:sz w:val="22"/>
          <w:szCs w:val="22"/>
          <w:lang w:val="en-GB"/>
        </w:rPr>
        <w:t>analyzing</w:t>
      </w:r>
      <w:proofErr w:type="spellEnd"/>
      <w:r w:rsidRPr="00860FD1">
        <w:rPr>
          <w:sz w:val="22"/>
          <w:szCs w:val="22"/>
          <w:lang w:val="en-GB"/>
        </w:rPr>
        <w:t xml:space="preserve"> the data is to compute percentage changes from one year to the next, or to assess the magnitude of the differences between one company and the next. Look for trends such as whether the company is gaining or losing market share compared with its competitors, and whether sales are growing or shr</w:t>
      </w:r>
      <w:r w:rsidR="005711AE">
        <w:rPr>
          <w:sz w:val="22"/>
          <w:szCs w:val="22"/>
          <w:lang w:val="en-GB"/>
        </w:rPr>
        <w:t>inking, and the rate of change.</w:t>
      </w:r>
    </w:p>
    <w:p w14:paraId="4A690CB2" w14:textId="77777777" w:rsidR="00860FD1" w:rsidRPr="00860FD1" w:rsidRDefault="00860FD1" w:rsidP="00860FD1">
      <w:pPr>
        <w:jc w:val="both"/>
        <w:rPr>
          <w:sz w:val="22"/>
          <w:szCs w:val="22"/>
          <w:lang w:val="en-GB"/>
        </w:rPr>
      </w:pPr>
    </w:p>
    <w:p w14:paraId="3B18DD09" w14:textId="77777777" w:rsidR="00860FD1" w:rsidRPr="00860FD1" w:rsidRDefault="00860FD1" w:rsidP="00860FD1">
      <w:pPr>
        <w:keepNext/>
        <w:jc w:val="both"/>
        <w:rPr>
          <w:sz w:val="22"/>
          <w:szCs w:val="22"/>
          <w:lang w:val="en-GB"/>
        </w:rPr>
      </w:pPr>
      <w:r w:rsidRPr="00860FD1">
        <w:rPr>
          <w:sz w:val="22"/>
          <w:szCs w:val="22"/>
          <w:lang w:val="en-GB"/>
        </w:rPr>
        <w:t>When calculating year-over-year percentage changes, the earlier year’s number forms the base:</w:t>
      </w:r>
    </w:p>
    <w:p w14:paraId="43E469FA" w14:textId="77777777" w:rsidR="00860FD1" w:rsidRPr="00860FD1" w:rsidRDefault="00860FD1" w:rsidP="00860FD1">
      <w:pPr>
        <w:keepNext/>
        <w:jc w:val="both"/>
        <w:rPr>
          <w:color w:val="FFFFFF"/>
          <w:sz w:val="22"/>
          <w:szCs w:val="22"/>
          <w:lang w:val="en-GB"/>
        </w:rPr>
      </w:pPr>
    </w:p>
    <w:p w14:paraId="2CC26F24" w14:textId="77777777" w:rsidR="00860FD1" w:rsidRPr="00860FD1" w:rsidRDefault="00860FD1" w:rsidP="00860FD1">
      <w:pPr>
        <w:jc w:val="center"/>
        <w:rPr>
          <w:sz w:val="22"/>
          <w:szCs w:val="22"/>
          <w:lang w:val="en-GB"/>
        </w:rPr>
      </w:pPr>
      <m:oMathPara>
        <m:oMath>
          <m:r>
            <w:rPr>
              <w:rFonts w:ascii="Cambria Math" w:hAnsi="Cambria Math"/>
              <w:sz w:val="22"/>
              <w:szCs w:val="22"/>
              <w:lang w:val="en-GB"/>
            </w:rPr>
            <m:t>Year</m:t>
          </m:r>
          <m:r>
            <m:rPr>
              <m:nor/>
            </m:rPr>
            <w:rPr>
              <w:rFonts w:ascii="Cambria Math" w:hAnsi="Cambria Math"/>
              <w:sz w:val="22"/>
              <w:szCs w:val="22"/>
              <w:lang w:val="en-GB"/>
            </w:rPr>
            <m:t>-</m:t>
          </m:r>
          <m:r>
            <w:rPr>
              <w:rFonts w:ascii="Cambria Math" w:hAnsi="Cambria Math"/>
              <w:sz w:val="22"/>
              <w:szCs w:val="22"/>
              <w:lang w:val="en-GB"/>
            </w:rPr>
            <m:t>over</m:t>
          </m:r>
          <m:r>
            <m:rPr>
              <m:nor/>
            </m:rPr>
            <w:rPr>
              <w:rFonts w:ascii="Cambria Math" w:hAnsi="Cambria Math"/>
              <w:sz w:val="22"/>
              <w:szCs w:val="22"/>
              <w:lang w:val="en-GB"/>
            </w:rPr>
            <m:t>-</m:t>
          </m:r>
          <m:r>
            <w:rPr>
              <w:rFonts w:ascii="Cambria Math" w:hAnsi="Cambria Math"/>
              <w:sz w:val="22"/>
              <w:szCs w:val="22"/>
              <w:lang w:val="en-GB"/>
            </w:rPr>
            <m:t>Year Percentage Change=</m:t>
          </m:r>
          <m:f>
            <m:fPr>
              <m:ctrlPr>
                <w:rPr>
                  <w:rFonts w:ascii="Cambria Math" w:hAnsi="Cambria Math"/>
                  <w:i/>
                  <w:sz w:val="22"/>
                  <w:szCs w:val="22"/>
                  <w:lang w:val="en-GB"/>
                </w:rPr>
              </m:ctrlPr>
            </m:fPr>
            <m:num>
              <m:r>
                <w:rPr>
                  <w:rFonts w:ascii="Cambria Math" w:hAnsi="Cambria Math"/>
                  <w:sz w:val="22"/>
                  <w:szCs w:val="22"/>
                  <w:lang w:val="en-GB"/>
                </w:rPr>
                <m:t>Year 2-Year 1</m:t>
              </m:r>
            </m:num>
            <m:den>
              <m:r>
                <w:rPr>
                  <w:rFonts w:ascii="Cambria Math" w:hAnsi="Cambria Math"/>
                  <w:sz w:val="22"/>
                  <w:szCs w:val="22"/>
                  <w:lang w:val="en-GB"/>
                </w:rPr>
                <m:t>Year 1</m:t>
              </m:r>
            </m:den>
          </m:f>
        </m:oMath>
      </m:oMathPara>
    </w:p>
    <w:p w14:paraId="3A2E9152" w14:textId="77777777" w:rsidR="00860FD1" w:rsidRPr="00860FD1" w:rsidRDefault="00860FD1" w:rsidP="00860FD1">
      <w:pPr>
        <w:jc w:val="both"/>
        <w:rPr>
          <w:b/>
          <w:sz w:val="22"/>
          <w:szCs w:val="22"/>
          <w:lang w:val="en-GB"/>
        </w:rPr>
      </w:pPr>
    </w:p>
    <w:p w14:paraId="2789B714" w14:textId="77777777" w:rsidR="00860FD1" w:rsidRPr="00860FD1" w:rsidRDefault="00860FD1" w:rsidP="00860FD1">
      <w:pPr>
        <w:jc w:val="both"/>
        <w:rPr>
          <w:sz w:val="22"/>
          <w:szCs w:val="22"/>
          <w:lang w:val="en-GB"/>
        </w:rPr>
      </w:pPr>
      <w:r w:rsidRPr="00860FD1">
        <w:rPr>
          <w:sz w:val="22"/>
          <w:szCs w:val="22"/>
          <w:lang w:val="en-GB"/>
        </w:rPr>
        <w:t>For example, suppose you are given the following numbers:</w:t>
      </w:r>
    </w:p>
    <w:tbl>
      <w:tblPr>
        <w:tblStyle w:val="TableGrid"/>
        <w:tblW w:w="0" w:type="auto"/>
        <w:jc w:val="center"/>
        <w:tblLook w:val="04A0" w:firstRow="1" w:lastRow="0" w:firstColumn="1" w:lastColumn="0" w:noHBand="0" w:noVBand="1"/>
      </w:tblPr>
      <w:tblGrid>
        <w:gridCol w:w="951"/>
        <w:gridCol w:w="1389"/>
      </w:tblGrid>
      <w:tr w:rsidR="00860FD1" w14:paraId="62E84199" w14:textId="77777777" w:rsidTr="00860FD1">
        <w:trPr>
          <w:jc w:val="center"/>
        </w:trPr>
        <w:tc>
          <w:tcPr>
            <w:tcW w:w="951" w:type="dxa"/>
            <w:vAlign w:val="center"/>
          </w:tcPr>
          <w:p w14:paraId="69414E42" w14:textId="77777777" w:rsidR="00860FD1" w:rsidRPr="00860FD1" w:rsidRDefault="00860FD1" w:rsidP="00860FD1">
            <w:pPr>
              <w:jc w:val="center"/>
              <w:rPr>
                <w:b/>
                <w:sz w:val="22"/>
                <w:szCs w:val="22"/>
                <w:lang w:val="en-GB"/>
              </w:rPr>
            </w:pPr>
            <w:r w:rsidRPr="00860FD1">
              <w:rPr>
                <w:b/>
                <w:sz w:val="22"/>
                <w:szCs w:val="22"/>
                <w:lang w:val="en-GB"/>
              </w:rPr>
              <w:t>Year</w:t>
            </w:r>
          </w:p>
        </w:tc>
        <w:tc>
          <w:tcPr>
            <w:tcW w:w="1389" w:type="dxa"/>
            <w:vAlign w:val="center"/>
          </w:tcPr>
          <w:p w14:paraId="09642B92" w14:textId="77777777" w:rsidR="00860FD1" w:rsidRPr="00860FD1" w:rsidRDefault="00860FD1" w:rsidP="00860FD1">
            <w:pPr>
              <w:jc w:val="center"/>
              <w:rPr>
                <w:b/>
                <w:sz w:val="22"/>
                <w:szCs w:val="22"/>
                <w:lang w:val="en-GB"/>
              </w:rPr>
            </w:pPr>
            <w:r w:rsidRPr="00860FD1">
              <w:rPr>
                <w:b/>
                <w:sz w:val="22"/>
                <w:szCs w:val="22"/>
                <w:lang w:val="en-GB"/>
              </w:rPr>
              <w:t>Sales</w:t>
            </w:r>
          </w:p>
        </w:tc>
      </w:tr>
      <w:tr w:rsidR="00860FD1" w14:paraId="3ECC434D" w14:textId="77777777" w:rsidTr="00860FD1">
        <w:trPr>
          <w:jc w:val="center"/>
        </w:trPr>
        <w:tc>
          <w:tcPr>
            <w:tcW w:w="951" w:type="dxa"/>
            <w:vAlign w:val="center"/>
          </w:tcPr>
          <w:p w14:paraId="03298851" w14:textId="77777777" w:rsidR="00860FD1" w:rsidRDefault="00860FD1" w:rsidP="00860FD1">
            <w:pPr>
              <w:jc w:val="center"/>
              <w:rPr>
                <w:sz w:val="22"/>
                <w:szCs w:val="22"/>
                <w:lang w:val="en-GB"/>
              </w:rPr>
            </w:pPr>
            <w:r>
              <w:rPr>
                <w:sz w:val="22"/>
                <w:szCs w:val="22"/>
                <w:lang w:val="en-GB"/>
              </w:rPr>
              <w:t>2015</w:t>
            </w:r>
          </w:p>
        </w:tc>
        <w:tc>
          <w:tcPr>
            <w:tcW w:w="1389" w:type="dxa"/>
            <w:vAlign w:val="center"/>
          </w:tcPr>
          <w:p w14:paraId="6B5F36F5" w14:textId="77777777" w:rsidR="00860FD1" w:rsidRDefault="00860FD1" w:rsidP="00860FD1">
            <w:pPr>
              <w:jc w:val="center"/>
              <w:rPr>
                <w:sz w:val="22"/>
                <w:szCs w:val="22"/>
                <w:lang w:val="en-GB"/>
              </w:rPr>
            </w:pPr>
            <w:r>
              <w:rPr>
                <w:sz w:val="22"/>
                <w:szCs w:val="22"/>
                <w:lang w:val="en-GB"/>
              </w:rPr>
              <w:t>$184,700</w:t>
            </w:r>
          </w:p>
        </w:tc>
      </w:tr>
      <w:tr w:rsidR="00860FD1" w14:paraId="01E3D381" w14:textId="77777777" w:rsidTr="00860FD1">
        <w:trPr>
          <w:jc w:val="center"/>
        </w:trPr>
        <w:tc>
          <w:tcPr>
            <w:tcW w:w="951" w:type="dxa"/>
            <w:vAlign w:val="center"/>
          </w:tcPr>
          <w:p w14:paraId="3D3EB9EA" w14:textId="77777777" w:rsidR="00860FD1" w:rsidRDefault="00860FD1" w:rsidP="00860FD1">
            <w:pPr>
              <w:jc w:val="center"/>
              <w:rPr>
                <w:sz w:val="22"/>
                <w:szCs w:val="22"/>
                <w:lang w:val="en-GB"/>
              </w:rPr>
            </w:pPr>
            <w:r>
              <w:rPr>
                <w:sz w:val="22"/>
                <w:szCs w:val="22"/>
                <w:lang w:val="en-GB"/>
              </w:rPr>
              <w:t>2016</w:t>
            </w:r>
          </w:p>
        </w:tc>
        <w:tc>
          <w:tcPr>
            <w:tcW w:w="1389" w:type="dxa"/>
            <w:vAlign w:val="center"/>
          </w:tcPr>
          <w:p w14:paraId="2A6F10CA" w14:textId="77777777" w:rsidR="00860FD1" w:rsidRDefault="00860FD1" w:rsidP="00860FD1">
            <w:pPr>
              <w:jc w:val="center"/>
              <w:rPr>
                <w:sz w:val="22"/>
                <w:szCs w:val="22"/>
                <w:lang w:val="en-GB"/>
              </w:rPr>
            </w:pPr>
            <w:r>
              <w:rPr>
                <w:sz w:val="22"/>
                <w:szCs w:val="22"/>
                <w:lang w:val="en-GB"/>
              </w:rPr>
              <w:t>$182,500</w:t>
            </w:r>
          </w:p>
        </w:tc>
      </w:tr>
      <w:tr w:rsidR="00860FD1" w14:paraId="06349BB2" w14:textId="77777777" w:rsidTr="00860FD1">
        <w:trPr>
          <w:jc w:val="center"/>
        </w:trPr>
        <w:tc>
          <w:tcPr>
            <w:tcW w:w="951" w:type="dxa"/>
            <w:vAlign w:val="center"/>
          </w:tcPr>
          <w:p w14:paraId="1C359F3B" w14:textId="77777777" w:rsidR="00860FD1" w:rsidRDefault="00860FD1" w:rsidP="00860FD1">
            <w:pPr>
              <w:jc w:val="center"/>
              <w:rPr>
                <w:sz w:val="22"/>
                <w:szCs w:val="22"/>
                <w:lang w:val="en-GB"/>
              </w:rPr>
            </w:pPr>
            <w:r>
              <w:rPr>
                <w:sz w:val="22"/>
                <w:szCs w:val="22"/>
                <w:lang w:val="en-GB"/>
              </w:rPr>
              <w:t>2017</w:t>
            </w:r>
          </w:p>
        </w:tc>
        <w:tc>
          <w:tcPr>
            <w:tcW w:w="1389" w:type="dxa"/>
            <w:vAlign w:val="center"/>
          </w:tcPr>
          <w:p w14:paraId="502A6A16" w14:textId="77777777" w:rsidR="00860FD1" w:rsidRDefault="00860FD1" w:rsidP="00860FD1">
            <w:pPr>
              <w:jc w:val="center"/>
              <w:rPr>
                <w:sz w:val="22"/>
                <w:szCs w:val="22"/>
                <w:lang w:val="en-GB"/>
              </w:rPr>
            </w:pPr>
            <w:r>
              <w:rPr>
                <w:sz w:val="22"/>
                <w:szCs w:val="22"/>
                <w:lang w:val="en-GB"/>
              </w:rPr>
              <w:t>$179,800</w:t>
            </w:r>
          </w:p>
        </w:tc>
      </w:tr>
    </w:tbl>
    <w:p w14:paraId="2B45BD01" w14:textId="77777777" w:rsidR="00860FD1" w:rsidRPr="00860FD1" w:rsidRDefault="00860FD1" w:rsidP="00860FD1">
      <w:pPr>
        <w:jc w:val="both"/>
        <w:rPr>
          <w:sz w:val="22"/>
          <w:szCs w:val="22"/>
          <w:lang w:val="en-GB"/>
        </w:rPr>
      </w:pPr>
    </w:p>
    <w:p w14:paraId="2D7091D3" w14:textId="77777777" w:rsidR="00860FD1" w:rsidRPr="00860FD1" w:rsidRDefault="00860FD1" w:rsidP="00860FD1">
      <w:pPr>
        <w:jc w:val="both"/>
        <w:rPr>
          <w:sz w:val="22"/>
          <w:szCs w:val="22"/>
          <w:lang w:val="en-GB"/>
        </w:rPr>
      </w:pPr>
      <w:r w:rsidRPr="00860FD1">
        <w:rPr>
          <w:sz w:val="22"/>
          <w:szCs w:val="22"/>
          <w:lang w:val="en-GB"/>
        </w:rPr>
        <w:t xml:space="preserve">The percentage decrease in sales from 2015 to 2016 </w:t>
      </w:r>
      <m:oMath>
        <m:r>
          <w:rPr>
            <w:rFonts w:ascii="Cambria Math" w:hAnsi="Cambria Math"/>
            <w:sz w:val="22"/>
            <w:szCs w:val="22"/>
            <w:lang w:val="en-GB"/>
          </w:rPr>
          <m:t>=</m:t>
        </m:r>
        <m:d>
          <m:dPr>
            <m:ctrlPr>
              <w:rPr>
                <w:rFonts w:ascii="Cambria Math" w:hAnsi="Cambria Math"/>
                <w:i/>
                <w:sz w:val="22"/>
                <w:szCs w:val="22"/>
                <w:lang w:val="en-GB"/>
              </w:rPr>
            </m:ctrlPr>
          </m:dPr>
          <m:e>
            <m:f>
              <m:fPr>
                <m:ctrlPr>
                  <w:rPr>
                    <w:rFonts w:ascii="Cambria Math" w:hAnsi="Cambria Math"/>
                    <w:i/>
                    <w:sz w:val="22"/>
                    <w:szCs w:val="22"/>
                    <w:lang w:val="en-GB"/>
                  </w:rPr>
                </m:ctrlPr>
              </m:fPr>
              <m:num>
                <m:r>
                  <w:rPr>
                    <w:rFonts w:ascii="Cambria Math" w:hAnsi="Cambria Math"/>
                    <w:sz w:val="22"/>
                    <w:szCs w:val="22"/>
                    <w:lang w:val="en-GB"/>
                  </w:rPr>
                  <m:t>182,500 – 184,700</m:t>
                </m:r>
              </m:num>
              <m:den>
                <m:r>
                  <w:rPr>
                    <w:rFonts w:ascii="Cambria Math" w:hAnsi="Cambria Math"/>
                    <w:sz w:val="22"/>
                    <w:szCs w:val="22"/>
                    <w:lang w:val="en-GB"/>
                  </w:rPr>
                  <m:t>184,700</m:t>
                </m:r>
              </m:den>
            </m:f>
          </m:e>
        </m:d>
        <m:r>
          <w:rPr>
            <w:rFonts w:ascii="Cambria Math" w:hAnsi="Cambria Math"/>
            <w:sz w:val="22"/>
            <w:szCs w:val="22"/>
            <w:lang w:val="en-GB"/>
          </w:rPr>
          <m:t>=1.19%</m:t>
        </m:r>
      </m:oMath>
    </w:p>
    <w:p w14:paraId="529729E9" w14:textId="77777777" w:rsidR="00860FD1" w:rsidRPr="00860FD1" w:rsidRDefault="00860FD1" w:rsidP="00860FD1">
      <w:pPr>
        <w:jc w:val="both"/>
        <w:rPr>
          <w:sz w:val="22"/>
          <w:szCs w:val="22"/>
          <w:lang w:val="en-GB"/>
        </w:rPr>
      </w:pPr>
    </w:p>
    <w:p w14:paraId="0C2FBCD2" w14:textId="77777777" w:rsidR="00860FD1" w:rsidRPr="00860FD1" w:rsidRDefault="00860FD1" w:rsidP="00860FD1">
      <w:pPr>
        <w:jc w:val="both"/>
        <w:rPr>
          <w:sz w:val="22"/>
          <w:szCs w:val="22"/>
          <w:lang w:val="en-GB"/>
        </w:rPr>
      </w:pPr>
      <w:r w:rsidRPr="00860FD1">
        <w:rPr>
          <w:sz w:val="22"/>
          <w:szCs w:val="22"/>
          <w:lang w:val="en-GB"/>
        </w:rPr>
        <w:t xml:space="preserve">The percentage decrease in sales from 2016 to 2017 </w:t>
      </w:r>
      <m:oMath>
        <m:r>
          <w:rPr>
            <w:rFonts w:ascii="Cambria Math" w:hAnsi="Cambria Math"/>
            <w:sz w:val="22"/>
            <w:szCs w:val="22"/>
            <w:lang w:val="en-GB"/>
          </w:rPr>
          <m:t>=</m:t>
        </m:r>
        <m:d>
          <m:dPr>
            <m:ctrlPr>
              <w:rPr>
                <w:rFonts w:ascii="Cambria Math" w:hAnsi="Cambria Math"/>
                <w:i/>
                <w:sz w:val="22"/>
                <w:szCs w:val="22"/>
                <w:lang w:val="en-GB"/>
              </w:rPr>
            </m:ctrlPr>
          </m:dPr>
          <m:e>
            <m:f>
              <m:fPr>
                <m:ctrlPr>
                  <w:rPr>
                    <w:rFonts w:ascii="Cambria Math" w:hAnsi="Cambria Math"/>
                    <w:i/>
                    <w:sz w:val="22"/>
                    <w:szCs w:val="22"/>
                    <w:lang w:val="en-GB"/>
                  </w:rPr>
                </m:ctrlPr>
              </m:fPr>
              <m:num>
                <m:r>
                  <w:rPr>
                    <w:rFonts w:ascii="Cambria Math" w:hAnsi="Cambria Math"/>
                    <w:sz w:val="22"/>
                    <w:szCs w:val="22"/>
                    <w:lang w:val="en-GB"/>
                  </w:rPr>
                  <m:t>179,800 –182,500</m:t>
                </m:r>
              </m:num>
              <m:den>
                <m:r>
                  <w:rPr>
                    <w:rFonts w:ascii="Cambria Math" w:hAnsi="Cambria Math"/>
                    <w:sz w:val="22"/>
                    <w:szCs w:val="22"/>
                    <w:lang w:val="en-GB"/>
                  </w:rPr>
                  <m:t>182,500</m:t>
                </m:r>
              </m:den>
            </m:f>
          </m:e>
        </m:d>
        <m:r>
          <w:rPr>
            <w:rFonts w:ascii="Cambria Math" w:hAnsi="Cambria Math"/>
            <w:sz w:val="22"/>
            <w:szCs w:val="22"/>
            <w:lang w:val="en-GB"/>
          </w:rPr>
          <m:t>=1.48%</m:t>
        </m:r>
      </m:oMath>
      <w:r w:rsidRPr="00860FD1">
        <w:rPr>
          <w:sz w:val="22"/>
          <w:szCs w:val="22"/>
          <w:lang w:val="en-GB"/>
        </w:rPr>
        <w:t xml:space="preserve"> </w:t>
      </w:r>
    </w:p>
    <w:p w14:paraId="1E6B6A5B" w14:textId="77777777" w:rsidR="00860FD1" w:rsidRPr="00860FD1" w:rsidRDefault="00860FD1" w:rsidP="00860FD1">
      <w:pPr>
        <w:jc w:val="both"/>
        <w:rPr>
          <w:sz w:val="22"/>
          <w:szCs w:val="22"/>
          <w:lang w:val="en-GB"/>
        </w:rPr>
      </w:pPr>
    </w:p>
    <w:p w14:paraId="19DBE307" w14:textId="77777777" w:rsidR="00860FD1" w:rsidRDefault="00860FD1" w:rsidP="00860FD1">
      <w:pPr>
        <w:jc w:val="both"/>
        <w:rPr>
          <w:sz w:val="22"/>
          <w:szCs w:val="22"/>
          <w:lang w:val="en-GB"/>
        </w:rPr>
      </w:pPr>
      <w:r w:rsidRPr="00860FD1">
        <w:rPr>
          <w:sz w:val="22"/>
          <w:szCs w:val="22"/>
          <w:lang w:val="en-GB"/>
        </w:rPr>
        <w:t>For the two-year period:</w:t>
      </w:r>
    </w:p>
    <w:p w14:paraId="03A244A2" w14:textId="77777777" w:rsidR="00F72A1B" w:rsidRPr="00860FD1" w:rsidRDefault="00F72A1B" w:rsidP="00860FD1">
      <w:pPr>
        <w:jc w:val="both"/>
        <w:rPr>
          <w:sz w:val="22"/>
          <w:szCs w:val="22"/>
          <w:lang w:val="en-GB"/>
        </w:rPr>
      </w:pPr>
    </w:p>
    <w:p w14:paraId="23A13F56" w14:textId="77777777" w:rsidR="00860FD1" w:rsidRPr="00860FD1" w:rsidRDefault="00860FD1" w:rsidP="00860FD1">
      <w:pPr>
        <w:jc w:val="both"/>
        <w:rPr>
          <w:sz w:val="22"/>
          <w:szCs w:val="22"/>
          <w:lang w:val="en-GB"/>
        </w:rPr>
      </w:pPr>
      <w:r w:rsidRPr="00860FD1">
        <w:rPr>
          <w:sz w:val="22"/>
          <w:szCs w:val="22"/>
          <w:lang w:val="en-GB"/>
        </w:rPr>
        <w:t xml:space="preserve">The percentage decrease in sales from 2015 to 2017 </w:t>
      </w:r>
      <m:oMath>
        <m:r>
          <w:rPr>
            <w:rFonts w:ascii="Cambria Math" w:hAnsi="Cambria Math"/>
            <w:sz w:val="22"/>
            <w:szCs w:val="22"/>
            <w:lang w:val="en-GB"/>
          </w:rPr>
          <m:t>=</m:t>
        </m:r>
        <m:d>
          <m:dPr>
            <m:ctrlPr>
              <w:rPr>
                <w:rFonts w:ascii="Cambria Math" w:hAnsi="Cambria Math"/>
                <w:i/>
                <w:sz w:val="22"/>
                <w:szCs w:val="22"/>
                <w:lang w:val="en-GB"/>
              </w:rPr>
            </m:ctrlPr>
          </m:dPr>
          <m:e>
            <m:f>
              <m:fPr>
                <m:ctrlPr>
                  <w:rPr>
                    <w:rFonts w:ascii="Cambria Math" w:hAnsi="Cambria Math"/>
                    <w:i/>
                    <w:sz w:val="22"/>
                    <w:szCs w:val="22"/>
                    <w:lang w:val="en-GB"/>
                  </w:rPr>
                </m:ctrlPr>
              </m:fPr>
              <m:num>
                <m:r>
                  <w:rPr>
                    <w:rFonts w:ascii="Cambria Math" w:hAnsi="Cambria Math"/>
                    <w:sz w:val="22"/>
                    <w:szCs w:val="22"/>
                    <w:lang w:val="en-GB"/>
                  </w:rPr>
                  <m:t>179,800 – 184,700</m:t>
                </m:r>
              </m:num>
              <m:den>
                <m:r>
                  <w:rPr>
                    <w:rFonts w:ascii="Cambria Math" w:hAnsi="Cambria Math"/>
                    <w:sz w:val="22"/>
                    <w:szCs w:val="22"/>
                    <w:lang w:val="en-GB"/>
                  </w:rPr>
                  <m:t>184,700</m:t>
                </m:r>
              </m:den>
            </m:f>
          </m:e>
        </m:d>
        <m:r>
          <w:rPr>
            <w:rFonts w:ascii="Cambria Math" w:hAnsi="Cambria Math"/>
            <w:sz w:val="22"/>
            <w:szCs w:val="22"/>
            <w:lang w:val="en-GB"/>
          </w:rPr>
          <m:t>=2.65%</m:t>
        </m:r>
      </m:oMath>
    </w:p>
    <w:p w14:paraId="7C079E21" w14:textId="4373DC78" w:rsidR="00860FD1" w:rsidRDefault="00860FD1" w:rsidP="00860FD1">
      <w:pPr>
        <w:jc w:val="both"/>
        <w:rPr>
          <w:sz w:val="22"/>
          <w:szCs w:val="22"/>
          <w:lang w:val="en-GB"/>
        </w:rPr>
      </w:pPr>
    </w:p>
    <w:p w14:paraId="4EDDAD47" w14:textId="73F39A85" w:rsidR="005E7DB9" w:rsidRDefault="00A56C9A" w:rsidP="00860FD1">
      <w:pPr>
        <w:jc w:val="both"/>
        <w:rPr>
          <w:sz w:val="22"/>
          <w:szCs w:val="22"/>
          <w:lang w:val="en-GB"/>
        </w:rPr>
      </w:pPr>
      <w:r>
        <w:rPr>
          <w:sz w:val="22"/>
          <w:szCs w:val="22"/>
          <w:lang w:val="en-GB"/>
        </w:rPr>
        <w:t>From the above horizontal analysis, y</w:t>
      </w:r>
      <w:r w:rsidR="005E7DB9">
        <w:rPr>
          <w:sz w:val="22"/>
          <w:szCs w:val="22"/>
          <w:lang w:val="en-GB"/>
        </w:rPr>
        <w:t>ou</w:t>
      </w:r>
      <w:r w:rsidR="00690ADD">
        <w:rPr>
          <w:sz w:val="22"/>
          <w:szCs w:val="22"/>
          <w:lang w:val="en-GB"/>
        </w:rPr>
        <w:t xml:space="preserve"> can conclude</w:t>
      </w:r>
      <w:r w:rsidR="005E7DB9">
        <w:rPr>
          <w:sz w:val="22"/>
          <w:szCs w:val="22"/>
          <w:lang w:val="en-GB"/>
        </w:rPr>
        <w:t xml:space="preserve"> that sales are declining at an increasing rate.</w:t>
      </w:r>
    </w:p>
    <w:p w14:paraId="503ECCBF" w14:textId="77777777" w:rsidR="005E7DB9" w:rsidRPr="00860FD1" w:rsidRDefault="005E7DB9" w:rsidP="00860FD1">
      <w:pPr>
        <w:jc w:val="both"/>
        <w:rPr>
          <w:sz w:val="22"/>
          <w:szCs w:val="22"/>
          <w:lang w:val="en-GB"/>
        </w:rPr>
      </w:pPr>
    </w:p>
    <w:p w14:paraId="4B4A5AAA" w14:textId="77777777" w:rsidR="00860FD1" w:rsidRPr="00860FD1" w:rsidRDefault="00860FD1" w:rsidP="00860FD1">
      <w:pPr>
        <w:jc w:val="both"/>
        <w:rPr>
          <w:sz w:val="22"/>
          <w:szCs w:val="22"/>
          <w:lang w:val="en-GB"/>
        </w:rPr>
      </w:pPr>
    </w:p>
    <w:p w14:paraId="7E84FD34" w14:textId="77777777" w:rsidR="00860FD1" w:rsidRPr="00860FD1" w:rsidRDefault="00860FD1" w:rsidP="00100EF4">
      <w:pPr>
        <w:numPr>
          <w:ilvl w:val="0"/>
          <w:numId w:val="6"/>
        </w:numPr>
        <w:tabs>
          <w:tab w:val="left" w:pos="284"/>
        </w:tabs>
        <w:ind w:left="426" w:hanging="426"/>
        <w:jc w:val="both"/>
        <w:rPr>
          <w:rFonts w:ascii="Arial" w:hAnsi="Arial" w:cs="Arial"/>
          <w:b/>
          <w:caps/>
          <w:lang w:val="en-GB"/>
        </w:rPr>
      </w:pPr>
      <w:bookmarkStart w:id="4" w:name="_Toc393181051"/>
      <w:r w:rsidRPr="00860FD1">
        <w:rPr>
          <w:rFonts w:ascii="Arial" w:hAnsi="Arial" w:cs="Arial"/>
          <w:b/>
          <w:caps/>
          <w:lang w:val="en-GB"/>
        </w:rPr>
        <w:t>VERTICAL ANALYSIS</w:t>
      </w:r>
      <w:bookmarkEnd w:id="4"/>
    </w:p>
    <w:p w14:paraId="4EF29EBD" w14:textId="77777777" w:rsidR="00860FD1" w:rsidRPr="00860FD1" w:rsidRDefault="00860FD1" w:rsidP="00860FD1">
      <w:pPr>
        <w:jc w:val="both"/>
        <w:rPr>
          <w:sz w:val="22"/>
          <w:szCs w:val="22"/>
          <w:lang w:val="en-GB"/>
        </w:rPr>
      </w:pPr>
    </w:p>
    <w:p w14:paraId="4CC09366" w14:textId="0566FAEE" w:rsidR="00860FD1" w:rsidRPr="00336EBF" w:rsidRDefault="00860FD1" w:rsidP="00860FD1">
      <w:pPr>
        <w:jc w:val="both"/>
        <w:rPr>
          <w:spacing w:val="-2"/>
          <w:kern w:val="22"/>
          <w:sz w:val="22"/>
          <w:szCs w:val="22"/>
          <w:lang w:val="en-GB"/>
        </w:rPr>
      </w:pPr>
      <w:r w:rsidRPr="00336EBF">
        <w:rPr>
          <w:bCs/>
          <w:spacing w:val="-2"/>
          <w:kern w:val="22"/>
          <w:sz w:val="22"/>
          <w:szCs w:val="22"/>
          <w:lang w:val="en-GB"/>
        </w:rPr>
        <w:t>Vertical analysis</w:t>
      </w:r>
      <w:r w:rsidRPr="00336EBF">
        <w:rPr>
          <w:spacing w:val="-2"/>
          <w:kern w:val="22"/>
          <w:sz w:val="22"/>
          <w:szCs w:val="22"/>
          <w:lang w:val="en-GB"/>
        </w:rPr>
        <w:t xml:space="preserve"> or </w:t>
      </w:r>
      <w:r w:rsidRPr="00336EBF">
        <w:rPr>
          <w:bCs/>
          <w:spacing w:val="-2"/>
          <w:kern w:val="22"/>
          <w:sz w:val="22"/>
          <w:szCs w:val="22"/>
          <w:lang w:val="en-GB"/>
        </w:rPr>
        <w:t>common size analysis</w:t>
      </w:r>
      <w:r w:rsidRPr="00336EBF">
        <w:rPr>
          <w:spacing w:val="-2"/>
          <w:kern w:val="22"/>
          <w:sz w:val="22"/>
          <w:szCs w:val="22"/>
          <w:lang w:val="en-GB"/>
        </w:rPr>
        <w:t xml:space="preserve"> expresses each item on a financial statement in terms of a percentage of a base amount. The base for income statement items is usually sales. For example, you </w:t>
      </w:r>
      <w:r w:rsidR="00690ADD" w:rsidRPr="00336EBF">
        <w:rPr>
          <w:spacing w:val="-2"/>
          <w:kern w:val="22"/>
          <w:sz w:val="22"/>
          <w:szCs w:val="22"/>
          <w:lang w:val="en-GB"/>
        </w:rPr>
        <w:t xml:space="preserve">can </w:t>
      </w:r>
      <w:r w:rsidRPr="00336EBF">
        <w:rPr>
          <w:spacing w:val="-2"/>
          <w:kern w:val="22"/>
          <w:sz w:val="22"/>
          <w:szCs w:val="22"/>
          <w:lang w:val="en-GB"/>
        </w:rPr>
        <w:t xml:space="preserve">calculate cost of goods sold (COGS) or other expenses as a percentage of sales. Potential bases for statement of financial position (balance sheet) items are total assets or total liabilities. For example, you </w:t>
      </w:r>
      <w:r w:rsidR="00690ADD" w:rsidRPr="00336EBF">
        <w:rPr>
          <w:spacing w:val="-2"/>
          <w:kern w:val="22"/>
          <w:sz w:val="22"/>
          <w:szCs w:val="22"/>
          <w:lang w:val="en-GB"/>
        </w:rPr>
        <w:t xml:space="preserve">can </w:t>
      </w:r>
      <w:r w:rsidRPr="00336EBF">
        <w:rPr>
          <w:spacing w:val="-2"/>
          <w:kern w:val="22"/>
          <w:sz w:val="22"/>
          <w:szCs w:val="22"/>
          <w:lang w:val="en-GB"/>
        </w:rPr>
        <w:t xml:space="preserve">calculate inventory as a percentage of total assets, or you </w:t>
      </w:r>
      <w:r w:rsidR="00690ADD" w:rsidRPr="00336EBF">
        <w:rPr>
          <w:spacing w:val="-2"/>
          <w:kern w:val="22"/>
          <w:sz w:val="22"/>
          <w:szCs w:val="22"/>
          <w:lang w:val="en-GB"/>
        </w:rPr>
        <w:t xml:space="preserve">can </w:t>
      </w:r>
      <w:r w:rsidRPr="00336EBF">
        <w:rPr>
          <w:spacing w:val="-2"/>
          <w:kern w:val="22"/>
          <w:sz w:val="22"/>
          <w:szCs w:val="22"/>
          <w:lang w:val="en-GB"/>
        </w:rPr>
        <w:t>calculate current liabilities as a percentage of total liabilities.</w:t>
      </w:r>
    </w:p>
    <w:p w14:paraId="12E3889F" w14:textId="77777777" w:rsidR="00860FD1" w:rsidRPr="00860FD1" w:rsidRDefault="00860FD1" w:rsidP="00860FD1">
      <w:pPr>
        <w:jc w:val="both"/>
        <w:rPr>
          <w:sz w:val="22"/>
          <w:szCs w:val="22"/>
          <w:lang w:val="en-GB"/>
        </w:rPr>
      </w:pPr>
    </w:p>
    <w:p w14:paraId="3DFD0A10" w14:textId="36B8AE44" w:rsidR="00860FD1" w:rsidRPr="00860FD1" w:rsidRDefault="00860FD1" w:rsidP="00860FD1">
      <w:pPr>
        <w:jc w:val="both"/>
        <w:rPr>
          <w:sz w:val="22"/>
          <w:szCs w:val="22"/>
          <w:lang w:val="en-GB"/>
        </w:rPr>
      </w:pPr>
      <w:r w:rsidRPr="00860FD1">
        <w:rPr>
          <w:sz w:val="22"/>
          <w:szCs w:val="22"/>
          <w:lang w:val="en-GB"/>
        </w:rPr>
        <w:t>Vertical analysis facilitates comparison between one business and its competitors of different sizes. It also allows a business to compare its own results from one year to the next. For instance, if sales were higher, one would expect COGS to also be higher. By expressing COGS as a percentage of sales, we can determine whether sales price increases are keeping pace with cost increases.</w:t>
      </w:r>
    </w:p>
    <w:p w14:paraId="2F77DA89" w14:textId="77777777" w:rsidR="00860FD1" w:rsidRPr="00860FD1" w:rsidRDefault="00860FD1" w:rsidP="00860FD1">
      <w:pPr>
        <w:jc w:val="both"/>
        <w:rPr>
          <w:sz w:val="22"/>
          <w:szCs w:val="22"/>
          <w:lang w:val="en-GB"/>
        </w:rPr>
      </w:pPr>
    </w:p>
    <w:p w14:paraId="4F04B862" w14:textId="032F9B60" w:rsidR="00860FD1" w:rsidRDefault="00860FD1" w:rsidP="00860FD1">
      <w:pPr>
        <w:jc w:val="both"/>
        <w:rPr>
          <w:sz w:val="22"/>
          <w:szCs w:val="22"/>
          <w:lang w:val="en-GB"/>
        </w:rPr>
      </w:pPr>
      <w:r w:rsidRPr="00860FD1">
        <w:rPr>
          <w:sz w:val="22"/>
          <w:szCs w:val="22"/>
          <w:lang w:val="en-GB"/>
        </w:rPr>
        <w:t>For example, suppose you are given the sales numbers in Section 2.1 and the following numbers:</w:t>
      </w:r>
    </w:p>
    <w:tbl>
      <w:tblPr>
        <w:tblStyle w:val="TableGrid"/>
        <w:tblW w:w="0" w:type="auto"/>
        <w:jc w:val="center"/>
        <w:tblLook w:val="04A0" w:firstRow="1" w:lastRow="0" w:firstColumn="1" w:lastColumn="0" w:noHBand="0" w:noVBand="1"/>
      </w:tblPr>
      <w:tblGrid>
        <w:gridCol w:w="990"/>
        <w:gridCol w:w="1350"/>
      </w:tblGrid>
      <w:tr w:rsidR="00860FD1" w14:paraId="419DAC80" w14:textId="77777777" w:rsidTr="00860FD1">
        <w:trPr>
          <w:jc w:val="center"/>
        </w:trPr>
        <w:tc>
          <w:tcPr>
            <w:tcW w:w="990" w:type="dxa"/>
            <w:vAlign w:val="center"/>
          </w:tcPr>
          <w:p w14:paraId="0322589A" w14:textId="77777777" w:rsidR="00860FD1" w:rsidRPr="00860FD1" w:rsidRDefault="00860FD1" w:rsidP="00860FD1">
            <w:pPr>
              <w:jc w:val="center"/>
              <w:rPr>
                <w:b/>
                <w:sz w:val="22"/>
                <w:szCs w:val="22"/>
                <w:lang w:val="en-GB"/>
              </w:rPr>
            </w:pPr>
            <w:r w:rsidRPr="00860FD1">
              <w:rPr>
                <w:b/>
                <w:sz w:val="22"/>
                <w:szCs w:val="22"/>
                <w:lang w:val="en-GB"/>
              </w:rPr>
              <w:lastRenderedPageBreak/>
              <w:t>Year</w:t>
            </w:r>
          </w:p>
        </w:tc>
        <w:tc>
          <w:tcPr>
            <w:tcW w:w="1350" w:type="dxa"/>
            <w:vAlign w:val="center"/>
          </w:tcPr>
          <w:p w14:paraId="57ADCCFB" w14:textId="77777777" w:rsidR="00860FD1" w:rsidRPr="00860FD1" w:rsidRDefault="00860FD1" w:rsidP="00860FD1">
            <w:pPr>
              <w:jc w:val="center"/>
              <w:rPr>
                <w:b/>
                <w:sz w:val="22"/>
                <w:szCs w:val="22"/>
                <w:lang w:val="en-GB"/>
              </w:rPr>
            </w:pPr>
            <w:r w:rsidRPr="00860FD1">
              <w:rPr>
                <w:b/>
                <w:sz w:val="22"/>
                <w:szCs w:val="22"/>
                <w:lang w:val="en-GB"/>
              </w:rPr>
              <w:t>COGS</w:t>
            </w:r>
          </w:p>
        </w:tc>
      </w:tr>
      <w:tr w:rsidR="00860FD1" w14:paraId="4EDB4C17" w14:textId="77777777" w:rsidTr="00860FD1">
        <w:trPr>
          <w:jc w:val="center"/>
        </w:trPr>
        <w:tc>
          <w:tcPr>
            <w:tcW w:w="990" w:type="dxa"/>
            <w:vAlign w:val="center"/>
          </w:tcPr>
          <w:p w14:paraId="58EF89E2" w14:textId="77777777" w:rsidR="00860FD1" w:rsidRDefault="00860FD1" w:rsidP="00860FD1">
            <w:pPr>
              <w:jc w:val="center"/>
              <w:rPr>
                <w:sz w:val="22"/>
                <w:szCs w:val="22"/>
                <w:lang w:val="en-GB"/>
              </w:rPr>
            </w:pPr>
            <w:r>
              <w:rPr>
                <w:sz w:val="22"/>
                <w:szCs w:val="22"/>
                <w:lang w:val="en-GB"/>
              </w:rPr>
              <w:t>2015</w:t>
            </w:r>
          </w:p>
        </w:tc>
        <w:tc>
          <w:tcPr>
            <w:tcW w:w="1350" w:type="dxa"/>
            <w:vAlign w:val="center"/>
          </w:tcPr>
          <w:p w14:paraId="788985B4" w14:textId="77777777" w:rsidR="00860FD1" w:rsidRDefault="00860FD1" w:rsidP="00860FD1">
            <w:pPr>
              <w:jc w:val="center"/>
              <w:rPr>
                <w:sz w:val="22"/>
                <w:szCs w:val="22"/>
                <w:lang w:val="en-GB"/>
              </w:rPr>
            </w:pPr>
            <w:r>
              <w:rPr>
                <w:sz w:val="22"/>
                <w:szCs w:val="22"/>
                <w:lang w:val="en-GB"/>
              </w:rPr>
              <w:t>$85,800</w:t>
            </w:r>
          </w:p>
        </w:tc>
      </w:tr>
      <w:tr w:rsidR="00860FD1" w14:paraId="7E411E83" w14:textId="77777777" w:rsidTr="00860FD1">
        <w:trPr>
          <w:jc w:val="center"/>
        </w:trPr>
        <w:tc>
          <w:tcPr>
            <w:tcW w:w="990" w:type="dxa"/>
            <w:vAlign w:val="center"/>
          </w:tcPr>
          <w:p w14:paraId="4E02F861" w14:textId="77777777" w:rsidR="00860FD1" w:rsidRDefault="00860FD1" w:rsidP="00860FD1">
            <w:pPr>
              <w:jc w:val="center"/>
              <w:rPr>
                <w:sz w:val="22"/>
                <w:szCs w:val="22"/>
                <w:lang w:val="en-GB"/>
              </w:rPr>
            </w:pPr>
            <w:r>
              <w:rPr>
                <w:sz w:val="22"/>
                <w:szCs w:val="22"/>
                <w:lang w:val="en-GB"/>
              </w:rPr>
              <w:t>2016</w:t>
            </w:r>
          </w:p>
        </w:tc>
        <w:tc>
          <w:tcPr>
            <w:tcW w:w="1350" w:type="dxa"/>
            <w:vAlign w:val="center"/>
          </w:tcPr>
          <w:p w14:paraId="62FF7BE6" w14:textId="77777777" w:rsidR="00860FD1" w:rsidRDefault="00860FD1" w:rsidP="00860FD1">
            <w:pPr>
              <w:jc w:val="center"/>
              <w:rPr>
                <w:sz w:val="22"/>
                <w:szCs w:val="22"/>
                <w:lang w:val="en-GB"/>
              </w:rPr>
            </w:pPr>
            <w:r>
              <w:rPr>
                <w:sz w:val="22"/>
                <w:szCs w:val="22"/>
                <w:lang w:val="en-GB"/>
              </w:rPr>
              <w:t>$84,500</w:t>
            </w:r>
          </w:p>
        </w:tc>
      </w:tr>
      <w:tr w:rsidR="00860FD1" w14:paraId="52D61716" w14:textId="77777777" w:rsidTr="00860FD1">
        <w:trPr>
          <w:jc w:val="center"/>
        </w:trPr>
        <w:tc>
          <w:tcPr>
            <w:tcW w:w="990" w:type="dxa"/>
            <w:vAlign w:val="center"/>
          </w:tcPr>
          <w:p w14:paraId="233C8060" w14:textId="77777777" w:rsidR="00860FD1" w:rsidRDefault="00860FD1" w:rsidP="00860FD1">
            <w:pPr>
              <w:jc w:val="center"/>
              <w:rPr>
                <w:sz w:val="22"/>
                <w:szCs w:val="22"/>
                <w:lang w:val="en-GB"/>
              </w:rPr>
            </w:pPr>
            <w:r>
              <w:rPr>
                <w:sz w:val="22"/>
                <w:szCs w:val="22"/>
                <w:lang w:val="en-GB"/>
              </w:rPr>
              <w:t>2017</w:t>
            </w:r>
          </w:p>
        </w:tc>
        <w:tc>
          <w:tcPr>
            <w:tcW w:w="1350" w:type="dxa"/>
            <w:vAlign w:val="center"/>
          </w:tcPr>
          <w:p w14:paraId="6315B538" w14:textId="77777777" w:rsidR="00860FD1" w:rsidRDefault="00860FD1" w:rsidP="00860FD1">
            <w:pPr>
              <w:jc w:val="center"/>
              <w:rPr>
                <w:sz w:val="22"/>
                <w:szCs w:val="22"/>
                <w:lang w:val="en-GB"/>
              </w:rPr>
            </w:pPr>
            <w:r>
              <w:rPr>
                <w:sz w:val="22"/>
                <w:szCs w:val="22"/>
                <w:lang w:val="en-GB"/>
              </w:rPr>
              <w:t>$86,200</w:t>
            </w:r>
          </w:p>
        </w:tc>
      </w:tr>
    </w:tbl>
    <w:p w14:paraId="7A40767D" w14:textId="77777777" w:rsidR="00860FD1" w:rsidRPr="00860FD1" w:rsidRDefault="00860FD1" w:rsidP="00860FD1">
      <w:pPr>
        <w:jc w:val="both"/>
        <w:rPr>
          <w:sz w:val="22"/>
          <w:szCs w:val="22"/>
          <w:lang w:val="en-GB"/>
        </w:rPr>
      </w:pPr>
    </w:p>
    <w:p w14:paraId="160E8EE7" w14:textId="6B930793" w:rsidR="00860FD1" w:rsidRPr="00860FD1" w:rsidRDefault="00471195" w:rsidP="00860FD1">
      <w:pPr>
        <w:jc w:val="both"/>
        <w:rPr>
          <w:sz w:val="22"/>
          <w:szCs w:val="22"/>
          <w:lang w:val="en-GB"/>
        </w:rPr>
      </w:pPr>
      <m:oMathPara>
        <m:oMathParaPr>
          <m:jc m:val="center"/>
        </m:oMathParaPr>
        <m:oMath>
          <m:f>
            <m:fPr>
              <m:ctrlPr>
                <w:rPr>
                  <w:rFonts w:ascii="Cambria Math" w:hAnsi="Cambria Math"/>
                  <w:i/>
                  <w:sz w:val="22"/>
                  <w:szCs w:val="22"/>
                  <w:lang w:val="en-GB"/>
                </w:rPr>
              </m:ctrlPr>
            </m:fPr>
            <m:num>
              <m:r>
                <w:rPr>
                  <w:rFonts w:ascii="Cambria Math" w:hAnsi="Cambria Math"/>
                  <w:sz w:val="22"/>
                  <w:szCs w:val="22"/>
                  <w:lang w:val="en-GB"/>
                </w:rPr>
                <m:t>Cost of Goods Sold</m:t>
              </m:r>
            </m:num>
            <m:den>
              <m:r>
                <w:rPr>
                  <w:rFonts w:ascii="Cambria Math" w:hAnsi="Cambria Math"/>
                  <w:sz w:val="22"/>
                  <w:szCs w:val="22"/>
                  <w:lang w:val="en-GB"/>
                </w:rPr>
                <m:t>Sales</m:t>
              </m:r>
            </m:den>
          </m:f>
          <m:r>
            <w:rPr>
              <w:rFonts w:ascii="Cambria Math" w:hAnsi="Cambria Math"/>
              <w:sz w:val="22"/>
              <w:szCs w:val="22"/>
              <w:lang w:val="en-GB"/>
            </w:rPr>
            <m:t>=</m:t>
          </m:r>
          <m:f>
            <m:fPr>
              <m:ctrlPr>
                <w:rPr>
                  <w:rFonts w:ascii="Cambria Math" w:hAnsi="Cambria Math"/>
                  <w:i/>
                  <w:sz w:val="22"/>
                  <w:szCs w:val="22"/>
                  <w:lang w:val="en-GB"/>
                </w:rPr>
              </m:ctrlPr>
            </m:fPr>
            <m:num>
              <m:r>
                <w:rPr>
                  <w:rFonts w:ascii="Cambria Math" w:hAnsi="Cambria Math"/>
                  <w:sz w:val="22"/>
                  <w:szCs w:val="22"/>
                  <w:lang w:val="en-GB"/>
                </w:rPr>
                <m:t>85,800</m:t>
              </m:r>
            </m:num>
            <m:den>
              <m:r>
                <w:rPr>
                  <w:rFonts w:ascii="Cambria Math" w:hAnsi="Cambria Math"/>
                  <w:sz w:val="22"/>
                  <w:szCs w:val="22"/>
                  <w:lang w:val="en-GB"/>
                </w:rPr>
                <m:t>184,700</m:t>
              </m:r>
            </m:den>
          </m:f>
          <m:r>
            <w:rPr>
              <w:rFonts w:ascii="Cambria Math" w:hAnsi="Cambria Math"/>
              <w:sz w:val="22"/>
              <w:szCs w:val="22"/>
              <w:lang w:val="en-GB"/>
            </w:rPr>
            <m:t>=46.4%</m:t>
          </m:r>
        </m:oMath>
      </m:oMathPara>
    </w:p>
    <w:p w14:paraId="478CE033" w14:textId="77777777" w:rsidR="00860FD1" w:rsidRPr="00860FD1" w:rsidRDefault="00860FD1" w:rsidP="00860FD1">
      <w:pPr>
        <w:jc w:val="both"/>
        <w:rPr>
          <w:sz w:val="22"/>
          <w:szCs w:val="22"/>
          <w:lang w:val="en-GB"/>
        </w:rPr>
      </w:pPr>
    </w:p>
    <w:tbl>
      <w:tblPr>
        <w:tblStyle w:val="TableGrid"/>
        <w:tblW w:w="0" w:type="auto"/>
        <w:jc w:val="center"/>
        <w:tblLook w:val="04A0" w:firstRow="1" w:lastRow="0" w:firstColumn="1" w:lastColumn="0" w:noHBand="0" w:noVBand="1"/>
      </w:tblPr>
      <w:tblGrid>
        <w:gridCol w:w="990"/>
        <w:gridCol w:w="1440"/>
      </w:tblGrid>
      <w:tr w:rsidR="00860FD1" w14:paraId="0855951D" w14:textId="77777777" w:rsidTr="00860FD1">
        <w:trPr>
          <w:jc w:val="center"/>
        </w:trPr>
        <w:tc>
          <w:tcPr>
            <w:tcW w:w="990" w:type="dxa"/>
            <w:vAlign w:val="center"/>
          </w:tcPr>
          <w:p w14:paraId="0281EBC8" w14:textId="77777777" w:rsidR="00860FD1" w:rsidRPr="00860FD1" w:rsidRDefault="00860FD1" w:rsidP="00860FD1">
            <w:pPr>
              <w:jc w:val="center"/>
              <w:rPr>
                <w:b/>
                <w:sz w:val="22"/>
                <w:szCs w:val="22"/>
                <w:lang w:val="en-GB"/>
              </w:rPr>
            </w:pPr>
            <w:r w:rsidRPr="00860FD1">
              <w:rPr>
                <w:b/>
                <w:sz w:val="22"/>
                <w:szCs w:val="22"/>
                <w:lang w:val="en-GB"/>
              </w:rPr>
              <w:t>Year</w:t>
            </w:r>
          </w:p>
        </w:tc>
        <w:tc>
          <w:tcPr>
            <w:tcW w:w="1440" w:type="dxa"/>
            <w:vAlign w:val="center"/>
          </w:tcPr>
          <w:p w14:paraId="4D3F16AC" w14:textId="77777777" w:rsidR="00860FD1" w:rsidRPr="00860FD1" w:rsidRDefault="00860FD1" w:rsidP="00860FD1">
            <w:pPr>
              <w:jc w:val="center"/>
              <w:rPr>
                <w:b/>
                <w:sz w:val="22"/>
                <w:szCs w:val="22"/>
                <w:lang w:val="en-GB"/>
              </w:rPr>
            </w:pPr>
            <w:r w:rsidRPr="00860FD1">
              <w:rPr>
                <w:b/>
                <w:sz w:val="22"/>
                <w:szCs w:val="22"/>
                <w:lang w:val="en-GB"/>
              </w:rPr>
              <w:t>% of Sales</w:t>
            </w:r>
          </w:p>
        </w:tc>
      </w:tr>
      <w:tr w:rsidR="00860FD1" w14:paraId="6EB99EB6" w14:textId="77777777" w:rsidTr="00860FD1">
        <w:trPr>
          <w:jc w:val="center"/>
        </w:trPr>
        <w:tc>
          <w:tcPr>
            <w:tcW w:w="990" w:type="dxa"/>
            <w:vAlign w:val="center"/>
          </w:tcPr>
          <w:p w14:paraId="56462EBC" w14:textId="77777777" w:rsidR="00860FD1" w:rsidRDefault="00860FD1" w:rsidP="00860FD1">
            <w:pPr>
              <w:jc w:val="center"/>
              <w:rPr>
                <w:sz w:val="22"/>
                <w:szCs w:val="22"/>
                <w:lang w:val="en-GB"/>
              </w:rPr>
            </w:pPr>
            <w:r>
              <w:rPr>
                <w:sz w:val="22"/>
                <w:szCs w:val="22"/>
                <w:lang w:val="en-GB"/>
              </w:rPr>
              <w:t>2015</w:t>
            </w:r>
          </w:p>
        </w:tc>
        <w:tc>
          <w:tcPr>
            <w:tcW w:w="1440" w:type="dxa"/>
            <w:vAlign w:val="center"/>
          </w:tcPr>
          <w:p w14:paraId="5D7BBAC9" w14:textId="77777777" w:rsidR="00860FD1" w:rsidRDefault="00860FD1" w:rsidP="00860FD1">
            <w:pPr>
              <w:jc w:val="center"/>
              <w:rPr>
                <w:sz w:val="22"/>
                <w:szCs w:val="22"/>
                <w:lang w:val="en-GB"/>
              </w:rPr>
            </w:pPr>
            <w:r>
              <w:rPr>
                <w:sz w:val="22"/>
                <w:szCs w:val="22"/>
                <w:lang w:val="en-GB"/>
              </w:rPr>
              <w:t>46.4</w:t>
            </w:r>
          </w:p>
        </w:tc>
      </w:tr>
      <w:tr w:rsidR="00860FD1" w14:paraId="219EB781" w14:textId="77777777" w:rsidTr="00860FD1">
        <w:trPr>
          <w:jc w:val="center"/>
        </w:trPr>
        <w:tc>
          <w:tcPr>
            <w:tcW w:w="990" w:type="dxa"/>
            <w:vAlign w:val="center"/>
          </w:tcPr>
          <w:p w14:paraId="620AA952" w14:textId="77777777" w:rsidR="00860FD1" w:rsidRDefault="00860FD1" w:rsidP="00860FD1">
            <w:pPr>
              <w:jc w:val="center"/>
              <w:rPr>
                <w:sz w:val="22"/>
                <w:szCs w:val="22"/>
                <w:lang w:val="en-GB"/>
              </w:rPr>
            </w:pPr>
            <w:r>
              <w:rPr>
                <w:sz w:val="22"/>
                <w:szCs w:val="22"/>
                <w:lang w:val="en-GB"/>
              </w:rPr>
              <w:t>2016</w:t>
            </w:r>
          </w:p>
        </w:tc>
        <w:tc>
          <w:tcPr>
            <w:tcW w:w="1440" w:type="dxa"/>
            <w:vAlign w:val="center"/>
          </w:tcPr>
          <w:p w14:paraId="4E0E9CB5" w14:textId="77777777" w:rsidR="00860FD1" w:rsidRDefault="00860FD1" w:rsidP="00860FD1">
            <w:pPr>
              <w:jc w:val="center"/>
              <w:rPr>
                <w:sz w:val="22"/>
                <w:szCs w:val="22"/>
                <w:lang w:val="en-GB"/>
              </w:rPr>
            </w:pPr>
            <w:r>
              <w:rPr>
                <w:sz w:val="22"/>
                <w:szCs w:val="22"/>
                <w:lang w:val="en-GB"/>
              </w:rPr>
              <w:t>46.3</w:t>
            </w:r>
          </w:p>
        </w:tc>
      </w:tr>
      <w:tr w:rsidR="00860FD1" w14:paraId="202C1808" w14:textId="77777777" w:rsidTr="00860FD1">
        <w:trPr>
          <w:jc w:val="center"/>
        </w:trPr>
        <w:tc>
          <w:tcPr>
            <w:tcW w:w="990" w:type="dxa"/>
            <w:vAlign w:val="center"/>
          </w:tcPr>
          <w:p w14:paraId="60F28AFB" w14:textId="77777777" w:rsidR="00860FD1" w:rsidRDefault="00860FD1" w:rsidP="00860FD1">
            <w:pPr>
              <w:jc w:val="center"/>
              <w:rPr>
                <w:sz w:val="22"/>
                <w:szCs w:val="22"/>
                <w:lang w:val="en-GB"/>
              </w:rPr>
            </w:pPr>
            <w:r>
              <w:rPr>
                <w:sz w:val="22"/>
                <w:szCs w:val="22"/>
                <w:lang w:val="en-GB"/>
              </w:rPr>
              <w:t>2017</w:t>
            </w:r>
          </w:p>
        </w:tc>
        <w:tc>
          <w:tcPr>
            <w:tcW w:w="1440" w:type="dxa"/>
            <w:vAlign w:val="center"/>
          </w:tcPr>
          <w:p w14:paraId="53CAA516" w14:textId="77777777" w:rsidR="00860FD1" w:rsidRDefault="00860FD1" w:rsidP="00860FD1">
            <w:pPr>
              <w:jc w:val="center"/>
              <w:rPr>
                <w:sz w:val="22"/>
                <w:szCs w:val="22"/>
                <w:lang w:val="en-GB"/>
              </w:rPr>
            </w:pPr>
            <w:r>
              <w:rPr>
                <w:sz w:val="22"/>
                <w:szCs w:val="22"/>
                <w:lang w:val="en-GB"/>
              </w:rPr>
              <w:t>47.9</w:t>
            </w:r>
          </w:p>
        </w:tc>
      </w:tr>
    </w:tbl>
    <w:p w14:paraId="56A2B8FB" w14:textId="77777777" w:rsidR="00860FD1" w:rsidRPr="00860FD1" w:rsidRDefault="00860FD1" w:rsidP="00860FD1">
      <w:pPr>
        <w:jc w:val="both"/>
        <w:rPr>
          <w:sz w:val="22"/>
          <w:szCs w:val="22"/>
          <w:lang w:val="en-GB"/>
        </w:rPr>
      </w:pPr>
    </w:p>
    <w:p w14:paraId="3B9F595D" w14:textId="3EC21583" w:rsidR="00860FD1" w:rsidRPr="00860FD1" w:rsidRDefault="00860FD1" w:rsidP="00860FD1">
      <w:pPr>
        <w:jc w:val="both"/>
        <w:rPr>
          <w:sz w:val="22"/>
          <w:szCs w:val="22"/>
          <w:lang w:val="en-GB"/>
        </w:rPr>
      </w:pPr>
      <w:r w:rsidRPr="00860FD1">
        <w:rPr>
          <w:sz w:val="22"/>
          <w:szCs w:val="22"/>
          <w:lang w:val="en-GB"/>
        </w:rPr>
        <w:t xml:space="preserve">You might note that for 2015 and 2016, COGS </w:t>
      </w:r>
      <w:r w:rsidR="00CA5D64">
        <w:rPr>
          <w:sz w:val="22"/>
          <w:szCs w:val="22"/>
          <w:lang w:val="en-GB"/>
        </w:rPr>
        <w:t xml:space="preserve">as a percentage of sales </w:t>
      </w:r>
      <w:r w:rsidRPr="00860FD1">
        <w:rPr>
          <w:sz w:val="22"/>
          <w:szCs w:val="22"/>
          <w:lang w:val="en-GB"/>
        </w:rPr>
        <w:t xml:space="preserve">was fairly steady, but in 2017 the percentage rose significantly to 47.9 per cent. </w:t>
      </w:r>
      <w:r w:rsidR="005E7DB9">
        <w:rPr>
          <w:sz w:val="22"/>
          <w:szCs w:val="22"/>
          <w:lang w:val="en-GB"/>
        </w:rPr>
        <w:t>Referring back to Section 2.1, y</w:t>
      </w:r>
      <w:r w:rsidRPr="00860FD1">
        <w:rPr>
          <w:sz w:val="22"/>
          <w:szCs w:val="22"/>
          <w:lang w:val="en-GB"/>
        </w:rPr>
        <w:t>ou might also note that sales had declined from the previous two years, leading to questions about not only the drop in sales but also the reasons for the sharp increase in COGS.</w:t>
      </w:r>
    </w:p>
    <w:p w14:paraId="6B341901" w14:textId="77777777" w:rsidR="00860FD1" w:rsidRPr="00860FD1" w:rsidRDefault="00860FD1" w:rsidP="00860FD1">
      <w:pPr>
        <w:jc w:val="both"/>
        <w:rPr>
          <w:sz w:val="22"/>
          <w:szCs w:val="22"/>
          <w:lang w:val="en-GB"/>
        </w:rPr>
      </w:pPr>
    </w:p>
    <w:p w14:paraId="48B01B7F" w14:textId="77777777" w:rsidR="00860FD1" w:rsidRPr="00860FD1" w:rsidRDefault="00860FD1" w:rsidP="00860FD1">
      <w:pPr>
        <w:jc w:val="both"/>
        <w:rPr>
          <w:sz w:val="22"/>
          <w:szCs w:val="22"/>
          <w:lang w:val="en-GB"/>
        </w:rPr>
      </w:pPr>
    </w:p>
    <w:p w14:paraId="271BB2C7" w14:textId="77777777" w:rsidR="00860FD1" w:rsidRPr="00860FD1" w:rsidRDefault="00860FD1" w:rsidP="00100EF4">
      <w:pPr>
        <w:numPr>
          <w:ilvl w:val="0"/>
          <w:numId w:val="6"/>
        </w:numPr>
        <w:tabs>
          <w:tab w:val="left" w:pos="284"/>
        </w:tabs>
        <w:ind w:left="426" w:hanging="426"/>
        <w:jc w:val="both"/>
        <w:rPr>
          <w:rFonts w:ascii="Arial" w:hAnsi="Arial" w:cs="Arial"/>
          <w:b/>
          <w:caps/>
          <w:lang w:val="en-GB"/>
        </w:rPr>
      </w:pPr>
      <w:bookmarkStart w:id="5" w:name="_Toc393181052"/>
      <w:r w:rsidRPr="00860FD1">
        <w:rPr>
          <w:rFonts w:ascii="Arial" w:hAnsi="Arial" w:cs="Arial"/>
          <w:b/>
          <w:caps/>
          <w:lang w:val="en-GB"/>
        </w:rPr>
        <w:t>RATIO ANALYSIS</w:t>
      </w:r>
      <w:bookmarkEnd w:id="5"/>
    </w:p>
    <w:p w14:paraId="6CA63563" w14:textId="77777777" w:rsidR="00860FD1" w:rsidRPr="00860FD1" w:rsidRDefault="00860FD1" w:rsidP="00860FD1">
      <w:pPr>
        <w:jc w:val="both"/>
        <w:rPr>
          <w:sz w:val="22"/>
          <w:szCs w:val="22"/>
          <w:lang w:val="en-GB"/>
        </w:rPr>
      </w:pPr>
    </w:p>
    <w:p w14:paraId="3F5B008A" w14:textId="19609096" w:rsidR="00860FD1" w:rsidRPr="00860FD1" w:rsidRDefault="00860FD1" w:rsidP="00860FD1">
      <w:pPr>
        <w:jc w:val="both"/>
        <w:rPr>
          <w:bCs/>
          <w:sz w:val="22"/>
          <w:szCs w:val="22"/>
          <w:lang w:val="en-GB"/>
        </w:rPr>
      </w:pPr>
      <w:r w:rsidRPr="00860FD1">
        <w:rPr>
          <w:bCs/>
          <w:sz w:val="22"/>
          <w:szCs w:val="22"/>
          <w:lang w:val="en-GB"/>
        </w:rPr>
        <w:t xml:space="preserve">In </w:t>
      </w:r>
      <w:r w:rsidR="00690ADD">
        <w:rPr>
          <w:bCs/>
          <w:sz w:val="22"/>
          <w:szCs w:val="22"/>
          <w:lang w:val="en-GB"/>
        </w:rPr>
        <w:t>many</w:t>
      </w:r>
      <w:r w:rsidR="00690ADD" w:rsidRPr="00860FD1">
        <w:rPr>
          <w:bCs/>
          <w:sz w:val="22"/>
          <w:szCs w:val="22"/>
          <w:lang w:val="en-GB"/>
        </w:rPr>
        <w:t xml:space="preserve"> </w:t>
      </w:r>
      <w:r w:rsidRPr="00860FD1">
        <w:rPr>
          <w:bCs/>
          <w:sz w:val="22"/>
          <w:szCs w:val="22"/>
          <w:lang w:val="en-GB"/>
        </w:rPr>
        <w:t xml:space="preserve">cases, it </w:t>
      </w:r>
      <w:r w:rsidR="00690ADD">
        <w:rPr>
          <w:bCs/>
          <w:sz w:val="22"/>
          <w:szCs w:val="22"/>
          <w:lang w:val="en-GB"/>
        </w:rPr>
        <w:t>is</w:t>
      </w:r>
      <w:r w:rsidRPr="00860FD1">
        <w:rPr>
          <w:bCs/>
          <w:sz w:val="22"/>
          <w:szCs w:val="22"/>
          <w:lang w:val="en-GB"/>
        </w:rPr>
        <w:t xml:space="preserve"> beneficial to </w:t>
      </w:r>
      <w:proofErr w:type="spellStart"/>
      <w:r w:rsidRPr="00860FD1">
        <w:rPr>
          <w:bCs/>
          <w:sz w:val="22"/>
          <w:szCs w:val="22"/>
          <w:lang w:val="en-GB"/>
        </w:rPr>
        <w:t>analyze</w:t>
      </w:r>
      <w:proofErr w:type="spellEnd"/>
      <w:r w:rsidRPr="00860FD1">
        <w:rPr>
          <w:bCs/>
          <w:sz w:val="22"/>
          <w:szCs w:val="22"/>
          <w:lang w:val="en-GB"/>
        </w:rPr>
        <w:t xml:space="preserve"> an organization’s financial performance by performing ratio analysis. Ratios show the relationship among selected items of financial statement data, as expressed by a percentage, rate, or proportion. </w:t>
      </w:r>
    </w:p>
    <w:p w14:paraId="2130856D" w14:textId="77777777" w:rsidR="00860FD1" w:rsidRPr="00860FD1" w:rsidRDefault="00860FD1" w:rsidP="00860FD1">
      <w:pPr>
        <w:jc w:val="both"/>
        <w:rPr>
          <w:bCs/>
          <w:sz w:val="22"/>
          <w:szCs w:val="22"/>
          <w:lang w:val="en-GB"/>
        </w:rPr>
      </w:pPr>
    </w:p>
    <w:p w14:paraId="5D7B7186" w14:textId="18B31894" w:rsidR="00860FD1" w:rsidRPr="00860FD1" w:rsidRDefault="00860FD1" w:rsidP="00860FD1">
      <w:pPr>
        <w:jc w:val="both"/>
        <w:rPr>
          <w:bCs/>
          <w:sz w:val="22"/>
          <w:szCs w:val="22"/>
          <w:lang w:val="en-GB"/>
        </w:rPr>
      </w:pPr>
      <w:r w:rsidRPr="00860FD1">
        <w:rPr>
          <w:bCs/>
          <w:sz w:val="22"/>
          <w:szCs w:val="22"/>
          <w:lang w:val="en-GB"/>
        </w:rPr>
        <w:t xml:space="preserve">Ratios are useful only if they are compared </w:t>
      </w:r>
      <w:r w:rsidR="00E16867">
        <w:rPr>
          <w:bCs/>
          <w:sz w:val="22"/>
          <w:szCs w:val="22"/>
          <w:lang w:val="en-GB"/>
        </w:rPr>
        <w:t>to ratios of prior years, ratios of competitors, industry standards, and forecast ratios.</w:t>
      </w:r>
      <w:r w:rsidRPr="00860FD1">
        <w:rPr>
          <w:bCs/>
          <w:sz w:val="22"/>
          <w:szCs w:val="22"/>
          <w:lang w:val="en-GB"/>
        </w:rPr>
        <w:t xml:space="preserve"> Be judicious in both your calculation and interpretation of ratios to ensure that your financial statement analysis adds value to your report. The most valid external comparisons involve companies within the same industry, or industry benchmarks produced by such organizations as J.D. Power or Deloitte. General benchmarks, known as “rules of thumb” are sometimes available; however, industry benchmarks take precedence over general benchmarks since ratios can be expected to vary considerably from one industry to the next. </w:t>
      </w:r>
    </w:p>
    <w:p w14:paraId="63BF1418" w14:textId="77777777" w:rsidR="00860FD1" w:rsidRPr="00860FD1" w:rsidRDefault="00860FD1" w:rsidP="00860FD1">
      <w:pPr>
        <w:jc w:val="both"/>
        <w:rPr>
          <w:sz w:val="22"/>
          <w:szCs w:val="22"/>
          <w:lang w:val="en-GB"/>
        </w:rPr>
      </w:pPr>
    </w:p>
    <w:p w14:paraId="3472C492" w14:textId="25CE20E3" w:rsidR="00860FD1" w:rsidRPr="00860FD1" w:rsidRDefault="00860FD1" w:rsidP="00860FD1">
      <w:pPr>
        <w:jc w:val="both"/>
        <w:rPr>
          <w:sz w:val="22"/>
          <w:szCs w:val="22"/>
          <w:lang w:val="en-GB"/>
        </w:rPr>
      </w:pPr>
      <w:r w:rsidRPr="00860FD1">
        <w:rPr>
          <w:sz w:val="22"/>
          <w:szCs w:val="22"/>
          <w:lang w:val="en-GB"/>
        </w:rPr>
        <w:t xml:space="preserve">When a ratio mixes balance sheet (statement of financial position) </w:t>
      </w:r>
      <w:r w:rsidR="007C4E32">
        <w:rPr>
          <w:sz w:val="22"/>
          <w:szCs w:val="22"/>
          <w:lang w:val="en-GB"/>
        </w:rPr>
        <w:t xml:space="preserve">values </w:t>
      </w:r>
      <w:r w:rsidRPr="00860FD1">
        <w:rPr>
          <w:sz w:val="22"/>
          <w:szCs w:val="22"/>
          <w:lang w:val="en-GB"/>
        </w:rPr>
        <w:t>and income statement (statement of earnings)</w:t>
      </w:r>
      <w:r w:rsidR="007C4E32">
        <w:rPr>
          <w:sz w:val="22"/>
          <w:szCs w:val="22"/>
          <w:lang w:val="en-GB"/>
        </w:rPr>
        <w:t xml:space="preserve"> values</w:t>
      </w:r>
      <w:r w:rsidRPr="00860FD1">
        <w:rPr>
          <w:sz w:val="22"/>
          <w:szCs w:val="22"/>
          <w:lang w:val="en-GB"/>
        </w:rPr>
        <w:t xml:space="preserve">, use an average of the balance sheet values. </w:t>
      </w:r>
      <w:r w:rsidR="00690ADD">
        <w:rPr>
          <w:sz w:val="22"/>
          <w:szCs w:val="22"/>
          <w:lang w:val="en-GB"/>
        </w:rPr>
        <w:t>(</w:t>
      </w:r>
      <w:r w:rsidRPr="00860FD1">
        <w:rPr>
          <w:sz w:val="22"/>
          <w:szCs w:val="22"/>
          <w:lang w:val="en-GB"/>
        </w:rPr>
        <w:t>This approach is used because an income statement provides information about a company’s performance over a period of time, whereas a balance sheet is comprise</w:t>
      </w:r>
      <w:r w:rsidR="007C4E32">
        <w:rPr>
          <w:sz w:val="22"/>
          <w:szCs w:val="22"/>
          <w:lang w:val="en-GB"/>
        </w:rPr>
        <w:t>d of</w:t>
      </w:r>
      <w:r w:rsidRPr="00860FD1">
        <w:rPr>
          <w:sz w:val="22"/>
          <w:szCs w:val="22"/>
          <w:lang w:val="en-GB"/>
        </w:rPr>
        <w:t xml:space="preserve"> values at one point in time.</w:t>
      </w:r>
      <w:r w:rsidR="00690ADD">
        <w:rPr>
          <w:sz w:val="22"/>
          <w:szCs w:val="22"/>
          <w:lang w:val="en-GB"/>
        </w:rPr>
        <w:t>)</w:t>
      </w:r>
      <w:r w:rsidRPr="00860FD1">
        <w:rPr>
          <w:sz w:val="22"/>
          <w:szCs w:val="22"/>
          <w:lang w:val="en-GB"/>
        </w:rPr>
        <w:t xml:space="preserve"> When the value at the beginning of the time period is unavailable (e.g., when only two years’ data are available and you are calculating comparison ratios for two years), use year-end values as a proxy</w:t>
      </w:r>
      <w:r w:rsidR="00E16867">
        <w:rPr>
          <w:sz w:val="22"/>
          <w:szCs w:val="22"/>
          <w:lang w:val="en-GB"/>
        </w:rPr>
        <w:t xml:space="preserve"> for the average</w:t>
      </w:r>
      <w:r w:rsidRPr="00860FD1">
        <w:rPr>
          <w:sz w:val="22"/>
          <w:szCs w:val="22"/>
          <w:lang w:val="en-GB"/>
        </w:rPr>
        <w:t>. However, the more asset values fluctuate over that period of time, the more use of a year-end value distorts the picture.</w:t>
      </w:r>
    </w:p>
    <w:p w14:paraId="31EBE570" w14:textId="77777777" w:rsidR="00860FD1" w:rsidRPr="00860FD1" w:rsidRDefault="00860FD1" w:rsidP="00860FD1">
      <w:pPr>
        <w:jc w:val="both"/>
        <w:rPr>
          <w:sz w:val="22"/>
          <w:szCs w:val="22"/>
          <w:lang w:val="en-GB"/>
        </w:rPr>
      </w:pPr>
    </w:p>
    <w:p w14:paraId="41CDCFB5" w14:textId="77777777" w:rsidR="00860FD1" w:rsidRPr="00860FD1" w:rsidRDefault="00860FD1" w:rsidP="00860FD1">
      <w:pPr>
        <w:jc w:val="both"/>
        <w:rPr>
          <w:sz w:val="22"/>
          <w:szCs w:val="22"/>
          <w:lang w:val="en-GB"/>
        </w:rPr>
      </w:pPr>
      <w:r w:rsidRPr="00860FD1">
        <w:rPr>
          <w:sz w:val="22"/>
          <w:szCs w:val="22"/>
          <w:lang w:val="en-GB"/>
        </w:rPr>
        <w:t>The following formula is used to calculate the average of balance sheet values:</w:t>
      </w:r>
    </w:p>
    <w:p w14:paraId="0FA61A50" w14:textId="77777777" w:rsidR="00860FD1" w:rsidRPr="00860FD1" w:rsidRDefault="00860FD1" w:rsidP="00860FD1">
      <w:pPr>
        <w:jc w:val="both"/>
        <w:rPr>
          <w:sz w:val="22"/>
          <w:szCs w:val="22"/>
          <w:lang w:val="en-GB"/>
        </w:rPr>
      </w:pPr>
    </w:p>
    <w:p w14:paraId="724C3471" w14:textId="4C28D49F" w:rsidR="00860FD1" w:rsidRPr="00860FD1" w:rsidRDefault="00471195" w:rsidP="00860FD1">
      <w:pPr>
        <w:jc w:val="both"/>
        <w:rPr>
          <w:sz w:val="22"/>
          <w:szCs w:val="22"/>
          <w:lang w:val="en-GB"/>
        </w:rPr>
      </w:pPr>
      <m:oMathPara>
        <m:oMath>
          <m:f>
            <m:fPr>
              <m:ctrlPr>
                <w:rPr>
                  <w:rFonts w:ascii="Cambria Math" w:hAnsi="Cambria Math"/>
                  <w:i/>
                  <w:sz w:val="22"/>
                  <w:szCs w:val="22"/>
                  <w:lang w:val="en-GB"/>
                </w:rPr>
              </m:ctrlPr>
            </m:fPr>
            <m:num>
              <m:r>
                <w:rPr>
                  <w:rFonts w:ascii="Cambria Math" w:hAnsi="Cambria Math"/>
                  <w:sz w:val="22"/>
                  <w:szCs w:val="22"/>
                  <w:lang w:val="en-GB"/>
                </w:rPr>
                <m:t>Ending Value+Beginning Value</m:t>
              </m:r>
            </m:num>
            <m:den>
              <m:r>
                <w:rPr>
                  <w:rFonts w:ascii="Cambria Math" w:hAnsi="Cambria Math"/>
                  <w:sz w:val="22"/>
                  <w:szCs w:val="22"/>
                  <w:lang w:val="en-GB"/>
                </w:rPr>
                <m:t>2</m:t>
              </m:r>
            </m:den>
          </m:f>
        </m:oMath>
      </m:oMathPara>
    </w:p>
    <w:p w14:paraId="7084DAE5" w14:textId="77777777" w:rsidR="00860FD1" w:rsidRPr="00860FD1" w:rsidRDefault="00860FD1" w:rsidP="00860FD1">
      <w:pPr>
        <w:jc w:val="both"/>
        <w:rPr>
          <w:bCs/>
          <w:sz w:val="22"/>
          <w:szCs w:val="22"/>
          <w:lang w:val="en-GB"/>
        </w:rPr>
      </w:pPr>
    </w:p>
    <w:p w14:paraId="33CE692B" w14:textId="5571A829" w:rsidR="00860FD1" w:rsidRPr="00860FD1" w:rsidRDefault="00860FD1" w:rsidP="00860FD1">
      <w:pPr>
        <w:jc w:val="both"/>
        <w:rPr>
          <w:bCs/>
          <w:sz w:val="22"/>
          <w:szCs w:val="22"/>
          <w:lang w:val="en-GB"/>
        </w:rPr>
      </w:pPr>
      <w:proofErr w:type="gramStart"/>
      <w:r w:rsidRPr="00860FD1">
        <w:rPr>
          <w:bCs/>
          <w:sz w:val="22"/>
          <w:szCs w:val="22"/>
          <w:lang w:val="en-GB"/>
        </w:rPr>
        <w:t>where</w:t>
      </w:r>
      <w:proofErr w:type="gramEnd"/>
      <w:r w:rsidR="00E16867">
        <w:rPr>
          <w:bCs/>
          <w:sz w:val="22"/>
          <w:szCs w:val="22"/>
          <w:lang w:val="en-GB"/>
        </w:rPr>
        <w:t xml:space="preserve"> one year’s beginning value is the prior year’s ending value</w:t>
      </w:r>
      <w:r w:rsidRPr="00860FD1">
        <w:rPr>
          <w:bCs/>
          <w:sz w:val="22"/>
          <w:szCs w:val="22"/>
          <w:lang w:val="en-GB"/>
        </w:rPr>
        <w:t>.</w:t>
      </w:r>
    </w:p>
    <w:p w14:paraId="10A578B5" w14:textId="77777777" w:rsidR="00860FD1" w:rsidRPr="00860FD1" w:rsidRDefault="00860FD1" w:rsidP="00860FD1">
      <w:pPr>
        <w:jc w:val="both"/>
        <w:rPr>
          <w:bCs/>
          <w:sz w:val="22"/>
          <w:szCs w:val="22"/>
          <w:lang w:val="en-GB"/>
        </w:rPr>
      </w:pPr>
    </w:p>
    <w:p w14:paraId="0D511436" w14:textId="77777777" w:rsidR="00860FD1" w:rsidRPr="00860FD1" w:rsidRDefault="00860FD1" w:rsidP="00860FD1">
      <w:pPr>
        <w:jc w:val="both"/>
        <w:rPr>
          <w:bCs/>
          <w:sz w:val="22"/>
          <w:szCs w:val="22"/>
          <w:lang w:val="en-GB"/>
        </w:rPr>
      </w:pPr>
      <w:r w:rsidRPr="00860FD1">
        <w:rPr>
          <w:bCs/>
          <w:sz w:val="22"/>
          <w:szCs w:val="22"/>
          <w:lang w:val="en-GB"/>
        </w:rPr>
        <w:lastRenderedPageBreak/>
        <w:t>Provided below are the formulas and brief interpretations of three types of ratios—profitability or activity ratios, liquidity ratios, and solvency ratios.</w:t>
      </w:r>
    </w:p>
    <w:p w14:paraId="7A81239F" w14:textId="77777777" w:rsidR="00860FD1" w:rsidRPr="00860FD1" w:rsidRDefault="00860FD1" w:rsidP="00860FD1">
      <w:pPr>
        <w:pStyle w:val="BodyTextMain"/>
        <w:rPr>
          <w:lang w:val="en-GB"/>
        </w:rPr>
      </w:pPr>
    </w:p>
    <w:p w14:paraId="474079F5" w14:textId="77777777" w:rsidR="00860FD1" w:rsidRPr="00860FD1" w:rsidRDefault="00860FD1" w:rsidP="00860FD1">
      <w:pPr>
        <w:pStyle w:val="BodyTextMain"/>
        <w:rPr>
          <w:lang w:val="en-GB"/>
        </w:rPr>
      </w:pPr>
    </w:p>
    <w:p w14:paraId="0F9374C3" w14:textId="77777777" w:rsidR="00860FD1" w:rsidRPr="00860FD1" w:rsidRDefault="00860FD1" w:rsidP="00100EF4">
      <w:pPr>
        <w:numPr>
          <w:ilvl w:val="1"/>
          <w:numId w:val="8"/>
        </w:numPr>
        <w:jc w:val="both"/>
        <w:rPr>
          <w:rFonts w:ascii="Arial" w:hAnsi="Arial" w:cs="Arial"/>
          <w:b/>
          <w:lang w:val="en-GB"/>
        </w:rPr>
      </w:pPr>
      <w:r w:rsidRPr="00860FD1">
        <w:rPr>
          <w:rFonts w:ascii="Arial" w:hAnsi="Arial" w:cs="Arial"/>
          <w:b/>
          <w:lang w:val="en-GB"/>
        </w:rPr>
        <w:t>Profitability or Activity Ratios</w:t>
      </w:r>
    </w:p>
    <w:p w14:paraId="26F31EA1" w14:textId="77777777" w:rsidR="00860FD1" w:rsidRPr="00860FD1" w:rsidRDefault="00860FD1" w:rsidP="00860FD1">
      <w:pPr>
        <w:keepNext/>
        <w:jc w:val="both"/>
        <w:rPr>
          <w:sz w:val="22"/>
          <w:szCs w:val="22"/>
          <w:lang w:val="en-GB"/>
        </w:rPr>
      </w:pPr>
    </w:p>
    <w:p w14:paraId="57EACC65" w14:textId="4E848A0F" w:rsidR="00860FD1" w:rsidRPr="00336EBF" w:rsidRDefault="00860FD1" w:rsidP="00860FD1">
      <w:pPr>
        <w:jc w:val="both"/>
        <w:rPr>
          <w:spacing w:val="-2"/>
          <w:kern w:val="22"/>
          <w:sz w:val="22"/>
          <w:szCs w:val="22"/>
          <w:lang w:val="en-GB"/>
        </w:rPr>
      </w:pPr>
      <w:r w:rsidRPr="00336EBF">
        <w:rPr>
          <w:spacing w:val="-2"/>
          <w:kern w:val="22"/>
          <w:sz w:val="22"/>
          <w:szCs w:val="22"/>
          <w:lang w:val="en-GB"/>
        </w:rPr>
        <w:t xml:space="preserve">Profitability ratios measure a business’s ability to generate earnings </w:t>
      </w:r>
      <w:r w:rsidR="005959FF" w:rsidRPr="00336EBF">
        <w:rPr>
          <w:spacing w:val="-2"/>
          <w:kern w:val="22"/>
          <w:sz w:val="22"/>
          <w:szCs w:val="22"/>
          <w:lang w:val="en-GB"/>
        </w:rPr>
        <w:t xml:space="preserve">from providing goods and services. </w:t>
      </w:r>
      <w:r w:rsidRPr="00336EBF">
        <w:rPr>
          <w:spacing w:val="-2"/>
          <w:kern w:val="22"/>
          <w:sz w:val="22"/>
          <w:szCs w:val="22"/>
          <w:lang w:val="en-GB"/>
        </w:rPr>
        <w:t>Profitability ratios can be useful for comparing a business’s present and past performance, or comparing a business with that of its competitor</w:t>
      </w:r>
      <w:r w:rsidR="005959FF" w:rsidRPr="00336EBF">
        <w:rPr>
          <w:spacing w:val="-2"/>
          <w:kern w:val="22"/>
          <w:sz w:val="22"/>
          <w:szCs w:val="22"/>
          <w:lang w:val="en-GB"/>
        </w:rPr>
        <w:t>s</w:t>
      </w:r>
      <w:r w:rsidRPr="00336EBF">
        <w:rPr>
          <w:spacing w:val="-2"/>
          <w:kern w:val="22"/>
          <w:sz w:val="22"/>
          <w:szCs w:val="22"/>
          <w:lang w:val="en-GB"/>
        </w:rPr>
        <w:t xml:space="preserve"> </w:t>
      </w:r>
      <w:r w:rsidR="005959FF" w:rsidRPr="00336EBF">
        <w:rPr>
          <w:spacing w:val="-2"/>
          <w:kern w:val="22"/>
          <w:sz w:val="22"/>
          <w:szCs w:val="22"/>
          <w:lang w:val="en-GB"/>
        </w:rPr>
        <w:t xml:space="preserve">or industry benchmarks </w:t>
      </w:r>
      <w:r w:rsidRPr="00336EBF">
        <w:rPr>
          <w:spacing w:val="-2"/>
          <w:kern w:val="22"/>
          <w:sz w:val="22"/>
          <w:szCs w:val="22"/>
          <w:lang w:val="en-GB"/>
        </w:rPr>
        <w:t>during the same period in time. The three main profitability ratios are return on assets</w:t>
      </w:r>
      <w:r w:rsidR="0053579C" w:rsidRPr="00336EBF">
        <w:rPr>
          <w:spacing w:val="-2"/>
          <w:kern w:val="22"/>
          <w:sz w:val="22"/>
          <w:szCs w:val="22"/>
          <w:lang w:val="en-GB"/>
        </w:rPr>
        <w:t xml:space="preserve"> (ROA)</w:t>
      </w:r>
      <w:r w:rsidRPr="00336EBF">
        <w:rPr>
          <w:spacing w:val="-2"/>
          <w:kern w:val="22"/>
          <w:sz w:val="22"/>
          <w:szCs w:val="22"/>
          <w:lang w:val="en-GB"/>
        </w:rPr>
        <w:t>, return on equity</w:t>
      </w:r>
      <w:r w:rsidR="0053579C" w:rsidRPr="00336EBF">
        <w:rPr>
          <w:spacing w:val="-2"/>
          <w:kern w:val="22"/>
          <w:sz w:val="22"/>
          <w:szCs w:val="22"/>
          <w:lang w:val="en-GB"/>
        </w:rPr>
        <w:t xml:space="preserve"> (ROE)</w:t>
      </w:r>
      <w:r w:rsidRPr="00336EBF">
        <w:rPr>
          <w:spacing w:val="-2"/>
          <w:kern w:val="22"/>
          <w:sz w:val="22"/>
          <w:szCs w:val="22"/>
          <w:lang w:val="en-GB"/>
        </w:rPr>
        <w:t>, and earnings per share</w:t>
      </w:r>
      <w:r w:rsidR="0053579C" w:rsidRPr="00336EBF">
        <w:rPr>
          <w:spacing w:val="-2"/>
          <w:kern w:val="22"/>
          <w:sz w:val="22"/>
          <w:szCs w:val="22"/>
          <w:lang w:val="en-GB"/>
        </w:rPr>
        <w:t xml:space="preserve"> (EPS)</w:t>
      </w:r>
      <w:r w:rsidRPr="00336EBF">
        <w:rPr>
          <w:spacing w:val="-2"/>
          <w:kern w:val="22"/>
          <w:sz w:val="22"/>
          <w:szCs w:val="22"/>
          <w:lang w:val="en-GB"/>
        </w:rPr>
        <w:t>.</w:t>
      </w:r>
      <w:r w:rsidR="0053579C" w:rsidRPr="00336EBF">
        <w:rPr>
          <w:spacing w:val="-2"/>
          <w:kern w:val="22"/>
          <w:sz w:val="22"/>
          <w:szCs w:val="22"/>
          <w:lang w:val="en-GB"/>
        </w:rPr>
        <w:t xml:space="preserve"> As will be shown below</w:t>
      </w:r>
      <w:r w:rsidR="007B2956" w:rsidRPr="00336EBF">
        <w:rPr>
          <w:spacing w:val="-2"/>
          <w:kern w:val="22"/>
          <w:sz w:val="22"/>
          <w:szCs w:val="22"/>
          <w:lang w:val="en-GB"/>
        </w:rPr>
        <w:t xml:space="preserve"> in Sections 4.12 through 4.18</w:t>
      </w:r>
      <w:r w:rsidR="0053579C" w:rsidRPr="00336EBF">
        <w:rPr>
          <w:spacing w:val="-2"/>
          <w:kern w:val="22"/>
          <w:sz w:val="22"/>
          <w:szCs w:val="22"/>
          <w:lang w:val="en-GB"/>
        </w:rPr>
        <w:t xml:space="preserve">, </w:t>
      </w:r>
      <w:r w:rsidR="007B2956" w:rsidRPr="00336EBF">
        <w:rPr>
          <w:spacing w:val="-2"/>
          <w:kern w:val="22"/>
          <w:sz w:val="22"/>
          <w:szCs w:val="22"/>
          <w:lang w:val="en-GB"/>
        </w:rPr>
        <w:t xml:space="preserve">changes to </w:t>
      </w:r>
      <w:r w:rsidR="0053579C" w:rsidRPr="00336EBF">
        <w:rPr>
          <w:spacing w:val="-2"/>
          <w:kern w:val="22"/>
          <w:sz w:val="22"/>
          <w:szCs w:val="22"/>
          <w:lang w:val="en-GB"/>
        </w:rPr>
        <w:t>RO</w:t>
      </w:r>
      <w:r w:rsidR="007C4E32" w:rsidRPr="00336EBF">
        <w:rPr>
          <w:spacing w:val="-2"/>
          <w:kern w:val="22"/>
          <w:sz w:val="22"/>
          <w:szCs w:val="22"/>
          <w:lang w:val="en-GB"/>
        </w:rPr>
        <w:t>A</w:t>
      </w:r>
      <w:r w:rsidR="0053579C" w:rsidRPr="00336EBF">
        <w:rPr>
          <w:spacing w:val="-2"/>
          <w:kern w:val="22"/>
          <w:sz w:val="22"/>
          <w:szCs w:val="22"/>
          <w:lang w:val="en-GB"/>
        </w:rPr>
        <w:t xml:space="preserve"> can be explained by calculating other ratios.</w:t>
      </w:r>
    </w:p>
    <w:p w14:paraId="65B02A96" w14:textId="77777777" w:rsidR="00860FD1" w:rsidRDefault="00860FD1" w:rsidP="00860FD1">
      <w:pPr>
        <w:jc w:val="both"/>
        <w:rPr>
          <w:sz w:val="22"/>
          <w:szCs w:val="22"/>
          <w:lang w:val="en-GB"/>
        </w:rPr>
      </w:pPr>
    </w:p>
    <w:p w14:paraId="325EABE9" w14:textId="77777777" w:rsidR="00860FD1" w:rsidRPr="00860FD1" w:rsidRDefault="00860FD1" w:rsidP="00860FD1">
      <w:pPr>
        <w:jc w:val="both"/>
        <w:rPr>
          <w:sz w:val="22"/>
          <w:szCs w:val="22"/>
          <w:lang w:val="en-GB"/>
        </w:rPr>
      </w:pPr>
    </w:p>
    <w:p w14:paraId="74F5E74D" w14:textId="17754CD2" w:rsidR="00860FD1" w:rsidRPr="00860FD1" w:rsidRDefault="00860FD1" w:rsidP="005711AE">
      <w:pPr>
        <w:pStyle w:val="Casehead3"/>
        <w:numPr>
          <w:ilvl w:val="2"/>
          <w:numId w:val="8"/>
        </w:numPr>
        <w:rPr>
          <w:lang w:val="en-GB"/>
        </w:rPr>
      </w:pPr>
      <w:r w:rsidRPr="00AE7F34">
        <w:rPr>
          <w:lang w:val="en-GB"/>
        </w:rPr>
        <w:t>Return on Assets</w:t>
      </w:r>
    </w:p>
    <w:p w14:paraId="18B77720" w14:textId="77777777" w:rsidR="00860FD1" w:rsidRPr="00860FD1" w:rsidRDefault="00860FD1" w:rsidP="00860FD1">
      <w:pPr>
        <w:keepNext/>
        <w:jc w:val="both"/>
        <w:rPr>
          <w:sz w:val="22"/>
          <w:szCs w:val="22"/>
          <w:lang w:val="en-GB"/>
        </w:rPr>
      </w:pPr>
    </w:p>
    <w:p w14:paraId="5161CDBB" w14:textId="77777777" w:rsidR="00860FD1" w:rsidRPr="00860FD1" w:rsidRDefault="00860FD1" w:rsidP="00860FD1">
      <w:pPr>
        <w:jc w:val="center"/>
        <w:rPr>
          <w:sz w:val="22"/>
          <w:szCs w:val="22"/>
          <w:lang w:val="en-GB"/>
        </w:rPr>
      </w:pPr>
      <m:oMath>
        <m:r>
          <w:rPr>
            <w:rFonts w:ascii="Cambria Math" w:hAnsi="Cambria Math"/>
            <w:sz w:val="22"/>
            <w:szCs w:val="22"/>
            <w:lang w:val="en-GB"/>
          </w:rPr>
          <m:t>Return on Assets</m:t>
        </m:r>
        <m:r>
          <m:rPr>
            <m:aln/>
          </m:rPr>
          <w:rPr>
            <w:rFonts w:ascii="Cambria Math" w:hAnsi="Cambria Math"/>
            <w:sz w:val="22"/>
            <w:szCs w:val="22"/>
            <w:lang w:val="en-GB"/>
          </w:rPr>
          <m:t>=</m:t>
        </m:r>
        <m:f>
          <m:fPr>
            <m:ctrlPr>
              <w:rPr>
                <w:rFonts w:ascii="Cambria Math" w:hAnsi="Cambria Math"/>
                <w:i/>
                <w:sz w:val="22"/>
                <w:szCs w:val="22"/>
                <w:lang w:val="en-GB"/>
              </w:rPr>
            </m:ctrlPr>
          </m:fPr>
          <m:num>
            <m:r>
              <w:rPr>
                <w:rFonts w:ascii="Cambria Math" w:hAnsi="Cambria Math"/>
                <w:sz w:val="22"/>
                <w:szCs w:val="22"/>
                <w:lang w:val="en-GB"/>
              </w:rPr>
              <m:t>Net Income</m:t>
            </m:r>
          </m:num>
          <m:den>
            <m:r>
              <w:rPr>
                <w:rFonts w:ascii="Cambria Math" w:hAnsi="Cambria Math"/>
                <w:sz w:val="22"/>
                <w:szCs w:val="22"/>
                <w:lang w:val="en-GB"/>
              </w:rPr>
              <m:t>Average Total Assets</m:t>
            </m:r>
          </m:den>
        </m:f>
      </m:oMath>
      <w:r w:rsidRPr="00860FD1">
        <w:rPr>
          <w:sz w:val="22"/>
          <w:szCs w:val="22"/>
          <w:lang w:val="en-GB"/>
        </w:rPr>
        <w:t xml:space="preserve"> </w:t>
      </w:r>
    </w:p>
    <w:p w14:paraId="301E673C" w14:textId="77777777" w:rsidR="00860FD1" w:rsidRPr="00860FD1" w:rsidRDefault="00860FD1" w:rsidP="00860FD1">
      <w:pPr>
        <w:jc w:val="both"/>
        <w:rPr>
          <w:b/>
          <w:sz w:val="22"/>
          <w:szCs w:val="22"/>
          <w:lang w:val="en-GB"/>
        </w:rPr>
      </w:pPr>
    </w:p>
    <w:p w14:paraId="196B3CA5" w14:textId="4D05ECD3" w:rsidR="00860FD1" w:rsidRPr="00860FD1" w:rsidRDefault="00860FD1" w:rsidP="00860FD1">
      <w:pPr>
        <w:jc w:val="both"/>
        <w:rPr>
          <w:sz w:val="22"/>
          <w:szCs w:val="22"/>
          <w:lang w:val="en-GB"/>
        </w:rPr>
      </w:pPr>
      <w:r w:rsidRPr="00860FD1">
        <w:rPr>
          <w:bCs/>
          <w:sz w:val="22"/>
          <w:szCs w:val="22"/>
          <w:lang w:val="en-GB"/>
        </w:rPr>
        <w:t>Return on assets</w:t>
      </w:r>
      <w:r w:rsidRPr="00860FD1">
        <w:rPr>
          <w:sz w:val="22"/>
          <w:szCs w:val="22"/>
          <w:lang w:val="en-GB"/>
        </w:rPr>
        <w:t xml:space="preserve"> (ROA) indicates the profitability of a business relative to the assets invested in the business. An ROA of 10 per cent indicates that for every dollar invested in assets, the business earns 10 cents in </w:t>
      </w:r>
      <w:r w:rsidR="002A14FC">
        <w:rPr>
          <w:sz w:val="22"/>
          <w:szCs w:val="22"/>
          <w:lang w:val="en-GB"/>
        </w:rPr>
        <w:t>profit</w:t>
      </w:r>
      <w:r w:rsidRPr="00860FD1">
        <w:rPr>
          <w:sz w:val="22"/>
          <w:szCs w:val="22"/>
          <w:lang w:val="en-GB"/>
        </w:rPr>
        <w:t xml:space="preserve">. </w:t>
      </w:r>
      <w:r w:rsidR="002A14FC">
        <w:rPr>
          <w:sz w:val="22"/>
          <w:szCs w:val="22"/>
          <w:lang w:val="en-GB"/>
        </w:rPr>
        <w:t>Instead of net income (also referred to as profit or earnings), income from continuing operations can be used to provide a better benchmark for future comparison, since discontinued operations will no longer be available to generate profit.</w:t>
      </w:r>
      <w:r w:rsidRPr="00860FD1">
        <w:rPr>
          <w:b/>
          <w:bCs/>
          <w:sz w:val="22"/>
          <w:szCs w:val="22"/>
          <w:lang w:val="en-GB"/>
        </w:rPr>
        <w:tab/>
      </w:r>
      <w:r w:rsidRPr="00860FD1">
        <w:rPr>
          <w:b/>
          <w:bCs/>
          <w:sz w:val="22"/>
          <w:szCs w:val="22"/>
          <w:lang w:val="en-GB"/>
        </w:rPr>
        <w:tab/>
      </w:r>
      <w:r w:rsidRPr="00860FD1">
        <w:rPr>
          <w:b/>
          <w:bCs/>
          <w:sz w:val="22"/>
          <w:szCs w:val="22"/>
          <w:lang w:val="en-GB"/>
        </w:rPr>
        <w:tab/>
      </w:r>
      <w:r w:rsidRPr="00860FD1">
        <w:rPr>
          <w:b/>
          <w:bCs/>
          <w:sz w:val="22"/>
          <w:szCs w:val="22"/>
          <w:lang w:val="en-GB"/>
        </w:rPr>
        <w:tab/>
      </w:r>
      <w:r w:rsidRPr="00860FD1">
        <w:rPr>
          <w:b/>
          <w:bCs/>
          <w:sz w:val="22"/>
          <w:szCs w:val="22"/>
          <w:lang w:val="en-GB"/>
        </w:rPr>
        <w:tab/>
      </w:r>
      <w:r w:rsidRPr="00860FD1">
        <w:rPr>
          <w:b/>
          <w:bCs/>
          <w:sz w:val="22"/>
          <w:szCs w:val="22"/>
          <w:lang w:val="en-GB"/>
        </w:rPr>
        <w:tab/>
      </w:r>
    </w:p>
    <w:p w14:paraId="4202433C" w14:textId="77777777" w:rsidR="00860FD1" w:rsidRPr="00860FD1" w:rsidRDefault="00860FD1" w:rsidP="00860FD1">
      <w:pPr>
        <w:pStyle w:val="BodyTextMain"/>
        <w:rPr>
          <w:lang w:val="en-GB"/>
        </w:rPr>
      </w:pPr>
    </w:p>
    <w:p w14:paraId="6BDA1E99" w14:textId="77777777" w:rsidR="00860FD1" w:rsidRPr="00860FD1" w:rsidRDefault="00860FD1" w:rsidP="00860FD1">
      <w:pPr>
        <w:jc w:val="both"/>
        <w:rPr>
          <w:sz w:val="22"/>
          <w:szCs w:val="22"/>
          <w:lang w:val="en-GB"/>
        </w:rPr>
      </w:pPr>
      <w:r w:rsidRPr="00860FD1">
        <w:rPr>
          <w:sz w:val="22"/>
          <w:szCs w:val="22"/>
          <w:lang w:val="en-GB"/>
        </w:rPr>
        <w:t>ROA depends on two factors: profit margin and asset turnover. Thus, the equation for ROA can also be stated as follows:</w:t>
      </w:r>
    </w:p>
    <w:p w14:paraId="29D4D090" w14:textId="77777777" w:rsidR="00860FD1" w:rsidRPr="00860FD1" w:rsidRDefault="00860FD1" w:rsidP="00860FD1">
      <w:pPr>
        <w:jc w:val="both"/>
        <w:rPr>
          <w:sz w:val="22"/>
          <w:szCs w:val="22"/>
          <w:lang w:val="en-GB"/>
        </w:rPr>
      </w:pPr>
    </w:p>
    <w:p w14:paraId="6451FD40" w14:textId="77777777" w:rsidR="00860FD1" w:rsidRPr="00860FD1" w:rsidRDefault="00860FD1" w:rsidP="00860FD1">
      <w:pPr>
        <w:jc w:val="center"/>
        <w:rPr>
          <w:bCs/>
          <w:sz w:val="22"/>
          <w:szCs w:val="22"/>
          <w:lang w:val="en-GB"/>
        </w:rPr>
      </w:pPr>
      <m:oMathPara>
        <m:oMath>
          <m:r>
            <w:rPr>
              <w:rFonts w:ascii="Cambria Math" w:hAnsi="Cambria Math"/>
              <w:sz w:val="22"/>
              <w:szCs w:val="22"/>
              <w:lang w:val="en-GB"/>
            </w:rPr>
            <m:t>Return on Assets=Profit Margin × Asset Turnover</m:t>
          </m:r>
        </m:oMath>
      </m:oMathPara>
    </w:p>
    <w:p w14:paraId="386D7164" w14:textId="77777777" w:rsidR="00860FD1" w:rsidRPr="00860FD1" w:rsidRDefault="00860FD1" w:rsidP="00860FD1">
      <w:pPr>
        <w:pStyle w:val="BodyTextMain"/>
        <w:rPr>
          <w:lang w:val="en-GB"/>
        </w:rPr>
      </w:pPr>
    </w:p>
    <w:p w14:paraId="59A3EDCE" w14:textId="77777777" w:rsidR="00860FD1" w:rsidRPr="00860FD1" w:rsidRDefault="00860FD1" w:rsidP="00860FD1">
      <w:pPr>
        <w:pStyle w:val="BodyTextMain"/>
        <w:rPr>
          <w:lang w:val="en-GB"/>
        </w:rPr>
      </w:pPr>
    </w:p>
    <w:p w14:paraId="00E6E7EF" w14:textId="53973DD0" w:rsidR="00860FD1" w:rsidRPr="00860FD1" w:rsidRDefault="00860FD1" w:rsidP="005711AE">
      <w:pPr>
        <w:pStyle w:val="Casehead3"/>
        <w:numPr>
          <w:ilvl w:val="2"/>
          <w:numId w:val="8"/>
        </w:numPr>
        <w:rPr>
          <w:lang w:val="en-GB"/>
        </w:rPr>
      </w:pPr>
      <w:r w:rsidRPr="00AE7F34">
        <w:rPr>
          <w:lang w:val="en-GB"/>
        </w:rPr>
        <w:t>Profit Margin</w:t>
      </w:r>
    </w:p>
    <w:p w14:paraId="355C651C" w14:textId="77777777" w:rsidR="00860FD1" w:rsidRPr="00860FD1" w:rsidRDefault="00860FD1" w:rsidP="00860FD1">
      <w:pPr>
        <w:jc w:val="both"/>
        <w:rPr>
          <w:sz w:val="22"/>
          <w:szCs w:val="22"/>
          <w:lang w:val="en-GB"/>
        </w:rPr>
      </w:pPr>
    </w:p>
    <w:p w14:paraId="349FC03C" w14:textId="2BA2095D" w:rsidR="00860FD1" w:rsidRPr="00F5330C" w:rsidRDefault="00860FD1" w:rsidP="00860FD1">
      <w:pPr>
        <w:jc w:val="center"/>
        <w:rPr>
          <w:bCs/>
          <w:sz w:val="22"/>
          <w:szCs w:val="22"/>
          <w:lang w:val="en-GB"/>
        </w:rPr>
      </w:pPr>
      <m:oMath>
        <m:r>
          <w:rPr>
            <w:rFonts w:ascii="Cambria Math" w:hAnsi="Cambria Math"/>
            <w:sz w:val="22"/>
            <w:szCs w:val="22"/>
            <w:lang w:val="en-GB"/>
          </w:rPr>
          <m:t xml:space="preserve">Profit Margin </m:t>
        </m:r>
        <m:d>
          <m:dPr>
            <m:ctrlPr>
              <w:rPr>
                <w:rFonts w:ascii="Cambria Math" w:hAnsi="Cambria Math"/>
                <w:bCs/>
                <w:i/>
                <w:sz w:val="22"/>
                <w:szCs w:val="22"/>
                <w:lang w:val="en-GB"/>
              </w:rPr>
            </m:ctrlPr>
          </m:dPr>
          <m:e>
            <m:r>
              <w:rPr>
                <w:rFonts w:ascii="Cambria Math" w:hAnsi="Cambria Math"/>
                <w:sz w:val="22"/>
                <w:szCs w:val="22"/>
                <w:lang w:val="en-GB"/>
              </w:rPr>
              <m:t>Return on Sales</m:t>
            </m:r>
          </m:e>
        </m:d>
        <m:r>
          <w:rPr>
            <w:rFonts w:ascii="Cambria Math" w:hAnsi="Cambria Math"/>
            <w:sz w:val="22"/>
            <w:szCs w:val="22"/>
            <w:lang w:val="en-GB"/>
          </w:rPr>
          <m:t>=</m:t>
        </m:r>
        <m:f>
          <m:fPr>
            <m:ctrlPr>
              <w:rPr>
                <w:rFonts w:ascii="Cambria Math" w:hAnsi="Cambria Math"/>
                <w:bCs/>
                <w:i/>
                <w:sz w:val="22"/>
                <w:szCs w:val="22"/>
                <w:lang w:val="en-GB"/>
              </w:rPr>
            </m:ctrlPr>
          </m:fPr>
          <m:num>
            <m:r>
              <w:rPr>
                <w:rFonts w:ascii="Cambria Math" w:hAnsi="Cambria Math"/>
                <w:sz w:val="22"/>
                <w:szCs w:val="22"/>
                <w:lang w:val="en-GB"/>
              </w:rPr>
              <m:t>Net Income</m:t>
            </m:r>
          </m:num>
          <m:den>
            <m:r>
              <w:rPr>
                <w:rFonts w:ascii="Cambria Math" w:hAnsi="Cambria Math"/>
                <w:sz w:val="22"/>
                <w:szCs w:val="22"/>
                <w:lang w:val="en-GB"/>
              </w:rPr>
              <m:t>Net Sales</m:t>
            </m:r>
          </m:den>
        </m:f>
      </m:oMath>
      <w:r w:rsidRPr="00F5330C">
        <w:rPr>
          <w:bCs/>
          <w:sz w:val="22"/>
          <w:szCs w:val="22"/>
          <w:lang w:val="en-GB"/>
        </w:rPr>
        <w:t xml:space="preserve"> </w:t>
      </w:r>
    </w:p>
    <w:p w14:paraId="6F9E93B3" w14:textId="77777777" w:rsidR="00860FD1" w:rsidRPr="00860FD1" w:rsidRDefault="00860FD1" w:rsidP="00860FD1">
      <w:pPr>
        <w:jc w:val="both"/>
        <w:rPr>
          <w:sz w:val="22"/>
          <w:szCs w:val="22"/>
          <w:lang w:val="en-GB"/>
        </w:rPr>
      </w:pPr>
    </w:p>
    <w:p w14:paraId="319530AD" w14:textId="775B28B9" w:rsidR="00860FD1" w:rsidRDefault="00860FD1" w:rsidP="00860FD1">
      <w:pPr>
        <w:jc w:val="both"/>
        <w:rPr>
          <w:sz w:val="22"/>
          <w:szCs w:val="22"/>
          <w:lang w:val="en-GB"/>
        </w:rPr>
      </w:pPr>
      <w:r w:rsidRPr="00860FD1">
        <w:rPr>
          <w:sz w:val="22"/>
          <w:szCs w:val="22"/>
          <w:lang w:val="en-GB"/>
        </w:rPr>
        <w:t xml:space="preserve">Profit margin indicates the profitability of a business relative to its sales revenue, and reflects how well a business is controlling its various expenses. Expressing net income relative to sales </w:t>
      </w:r>
      <w:r w:rsidR="002A14FC">
        <w:rPr>
          <w:sz w:val="22"/>
          <w:szCs w:val="22"/>
          <w:lang w:val="en-GB"/>
        </w:rPr>
        <w:t xml:space="preserve">revenue </w:t>
      </w:r>
      <w:r w:rsidRPr="00860FD1">
        <w:rPr>
          <w:sz w:val="22"/>
          <w:szCs w:val="22"/>
          <w:lang w:val="en-GB"/>
        </w:rPr>
        <w:t xml:space="preserve">provides a more meaningful comparison of the business’s performance from one year to another than merely comparing </w:t>
      </w:r>
      <w:r w:rsidR="002A14FC">
        <w:rPr>
          <w:sz w:val="22"/>
          <w:szCs w:val="22"/>
          <w:lang w:val="en-GB"/>
        </w:rPr>
        <w:t xml:space="preserve">net </w:t>
      </w:r>
      <w:r w:rsidRPr="00860FD1">
        <w:rPr>
          <w:sz w:val="22"/>
          <w:szCs w:val="22"/>
          <w:lang w:val="en-GB"/>
        </w:rPr>
        <w:t xml:space="preserve">income in the two years. A profit margin of 12 per cent indicates that for every dollar of sales revenue, the business has 12 cents left in profit after all expenses are deducted. </w:t>
      </w:r>
    </w:p>
    <w:p w14:paraId="56775221" w14:textId="3D219ADE" w:rsidR="002A14FC" w:rsidRDefault="002A14FC" w:rsidP="00860FD1">
      <w:pPr>
        <w:jc w:val="both"/>
        <w:rPr>
          <w:sz w:val="22"/>
          <w:szCs w:val="22"/>
          <w:lang w:val="en-GB"/>
        </w:rPr>
      </w:pPr>
    </w:p>
    <w:p w14:paraId="4D3F021A" w14:textId="56F50BAB" w:rsidR="002A14FC" w:rsidRPr="00860FD1" w:rsidRDefault="002A14FC" w:rsidP="00860FD1">
      <w:pPr>
        <w:jc w:val="both"/>
        <w:rPr>
          <w:sz w:val="22"/>
          <w:szCs w:val="22"/>
          <w:lang w:val="en-GB"/>
        </w:rPr>
      </w:pPr>
      <w:r>
        <w:rPr>
          <w:sz w:val="22"/>
          <w:szCs w:val="22"/>
          <w:lang w:val="en-GB"/>
        </w:rPr>
        <w:t xml:space="preserve">Profit margin, in turn, can be dissected to </w:t>
      </w:r>
      <w:proofErr w:type="spellStart"/>
      <w:r>
        <w:rPr>
          <w:sz w:val="22"/>
          <w:szCs w:val="22"/>
          <w:lang w:val="en-GB"/>
        </w:rPr>
        <w:t>analyze</w:t>
      </w:r>
      <w:proofErr w:type="spellEnd"/>
      <w:r>
        <w:rPr>
          <w:sz w:val="22"/>
          <w:szCs w:val="22"/>
          <w:lang w:val="en-GB"/>
        </w:rPr>
        <w:t xml:space="preserve"> how well individual expe</w:t>
      </w:r>
      <w:r w:rsidR="00BC6FC9">
        <w:rPr>
          <w:sz w:val="22"/>
          <w:szCs w:val="22"/>
          <w:lang w:val="en-GB"/>
        </w:rPr>
        <w:t>n</w:t>
      </w:r>
      <w:r>
        <w:rPr>
          <w:sz w:val="22"/>
          <w:szCs w:val="22"/>
          <w:lang w:val="en-GB"/>
        </w:rPr>
        <w:t>ses are being controlled.</w:t>
      </w:r>
    </w:p>
    <w:p w14:paraId="43793BA2" w14:textId="77777777" w:rsidR="00860FD1" w:rsidRPr="00860FD1" w:rsidRDefault="00860FD1" w:rsidP="00860FD1">
      <w:pPr>
        <w:pStyle w:val="BodyTextMain"/>
      </w:pPr>
    </w:p>
    <w:p w14:paraId="1CF18714" w14:textId="77777777" w:rsidR="00860FD1" w:rsidRPr="00860FD1" w:rsidRDefault="00860FD1" w:rsidP="00860FD1">
      <w:pPr>
        <w:pStyle w:val="BodyTextMain"/>
      </w:pPr>
    </w:p>
    <w:p w14:paraId="78D7B9D8" w14:textId="684FBA16" w:rsidR="00860FD1" w:rsidRPr="00860FD1" w:rsidRDefault="00860FD1" w:rsidP="005711AE">
      <w:pPr>
        <w:pStyle w:val="Casehead3"/>
        <w:numPr>
          <w:ilvl w:val="2"/>
          <w:numId w:val="8"/>
        </w:numPr>
        <w:rPr>
          <w:lang w:val="en-GB"/>
        </w:rPr>
      </w:pPr>
      <w:bookmarkStart w:id="6" w:name="_Ref501461772"/>
      <w:r w:rsidRPr="00AE7F34">
        <w:rPr>
          <w:lang w:val="en-GB"/>
        </w:rPr>
        <w:t>Gross Profit Margin</w:t>
      </w:r>
      <w:bookmarkEnd w:id="6"/>
      <w:r w:rsidRPr="00860FD1">
        <w:rPr>
          <w:lang w:val="en-GB"/>
        </w:rPr>
        <w:t xml:space="preserve"> </w:t>
      </w:r>
    </w:p>
    <w:p w14:paraId="07017A6D" w14:textId="77777777" w:rsidR="00860FD1" w:rsidRPr="00860FD1" w:rsidRDefault="00860FD1" w:rsidP="00860FD1">
      <w:pPr>
        <w:keepNext/>
        <w:jc w:val="both"/>
        <w:rPr>
          <w:sz w:val="22"/>
          <w:szCs w:val="22"/>
          <w:lang w:val="en-GB"/>
        </w:rPr>
      </w:pPr>
    </w:p>
    <w:p w14:paraId="5EC24AE3" w14:textId="7F364BBF" w:rsidR="00860FD1" w:rsidRPr="00860FD1" w:rsidRDefault="00860FD1" w:rsidP="00860FD1">
      <w:pPr>
        <w:jc w:val="center"/>
        <w:rPr>
          <w:sz w:val="22"/>
          <w:szCs w:val="22"/>
          <w:lang w:val="en-GB"/>
        </w:rPr>
      </w:pPr>
      <m:oMathPara>
        <m:oMath>
          <m:r>
            <w:rPr>
              <w:rFonts w:ascii="Cambria Math" w:hAnsi="Cambria Math"/>
              <w:sz w:val="22"/>
              <w:szCs w:val="22"/>
              <w:lang w:val="en-GB"/>
            </w:rPr>
            <m:t>Gross Profit=Sales Revenue-Cost of Goods Sold</m:t>
          </m:r>
        </m:oMath>
      </m:oMathPara>
    </w:p>
    <w:p w14:paraId="5EBFD582" w14:textId="77777777" w:rsidR="00860FD1" w:rsidRPr="00860FD1" w:rsidRDefault="00860FD1" w:rsidP="00860FD1">
      <w:pPr>
        <w:jc w:val="center"/>
        <w:rPr>
          <w:bCs/>
          <w:sz w:val="22"/>
          <w:szCs w:val="22"/>
          <w:lang w:val="en-GB"/>
        </w:rPr>
      </w:pPr>
    </w:p>
    <w:p w14:paraId="006EBD6A" w14:textId="77777777" w:rsidR="00860FD1" w:rsidRPr="00860FD1" w:rsidRDefault="00860FD1" w:rsidP="00860FD1">
      <w:pPr>
        <w:jc w:val="center"/>
        <w:rPr>
          <w:bCs/>
          <w:sz w:val="22"/>
          <w:szCs w:val="22"/>
          <w:lang w:val="en-GB"/>
        </w:rPr>
      </w:pPr>
      <w:r w:rsidRPr="00860FD1">
        <w:rPr>
          <w:sz w:val="22"/>
          <w:szCs w:val="22"/>
          <w:lang w:val="en-GB"/>
        </w:rPr>
        <w:t xml:space="preserve"> </w:t>
      </w:r>
      <m:oMath>
        <m:r>
          <w:rPr>
            <w:rFonts w:ascii="Cambria Math" w:hAnsi="Cambria Math"/>
            <w:sz w:val="22"/>
            <w:szCs w:val="22"/>
            <w:lang w:val="en-GB"/>
          </w:rPr>
          <m:t>Gross Profit Margin=</m:t>
        </m:r>
        <m:f>
          <m:fPr>
            <m:ctrlPr>
              <w:rPr>
                <w:rFonts w:ascii="Cambria Math" w:hAnsi="Cambria Math"/>
                <w:bCs/>
                <w:i/>
                <w:sz w:val="22"/>
                <w:szCs w:val="22"/>
                <w:lang w:val="en-GB"/>
              </w:rPr>
            </m:ctrlPr>
          </m:fPr>
          <m:num>
            <m:r>
              <w:rPr>
                <w:rFonts w:ascii="Cambria Math" w:hAnsi="Cambria Math"/>
                <w:sz w:val="22"/>
                <w:szCs w:val="22"/>
                <w:lang w:val="en-GB"/>
              </w:rPr>
              <m:t>Gross Profit</m:t>
            </m:r>
          </m:num>
          <m:den>
            <m:r>
              <w:rPr>
                <w:rFonts w:ascii="Cambria Math" w:hAnsi="Cambria Math"/>
                <w:sz w:val="22"/>
                <w:szCs w:val="22"/>
                <w:lang w:val="en-GB"/>
              </w:rPr>
              <m:t>Net Sales</m:t>
            </m:r>
          </m:den>
        </m:f>
      </m:oMath>
    </w:p>
    <w:p w14:paraId="33652F2D" w14:textId="77777777" w:rsidR="00860FD1" w:rsidRPr="00860FD1" w:rsidRDefault="00860FD1" w:rsidP="00860FD1">
      <w:pPr>
        <w:pStyle w:val="BodyTextMain"/>
        <w:rPr>
          <w:lang w:val="en-GB"/>
        </w:rPr>
      </w:pPr>
    </w:p>
    <w:p w14:paraId="4BCF9682" w14:textId="6104D90B" w:rsidR="00860FD1" w:rsidRPr="00860FD1" w:rsidRDefault="00860FD1" w:rsidP="00860FD1">
      <w:pPr>
        <w:jc w:val="both"/>
        <w:rPr>
          <w:sz w:val="22"/>
          <w:szCs w:val="22"/>
          <w:lang w:val="en-GB"/>
        </w:rPr>
      </w:pPr>
      <w:r w:rsidRPr="00860FD1">
        <w:rPr>
          <w:bCs/>
          <w:sz w:val="22"/>
          <w:szCs w:val="22"/>
          <w:lang w:val="en-GB"/>
        </w:rPr>
        <w:lastRenderedPageBreak/>
        <w:t>Gross profit</w:t>
      </w:r>
      <w:r w:rsidRPr="00860FD1">
        <w:rPr>
          <w:sz w:val="22"/>
          <w:szCs w:val="22"/>
          <w:lang w:val="en-GB"/>
        </w:rPr>
        <w:t xml:space="preserve"> is a preliminary measure of profitability. It measures a company’s ability to maintain an adequate selling price above its cost of goods sold (COGS). Gross profit also measures the company’s ability to pay operating and other expenses. If the gross profit margin is 30 per cent, the business has 30 cents left from every dollar of sales revenue to pay operating and other expenses. In other words, for every dollar in sales revenue, it costs the business, on average, 70 cents to make or buy the products it is selling, leaving 30 cents to pay operating expenses, such as wages and rent, and other expenses, such as interest. A declining gross profit margin is a sign that selling prices are not keeping up with increases in COGS.</w:t>
      </w:r>
    </w:p>
    <w:p w14:paraId="75CDD14D" w14:textId="77777777" w:rsidR="00860FD1" w:rsidRPr="00860FD1" w:rsidRDefault="00860FD1" w:rsidP="00860FD1">
      <w:pPr>
        <w:jc w:val="both"/>
        <w:rPr>
          <w:sz w:val="22"/>
          <w:szCs w:val="22"/>
          <w:lang w:val="en-GB"/>
        </w:rPr>
      </w:pPr>
    </w:p>
    <w:p w14:paraId="73E377D9" w14:textId="77777777" w:rsidR="00860FD1" w:rsidRPr="00860FD1" w:rsidRDefault="00860FD1" w:rsidP="00860FD1">
      <w:pPr>
        <w:jc w:val="both"/>
        <w:rPr>
          <w:sz w:val="22"/>
          <w:szCs w:val="22"/>
          <w:lang w:val="en-GB"/>
        </w:rPr>
      </w:pPr>
    </w:p>
    <w:p w14:paraId="7879A9DA" w14:textId="5326541F" w:rsidR="00860FD1" w:rsidRPr="00860FD1" w:rsidRDefault="00860FD1" w:rsidP="005711AE">
      <w:pPr>
        <w:pStyle w:val="Casehead3"/>
        <w:numPr>
          <w:ilvl w:val="2"/>
          <w:numId w:val="8"/>
        </w:numPr>
        <w:rPr>
          <w:lang w:val="en-GB"/>
        </w:rPr>
      </w:pPr>
      <w:r w:rsidRPr="00AE7F34">
        <w:rPr>
          <w:lang w:val="en-GB"/>
        </w:rPr>
        <w:t>Expense Ratios</w:t>
      </w:r>
    </w:p>
    <w:p w14:paraId="6E76114B" w14:textId="77777777" w:rsidR="00860FD1" w:rsidRPr="00860FD1" w:rsidRDefault="00860FD1" w:rsidP="00860FD1">
      <w:pPr>
        <w:jc w:val="both"/>
        <w:rPr>
          <w:sz w:val="22"/>
          <w:szCs w:val="22"/>
          <w:lang w:val="en-GB"/>
        </w:rPr>
      </w:pPr>
    </w:p>
    <w:p w14:paraId="42826940" w14:textId="404E1065" w:rsidR="00860FD1" w:rsidRPr="00860FD1" w:rsidRDefault="00860FD1" w:rsidP="00860FD1">
      <w:pPr>
        <w:jc w:val="center"/>
        <w:rPr>
          <w:sz w:val="22"/>
          <w:szCs w:val="22"/>
          <w:lang w:val="en-GB"/>
        </w:rPr>
      </w:pPr>
      <m:oMath>
        <m:r>
          <w:rPr>
            <w:rFonts w:ascii="Cambria Math" w:hAnsi="Cambria Math"/>
            <w:sz w:val="22"/>
            <w:szCs w:val="22"/>
            <w:lang w:val="en-GB"/>
          </w:rPr>
          <m:t>Expense Ratio=</m:t>
        </m:r>
        <m:f>
          <m:fPr>
            <m:ctrlPr>
              <w:rPr>
                <w:rFonts w:ascii="Cambria Math" w:hAnsi="Cambria Math"/>
                <w:i/>
                <w:sz w:val="22"/>
                <w:szCs w:val="22"/>
                <w:lang w:val="en-GB"/>
              </w:rPr>
            </m:ctrlPr>
          </m:fPr>
          <m:num>
            <m:r>
              <w:rPr>
                <w:rFonts w:ascii="Cambria Math" w:hAnsi="Cambria Math"/>
                <w:sz w:val="22"/>
                <w:szCs w:val="22"/>
                <w:lang w:val="en-GB"/>
              </w:rPr>
              <m:t>Expenses</m:t>
            </m:r>
          </m:num>
          <m:den>
            <m:r>
              <w:rPr>
                <w:rFonts w:ascii="Cambria Math" w:hAnsi="Cambria Math"/>
                <w:sz w:val="22"/>
                <w:szCs w:val="22"/>
                <w:lang w:val="en-GB"/>
              </w:rPr>
              <m:t>Net Sales</m:t>
            </m:r>
          </m:den>
        </m:f>
      </m:oMath>
      <w:r w:rsidRPr="00860FD1">
        <w:rPr>
          <w:sz w:val="22"/>
          <w:szCs w:val="22"/>
          <w:lang w:val="en-GB"/>
        </w:rPr>
        <w:t xml:space="preserve"> </w:t>
      </w:r>
    </w:p>
    <w:p w14:paraId="200C9198" w14:textId="77777777" w:rsidR="00860FD1" w:rsidRPr="00860FD1" w:rsidRDefault="00860FD1" w:rsidP="00860FD1">
      <w:pPr>
        <w:jc w:val="both"/>
        <w:rPr>
          <w:sz w:val="22"/>
          <w:szCs w:val="22"/>
          <w:lang w:val="en-GB"/>
        </w:rPr>
      </w:pPr>
    </w:p>
    <w:p w14:paraId="1D3A49CA" w14:textId="7D086B16" w:rsidR="00860FD1" w:rsidRDefault="00860FD1" w:rsidP="00860FD1">
      <w:pPr>
        <w:jc w:val="both"/>
        <w:rPr>
          <w:sz w:val="22"/>
          <w:szCs w:val="22"/>
          <w:lang w:val="en-GB"/>
        </w:rPr>
      </w:pPr>
      <w:r w:rsidRPr="00860FD1">
        <w:rPr>
          <w:sz w:val="22"/>
          <w:szCs w:val="22"/>
          <w:lang w:val="en-GB"/>
        </w:rPr>
        <w:t xml:space="preserve">Expense ratios measure the portion of income that is spent on specific expenses. An expense ratio that is higher this year than the previous year could indicate </w:t>
      </w:r>
      <w:r w:rsidR="002A14FC">
        <w:rPr>
          <w:sz w:val="22"/>
          <w:szCs w:val="22"/>
          <w:lang w:val="en-GB"/>
        </w:rPr>
        <w:t xml:space="preserve">that </w:t>
      </w:r>
      <w:r w:rsidRPr="00860FD1">
        <w:rPr>
          <w:sz w:val="22"/>
          <w:szCs w:val="22"/>
          <w:lang w:val="en-GB"/>
        </w:rPr>
        <w:t xml:space="preserve">the company has potential problems with controlling costs in individual expense categories such as selling expenses, administrative expenses, and interest expenses. However, increasing the amount spent on expenses </w:t>
      </w:r>
      <w:r w:rsidR="002A14FC">
        <w:rPr>
          <w:sz w:val="22"/>
          <w:szCs w:val="22"/>
          <w:lang w:val="en-GB"/>
        </w:rPr>
        <w:t>could</w:t>
      </w:r>
      <w:r w:rsidR="002A14FC" w:rsidRPr="00860FD1">
        <w:rPr>
          <w:sz w:val="22"/>
          <w:szCs w:val="22"/>
          <w:lang w:val="en-GB"/>
        </w:rPr>
        <w:t xml:space="preserve"> </w:t>
      </w:r>
      <w:r w:rsidRPr="00860FD1">
        <w:rPr>
          <w:sz w:val="22"/>
          <w:szCs w:val="22"/>
          <w:lang w:val="en-GB"/>
        </w:rPr>
        <w:t>also be the key to future growth</w:t>
      </w:r>
      <w:r w:rsidR="002A14FC">
        <w:rPr>
          <w:sz w:val="22"/>
          <w:szCs w:val="22"/>
          <w:lang w:val="en-GB"/>
        </w:rPr>
        <w:t xml:space="preserve">, as would be the case, </w:t>
      </w:r>
      <w:r w:rsidRPr="00860FD1">
        <w:rPr>
          <w:sz w:val="22"/>
          <w:szCs w:val="22"/>
          <w:lang w:val="en-GB"/>
        </w:rPr>
        <w:t>for example, if the business significantly increased its advertising and promotion expenditures or added new salespeople in an effort to increase sales.</w:t>
      </w:r>
    </w:p>
    <w:p w14:paraId="7129A319" w14:textId="2619ED97" w:rsidR="002A14FC" w:rsidRDefault="002A14FC" w:rsidP="00860FD1">
      <w:pPr>
        <w:jc w:val="both"/>
        <w:rPr>
          <w:sz w:val="22"/>
          <w:szCs w:val="22"/>
          <w:lang w:val="en-GB"/>
        </w:rPr>
      </w:pPr>
    </w:p>
    <w:p w14:paraId="4BBC799E" w14:textId="12E6006A" w:rsidR="002A14FC" w:rsidRPr="00471195" w:rsidRDefault="002A14FC" w:rsidP="00860FD1">
      <w:pPr>
        <w:jc w:val="both"/>
        <w:rPr>
          <w:spacing w:val="-4"/>
          <w:kern w:val="22"/>
          <w:sz w:val="22"/>
          <w:szCs w:val="22"/>
          <w:lang w:val="en-GB"/>
        </w:rPr>
      </w:pPr>
      <w:r w:rsidRPr="00471195">
        <w:rPr>
          <w:spacing w:val="-4"/>
          <w:kern w:val="22"/>
          <w:sz w:val="22"/>
          <w:szCs w:val="22"/>
          <w:lang w:val="en-GB"/>
        </w:rPr>
        <w:t>Note that although you can calculate an expense ratio using COGS, the result would be the complement of the gross profit margin (i.e., i</w:t>
      </w:r>
      <w:r w:rsidR="00471195" w:rsidRPr="00471195">
        <w:rPr>
          <w:spacing w:val="-4"/>
          <w:kern w:val="22"/>
          <w:sz w:val="22"/>
          <w:szCs w:val="22"/>
          <w:lang w:val="en-GB"/>
        </w:rPr>
        <w:t>f the gross profit margin is 34 per cent</w:t>
      </w:r>
      <w:r w:rsidRPr="00471195">
        <w:rPr>
          <w:spacing w:val="-4"/>
          <w:kern w:val="22"/>
          <w:sz w:val="22"/>
          <w:szCs w:val="22"/>
          <w:lang w:val="en-GB"/>
        </w:rPr>
        <w:t>, t</w:t>
      </w:r>
      <w:r w:rsidR="00471195" w:rsidRPr="00471195">
        <w:rPr>
          <w:spacing w:val="-4"/>
          <w:kern w:val="22"/>
          <w:sz w:val="22"/>
          <w:szCs w:val="22"/>
          <w:lang w:val="en-GB"/>
        </w:rPr>
        <w:t>hen COGS is 66 per cent</w:t>
      </w:r>
      <w:r w:rsidRPr="00471195">
        <w:rPr>
          <w:spacing w:val="-4"/>
          <w:kern w:val="22"/>
          <w:sz w:val="22"/>
          <w:szCs w:val="22"/>
          <w:lang w:val="en-GB"/>
        </w:rPr>
        <w:t xml:space="preserve"> of the net sales).</w:t>
      </w:r>
    </w:p>
    <w:p w14:paraId="602D8E7E" w14:textId="77777777" w:rsidR="00860FD1" w:rsidRDefault="00860FD1" w:rsidP="00860FD1">
      <w:pPr>
        <w:jc w:val="both"/>
        <w:rPr>
          <w:sz w:val="22"/>
          <w:szCs w:val="22"/>
          <w:lang w:val="en-GB"/>
        </w:rPr>
      </w:pPr>
    </w:p>
    <w:p w14:paraId="794660CF" w14:textId="77777777" w:rsidR="00336EBF" w:rsidRPr="00860FD1" w:rsidRDefault="00336EBF" w:rsidP="00860FD1">
      <w:pPr>
        <w:jc w:val="both"/>
        <w:rPr>
          <w:sz w:val="22"/>
          <w:szCs w:val="22"/>
          <w:lang w:val="en-GB"/>
        </w:rPr>
      </w:pPr>
    </w:p>
    <w:p w14:paraId="4EC055E2" w14:textId="41015BA6" w:rsidR="00860FD1" w:rsidRPr="00860FD1" w:rsidRDefault="00860FD1" w:rsidP="005711AE">
      <w:pPr>
        <w:pStyle w:val="Casehead3"/>
        <w:numPr>
          <w:ilvl w:val="2"/>
          <w:numId w:val="8"/>
        </w:numPr>
        <w:rPr>
          <w:lang w:val="en-GB"/>
        </w:rPr>
      </w:pPr>
      <w:r w:rsidRPr="00AE7F34">
        <w:rPr>
          <w:lang w:val="en-GB"/>
        </w:rPr>
        <w:t>Asset Turnover</w:t>
      </w:r>
    </w:p>
    <w:p w14:paraId="43AB9E56" w14:textId="77777777" w:rsidR="00860FD1" w:rsidRPr="00860FD1" w:rsidRDefault="00860FD1" w:rsidP="00860FD1">
      <w:pPr>
        <w:jc w:val="both"/>
        <w:rPr>
          <w:sz w:val="22"/>
          <w:szCs w:val="22"/>
          <w:lang w:val="en-GB"/>
        </w:rPr>
      </w:pPr>
    </w:p>
    <w:p w14:paraId="29E61DEA" w14:textId="77777777" w:rsidR="00860FD1" w:rsidRPr="00860FD1" w:rsidRDefault="00860FD1" w:rsidP="00860FD1">
      <w:pPr>
        <w:jc w:val="center"/>
        <w:rPr>
          <w:bCs/>
          <w:sz w:val="22"/>
          <w:szCs w:val="22"/>
          <w:lang w:val="en-GB"/>
        </w:rPr>
      </w:pPr>
      <m:oMathPara>
        <m:oMath>
          <m:r>
            <w:rPr>
              <w:rFonts w:ascii="Cambria Math" w:hAnsi="Cambria Math"/>
              <w:sz w:val="22"/>
              <w:szCs w:val="22"/>
              <w:lang w:val="en-GB"/>
            </w:rPr>
            <m:t>Asset Turnover=</m:t>
          </m:r>
          <m:f>
            <m:fPr>
              <m:ctrlPr>
                <w:rPr>
                  <w:rFonts w:ascii="Cambria Math" w:hAnsi="Cambria Math"/>
                  <w:bCs/>
                  <w:i/>
                  <w:sz w:val="22"/>
                  <w:szCs w:val="22"/>
                  <w:lang w:val="en-GB"/>
                </w:rPr>
              </m:ctrlPr>
            </m:fPr>
            <m:num>
              <m:r>
                <w:rPr>
                  <w:rFonts w:ascii="Cambria Math" w:hAnsi="Cambria Math"/>
                  <w:sz w:val="22"/>
                  <w:szCs w:val="22"/>
                  <w:lang w:val="en-GB"/>
                </w:rPr>
                <m:t>Net Sales</m:t>
              </m:r>
            </m:num>
            <m:den>
              <m:r>
                <w:rPr>
                  <w:rFonts w:ascii="Cambria Math" w:hAnsi="Cambria Math"/>
                  <w:sz w:val="22"/>
                  <w:szCs w:val="22"/>
                  <w:lang w:val="en-GB"/>
                </w:rPr>
                <m:t>Average Total Assets</m:t>
              </m:r>
            </m:den>
          </m:f>
        </m:oMath>
      </m:oMathPara>
    </w:p>
    <w:p w14:paraId="7C165739" w14:textId="77777777" w:rsidR="00860FD1" w:rsidRPr="00860FD1" w:rsidRDefault="00860FD1" w:rsidP="00860FD1">
      <w:pPr>
        <w:pStyle w:val="BodyTextMain"/>
        <w:rPr>
          <w:lang w:val="en-GB"/>
        </w:rPr>
      </w:pPr>
    </w:p>
    <w:p w14:paraId="001D0EE9" w14:textId="4D397706" w:rsidR="00860FD1" w:rsidRPr="003772D1" w:rsidRDefault="00860FD1" w:rsidP="00860FD1">
      <w:pPr>
        <w:jc w:val="both"/>
        <w:rPr>
          <w:spacing w:val="-2"/>
          <w:kern w:val="22"/>
          <w:sz w:val="22"/>
          <w:szCs w:val="22"/>
          <w:lang w:val="en-GB"/>
        </w:rPr>
      </w:pPr>
      <w:r w:rsidRPr="003772D1">
        <w:rPr>
          <w:spacing w:val="-2"/>
          <w:kern w:val="22"/>
          <w:sz w:val="22"/>
          <w:szCs w:val="22"/>
          <w:lang w:val="en-GB"/>
        </w:rPr>
        <w:t xml:space="preserve">The </w:t>
      </w:r>
      <w:r w:rsidRPr="003772D1">
        <w:rPr>
          <w:bCs/>
          <w:spacing w:val="-2"/>
          <w:kern w:val="22"/>
          <w:sz w:val="22"/>
          <w:szCs w:val="22"/>
          <w:lang w:val="en-GB"/>
        </w:rPr>
        <w:t xml:space="preserve">asset turnover ratio, the second main determinant of ROA, </w:t>
      </w:r>
      <w:r w:rsidRPr="003772D1">
        <w:rPr>
          <w:spacing w:val="-2"/>
          <w:kern w:val="22"/>
          <w:sz w:val="22"/>
          <w:szCs w:val="22"/>
          <w:lang w:val="en-GB"/>
        </w:rPr>
        <w:t xml:space="preserve">measures how </w:t>
      </w:r>
      <w:r w:rsidR="007B2956">
        <w:rPr>
          <w:spacing w:val="-2"/>
          <w:kern w:val="22"/>
          <w:sz w:val="22"/>
          <w:szCs w:val="22"/>
          <w:lang w:val="en-GB"/>
        </w:rPr>
        <w:t>well</w:t>
      </w:r>
      <w:r w:rsidR="007B2956" w:rsidRPr="003772D1">
        <w:rPr>
          <w:spacing w:val="-2"/>
          <w:kern w:val="22"/>
          <w:sz w:val="22"/>
          <w:szCs w:val="22"/>
          <w:lang w:val="en-GB"/>
        </w:rPr>
        <w:t xml:space="preserve"> </w:t>
      </w:r>
      <w:r w:rsidRPr="003772D1">
        <w:rPr>
          <w:spacing w:val="-2"/>
          <w:kern w:val="22"/>
          <w:sz w:val="22"/>
          <w:szCs w:val="22"/>
          <w:lang w:val="en-GB"/>
        </w:rPr>
        <w:t xml:space="preserve">a business </w:t>
      </w:r>
      <w:r w:rsidR="007B2956">
        <w:rPr>
          <w:spacing w:val="-2"/>
          <w:kern w:val="22"/>
          <w:sz w:val="22"/>
          <w:szCs w:val="22"/>
          <w:lang w:val="en-GB"/>
        </w:rPr>
        <w:t>uses its assets to generate sales</w:t>
      </w:r>
      <w:r w:rsidRPr="003772D1">
        <w:rPr>
          <w:spacing w:val="-2"/>
          <w:kern w:val="22"/>
          <w:sz w:val="22"/>
          <w:szCs w:val="22"/>
          <w:lang w:val="en-GB"/>
        </w:rPr>
        <w:t>. If the asset turnover ratio is 8.33 per cent, the business is generating 8.33 cents in sales for every dollar invested in assets. Thus, the two keys to improving a company’s ROA are to improve the profitability of each sale of a good or service and to sell more goods and services in the first place.</w:t>
      </w:r>
    </w:p>
    <w:p w14:paraId="75D1B504" w14:textId="77777777" w:rsidR="00860FD1" w:rsidRPr="00860FD1" w:rsidRDefault="00860FD1" w:rsidP="00860FD1">
      <w:pPr>
        <w:jc w:val="both"/>
        <w:rPr>
          <w:sz w:val="22"/>
          <w:szCs w:val="22"/>
          <w:lang w:val="en-GB"/>
        </w:rPr>
      </w:pPr>
    </w:p>
    <w:p w14:paraId="091A5963" w14:textId="77777777" w:rsidR="00860FD1" w:rsidRPr="00860FD1" w:rsidRDefault="00860FD1" w:rsidP="00860FD1">
      <w:pPr>
        <w:jc w:val="both"/>
        <w:rPr>
          <w:sz w:val="22"/>
          <w:szCs w:val="22"/>
          <w:lang w:val="en-GB"/>
        </w:rPr>
      </w:pPr>
    </w:p>
    <w:p w14:paraId="52E3E149" w14:textId="098CF588" w:rsidR="00860FD1" w:rsidRPr="00860FD1" w:rsidRDefault="00860FD1" w:rsidP="005711AE">
      <w:pPr>
        <w:pStyle w:val="Casehead3"/>
        <w:numPr>
          <w:ilvl w:val="2"/>
          <w:numId w:val="8"/>
        </w:numPr>
        <w:rPr>
          <w:lang w:val="en-GB"/>
        </w:rPr>
      </w:pPr>
      <w:r w:rsidRPr="00AE7F34">
        <w:rPr>
          <w:lang w:val="en-GB"/>
        </w:rPr>
        <w:t>Inventory Turnover</w:t>
      </w:r>
    </w:p>
    <w:p w14:paraId="0B46A1D0" w14:textId="77777777" w:rsidR="00860FD1" w:rsidRPr="00860FD1" w:rsidRDefault="00860FD1" w:rsidP="00860FD1">
      <w:pPr>
        <w:jc w:val="both"/>
        <w:rPr>
          <w:sz w:val="22"/>
          <w:szCs w:val="22"/>
          <w:lang w:val="en-GB"/>
        </w:rPr>
      </w:pPr>
    </w:p>
    <w:p w14:paraId="2FBA5871" w14:textId="77777777" w:rsidR="00860FD1" w:rsidRPr="00860FD1" w:rsidRDefault="00860FD1" w:rsidP="00860FD1">
      <w:pPr>
        <w:jc w:val="center"/>
        <w:rPr>
          <w:bCs/>
          <w:sz w:val="22"/>
          <w:szCs w:val="22"/>
          <w:lang w:val="en-GB"/>
        </w:rPr>
      </w:pPr>
      <m:oMathPara>
        <m:oMath>
          <m:r>
            <w:rPr>
              <w:rFonts w:ascii="Cambria Math" w:hAnsi="Cambria Math"/>
              <w:sz w:val="22"/>
              <w:szCs w:val="22"/>
              <w:lang w:val="en-GB"/>
            </w:rPr>
            <m:t>Inventory Turnover=</m:t>
          </m:r>
          <m:f>
            <m:fPr>
              <m:ctrlPr>
                <w:rPr>
                  <w:rFonts w:ascii="Cambria Math" w:hAnsi="Cambria Math"/>
                  <w:bCs/>
                  <w:i/>
                  <w:sz w:val="22"/>
                  <w:szCs w:val="22"/>
                  <w:lang w:val="en-GB"/>
                </w:rPr>
              </m:ctrlPr>
            </m:fPr>
            <m:num>
              <m:r>
                <w:rPr>
                  <w:rFonts w:ascii="Cambria Math" w:hAnsi="Cambria Math"/>
                  <w:sz w:val="22"/>
                  <w:szCs w:val="22"/>
                  <w:lang w:val="en-GB"/>
                </w:rPr>
                <m:t>Cost of Goods Sold</m:t>
              </m:r>
            </m:num>
            <m:den>
              <m:r>
                <w:rPr>
                  <w:rFonts w:ascii="Cambria Math" w:hAnsi="Cambria Math"/>
                  <w:sz w:val="22"/>
                  <w:szCs w:val="22"/>
                  <w:lang w:val="en-GB"/>
                </w:rPr>
                <m:t>Average Inventory</m:t>
              </m:r>
            </m:den>
          </m:f>
        </m:oMath>
      </m:oMathPara>
    </w:p>
    <w:p w14:paraId="1ADFC384" w14:textId="77777777" w:rsidR="00860FD1" w:rsidRPr="00860FD1" w:rsidRDefault="00860FD1" w:rsidP="00860FD1">
      <w:pPr>
        <w:pStyle w:val="BodyTextMain"/>
        <w:rPr>
          <w:lang w:val="en-GB"/>
        </w:rPr>
      </w:pPr>
    </w:p>
    <w:p w14:paraId="155C57FA" w14:textId="77777777" w:rsidR="00860FD1" w:rsidRPr="00860FD1" w:rsidRDefault="00860FD1" w:rsidP="00860FD1">
      <w:pPr>
        <w:jc w:val="center"/>
        <w:rPr>
          <w:bCs/>
          <w:sz w:val="22"/>
          <w:szCs w:val="22"/>
          <w:lang w:val="en-GB"/>
        </w:rPr>
      </w:pPr>
      <m:oMathPara>
        <m:oMath>
          <m:r>
            <w:rPr>
              <w:rFonts w:ascii="Cambria Math" w:hAnsi="Cambria Math"/>
              <w:sz w:val="22"/>
              <w:szCs w:val="22"/>
              <w:lang w:val="en-GB"/>
            </w:rPr>
            <m:t xml:space="preserve">Days in Inventory = </m:t>
          </m:r>
          <m:f>
            <m:fPr>
              <m:ctrlPr>
                <w:rPr>
                  <w:rFonts w:ascii="Cambria Math" w:hAnsi="Cambria Math"/>
                  <w:bCs/>
                  <w:i/>
                  <w:sz w:val="22"/>
                  <w:szCs w:val="22"/>
                  <w:lang w:val="en-GB"/>
                </w:rPr>
              </m:ctrlPr>
            </m:fPr>
            <m:num>
              <m:r>
                <w:rPr>
                  <w:rFonts w:ascii="Cambria Math" w:hAnsi="Cambria Math"/>
                  <w:sz w:val="22"/>
                  <w:szCs w:val="22"/>
                  <w:lang w:val="en-GB"/>
                </w:rPr>
                <m:t>365</m:t>
              </m:r>
            </m:num>
            <m:den>
              <m:r>
                <w:rPr>
                  <w:rFonts w:ascii="Cambria Math" w:hAnsi="Cambria Math"/>
                  <w:sz w:val="22"/>
                  <w:szCs w:val="22"/>
                  <w:lang w:val="en-GB"/>
                </w:rPr>
                <m:t>Inventory Turnover</m:t>
              </m:r>
            </m:den>
          </m:f>
        </m:oMath>
      </m:oMathPara>
    </w:p>
    <w:p w14:paraId="12A7CE11" w14:textId="77777777" w:rsidR="00860FD1" w:rsidRPr="00860FD1" w:rsidRDefault="00860FD1" w:rsidP="00860FD1">
      <w:pPr>
        <w:pStyle w:val="BodyTextMain"/>
        <w:rPr>
          <w:lang w:val="en-GB"/>
        </w:rPr>
      </w:pPr>
    </w:p>
    <w:p w14:paraId="4A991726" w14:textId="3E34D617" w:rsidR="00860FD1" w:rsidRPr="00860FD1" w:rsidRDefault="00860FD1" w:rsidP="00860FD1">
      <w:pPr>
        <w:jc w:val="both"/>
        <w:rPr>
          <w:sz w:val="22"/>
          <w:szCs w:val="22"/>
          <w:lang w:val="en-GB"/>
        </w:rPr>
      </w:pPr>
      <w:r w:rsidRPr="00860FD1">
        <w:rPr>
          <w:sz w:val="22"/>
          <w:szCs w:val="22"/>
          <w:lang w:val="en-GB"/>
        </w:rPr>
        <w:t xml:space="preserve">The </w:t>
      </w:r>
      <w:r w:rsidRPr="00860FD1">
        <w:rPr>
          <w:bCs/>
          <w:sz w:val="22"/>
          <w:szCs w:val="22"/>
          <w:lang w:val="en-GB"/>
        </w:rPr>
        <w:t>inventory turnover</w:t>
      </w:r>
      <w:r w:rsidRPr="00860FD1">
        <w:rPr>
          <w:sz w:val="22"/>
          <w:szCs w:val="22"/>
          <w:lang w:val="en-GB"/>
        </w:rPr>
        <w:t xml:space="preserve"> ratio measures the average number of times inventory is sold during the period. The higher this ratio, the more quickly inventory is being sold and</w:t>
      </w:r>
      <w:r w:rsidR="00F119A8">
        <w:rPr>
          <w:sz w:val="22"/>
          <w:szCs w:val="22"/>
          <w:lang w:val="en-GB"/>
        </w:rPr>
        <w:t>, therefore,</w:t>
      </w:r>
      <w:r w:rsidRPr="00860FD1">
        <w:rPr>
          <w:sz w:val="22"/>
          <w:szCs w:val="22"/>
          <w:lang w:val="en-GB"/>
        </w:rPr>
        <w:t xml:space="preserve"> the more efficiently inventory is being used to generate sale</w:t>
      </w:r>
      <w:r w:rsidR="005711AE">
        <w:rPr>
          <w:sz w:val="22"/>
          <w:szCs w:val="22"/>
          <w:lang w:val="en-GB"/>
        </w:rPr>
        <w:t>s.</w:t>
      </w:r>
    </w:p>
    <w:p w14:paraId="6E19F6C0" w14:textId="77777777" w:rsidR="00860FD1" w:rsidRPr="00860FD1" w:rsidRDefault="00860FD1" w:rsidP="00860FD1">
      <w:pPr>
        <w:jc w:val="both"/>
        <w:rPr>
          <w:sz w:val="22"/>
          <w:szCs w:val="22"/>
          <w:lang w:val="en-GB"/>
        </w:rPr>
      </w:pPr>
    </w:p>
    <w:p w14:paraId="751C1DCE" w14:textId="77777777" w:rsidR="00860FD1" w:rsidRPr="00860FD1" w:rsidRDefault="00860FD1" w:rsidP="00860FD1">
      <w:pPr>
        <w:jc w:val="both"/>
        <w:rPr>
          <w:sz w:val="22"/>
          <w:szCs w:val="22"/>
          <w:lang w:val="en-GB"/>
        </w:rPr>
      </w:pPr>
      <w:r w:rsidRPr="00860FD1">
        <w:rPr>
          <w:sz w:val="22"/>
          <w:szCs w:val="22"/>
          <w:lang w:val="en-GB"/>
        </w:rPr>
        <w:lastRenderedPageBreak/>
        <w:t xml:space="preserve">The </w:t>
      </w:r>
      <w:r w:rsidRPr="00860FD1">
        <w:rPr>
          <w:bCs/>
          <w:sz w:val="22"/>
          <w:szCs w:val="22"/>
          <w:lang w:val="en-GB"/>
        </w:rPr>
        <w:t>days in inventory</w:t>
      </w:r>
      <w:r w:rsidRPr="00860FD1">
        <w:rPr>
          <w:sz w:val="22"/>
          <w:szCs w:val="22"/>
          <w:lang w:val="en-GB"/>
        </w:rPr>
        <w:t xml:space="preserve"> ratio measures the average age of the inventory—the average number of </w:t>
      </w:r>
      <w:proofErr w:type="gramStart"/>
      <w:r w:rsidRPr="00860FD1">
        <w:rPr>
          <w:sz w:val="22"/>
          <w:szCs w:val="22"/>
          <w:lang w:val="en-GB"/>
        </w:rPr>
        <w:t>days</w:t>
      </w:r>
      <w:proofErr w:type="gramEnd"/>
      <w:r w:rsidRPr="00860FD1">
        <w:rPr>
          <w:sz w:val="22"/>
          <w:szCs w:val="22"/>
          <w:lang w:val="en-GB"/>
        </w:rPr>
        <w:t xml:space="preserve"> products remain in inventory, measured from the time the company produces or purchases the product to the time the product is sold to customers. </w:t>
      </w:r>
    </w:p>
    <w:p w14:paraId="52B063FE" w14:textId="77777777" w:rsidR="00860FD1" w:rsidRPr="00860FD1" w:rsidRDefault="00860FD1" w:rsidP="00860FD1">
      <w:pPr>
        <w:jc w:val="both"/>
        <w:rPr>
          <w:sz w:val="22"/>
          <w:szCs w:val="22"/>
          <w:lang w:val="en-GB"/>
        </w:rPr>
      </w:pPr>
    </w:p>
    <w:p w14:paraId="53F8E05D" w14:textId="77777777" w:rsidR="00860FD1" w:rsidRPr="00860FD1" w:rsidRDefault="00860FD1" w:rsidP="00860FD1">
      <w:pPr>
        <w:jc w:val="both"/>
        <w:rPr>
          <w:sz w:val="22"/>
          <w:szCs w:val="22"/>
          <w:lang w:val="en-GB"/>
        </w:rPr>
      </w:pPr>
      <w:r w:rsidRPr="00860FD1">
        <w:rPr>
          <w:sz w:val="22"/>
          <w:szCs w:val="22"/>
          <w:lang w:val="en-GB"/>
        </w:rPr>
        <w:t>Days in inventory is an easier ratio to interpret than inventory turnover, but calculating days in inventory relies on first computing inventory turnover.</w:t>
      </w:r>
    </w:p>
    <w:p w14:paraId="0DC42881" w14:textId="77777777" w:rsidR="00860FD1" w:rsidRPr="00860FD1" w:rsidRDefault="00860FD1" w:rsidP="00860FD1">
      <w:pPr>
        <w:jc w:val="both"/>
        <w:rPr>
          <w:sz w:val="22"/>
          <w:szCs w:val="22"/>
          <w:lang w:val="en-GB"/>
        </w:rPr>
      </w:pPr>
    </w:p>
    <w:p w14:paraId="395292BD" w14:textId="77777777" w:rsidR="00860FD1" w:rsidRPr="00860FD1" w:rsidRDefault="00860FD1" w:rsidP="00860FD1">
      <w:pPr>
        <w:jc w:val="both"/>
        <w:rPr>
          <w:sz w:val="22"/>
          <w:szCs w:val="22"/>
          <w:lang w:val="en-GB"/>
        </w:rPr>
      </w:pPr>
    </w:p>
    <w:p w14:paraId="2FD42724" w14:textId="1C3C73F2" w:rsidR="00860FD1" w:rsidRPr="00860FD1" w:rsidRDefault="00860FD1" w:rsidP="005711AE">
      <w:pPr>
        <w:pStyle w:val="Casehead3"/>
        <w:numPr>
          <w:ilvl w:val="2"/>
          <w:numId w:val="8"/>
        </w:numPr>
        <w:rPr>
          <w:lang w:val="en-GB"/>
        </w:rPr>
      </w:pPr>
      <w:r w:rsidRPr="00AE7F34">
        <w:rPr>
          <w:lang w:val="en-GB"/>
        </w:rPr>
        <w:t>Receivables Turnover</w:t>
      </w:r>
    </w:p>
    <w:p w14:paraId="78EE58AE" w14:textId="77777777" w:rsidR="00860FD1" w:rsidRPr="00860FD1" w:rsidRDefault="00860FD1" w:rsidP="00860FD1">
      <w:pPr>
        <w:jc w:val="both"/>
        <w:rPr>
          <w:sz w:val="22"/>
          <w:szCs w:val="24"/>
          <w:lang w:val="en-GB" w:eastAsia="en-CA"/>
        </w:rPr>
      </w:pPr>
    </w:p>
    <w:p w14:paraId="6ACD0BC9" w14:textId="77777777" w:rsidR="00860FD1" w:rsidRPr="00860FD1" w:rsidRDefault="00860FD1" w:rsidP="00860FD1">
      <w:pPr>
        <w:jc w:val="center"/>
        <w:rPr>
          <w:sz w:val="22"/>
          <w:szCs w:val="22"/>
          <w:lang w:val="en-GB" w:eastAsia="en-CA"/>
        </w:rPr>
      </w:pPr>
      <m:oMathPara>
        <m:oMath>
          <m:r>
            <w:rPr>
              <w:rFonts w:ascii="Cambria Math" w:hAnsi="Cambria Math"/>
              <w:sz w:val="22"/>
              <w:szCs w:val="24"/>
              <w:lang w:val="en-GB" w:eastAsia="en-CA"/>
            </w:rPr>
            <m:t xml:space="preserve">Receivables Turnover = </m:t>
          </m:r>
          <m:f>
            <m:fPr>
              <m:ctrlPr>
                <w:rPr>
                  <w:rFonts w:ascii="Cambria Math" w:hAnsi="Cambria Math"/>
                  <w:bCs/>
                  <w:i/>
                  <w:sz w:val="22"/>
                  <w:szCs w:val="24"/>
                  <w:lang w:val="en-GB" w:eastAsia="en-CA"/>
                </w:rPr>
              </m:ctrlPr>
            </m:fPr>
            <m:num>
              <m:r>
                <w:rPr>
                  <w:rFonts w:ascii="Cambria Math" w:hAnsi="Cambria Math"/>
                  <w:sz w:val="22"/>
                  <w:szCs w:val="24"/>
                  <w:lang w:val="en-GB" w:eastAsia="en-CA"/>
                </w:rPr>
                <m:t>Sales</m:t>
              </m:r>
            </m:num>
            <m:den>
              <m:r>
                <w:rPr>
                  <w:rFonts w:ascii="Cambria Math" w:hAnsi="Cambria Math"/>
                  <w:sz w:val="22"/>
                  <w:szCs w:val="24"/>
                  <w:lang w:val="en-GB" w:eastAsia="en-CA"/>
                </w:rPr>
                <m:t>Average Accounts Receivable</m:t>
              </m:r>
            </m:den>
          </m:f>
        </m:oMath>
      </m:oMathPara>
    </w:p>
    <w:p w14:paraId="02154055" w14:textId="77777777" w:rsidR="00F119A8" w:rsidRDefault="00F119A8" w:rsidP="00860FD1">
      <w:pPr>
        <w:jc w:val="center"/>
        <w:rPr>
          <w:sz w:val="22"/>
          <w:szCs w:val="24"/>
          <w:lang w:val="en-GB" w:eastAsia="en-CA"/>
        </w:rPr>
      </w:pPr>
    </w:p>
    <w:p w14:paraId="574A1288" w14:textId="71AA0CA4" w:rsidR="00860FD1" w:rsidRPr="00860FD1" w:rsidRDefault="00860FD1" w:rsidP="00860FD1">
      <w:pPr>
        <w:jc w:val="center"/>
        <w:rPr>
          <w:bCs/>
          <w:sz w:val="22"/>
          <w:szCs w:val="24"/>
          <w:lang w:val="en-GB" w:eastAsia="en-CA"/>
        </w:rPr>
      </w:pPr>
      <m:oMath>
        <m:r>
          <w:rPr>
            <w:rFonts w:ascii="Cambria Math" w:hAnsi="Cambria Math"/>
            <w:sz w:val="22"/>
            <w:szCs w:val="24"/>
            <w:lang w:val="en-GB" w:eastAsia="en-CA"/>
          </w:rPr>
          <m:t xml:space="preserve">Average Collection Period = </m:t>
        </m:r>
        <m:f>
          <m:fPr>
            <m:ctrlPr>
              <w:rPr>
                <w:rFonts w:ascii="Cambria Math" w:hAnsi="Cambria Math"/>
                <w:bCs/>
                <w:i/>
                <w:sz w:val="22"/>
                <w:szCs w:val="24"/>
                <w:lang w:val="en-GB" w:eastAsia="en-CA"/>
              </w:rPr>
            </m:ctrlPr>
          </m:fPr>
          <m:num>
            <m:r>
              <w:rPr>
                <w:rFonts w:ascii="Cambria Math" w:hAnsi="Cambria Math"/>
                <w:sz w:val="22"/>
                <w:szCs w:val="24"/>
                <w:lang w:val="en-GB" w:eastAsia="en-CA"/>
              </w:rPr>
              <m:t>365</m:t>
            </m:r>
          </m:num>
          <m:den>
            <m:r>
              <w:rPr>
                <w:rFonts w:ascii="Cambria Math" w:hAnsi="Cambria Math"/>
                <w:sz w:val="22"/>
                <w:szCs w:val="24"/>
                <w:lang w:val="en-GB" w:eastAsia="en-CA"/>
              </w:rPr>
              <m:t xml:space="preserve">Receivables Turnover </m:t>
            </m:r>
          </m:den>
        </m:f>
      </m:oMath>
      <w:r w:rsidRPr="00860FD1">
        <w:rPr>
          <w:bCs/>
          <w:sz w:val="22"/>
          <w:szCs w:val="24"/>
          <w:lang w:val="en-GB" w:eastAsia="en-CA"/>
        </w:rPr>
        <w:t xml:space="preserve"> </w:t>
      </w:r>
    </w:p>
    <w:p w14:paraId="4FB5D6A1" w14:textId="77777777" w:rsidR="00860FD1" w:rsidRPr="00860FD1" w:rsidRDefault="00860FD1" w:rsidP="00860FD1">
      <w:pPr>
        <w:pStyle w:val="BodyTextMain"/>
        <w:rPr>
          <w:lang w:val="en-GB" w:eastAsia="en-CA"/>
        </w:rPr>
      </w:pPr>
    </w:p>
    <w:p w14:paraId="0DF7B58F" w14:textId="7F1501B8" w:rsidR="00860FD1" w:rsidRPr="00860FD1" w:rsidRDefault="00860FD1" w:rsidP="00860FD1">
      <w:pPr>
        <w:jc w:val="both"/>
        <w:rPr>
          <w:sz w:val="22"/>
          <w:szCs w:val="22"/>
          <w:lang w:val="en-GB"/>
        </w:rPr>
      </w:pPr>
      <w:r w:rsidRPr="00860FD1">
        <w:rPr>
          <w:sz w:val="22"/>
          <w:szCs w:val="22"/>
          <w:lang w:val="en-GB"/>
        </w:rPr>
        <w:t xml:space="preserve">The </w:t>
      </w:r>
      <w:r w:rsidRPr="00860FD1">
        <w:rPr>
          <w:bCs/>
          <w:sz w:val="22"/>
          <w:szCs w:val="22"/>
          <w:lang w:val="en-GB"/>
        </w:rPr>
        <w:t>receivables turnover</w:t>
      </w:r>
      <w:r w:rsidRPr="00860FD1">
        <w:rPr>
          <w:sz w:val="22"/>
          <w:szCs w:val="22"/>
          <w:lang w:val="en-GB"/>
        </w:rPr>
        <w:t xml:space="preserve"> ratio measures the number of times, on average, that receivables</w:t>
      </w:r>
      <w:r w:rsidR="006778D0">
        <w:rPr>
          <w:sz w:val="22"/>
          <w:szCs w:val="22"/>
          <w:lang w:val="en-GB"/>
        </w:rPr>
        <w:t xml:space="preserve"> are collected during the year.</w:t>
      </w:r>
    </w:p>
    <w:p w14:paraId="72FCE4F8" w14:textId="77777777" w:rsidR="00860FD1" w:rsidRPr="00860FD1" w:rsidRDefault="00860FD1" w:rsidP="00860FD1">
      <w:pPr>
        <w:jc w:val="both"/>
        <w:rPr>
          <w:sz w:val="22"/>
          <w:szCs w:val="22"/>
          <w:lang w:val="en-GB"/>
        </w:rPr>
      </w:pPr>
    </w:p>
    <w:p w14:paraId="6AE8FCDF" w14:textId="69B004EC" w:rsidR="00860FD1" w:rsidRPr="00860FD1" w:rsidRDefault="00860FD1" w:rsidP="00860FD1">
      <w:pPr>
        <w:jc w:val="both"/>
        <w:rPr>
          <w:sz w:val="22"/>
          <w:szCs w:val="22"/>
          <w:lang w:val="en-GB"/>
        </w:rPr>
      </w:pPr>
      <w:r w:rsidRPr="00860FD1">
        <w:rPr>
          <w:sz w:val="22"/>
          <w:szCs w:val="22"/>
          <w:lang w:val="en-GB"/>
        </w:rPr>
        <w:t xml:space="preserve">The average </w:t>
      </w:r>
      <w:r w:rsidRPr="00860FD1">
        <w:rPr>
          <w:bCs/>
          <w:sz w:val="22"/>
          <w:szCs w:val="22"/>
          <w:lang w:val="en-GB"/>
        </w:rPr>
        <w:t>collection period</w:t>
      </w:r>
      <w:r w:rsidRPr="00860FD1">
        <w:rPr>
          <w:sz w:val="22"/>
          <w:szCs w:val="22"/>
          <w:lang w:val="en-GB"/>
        </w:rPr>
        <w:t xml:space="preserve"> shows the average number of days it takes a business to collect accounts receivables from customers. The average collection period should be evaluated in relation to the business’s credit terms; for many businesses, a</w:t>
      </w:r>
      <w:r w:rsidR="006778D0">
        <w:rPr>
          <w:sz w:val="22"/>
          <w:szCs w:val="22"/>
          <w:lang w:val="en-GB"/>
        </w:rPr>
        <w:t>ccounts are due within 30 days.</w:t>
      </w:r>
    </w:p>
    <w:p w14:paraId="0739DDBE" w14:textId="77777777" w:rsidR="00860FD1" w:rsidRPr="00860FD1" w:rsidRDefault="00860FD1" w:rsidP="00860FD1">
      <w:pPr>
        <w:jc w:val="both"/>
        <w:rPr>
          <w:sz w:val="22"/>
          <w:szCs w:val="22"/>
          <w:lang w:val="en-GB"/>
        </w:rPr>
      </w:pPr>
    </w:p>
    <w:p w14:paraId="51FC76B2" w14:textId="08BF5886" w:rsidR="00860FD1" w:rsidRPr="00860FD1" w:rsidRDefault="00860FD1" w:rsidP="00860FD1">
      <w:pPr>
        <w:jc w:val="both"/>
        <w:rPr>
          <w:sz w:val="22"/>
          <w:szCs w:val="22"/>
          <w:lang w:val="en-GB"/>
        </w:rPr>
      </w:pPr>
      <w:r w:rsidRPr="00860FD1">
        <w:rPr>
          <w:sz w:val="22"/>
          <w:szCs w:val="22"/>
          <w:lang w:val="en-GB"/>
        </w:rPr>
        <w:t>The average collection period is the easier of the two ratios to interpret, but it cannot be calculated without first comp</w:t>
      </w:r>
      <w:r w:rsidR="006778D0">
        <w:rPr>
          <w:sz w:val="22"/>
          <w:szCs w:val="22"/>
          <w:lang w:val="en-GB"/>
        </w:rPr>
        <w:t>uting the receivables turnover.</w:t>
      </w:r>
    </w:p>
    <w:p w14:paraId="5D627F1A" w14:textId="77777777" w:rsidR="00860FD1" w:rsidRDefault="00860FD1" w:rsidP="00860FD1">
      <w:pPr>
        <w:jc w:val="both"/>
        <w:rPr>
          <w:sz w:val="22"/>
          <w:szCs w:val="22"/>
          <w:lang w:val="en-GB"/>
        </w:rPr>
      </w:pPr>
    </w:p>
    <w:p w14:paraId="1BFCCD16" w14:textId="77777777" w:rsidR="00336EBF" w:rsidRPr="00860FD1" w:rsidRDefault="00336EBF" w:rsidP="00860FD1">
      <w:pPr>
        <w:jc w:val="both"/>
        <w:rPr>
          <w:sz w:val="22"/>
          <w:szCs w:val="22"/>
          <w:lang w:val="en-GB"/>
        </w:rPr>
      </w:pPr>
    </w:p>
    <w:p w14:paraId="26B2ECA0" w14:textId="4D518AF3" w:rsidR="00860FD1" w:rsidRPr="00860FD1" w:rsidRDefault="00860FD1" w:rsidP="005711AE">
      <w:pPr>
        <w:pStyle w:val="Casehead3"/>
        <w:keepNext/>
        <w:numPr>
          <w:ilvl w:val="2"/>
          <w:numId w:val="8"/>
        </w:numPr>
        <w:rPr>
          <w:lang w:val="en-GB"/>
        </w:rPr>
      </w:pPr>
      <w:r w:rsidRPr="00AE7F34">
        <w:rPr>
          <w:lang w:val="en-GB"/>
        </w:rPr>
        <w:t>Return on Equity</w:t>
      </w:r>
    </w:p>
    <w:p w14:paraId="392C8A58" w14:textId="77777777" w:rsidR="00860FD1" w:rsidRPr="00860FD1" w:rsidRDefault="00860FD1" w:rsidP="003772D1">
      <w:pPr>
        <w:keepNext/>
        <w:jc w:val="both"/>
        <w:rPr>
          <w:sz w:val="22"/>
          <w:szCs w:val="22"/>
          <w:lang w:val="en-GB"/>
        </w:rPr>
      </w:pPr>
    </w:p>
    <w:p w14:paraId="7CC43219" w14:textId="77777777" w:rsidR="00860FD1" w:rsidRPr="00860FD1" w:rsidRDefault="00860FD1" w:rsidP="003772D1">
      <w:pPr>
        <w:keepNext/>
        <w:jc w:val="center"/>
        <w:rPr>
          <w:bCs/>
          <w:sz w:val="22"/>
          <w:szCs w:val="22"/>
          <w:lang w:val="en-GB"/>
        </w:rPr>
      </w:pPr>
      <m:oMathPara>
        <m:oMath>
          <m:r>
            <w:rPr>
              <w:rFonts w:ascii="Cambria Math" w:hAnsi="Cambria Math"/>
              <w:sz w:val="22"/>
              <w:szCs w:val="22"/>
              <w:lang w:val="en-GB"/>
            </w:rPr>
            <m:t xml:space="preserve">Return on Equity = </m:t>
          </m:r>
          <m:f>
            <m:fPr>
              <m:ctrlPr>
                <w:rPr>
                  <w:rFonts w:ascii="Cambria Math" w:hAnsi="Cambria Math"/>
                  <w:bCs/>
                  <w:i/>
                  <w:sz w:val="22"/>
                  <w:szCs w:val="22"/>
                  <w:lang w:val="en-GB"/>
                </w:rPr>
              </m:ctrlPr>
            </m:fPr>
            <m:num>
              <m:r>
                <w:rPr>
                  <w:rFonts w:ascii="Cambria Math" w:hAnsi="Cambria Math"/>
                  <w:sz w:val="22"/>
                  <w:szCs w:val="22"/>
                  <w:lang w:val="en-GB"/>
                </w:rPr>
                <m:t>Net Income-Preferred Dividends</m:t>
              </m:r>
            </m:num>
            <m:den>
              <m:r>
                <w:rPr>
                  <w:rFonts w:ascii="Cambria Math" w:hAnsi="Cambria Math"/>
                  <w:sz w:val="22"/>
                  <w:szCs w:val="22"/>
                  <w:lang w:val="en-GB"/>
                </w:rPr>
                <m:t>Average Common Shareholder</m:t>
              </m:r>
              <m:sSup>
                <m:sSupPr>
                  <m:ctrlPr>
                    <w:rPr>
                      <w:rFonts w:ascii="Cambria Math" w:hAnsi="Cambria Math"/>
                      <w:bCs/>
                      <w:i/>
                      <w:sz w:val="22"/>
                      <w:szCs w:val="22"/>
                      <w:lang w:val="en-GB"/>
                    </w:rPr>
                  </m:ctrlPr>
                </m:sSupPr>
                <m:e>
                  <m:r>
                    <w:rPr>
                      <w:rFonts w:ascii="Cambria Math" w:hAnsi="Cambria Math"/>
                      <w:sz w:val="22"/>
                      <w:szCs w:val="22"/>
                      <w:lang w:val="en-GB"/>
                    </w:rPr>
                    <m:t>s</m:t>
                  </m:r>
                </m:e>
                <m:sup>
                  <m:r>
                    <w:rPr>
                      <w:rFonts w:ascii="Cambria Math" w:hAnsi="Cambria Math"/>
                      <w:sz w:val="22"/>
                      <w:szCs w:val="22"/>
                      <w:lang w:val="en-GB"/>
                    </w:rPr>
                    <m:t>'</m:t>
                  </m:r>
                </m:sup>
              </m:sSup>
              <m:r>
                <w:rPr>
                  <w:rFonts w:ascii="Cambria Math" w:hAnsi="Cambria Math"/>
                  <w:sz w:val="22"/>
                  <w:szCs w:val="22"/>
                  <w:lang w:val="en-GB"/>
                </w:rPr>
                <m:t>Equity</m:t>
              </m:r>
            </m:den>
          </m:f>
        </m:oMath>
      </m:oMathPara>
    </w:p>
    <w:p w14:paraId="0DC2EB03" w14:textId="77777777" w:rsidR="00860FD1" w:rsidRPr="00860FD1" w:rsidRDefault="00860FD1" w:rsidP="00860FD1">
      <w:pPr>
        <w:pStyle w:val="BodyTextMain"/>
        <w:rPr>
          <w:lang w:val="en-GB"/>
        </w:rPr>
      </w:pPr>
    </w:p>
    <w:p w14:paraId="09BE845F" w14:textId="77777777" w:rsidR="00860FD1" w:rsidRPr="00860FD1" w:rsidRDefault="00860FD1" w:rsidP="00860FD1">
      <w:pPr>
        <w:jc w:val="both"/>
        <w:rPr>
          <w:sz w:val="22"/>
          <w:szCs w:val="22"/>
          <w:lang w:val="en-GB"/>
        </w:rPr>
      </w:pPr>
      <m:oMathPara>
        <m:oMath>
          <m:r>
            <w:rPr>
              <w:rFonts w:ascii="Cambria Math" w:hAnsi="Cambria Math"/>
              <w:sz w:val="22"/>
              <w:szCs w:val="22"/>
              <w:lang w:val="en-GB"/>
            </w:rPr>
            <m:t>=</m:t>
          </m:r>
          <m:f>
            <m:fPr>
              <m:ctrlPr>
                <w:rPr>
                  <w:rFonts w:ascii="Cambria Math" w:hAnsi="Cambria Math"/>
                  <w:i/>
                  <w:sz w:val="22"/>
                  <w:szCs w:val="22"/>
                  <w:lang w:val="en-GB"/>
                </w:rPr>
              </m:ctrlPr>
            </m:fPr>
            <m:num>
              <m:r>
                <w:rPr>
                  <w:rFonts w:ascii="Cambria Math" w:hAnsi="Cambria Math"/>
                  <w:sz w:val="22"/>
                  <w:szCs w:val="22"/>
                  <w:lang w:val="en-GB"/>
                </w:rPr>
                <m:t>Income Available to Common Shareholders</m:t>
              </m:r>
            </m:num>
            <m:den>
              <m:r>
                <w:rPr>
                  <w:rFonts w:ascii="Cambria Math" w:hAnsi="Cambria Math"/>
                  <w:sz w:val="22"/>
                  <w:szCs w:val="22"/>
                  <w:lang w:val="en-GB"/>
                </w:rPr>
                <m:t>Average Common Shareholder</m:t>
              </m:r>
              <m:sSup>
                <m:sSupPr>
                  <m:ctrlPr>
                    <w:rPr>
                      <w:rFonts w:ascii="Cambria Math" w:hAnsi="Cambria Math"/>
                      <w:i/>
                      <w:sz w:val="22"/>
                      <w:szCs w:val="22"/>
                      <w:lang w:val="en-GB"/>
                    </w:rPr>
                  </m:ctrlPr>
                </m:sSupPr>
                <m:e>
                  <m:r>
                    <w:rPr>
                      <w:rFonts w:ascii="Cambria Math" w:hAnsi="Cambria Math"/>
                      <w:sz w:val="22"/>
                      <w:szCs w:val="22"/>
                      <w:lang w:val="en-GB"/>
                    </w:rPr>
                    <m:t>s</m:t>
                  </m:r>
                </m:e>
                <m:sup>
                  <m:r>
                    <w:rPr>
                      <w:rFonts w:ascii="Cambria Math" w:hAnsi="Cambria Math"/>
                      <w:sz w:val="22"/>
                      <w:szCs w:val="22"/>
                      <w:lang w:val="en-GB"/>
                    </w:rPr>
                    <m:t>'</m:t>
                  </m:r>
                </m:sup>
              </m:sSup>
              <m:r>
                <w:rPr>
                  <w:rFonts w:ascii="Cambria Math" w:hAnsi="Cambria Math"/>
                  <w:sz w:val="22"/>
                  <w:szCs w:val="22"/>
                  <w:lang w:val="en-GB"/>
                </w:rPr>
                <m:t>Equity</m:t>
              </m:r>
            </m:den>
          </m:f>
        </m:oMath>
      </m:oMathPara>
    </w:p>
    <w:p w14:paraId="6CE8DF6A" w14:textId="77777777" w:rsidR="00860FD1" w:rsidRPr="00860FD1" w:rsidRDefault="00860FD1" w:rsidP="00860FD1">
      <w:pPr>
        <w:jc w:val="both"/>
        <w:rPr>
          <w:sz w:val="22"/>
          <w:szCs w:val="22"/>
          <w:lang w:val="en-GB"/>
        </w:rPr>
      </w:pPr>
    </w:p>
    <w:p w14:paraId="3CCFDA79" w14:textId="77777777" w:rsidR="00860FD1" w:rsidRPr="00860FD1" w:rsidRDefault="00860FD1" w:rsidP="00860FD1">
      <w:pPr>
        <w:jc w:val="both"/>
        <w:rPr>
          <w:sz w:val="22"/>
          <w:szCs w:val="22"/>
          <w:lang w:val="en-GB"/>
        </w:rPr>
      </w:pPr>
    </w:p>
    <w:p w14:paraId="0CFD1C44" w14:textId="593BC52F" w:rsidR="00860FD1" w:rsidRPr="00860FD1" w:rsidRDefault="00860FD1" w:rsidP="00860FD1">
      <w:pPr>
        <w:jc w:val="both"/>
        <w:rPr>
          <w:sz w:val="22"/>
          <w:szCs w:val="22"/>
          <w:lang w:val="en-GB"/>
        </w:rPr>
      </w:pPr>
      <w:r w:rsidRPr="00860FD1">
        <w:rPr>
          <w:sz w:val="22"/>
          <w:szCs w:val="22"/>
          <w:lang w:val="en-GB"/>
        </w:rPr>
        <w:t>Return on equity (ROE) is the second main ratio that helps to assess the profitability of a business. It measures the return on shareholders’ equity—the profit relative to the investment of common shareholders (the true owners of the corporation). Because preferred dividends are reserved for and are paid out to preferred shareholders, they do not belong to the common shareholders and are subtracted from</w:t>
      </w:r>
      <w:r w:rsidR="006778D0">
        <w:rPr>
          <w:sz w:val="22"/>
          <w:szCs w:val="22"/>
          <w:lang w:val="en-GB"/>
        </w:rPr>
        <w:t xml:space="preserve"> income before calculating ROE.</w:t>
      </w:r>
    </w:p>
    <w:p w14:paraId="65321B0B" w14:textId="77777777" w:rsidR="00860FD1" w:rsidRPr="00860FD1" w:rsidRDefault="00860FD1" w:rsidP="00860FD1">
      <w:pPr>
        <w:jc w:val="both"/>
        <w:rPr>
          <w:sz w:val="22"/>
          <w:szCs w:val="22"/>
          <w:lang w:val="en-GB"/>
        </w:rPr>
      </w:pPr>
    </w:p>
    <w:p w14:paraId="4E4453A1" w14:textId="374A9B4D" w:rsidR="00860FD1" w:rsidRPr="00860FD1" w:rsidRDefault="00860FD1" w:rsidP="00860FD1">
      <w:pPr>
        <w:jc w:val="both"/>
        <w:rPr>
          <w:sz w:val="22"/>
          <w:szCs w:val="22"/>
          <w:lang w:val="en-GB"/>
        </w:rPr>
      </w:pPr>
      <w:r w:rsidRPr="00860FD1">
        <w:rPr>
          <w:sz w:val="22"/>
          <w:szCs w:val="22"/>
          <w:lang w:val="en-GB"/>
        </w:rPr>
        <w:t>A ratio of 17 per cent indicates that for every dollar invested by common shareholders, the corporation earns 17 cents in profit. ROE is affected by two factors: ROA and debt to total assets. Thus, to improve its ROE, a firm can improve its ROA, increase its use of debt financing (known as increasing the use of leverage), or both.</w:t>
      </w:r>
      <w:r w:rsidR="000451EB">
        <w:rPr>
          <w:sz w:val="22"/>
          <w:szCs w:val="22"/>
          <w:lang w:val="en-GB"/>
        </w:rPr>
        <w:t xml:space="preserve"> However, more reliance on debt financing also increases the risk that the organization will be unable to make interest and principal repayments.</w:t>
      </w:r>
    </w:p>
    <w:p w14:paraId="2E493123" w14:textId="77777777" w:rsidR="00860FD1" w:rsidRPr="00860FD1" w:rsidRDefault="00860FD1" w:rsidP="00860FD1">
      <w:pPr>
        <w:jc w:val="both"/>
        <w:rPr>
          <w:sz w:val="22"/>
          <w:szCs w:val="22"/>
          <w:lang w:val="en-GB"/>
        </w:rPr>
      </w:pPr>
    </w:p>
    <w:p w14:paraId="48EEE9E6" w14:textId="77777777" w:rsidR="00860FD1" w:rsidRPr="00860FD1" w:rsidRDefault="00860FD1" w:rsidP="00860FD1">
      <w:pPr>
        <w:jc w:val="both"/>
        <w:rPr>
          <w:sz w:val="22"/>
          <w:szCs w:val="22"/>
          <w:lang w:val="en-GB"/>
        </w:rPr>
      </w:pPr>
    </w:p>
    <w:p w14:paraId="109002C3" w14:textId="26BDFBE3" w:rsidR="00860FD1" w:rsidRPr="00860FD1" w:rsidRDefault="00860FD1" w:rsidP="006778D0">
      <w:pPr>
        <w:pStyle w:val="Casehead3"/>
        <w:numPr>
          <w:ilvl w:val="2"/>
          <w:numId w:val="8"/>
        </w:numPr>
        <w:rPr>
          <w:lang w:val="en-GB"/>
        </w:rPr>
      </w:pPr>
      <w:r w:rsidRPr="00AE7F34">
        <w:rPr>
          <w:lang w:val="en-GB"/>
        </w:rPr>
        <w:lastRenderedPageBreak/>
        <w:t>Earnings per Share</w:t>
      </w:r>
    </w:p>
    <w:p w14:paraId="7FC69D05" w14:textId="77777777" w:rsidR="00860FD1" w:rsidRPr="00860FD1" w:rsidRDefault="00860FD1" w:rsidP="00860FD1">
      <w:pPr>
        <w:jc w:val="both"/>
        <w:rPr>
          <w:sz w:val="22"/>
          <w:szCs w:val="24"/>
          <w:lang w:val="en-GB" w:eastAsia="en-CA"/>
        </w:rPr>
      </w:pPr>
    </w:p>
    <w:p w14:paraId="0182D323" w14:textId="77777777" w:rsidR="00860FD1" w:rsidRPr="00860FD1" w:rsidRDefault="00860FD1" w:rsidP="00860FD1">
      <w:pPr>
        <w:jc w:val="center"/>
        <w:rPr>
          <w:bCs/>
          <w:sz w:val="22"/>
          <w:szCs w:val="22"/>
          <w:lang w:val="en-GB"/>
        </w:rPr>
      </w:pPr>
      <m:oMathPara>
        <m:oMath>
          <m:r>
            <w:rPr>
              <w:rFonts w:ascii="Cambria Math" w:hAnsi="Cambria Math"/>
              <w:sz w:val="22"/>
              <w:szCs w:val="22"/>
              <w:lang w:val="en-GB"/>
            </w:rPr>
            <m:t>Earnings per Share=</m:t>
          </m:r>
          <m:f>
            <m:fPr>
              <m:ctrlPr>
                <w:rPr>
                  <w:rFonts w:ascii="Cambria Math" w:hAnsi="Cambria Math"/>
                  <w:bCs/>
                  <w:i/>
                  <w:sz w:val="22"/>
                  <w:szCs w:val="22"/>
                  <w:lang w:val="en-GB"/>
                </w:rPr>
              </m:ctrlPr>
            </m:fPr>
            <m:num>
              <m:r>
                <w:rPr>
                  <w:rFonts w:ascii="Cambria Math" w:hAnsi="Cambria Math"/>
                  <w:sz w:val="22"/>
                  <w:szCs w:val="22"/>
                  <w:lang w:val="en-GB"/>
                </w:rPr>
                <m:t>Net Income-Preferred Dividends</m:t>
              </m:r>
            </m:num>
            <m:den>
              <m:r>
                <w:rPr>
                  <w:rFonts w:ascii="Cambria Math" w:hAnsi="Cambria Math"/>
                  <w:sz w:val="22"/>
                  <w:szCs w:val="22"/>
                  <w:lang w:val="en-GB"/>
                </w:rPr>
                <m:t>Weighted Average Number of Common Shares</m:t>
              </m:r>
            </m:den>
          </m:f>
        </m:oMath>
      </m:oMathPara>
    </w:p>
    <w:p w14:paraId="12EAA52F" w14:textId="77777777" w:rsidR="00860FD1" w:rsidRPr="00860FD1" w:rsidRDefault="00860FD1" w:rsidP="00860FD1">
      <w:pPr>
        <w:pStyle w:val="BodyTextMain"/>
        <w:rPr>
          <w:lang w:val="en-GB"/>
        </w:rPr>
      </w:pPr>
    </w:p>
    <w:p w14:paraId="4ECFA9C8" w14:textId="77777777" w:rsidR="00860FD1" w:rsidRPr="00860FD1" w:rsidRDefault="00860FD1" w:rsidP="00860FD1">
      <w:pPr>
        <w:jc w:val="both"/>
        <w:rPr>
          <w:sz w:val="22"/>
          <w:szCs w:val="22"/>
          <w:lang w:val="en-GB"/>
        </w:rPr>
      </w:pPr>
      <m:oMathPara>
        <m:oMathParaPr>
          <m:jc m:val="center"/>
        </m:oMathParaPr>
        <m:oMath>
          <m:r>
            <w:rPr>
              <w:rFonts w:ascii="Cambria Math" w:hAnsi="Cambria Math"/>
              <w:sz w:val="22"/>
              <w:szCs w:val="22"/>
              <w:lang w:val="en-GB"/>
            </w:rPr>
            <m:t>=</m:t>
          </m:r>
          <m:f>
            <m:fPr>
              <m:ctrlPr>
                <w:rPr>
                  <w:rFonts w:ascii="Cambria Math" w:hAnsi="Cambria Math"/>
                  <w:i/>
                  <w:sz w:val="22"/>
                  <w:szCs w:val="22"/>
                  <w:lang w:val="en-GB"/>
                </w:rPr>
              </m:ctrlPr>
            </m:fPr>
            <m:num>
              <m:r>
                <w:rPr>
                  <w:rFonts w:ascii="Cambria Math" w:hAnsi="Cambria Math"/>
                  <w:sz w:val="22"/>
                  <w:szCs w:val="22"/>
                  <w:lang w:val="en-GB"/>
                </w:rPr>
                <m:t>Income Available to Common Shareholders</m:t>
              </m:r>
            </m:num>
            <m:den>
              <m:r>
                <w:rPr>
                  <w:rFonts w:ascii="Cambria Math" w:hAnsi="Cambria Math"/>
                  <w:sz w:val="22"/>
                  <w:szCs w:val="22"/>
                  <w:lang w:val="en-GB"/>
                </w:rPr>
                <m:t>Weighted Average Number of Common Shares</m:t>
              </m:r>
            </m:den>
          </m:f>
        </m:oMath>
      </m:oMathPara>
    </w:p>
    <w:p w14:paraId="0FB13B5B" w14:textId="77777777" w:rsidR="00860FD1" w:rsidRPr="00860FD1" w:rsidRDefault="00860FD1" w:rsidP="00860FD1">
      <w:pPr>
        <w:jc w:val="both"/>
        <w:rPr>
          <w:sz w:val="22"/>
          <w:szCs w:val="22"/>
          <w:lang w:val="en-GB"/>
        </w:rPr>
      </w:pPr>
    </w:p>
    <w:p w14:paraId="1D3EDE30" w14:textId="48884009" w:rsidR="00860FD1" w:rsidRPr="00860FD1" w:rsidRDefault="00860FD1" w:rsidP="00860FD1">
      <w:pPr>
        <w:jc w:val="both"/>
        <w:rPr>
          <w:sz w:val="22"/>
          <w:szCs w:val="22"/>
          <w:lang w:val="en-GB"/>
        </w:rPr>
      </w:pPr>
      <w:r w:rsidRPr="00860FD1">
        <w:rPr>
          <w:sz w:val="22"/>
          <w:szCs w:val="22"/>
          <w:lang w:val="en-GB"/>
        </w:rPr>
        <w:t xml:space="preserve">The third main measure of profitability is </w:t>
      </w:r>
      <w:r w:rsidRPr="00860FD1">
        <w:rPr>
          <w:bCs/>
          <w:sz w:val="22"/>
          <w:szCs w:val="22"/>
          <w:lang w:val="en-GB"/>
        </w:rPr>
        <w:t xml:space="preserve">earnings per share (EPS), </w:t>
      </w:r>
      <w:r w:rsidR="0007560B">
        <w:rPr>
          <w:bCs/>
          <w:sz w:val="22"/>
          <w:szCs w:val="22"/>
          <w:lang w:val="en-GB"/>
        </w:rPr>
        <w:t xml:space="preserve">which looks at profitability from the perspective of common shareholders, who are the residual owners of the corporation. It </w:t>
      </w:r>
      <w:r w:rsidR="00EE09B9">
        <w:rPr>
          <w:sz w:val="22"/>
          <w:szCs w:val="22"/>
          <w:lang w:val="en-GB"/>
        </w:rPr>
        <w:t>expresses</w:t>
      </w:r>
      <w:r w:rsidR="00EE09B9" w:rsidRPr="00860FD1">
        <w:rPr>
          <w:sz w:val="22"/>
          <w:szCs w:val="22"/>
          <w:lang w:val="en-GB"/>
        </w:rPr>
        <w:t xml:space="preserve"> </w:t>
      </w:r>
      <w:r w:rsidRPr="00860FD1">
        <w:rPr>
          <w:sz w:val="22"/>
          <w:szCs w:val="22"/>
          <w:lang w:val="en-GB"/>
        </w:rPr>
        <w:t xml:space="preserve">net income </w:t>
      </w:r>
      <w:r w:rsidR="00EE09B9">
        <w:rPr>
          <w:sz w:val="22"/>
          <w:szCs w:val="22"/>
          <w:lang w:val="en-GB"/>
        </w:rPr>
        <w:t>on a per share basis</w:t>
      </w:r>
      <w:r w:rsidRPr="00860FD1">
        <w:rPr>
          <w:sz w:val="22"/>
          <w:szCs w:val="22"/>
          <w:lang w:val="en-GB"/>
        </w:rPr>
        <w:t>. EPS is widely used to compare profitability from one year to the next or to compare actual profitability against expected profitability. The calculation looks simple, but several accounting rules are applied to determine both the numerator (the income available to common shareholders) and the denominator (the weighted average number of common shares).</w:t>
      </w:r>
    </w:p>
    <w:p w14:paraId="0FDE9FE5" w14:textId="77777777" w:rsidR="00860FD1" w:rsidRPr="00860FD1" w:rsidRDefault="00860FD1" w:rsidP="00860FD1">
      <w:pPr>
        <w:jc w:val="both"/>
        <w:rPr>
          <w:sz w:val="22"/>
          <w:szCs w:val="22"/>
          <w:lang w:val="en-GB"/>
        </w:rPr>
      </w:pPr>
    </w:p>
    <w:p w14:paraId="6AA8E077" w14:textId="52AA2600" w:rsidR="00860FD1" w:rsidRPr="00336EBF" w:rsidRDefault="00860FD1" w:rsidP="00860FD1">
      <w:pPr>
        <w:jc w:val="both"/>
        <w:rPr>
          <w:spacing w:val="-4"/>
          <w:kern w:val="22"/>
          <w:sz w:val="22"/>
          <w:szCs w:val="22"/>
          <w:lang w:val="en-GB"/>
        </w:rPr>
      </w:pPr>
      <w:r w:rsidRPr="00336EBF">
        <w:rPr>
          <w:spacing w:val="-4"/>
          <w:kern w:val="22"/>
          <w:sz w:val="22"/>
          <w:szCs w:val="22"/>
          <w:lang w:val="en-GB"/>
        </w:rPr>
        <w:t xml:space="preserve">EPS is the only ratio that public companies are required to publish in their financial statements. Announcements of expected or actual EPS can cause stock prices to fluctuate, as the market reacts to the company’s initial projections and its subsequent performance against those goals. However, because companies each have widely varying numbers of common shares, EPS </w:t>
      </w:r>
      <w:r w:rsidR="00EE09B9" w:rsidRPr="00336EBF">
        <w:rPr>
          <w:spacing w:val="-4"/>
          <w:kern w:val="22"/>
          <w:sz w:val="22"/>
          <w:szCs w:val="22"/>
          <w:lang w:val="en-GB"/>
        </w:rPr>
        <w:t>cannot be used for intercompany comparisons</w:t>
      </w:r>
      <w:r w:rsidRPr="00336EBF">
        <w:rPr>
          <w:spacing w:val="-4"/>
          <w:kern w:val="22"/>
          <w:sz w:val="22"/>
          <w:szCs w:val="22"/>
          <w:lang w:val="en-GB"/>
        </w:rPr>
        <w:t xml:space="preserve">. </w:t>
      </w:r>
    </w:p>
    <w:p w14:paraId="6BB831FC" w14:textId="77777777" w:rsidR="00860FD1" w:rsidRPr="00860FD1" w:rsidRDefault="00860FD1" w:rsidP="00860FD1">
      <w:pPr>
        <w:jc w:val="both"/>
        <w:rPr>
          <w:sz w:val="22"/>
          <w:szCs w:val="22"/>
          <w:lang w:val="en-GB"/>
        </w:rPr>
      </w:pPr>
    </w:p>
    <w:p w14:paraId="14627AF3" w14:textId="77777777" w:rsidR="00860FD1" w:rsidRPr="00860FD1" w:rsidRDefault="00860FD1" w:rsidP="00860FD1">
      <w:pPr>
        <w:jc w:val="both"/>
        <w:rPr>
          <w:sz w:val="22"/>
          <w:szCs w:val="22"/>
          <w:lang w:val="en-GB"/>
        </w:rPr>
      </w:pPr>
    </w:p>
    <w:p w14:paraId="21136D0F" w14:textId="2F6F7AD9" w:rsidR="00860FD1" w:rsidRPr="00860FD1" w:rsidRDefault="00860FD1" w:rsidP="006778D0">
      <w:pPr>
        <w:pStyle w:val="Casehead3"/>
        <w:numPr>
          <w:ilvl w:val="2"/>
          <w:numId w:val="8"/>
        </w:numPr>
        <w:rPr>
          <w:lang w:val="en-GB"/>
        </w:rPr>
      </w:pPr>
      <w:r w:rsidRPr="00AE7F34">
        <w:rPr>
          <w:lang w:val="en-GB"/>
        </w:rPr>
        <w:t>Price-Earnings Ratio</w:t>
      </w:r>
    </w:p>
    <w:p w14:paraId="014B9572" w14:textId="77777777" w:rsidR="00860FD1" w:rsidRPr="00860FD1" w:rsidRDefault="00860FD1" w:rsidP="00860FD1">
      <w:pPr>
        <w:jc w:val="both"/>
        <w:rPr>
          <w:b/>
          <w:bCs/>
          <w:color w:val="FFFFFF"/>
          <w:sz w:val="22"/>
          <w:szCs w:val="22"/>
          <w:highlight w:val="blue"/>
          <w:lang w:val="en-GB"/>
        </w:rPr>
      </w:pPr>
    </w:p>
    <w:p w14:paraId="4BB0E458" w14:textId="77777777" w:rsidR="00860FD1" w:rsidRPr="00860FD1" w:rsidRDefault="00860FD1" w:rsidP="00860FD1">
      <w:pPr>
        <w:jc w:val="center"/>
        <w:rPr>
          <w:bCs/>
          <w:sz w:val="22"/>
          <w:szCs w:val="22"/>
          <w:lang w:val="en-GB"/>
        </w:rPr>
      </w:pPr>
      <m:oMathPara>
        <m:oMath>
          <m:r>
            <w:rPr>
              <w:rFonts w:ascii="Cambria Math" w:hAnsi="Cambria Math"/>
              <w:sz w:val="22"/>
              <w:szCs w:val="22"/>
              <w:lang w:val="en-GB"/>
            </w:rPr>
            <m:t>Price</m:t>
          </m:r>
          <m:r>
            <m:rPr>
              <m:nor/>
            </m:rPr>
            <w:rPr>
              <w:rFonts w:ascii="Cambria Math" w:hAnsi="Cambria Math"/>
              <w:bCs/>
              <w:sz w:val="22"/>
              <w:szCs w:val="22"/>
              <w:lang w:val="en-GB"/>
            </w:rPr>
            <m:t>-</m:t>
          </m:r>
          <m:r>
            <w:rPr>
              <w:rFonts w:ascii="Cambria Math" w:hAnsi="Cambria Math"/>
              <w:sz w:val="22"/>
              <w:szCs w:val="22"/>
              <w:lang w:val="en-GB"/>
            </w:rPr>
            <m:t>Earnings Ratio=</m:t>
          </m:r>
          <m:f>
            <m:fPr>
              <m:ctrlPr>
                <w:rPr>
                  <w:rFonts w:ascii="Cambria Math" w:hAnsi="Cambria Math"/>
                  <w:bCs/>
                  <w:i/>
                  <w:sz w:val="22"/>
                  <w:szCs w:val="22"/>
                  <w:lang w:val="en-GB"/>
                </w:rPr>
              </m:ctrlPr>
            </m:fPr>
            <m:num>
              <m:r>
                <w:rPr>
                  <w:rFonts w:ascii="Cambria Math" w:hAnsi="Cambria Math"/>
                  <w:sz w:val="22"/>
                  <w:szCs w:val="22"/>
                  <w:lang w:val="en-GB"/>
                </w:rPr>
                <m:t>Market Price per Share</m:t>
              </m:r>
            </m:num>
            <m:den>
              <m:r>
                <w:rPr>
                  <w:rFonts w:ascii="Cambria Math" w:hAnsi="Cambria Math"/>
                  <w:sz w:val="22"/>
                  <w:szCs w:val="22"/>
                  <w:lang w:val="en-GB"/>
                </w:rPr>
                <m:t>Earnings per Share</m:t>
              </m:r>
            </m:den>
          </m:f>
        </m:oMath>
      </m:oMathPara>
    </w:p>
    <w:p w14:paraId="5C34EB12" w14:textId="77777777" w:rsidR="00860FD1" w:rsidRPr="00860FD1" w:rsidRDefault="00860FD1" w:rsidP="00860FD1">
      <w:pPr>
        <w:pStyle w:val="BodyTextMain"/>
        <w:rPr>
          <w:lang w:val="en-GB"/>
        </w:rPr>
      </w:pPr>
    </w:p>
    <w:p w14:paraId="752AF471" w14:textId="3F30658B" w:rsidR="00860FD1" w:rsidRPr="00860FD1" w:rsidRDefault="00860FD1" w:rsidP="00860FD1">
      <w:pPr>
        <w:jc w:val="both"/>
        <w:rPr>
          <w:sz w:val="22"/>
          <w:szCs w:val="22"/>
          <w:lang w:val="en-GB"/>
        </w:rPr>
      </w:pPr>
      <w:r w:rsidRPr="00860FD1">
        <w:rPr>
          <w:sz w:val="22"/>
          <w:szCs w:val="22"/>
          <w:lang w:val="en-GB"/>
        </w:rPr>
        <w:t xml:space="preserve">The </w:t>
      </w:r>
      <w:r w:rsidRPr="00860FD1">
        <w:rPr>
          <w:bCs/>
          <w:sz w:val="22"/>
          <w:szCs w:val="22"/>
          <w:lang w:val="en-GB"/>
        </w:rPr>
        <w:t>price-earnings (P/E) ratio</w:t>
      </w:r>
      <w:r w:rsidRPr="00860FD1">
        <w:rPr>
          <w:sz w:val="22"/>
          <w:szCs w:val="22"/>
          <w:lang w:val="en-GB"/>
        </w:rPr>
        <w:t xml:space="preserve"> looks at the market price of shares compared with </w:t>
      </w:r>
      <w:r w:rsidR="00134C5C">
        <w:rPr>
          <w:sz w:val="22"/>
          <w:szCs w:val="22"/>
          <w:lang w:val="en-GB"/>
        </w:rPr>
        <w:t>earnings expressed on a per share basis</w:t>
      </w:r>
      <w:r w:rsidRPr="00860FD1">
        <w:rPr>
          <w:sz w:val="22"/>
          <w:szCs w:val="22"/>
          <w:lang w:val="en-GB"/>
        </w:rPr>
        <w:t xml:space="preserve">. </w:t>
      </w:r>
      <w:r w:rsidR="00134C5C">
        <w:rPr>
          <w:sz w:val="22"/>
          <w:szCs w:val="22"/>
          <w:lang w:val="en-GB"/>
        </w:rPr>
        <w:t>A</w:t>
      </w:r>
      <w:r w:rsidRPr="00860FD1">
        <w:rPr>
          <w:sz w:val="22"/>
          <w:szCs w:val="22"/>
          <w:lang w:val="en-GB"/>
        </w:rPr>
        <w:t xml:space="preserve"> P/E ratio of 10 indicates that an investor is willing to pay $10 for every $1 the share </w:t>
      </w:r>
      <w:r w:rsidR="00134C5C">
        <w:rPr>
          <w:sz w:val="22"/>
          <w:szCs w:val="22"/>
          <w:lang w:val="en-GB"/>
        </w:rPr>
        <w:t xml:space="preserve">currently </w:t>
      </w:r>
      <w:r w:rsidRPr="00860FD1">
        <w:rPr>
          <w:sz w:val="22"/>
          <w:szCs w:val="22"/>
          <w:lang w:val="en-GB"/>
        </w:rPr>
        <w:t xml:space="preserve">earns. </w:t>
      </w:r>
    </w:p>
    <w:p w14:paraId="0BF08A44" w14:textId="77777777" w:rsidR="00860FD1" w:rsidRPr="00860FD1" w:rsidRDefault="00860FD1" w:rsidP="00860FD1">
      <w:pPr>
        <w:jc w:val="both"/>
        <w:rPr>
          <w:sz w:val="22"/>
          <w:szCs w:val="22"/>
          <w:lang w:val="en-GB"/>
        </w:rPr>
      </w:pPr>
    </w:p>
    <w:p w14:paraId="25F505E2" w14:textId="3EB468DA" w:rsidR="00860FD1" w:rsidRPr="00860FD1" w:rsidRDefault="00860FD1" w:rsidP="00860FD1">
      <w:pPr>
        <w:jc w:val="both"/>
        <w:rPr>
          <w:sz w:val="22"/>
          <w:szCs w:val="22"/>
          <w:lang w:val="en-GB"/>
        </w:rPr>
      </w:pPr>
      <w:r w:rsidRPr="00860FD1">
        <w:rPr>
          <w:sz w:val="22"/>
          <w:szCs w:val="22"/>
          <w:lang w:val="en-GB"/>
        </w:rPr>
        <w:t xml:space="preserve">The P/E ratio is a measure of investors’ beliefs about the company’s future earnings potential. A high ratio indicates investors have confidence in the company and expect significant growth in profitability. Therefore, they are willing to pay a higher price for shares. It </w:t>
      </w:r>
      <w:r w:rsidR="00690ADD">
        <w:rPr>
          <w:sz w:val="22"/>
          <w:szCs w:val="22"/>
          <w:lang w:val="en-GB"/>
        </w:rPr>
        <w:t>might</w:t>
      </w:r>
      <w:r w:rsidR="00690ADD" w:rsidRPr="00860FD1">
        <w:rPr>
          <w:sz w:val="22"/>
          <w:szCs w:val="22"/>
          <w:lang w:val="en-GB"/>
        </w:rPr>
        <w:t xml:space="preserve"> </w:t>
      </w:r>
      <w:r w:rsidRPr="00860FD1">
        <w:rPr>
          <w:sz w:val="22"/>
          <w:szCs w:val="22"/>
          <w:lang w:val="en-GB"/>
        </w:rPr>
        <w:t xml:space="preserve">also indicate that the shares are overvalued in the marketplace, making it a good time to sell those shares. A decreasing ratio indicates declining investor confidence. </w:t>
      </w:r>
    </w:p>
    <w:p w14:paraId="43EF64E6" w14:textId="77777777" w:rsidR="00860FD1" w:rsidRPr="00860FD1" w:rsidRDefault="00860FD1" w:rsidP="00860FD1">
      <w:pPr>
        <w:jc w:val="both"/>
        <w:rPr>
          <w:sz w:val="22"/>
          <w:szCs w:val="22"/>
          <w:lang w:val="en-GB"/>
        </w:rPr>
      </w:pPr>
    </w:p>
    <w:p w14:paraId="51FEB56D" w14:textId="77777777" w:rsidR="00860FD1" w:rsidRPr="00860FD1" w:rsidRDefault="00860FD1" w:rsidP="00860FD1">
      <w:pPr>
        <w:jc w:val="both"/>
        <w:rPr>
          <w:sz w:val="22"/>
          <w:szCs w:val="22"/>
          <w:lang w:val="en-GB"/>
        </w:rPr>
      </w:pPr>
      <w:r w:rsidRPr="00860FD1">
        <w:rPr>
          <w:sz w:val="22"/>
          <w:szCs w:val="22"/>
          <w:lang w:val="en-GB"/>
        </w:rPr>
        <w:t>The average P/E ratio over the past 80 years has ranged between 14 and 15.</w:t>
      </w:r>
    </w:p>
    <w:p w14:paraId="338309B0" w14:textId="77777777" w:rsidR="00860FD1" w:rsidRPr="00860FD1" w:rsidRDefault="00860FD1" w:rsidP="00860FD1">
      <w:pPr>
        <w:jc w:val="both"/>
        <w:rPr>
          <w:sz w:val="22"/>
          <w:szCs w:val="22"/>
          <w:lang w:val="en-GB"/>
        </w:rPr>
      </w:pPr>
    </w:p>
    <w:p w14:paraId="45177EC7" w14:textId="77777777" w:rsidR="00860FD1" w:rsidRPr="00860FD1" w:rsidRDefault="00860FD1" w:rsidP="00860FD1">
      <w:pPr>
        <w:jc w:val="both"/>
        <w:rPr>
          <w:sz w:val="22"/>
          <w:szCs w:val="22"/>
          <w:lang w:val="en-GB"/>
        </w:rPr>
      </w:pPr>
    </w:p>
    <w:p w14:paraId="316769F7" w14:textId="77777777" w:rsidR="00860FD1" w:rsidRPr="00860FD1" w:rsidRDefault="00860FD1" w:rsidP="00100EF4">
      <w:pPr>
        <w:numPr>
          <w:ilvl w:val="1"/>
          <w:numId w:val="8"/>
        </w:numPr>
        <w:jc w:val="both"/>
        <w:rPr>
          <w:rFonts w:ascii="Arial" w:hAnsi="Arial" w:cs="Arial"/>
          <w:b/>
          <w:lang w:val="en-GB"/>
        </w:rPr>
      </w:pPr>
      <w:r w:rsidRPr="00860FD1">
        <w:rPr>
          <w:rFonts w:ascii="Arial" w:hAnsi="Arial" w:cs="Arial"/>
          <w:b/>
          <w:lang w:val="en-GB"/>
        </w:rPr>
        <w:t>Liquidity Ratios</w:t>
      </w:r>
    </w:p>
    <w:p w14:paraId="6759021E" w14:textId="77777777" w:rsidR="00860FD1" w:rsidRPr="00860FD1" w:rsidRDefault="00860FD1" w:rsidP="00860FD1">
      <w:pPr>
        <w:jc w:val="both"/>
        <w:rPr>
          <w:sz w:val="22"/>
          <w:szCs w:val="22"/>
          <w:lang w:val="en-GB"/>
        </w:rPr>
      </w:pPr>
    </w:p>
    <w:p w14:paraId="5CB32D7C" w14:textId="77777777" w:rsidR="00860FD1" w:rsidRPr="00860FD1" w:rsidRDefault="00860FD1" w:rsidP="00860FD1">
      <w:pPr>
        <w:jc w:val="both"/>
        <w:rPr>
          <w:sz w:val="22"/>
          <w:szCs w:val="22"/>
          <w:lang w:val="en-GB"/>
        </w:rPr>
      </w:pPr>
      <w:r w:rsidRPr="00860FD1">
        <w:rPr>
          <w:sz w:val="22"/>
          <w:szCs w:val="22"/>
          <w:lang w:val="en-GB"/>
        </w:rPr>
        <w:t xml:space="preserve">Liquidity ratios evaluate a company’s ability to pay its short-term debts as they come due. The ratios can be used within a company to track a business’s performance by comparing the ratios over periods of time. The ratios can also be used to assess a company’s performance compared with the performance of another company or compared with industry benchmarks. </w:t>
      </w:r>
    </w:p>
    <w:p w14:paraId="031E16F3" w14:textId="77777777" w:rsidR="00F72A1B" w:rsidRPr="00860FD1" w:rsidRDefault="00F72A1B" w:rsidP="00860FD1">
      <w:pPr>
        <w:jc w:val="both"/>
        <w:rPr>
          <w:sz w:val="22"/>
          <w:szCs w:val="22"/>
          <w:lang w:val="en-GB"/>
        </w:rPr>
      </w:pPr>
    </w:p>
    <w:p w14:paraId="738319AD" w14:textId="59F3CBC4" w:rsidR="00860FD1" w:rsidRPr="00860FD1" w:rsidRDefault="00860FD1" w:rsidP="005A018D">
      <w:pPr>
        <w:pStyle w:val="Casehead3"/>
        <w:keepNext/>
        <w:numPr>
          <w:ilvl w:val="2"/>
          <w:numId w:val="8"/>
        </w:numPr>
        <w:rPr>
          <w:lang w:val="en-GB"/>
        </w:rPr>
      </w:pPr>
      <w:r w:rsidRPr="00AE7F34">
        <w:rPr>
          <w:lang w:val="en-GB"/>
        </w:rPr>
        <w:lastRenderedPageBreak/>
        <w:t>Current Ratio</w:t>
      </w:r>
    </w:p>
    <w:p w14:paraId="077CFCBC" w14:textId="77777777" w:rsidR="00860FD1" w:rsidRPr="00860FD1" w:rsidRDefault="00860FD1" w:rsidP="00336EBF">
      <w:pPr>
        <w:keepNext/>
        <w:jc w:val="both"/>
        <w:rPr>
          <w:b/>
          <w:bCs/>
          <w:color w:val="FFFFFF"/>
          <w:sz w:val="22"/>
          <w:szCs w:val="22"/>
          <w:highlight w:val="blue"/>
          <w:lang w:val="en-GB"/>
        </w:rPr>
      </w:pPr>
    </w:p>
    <w:p w14:paraId="60F86793" w14:textId="77777777" w:rsidR="00860FD1" w:rsidRPr="00860FD1" w:rsidRDefault="00860FD1" w:rsidP="00336EBF">
      <w:pPr>
        <w:keepNext/>
        <w:jc w:val="center"/>
        <w:rPr>
          <w:bCs/>
          <w:sz w:val="22"/>
          <w:szCs w:val="22"/>
          <w:lang w:val="en-GB"/>
        </w:rPr>
      </w:pPr>
      <m:oMathPara>
        <m:oMath>
          <m:r>
            <w:rPr>
              <w:rFonts w:ascii="Cambria Math" w:hAnsi="Cambria Math"/>
              <w:sz w:val="22"/>
              <w:szCs w:val="22"/>
              <w:lang w:val="en-GB"/>
            </w:rPr>
            <m:t>Current Ratio=</m:t>
          </m:r>
          <m:f>
            <m:fPr>
              <m:ctrlPr>
                <w:rPr>
                  <w:rFonts w:ascii="Cambria Math" w:hAnsi="Cambria Math"/>
                  <w:bCs/>
                  <w:i/>
                  <w:sz w:val="22"/>
                  <w:szCs w:val="22"/>
                  <w:lang w:val="en-GB"/>
                </w:rPr>
              </m:ctrlPr>
            </m:fPr>
            <m:num>
              <m:r>
                <w:rPr>
                  <w:rFonts w:ascii="Cambria Math" w:hAnsi="Cambria Math"/>
                  <w:sz w:val="22"/>
                  <w:szCs w:val="22"/>
                  <w:lang w:val="en-GB"/>
                </w:rPr>
                <m:t>Current Assets</m:t>
              </m:r>
            </m:num>
            <m:den>
              <m:r>
                <w:rPr>
                  <w:rFonts w:ascii="Cambria Math" w:hAnsi="Cambria Math"/>
                  <w:sz w:val="22"/>
                  <w:szCs w:val="22"/>
                  <w:lang w:val="en-GB"/>
                </w:rPr>
                <m:t>Current Liabilities</m:t>
              </m:r>
            </m:den>
          </m:f>
        </m:oMath>
      </m:oMathPara>
    </w:p>
    <w:p w14:paraId="34AA63D8" w14:textId="77777777" w:rsidR="00860FD1" w:rsidRPr="00860FD1" w:rsidRDefault="00860FD1" w:rsidP="00336EBF">
      <w:pPr>
        <w:pStyle w:val="BodyTextMain"/>
        <w:keepNext/>
        <w:rPr>
          <w:lang w:val="en-GB"/>
        </w:rPr>
      </w:pPr>
    </w:p>
    <w:p w14:paraId="07C52F76" w14:textId="38EC1208" w:rsidR="00860FD1" w:rsidRPr="00860FD1" w:rsidRDefault="00860FD1" w:rsidP="00336EBF">
      <w:pPr>
        <w:keepNext/>
        <w:jc w:val="both"/>
        <w:rPr>
          <w:bCs/>
          <w:sz w:val="22"/>
          <w:szCs w:val="22"/>
          <w:lang w:val="en-GB"/>
        </w:rPr>
      </w:pPr>
      <w:r w:rsidRPr="00860FD1">
        <w:rPr>
          <w:bCs/>
          <w:sz w:val="22"/>
          <w:szCs w:val="22"/>
          <w:lang w:val="en-GB"/>
        </w:rPr>
        <w:t>Current assets are assets that are expected to be converted into cash, sold, or used up within one year of the organization’s financial statement date</w:t>
      </w:r>
      <w:r w:rsidR="00134C5C">
        <w:rPr>
          <w:bCs/>
          <w:sz w:val="22"/>
          <w:szCs w:val="22"/>
          <w:lang w:val="en-GB"/>
        </w:rPr>
        <w:t xml:space="preserve">. </w:t>
      </w:r>
    </w:p>
    <w:p w14:paraId="32BA7B1D" w14:textId="77777777" w:rsidR="00860FD1" w:rsidRPr="00860FD1" w:rsidRDefault="00860FD1" w:rsidP="00860FD1">
      <w:pPr>
        <w:jc w:val="both"/>
        <w:rPr>
          <w:bCs/>
          <w:sz w:val="22"/>
          <w:szCs w:val="22"/>
          <w:lang w:val="en-GB"/>
        </w:rPr>
      </w:pPr>
    </w:p>
    <w:p w14:paraId="3711D8AF" w14:textId="77DF8B42" w:rsidR="00860FD1" w:rsidRPr="00860FD1" w:rsidRDefault="00860FD1" w:rsidP="00860FD1">
      <w:pPr>
        <w:jc w:val="both"/>
        <w:rPr>
          <w:bCs/>
          <w:sz w:val="22"/>
          <w:szCs w:val="22"/>
          <w:lang w:val="en-GB"/>
        </w:rPr>
      </w:pPr>
      <w:r w:rsidRPr="00860FD1">
        <w:rPr>
          <w:bCs/>
          <w:sz w:val="22"/>
          <w:szCs w:val="22"/>
          <w:lang w:val="en-GB"/>
        </w:rPr>
        <w:t>Current liabilities are debts that are expected to be paid within one year of the organization’s financial statement date.</w:t>
      </w:r>
    </w:p>
    <w:p w14:paraId="42B2808C" w14:textId="77777777" w:rsidR="00860FD1" w:rsidRPr="00860FD1" w:rsidRDefault="00860FD1" w:rsidP="00860FD1">
      <w:pPr>
        <w:jc w:val="both"/>
        <w:rPr>
          <w:bCs/>
          <w:sz w:val="22"/>
          <w:szCs w:val="22"/>
          <w:lang w:val="en-GB"/>
        </w:rPr>
      </w:pPr>
    </w:p>
    <w:p w14:paraId="54FA65EE" w14:textId="77777777" w:rsidR="00860FD1" w:rsidRPr="00860FD1" w:rsidRDefault="00860FD1" w:rsidP="00860FD1">
      <w:pPr>
        <w:jc w:val="both"/>
        <w:rPr>
          <w:sz w:val="22"/>
          <w:szCs w:val="22"/>
          <w:lang w:val="en-GB"/>
        </w:rPr>
      </w:pPr>
      <w:r w:rsidRPr="00860FD1">
        <w:rPr>
          <w:bCs/>
          <w:sz w:val="22"/>
          <w:szCs w:val="22"/>
          <w:lang w:val="en-GB"/>
        </w:rPr>
        <w:t xml:space="preserve">The current ratio measures a company’s current assets against its current liabilities. A </w:t>
      </w:r>
      <w:r w:rsidRPr="00860FD1">
        <w:rPr>
          <w:sz w:val="22"/>
          <w:szCs w:val="22"/>
          <w:lang w:val="en-GB"/>
        </w:rPr>
        <w:t xml:space="preserve">current ratio of 1.8 means that for every dollar of current liabilities, the business has $1.80 in current assets. A general rule of thumb is that this ratio should be at least 1.5 to 2.0, although as noted earlier, industry benchmarks always take precedence over general rules of thumb. </w:t>
      </w:r>
    </w:p>
    <w:p w14:paraId="25254AF5" w14:textId="77777777" w:rsidR="00860FD1" w:rsidRPr="00860FD1" w:rsidRDefault="00860FD1" w:rsidP="00860FD1">
      <w:pPr>
        <w:jc w:val="both"/>
        <w:rPr>
          <w:sz w:val="22"/>
          <w:szCs w:val="22"/>
          <w:lang w:val="en-GB"/>
        </w:rPr>
      </w:pPr>
    </w:p>
    <w:p w14:paraId="22B95745" w14:textId="77777777" w:rsidR="00860FD1" w:rsidRPr="00860FD1" w:rsidRDefault="00860FD1" w:rsidP="00860FD1">
      <w:pPr>
        <w:jc w:val="both"/>
        <w:rPr>
          <w:sz w:val="22"/>
          <w:szCs w:val="22"/>
          <w:lang w:val="en-GB"/>
        </w:rPr>
      </w:pPr>
    </w:p>
    <w:p w14:paraId="3B55C9BC" w14:textId="5BF9F98C" w:rsidR="00860FD1" w:rsidRPr="00860FD1" w:rsidRDefault="00860FD1" w:rsidP="005A018D">
      <w:pPr>
        <w:pStyle w:val="Casehead3"/>
        <w:numPr>
          <w:ilvl w:val="2"/>
          <w:numId w:val="8"/>
        </w:numPr>
        <w:rPr>
          <w:lang w:val="en-GB"/>
        </w:rPr>
      </w:pPr>
      <w:r w:rsidRPr="00AE7F34">
        <w:rPr>
          <w:lang w:val="en-GB"/>
        </w:rPr>
        <w:t>Acid Test Ratio (Quick Ratio)</w:t>
      </w:r>
    </w:p>
    <w:p w14:paraId="6528F8B4" w14:textId="77777777" w:rsidR="00860FD1" w:rsidRPr="00860FD1" w:rsidRDefault="00860FD1" w:rsidP="00860FD1">
      <w:pPr>
        <w:pStyle w:val="BodyTextMain"/>
        <w:rPr>
          <w:lang w:val="en-GB"/>
        </w:rPr>
      </w:pPr>
    </w:p>
    <w:p w14:paraId="6FD9EF33" w14:textId="77777777" w:rsidR="00860FD1" w:rsidRPr="00860FD1" w:rsidRDefault="00860FD1" w:rsidP="00860FD1">
      <w:pPr>
        <w:jc w:val="center"/>
        <w:rPr>
          <w:bCs/>
          <w:sz w:val="22"/>
          <w:szCs w:val="22"/>
          <w:lang w:val="en-GB"/>
        </w:rPr>
      </w:pPr>
      <m:oMathPara>
        <m:oMath>
          <m:r>
            <w:rPr>
              <w:rFonts w:ascii="Cambria Math" w:hAnsi="Cambria Math"/>
              <w:sz w:val="22"/>
              <w:szCs w:val="22"/>
              <w:lang w:val="en-GB"/>
            </w:rPr>
            <m:t>Acid Test Ratio=</m:t>
          </m:r>
          <m:f>
            <m:fPr>
              <m:ctrlPr>
                <w:rPr>
                  <w:rFonts w:ascii="Cambria Math" w:hAnsi="Cambria Math"/>
                  <w:bCs/>
                  <w:i/>
                  <w:sz w:val="22"/>
                  <w:szCs w:val="22"/>
                  <w:lang w:val="en-GB"/>
                </w:rPr>
              </m:ctrlPr>
            </m:fPr>
            <m:num>
              <m:r>
                <w:rPr>
                  <w:rFonts w:ascii="Cambria Math" w:hAnsi="Cambria Math"/>
                  <w:sz w:val="22"/>
                  <w:szCs w:val="22"/>
                  <w:lang w:val="en-GB"/>
                </w:rPr>
                <m:t>Cash+Short-Term Investments+Accounts Receivable</m:t>
              </m:r>
            </m:num>
            <m:den>
              <m:r>
                <w:rPr>
                  <w:rFonts w:ascii="Cambria Math" w:hAnsi="Cambria Math"/>
                  <w:sz w:val="22"/>
                  <w:szCs w:val="22"/>
                  <w:lang w:val="en-GB"/>
                </w:rPr>
                <m:t>Current Liabilities</m:t>
              </m:r>
            </m:den>
          </m:f>
        </m:oMath>
      </m:oMathPara>
    </w:p>
    <w:p w14:paraId="16BA6141" w14:textId="77777777" w:rsidR="00860FD1" w:rsidRPr="00860FD1" w:rsidRDefault="00860FD1" w:rsidP="00860FD1">
      <w:pPr>
        <w:pStyle w:val="BodyTextMain"/>
        <w:rPr>
          <w:lang w:val="en-GB"/>
        </w:rPr>
      </w:pPr>
    </w:p>
    <w:p w14:paraId="0731B97B" w14:textId="77777777" w:rsidR="00860FD1" w:rsidRPr="00860FD1" w:rsidRDefault="00860FD1" w:rsidP="00860FD1">
      <w:pPr>
        <w:jc w:val="both"/>
        <w:rPr>
          <w:sz w:val="22"/>
          <w:szCs w:val="22"/>
          <w:lang w:val="en-GB"/>
        </w:rPr>
      </w:pPr>
      <w:r w:rsidRPr="00860FD1">
        <w:rPr>
          <w:sz w:val="22"/>
          <w:szCs w:val="22"/>
          <w:lang w:val="en-GB"/>
        </w:rPr>
        <w:t xml:space="preserve">The acid test ratio assesses a company’s ability to pay its current liabilities with short-term assets that can be quickly converted to cash. An </w:t>
      </w:r>
      <w:r w:rsidRPr="00860FD1">
        <w:rPr>
          <w:bCs/>
          <w:sz w:val="22"/>
          <w:szCs w:val="22"/>
          <w:lang w:val="en-GB"/>
        </w:rPr>
        <w:t>acid test ratio</w:t>
      </w:r>
      <w:r w:rsidRPr="00860FD1">
        <w:rPr>
          <w:sz w:val="22"/>
          <w:szCs w:val="22"/>
          <w:lang w:val="en-GB"/>
        </w:rPr>
        <w:t xml:space="preserve"> of 0.9 means that for every dollar a company has in current liabilities, it has 90 cents in highly liquid assets to pay those current debts. As a rule of thumb, a minimum healthy ratio is 0.9 to 1.0.</w:t>
      </w:r>
    </w:p>
    <w:p w14:paraId="19A5665F" w14:textId="77777777" w:rsidR="00860FD1" w:rsidRPr="00860FD1" w:rsidRDefault="00860FD1" w:rsidP="00860FD1">
      <w:pPr>
        <w:jc w:val="both"/>
        <w:rPr>
          <w:sz w:val="22"/>
          <w:szCs w:val="22"/>
          <w:lang w:val="en-GB"/>
        </w:rPr>
      </w:pPr>
    </w:p>
    <w:p w14:paraId="7955174F" w14:textId="6E0B41EA" w:rsidR="00860FD1" w:rsidRPr="00860FD1" w:rsidRDefault="00860FD1" w:rsidP="00860FD1">
      <w:pPr>
        <w:jc w:val="both"/>
        <w:rPr>
          <w:sz w:val="22"/>
          <w:szCs w:val="22"/>
          <w:lang w:val="en-GB"/>
        </w:rPr>
      </w:pPr>
      <w:r w:rsidRPr="00860FD1">
        <w:rPr>
          <w:sz w:val="22"/>
          <w:szCs w:val="22"/>
          <w:lang w:val="en-GB"/>
        </w:rPr>
        <w:t xml:space="preserve">The </w:t>
      </w:r>
      <w:r w:rsidRPr="00860FD1">
        <w:rPr>
          <w:bCs/>
          <w:sz w:val="22"/>
          <w:szCs w:val="22"/>
          <w:lang w:val="en-GB"/>
        </w:rPr>
        <w:t>current ratio</w:t>
      </w:r>
      <w:r w:rsidRPr="00860FD1">
        <w:rPr>
          <w:sz w:val="22"/>
          <w:szCs w:val="22"/>
          <w:lang w:val="en-GB"/>
        </w:rPr>
        <w:t xml:space="preserve"> and the </w:t>
      </w:r>
      <w:r w:rsidRPr="00860FD1">
        <w:rPr>
          <w:bCs/>
          <w:sz w:val="22"/>
          <w:szCs w:val="22"/>
          <w:lang w:val="en-GB"/>
        </w:rPr>
        <w:t>acid test ratio</w:t>
      </w:r>
      <w:r w:rsidRPr="00860FD1">
        <w:rPr>
          <w:sz w:val="22"/>
          <w:szCs w:val="22"/>
          <w:lang w:val="en-GB"/>
        </w:rPr>
        <w:t xml:space="preserve"> both measure a business’s short-term ability to pay its current debts as they come due. However, the acid test ratio is a more accurate measure of liquidity because it excludes current assets that are not </w:t>
      </w:r>
      <w:r w:rsidR="00134C5C">
        <w:rPr>
          <w:sz w:val="22"/>
          <w:szCs w:val="22"/>
          <w:lang w:val="en-GB"/>
        </w:rPr>
        <w:t>quickly</w:t>
      </w:r>
      <w:r w:rsidR="00134C5C" w:rsidRPr="00860FD1">
        <w:rPr>
          <w:sz w:val="22"/>
          <w:szCs w:val="22"/>
          <w:lang w:val="en-GB"/>
        </w:rPr>
        <w:t xml:space="preserve"> </w:t>
      </w:r>
      <w:r w:rsidRPr="00860FD1">
        <w:rPr>
          <w:sz w:val="22"/>
          <w:szCs w:val="22"/>
          <w:lang w:val="en-GB"/>
        </w:rPr>
        <w:t>turned into cash (e.g., inventory)</w:t>
      </w:r>
      <w:r w:rsidR="00690ADD">
        <w:rPr>
          <w:sz w:val="22"/>
          <w:szCs w:val="22"/>
          <w:lang w:val="en-GB"/>
        </w:rPr>
        <w:t xml:space="preserve"> or intended to be turned into cash (e.g., prepaid insurance and supplies)</w:t>
      </w:r>
      <w:r w:rsidRPr="00860FD1">
        <w:rPr>
          <w:sz w:val="22"/>
          <w:szCs w:val="22"/>
          <w:lang w:val="en-GB"/>
        </w:rPr>
        <w:t xml:space="preserve">. </w:t>
      </w:r>
    </w:p>
    <w:p w14:paraId="506C38DF" w14:textId="77777777" w:rsidR="00860FD1" w:rsidRPr="00860FD1" w:rsidRDefault="00860FD1" w:rsidP="00860FD1">
      <w:pPr>
        <w:jc w:val="both"/>
        <w:rPr>
          <w:sz w:val="22"/>
          <w:szCs w:val="22"/>
          <w:lang w:val="en-GB"/>
        </w:rPr>
      </w:pPr>
    </w:p>
    <w:p w14:paraId="62CE9090" w14:textId="1889E171" w:rsidR="00860FD1" w:rsidRPr="00860FD1" w:rsidRDefault="00860FD1" w:rsidP="00860FD1">
      <w:pPr>
        <w:jc w:val="both"/>
        <w:rPr>
          <w:sz w:val="22"/>
          <w:szCs w:val="22"/>
          <w:lang w:val="en-GB"/>
        </w:rPr>
      </w:pPr>
      <w:r w:rsidRPr="00860FD1">
        <w:rPr>
          <w:sz w:val="22"/>
          <w:szCs w:val="22"/>
          <w:lang w:val="en-GB"/>
        </w:rPr>
        <w:t xml:space="preserve">The </w:t>
      </w:r>
      <w:r w:rsidRPr="00860FD1">
        <w:rPr>
          <w:bCs/>
          <w:sz w:val="22"/>
          <w:szCs w:val="22"/>
          <w:lang w:val="en-GB"/>
        </w:rPr>
        <w:t>inventory turnover</w:t>
      </w:r>
      <w:r w:rsidRPr="00860FD1">
        <w:rPr>
          <w:sz w:val="22"/>
          <w:szCs w:val="22"/>
          <w:lang w:val="en-GB"/>
        </w:rPr>
        <w:t xml:space="preserve"> and </w:t>
      </w:r>
      <w:r w:rsidRPr="00860FD1">
        <w:rPr>
          <w:bCs/>
          <w:sz w:val="22"/>
          <w:szCs w:val="22"/>
          <w:lang w:val="en-GB"/>
        </w:rPr>
        <w:t>accounts receivable turnover</w:t>
      </w:r>
      <w:r w:rsidRPr="00860FD1">
        <w:rPr>
          <w:sz w:val="22"/>
          <w:szCs w:val="22"/>
          <w:lang w:val="en-GB"/>
        </w:rPr>
        <w:t xml:space="preserve"> ratios, discussed earlier as activity ratios (see Sections 4.1.6 and 4.1.7), are also liquidity ratios because a business’s ability to pay off its own current liabilities depends to a great extent on how quickly it can sell its inventory and, in turn, how quickly it can collect payment from its customers. For example, if </w:t>
      </w:r>
      <w:r w:rsidRPr="00860FD1">
        <w:rPr>
          <w:bCs/>
          <w:sz w:val="22"/>
          <w:szCs w:val="22"/>
          <w:lang w:val="en-GB"/>
        </w:rPr>
        <w:t>days in inventory</w:t>
      </w:r>
      <w:r w:rsidRPr="00860FD1">
        <w:rPr>
          <w:sz w:val="22"/>
          <w:szCs w:val="22"/>
          <w:lang w:val="en-GB"/>
        </w:rPr>
        <w:t xml:space="preserve"> is 53 days and the </w:t>
      </w:r>
      <w:r w:rsidRPr="00860FD1">
        <w:rPr>
          <w:bCs/>
          <w:sz w:val="22"/>
          <w:szCs w:val="22"/>
          <w:lang w:val="en-GB"/>
        </w:rPr>
        <w:t>collection period</w:t>
      </w:r>
      <w:r w:rsidRPr="00860FD1">
        <w:rPr>
          <w:sz w:val="22"/>
          <w:szCs w:val="22"/>
          <w:lang w:val="en-GB"/>
        </w:rPr>
        <w:t xml:space="preserve"> is 45 days, the business needs to wait a total of 98 days (days in inventory + collection period) before cash is available to pay its own suppliers and </w:t>
      </w:r>
      <w:r w:rsidR="00FE4879">
        <w:rPr>
          <w:sz w:val="22"/>
          <w:szCs w:val="22"/>
          <w:lang w:val="en-GB"/>
        </w:rPr>
        <w:t xml:space="preserve">to pay </w:t>
      </w:r>
      <w:r w:rsidRPr="00860FD1">
        <w:rPr>
          <w:sz w:val="22"/>
          <w:szCs w:val="22"/>
          <w:lang w:val="en-GB"/>
        </w:rPr>
        <w:t>other operating expenses.</w:t>
      </w:r>
    </w:p>
    <w:p w14:paraId="298CBE14" w14:textId="77777777" w:rsidR="00860FD1" w:rsidRPr="00860FD1" w:rsidRDefault="00860FD1" w:rsidP="00860FD1">
      <w:pPr>
        <w:jc w:val="both"/>
        <w:rPr>
          <w:sz w:val="22"/>
          <w:szCs w:val="22"/>
          <w:lang w:val="en-GB"/>
        </w:rPr>
      </w:pPr>
    </w:p>
    <w:p w14:paraId="1764CFF9" w14:textId="77777777" w:rsidR="00860FD1" w:rsidRPr="00860FD1" w:rsidRDefault="00860FD1" w:rsidP="00860FD1">
      <w:pPr>
        <w:jc w:val="both"/>
        <w:rPr>
          <w:sz w:val="22"/>
          <w:szCs w:val="22"/>
          <w:lang w:val="en-GB"/>
        </w:rPr>
      </w:pPr>
    </w:p>
    <w:p w14:paraId="118B3A9B" w14:textId="77777777" w:rsidR="00860FD1" w:rsidRPr="00860FD1" w:rsidRDefault="00860FD1" w:rsidP="00100EF4">
      <w:pPr>
        <w:numPr>
          <w:ilvl w:val="1"/>
          <w:numId w:val="8"/>
        </w:numPr>
        <w:jc w:val="both"/>
        <w:rPr>
          <w:rFonts w:ascii="Arial" w:hAnsi="Arial" w:cs="Arial"/>
          <w:b/>
          <w:lang w:val="en-GB"/>
        </w:rPr>
      </w:pPr>
      <w:r w:rsidRPr="00860FD1">
        <w:rPr>
          <w:rFonts w:ascii="Arial" w:hAnsi="Arial" w:cs="Arial"/>
          <w:b/>
          <w:lang w:val="en-GB"/>
        </w:rPr>
        <w:t>Solvency Ratios</w:t>
      </w:r>
    </w:p>
    <w:p w14:paraId="25541A29" w14:textId="77777777" w:rsidR="00860FD1" w:rsidRPr="00860FD1" w:rsidRDefault="00860FD1" w:rsidP="00860FD1">
      <w:pPr>
        <w:jc w:val="both"/>
        <w:rPr>
          <w:sz w:val="22"/>
          <w:szCs w:val="22"/>
          <w:lang w:val="en-GB"/>
        </w:rPr>
      </w:pPr>
    </w:p>
    <w:p w14:paraId="267C662C" w14:textId="3F3F40B9" w:rsidR="00860FD1" w:rsidRPr="00860FD1" w:rsidRDefault="00860FD1" w:rsidP="005A018D">
      <w:pPr>
        <w:pStyle w:val="Casehead3"/>
        <w:numPr>
          <w:ilvl w:val="2"/>
          <w:numId w:val="8"/>
        </w:numPr>
        <w:rPr>
          <w:lang w:val="en-GB"/>
        </w:rPr>
      </w:pPr>
      <w:r w:rsidRPr="00AE7F34">
        <w:rPr>
          <w:lang w:val="en-GB"/>
        </w:rPr>
        <w:t>Debt Ratio</w:t>
      </w:r>
    </w:p>
    <w:p w14:paraId="0D686035" w14:textId="77777777" w:rsidR="00860FD1" w:rsidRPr="00860FD1" w:rsidRDefault="00860FD1" w:rsidP="00860FD1">
      <w:pPr>
        <w:jc w:val="both"/>
        <w:rPr>
          <w:sz w:val="22"/>
          <w:szCs w:val="22"/>
          <w:lang w:val="en-GB"/>
        </w:rPr>
      </w:pPr>
    </w:p>
    <w:p w14:paraId="783F89E6" w14:textId="77777777" w:rsidR="00860FD1" w:rsidRPr="00860FD1" w:rsidRDefault="00860FD1" w:rsidP="00860FD1">
      <w:pPr>
        <w:jc w:val="center"/>
        <w:rPr>
          <w:bCs/>
          <w:sz w:val="22"/>
          <w:szCs w:val="22"/>
          <w:lang w:val="en-GB"/>
        </w:rPr>
      </w:pPr>
      <m:oMathPara>
        <m:oMath>
          <m:r>
            <w:rPr>
              <w:rFonts w:ascii="Cambria Math" w:hAnsi="Cambria Math"/>
              <w:sz w:val="22"/>
              <w:szCs w:val="22"/>
              <w:lang w:val="en-GB"/>
            </w:rPr>
            <m:t>Debt to Total Assets=</m:t>
          </m:r>
          <m:f>
            <m:fPr>
              <m:ctrlPr>
                <w:rPr>
                  <w:rFonts w:ascii="Cambria Math" w:hAnsi="Cambria Math"/>
                  <w:bCs/>
                  <w:i/>
                  <w:sz w:val="22"/>
                  <w:szCs w:val="22"/>
                  <w:lang w:val="en-GB"/>
                </w:rPr>
              </m:ctrlPr>
            </m:fPr>
            <m:num>
              <m:r>
                <w:rPr>
                  <w:rFonts w:ascii="Cambria Math" w:hAnsi="Cambria Math"/>
                  <w:sz w:val="22"/>
                  <w:szCs w:val="22"/>
                  <w:lang w:val="en-GB"/>
                </w:rPr>
                <m:t>Total Liabilities</m:t>
              </m:r>
            </m:num>
            <m:den>
              <m:r>
                <w:rPr>
                  <w:rFonts w:ascii="Cambria Math" w:hAnsi="Cambria Math"/>
                  <w:sz w:val="22"/>
                  <w:szCs w:val="22"/>
                  <w:lang w:val="en-GB"/>
                </w:rPr>
                <m:t>Total Assets</m:t>
              </m:r>
            </m:den>
          </m:f>
        </m:oMath>
      </m:oMathPara>
    </w:p>
    <w:p w14:paraId="389A22AF" w14:textId="77777777" w:rsidR="00860FD1" w:rsidRPr="00860FD1" w:rsidRDefault="00860FD1" w:rsidP="00860FD1">
      <w:pPr>
        <w:pStyle w:val="BodyTextMain"/>
        <w:rPr>
          <w:lang w:val="en-GB"/>
        </w:rPr>
      </w:pPr>
    </w:p>
    <w:p w14:paraId="0C315D3B" w14:textId="40EC98C8" w:rsidR="00860FD1" w:rsidRPr="00860FD1" w:rsidRDefault="00860FD1" w:rsidP="00860FD1">
      <w:pPr>
        <w:jc w:val="both"/>
        <w:rPr>
          <w:sz w:val="22"/>
          <w:szCs w:val="22"/>
          <w:lang w:val="en-GB"/>
        </w:rPr>
      </w:pPr>
      <w:r w:rsidRPr="00860FD1">
        <w:rPr>
          <w:sz w:val="22"/>
          <w:szCs w:val="22"/>
          <w:lang w:val="en-GB"/>
        </w:rPr>
        <w:t xml:space="preserve">The </w:t>
      </w:r>
      <w:r w:rsidRPr="00860FD1">
        <w:rPr>
          <w:bCs/>
          <w:sz w:val="22"/>
          <w:szCs w:val="22"/>
          <w:lang w:val="en-GB"/>
        </w:rPr>
        <w:t>debt to total assets ratio</w:t>
      </w:r>
      <w:r w:rsidRPr="00860FD1">
        <w:rPr>
          <w:sz w:val="22"/>
          <w:szCs w:val="22"/>
          <w:lang w:val="en-GB"/>
        </w:rPr>
        <w:t xml:space="preserve"> (also referred to as the </w:t>
      </w:r>
      <w:r w:rsidRPr="00860FD1">
        <w:rPr>
          <w:bCs/>
          <w:sz w:val="22"/>
          <w:szCs w:val="22"/>
          <w:lang w:val="en-GB"/>
        </w:rPr>
        <w:t>debt ratio</w:t>
      </w:r>
      <w:r w:rsidRPr="00860FD1">
        <w:rPr>
          <w:sz w:val="22"/>
          <w:szCs w:val="22"/>
          <w:lang w:val="en-GB"/>
        </w:rPr>
        <w:t xml:space="preserve">) measures the percentage of a business’s assets that are financed by creditors. The ratio indicates how heavily a business relies on debt financing. A </w:t>
      </w:r>
      <w:r w:rsidRPr="00860FD1">
        <w:rPr>
          <w:sz w:val="22"/>
          <w:szCs w:val="22"/>
          <w:lang w:val="en-GB"/>
        </w:rPr>
        <w:lastRenderedPageBreak/>
        <w:t>ratio of 0.55 means that for every dollar of assets, 55 cents is financed by debt</w:t>
      </w:r>
      <w:r w:rsidR="00FE4879">
        <w:rPr>
          <w:sz w:val="22"/>
          <w:szCs w:val="22"/>
          <w:lang w:val="en-GB"/>
        </w:rPr>
        <w:t>;</w:t>
      </w:r>
      <w:r w:rsidRPr="00860FD1">
        <w:rPr>
          <w:sz w:val="22"/>
          <w:szCs w:val="22"/>
          <w:lang w:val="en-GB"/>
        </w:rPr>
        <w:t xml:space="preserve"> or, expressed another way, 55 per cent of a business’s assets are financed by debt.</w:t>
      </w:r>
    </w:p>
    <w:p w14:paraId="5CD2691D" w14:textId="77777777" w:rsidR="00860FD1" w:rsidRPr="005A018D" w:rsidRDefault="00860FD1" w:rsidP="00860FD1">
      <w:pPr>
        <w:jc w:val="both"/>
        <w:rPr>
          <w:sz w:val="18"/>
          <w:szCs w:val="22"/>
          <w:lang w:val="en-GB"/>
        </w:rPr>
      </w:pPr>
    </w:p>
    <w:p w14:paraId="0F175EB8" w14:textId="4FAE045A" w:rsidR="00860FD1" w:rsidRPr="00860FD1" w:rsidRDefault="00860FD1" w:rsidP="00860FD1">
      <w:pPr>
        <w:jc w:val="both"/>
        <w:rPr>
          <w:sz w:val="22"/>
          <w:szCs w:val="22"/>
          <w:lang w:val="en-GB"/>
        </w:rPr>
      </w:pPr>
      <w:r w:rsidRPr="00860FD1">
        <w:rPr>
          <w:sz w:val="22"/>
          <w:szCs w:val="22"/>
          <w:lang w:val="en-GB"/>
        </w:rPr>
        <w:t>The level of debt that a business can handle depends on its earnings.</w:t>
      </w:r>
      <w:r w:rsidR="0086734E">
        <w:rPr>
          <w:sz w:val="22"/>
          <w:szCs w:val="22"/>
          <w:lang w:val="en-GB"/>
        </w:rPr>
        <w:t xml:space="preserve"> As well, more capital intensive industries generally use more debt financing.</w:t>
      </w:r>
      <w:r w:rsidRPr="00860FD1">
        <w:rPr>
          <w:sz w:val="22"/>
          <w:szCs w:val="22"/>
          <w:lang w:val="en-GB"/>
        </w:rPr>
        <w:t xml:space="preserve"> However, in general, as the percentage of debt to total assets increases, the risk also increases that the business may be unable to meet its maturing obligations and ongoing interest payments. </w:t>
      </w:r>
      <w:r w:rsidR="0086734E">
        <w:rPr>
          <w:sz w:val="22"/>
          <w:szCs w:val="22"/>
          <w:lang w:val="en-GB"/>
        </w:rPr>
        <w:t>I</w:t>
      </w:r>
      <w:r w:rsidRPr="00860FD1">
        <w:rPr>
          <w:sz w:val="22"/>
          <w:szCs w:val="22"/>
          <w:lang w:val="en-GB"/>
        </w:rPr>
        <w:t>n general, 0.60 to 0.70 is an acceptable level.</w:t>
      </w:r>
    </w:p>
    <w:p w14:paraId="0E9982E0" w14:textId="77777777" w:rsidR="00860FD1" w:rsidRPr="005A018D" w:rsidRDefault="00860FD1" w:rsidP="00860FD1">
      <w:pPr>
        <w:jc w:val="both"/>
        <w:rPr>
          <w:sz w:val="18"/>
          <w:szCs w:val="22"/>
          <w:lang w:val="en-GB"/>
        </w:rPr>
      </w:pPr>
    </w:p>
    <w:p w14:paraId="323E9089" w14:textId="77777777" w:rsidR="00860FD1" w:rsidRPr="005A018D" w:rsidRDefault="00860FD1" w:rsidP="00860FD1">
      <w:pPr>
        <w:jc w:val="both"/>
        <w:rPr>
          <w:sz w:val="18"/>
          <w:szCs w:val="22"/>
          <w:lang w:val="en-GB"/>
        </w:rPr>
      </w:pPr>
    </w:p>
    <w:p w14:paraId="253BA459" w14:textId="25D388ED" w:rsidR="00860FD1" w:rsidRPr="00860FD1" w:rsidRDefault="00860FD1" w:rsidP="005A018D">
      <w:pPr>
        <w:pStyle w:val="Casehead3"/>
        <w:numPr>
          <w:ilvl w:val="2"/>
          <w:numId w:val="11"/>
        </w:numPr>
        <w:rPr>
          <w:lang w:val="en-GB"/>
        </w:rPr>
      </w:pPr>
      <w:r w:rsidRPr="00AE7F34">
        <w:rPr>
          <w:lang w:val="en-GB"/>
        </w:rPr>
        <w:t>Debt to Equity Ratio</w:t>
      </w:r>
    </w:p>
    <w:p w14:paraId="7C1CB63B" w14:textId="77777777" w:rsidR="00860FD1" w:rsidRPr="005A018D" w:rsidRDefault="00860FD1" w:rsidP="00860FD1">
      <w:pPr>
        <w:jc w:val="both"/>
        <w:rPr>
          <w:sz w:val="18"/>
          <w:szCs w:val="22"/>
          <w:lang w:val="en-GB"/>
        </w:rPr>
      </w:pPr>
    </w:p>
    <w:p w14:paraId="7487F5B5" w14:textId="77777777" w:rsidR="00860FD1" w:rsidRPr="00860FD1" w:rsidRDefault="00860FD1" w:rsidP="00860FD1">
      <w:pPr>
        <w:jc w:val="center"/>
        <w:rPr>
          <w:bCs/>
          <w:sz w:val="22"/>
          <w:szCs w:val="22"/>
          <w:lang w:val="en-GB"/>
        </w:rPr>
      </w:pPr>
      <m:oMathPara>
        <m:oMath>
          <m:r>
            <w:rPr>
              <w:rFonts w:ascii="Cambria Math" w:hAnsi="Cambria Math"/>
              <w:sz w:val="22"/>
              <w:szCs w:val="22"/>
              <w:lang w:val="en-GB"/>
            </w:rPr>
            <m:t>Debt to Equity=</m:t>
          </m:r>
          <m:f>
            <m:fPr>
              <m:ctrlPr>
                <w:rPr>
                  <w:rFonts w:ascii="Cambria Math" w:hAnsi="Cambria Math"/>
                  <w:bCs/>
                  <w:i/>
                  <w:sz w:val="22"/>
                  <w:szCs w:val="22"/>
                  <w:lang w:val="en-GB"/>
                </w:rPr>
              </m:ctrlPr>
            </m:fPr>
            <m:num>
              <m:r>
                <w:rPr>
                  <w:rFonts w:ascii="Cambria Math" w:hAnsi="Cambria Math"/>
                  <w:sz w:val="22"/>
                  <w:szCs w:val="22"/>
                  <w:lang w:val="en-GB"/>
                </w:rPr>
                <m:t>Total Liabilities</m:t>
              </m:r>
            </m:num>
            <m:den>
              <m:r>
                <w:rPr>
                  <w:rFonts w:ascii="Cambria Math" w:hAnsi="Cambria Math"/>
                  <w:sz w:val="22"/>
                  <w:szCs w:val="22"/>
                  <w:lang w:val="en-GB"/>
                </w:rPr>
                <m:t>Total Shareholder</m:t>
              </m:r>
              <m:sSup>
                <m:sSupPr>
                  <m:ctrlPr>
                    <w:rPr>
                      <w:rFonts w:ascii="Cambria Math" w:hAnsi="Cambria Math"/>
                      <w:bCs/>
                      <w:i/>
                      <w:sz w:val="22"/>
                      <w:szCs w:val="22"/>
                      <w:lang w:val="en-GB"/>
                    </w:rPr>
                  </m:ctrlPr>
                </m:sSupPr>
                <m:e>
                  <m:r>
                    <w:rPr>
                      <w:rFonts w:ascii="Cambria Math" w:hAnsi="Cambria Math"/>
                      <w:sz w:val="22"/>
                      <w:szCs w:val="22"/>
                      <w:lang w:val="en-GB"/>
                    </w:rPr>
                    <m:t>s</m:t>
                  </m:r>
                </m:e>
                <m:sup>
                  <m:r>
                    <w:rPr>
                      <w:rFonts w:ascii="Cambria Math" w:hAnsi="Cambria Math"/>
                      <w:sz w:val="22"/>
                      <w:szCs w:val="22"/>
                      <w:lang w:val="en-GB"/>
                    </w:rPr>
                    <m:t>'</m:t>
                  </m:r>
                </m:sup>
              </m:sSup>
              <m:r>
                <w:rPr>
                  <w:rFonts w:ascii="Cambria Math" w:hAnsi="Cambria Math"/>
                  <w:sz w:val="22"/>
                  <w:szCs w:val="22"/>
                  <w:lang w:val="en-GB"/>
                </w:rPr>
                <m:t>Equity</m:t>
              </m:r>
            </m:den>
          </m:f>
        </m:oMath>
      </m:oMathPara>
    </w:p>
    <w:p w14:paraId="1EEA1FC2" w14:textId="77777777" w:rsidR="00860FD1" w:rsidRPr="005A018D" w:rsidRDefault="00860FD1" w:rsidP="00860FD1">
      <w:pPr>
        <w:pStyle w:val="BodyTextMain"/>
        <w:rPr>
          <w:sz w:val="18"/>
          <w:lang w:val="en-GB"/>
        </w:rPr>
      </w:pPr>
    </w:p>
    <w:p w14:paraId="16D12AD3" w14:textId="606DA28D" w:rsidR="00860FD1" w:rsidRPr="00860FD1" w:rsidRDefault="00860FD1" w:rsidP="00860FD1">
      <w:pPr>
        <w:jc w:val="both"/>
        <w:rPr>
          <w:sz w:val="22"/>
          <w:szCs w:val="22"/>
          <w:lang w:val="en-GB"/>
        </w:rPr>
      </w:pPr>
      <w:r w:rsidRPr="00860FD1">
        <w:rPr>
          <w:sz w:val="22"/>
          <w:szCs w:val="22"/>
          <w:lang w:val="en-GB"/>
        </w:rPr>
        <w:t>The debt to equity (D/E) ratio is a variation of the debt ratio. Where the debt to total assets ratio measures how much of a company’s assets are financed by debt, the D/E ratio measures how much of a company’s debt is covered by shareholder</w:t>
      </w:r>
      <w:r w:rsidR="00FE4879">
        <w:rPr>
          <w:sz w:val="22"/>
          <w:szCs w:val="22"/>
          <w:lang w:val="en-GB"/>
        </w:rPr>
        <w:t>s’</w:t>
      </w:r>
      <w:r w:rsidRPr="00860FD1">
        <w:rPr>
          <w:sz w:val="22"/>
          <w:szCs w:val="22"/>
          <w:lang w:val="en-GB"/>
        </w:rPr>
        <w:t xml:space="preserve"> equity (including retained earnings). </w:t>
      </w:r>
      <w:r w:rsidR="00FE4879">
        <w:rPr>
          <w:sz w:val="22"/>
          <w:szCs w:val="22"/>
          <w:lang w:val="en-GB"/>
        </w:rPr>
        <w:t>A ratio of 0.7 means that for every dollar of shareholders’ equity, there is 70 cents in liabilities</w:t>
      </w:r>
      <w:r w:rsidRPr="00860FD1">
        <w:rPr>
          <w:sz w:val="22"/>
          <w:szCs w:val="22"/>
          <w:lang w:val="en-GB"/>
        </w:rPr>
        <w:t>. A high D/E ratio usually means that a company is being aggressive in using debt financing to leverage growth.</w:t>
      </w:r>
    </w:p>
    <w:p w14:paraId="71648FDB" w14:textId="77777777" w:rsidR="00860FD1" w:rsidRPr="005A018D" w:rsidRDefault="00860FD1" w:rsidP="00860FD1">
      <w:pPr>
        <w:jc w:val="both"/>
        <w:rPr>
          <w:sz w:val="18"/>
          <w:szCs w:val="22"/>
          <w:lang w:val="en-GB"/>
        </w:rPr>
      </w:pPr>
    </w:p>
    <w:p w14:paraId="39EFAF08" w14:textId="0B7EFD21" w:rsidR="00860FD1" w:rsidRPr="00860FD1" w:rsidRDefault="00FE4879" w:rsidP="00860FD1">
      <w:pPr>
        <w:jc w:val="both"/>
        <w:rPr>
          <w:sz w:val="22"/>
          <w:szCs w:val="22"/>
          <w:lang w:val="en-GB"/>
        </w:rPr>
      </w:pPr>
      <w:r>
        <w:rPr>
          <w:sz w:val="22"/>
          <w:szCs w:val="22"/>
          <w:lang w:val="en-GB"/>
        </w:rPr>
        <w:t>Both the debt to assets and debt to equity ratios are sometimes calculated using long-term liabilities instead of total liabilities.</w:t>
      </w:r>
    </w:p>
    <w:p w14:paraId="3B1AA417" w14:textId="77777777" w:rsidR="00860FD1" w:rsidRPr="005A018D" w:rsidRDefault="00860FD1" w:rsidP="00860FD1">
      <w:pPr>
        <w:jc w:val="both"/>
        <w:rPr>
          <w:sz w:val="18"/>
          <w:szCs w:val="22"/>
          <w:lang w:val="en-GB"/>
        </w:rPr>
      </w:pPr>
    </w:p>
    <w:p w14:paraId="0815EC90" w14:textId="77777777" w:rsidR="00860FD1" w:rsidRPr="005A018D" w:rsidRDefault="00860FD1" w:rsidP="00860FD1">
      <w:pPr>
        <w:jc w:val="both"/>
        <w:rPr>
          <w:sz w:val="18"/>
          <w:szCs w:val="22"/>
          <w:lang w:val="en-GB"/>
        </w:rPr>
      </w:pPr>
    </w:p>
    <w:p w14:paraId="4C20FA7F" w14:textId="0C1B7979" w:rsidR="00860FD1" w:rsidRPr="00860FD1" w:rsidRDefault="00860FD1" w:rsidP="005A018D">
      <w:pPr>
        <w:pStyle w:val="Casehead3"/>
        <w:numPr>
          <w:ilvl w:val="2"/>
          <w:numId w:val="11"/>
        </w:numPr>
        <w:rPr>
          <w:lang w:val="en-GB"/>
        </w:rPr>
      </w:pPr>
      <w:r w:rsidRPr="00AE7F34">
        <w:rPr>
          <w:lang w:val="en-GB"/>
        </w:rPr>
        <w:t>Times Interest Earned</w:t>
      </w:r>
    </w:p>
    <w:p w14:paraId="2836BE18" w14:textId="77777777" w:rsidR="00860FD1" w:rsidRPr="005A018D" w:rsidRDefault="00860FD1" w:rsidP="00860FD1">
      <w:pPr>
        <w:jc w:val="both"/>
        <w:rPr>
          <w:sz w:val="18"/>
          <w:szCs w:val="22"/>
          <w:lang w:val="en-GB"/>
        </w:rPr>
      </w:pPr>
    </w:p>
    <w:p w14:paraId="57275E08" w14:textId="77777777" w:rsidR="00860FD1" w:rsidRPr="00860FD1" w:rsidRDefault="00860FD1" w:rsidP="00860FD1">
      <w:pPr>
        <w:jc w:val="center"/>
        <w:rPr>
          <w:bCs/>
          <w:sz w:val="22"/>
          <w:szCs w:val="22"/>
          <w:lang w:val="en-GB"/>
        </w:rPr>
      </w:pPr>
      <m:oMathPara>
        <m:oMath>
          <m:r>
            <w:rPr>
              <w:rFonts w:ascii="Cambria Math" w:hAnsi="Cambria Math"/>
              <w:sz w:val="22"/>
              <w:szCs w:val="22"/>
              <w:lang w:val="en-GB"/>
            </w:rPr>
            <m:t>Times Interest Earned=</m:t>
          </m:r>
          <m:f>
            <m:fPr>
              <m:ctrlPr>
                <w:rPr>
                  <w:rFonts w:ascii="Cambria Math" w:hAnsi="Cambria Math"/>
                  <w:bCs/>
                  <w:i/>
                  <w:sz w:val="22"/>
                  <w:szCs w:val="22"/>
                  <w:lang w:val="en-GB"/>
                </w:rPr>
              </m:ctrlPr>
            </m:fPr>
            <m:num>
              <m:r>
                <w:rPr>
                  <w:rFonts w:ascii="Cambria Math" w:hAnsi="Cambria Math"/>
                  <w:sz w:val="22"/>
                  <w:szCs w:val="22"/>
                  <w:lang w:val="en-GB"/>
                </w:rPr>
                <m:t>EBIT</m:t>
              </m:r>
            </m:num>
            <m:den>
              <m:r>
                <w:rPr>
                  <w:rFonts w:ascii="Cambria Math" w:hAnsi="Cambria Math"/>
                  <w:sz w:val="22"/>
                  <w:szCs w:val="22"/>
                  <w:lang w:val="en-GB"/>
                </w:rPr>
                <m:t>Interest Expense</m:t>
              </m:r>
            </m:den>
          </m:f>
        </m:oMath>
      </m:oMathPara>
    </w:p>
    <w:p w14:paraId="731A0FC0" w14:textId="77777777" w:rsidR="00FE4879" w:rsidRPr="005A018D" w:rsidRDefault="00FE4879" w:rsidP="00860FD1">
      <w:pPr>
        <w:jc w:val="both"/>
        <w:rPr>
          <w:bCs/>
          <w:sz w:val="18"/>
          <w:szCs w:val="22"/>
          <w:lang w:val="en-GB"/>
        </w:rPr>
      </w:pPr>
    </w:p>
    <w:p w14:paraId="293C8069" w14:textId="17AEB1FC" w:rsidR="00FE4879" w:rsidRPr="00860FD1" w:rsidRDefault="00860FD1" w:rsidP="00860FD1">
      <w:pPr>
        <w:jc w:val="both"/>
        <w:rPr>
          <w:bCs/>
          <w:sz w:val="22"/>
          <w:szCs w:val="22"/>
          <w:lang w:val="en-GB"/>
        </w:rPr>
      </w:pPr>
      <w:r>
        <w:rPr>
          <w:bCs/>
          <w:sz w:val="22"/>
          <w:szCs w:val="22"/>
          <w:lang w:val="en-GB"/>
        </w:rPr>
        <w:t>W</w:t>
      </w:r>
      <w:r w:rsidRPr="00860FD1">
        <w:rPr>
          <w:bCs/>
          <w:sz w:val="22"/>
          <w:szCs w:val="22"/>
          <w:lang w:val="en-GB"/>
        </w:rPr>
        <w:t xml:space="preserve">here EBIT </w:t>
      </w:r>
      <w:r w:rsidR="00FE4879">
        <w:rPr>
          <w:bCs/>
          <w:sz w:val="22"/>
          <w:szCs w:val="22"/>
          <w:lang w:val="en-GB"/>
        </w:rPr>
        <w:t xml:space="preserve">refers to </w:t>
      </w:r>
      <w:r w:rsidRPr="00860FD1">
        <w:rPr>
          <w:bCs/>
          <w:sz w:val="22"/>
          <w:szCs w:val="22"/>
          <w:lang w:val="en-GB"/>
        </w:rPr>
        <w:t>earnings before interest and taxes</w:t>
      </w:r>
      <w:r w:rsidR="00FE4879">
        <w:rPr>
          <w:bCs/>
          <w:sz w:val="22"/>
          <w:szCs w:val="22"/>
          <w:lang w:val="en-GB"/>
        </w:rPr>
        <w:t>.</w:t>
      </w:r>
    </w:p>
    <w:p w14:paraId="28265ADC" w14:textId="77777777" w:rsidR="00860FD1" w:rsidRPr="005A018D" w:rsidRDefault="00860FD1" w:rsidP="00860FD1">
      <w:pPr>
        <w:jc w:val="both"/>
        <w:rPr>
          <w:bCs/>
          <w:sz w:val="18"/>
          <w:szCs w:val="22"/>
          <w:lang w:val="en-GB"/>
        </w:rPr>
      </w:pPr>
    </w:p>
    <w:p w14:paraId="6278669D" w14:textId="23EED722" w:rsidR="00860FD1" w:rsidRPr="00860FD1" w:rsidRDefault="00860FD1" w:rsidP="00860FD1">
      <w:pPr>
        <w:jc w:val="center"/>
        <w:rPr>
          <w:bCs/>
          <w:sz w:val="22"/>
          <w:szCs w:val="22"/>
          <w:lang w:val="en-GB"/>
        </w:rPr>
      </w:pPr>
      <m:oMathPara>
        <m:oMath>
          <m:r>
            <w:rPr>
              <w:rFonts w:ascii="Cambria Math" w:hAnsi="Cambria Math"/>
              <w:sz w:val="22"/>
              <w:szCs w:val="22"/>
              <w:lang w:val="en-GB"/>
            </w:rPr>
            <m:t>EBIT= Net Income+Interest Expense+Income Tax Expense</m:t>
          </m:r>
        </m:oMath>
      </m:oMathPara>
    </w:p>
    <w:p w14:paraId="400573D2" w14:textId="77777777" w:rsidR="00860FD1" w:rsidRPr="005A018D" w:rsidRDefault="00860FD1" w:rsidP="00860FD1">
      <w:pPr>
        <w:jc w:val="both"/>
        <w:rPr>
          <w:sz w:val="18"/>
          <w:szCs w:val="22"/>
          <w:lang w:val="en-GB"/>
        </w:rPr>
      </w:pPr>
    </w:p>
    <w:p w14:paraId="2C391083" w14:textId="1CBFEAE0" w:rsidR="00860FD1" w:rsidRPr="00860FD1" w:rsidRDefault="00860FD1" w:rsidP="00860FD1">
      <w:pPr>
        <w:jc w:val="both"/>
        <w:rPr>
          <w:sz w:val="22"/>
          <w:szCs w:val="22"/>
          <w:lang w:val="en-GB"/>
        </w:rPr>
      </w:pPr>
      <w:r w:rsidRPr="00860FD1">
        <w:rPr>
          <w:sz w:val="22"/>
          <w:szCs w:val="22"/>
          <w:lang w:val="en-GB"/>
        </w:rPr>
        <w:t xml:space="preserve">The </w:t>
      </w:r>
      <w:r w:rsidRPr="00860FD1">
        <w:rPr>
          <w:bCs/>
          <w:sz w:val="22"/>
          <w:szCs w:val="22"/>
          <w:lang w:val="en-GB"/>
        </w:rPr>
        <w:t>times interest earned</w:t>
      </w:r>
      <w:r w:rsidRPr="00860FD1">
        <w:rPr>
          <w:sz w:val="22"/>
          <w:szCs w:val="22"/>
          <w:lang w:val="en-GB"/>
        </w:rPr>
        <w:t xml:space="preserve"> </w:t>
      </w:r>
      <w:r w:rsidRPr="00860FD1">
        <w:rPr>
          <w:bCs/>
          <w:sz w:val="22"/>
          <w:szCs w:val="22"/>
          <w:lang w:val="en-GB"/>
        </w:rPr>
        <w:t>ratio</w:t>
      </w:r>
      <w:r w:rsidRPr="00860FD1">
        <w:rPr>
          <w:sz w:val="22"/>
          <w:szCs w:val="22"/>
          <w:lang w:val="en-GB"/>
        </w:rPr>
        <w:t xml:space="preserve"> (also known as the </w:t>
      </w:r>
      <w:r w:rsidRPr="00860FD1">
        <w:rPr>
          <w:bCs/>
          <w:sz w:val="22"/>
          <w:szCs w:val="22"/>
          <w:lang w:val="en-GB"/>
        </w:rPr>
        <w:t>interest coverage ratio</w:t>
      </w:r>
      <w:r w:rsidRPr="00860FD1">
        <w:rPr>
          <w:sz w:val="22"/>
          <w:szCs w:val="22"/>
          <w:lang w:val="en-GB"/>
        </w:rPr>
        <w:t xml:space="preserve">) is one measure of a corporation’s ability to </w:t>
      </w:r>
      <w:r w:rsidR="00104698">
        <w:rPr>
          <w:sz w:val="22"/>
          <w:szCs w:val="22"/>
          <w:lang w:val="en-GB"/>
        </w:rPr>
        <w:t xml:space="preserve">generate sufficient earnings to </w:t>
      </w:r>
      <w:r w:rsidRPr="00860FD1">
        <w:rPr>
          <w:sz w:val="22"/>
          <w:szCs w:val="22"/>
          <w:lang w:val="en-GB"/>
        </w:rPr>
        <w:t>make interest payments as they come due. An acceptable range is typically 2.0 to 3.0, although, again, the suitability of this range varies by industry.</w:t>
      </w:r>
    </w:p>
    <w:p w14:paraId="243B4789" w14:textId="77777777" w:rsidR="00860FD1" w:rsidRPr="005A018D" w:rsidRDefault="00860FD1" w:rsidP="005A018D">
      <w:pPr>
        <w:pStyle w:val="BodyTextMain"/>
        <w:rPr>
          <w:lang w:val="en-GB"/>
        </w:rPr>
      </w:pPr>
      <w:bookmarkStart w:id="7" w:name="_Toc393181053"/>
    </w:p>
    <w:p w14:paraId="1134135C" w14:textId="77777777" w:rsidR="00860FD1" w:rsidRPr="005A018D" w:rsidRDefault="00860FD1" w:rsidP="005A018D">
      <w:pPr>
        <w:pStyle w:val="BodyTextMain"/>
        <w:rPr>
          <w:lang w:val="en-GB"/>
        </w:rPr>
      </w:pPr>
    </w:p>
    <w:p w14:paraId="15D779EE" w14:textId="77777777" w:rsidR="00860FD1" w:rsidRPr="00860FD1" w:rsidRDefault="00860FD1" w:rsidP="00100EF4">
      <w:pPr>
        <w:numPr>
          <w:ilvl w:val="0"/>
          <w:numId w:val="9"/>
        </w:numPr>
        <w:tabs>
          <w:tab w:val="left" w:pos="284"/>
        </w:tabs>
        <w:jc w:val="both"/>
        <w:rPr>
          <w:rFonts w:ascii="Arial" w:hAnsi="Arial" w:cs="Arial"/>
          <w:b/>
          <w:caps/>
          <w:lang w:val="en-GB"/>
        </w:rPr>
      </w:pPr>
      <w:r w:rsidRPr="00860FD1">
        <w:rPr>
          <w:rFonts w:ascii="Arial" w:hAnsi="Arial" w:cs="Arial"/>
          <w:b/>
          <w:caps/>
          <w:lang w:val="en-GB"/>
        </w:rPr>
        <w:t>Assessing Profitability</w:t>
      </w:r>
      <w:bookmarkEnd w:id="7"/>
    </w:p>
    <w:p w14:paraId="066D5A35" w14:textId="77777777" w:rsidR="00860FD1" w:rsidRPr="005A018D" w:rsidRDefault="00860FD1" w:rsidP="00860FD1">
      <w:pPr>
        <w:jc w:val="both"/>
        <w:rPr>
          <w:sz w:val="18"/>
          <w:szCs w:val="22"/>
          <w:lang w:val="en-GB"/>
        </w:rPr>
      </w:pPr>
    </w:p>
    <w:p w14:paraId="2C2A6651" w14:textId="351748B1" w:rsidR="00860FD1" w:rsidRPr="00860FD1" w:rsidRDefault="00860FD1" w:rsidP="00860FD1">
      <w:pPr>
        <w:jc w:val="both"/>
        <w:rPr>
          <w:sz w:val="22"/>
          <w:szCs w:val="22"/>
          <w:lang w:val="en-GB"/>
        </w:rPr>
      </w:pPr>
      <w:r w:rsidRPr="00860FD1">
        <w:rPr>
          <w:sz w:val="22"/>
          <w:szCs w:val="22"/>
          <w:lang w:val="en-GB"/>
        </w:rPr>
        <w:t xml:space="preserve">If you are asked to evaluate the profitability of a specific alternative course of action, your approach </w:t>
      </w:r>
      <w:r w:rsidR="0086734E">
        <w:rPr>
          <w:sz w:val="22"/>
          <w:szCs w:val="22"/>
          <w:lang w:val="en-GB"/>
        </w:rPr>
        <w:t>should</w:t>
      </w:r>
      <w:r w:rsidR="0086734E" w:rsidRPr="00860FD1">
        <w:rPr>
          <w:sz w:val="22"/>
          <w:szCs w:val="22"/>
          <w:lang w:val="en-GB"/>
        </w:rPr>
        <w:t xml:space="preserve"> </w:t>
      </w:r>
      <w:r w:rsidRPr="00860FD1">
        <w:rPr>
          <w:sz w:val="22"/>
          <w:szCs w:val="22"/>
          <w:lang w:val="en-GB"/>
        </w:rPr>
        <w:t xml:space="preserve">depend on the level of detail provided in the case facts. A simple measure of profitability </w:t>
      </w:r>
      <w:r w:rsidR="0086734E">
        <w:rPr>
          <w:sz w:val="22"/>
          <w:szCs w:val="22"/>
          <w:lang w:val="en-GB"/>
        </w:rPr>
        <w:t>is</w:t>
      </w:r>
      <w:r w:rsidRPr="00860FD1">
        <w:rPr>
          <w:sz w:val="22"/>
          <w:szCs w:val="22"/>
          <w:lang w:val="en-GB"/>
        </w:rPr>
        <w:t xml:space="preserve"> to calculate the contribution margin (CM) of individual products.</w:t>
      </w:r>
    </w:p>
    <w:p w14:paraId="71A3FAB4" w14:textId="77777777" w:rsidR="00860FD1" w:rsidRPr="00860FD1" w:rsidRDefault="00860FD1" w:rsidP="00860FD1">
      <w:pPr>
        <w:jc w:val="both"/>
        <w:rPr>
          <w:sz w:val="22"/>
          <w:szCs w:val="22"/>
          <w:lang w:val="en-GB"/>
        </w:rPr>
      </w:pPr>
    </w:p>
    <w:p w14:paraId="3AD5BDF5" w14:textId="77777777" w:rsidR="00860FD1" w:rsidRPr="00860FD1" w:rsidRDefault="00860FD1" w:rsidP="00860FD1">
      <w:pPr>
        <w:jc w:val="center"/>
        <w:rPr>
          <w:sz w:val="22"/>
          <w:szCs w:val="24"/>
          <w:lang w:val="en-GB"/>
        </w:rPr>
      </w:pPr>
      <m:oMathPara>
        <m:oMath>
          <m:r>
            <w:rPr>
              <w:rFonts w:ascii="Cambria Math" w:hAnsi="Cambria Math"/>
              <w:sz w:val="22"/>
              <w:szCs w:val="24"/>
              <w:lang w:val="en-GB"/>
            </w:rPr>
            <m:t>Contribution Margin per Unit=Unit Selling Price-Unit Variable Costs</m:t>
          </m:r>
        </m:oMath>
      </m:oMathPara>
    </w:p>
    <w:p w14:paraId="34E52F81" w14:textId="77777777" w:rsidR="00860FD1" w:rsidRPr="00860FD1" w:rsidRDefault="00860FD1" w:rsidP="00860FD1">
      <w:pPr>
        <w:jc w:val="both"/>
        <w:rPr>
          <w:sz w:val="22"/>
          <w:szCs w:val="24"/>
          <w:lang w:val="en-GB"/>
        </w:rPr>
      </w:pPr>
    </w:p>
    <w:p w14:paraId="575C36FD" w14:textId="77777777" w:rsidR="00860FD1" w:rsidRPr="00860FD1" w:rsidRDefault="00860FD1" w:rsidP="00860FD1">
      <w:pPr>
        <w:jc w:val="center"/>
        <w:rPr>
          <w:sz w:val="22"/>
          <w:szCs w:val="24"/>
          <w:lang w:val="en-GB"/>
        </w:rPr>
      </w:pPr>
      <m:oMathPara>
        <m:oMath>
          <m:r>
            <w:rPr>
              <w:rFonts w:ascii="Cambria Math" w:hAnsi="Cambria Math"/>
              <w:sz w:val="22"/>
              <w:szCs w:val="24"/>
              <w:lang w:val="en-GB"/>
            </w:rPr>
            <m:t>Contribution Margin Ratio=</m:t>
          </m:r>
          <m:f>
            <m:fPr>
              <m:ctrlPr>
                <w:rPr>
                  <w:rFonts w:ascii="Cambria Math" w:hAnsi="Cambria Math"/>
                  <w:i/>
                  <w:sz w:val="22"/>
                  <w:szCs w:val="24"/>
                  <w:lang w:val="en-GB"/>
                </w:rPr>
              </m:ctrlPr>
            </m:fPr>
            <m:num>
              <m:r>
                <w:rPr>
                  <w:rFonts w:ascii="Cambria Math" w:hAnsi="Cambria Math"/>
                  <w:sz w:val="22"/>
                  <w:szCs w:val="24"/>
                  <w:lang w:val="en-GB"/>
                </w:rPr>
                <m:t>Contribution Margin Per Unit</m:t>
              </m:r>
            </m:num>
            <m:den>
              <m:r>
                <w:rPr>
                  <w:rFonts w:ascii="Cambria Math" w:hAnsi="Cambria Math"/>
                  <w:sz w:val="22"/>
                  <w:szCs w:val="24"/>
                  <w:lang w:val="en-GB"/>
                </w:rPr>
                <m:t>Unit Selling Price</m:t>
              </m:r>
            </m:den>
          </m:f>
        </m:oMath>
      </m:oMathPara>
    </w:p>
    <w:p w14:paraId="07B65A8F" w14:textId="77777777" w:rsidR="00860FD1" w:rsidRPr="00860FD1" w:rsidRDefault="00860FD1" w:rsidP="00860FD1">
      <w:pPr>
        <w:jc w:val="both"/>
        <w:rPr>
          <w:sz w:val="22"/>
          <w:szCs w:val="24"/>
          <w:lang w:val="en-GB"/>
        </w:rPr>
      </w:pPr>
    </w:p>
    <w:p w14:paraId="79BCE0D5" w14:textId="32E855F2" w:rsidR="00860FD1" w:rsidRPr="00860FD1" w:rsidRDefault="00860FD1" w:rsidP="00860FD1">
      <w:pPr>
        <w:jc w:val="both"/>
        <w:rPr>
          <w:sz w:val="22"/>
          <w:szCs w:val="22"/>
          <w:lang w:val="en-GB"/>
        </w:rPr>
      </w:pPr>
      <w:r w:rsidRPr="00860FD1">
        <w:rPr>
          <w:sz w:val="22"/>
          <w:szCs w:val="22"/>
          <w:lang w:val="en-GB"/>
        </w:rPr>
        <w:t xml:space="preserve">Variable costs are those costs that vary directly, on a total basis, with increases or decreases in sales, such as labour or materials. As production volume increases, total variable costs increase proportionately; as </w:t>
      </w:r>
      <w:r w:rsidRPr="00860FD1">
        <w:rPr>
          <w:sz w:val="22"/>
          <w:szCs w:val="22"/>
          <w:lang w:val="en-GB"/>
        </w:rPr>
        <w:lastRenderedPageBreak/>
        <w:t>production volume decreases, total variable costs decrease proportionately. Fixed costs are those costs that do not vary, on a total basis, with changes in sales; rather, they need to be paid regardless of the level of business activity. Total fixed costs remain the same, as long as sales fall within a relevant range of production. Examples of fixed costs include</w:t>
      </w:r>
      <w:r w:rsidR="00104698">
        <w:rPr>
          <w:sz w:val="22"/>
          <w:szCs w:val="22"/>
          <w:lang w:val="en-GB"/>
        </w:rPr>
        <w:t xml:space="preserve"> rent,</w:t>
      </w:r>
      <w:r w:rsidRPr="00860FD1">
        <w:rPr>
          <w:sz w:val="22"/>
          <w:szCs w:val="22"/>
          <w:lang w:val="en-GB"/>
        </w:rPr>
        <w:t xml:space="preserve"> insurance, utilities, and property taxes.</w:t>
      </w:r>
    </w:p>
    <w:p w14:paraId="5E0A571E" w14:textId="77777777" w:rsidR="00860FD1" w:rsidRPr="00860FD1" w:rsidRDefault="00860FD1" w:rsidP="00860FD1">
      <w:pPr>
        <w:jc w:val="both"/>
        <w:rPr>
          <w:sz w:val="22"/>
          <w:szCs w:val="22"/>
          <w:lang w:val="en-GB"/>
        </w:rPr>
      </w:pPr>
    </w:p>
    <w:p w14:paraId="4DBD10F5" w14:textId="77777777" w:rsidR="00860FD1" w:rsidRPr="00860FD1" w:rsidRDefault="00860FD1" w:rsidP="00860FD1">
      <w:pPr>
        <w:jc w:val="both"/>
        <w:rPr>
          <w:sz w:val="22"/>
          <w:szCs w:val="22"/>
          <w:lang w:val="en-GB"/>
        </w:rPr>
      </w:pPr>
      <w:r w:rsidRPr="00AE7F34">
        <w:rPr>
          <w:sz w:val="22"/>
          <w:szCs w:val="22"/>
          <w:lang w:val="en-GB"/>
        </w:rPr>
        <w:t xml:space="preserve">Variable costs </w:t>
      </w:r>
      <w:r w:rsidRPr="004F2449">
        <w:rPr>
          <w:sz w:val="22"/>
          <w:szCs w:val="22"/>
          <w:lang w:val="en-GB"/>
        </w:rPr>
        <w:t>per unit</w:t>
      </w:r>
      <w:r w:rsidRPr="00AE7F34">
        <w:rPr>
          <w:sz w:val="22"/>
          <w:szCs w:val="22"/>
          <w:lang w:val="en-GB"/>
        </w:rPr>
        <w:t xml:space="preserve"> do not change as production volume changes, while fixed costs </w:t>
      </w:r>
      <w:r w:rsidRPr="004F2449">
        <w:rPr>
          <w:sz w:val="22"/>
          <w:szCs w:val="22"/>
          <w:lang w:val="en-GB"/>
        </w:rPr>
        <w:t>per unit</w:t>
      </w:r>
      <w:r w:rsidRPr="00AE7F34">
        <w:rPr>
          <w:sz w:val="22"/>
          <w:szCs w:val="22"/>
          <w:lang w:val="en-GB"/>
        </w:rPr>
        <w:t xml:space="preserve"> do change as production volume changes.</w:t>
      </w:r>
    </w:p>
    <w:p w14:paraId="694078E5" w14:textId="77777777" w:rsidR="00860FD1" w:rsidRPr="00860FD1" w:rsidRDefault="00860FD1" w:rsidP="00860FD1">
      <w:pPr>
        <w:jc w:val="both"/>
        <w:rPr>
          <w:sz w:val="22"/>
          <w:szCs w:val="22"/>
          <w:lang w:val="en-GB"/>
        </w:rPr>
      </w:pPr>
    </w:p>
    <w:p w14:paraId="696AC6A0" w14:textId="66327437" w:rsidR="00860FD1" w:rsidRPr="00860FD1" w:rsidRDefault="00860FD1" w:rsidP="00860FD1">
      <w:pPr>
        <w:jc w:val="both"/>
        <w:rPr>
          <w:sz w:val="22"/>
          <w:szCs w:val="22"/>
          <w:lang w:val="en-GB"/>
        </w:rPr>
      </w:pPr>
      <w:r w:rsidRPr="00860FD1">
        <w:rPr>
          <w:sz w:val="22"/>
          <w:szCs w:val="22"/>
          <w:lang w:val="en-GB"/>
        </w:rPr>
        <w:t>You can calculate the contribution margin to compare the profitability of different services or products. Obviously, the larger the margin, the better for the company</w:t>
      </w:r>
      <w:r w:rsidR="00104698">
        <w:rPr>
          <w:sz w:val="22"/>
          <w:szCs w:val="22"/>
          <w:lang w:val="en-GB"/>
        </w:rPr>
        <w:t>;</w:t>
      </w:r>
      <w:r w:rsidRPr="00860FD1">
        <w:rPr>
          <w:sz w:val="22"/>
          <w:szCs w:val="22"/>
          <w:lang w:val="en-GB"/>
        </w:rPr>
        <w:t xml:space="preserve"> but in any event, a positive contribution margin is required to </w:t>
      </w:r>
      <w:r w:rsidR="0086734E">
        <w:rPr>
          <w:sz w:val="22"/>
          <w:szCs w:val="22"/>
          <w:lang w:val="en-GB"/>
        </w:rPr>
        <w:t>help cover</w:t>
      </w:r>
      <w:r w:rsidR="0086734E" w:rsidRPr="00860FD1">
        <w:rPr>
          <w:sz w:val="22"/>
          <w:szCs w:val="22"/>
          <w:lang w:val="en-GB"/>
        </w:rPr>
        <w:t xml:space="preserve"> </w:t>
      </w:r>
      <w:r w:rsidRPr="00860FD1">
        <w:rPr>
          <w:sz w:val="22"/>
          <w:szCs w:val="22"/>
          <w:lang w:val="en-GB"/>
        </w:rPr>
        <w:t xml:space="preserve">the fixed costs associated with production and distribution. </w:t>
      </w:r>
    </w:p>
    <w:p w14:paraId="4052D55F" w14:textId="77777777" w:rsidR="00860FD1" w:rsidRPr="00860FD1" w:rsidRDefault="00860FD1" w:rsidP="00860FD1">
      <w:pPr>
        <w:jc w:val="both"/>
        <w:rPr>
          <w:sz w:val="22"/>
          <w:szCs w:val="22"/>
          <w:lang w:val="en-GB"/>
        </w:rPr>
      </w:pPr>
    </w:p>
    <w:p w14:paraId="44D070E8" w14:textId="7CCA48D5" w:rsidR="00860FD1" w:rsidRPr="00860FD1" w:rsidRDefault="00860FD1" w:rsidP="00860FD1">
      <w:pPr>
        <w:jc w:val="both"/>
        <w:rPr>
          <w:sz w:val="22"/>
          <w:szCs w:val="22"/>
          <w:lang w:val="en-GB"/>
        </w:rPr>
      </w:pPr>
      <w:r w:rsidRPr="00860FD1">
        <w:rPr>
          <w:sz w:val="22"/>
          <w:szCs w:val="22"/>
          <w:lang w:val="en-GB"/>
        </w:rPr>
        <w:t xml:space="preserve">Another simple measure of profitability is to calculate the gross profit margin (see Section </w:t>
      </w:r>
      <w:r w:rsidR="00104698">
        <w:rPr>
          <w:sz w:val="22"/>
          <w:szCs w:val="22"/>
          <w:lang w:val="en-GB"/>
        </w:rPr>
        <w:t>4.1.3</w:t>
      </w:r>
      <w:r w:rsidRPr="00860FD1">
        <w:rPr>
          <w:sz w:val="22"/>
          <w:szCs w:val="22"/>
          <w:lang w:val="en-GB"/>
        </w:rPr>
        <w:t xml:space="preserve">). </w:t>
      </w:r>
      <w:r w:rsidR="0086734E">
        <w:rPr>
          <w:sz w:val="22"/>
          <w:szCs w:val="22"/>
          <w:lang w:val="en-GB"/>
        </w:rPr>
        <w:t>C</w:t>
      </w:r>
      <w:r w:rsidRPr="00860FD1">
        <w:rPr>
          <w:sz w:val="22"/>
          <w:szCs w:val="22"/>
          <w:lang w:val="en-GB"/>
        </w:rPr>
        <w:t>ontribution margin is the better measure of profitability for decision making purposes—especially because it can be used to perform break-even analysis—but it requires having sufficient information from the case to distinguish between variable and fixed costs. Calculating the gross profit does not require the same detail.</w:t>
      </w:r>
    </w:p>
    <w:p w14:paraId="0B88547E" w14:textId="77777777" w:rsidR="00860FD1" w:rsidRPr="00860FD1" w:rsidRDefault="00860FD1" w:rsidP="00860FD1">
      <w:pPr>
        <w:jc w:val="both"/>
        <w:rPr>
          <w:sz w:val="22"/>
          <w:szCs w:val="22"/>
          <w:lang w:val="en-GB"/>
        </w:rPr>
      </w:pPr>
    </w:p>
    <w:p w14:paraId="081E21F2" w14:textId="77777777" w:rsidR="00860FD1" w:rsidRPr="00860FD1" w:rsidRDefault="00860FD1" w:rsidP="00860FD1">
      <w:pPr>
        <w:jc w:val="both"/>
        <w:rPr>
          <w:sz w:val="22"/>
          <w:szCs w:val="22"/>
          <w:lang w:val="en-GB"/>
        </w:rPr>
      </w:pPr>
      <w:r w:rsidRPr="00860FD1">
        <w:rPr>
          <w:sz w:val="22"/>
          <w:szCs w:val="22"/>
          <w:lang w:val="en-GB"/>
        </w:rPr>
        <w:t>Finally, if sufficient information is available in the case, pro forma (forecast) income statements should be prepared for each alternative course of action you are evaluating.</w:t>
      </w:r>
    </w:p>
    <w:p w14:paraId="0708EEED" w14:textId="77777777" w:rsidR="00860FD1" w:rsidRPr="00860FD1" w:rsidRDefault="00860FD1" w:rsidP="00860FD1">
      <w:pPr>
        <w:jc w:val="both"/>
        <w:rPr>
          <w:sz w:val="22"/>
          <w:szCs w:val="22"/>
          <w:lang w:val="en-GB"/>
        </w:rPr>
      </w:pPr>
    </w:p>
    <w:p w14:paraId="7CC29B70" w14:textId="77777777" w:rsidR="00860FD1" w:rsidRPr="00860FD1" w:rsidRDefault="00860FD1" w:rsidP="00860FD1">
      <w:pPr>
        <w:jc w:val="both"/>
        <w:rPr>
          <w:sz w:val="22"/>
          <w:szCs w:val="22"/>
          <w:lang w:val="en-GB"/>
        </w:rPr>
      </w:pPr>
    </w:p>
    <w:p w14:paraId="50D2115F" w14:textId="77777777" w:rsidR="00860FD1" w:rsidRPr="00860FD1" w:rsidRDefault="00860FD1" w:rsidP="00100EF4">
      <w:pPr>
        <w:numPr>
          <w:ilvl w:val="0"/>
          <w:numId w:val="9"/>
        </w:numPr>
        <w:tabs>
          <w:tab w:val="left" w:pos="284"/>
        </w:tabs>
        <w:jc w:val="both"/>
        <w:rPr>
          <w:rFonts w:ascii="Arial" w:hAnsi="Arial" w:cs="Arial"/>
          <w:b/>
          <w:caps/>
          <w:lang w:val="en-GB"/>
        </w:rPr>
      </w:pPr>
      <w:bookmarkStart w:id="8" w:name="_Toc393181054"/>
      <w:r w:rsidRPr="00860FD1">
        <w:rPr>
          <w:rFonts w:ascii="Arial" w:hAnsi="Arial" w:cs="Arial"/>
          <w:b/>
          <w:caps/>
          <w:lang w:val="en-GB"/>
        </w:rPr>
        <w:t>Break-even Analysis</w:t>
      </w:r>
      <w:bookmarkEnd w:id="8"/>
    </w:p>
    <w:p w14:paraId="25F142C1" w14:textId="77777777" w:rsidR="00860FD1" w:rsidRPr="00336EBF" w:rsidRDefault="00860FD1" w:rsidP="00860FD1">
      <w:pPr>
        <w:jc w:val="both"/>
        <w:rPr>
          <w:sz w:val="18"/>
          <w:szCs w:val="18"/>
          <w:lang w:val="en-GB"/>
        </w:rPr>
      </w:pPr>
    </w:p>
    <w:p w14:paraId="339AA667" w14:textId="4BA7A687" w:rsidR="00860FD1" w:rsidRPr="00860FD1" w:rsidRDefault="00860FD1" w:rsidP="00860FD1">
      <w:pPr>
        <w:jc w:val="both"/>
        <w:rPr>
          <w:sz w:val="22"/>
          <w:szCs w:val="22"/>
          <w:lang w:val="en-GB"/>
        </w:rPr>
      </w:pPr>
      <w:r w:rsidRPr="00860FD1">
        <w:rPr>
          <w:sz w:val="22"/>
          <w:szCs w:val="22"/>
          <w:lang w:val="en-GB"/>
        </w:rPr>
        <w:t xml:space="preserve">One of the most helpful management accounting tools for case analysis is break-even analysis. While the goal of a business is not to </w:t>
      </w:r>
      <w:r w:rsidR="0086734E">
        <w:rPr>
          <w:sz w:val="22"/>
          <w:szCs w:val="22"/>
          <w:lang w:val="en-GB"/>
        </w:rPr>
        <w:t xml:space="preserve">just </w:t>
      </w:r>
      <w:r w:rsidRPr="00860FD1">
        <w:rPr>
          <w:sz w:val="22"/>
          <w:szCs w:val="22"/>
          <w:lang w:val="en-GB"/>
        </w:rPr>
        <w:t>break even (i.e., earn zero profit), knowing the break-even point for a specific product or a group of products helps to measure how risky a given new product venture might be. If expected sales do not exceed the break-even point, a business will need to reconsider the product’s price</w:t>
      </w:r>
      <w:r w:rsidR="002A5117">
        <w:rPr>
          <w:sz w:val="22"/>
          <w:szCs w:val="22"/>
          <w:lang w:val="en-GB"/>
        </w:rPr>
        <w:t>,</w:t>
      </w:r>
      <w:r w:rsidRPr="00860FD1">
        <w:rPr>
          <w:sz w:val="22"/>
          <w:szCs w:val="22"/>
          <w:lang w:val="en-GB"/>
        </w:rPr>
        <w:t xml:space="preserve"> find ways to reduce costs, or both.</w:t>
      </w:r>
    </w:p>
    <w:p w14:paraId="4EEE9169" w14:textId="77777777" w:rsidR="00860FD1" w:rsidRPr="00336EBF" w:rsidRDefault="00860FD1" w:rsidP="00860FD1">
      <w:pPr>
        <w:jc w:val="both"/>
        <w:rPr>
          <w:sz w:val="18"/>
          <w:szCs w:val="18"/>
          <w:lang w:val="en-GB"/>
        </w:rPr>
      </w:pPr>
    </w:p>
    <w:p w14:paraId="314D5ABD" w14:textId="1CAAAFC3" w:rsidR="00860FD1" w:rsidRPr="00860FD1" w:rsidRDefault="00860FD1" w:rsidP="00860FD1">
      <w:pPr>
        <w:jc w:val="center"/>
        <w:rPr>
          <w:sz w:val="22"/>
          <w:szCs w:val="24"/>
          <w:lang w:val="en-GB"/>
        </w:rPr>
      </w:pPr>
      <m:oMathPara>
        <m:oMath>
          <m:r>
            <w:rPr>
              <w:rFonts w:ascii="Cambria Math" w:hAnsi="Cambria Math"/>
              <w:sz w:val="22"/>
              <w:szCs w:val="24"/>
              <w:lang w:val="en-GB"/>
            </w:rPr>
            <m:t>Break</m:t>
          </m:r>
          <m:r>
            <w:rPr>
              <w:rFonts w:ascii="Cambria Math" w:hAnsi="Cambria Math"/>
              <w:sz w:val="22"/>
              <w:szCs w:val="24"/>
              <w:lang w:val="en-GB"/>
            </w:rPr>
            <m:t>‐</m:t>
          </m:r>
          <m:r>
            <w:rPr>
              <w:rFonts w:ascii="Cambria Math" w:hAnsi="Cambria Math"/>
              <w:sz w:val="22"/>
              <w:szCs w:val="24"/>
              <w:lang w:val="en-GB"/>
            </w:rPr>
            <m:t>even Point by Units=</m:t>
          </m:r>
          <m:f>
            <m:fPr>
              <m:ctrlPr>
                <w:rPr>
                  <w:rFonts w:ascii="Cambria Math" w:hAnsi="Cambria Math"/>
                  <w:i/>
                  <w:sz w:val="22"/>
                  <w:szCs w:val="24"/>
                  <w:lang w:val="en-GB"/>
                </w:rPr>
              </m:ctrlPr>
            </m:fPr>
            <m:num>
              <m:r>
                <w:rPr>
                  <w:rFonts w:ascii="Cambria Math" w:hAnsi="Cambria Math"/>
                  <w:sz w:val="22"/>
                  <w:szCs w:val="24"/>
                  <w:lang w:val="en-GB"/>
                </w:rPr>
                <m:t>Fixed Costs</m:t>
              </m:r>
            </m:num>
            <m:den>
              <m:r>
                <w:rPr>
                  <w:rFonts w:ascii="Cambria Math" w:hAnsi="Cambria Math"/>
                  <w:sz w:val="22"/>
                  <w:szCs w:val="24"/>
                  <w:lang w:val="en-GB"/>
                </w:rPr>
                <m:t>Contribution Margin per Unit</m:t>
              </m:r>
            </m:den>
          </m:f>
        </m:oMath>
      </m:oMathPara>
    </w:p>
    <w:p w14:paraId="7F9EC638" w14:textId="77777777" w:rsidR="00860FD1" w:rsidRPr="00336EBF" w:rsidRDefault="00860FD1" w:rsidP="00860FD1">
      <w:pPr>
        <w:jc w:val="both"/>
        <w:rPr>
          <w:sz w:val="18"/>
          <w:szCs w:val="18"/>
          <w:lang w:val="en-GB"/>
        </w:rPr>
      </w:pPr>
    </w:p>
    <w:p w14:paraId="09275014" w14:textId="5B2589BB" w:rsidR="00860FD1" w:rsidRPr="00860FD1" w:rsidRDefault="00860FD1" w:rsidP="00860FD1">
      <w:pPr>
        <w:jc w:val="center"/>
        <w:rPr>
          <w:sz w:val="22"/>
          <w:szCs w:val="24"/>
          <w:lang w:val="en-GB"/>
        </w:rPr>
      </w:pPr>
      <m:oMathPara>
        <m:oMath>
          <m:r>
            <w:rPr>
              <w:rFonts w:ascii="Cambria Math" w:hAnsi="Cambria Math"/>
              <w:sz w:val="22"/>
              <w:szCs w:val="24"/>
              <w:lang w:val="en-GB"/>
            </w:rPr>
            <m:t>Break</m:t>
          </m:r>
          <m:r>
            <w:rPr>
              <w:rFonts w:ascii="Cambria Math" w:hAnsi="Cambria Math"/>
              <w:sz w:val="22"/>
              <w:szCs w:val="24"/>
              <w:lang w:val="en-GB"/>
            </w:rPr>
            <m:t>‐</m:t>
          </m:r>
          <m:r>
            <w:rPr>
              <w:rFonts w:ascii="Cambria Math" w:hAnsi="Cambria Math"/>
              <w:sz w:val="22"/>
              <w:szCs w:val="24"/>
              <w:lang w:val="en-GB"/>
            </w:rPr>
            <m:t>even Point in Dollars=</m:t>
          </m:r>
          <m:f>
            <m:fPr>
              <m:ctrlPr>
                <w:rPr>
                  <w:rFonts w:ascii="Cambria Math" w:hAnsi="Cambria Math"/>
                  <w:i/>
                  <w:sz w:val="22"/>
                  <w:szCs w:val="24"/>
                  <w:lang w:val="en-GB"/>
                </w:rPr>
              </m:ctrlPr>
            </m:fPr>
            <m:num>
              <m:r>
                <w:rPr>
                  <w:rFonts w:ascii="Cambria Math" w:hAnsi="Cambria Math"/>
                  <w:sz w:val="22"/>
                  <w:szCs w:val="24"/>
                  <w:lang w:val="en-GB"/>
                </w:rPr>
                <m:t>Fixed Costs</m:t>
              </m:r>
            </m:num>
            <m:den>
              <m:r>
                <w:rPr>
                  <w:rFonts w:ascii="Cambria Math" w:hAnsi="Cambria Math"/>
                  <w:sz w:val="22"/>
                  <w:szCs w:val="24"/>
                  <w:lang w:val="en-GB"/>
                </w:rPr>
                <m:t>Contribution Margin Ratio</m:t>
              </m:r>
            </m:den>
          </m:f>
        </m:oMath>
      </m:oMathPara>
    </w:p>
    <w:p w14:paraId="4437BAF3" w14:textId="77777777" w:rsidR="00860FD1" w:rsidRPr="00336EBF" w:rsidRDefault="00860FD1" w:rsidP="00860FD1">
      <w:pPr>
        <w:jc w:val="both"/>
        <w:rPr>
          <w:sz w:val="18"/>
          <w:szCs w:val="18"/>
          <w:lang w:val="en-GB"/>
        </w:rPr>
      </w:pPr>
    </w:p>
    <w:p w14:paraId="290BD226" w14:textId="77777777" w:rsidR="00860FD1" w:rsidRPr="00860FD1" w:rsidRDefault="00860FD1" w:rsidP="00860FD1">
      <w:pPr>
        <w:jc w:val="both"/>
        <w:rPr>
          <w:sz w:val="22"/>
          <w:szCs w:val="22"/>
          <w:lang w:val="en-GB"/>
        </w:rPr>
      </w:pPr>
      <w:r w:rsidRPr="00860FD1">
        <w:rPr>
          <w:sz w:val="22"/>
          <w:szCs w:val="22"/>
          <w:lang w:val="en-GB"/>
        </w:rPr>
        <w:t>A helpful variation on break-even analysis is to calculate the sales (in units or dollars) required to reach a target level of profit.</w:t>
      </w:r>
    </w:p>
    <w:p w14:paraId="4589B56D" w14:textId="77777777" w:rsidR="00860FD1" w:rsidRPr="00336EBF" w:rsidRDefault="00860FD1" w:rsidP="00860FD1">
      <w:pPr>
        <w:jc w:val="both"/>
        <w:rPr>
          <w:sz w:val="18"/>
          <w:szCs w:val="18"/>
          <w:lang w:val="en-GB"/>
        </w:rPr>
      </w:pPr>
    </w:p>
    <w:p w14:paraId="4F01E439" w14:textId="77777777" w:rsidR="00860FD1" w:rsidRPr="00860FD1" w:rsidRDefault="00860FD1" w:rsidP="00860FD1">
      <w:pPr>
        <w:jc w:val="center"/>
        <w:rPr>
          <w:sz w:val="22"/>
          <w:szCs w:val="24"/>
          <w:lang w:val="en-GB"/>
        </w:rPr>
      </w:pPr>
      <m:oMathPara>
        <m:oMath>
          <m:r>
            <w:rPr>
              <w:rFonts w:ascii="Cambria Math" w:hAnsi="Cambria Math"/>
              <w:sz w:val="22"/>
              <w:szCs w:val="24"/>
              <w:lang w:val="en-GB"/>
            </w:rPr>
            <m:t>Required Unit Sales for Target Net Income=</m:t>
          </m:r>
          <m:f>
            <m:fPr>
              <m:ctrlPr>
                <w:rPr>
                  <w:rFonts w:ascii="Cambria Math" w:hAnsi="Cambria Math"/>
                  <w:i/>
                  <w:sz w:val="22"/>
                  <w:szCs w:val="24"/>
                  <w:lang w:val="en-GB"/>
                </w:rPr>
              </m:ctrlPr>
            </m:fPr>
            <m:num>
              <m:r>
                <w:rPr>
                  <w:rFonts w:ascii="Cambria Math" w:hAnsi="Cambria Math"/>
                  <w:sz w:val="22"/>
                  <w:szCs w:val="24"/>
                  <w:lang w:val="en-GB"/>
                </w:rPr>
                <m:t>Fixed Costs+Target Net Income</m:t>
              </m:r>
            </m:num>
            <m:den>
              <m:r>
                <w:rPr>
                  <w:rFonts w:ascii="Cambria Math" w:hAnsi="Cambria Math"/>
                  <w:sz w:val="22"/>
                  <w:szCs w:val="24"/>
                  <w:lang w:val="en-GB"/>
                </w:rPr>
                <m:t>Contribution Margin per Unit</m:t>
              </m:r>
            </m:den>
          </m:f>
        </m:oMath>
      </m:oMathPara>
    </w:p>
    <w:p w14:paraId="169D3F71" w14:textId="77777777" w:rsidR="00860FD1" w:rsidRPr="00336EBF" w:rsidRDefault="00860FD1" w:rsidP="00860FD1">
      <w:pPr>
        <w:pStyle w:val="BodyTextMain"/>
        <w:rPr>
          <w:sz w:val="18"/>
          <w:szCs w:val="18"/>
          <w:lang w:val="en-GB"/>
        </w:rPr>
      </w:pPr>
    </w:p>
    <w:p w14:paraId="299798A3" w14:textId="77777777" w:rsidR="00860FD1" w:rsidRPr="00860FD1" w:rsidRDefault="00860FD1" w:rsidP="00860FD1">
      <w:pPr>
        <w:jc w:val="center"/>
        <w:rPr>
          <w:sz w:val="22"/>
          <w:szCs w:val="24"/>
          <w:lang w:val="en-GB"/>
        </w:rPr>
      </w:pPr>
      <m:oMathPara>
        <m:oMath>
          <m:r>
            <w:rPr>
              <w:rFonts w:ascii="Cambria Math" w:hAnsi="Cambria Math"/>
              <w:sz w:val="22"/>
              <w:szCs w:val="24"/>
              <w:lang w:val="en-GB"/>
            </w:rPr>
            <m:t>Required Sales in Dollars for Target Net Income=</m:t>
          </m:r>
          <m:f>
            <m:fPr>
              <m:ctrlPr>
                <w:rPr>
                  <w:rFonts w:ascii="Cambria Math" w:hAnsi="Cambria Math"/>
                  <w:i/>
                  <w:sz w:val="22"/>
                  <w:szCs w:val="24"/>
                  <w:lang w:val="en-GB"/>
                </w:rPr>
              </m:ctrlPr>
            </m:fPr>
            <m:num>
              <m:r>
                <w:rPr>
                  <w:rFonts w:ascii="Cambria Math" w:hAnsi="Cambria Math"/>
                  <w:sz w:val="22"/>
                  <w:szCs w:val="24"/>
                  <w:lang w:val="en-GB"/>
                </w:rPr>
                <m:t>Fixed Costs+Target Net Income</m:t>
              </m:r>
            </m:num>
            <m:den>
              <m:r>
                <w:rPr>
                  <w:rFonts w:ascii="Cambria Math" w:hAnsi="Cambria Math"/>
                  <w:sz w:val="22"/>
                  <w:szCs w:val="24"/>
                  <w:lang w:val="en-GB"/>
                </w:rPr>
                <m:t>Contribution Margin Ratio</m:t>
              </m:r>
            </m:den>
          </m:f>
        </m:oMath>
      </m:oMathPara>
    </w:p>
    <w:p w14:paraId="37C75CBD" w14:textId="77777777" w:rsidR="00860FD1" w:rsidRPr="00336EBF" w:rsidRDefault="00860FD1" w:rsidP="00860FD1">
      <w:pPr>
        <w:jc w:val="both"/>
        <w:rPr>
          <w:sz w:val="18"/>
          <w:szCs w:val="18"/>
          <w:lang w:val="en-GB"/>
        </w:rPr>
      </w:pPr>
    </w:p>
    <w:p w14:paraId="763D88FC" w14:textId="77777777" w:rsidR="00860FD1" w:rsidRPr="00336EBF" w:rsidRDefault="00860FD1" w:rsidP="00860FD1">
      <w:pPr>
        <w:jc w:val="both"/>
        <w:rPr>
          <w:sz w:val="18"/>
          <w:szCs w:val="18"/>
          <w:lang w:val="en-GB"/>
        </w:rPr>
      </w:pPr>
    </w:p>
    <w:p w14:paraId="31BD32F2" w14:textId="77777777" w:rsidR="00860FD1" w:rsidRPr="00860FD1" w:rsidRDefault="00860FD1" w:rsidP="00100EF4">
      <w:pPr>
        <w:numPr>
          <w:ilvl w:val="0"/>
          <w:numId w:val="9"/>
        </w:numPr>
        <w:tabs>
          <w:tab w:val="left" w:pos="284"/>
        </w:tabs>
        <w:jc w:val="both"/>
        <w:rPr>
          <w:rFonts w:ascii="Arial" w:hAnsi="Arial" w:cs="Arial"/>
          <w:b/>
          <w:caps/>
          <w:lang w:val="en-GB"/>
        </w:rPr>
      </w:pPr>
      <w:bookmarkStart w:id="9" w:name="_Toc393181055"/>
      <w:r w:rsidRPr="00860FD1">
        <w:rPr>
          <w:rFonts w:ascii="Arial" w:hAnsi="Arial" w:cs="Arial"/>
          <w:b/>
          <w:caps/>
          <w:lang w:val="en-GB"/>
        </w:rPr>
        <w:t>Market Potential</w:t>
      </w:r>
      <w:r w:rsidRPr="00860FD1" w:rsidDel="00CD3265">
        <w:rPr>
          <w:rFonts w:ascii="Arial" w:hAnsi="Arial" w:cs="Arial"/>
          <w:b/>
          <w:caps/>
          <w:lang w:val="en-GB"/>
        </w:rPr>
        <w:t xml:space="preserve"> </w:t>
      </w:r>
      <w:r w:rsidRPr="00860FD1">
        <w:rPr>
          <w:rFonts w:ascii="Arial" w:hAnsi="Arial" w:cs="Arial"/>
          <w:b/>
          <w:caps/>
          <w:lang w:val="en-GB"/>
        </w:rPr>
        <w:t xml:space="preserve">and Market Share </w:t>
      </w:r>
      <w:bookmarkEnd w:id="9"/>
    </w:p>
    <w:p w14:paraId="42582A15" w14:textId="77777777" w:rsidR="00860FD1" w:rsidRPr="00336EBF" w:rsidRDefault="00860FD1" w:rsidP="00860FD1">
      <w:pPr>
        <w:jc w:val="both"/>
        <w:rPr>
          <w:sz w:val="18"/>
          <w:szCs w:val="18"/>
          <w:lang w:val="en-GB" w:eastAsia="en-CA"/>
        </w:rPr>
      </w:pPr>
    </w:p>
    <w:p w14:paraId="533193B5" w14:textId="1553265A" w:rsidR="00860FD1" w:rsidRPr="00860FD1" w:rsidRDefault="00860FD1" w:rsidP="00860FD1">
      <w:pPr>
        <w:jc w:val="both"/>
        <w:rPr>
          <w:sz w:val="22"/>
          <w:szCs w:val="22"/>
          <w:lang w:val="en-GB" w:eastAsia="en-CA"/>
        </w:rPr>
      </w:pPr>
      <w:r w:rsidRPr="00860FD1">
        <w:rPr>
          <w:sz w:val="22"/>
          <w:szCs w:val="22"/>
          <w:lang w:val="en-GB" w:eastAsia="en-CA"/>
        </w:rPr>
        <w:t xml:space="preserve">Market potential </w:t>
      </w:r>
      <w:r w:rsidR="00087E1C">
        <w:rPr>
          <w:sz w:val="22"/>
          <w:szCs w:val="22"/>
          <w:lang w:val="en-GB" w:eastAsia="en-CA"/>
        </w:rPr>
        <w:t xml:space="preserve">(MP) </w:t>
      </w:r>
      <w:r w:rsidRPr="00860FD1">
        <w:rPr>
          <w:sz w:val="22"/>
          <w:szCs w:val="22"/>
          <w:lang w:val="en-GB" w:eastAsia="en-CA"/>
        </w:rPr>
        <w:t xml:space="preserve">is an estimate of the revenue a company can expect to make from </w:t>
      </w:r>
      <w:r w:rsidR="0086734E">
        <w:rPr>
          <w:sz w:val="22"/>
          <w:szCs w:val="22"/>
          <w:lang w:val="en-GB" w:eastAsia="en-CA"/>
        </w:rPr>
        <w:t>a</w:t>
      </w:r>
      <w:r w:rsidR="0086734E" w:rsidRPr="00860FD1">
        <w:rPr>
          <w:sz w:val="22"/>
          <w:szCs w:val="22"/>
          <w:lang w:val="en-GB" w:eastAsia="en-CA"/>
        </w:rPr>
        <w:t xml:space="preserve"> </w:t>
      </w:r>
      <w:r w:rsidRPr="00860FD1">
        <w:rPr>
          <w:sz w:val="22"/>
          <w:szCs w:val="22"/>
          <w:lang w:val="en-GB" w:eastAsia="en-CA"/>
        </w:rPr>
        <w:t xml:space="preserve">product or service </w:t>
      </w:r>
      <w:r w:rsidR="0086734E">
        <w:rPr>
          <w:sz w:val="22"/>
          <w:szCs w:val="22"/>
          <w:lang w:val="en-GB" w:eastAsia="en-CA"/>
        </w:rPr>
        <w:t>it</w:t>
      </w:r>
      <w:r w:rsidR="008C008D">
        <w:rPr>
          <w:sz w:val="22"/>
          <w:szCs w:val="22"/>
          <w:lang w:val="en-GB" w:eastAsia="en-CA"/>
        </w:rPr>
        <w:t xml:space="preserve"> plans to market.</w:t>
      </w:r>
    </w:p>
    <w:p w14:paraId="2FFC5A13" w14:textId="4A18586C" w:rsidR="00860FD1" w:rsidRPr="00860FD1" w:rsidRDefault="00860FD1" w:rsidP="00860FD1">
      <w:pPr>
        <w:jc w:val="center"/>
        <w:rPr>
          <w:color w:val="FFFFFF"/>
          <w:sz w:val="22"/>
          <w:szCs w:val="22"/>
          <w:lang w:val="en-GB" w:eastAsia="en-CA"/>
        </w:rPr>
      </w:pPr>
      <m:oMathPara>
        <m:oMath>
          <m:r>
            <w:rPr>
              <w:rFonts w:ascii="Cambria Math" w:hAnsi="Cambria Math"/>
              <w:sz w:val="22"/>
              <w:szCs w:val="22"/>
              <w:lang w:val="en-GB" w:eastAsia="en-CA"/>
            </w:rPr>
            <m:t xml:space="preserve">MP=N </m:t>
          </m:r>
          <m:r>
            <w:rPr>
              <w:rFonts w:ascii="Cambria Math" w:hAnsi="Cambria Math" w:hint="eastAsia"/>
              <w:sz w:val="22"/>
              <w:szCs w:val="22"/>
              <w:lang w:val="en-GB" w:eastAsia="en-CA"/>
            </w:rPr>
            <m:t>×</m:t>
          </m:r>
          <m:r>
            <w:rPr>
              <w:rFonts w:ascii="Cambria Math" w:hAnsi="Cambria Math"/>
              <w:sz w:val="22"/>
              <w:szCs w:val="22"/>
              <w:lang w:val="en-GB" w:eastAsia="en-CA"/>
            </w:rPr>
            <m:t xml:space="preserve"> P </m:t>
          </m:r>
          <m:r>
            <w:rPr>
              <w:rFonts w:ascii="Cambria Math" w:hAnsi="Cambria Math" w:hint="eastAsia"/>
              <w:sz w:val="22"/>
              <w:szCs w:val="22"/>
              <w:lang w:val="en-GB" w:eastAsia="en-CA"/>
            </w:rPr>
            <m:t>×</m:t>
          </m:r>
          <m:r>
            <w:rPr>
              <w:rFonts w:ascii="Cambria Math" w:hAnsi="Cambria Math"/>
              <w:sz w:val="22"/>
              <w:szCs w:val="22"/>
              <w:lang w:val="en-GB" w:eastAsia="en-CA"/>
            </w:rPr>
            <m:t xml:space="preserve"> Q × MS</m:t>
          </m:r>
        </m:oMath>
      </m:oMathPara>
    </w:p>
    <w:p w14:paraId="0FEA9D15" w14:textId="1203787E" w:rsidR="00860FD1" w:rsidRPr="00860FD1" w:rsidRDefault="00860FD1" w:rsidP="00860FD1">
      <w:pPr>
        <w:jc w:val="both"/>
        <w:rPr>
          <w:sz w:val="22"/>
          <w:szCs w:val="22"/>
          <w:lang w:val="en-GB" w:eastAsia="en-CA"/>
        </w:rPr>
      </w:pPr>
      <w:r w:rsidRPr="00860FD1">
        <w:rPr>
          <w:sz w:val="22"/>
          <w:szCs w:val="22"/>
          <w:lang w:val="en-GB" w:eastAsia="en-CA"/>
        </w:rPr>
        <w:lastRenderedPageBreak/>
        <w:t>Where</w:t>
      </w:r>
      <w:r w:rsidRPr="00860FD1">
        <w:rPr>
          <w:sz w:val="22"/>
          <w:szCs w:val="22"/>
          <w:lang w:val="en-GB" w:eastAsia="en-CA"/>
        </w:rPr>
        <w:tab/>
        <w:t xml:space="preserve">N = total number of customers </w:t>
      </w:r>
    </w:p>
    <w:p w14:paraId="3698E16E" w14:textId="77777777" w:rsidR="00860FD1" w:rsidRPr="00860FD1" w:rsidRDefault="00860FD1" w:rsidP="00860FD1">
      <w:pPr>
        <w:jc w:val="both"/>
        <w:rPr>
          <w:sz w:val="22"/>
          <w:szCs w:val="22"/>
          <w:lang w:val="en-GB" w:eastAsia="en-CA"/>
        </w:rPr>
      </w:pPr>
      <w:r w:rsidRPr="00860FD1">
        <w:rPr>
          <w:sz w:val="22"/>
          <w:szCs w:val="22"/>
          <w:lang w:val="en-GB" w:eastAsia="en-CA"/>
        </w:rPr>
        <w:tab/>
        <w:t xml:space="preserve">P = average selling price </w:t>
      </w:r>
    </w:p>
    <w:p w14:paraId="220D18A6" w14:textId="77777777" w:rsidR="00860FD1" w:rsidRPr="00860FD1" w:rsidRDefault="00860FD1" w:rsidP="00860FD1">
      <w:pPr>
        <w:jc w:val="both"/>
        <w:rPr>
          <w:sz w:val="22"/>
          <w:szCs w:val="22"/>
          <w:lang w:val="en-GB" w:eastAsia="en-CA"/>
        </w:rPr>
      </w:pPr>
      <w:r w:rsidRPr="00860FD1">
        <w:rPr>
          <w:sz w:val="22"/>
          <w:szCs w:val="22"/>
          <w:lang w:val="en-GB" w:eastAsia="en-CA"/>
        </w:rPr>
        <w:tab/>
        <w:t>Q = average annual consumption quantity</w:t>
      </w:r>
    </w:p>
    <w:p w14:paraId="6B774A0E" w14:textId="77777777" w:rsidR="00860FD1" w:rsidRPr="00860FD1" w:rsidRDefault="00860FD1" w:rsidP="00860FD1">
      <w:pPr>
        <w:jc w:val="both"/>
        <w:rPr>
          <w:sz w:val="22"/>
          <w:szCs w:val="22"/>
          <w:lang w:val="en-GB" w:eastAsia="en-CA"/>
        </w:rPr>
      </w:pPr>
      <w:r w:rsidRPr="00860FD1">
        <w:rPr>
          <w:sz w:val="22"/>
          <w:szCs w:val="22"/>
          <w:lang w:val="en-GB" w:eastAsia="en-CA"/>
        </w:rPr>
        <w:tab/>
        <w:t>MS = market share, which is the actual percentage of industry sales captured by a company</w:t>
      </w:r>
    </w:p>
    <w:p w14:paraId="5A60EC4D" w14:textId="77777777" w:rsidR="00860FD1" w:rsidRPr="00860FD1" w:rsidRDefault="00860FD1" w:rsidP="00860FD1">
      <w:pPr>
        <w:jc w:val="both"/>
        <w:rPr>
          <w:sz w:val="22"/>
          <w:szCs w:val="22"/>
          <w:lang w:val="en-GB" w:eastAsia="en-CA"/>
        </w:rPr>
      </w:pPr>
    </w:p>
    <w:p w14:paraId="5356317E" w14:textId="77777777" w:rsidR="00860FD1" w:rsidRPr="00860FD1" w:rsidRDefault="00860FD1" w:rsidP="00860FD1">
      <w:pPr>
        <w:jc w:val="center"/>
        <w:rPr>
          <w:sz w:val="22"/>
          <w:szCs w:val="22"/>
          <w:lang w:val="en-GB" w:eastAsia="en-CA"/>
        </w:rPr>
      </w:pPr>
      <m:oMathPara>
        <m:oMath>
          <m:r>
            <w:rPr>
              <w:rFonts w:ascii="Cambria Math" w:hAnsi="Cambria Math"/>
              <w:sz w:val="22"/>
              <w:szCs w:val="22"/>
              <w:lang w:val="en-GB" w:eastAsia="en-CA"/>
            </w:rPr>
            <m:t>Market Share=</m:t>
          </m:r>
          <m:f>
            <m:fPr>
              <m:ctrlPr>
                <w:rPr>
                  <w:rFonts w:ascii="Cambria Math" w:hAnsi="Cambria Math"/>
                  <w:i/>
                  <w:sz w:val="22"/>
                  <w:szCs w:val="22"/>
                  <w:lang w:val="en-GB" w:eastAsia="en-CA"/>
                </w:rPr>
              </m:ctrlPr>
            </m:fPr>
            <m:num>
              <m:r>
                <w:rPr>
                  <w:rFonts w:ascii="Cambria Math" w:hAnsi="Cambria Math"/>
                  <w:sz w:val="22"/>
                  <w:szCs w:val="22"/>
                  <w:lang w:val="en-GB" w:eastAsia="en-CA"/>
                </w:rPr>
                <m:t>Company Sales</m:t>
              </m:r>
            </m:num>
            <m:den>
              <m:r>
                <w:rPr>
                  <w:rFonts w:ascii="Cambria Math" w:hAnsi="Cambria Math"/>
                  <w:sz w:val="22"/>
                  <w:szCs w:val="22"/>
                  <w:lang w:val="en-GB" w:eastAsia="en-CA"/>
                </w:rPr>
                <m:t>Total Industry Sales</m:t>
              </m:r>
            </m:den>
          </m:f>
        </m:oMath>
      </m:oMathPara>
    </w:p>
    <w:p w14:paraId="2CB5A1B7" w14:textId="77777777" w:rsidR="00860FD1" w:rsidRDefault="00860FD1" w:rsidP="00860FD1">
      <w:pPr>
        <w:pStyle w:val="BodyTextMain"/>
        <w:rPr>
          <w:lang w:val="en-GB" w:eastAsia="en-CA"/>
        </w:rPr>
      </w:pPr>
    </w:p>
    <w:p w14:paraId="4F09B562" w14:textId="77777777" w:rsidR="00860FD1" w:rsidRPr="00860FD1" w:rsidRDefault="00860FD1" w:rsidP="00860FD1">
      <w:pPr>
        <w:pStyle w:val="BodyTextMain"/>
        <w:rPr>
          <w:lang w:val="en-GB" w:eastAsia="en-CA"/>
        </w:rPr>
      </w:pPr>
    </w:p>
    <w:p w14:paraId="42804A84" w14:textId="77777777" w:rsidR="00860FD1" w:rsidRPr="00860FD1" w:rsidRDefault="00860FD1" w:rsidP="00100EF4">
      <w:pPr>
        <w:numPr>
          <w:ilvl w:val="0"/>
          <w:numId w:val="9"/>
        </w:numPr>
        <w:tabs>
          <w:tab w:val="left" w:pos="284"/>
        </w:tabs>
        <w:jc w:val="both"/>
        <w:rPr>
          <w:rFonts w:ascii="Arial" w:hAnsi="Arial" w:cs="Arial"/>
          <w:b/>
          <w:caps/>
          <w:lang w:val="en-GB"/>
        </w:rPr>
      </w:pPr>
      <w:bookmarkStart w:id="10" w:name="_Toc365803793"/>
      <w:bookmarkStart w:id="11" w:name="_Toc392920674"/>
      <w:bookmarkStart w:id="12" w:name="_Toc393181056"/>
      <w:r w:rsidRPr="00860FD1">
        <w:rPr>
          <w:rFonts w:ascii="Arial" w:hAnsi="Arial" w:cs="Arial"/>
          <w:b/>
          <w:caps/>
          <w:lang w:val="en-GB"/>
        </w:rPr>
        <w:t>SWOT Analysis</w:t>
      </w:r>
      <w:bookmarkEnd w:id="10"/>
      <w:bookmarkEnd w:id="11"/>
      <w:bookmarkEnd w:id="12"/>
    </w:p>
    <w:p w14:paraId="4EB78298" w14:textId="77777777" w:rsidR="00860FD1" w:rsidRPr="00860FD1" w:rsidRDefault="00860FD1" w:rsidP="00860FD1">
      <w:pPr>
        <w:jc w:val="both"/>
        <w:rPr>
          <w:sz w:val="22"/>
          <w:szCs w:val="22"/>
          <w:lang w:val="en-GB"/>
        </w:rPr>
      </w:pPr>
    </w:p>
    <w:p w14:paraId="7119D67C" w14:textId="3C73F088" w:rsidR="00860FD1" w:rsidRPr="00860FD1" w:rsidRDefault="00860FD1" w:rsidP="00860FD1">
      <w:pPr>
        <w:jc w:val="both"/>
        <w:rPr>
          <w:sz w:val="22"/>
          <w:szCs w:val="22"/>
          <w:lang w:val="en-GB"/>
        </w:rPr>
      </w:pPr>
      <w:r w:rsidRPr="00860FD1">
        <w:rPr>
          <w:sz w:val="22"/>
          <w:szCs w:val="22"/>
          <w:lang w:val="en-GB"/>
        </w:rPr>
        <w:t>A SWOT analysis</w:t>
      </w:r>
      <w:r w:rsidRPr="00860FD1">
        <w:rPr>
          <w:b/>
          <w:sz w:val="22"/>
          <w:szCs w:val="22"/>
          <w:lang w:val="en-GB"/>
        </w:rPr>
        <w:t xml:space="preserve"> </w:t>
      </w:r>
      <w:r w:rsidRPr="00860FD1">
        <w:rPr>
          <w:sz w:val="22"/>
          <w:szCs w:val="22"/>
          <w:lang w:val="en-GB"/>
        </w:rPr>
        <w:t xml:space="preserve">is an evaluation of the strengths (S), weaknesses (W), opportunities (O), and threats (T) faced by an organization. It is a popular tool for </w:t>
      </w:r>
      <w:proofErr w:type="spellStart"/>
      <w:r w:rsidRPr="00860FD1">
        <w:rPr>
          <w:sz w:val="22"/>
          <w:szCs w:val="22"/>
          <w:lang w:val="en-GB"/>
        </w:rPr>
        <w:t>analyzing</w:t>
      </w:r>
      <w:proofErr w:type="spellEnd"/>
      <w:r w:rsidRPr="00860FD1">
        <w:rPr>
          <w:sz w:val="22"/>
          <w:szCs w:val="22"/>
          <w:lang w:val="en-GB"/>
        </w:rPr>
        <w:t xml:space="preserve"> an organization’s internal and external environments to identify various issues. A SWOT analysis can also be used to generate pros and cons when evaluating alternative courses of action.</w:t>
      </w:r>
    </w:p>
    <w:p w14:paraId="07464804" w14:textId="77777777" w:rsidR="00860FD1" w:rsidRPr="00860FD1" w:rsidRDefault="00860FD1" w:rsidP="00860FD1">
      <w:pPr>
        <w:jc w:val="both"/>
        <w:rPr>
          <w:sz w:val="22"/>
          <w:szCs w:val="22"/>
          <w:lang w:val="en-GB"/>
        </w:rPr>
      </w:pPr>
    </w:p>
    <w:p w14:paraId="2E456366" w14:textId="77777777" w:rsidR="00860FD1" w:rsidRPr="00860FD1" w:rsidRDefault="00860FD1" w:rsidP="00860FD1">
      <w:pPr>
        <w:jc w:val="both"/>
        <w:rPr>
          <w:sz w:val="22"/>
          <w:szCs w:val="22"/>
          <w:lang w:val="en-GB"/>
        </w:rPr>
      </w:pPr>
      <w:r w:rsidRPr="00860FD1">
        <w:rPr>
          <w:sz w:val="22"/>
          <w:szCs w:val="22"/>
          <w:lang w:val="en-GB"/>
        </w:rPr>
        <w:t>Although strengths and weaknesses are listed first in the acronym, the assessment of opportunities and threats (i.e., the external analysis) is usually performed before the internal analysis.</w:t>
      </w:r>
    </w:p>
    <w:p w14:paraId="3702FE65" w14:textId="77777777" w:rsidR="00860FD1" w:rsidRPr="00860FD1" w:rsidRDefault="00860FD1" w:rsidP="00860FD1">
      <w:pPr>
        <w:jc w:val="both"/>
        <w:rPr>
          <w:sz w:val="22"/>
          <w:szCs w:val="22"/>
          <w:lang w:val="en-GB"/>
        </w:rPr>
      </w:pPr>
    </w:p>
    <w:p w14:paraId="08E64754" w14:textId="46DF5750" w:rsidR="00860FD1" w:rsidRPr="00860FD1" w:rsidRDefault="00860FD1" w:rsidP="00860FD1">
      <w:pPr>
        <w:jc w:val="both"/>
        <w:rPr>
          <w:sz w:val="22"/>
          <w:szCs w:val="22"/>
          <w:lang w:val="en-GB"/>
        </w:rPr>
      </w:pPr>
      <w:r w:rsidRPr="00860FD1">
        <w:rPr>
          <w:i/>
          <w:sz w:val="22"/>
          <w:szCs w:val="22"/>
          <w:lang w:val="en-GB"/>
        </w:rPr>
        <w:t>Opportunities</w:t>
      </w:r>
      <w:r w:rsidRPr="00860FD1">
        <w:rPr>
          <w:sz w:val="22"/>
          <w:szCs w:val="22"/>
          <w:lang w:val="en-GB"/>
        </w:rPr>
        <w:t xml:space="preserve"> represent conditions in the external environment that an organization can take advantage of (by formulating and implementing appropriate strategies) to enhance its competitiveness, profitability, and overall success. Opportunities should not be confused with alternatives. For example, an increase in the demand for dark chocolate because of its cancer-fighting antioxidants and heart-healthy properties represents an opportunity</w:t>
      </w:r>
      <w:r w:rsidR="0086734E">
        <w:rPr>
          <w:sz w:val="22"/>
          <w:szCs w:val="22"/>
          <w:lang w:val="en-GB"/>
        </w:rPr>
        <w:t xml:space="preserve"> </w:t>
      </w:r>
      <w:r w:rsidR="0086734E" w:rsidRPr="00860FD1">
        <w:rPr>
          <w:sz w:val="22"/>
          <w:szCs w:val="22"/>
          <w:lang w:val="en-GB"/>
        </w:rPr>
        <w:t>(a favourable environmental condition)</w:t>
      </w:r>
      <w:r w:rsidRPr="00860FD1">
        <w:rPr>
          <w:sz w:val="22"/>
          <w:szCs w:val="22"/>
          <w:lang w:val="en-GB"/>
        </w:rPr>
        <w:t>. To take advantage of this opportunity, a confectionery company might consider alternatives such as switching some of its milk chocolate production capacity to dark chocolate or acquiring a company that specializes in the manufacture of dark chocolate.</w:t>
      </w:r>
    </w:p>
    <w:p w14:paraId="054B24CE" w14:textId="77777777" w:rsidR="00860FD1" w:rsidRPr="00860FD1" w:rsidRDefault="00860FD1" w:rsidP="00860FD1">
      <w:pPr>
        <w:jc w:val="both"/>
        <w:rPr>
          <w:sz w:val="22"/>
          <w:szCs w:val="22"/>
          <w:lang w:val="en-GB"/>
        </w:rPr>
      </w:pPr>
    </w:p>
    <w:p w14:paraId="2ECFAAA9" w14:textId="77777777" w:rsidR="00860FD1" w:rsidRPr="00860FD1" w:rsidRDefault="00860FD1" w:rsidP="00860FD1">
      <w:pPr>
        <w:jc w:val="both"/>
        <w:rPr>
          <w:sz w:val="22"/>
          <w:szCs w:val="22"/>
          <w:lang w:val="en-GB"/>
        </w:rPr>
      </w:pPr>
      <w:r w:rsidRPr="00860FD1">
        <w:rPr>
          <w:i/>
          <w:sz w:val="22"/>
          <w:szCs w:val="22"/>
          <w:lang w:val="en-GB"/>
        </w:rPr>
        <w:t>Threats</w:t>
      </w:r>
      <w:r w:rsidRPr="00860FD1">
        <w:rPr>
          <w:sz w:val="22"/>
          <w:szCs w:val="22"/>
          <w:lang w:val="en-GB"/>
        </w:rPr>
        <w:t xml:space="preserve"> represent conditions in the external environment that endanger the competitiveness, profitability, and success of the organization. For example, the increasing incidence of obesity and diabetes pose threats to a confectionery company. </w:t>
      </w:r>
    </w:p>
    <w:p w14:paraId="6FD2D53B" w14:textId="77777777" w:rsidR="00860FD1" w:rsidRPr="00860FD1" w:rsidRDefault="00860FD1" w:rsidP="00860FD1">
      <w:pPr>
        <w:jc w:val="both"/>
        <w:rPr>
          <w:sz w:val="22"/>
          <w:szCs w:val="22"/>
          <w:lang w:val="en-GB"/>
        </w:rPr>
      </w:pPr>
    </w:p>
    <w:p w14:paraId="064B2F59" w14:textId="77777777" w:rsidR="00860FD1" w:rsidRPr="00860FD1" w:rsidRDefault="00860FD1" w:rsidP="00860FD1">
      <w:pPr>
        <w:jc w:val="both"/>
        <w:rPr>
          <w:sz w:val="22"/>
          <w:szCs w:val="22"/>
          <w:lang w:val="en-GB"/>
        </w:rPr>
      </w:pPr>
      <w:r w:rsidRPr="00860FD1">
        <w:rPr>
          <w:sz w:val="22"/>
          <w:szCs w:val="22"/>
          <w:lang w:val="en-GB"/>
        </w:rPr>
        <w:t xml:space="preserve">Opportunities represent possibilities, while threats pose constraints. Both are conditions that are outside an organization’s control. </w:t>
      </w:r>
    </w:p>
    <w:p w14:paraId="0D642700" w14:textId="77777777" w:rsidR="00860FD1" w:rsidRPr="00860FD1" w:rsidRDefault="00860FD1" w:rsidP="00860FD1">
      <w:pPr>
        <w:jc w:val="both"/>
        <w:rPr>
          <w:sz w:val="22"/>
          <w:szCs w:val="22"/>
          <w:lang w:val="en-GB"/>
        </w:rPr>
      </w:pPr>
    </w:p>
    <w:p w14:paraId="5638F148" w14:textId="012583F7" w:rsidR="00860FD1" w:rsidRPr="00860FD1" w:rsidRDefault="00860FD1" w:rsidP="00860FD1">
      <w:pPr>
        <w:jc w:val="both"/>
        <w:rPr>
          <w:sz w:val="22"/>
          <w:szCs w:val="22"/>
          <w:lang w:val="en-GB"/>
        </w:rPr>
      </w:pPr>
      <w:r w:rsidRPr="00860FD1">
        <w:rPr>
          <w:i/>
          <w:sz w:val="22"/>
          <w:szCs w:val="22"/>
          <w:lang w:val="en-GB"/>
        </w:rPr>
        <w:t>Strengths</w:t>
      </w:r>
      <w:r w:rsidRPr="00860FD1">
        <w:rPr>
          <w:sz w:val="22"/>
          <w:szCs w:val="22"/>
          <w:lang w:val="en-GB"/>
        </w:rPr>
        <w:t xml:space="preserve"> are activities the organization does very well or characteristics that enhance its competitiveness. Strengths can </w:t>
      </w:r>
      <w:r w:rsidR="0032533D">
        <w:rPr>
          <w:sz w:val="22"/>
          <w:szCs w:val="22"/>
          <w:lang w:val="en-GB"/>
        </w:rPr>
        <w:t>be found in</w:t>
      </w:r>
      <w:r w:rsidR="0032533D" w:rsidRPr="00860FD1">
        <w:rPr>
          <w:sz w:val="22"/>
          <w:szCs w:val="22"/>
          <w:lang w:val="en-GB"/>
        </w:rPr>
        <w:t xml:space="preserve"> </w:t>
      </w:r>
      <w:r w:rsidRPr="00860FD1">
        <w:rPr>
          <w:sz w:val="22"/>
          <w:szCs w:val="22"/>
          <w:lang w:val="en-GB"/>
        </w:rPr>
        <w:t xml:space="preserve">skills, expertise, physical assets, human assets, or competitive advantages. </w:t>
      </w:r>
    </w:p>
    <w:p w14:paraId="618D3F88" w14:textId="77777777" w:rsidR="00860FD1" w:rsidRPr="00860FD1" w:rsidRDefault="00860FD1" w:rsidP="00860FD1">
      <w:pPr>
        <w:jc w:val="both"/>
        <w:rPr>
          <w:sz w:val="22"/>
          <w:szCs w:val="22"/>
          <w:lang w:val="en-GB"/>
        </w:rPr>
      </w:pPr>
    </w:p>
    <w:p w14:paraId="02CB1F39" w14:textId="17443D6D" w:rsidR="00860FD1" w:rsidRPr="00860FD1" w:rsidRDefault="00860FD1" w:rsidP="00860FD1">
      <w:pPr>
        <w:jc w:val="both"/>
        <w:rPr>
          <w:sz w:val="22"/>
          <w:szCs w:val="22"/>
          <w:lang w:val="en-GB"/>
        </w:rPr>
      </w:pPr>
      <w:r w:rsidRPr="00860FD1">
        <w:rPr>
          <w:i/>
          <w:sz w:val="22"/>
          <w:szCs w:val="22"/>
          <w:lang w:val="en-GB"/>
        </w:rPr>
        <w:t>Weaknesses</w:t>
      </w:r>
      <w:r w:rsidRPr="00860FD1">
        <w:rPr>
          <w:sz w:val="22"/>
          <w:szCs w:val="22"/>
          <w:lang w:val="en-GB"/>
        </w:rPr>
        <w:t xml:space="preserve"> are activities the organization does poorly (compared with its competitors), resources it lacks, or </w:t>
      </w:r>
      <w:r w:rsidR="00EA773C">
        <w:rPr>
          <w:sz w:val="22"/>
          <w:szCs w:val="22"/>
          <w:lang w:val="en-GB"/>
        </w:rPr>
        <w:t xml:space="preserve">internal </w:t>
      </w:r>
      <w:r w:rsidRPr="00860FD1">
        <w:rPr>
          <w:sz w:val="22"/>
          <w:szCs w:val="22"/>
          <w:lang w:val="en-GB"/>
        </w:rPr>
        <w:t xml:space="preserve">conditions that make the organization vulnerable. These are areas that an organization can improve on; for example, a retail business </w:t>
      </w:r>
      <w:r w:rsidR="0086734E">
        <w:rPr>
          <w:sz w:val="22"/>
          <w:szCs w:val="22"/>
          <w:lang w:val="en-GB"/>
        </w:rPr>
        <w:t>is</w:t>
      </w:r>
      <w:r w:rsidRPr="00860FD1">
        <w:rPr>
          <w:sz w:val="22"/>
          <w:szCs w:val="22"/>
          <w:lang w:val="en-GB"/>
        </w:rPr>
        <w:t xml:space="preserve"> vulnerable if it does not have an online sales presence but its competitors do.</w:t>
      </w:r>
    </w:p>
    <w:p w14:paraId="457986E1" w14:textId="77777777" w:rsidR="00860FD1" w:rsidRPr="00860FD1" w:rsidRDefault="00860FD1" w:rsidP="00860FD1">
      <w:pPr>
        <w:pStyle w:val="BodyTextMain"/>
        <w:rPr>
          <w:lang w:val="en-GB"/>
        </w:rPr>
      </w:pPr>
    </w:p>
    <w:p w14:paraId="62382FEB" w14:textId="77777777" w:rsidR="00860FD1" w:rsidRPr="00860FD1" w:rsidRDefault="00860FD1" w:rsidP="00860FD1">
      <w:pPr>
        <w:pStyle w:val="BodyTextMain"/>
        <w:rPr>
          <w:lang w:val="en-GB"/>
        </w:rPr>
      </w:pPr>
    </w:p>
    <w:p w14:paraId="20933479" w14:textId="77777777" w:rsidR="00860FD1" w:rsidRPr="00860FD1" w:rsidRDefault="00860FD1" w:rsidP="00100EF4">
      <w:pPr>
        <w:numPr>
          <w:ilvl w:val="0"/>
          <w:numId w:val="9"/>
        </w:numPr>
        <w:tabs>
          <w:tab w:val="left" w:pos="284"/>
        </w:tabs>
        <w:jc w:val="both"/>
        <w:rPr>
          <w:rFonts w:ascii="Arial" w:hAnsi="Arial" w:cs="Arial"/>
          <w:b/>
          <w:caps/>
          <w:lang w:val="en-GB"/>
        </w:rPr>
      </w:pPr>
      <w:r w:rsidRPr="00860FD1">
        <w:rPr>
          <w:rFonts w:ascii="Arial" w:hAnsi="Arial" w:cs="Arial"/>
          <w:b/>
          <w:caps/>
          <w:lang w:val="en-GB"/>
        </w:rPr>
        <w:t>PESTLE Analysis</w:t>
      </w:r>
    </w:p>
    <w:p w14:paraId="4A50C13A" w14:textId="77777777" w:rsidR="00860FD1" w:rsidRPr="00860FD1" w:rsidRDefault="00860FD1" w:rsidP="00860FD1">
      <w:pPr>
        <w:pStyle w:val="BodyTextMain"/>
        <w:rPr>
          <w:lang w:val="en-GB"/>
        </w:rPr>
      </w:pPr>
    </w:p>
    <w:p w14:paraId="17119B8D" w14:textId="7CE7B798" w:rsidR="00860FD1" w:rsidRPr="00860FD1" w:rsidRDefault="00860FD1" w:rsidP="00860FD1">
      <w:pPr>
        <w:jc w:val="both"/>
        <w:rPr>
          <w:sz w:val="22"/>
          <w:szCs w:val="22"/>
          <w:lang w:val="en-GB"/>
        </w:rPr>
      </w:pPr>
      <w:r w:rsidRPr="00860FD1">
        <w:rPr>
          <w:sz w:val="22"/>
          <w:szCs w:val="22"/>
          <w:lang w:val="en-GB"/>
        </w:rPr>
        <w:t>A PESTLE analysis (</w:t>
      </w:r>
      <w:r w:rsidRPr="00BC6FC9">
        <w:rPr>
          <w:sz w:val="22"/>
          <w:szCs w:val="22"/>
          <w:lang w:val="en-GB"/>
        </w:rPr>
        <w:t xml:space="preserve">see </w:t>
      </w:r>
      <w:r w:rsidRPr="004F2449">
        <w:rPr>
          <w:sz w:val="22"/>
          <w:szCs w:val="22"/>
          <w:lang w:val="en-GB"/>
        </w:rPr>
        <w:fldChar w:fldCharType="begin"/>
      </w:r>
      <w:r w:rsidRPr="004F2449">
        <w:rPr>
          <w:sz w:val="22"/>
          <w:szCs w:val="22"/>
          <w:lang w:val="en-GB"/>
        </w:rPr>
        <w:instrText xml:space="preserve"> REF _Ref501127849 \h  \* MERGEFORMAT </w:instrText>
      </w:r>
      <w:r w:rsidRPr="004F2449">
        <w:rPr>
          <w:sz w:val="22"/>
          <w:szCs w:val="22"/>
          <w:lang w:val="en-GB"/>
        </w:rPr>
      </w:r>
      <w:r w:rsidRPr="004F2449">
        <w:rPr>
          <w:sz w:val="22"/>
          <w:szCs w:val="22"/>
          <w:lang w:val="en-GB"/>
        </w:rPr>
        <w:fldChar w:fldCharType="separate"/>
      </w:r>
      <w:r w:rsidR="00073D63" w:rsidRPr="00073D63">
        <w:rPr>
          <w:rFonts w:eastAsia="Calibri"/>
          <w:bCs/>
          <w:sz w:val="22"/>
          <w:szCs w:val="22"/>
          <w:lang w:val="en-GB"/>
        </w:rPr>
        <w:t xml:space="preserve">Figure </w:t>
      </w:r>
      <w:r w:rsidR="00073D63" w:rsidRPr="00073D63">
        <w:rPr>
          <w:rFonts w:eastAsia="Calibri"/>
          <w:bCs/>
          <w:noProof/>
          <w:sz w:val="22"/>
          <w:szCs w:val="22"/>
          <w:lang w:val="en-GB"/>
        </w:rPr>
        <w:t>1</w:t>
      </w:r>
      <w:r w:rsidRPr="004F2449">
        <w:rPr>
          <w:sz w:val="22"/>
          <w:szCs w:val="22"/>
          <w:lang w:val="en-GB"/>
        </w:rPr>
        <w:fldChar w:fldCharType="end"/>
      </w:r>
      <w:r w:rsidRPr="004F2449">
        <w:rPr>
          <w:sz w:val="22"/>
          <w:szCs w:val="22"/>
          <w:lang w:val="en-GB"/>
        </w:rPr>
        <w:t>)</w:t>
      </w:r>
      <w:r w:rsidRPr="00860FD1">
        <w:rPr>
          <w:sz w:val="22"/>
          <w:szCs w:val="22"/>
          <w:lang w:val="en-GB"/>
        </w:rPr>
        <w:t xml:space="preserve"> identifies changes and trends in six segments of the general, societal, or macro environment: political (P), economic (E), socio-cultural (S), technological (T), legal (L), and environmental (E). The analysis is also variably referred to as PESTEL (or PEST analysis if only the first four factors are considered). It evaluates the potential impact of changes and trends in </w:t>
      </w:r>
      <w:r w:rsidR="00EA773C">
        <w:rPr>
          <w:sz w:val="22"/>
          <w:szCs w:val="22"/>
          <w:lang w:val="en-GB"/>
        </w:rPr>
        <w:t>the environment</w:t>
      </w:r>
      <w:r w:rsidRPr="00860FD1">
        <w:rPr>
          <w:sz w:val="22"/>
          <w:szCs w:val="22"/>
          <w:lang w:val="en-GB"/>
        </w:rPr>
        <w:t xml:space="preserve"> on </w:t>
      </w:r>
      <w:r w:rsidRPr="00860FD1">
        <w:rPr>
          <w:sz w:val="22"/>
          <w:szCs w:val="22"/>
          <w:lang w:val="en-GB"/>
        </w:rPr>
        <w:lastRenderedPageBreak/>
        <w:t xml:space="preserve">both the industry and the organization, considering how the changes and trends affect supply, demand, competition, and each element of </w:t>
      </w:r>
      <w:r w:rsidR="00EA773C">
        <w:rPr>
          <w:sz w:val="22"/>
          <w:szCs w:val="22"/>
          <w:lang w:val="en-GB"/>
        </w:rPr>
        <w:t>the company’s</w:t>
      </w:r>
      <w:r w:rsidRPr="00860FD1">
        <w:rPr>
          <w:sz w:val="22"/>
          <w:szCs w:val="22"/>
          <w:lang w:val="en-GB"/>
        </w:rPr>
        <w:t xml:space="preserve"> value chain.</w:t>
      </w:r>
    </w:p>
    <w:p w14:paraId="19891CA8" w14:textId="77777777" w:rsidR="00860FD1" w:rsidRPr="00860FD1" w:rsidRDefault="00860FD1" w:rsidP="00860FD1">
      <w:pPr>
        <w:jc w:val="both"/>
        <w:rPr>
          <w:sz w:val="22"/>
          <w:szCs w:val="22"/>
          <w:lang w:val="en-GB"/>
        </w:rPr>
      </w:pPr>
    </w:p>
    <w:p w14:paraId="3C1D27DB" w14:textId="462B8691" w:rsidR="00860FD1" w:rsidRPr="00336EBF" w:rsidRDefault="00860FD1" w:rsidP="00860FD1">
      <w:pPr>
        <w:jc w:val="both"/>
        <w:rPr>
          <w:spacing w:val="-2"/>
          <w:kern w:val="22"/>
          <w:sz w:val="22"/>
          <w:szCs w:val="22"/>
          <w:lang w:val="en-GB"/>
        </w:rPr>
      </w:pPr>
      <w:r w:rsidRPr="00336EBF">
        <w:rPr>
          <w:spacing w:val="-2"/>
          <w:kern w:val="22"/>
          <w:sz w:val="22"/>
          <w:szCs w:val="22"/>
          <w:lang w:val="en-GB"/>
        </w:rPr>
        <w:t xml:space="preserve">A PESTLE analysis can be used as a stand-alone tool, or it can be used in conjunction with a SWOT analysis to enhance the thoroughness of external analysis by more </w:t>
      </w:r>
      <w:r w:rsidR="0086734E" w:rsidRPr="00336EBF">
        <w:rPr>
          <w:spacing w:val="-2"/>
          <w:kern w:val="22"/>
          <w:sz w:val="22"/>
          <w:szCs w:val="22"/>
          <w:lang w:val="en-GB"/>
        </w:rPr>
        <w:t xml:space="preserve">methodically </w:t>
      </w:r>
      <w:r w:rsidRPr="00336EBF">
        <w:rPr>
          <w:spacing w:val="-2"/>
          <w:kern w:val="22"/>
          <w:sz w:val="22"/>
          <w:szCs w:val="22"/>
          <w:lang w:val="en-GB"/>
        </w:rPr>
        <w:t>identifying opportunities and threats.</w:t>
      </w:r>
    </w:p>
    <w:p w14:paraId="458ED9B2" w14:textId="77777777" w:rsidR="00860FD1" w:rsidRPr="00860FD1" w:rsidRDefault="00860FD1" w:rsidP="00860FD1">
      <w:pPr>
        <w:jc w:val="both"/>
        <w:rPr>
          <w:sz w:val="22"/>
          <w:szCs w:val="22"/>
          <w:lang w:val="en-GB"/>
        </w:rPr>
      </w:pPr>
    </w:p>
    <w:p w14:paraId="1442530A" w14:textId="7D089F2C" w:rsidR="00860FD1" w:rsidRPr="00860FD1" w:rsidRDefault="00860FD1" w:rsidP="00860FD1">
      <w:pPr>
        <w:keepNext/>
        <w:spacing w:before="180" w:after="240"/>
        <w:jc w:val="both"/>
        <w:rPr>
          <w:rFonts w:ascii="Arial" w:eastAsia="Calibri" w:hAnsi="Arial"/>
          <w:b/>
          <w:bCs/>
          <w:szCs w:val="18"/>
          <w:lang w:val="en-GB"/>
        </w:rPr>
      </w:pPr>
      <w:bookmarkStart w:id="13" w:name="_Ref501127849"/>
      <w:bookmarkStart w:id="14" w:name="_Ref501463773"/>
      <w:r w:rsidRPr="00860FD1">
        <w:rPr>
          <w:rFonts w:ascii="Arial" w:eastAsia="Calibri" w:hAnsi="Arial"/>
          <w:b/>
          <w:bCs/>
          <w:szCs w:val="18"/>
          <w:lang w:val="en-GB"/>
        </w:rPr>
        <w:t xml:space="preserve">Figure </w:t>
      </w:r>
      <w:r w:rsidRPr="00860FD1">
        <w:rPr>
          <w:rFonts w:ascii="Arial" w:eastAsia="Calibri" w:hAnsi="Arial"/>
          <w:b/>
          <w:bCs/>
          <w:szCs w:val="18"/>
          <w:lang w:val="en-GB"/>
        </w:rPr>
        <w:fldChar w:fldCharType="begin"/>
      </w:r>
      <w:r w:rsidRPr="00860FD1">
        <w:rPr>
          <w:rFonts w:ascii="Arial" w:eastAsia="Calibri" w:hAnsi="Arial"/>
          <w:b/>
          <w:bCs/>
          <w:szCs w:val="18"/>
          <w:lang w:val="en-GB"/>
        </w:rPr>
        <w:instrText xml:space="preserve"> SEQ Figure \* ARABIC </w:instrText>
      </w:r>
      <w:r w:rsidRPr="00860FD1">
        <w:rPr>
          <w:rFonts w:ascii="Arial" w:eastAsia="Calibri" w:hAnsi="Arial"/>
          <w:b/>
          <w:bCs/>
          <w:szCs w:val="18"/>
          <w:lang w:val="en-GB"/>
        </w:rPr>
        <w:fldChar w:fldCharType="separate"/>
      </w:r>
      <w:r w:rsidR="00073D63">
        <w:rPr>
          <w:rFonts w:ascii="Arial" w:eastAsia="Calibri" w:hAnsi="Arial"/>
          <w:b/>
          <w:bCs/>
          <w:noProof/>
          <w:szCs w:val="18"/>
          <w:lang w:val="en-GB"/>
        </w:rPr>
        <w:t>1</w:t>
      </w:r>
      <w:r w:rsidRPr="00860FD1">
        <w:rPr>
          <w:rFonts w:ascii="Arial" w:eastAsia="Calibri" w:hAnsi="Arial"/>
          <w:b/>
          <w:bCs/>
          <w:szCs w:val="18"/>
          <w:lang w:val="en-GB"/>
        </w:rPr>
        <w:fldChar w:fldCharType="end"/>
      </w:r>
      <w:bookmarkEnd w:id="13"/>
      <w:r w:rsidRPr="00860FD1">
        <w:rPr>
          <w:rFonts w:ascii="Arial" w:eastAsia="Calibri" w:hAnsi="Arial"/>
          <w:b/>
          <w:bCs/>
          <w:szCs w:val="18"/>
          <w:lang w:val="en-GB"/>
        </w:rPr>
        <w:t>: PESTLE Analysis</w:t>
      </w:r>
      <w:bookmarkEnd w:id="14"/>
    </w:p>
    <w:tbl>
      <w:tblPr>
        <w:tblStyle w:val="IveyTable"/>
        <w:tblW w:w="5000" w:type="pct"/>
        <w:tblLook w:val="04A0" w:firstRow="1" w:lastRow="0" w:firstColumn="1" w:lastColumn="0" w:noHBand="0" w:noVBand="1"/>
      </w:tblPr>
      <w:tblGrid>
        <w:gridCol w:w="2625"/>
        <w:gridCol w:w="6735"/>
      </w:tblGrid>
      <w:tr w:rsidR="00860FD1" w:rsidRPr="00860FD1" w14:paraId="15996636" w14:textId="77777777" w:rsidTr="00860FD1">
        <w:trPr>
          <w:cnfStyle w:val="100000000000" w:firstRow="1" w:lastRow="0" w:firstColumn="0" w:lastColumn="0" w:oddVBand="0" w:evenVBand="0" w:oddHBand="0" w:evenHBand="0" w:firstRowFirstColumn="0" w:firstRowLastColumn="0" w:lastRowFirstColumn="0" w:lastRowLastColumn="0"/>
          <w:trHeight w:val="360"/>
        </w:trPr>
        <w:tc>
          <w:tcPr>
            <w:tcW w:w="2625" w:type="dxa"/>
          </w:tcPr>
          <w:p w14:paraId="4F786426" w14:textId="77777777" w:rsidR="00860FD1" w:rsidRPr="00860FD1" w:rsidRDefault="00860FD1" w:rsidP="00860FD1">
            <w:pPr>
              <w:jc w:val="center"/>
              <w:rPr>
                <w:rFonts w:ascii="Arial" w:hAnsi="Arial" w:cs="Arial"/>
                <w:lang w:val="en-GB"/>
              </w:rPr>
            </w:pPr>
            <w:r w:rsidRPr="00860FD1">
              <w:rPr>
                <w:rFonts w:ascii="Arial" w:hAnsi="Arial" w:cs="Arial"/>
                <w:lang w:val="en-GB"/>
              </w:rPr>
              <w:t>Force</w:t>
            </w:r>
          </w:p>
        </w:tc>
        <w:tc>
          <w:tcPr>
            <w:tcW w:w="6735" w:type="dxa"/>
          </w:tcPr>
          <w:p w14:paraId="58A6E483" w14:textId="77777777" w:rsidR="00860FD1" w:rsidRPr="00860FD1" w:rsidRDefault="00860FD1" w:rsidP="00860FD1">
            <w:pPr>
              <w:jc w:val="center"/>
              <w:rPr>
                <w:rFonts w:ascii="Arial" w:hAnsi="Arial" w:cs="Arial"/>
                <w:lang w:val="en-GB"/>
              </w:rPr>
            </w:pPr>
            <w:r w:rsidRPr="00860FD1">
              <w:rPr>
                <w:rFonts w:ascii="Arial" w:hAnsi="Arial" w:cs="Arial"/>
                <w:lang w:val="en-GB"/>
              </w:rPr>
              <w:t>Examples</w:t>
            </w:r>
          </w:p>
        </w:tc>
      </w:tr>
      <w:tr w:rsidR="00860FD1" w:rsidRPr="00860FD1" w14:paraId="1282F665" w14:textId="77777777" w:rsidTr="00860FD1">
        <w:trPr>
          <w:trHeight w:val="360"/>
        </w:trPr>
        <w:tc>
          <w:tcPr>
            <w:tcW w:w="2625" w:type="dxa"/>
          </w:tcPr>
          <w:p w14:paraId="38F2D952" w14:textId="77777777" w:rsidR="00860FD1" w:rsidRPr="00860FD1" w:rsidRDefault="00860FD1" w:rsidP="00860FD1">
            <w:pPr>
              <w:rPr>
                <w:rFonts w:ascii="Arial" w:hAnsi="Arial" w:cs="Arial"/>
                <w:b/>
                <w:lang w:val="en-GB"/>
              </w:rPr>
            </w:pPr>
            <w:r w:rsidRPr="00860FD1">
              <w:rPr>
                <w:rFonts w:ascii="Arial" w:hAnsi="Arial" w:cs="Arial"/>
                <w:lang w:val="en-GB"/>
              </w:rPr>
              <w:t xml:space="preserve">Political </w:t>
            </w:r>
          </w:p>
        </w:tc>
        <w:tc>
          <w:tcPr>
            <w:tcW w:w="6735" w:type="dxa"/>
          </w:tcPr>
          <w:p w14:paraId="5787DF00" w14:textId="77777777" w:rsidR="00860FD1" w:rsidRPr="00860FD1" w:rsidRDefault="00860FD1" w:rsidP="00860FD1">
            <w:pPr>
              <w:rPr>
                <w:rFonts w:ascii="Arial" w:hAnsi="Arial" w:cs="Arial"/>
                <w:b/>
                <w:lang w:val="en-GB"/>
              </w:rPr>
            </w:pPr>
            <w:r w:rsidRPr="00860FD1">
              <w:rPr>
                <w:rFonts w:ascii="Arial" w:hAnsi="Arial" w:cs="Arial"/>
                <w:lang w:val="en-GB"/>
              </w:rPr>
              <w:t>Tariffs,</w:t>
            </w:r>
            <w:r w:rsidRPr="00860FD1">
              <w:rPr>
                <w:rFonts w:ascii="Arial" w:hAnsi="Arial" w:cs="Arial"/>
                <w:b/>
                <w:lang w:val="en-GB"/>
              </w:rPr>
              <w:t xml:space="preserve"> </w:t>
            </w:r>
            <w:r w:rsidRPr="00860FD1">
              <w:rPr>
                <w:rFonts w:ascii="Arial" w:hAnsi="Arial" w:cs="Arial"/>
                <w:lang w:val="en-GB"/>
              </w:rPr>
              <w:t>trade agreements, and special interest groups that promote or oppose specific products (e.g., tobacco) or marketing practices (e.g., promotion of healthy body image)</w:t>
            </w:r>
          </w:p>
        </w:tc>
      </w:tr>
      <w:tr w:rsidR="00860FD1" w:rsidRPr="00860FD1" w14:paraId="66A3FC0D" w14:textId="77777777" w:rsidTr="00860FD1">
        <w:trPr>
          <w:trHeight w:val="360"/>
        </w:trPr>
        <w:tc>
          <w:tcPr>
            <w:tcW w:w="2625" w:type="dxa"/>
          </w:tcPr>
          <w:p w14:paraId="453329AD" w14:textId="77777777" w:rsidR="00860FD1" w:rsidRPr="00860FD1" w:rsidRDefault="00860FD1" w:rsidP="00860FD1">
            <w:pPr>
              <w:rPr>
                <w:rFonts w:ascii="Arial" w:hAnsi="Arial" w:cs="Arial"/>
                <w:b/>
                <w:lang w:val="en-GB"/>
              </w:rPr>
            </w:pPr>
            <w:r w:rsidRPr="00860FD1">
              <w:rPr>
                <w:rFonts w:ascii="Arial" w:hAnsi="Arial" w:cs="Arial"/>
                <w:lang w:val="en-GB"/>
              </w:rPr>
              <w:t xml:space="preserve">Economic </w:t>
            </w:r>
          </w:p>
          <w:p w14:paraId="56D2B966" w14:textId="77777777" w:rsidR="00860FD1" w:rsidRPr="00860FD1" w:rsidRDefault="00860FD1" w:rsidP="00860FD1">
            <w:pPr>
              <w:rPr>
                <w:rFonts w:ascii="Arial" w:hAnsi="Arial" w:cs="Arial"/>
                <w:b/>
                <w:lang w:val="en-GB"/>
              </w:rPr>
            </w:pPr>
          </w:p>
        </w:tc>
        <w:tc>
          <w:tcPr>
            <w:tcW w:w="6735" w:type="dxa"/>
          </w:tcPr>
          <w:p w14:paraId="6D1F58F1" w14:textId="77777777" w:rsidR="00860FD1" w:rsidRPr="00860FD1" w:rsidRDefault="00860FD1" w:rsidP="00860FD1">
            <w:pPr>
              <w:rPr>
                <w:rFonts w:ascii="Arial" w:hAnsi="Arial" w:cs="Arial"/>
                <w:b/>
                <w:lang w:val="en-GB"/>
              </w:rPr>
            </w:pPr>
            <w:r w:rsidRPr="00860FD1">
              <w:rPr>
                <w:rFonts w:ascii="Arial" w:hAnsi="Arial" w:cs="Arial"/>
                <w:lang w:val="en-GB"/>
              </w:rPr>
              <w:t>Interest rates, inflation rates, stock market trends, unemployment rates, gross domestic product, productivity levels, disposable income levels, government deficits, monetary policies, tax policies</w:t>
            </w:r>
          </w:p>
        </w:tc>
      </w:tr>
      <w:tr w:rsidR="00860FD1" w:rsidRPr="00860FD1" w14:paraId="1733FAD3" w14:textId="77777777" w:rsidTr="00860FD1">
        <w:trPr>
          <w:trHeight w:val="360"/>
        </w:trPr>
        <w:tc>
          <w:tcPr>
            <w:tcW w:w="2625" w:type="dxa"/>
          </w:tcPr>
          <w:p w14:paraId="3C096B25" w14:textId="77777777" w:rsidR="00860FD1" w:rsidRPr="00860FD1" w:rsidRDefault="00860FD1" w:rsidP="00860FD1">
            <w:pPr>
              <w:rPr>
                <w:rFonts w:ascii="Arial" w:hAnsi="Arial" w:cs="Arial"/>
                <w:b/>
                <w:lang w:val="en-GB"/>
              </w:rPr>
            </w:pPr>
            <w:r w:rsidRPr="00860FD1">
              <w:rPr>
                <w:rFonts w:ascii="Arial" w:hAnsi="Arial" w:cs="Arial"/>
                <w:lang w:val="en-GB"/>
              </w:rPr>
              <w:t>Socio-cultural</w:t>
            </w:r>
          </w:p>
        </w:tc>
        <w:tc>
          <w:tcPr>
            <w:tcW w:w="6735" w:type="dxa"/>
          </w:tcPr>
          <w:p w14:paraId="50603DE9" w14:textId="77777777" w:rsidR="00860FD1" w:rsidRPr="00860FD1" w:rsidRDefault="00860FD1" w:rsidP="00860FD1">
            <w:pPr>
              <w:rPr>
                <w:rFonts w:ascii="Arial" w:hAnsi="Arial" w:cs="Arial"/>
                <w:b/>
                <w:lang w:val="en-GB"/>
              </w:rPr>
            </w:pPr>
            <w:r w:rsidRPr="00860FD1">
              <w:rPr>
                <w:rFonts w:ascii="Arial" w:hAnsi="Arial" w:cs="Arial"/>
                <w:lang w:val="en-GB"/>
              </w:rPr>
              <w:t>Society’s values, beliefs, attitudes, lifestyles, and demographics; e.g., having children later in life, desire to live in the suburbs, attitudes toward saving and investing, attitudes toward leisure and careers, desire for healthy lifestyle; gender, age, and income distribution; ethnic makeup; education levels</w:t>
            </w:r>
          </w:p>
        </w:tc>
      </w:tr>
      <w:tr w:rsidR="00860FD1" w:rsidRPr="00860FD1" w14:paraId="33FD831E" w14:textId="77777777" w:rsidTr="00860FD1">
        <w:trPr>
          <w:trHeight w:val="360"/>
        </w:trPr>
        <w:tc>
          <w:tcPr>
            <w:tcW w:w="2625" w:type="dxa"/>
          </w:tcPr>
          <w:p w14:paraId="402A28B3" w14:textId="77777777" w:rsidR="00860FD1" w:rsidRPr="00860FD1" w:rsidRDefault="00860FD1" w:rsidP="00860FD1">
            <w:pPr>
              <w:rPr>
                <w:rFonts w:ascii="Arial" w:hAnsi="Arial" w:cs="Arial"/>
                <w:b/>
                <w:lang w:val="en-GB"/>
              </w:rPr>
            </w:pPr>
            <w:r w:rsidRPr="00860FD1">
              <w:rPr>
                <w:rFonts w:ascii="Arial" w:hAnsi="Arial" w:cs="Arial"/>
                <w:lang w:val="en-GB"/>
              </w:rPr>
              <w:t xml:space="preserve">Technological developments </w:t>
            </w:r>
          </w:p>
        </w:tc>
        <w:tc>
          <w:tcPr>
            <w:tcW w:w="6735" w:type="dxa"/>
          </w:tcPr>
          <w:p w14:paraId="2C682FC6" w14:textId="77777777" w:rsidR="00860FD1" w:rsidRPr="00860FD1" w:rsidRDefault="00860FD1" w:rsidP="00860FD1">
            <w:pPr>
              <w:rPr>
                <w:rFonts w:ascii="Arial" w:hAnsi="Arial" w:cs="Arial"/>
                <w:b/>
                <w:lang w:val="en-GB"/>
              </w:rPr>
            </w:pPr>
            <w:r w:rsidRPr="00860FD1">
              <w:rPr>
                <w:rFonts w:ascii="Arial" w:hAnsi="Arial" w:cs="Arial"/>
                <w:lang w:val="en-GB"/>
              </w:rPr>
              <w:t>Developments that lead to new or improved products or services, and changes in how products are delivered and marketed; e.g., social media, computer-aided manufacturing, artificial materials</w:t>
            </w:r>
          </w:p>
        </w:tc>
      </w:tr>
      <w:tr w:rsidR="00860FD1" w:rsidRPr="00860FD1" w14:paraId="66B394D9" w14:textId="77777777" w:rsidTr="00860FD1">
        <w:trPr>
          <w:trHeight w:val="360"/>
        </w:trPr>
        <w:tc>
          <w:tcPr>
            <w:tcW w:w="2625" w:type="dxa"/>
          </w:tcPr>
          <w:p w14:paraId="1F9BD49E" w14:textId="77777777" w:rsidR="00860FD1" w:rsidRPr="00860FD1" w:rsidRDefault="00860FD1" w:rsidP="00860FD1">
            <w:pPr>
              <w:rPr>
                <w:rFonts w:ascii="Arial" w:hAnsi="Arial" w:cs="Arial"/>
                <w:lang w:val="en-GB"/>
              </w:rPr>
            </w:pPr>
            <w:r w:rsidRPr="00860FD1">
              <w:rPr>
                <w:rFonts w:ascii="Arial" w:hAnsi="Arial" w:cs="Arial"/>
                <w:lang w:val="en-GB"/>
              </w:rPr>
              <w:t>Legal</w:t>
            </w:r>
          </w:p>
        </w:tc>
        <w:tc>
          <w:tcPr>
            <w:tcW w:w="6735" w:type="dxa"/>
          </w:tcPr>
          <w:p w14:paraId="38386626" w14:textId="77777777" w:rsidR="00860FD1" w:rsidRPr="00860FD1" w:rsidRDefault="00860FD1" w:rsidP="00860FD1">
            <w:pPr>
              <w:rPr>
                <w:rFonts w:ascii="Arial" w:hAnsi="Arial" w:cs="Arial"/>
                <w:b/>
                <w:shd w:val="clear" w:color="auto" w:fill="FFFFFF"/>
                <w:lang w:val="en-GB"/>
              </w:rPr>
            </w:pPr>
            <w:r w:rsidRPr="00860FD1">
              <w:rPr>
                <w:rFonts w:ascii="Arial" w:hAnsi="Arial" w:cs="Arial"/>
                <w:lang w:val="en-GB"/>
              </w:rPr>
              <w:t>Laws and regulations; e.g., competition, labour, taxation, intellectual property, product safety, corporate governance</w:t>
            </w:r>
          </w:p>
        </w:tc>
      </w:tr>
      <w:tr w:rsidR="00860FD1" w:rsidRPr="00860FD1" w14:paraId="33A316D9" w14:textId="77777777" w:rsidTr="00860FD1">
        <w:trPr>
          <w:trHeight w:val="360"/>
        </w:trPr>
        <w:tc>
          <w:tcPr>
            <w:tcW w:w="2625" w:type="dxa"/>
          </w:tcPr>
          <w:p w14:paraId="126228E5" w14:textId="77777777" w:rsidR="00860FD1" w:rsidRPr="00860FD1" w:rsidRDefault="00860FD1" w:rsidP="00860FD1">
            <w:pPr>
              <w:rPr>
                <w:rFonts w:ascii="Arial" w:hAnsi="Arial" w:cs="Arial"/>
                <w:lang w:val="en-GB"/>
              </w:rPr>
            </w:pPr>
            <w:r w:rsidRPr="00860FD1">
              <w:rPr>
                <w:rFonts w:ascii="Arial" w:hAnsi="Arial" w:cs="Arial"/>
                <w:lang w:val="en-GB"/>
              </w:rPr>
              <w:t>Environmental</w:t>
            </w:r>
          </w:p>
        </w:tc>
        <w:tc>
          <w:tcPr>
            <w:tcW w:w="6735" w:type="dxa"/>
          </w:tcPr>
          <w:p w14:paraId="5AC7876C" w14:textId="77777777" w:rsidR="00860FD1" w:rsidRPr="00860FD1" w:rsidRDefault="00860FD1" w:rsidP="00860FD1">
            <w:pPr>
              <w:rPr>
                <w:rFonts w:ascii="Arial" w:hAnsi="Arial" w:cs="Arial"/>
                <w:lang w:val="en-GB"/>
              </w:rPr>
            </w:pPr>
            <w:r w:rsidRPr="00860FD1">
              <w:rPr>
                <w:rFonts w:ascii="Arial" w:hAnsi="Arial" w:cs="Arial"/>
                <w:lang w:val="en-GB"/>
              </w:rPr>
              <w:t>Trends related to pollution, global warming, and sustainable development; e.g., recycling programs, packaging, energy conservation, and reforestation</w:t>
            </w:r>
          </w:p>
        </w:tc>
      </w:tr>
    </w:tbl>
    <w:p w14:paraId="12B049CB" w14:textId="42E2AF15" w:rsidR="00860FD1" w:rsidRDefault="00860FD1" w:rsidP="00860FD1">
      <w:pPr>
        <w:jc w:val="both"/>
        <w:rPr>
          <w:sz w:val="22"/>
          <w:szCs w:val="22"/>
          <w:lang w:val="en-GB"/>
        </w:rPr>
      </w:pPr>
      <w:bookmarkStart w:id="15" w:name="_Toc365803795"/>
      <w:bookmarkStart w:id="16" w:name="_Toc392920675"/>
      <w:bookmarkStart w:id="17" w:name="_Toc393181057"/>
    </w:p>
    <w:p w14:paraId="0D6389EE" w14:textId="5834B27F" w:rsidR="0086734E" w:rsidRPr="00860FD1" w:rsidRDefault="00BC6FC9" w:rsidP="00860FD1">
      <w:pPr>
        <w:jc w:val="both"/>
        <w:rPr>
          <w:sz w:val="22"/>
          <w:szCs w:val="22"/>
          <w:lang w:val="en-GB"/>
        </w:rPr>
      </w:pPr>
      <w:r>
        <w:rPr>
          <w:sz w:val="22"/>
          <w:szCs w:val="22"/>
          <w:lang w:val="en-GB"/>
        </w:rPr>
        <w:t>I</w:t>
      </w:r>
      <w:r w:rsidR="004C53A8">
        <w:rPr>
          <w:sz w:val="22"/>
          <w:szCs w:val="22"/>
          <w:lang w:val="en-GB"/>
        </w:rPr>
        <w:t xml:space="preserve">n the body of a report, </w:t>
      </w:r>
      <w:r w:rsidR="0086734E">
        <w:rPr>
          <w:sz w:val="22"/>
          <w:szCs w:val="22"/>
          <w:lang w:val="en-GB"/>
        </w:rPr>
        <w:t xml:space="preserve">use PESTLE to identify only the most important external forces. For example, for an automobile manufacturer, the most relevant forces might be abandonment of free trade agreements (P); </w:t>
      </w:r>
      <w:r w:rsidR="00376EA0">
        <w:rPr>
          <w:sz w:val="22"/>
          <w:szCs w:val="22"/>
          <w:lang w:val="en-GB"/>
        </w:rPr>
        <w:t xml:space="preserve">increasing </w:t>
      </w:r>
      <w:r w:rsidR="0086734E">
        <w:rPr>
          <w:sz w:val="22"/>
          <w:szCs w:val="22"/>
          <w:lang w:val="en-GB"/>
        </w:rPr>
        <w:t xml:space="preserve">interest rates </w:t>
      </w:r>
      <w:r w:rsidR="00376EA0">
        <w:rPr>
          <w:sz w:val="22"/>
          <w:szCs w:val="22"/>
          <w:lang w:val="en-GB"/>
        </w:rPr>
        <w:t>for</w:t>
      </w:r>
      <w:r w:rsidR="0086734E">
        <w:rPr>
          <w:sz w:val="22"/>
          <w:szCs w:val="22"/>
          <w:lang w:val="en-GB"/>
        </w:rPr>
        <w:t xml:space="preserve"> car loans (E); pressure to use rapid transit systems (S); development of self-driving cars (T); higher damage awards for product safety violations (L); and lower emissions </w:t>
      </w:r>
      <w:r w:rsidR="00376EA0">
        <w:rPr>
          <w:sz w:val="22"/>
          <w:szCs w:val="22"/>
          <w:lang w:val="en-GB"/>
        </w:rPr>
        <w:t>requirements</w:t>
      </w:r>
      <w:r w:rsidR="0086734E">
        <w:rPr>
          <w:sz w:val="22"/>
          <w:szCs w:val="22"/>
          <w:lang w:val="en-GB"/>
        </w:rPr>
        <w:t xml:space="preserve"> (E). </w:t>
      </w:r>
      <w:r>
        <w:rPr>
          <w:sz w:val="22"/>
          <w:szCs w:val="22"/>
          <w:lang w:val="en-GB"/>
        </w:rPr>
        <w:t>If it adds value to your report, a more extensive description of external forces can be put in an appendix.</w:t>
      </w:r>
    </w:p>
    <w:p w14:paraId="100BA4C0" w14:textId="77777777" w:rsidR="00860FD1" w:rsidRDefault="00860FD1" w:rsidP="00860FD1">
      <w:pPr>
        <w:jc w:val="both"/>
        <w:rPr>
          <w:sz w:val="22"/>
          <w:szCs w:val="22"/>
          <w:lang w:val="en-GB"/>
        </w:rPr>
      </w:pPr>
    </w:p>
    <w:p w14:paraId="722F725B" w14:textId="77777777" w:rsidR="00336EBF" w:rsidRPr="00860FD1" w:rsidRDefault="00336EBF" w:rsidP="00860FD1">
      <w:pPr>
        <w:jc w:val="both"/>
        <w:rPr>
          <w:sz w:val="22"/>
          <w:szCs w:val="22"/>
          <w:lang w:val="en-GB"/>
        </w:rPr>
      </w:pPr>
    </w:p>
    <w:p w14:paraId="29BC0F7A" w14:textId="3C2587EF" w:rsidR="00860FD1" w:rsidRPr="00860FD1" w:rsidRDefault="00220F32" w:rsidP="00100EF4">
      <w:pPr>
        <w:numPr>
          <w:ilvl w:val="0"/>
          <w:numId w:val="9"/>
        </w:numPr>
        <w:tabs>
          <w:tab w:val="left" w:pos="284"/>
        </w:tabs>
        <w:jc w:val="both"/>
        <w:rPr>
          <w:rFonts w:ascii="Arial" w:hAnsi="Arial" w:cs="Arial"/>
          <w:b/>
          <w:caps/>
          <w:lang w:val="en-GB"/>
        </w:rPr>
      </w:pPr>
      <w:r>
        <w:rPr>
          <w:rFonts w:ascii="Arial" w:hAnsi="Arial" w:cs="Arial"/>
          <w:b/>
          <w:caps/>
          <w:lang w:val="en-GB"/>
        </w:rPr>
        <w:t xml:space="preserve"> </w:t>
      </w:r>
      <w:r w:rsidR="00860FD1" w:rsidRPr="00860FD1">
        <w:rPr>
          <w:rFonts w:ascii="Arial" w:hAnsi="Arial" w:cs="Arial"/>
          <w:b/>
          <w:caps/>
          <w:lang w:val="en-GB"/>
        </w:rPr>
        <w:t xml:space="preserve">Porter’s Five Forces </w:t>
      </w:r>
      <w:bookmarkEnd w:id="15"/>
      <w:bookmarkEnd w:id="16"/>
      <w:bookmarkEnd w:id="17"/>
      <w:r w:rsidR="00860FD1" w:rsidRPr="00860FD1">
        <w:rPr>
          <w:rFonts w:ascii="Arial" w:hAnsi="Arial" w:cs="Arial"/>
          <w:b/>
          <w:caps/>
          <w:lang w:val="en-GB"/>
        </w:rPr>
        <w:t>Framework</w:t>
      </w:r>
      <w:r w:rsidR="00860FD1" w:rsidRPr="00860FD1">
        <w:rPr>
          <w:rFonts w:ascii="Arial" w:hAnsi="Arial" w:cs="Arial"/>
          <w:b/>
          <w:caps/>
          <w:vertAlign w:val="superscript"/>
          <w:lang w:val="en-GB"/>
        </w:rPr>
        <w:footnoteReference w:id="1"/>
      </w:r>
      <w:r w:rsidR="00860FD1" w:rsidRPr="00860FD1">
        <w:rPr>
          <w:rFonts w:ascii="Arial" w:hAnsi="Arial" w:cs="Arial"/>
          <w:b/>
          <w:caps/>
          <w:lang w:val="en-GB"/>
        </w:rPr>
        <w:t xml:space="preserve"> </w:t>
      </w:r>
    </w:p>
    <w:p w14:paraId="2EAA77DD" w14:textId="77777777" w:rsidR="00860FD1" w:rsidRPr="00860FD1" w:rsidRDefault="00860FD1" w:rsidP="00860FD1">
      <w:pPr>
        <w:keepNext/>
        <w:jc w:val="both"/>
        <w:rPr>
          <w:sz w:val="22"/>
          <w:szCs w:val="22"/>
          <w:lang w:val="en-GB"/>
        </w:rPr>
      </w:pPr>
    </w:p>
    <w:p w14:paraId="5CC52A22" w14:textId="3656D402" w:rsidR="00860FD1" w:rsidRPr="00860FD1" w:rsidRDefault="00860FD1" w:rsidP="00860FD1">
      <w:pPr>
        <w:jc w:val="both"/>
        <w:rPr>
          <w:sz w:val="22"/>
          <w:szCs w:val="22"/>
          <w:lang w:val="en-GB"/>
        </w:rPr>
      </w:pPr>
      <w:r w:rsidRPr="00860FD1">
        <w:rPr>
          <w:sz w:val="22"/>
          <w:szCs w:val="22"/>
          <w:lang w:val="en-GB"/>
        </w:rPr>
        <w:t xml:space="preserve">Porter’s five forces framework (see Figure 2) is used to evaluate five competitive forces that influence an industry’s profit potential or attractiveness, and to identify where economic profit lies in an industry’s value chain (see Section </w:t>
      </w:r>
      <w:r w:rsidRPr="00860FD1">
        <w:rPr>
          <w:sz w:val="22"/>
          <w:szCs w:val="22"/>
          <w:lang w:val="en-GB"/>
        </w:rPr>
        <w:fldChar w:fldCharType="begin"/>
      </w:r>
      <w:r w:rsidRPr="00860FD1">
        <w:rPr>
          <w:sz w:val="22"/>
          <w:szCs w:val="22"/>
          <w:lang w:val="en-GB"/>
        </w:rPr>
        <w:instrText xml:space="preserve"> REF _Ref501125117 \r \h </w:instrText>
      </w:r>
      <w:r w:rsidRPr="00860FD1">
        <w:rPr>
          <w:sz w:val="22"/>
          <w:szCs w:val="22"/>
          <w:lang w:val="en-GB"/>
        </w:rPr>
      </w:r>
      <w:r w:rsidRPr="00860FD1">
        <w:rPr>
          <w:sz w:val="22"/>
          <w:szCs w:val="22"/>
          <w:lang w:val="en-GB"/>
        </w:rPr>
        <w:fldChar w:fldCharType="separate"/>
      </w:r>
      <w:r w:rsidR="00073D63">
        <w:rPr>
          <w:sz w:val="22"/>
          <w:szCs w:val="22"/>
          <w:lang w:val="en-GB"/>
        </w:rPr>
        <w:t>13</w:t>
      </w:r>
      <w:r w:rsidRPr="00860FD1">
        <w:rPr>
          <w:sz w:val="22"/>
          <w:szCs w:val="22"/>
          <w:lang w:val="en-GB"/>
        </w:rPr>
        <w:fldChar w:fldCharType="end"/>
      </w:r>
      <w:r w:rsidR="00EA773C">
        <w:rPr>
          <w:sz w:val="22"/>
          <w:szCs w:val="22"/>
          <w:lang w:val="en-GB"/>
        </w:rPr>
        <w:t>3</w:t>
      </w:r>
      <w:r w:rsidR="0032533D">
        <w:rPr>
          <w:sz w:val="22"/>
          <w:szCs w:val="22"/>
          <w:lang w:val="en-GB"/>
        </w:rPr>
        <w:t>.1</w:t>
      </w:r>
      <w:r w:rsidRPr="00860FD1">
        <w:rPr>
          <w:sz w:val="22"/>
          <w:szCs w:val="22"/>
          <w:lang w:val="en-GB"/>
        </w:rPr>
        <w:t>). A five forces analysis can also be used to identify specific opportunities and threats in the industry, such as introduction of a substitute product or increased competitive rivalry.</w:t>
      </w:r>
    </w:p>
    <w:p w14:paraId="12EE33D2" w14:textId="77777777" w:rsidR="00860FD1" w:rsidRPr="00860FD1" w:rsidRDefault="00860FD1" w:rsidP="00860FD1">
      <w:pPr>
        <w:jc w:val="both"/>
        <w:rPr>
          <w:sz w:val="22"/>
          <w:szCs w:val="22"/>
          <w:lang w:val="en-GB"/>
        </w:rPr>
      </w:pPr>
    </w:p>
    <w:p w14:paraId="5746AE1E" w14:textId="2391622B" w:rsidR="00860FD1" w:rsidRPr="00860FD1" w:rsidRDefault="00860FD1" w:rsidP="00860FD1">
      <w:pPr>
        <w:spacing w:before="180" w:after="240"/>
        <w:jc w:val="both"/>
        <w:rPr>
          <w:rFonts w:ascii="Arial" w:eastAsia="Calibri" w:hAnsi="Arial"/>
          <w:b/>
          <w:bCs/>
          <w:szCs w:val="18"/>
          <w:lang w:val="en-GB"/>
        </w:rPr>
      </w:pPr>
      <w:r w:rsidRPr="00860FD1">
        <w:rPr>
          <w:rFonts w:ascii="Arial" w:eastAsia="Calibri" w:hAnsi="Arial"/>
          <w:b/>
          <w:bCs/>
          <w:szCs w:val="18"/>
          <w:lang w:val="en-GB"/>
        </w:rPr>
        <w:lastRenderedPageBreak/>
        <w:t xml:space="preserve">Figure </w:t>
      </w:r>
      <w:r w:rsidRPr="00860FD1">
        <w:rPr>
          <w:rFonts w:ascii="Arial" w:eastAsia="Calibri" w:hAnsi="Arial"/>
          <w:b/>
          <w:bCs/>
          <w:szCs w:val="18"/>
          <w:lang w:val="en-GB"/>
        </w:rPr>
        <w:fldChar w:fldCharType="begin"/>
      </w:r>
      <w:r w:rsidRPr="00860FD1">
        <w:rPr>
          <w:rFonts w:ascii="Arial" w:eastAsia="Calibri" w:hAnsi="Arial"/>
          <w:b/>
          <w:bCs/>
          <w:szCs w:val="18"/>
          <w:lang w:val="en-GB"/>
        </w:rPr>
        <w:instrText xml:space="preserve"> SEQ Figure \* ARABIC </w:instrText>
      </w:r>
      <w:r w:rsidRPr="00860FD1">
        <w:rPr>
          <w:rFonts w:ascii="Arial" w:eastAsia="Calibri" w:hAnsi="Arial"/>
          <w:b/>
          <w:bCs/>
          <w:szCs w:val="18"/>
          <w:lang w:val="en-GB"/>
        </w:rPr>
        <w:fldChar w:fldCharType="separate"/>
      </w:r>
      <w:r w:rsidR="00073D63">
        <w:rPr>
          <w:rFonts w:ascii="Arial" w:eastAsia="Calibri" w:hAnsi="Arial"/>
          <w:b/>
          <w:bCs/>
          <w:noProof/>
          <w:szCs w:val="18"/>
          <w:lang w:val="en-GB"/>
        </w:rPr>
        <w:t>2</w:t>
      </w:r>
      <w:r w:rsidRPr="00860FD1">
        <w:rPr>
          <w:rFonts w:ascii="Arial" w:eastAsia="Calibri" w:hAnsi="Arial"/>
          <w:b/>
          <w:bCs/>
          <w:szCs w:val="18"/>
          <w:lang w:val="en-GB"/>
        </w:rPr>
        <w:fldChar w:fldCharType="end"/>
      </w:r>
      <w:r w:rsidRPr="00860FD1">
        <w:rPr>
          <w:rFonts w:ascii="Arial" w:eastAsia="Calibri" w:hAnsi="Arial"/>
          <w:b/>
          <w:bCs/>
          <w:szCs w:val="18"/>
          <w:lang w:val="en-GB"/>
        </w:rPr>
        <w:t>: Porter's Five Forces</w:t>
      </w:r>
    </w:p>
    <w:p w14:paraId="4D92A2E5" w14:textId="77777777" w:rsidR="00860FD1" w:rsidRPr="00860FD1" w:rsidRDefault="00860FD1" w:rsidP="00860FD1">
      <w:pPr>
        <w:jc w:val="center"/>
        <w:rPr>
          <w:sz w:val="22"/>
          <w:szCs w:val="22"/>
          <w:lang w:val="en-GB"/>
        </w:rPr>
      </w:pPr>
      <w:r w:rsidRPr="00860FD1">
        <w:rPr>
          <w:noProof/>
          <w:sz w:val="22"/>
          <w:szCs w:val="22"/>
        </w:rPr>
        <mc:AlternateContent>
          <mc:Choice Requires="wpg">
            <w:drawing>
              <wp:inline distT="0" distB="0" distL="0" distR="0" wp14:anchorId="0669D64C" wp14:editId="254EC547">
                <wp:extent cx="4691380" cy="2626995"/>
                <wp:effectExtent l="0" t="0" r="33020" b="14605"/>
                <wp:docPr id="2" name="Group 2"/>
                <wp:cNvGraphicFramePr/>
                <a:graphic xmlns:a="http://schemas.openxmlformats.org/drawingml/2006/main">
                  <a:graphicData uri="http://schemas.microsoft.com/office/word/2010/wordprocessingGroup">
                    <wpg:wgp>
                      <wpg:cNvGrpSpPr/>
                      <wpg:grpSpPr>
                        <a:xfrm>
                          <a:off x="0" y="0"/>
                          <a:ext cx="4691380" cy="2626995"/>
                          <a:chOff x="0" y="0"/>
                          <a:chExt cx="4691764" cy="2626995"/>
                        </a:xfrm>
                      </wpg:grpSpPr>
                      <wpg:grpSp>
                        <wpg:cNvPr id="3" name="Group 3"/>
                        <wpg:cNvGrpSpPr/>
                        <wpg:grpSpPr>
                          <a:xfrm>
                            <a:off x="0" y="0"/>
                            <a:ext cx="4691764" cy="2626995"/>
                            <a:chOff x="0" y="0"/>
                            <a:chExt cx="4691764" cy="2626995"/>
                          </a:xfrm>
                        </wpg:grpSpPr>
                        <wps:wsp>
                          <wps:cNvPr id="4" name="Rounded Rectangle 4"/>
                          <wps:cNvSpPr/>
                          <wps:spPr>
                            <a:xfrm>
                              <a:off x="0" y="966866"/>
                              <a:ext cx="1371442" cy="685792"/>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35A6384B" w14:textId="4D852042" w:rsidR="005711AE" w:rsidRPr="00CC436E" w:rsidRDefault="00471195" w:rsidP="00860FD1">
                                <w:pPr>
                                  <w:spacing w:line="240" w:lineRule="atLeast"/>
                                  <w:jc w:val="center"/>
                                  <w:rPr>
                                    <w:rFonts w:ascii="Arial" w:hAnsi="Arial" w:cs="Arial"/>
                                    <w:sz w:val="18"/>
                                    <w:szCs w:val="18"/>
                                  </w:rPr>
                                </w:pPr>
                                <w:r>
                                  <w:rPr>
                                    <w:rFonts w:ascii="Arial" w:hAnsi="Arial" w:cs="Arial"/>
                                    <w:sz w:val="18"/>
                                    <w:szCs w:val="18"/>
                                  </w:rPr>
                                  <w:t>Bargaining Power of S</w:t>
                                </w:r>
                                <w:r w:rsidR="005711AE" w:rsidRPr="00CC436E">
                                  <w:rPr>
                                    <w:rFonts w:ascii="Arial" w:hAnsi="Arial" w:cs="Arial"/>
                                    <w:sz w:val="18"/>
                                    <w:szCs w:val="18"/>
                                  </w:rPr>
                                  <w:t>uppliers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3320322" y="966866"/>
                              <a:ext cx="1371442" cy="685792"/>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21151EB5" w14:textId="5685BB1E" w:rsidR="005711AE" w:rsidRPr="00CC436E" w:rsidRDefault="005711AE" w:rsidP="00860FD1">
                                <w:pPr>
                                  <w:spacing w:line="240" w:lineRule="atLeast"/>
                                  <w:jc w:val="center"/>
                                  <w:rPr>
                                    <w:rFonts w:ascii="Arial" w:hAnsi="Arial" w:cs="Arial"/>
                                    <w:sz w:val="18"/>
                                    <w:szCs w:val="18"/>
                                  </w:rPr>
                                </w:pPr>
                                <w:r w:rsidRPr="00CC436E">
                                  <w:rPr>
                                    <w:rFonts w:ascii="Arial" w:hAnsi="Arial" w:cs="Arial"/>
                                    <w:sz w:val="18"/>
                                    <w:szCs w:val="18"/>
                                  </w:rPr>
                                  <w:t>B</w:t>
                                </w:r>
                                <w:r w:rsidR="00471195">
                                  <w:rPr>
                                    <w:rFonts w:ascii="Arial" w:hAnsi="Arial" w:cs="Arial"/>
                                    <w:sz w:val="18"/>
                                    <w:szCs w:val="18"/>
                                  </w:rPr>
                                  <w:t>argaining Power of B</w:t>
                                </w:r>
                                <w:r w:rsidRPr="00CC436E">
                                  <w:rPr>
                                    <w:rFonts w:ascii="Arial" w:hAnsi="Arial" w:cs="Arial"/>
                                    <w:sz w:val="18"/>
                                    <w:szCs w:val="18"/>
                                  </w:rPr>
                                  <w:t>uyers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 name="Group 6"/>
                          <wpg:cNvGrpSpPr/>
                          <wpg:grpSpPr>
                            <a:xfrm>
                              <a:off x="1656414" y="0"/>
                              <a:ext cx="1371442" cy="2626995"/>
                              <a:chOff x="0" y="0"/>
                              <a:chExt cx="1371600" cy="2627026"/>
                            </a:xfrm>
                          </wpg:grpSpPr>
                          <wps:wsp>
                            <wps:cNvPr id="7" name="Rounded Rectangle 7"/>
                            <wps:cNvSpPr/>
                            <wps:spPr>
                              <a:xfrm>
                                <a:off x="0" y="0"/>
                                <a:ext cx="1371600" cy="685800"/>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55ED0ED8" w14:textId="628A0E7F" w:rsidR="005711AE" w:rsidRPr="00CC436E" w:rsidRDefault="005711AE" w:rsidP="00860FD1">
                                  <w:pPr>
                                    <w:spacing w:line="240" w:lineRule="atLeast"/>
                                    <w:jc w:val="center"/>
                                    <w:rPr>
                                      <w:rFonts w:ascii="Arial" w:hAnsi="Arial" w:cs="Arial"/>
                                      <w:sz w:val="18"/>
                                      <w:szCs w:val="18"/>
                                    </w:rPr>
                                  </w:pPr>
                                  <w:r w:rsidRPr="00CC436E">
                                    <w:rPr>
                                      <w:rFonts w:ascii="Arial" w:hAnsi="Arial" w:cs="Arial"/>
                                      <w:sz w:val="18"/>
                                      <w:szCs w:val="18"/>
                                    </w:rPr>
                                    <w:t>T</w:t>
                                  </w:r>
                                  <w:r w:rsidR="00471195">
                                    <w:rPr>
                                      <w:rFonts w:ascii="Arial" w:hAnsi="Arial" w:cs="Arial"/>
                                      <w:sz w:val="18"/>
                                      <w:szCs w:val="18"/>
                                    </w:rPr>
                                    <w:t>hreat of New E</w:t>
                                  </w:r>
                                  <w:r w:rsidRPr="00CC436E">
                                    <w:rPr>
                                      <w:rFonts w:ascii="Arial" w:hAnsi="Arial" w:cs="Arial"/>
                                      <w:sz w:val="18"/>
                                      <w:szCs w:val="18"/>
                                    </w:rPr>
                                    <w:t>ntrants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ounded Rectangle 8"/>
                            <wps:cNvSpPr/>
                            <wps:spPr>
                              <a:xfrm>
                                <a:off x="0" y="966866"/>
                                <a:ext cx="1371600" cy="685800"/>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1F17E9AE" w14:textId="4F1B2BB2" w:rsidR="005711AE" w:rsidRPr="00CC436E" w:rsidRDefault="005711AE" w:rsidP="00860FD1">
                                  <w:pPr>
                                    <w:spacing w:line="240" w:lineRule="atLeast"/>
                                    <w:jc w:val="center"/>
                                    <w:rPr>
                                      <w:rFonts w:ascii="Arial" w:hAnsi="Arial" w:cs="Arial"/>
                                      <w:sz w:val="18"/>
                                      <w:szCs w:val="18"/>
                                    </w:rPr>
                                  </w:pPr>
                                  <w:r w:rsidRPr="00CC436E">
                                    <w:rPr>
                                      <w:rFonts w:ascii="Arial" w:hAnsi="Arial" w:cs="Arial"/>
                                      <w:sz w:val="18"/>
                                      <w:szCs w:val="18"/>
                                    </w:rPr>
                                    <w:t>I</w:t>
                                  </w:r>
                                  <w:r w:rsidR="00471195">
                                    <w:rPr>
                                      <w:rFonts w:ascii="Arial" w:hAnsi="Arial" w:cs="Arial"/>
                                      <w:sz w:val="18"/>
                                      <w:szCs w:val="18"/>
                                    </w:rPr>
                                    <w:t>ntensity of Rivalry between Competing F</w:t>
                                  </w:r>
                                  <w:r w:rsidRPr="00CC436E">
                                    <w:rPr>
                                      <w:rFonts w:ascii="Arial" w:hAnsi="Arial" w:cs="Arial"/>
                                      <w:sz w:val="18"/>
                                      <w:szCs w:val="18"/>
                                    </w:rPr>
                                    <w:t>irms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ounded Rectangle 9"/>
                            <wps:cNvSpPr/>
                            <wps:spPr>
                              <a:xfrm>
                                <a:off x="0" y="1941226"/>
                                <a:ext cx="1371600" cy="685800"/>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2606B297" w14:textId="6FD7A44C" w:rsidR="005711AE" w:rsidRPr="00CC436E" w:rsidRDefault="005711AE" w:rsidP="00860FD1">
                                  <w:pPr>
                                    <w:spacing w:line="240" w:lineRule="atLeast"/>
                                    <w:jc w:val="center"/>
                                    <w:rPr>
                                      <w:rFonts w:ascii="Arial" w:hAnsi="Arial" w:cs="Arial"/>
                                      <w:sz w:val="18"/>
                                      <w:szCs w:val="18"/>
                                    </w:rPr>
                                  </w:pPr>
                                  <w:r w:rsidRPr="00CC436E">
                                    <w:rPr>
                                      <w:rFonts w:ascii="Arial" w:hAnsi="Arial" w:cs="Arial"/>
                                      <w:sz w:val="18"/>
                                      <w:szCs w:val="18"/>
                                    </w:rPr>
                                    <w:t>T</w:t>
                                  </w:r>
                                  <w:r w:rsidR="00471195">
                                    <w:rPr>
                                      <w:rFonts w:ascii="Arial" w:hAnsi="Arial" w:cs="Arial"/>
                                      <w:sz w:val="18"/>
                                      <w:szCs w:val="18"/>
                                    </w:rPr>
                                    <w:t>hreat of Substitute P</w:t>
                                  </w:r>
                                  <w:r w:rsidRPr="00CC436E">
                                    <w:rPr>
                                      <w:rFonts w:ascii="Arial" w:hAnsi="Arial" w:cs="Arial"/>
                                      <w:sz w:val="18"/>
                                      <w:szCs w:val="18"/>
                                    </w:rPr>
                                    <w:t>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 name="Group 10"/>
                          <wpg:cNvGrpSpPr/>
                          <wpg:grpSpPr>
                            <a:xfrm>
                              <a:off x="1371600" y="1311639"/>
                              <a:ext cx="1944974" cy="0"/>
                              <a:chOff x="0" y="0"/>
                              <a:chExt cx="1944974" cy="0"/>
                            </a:xfrm>
                          </wpg:grpSpPr>
                          <wps:wsp>
                            <wps:cNvPr id="11" name="Straight Arrow Connector 11"/>
                            <wps:cNvCnPr/>
                            <wps:spPr>
                              <a:xfrm flipH="1">
                                <a:off x="1716374" y="0"/>
                                <a:ext cx="228600" cy="0"/>
                              </a:xfrm>
                              <a:prstGeom prst="straightConnector1">
                                <a:avLst/>
                              </a:prstGeom>
                              <a:noFill/>
                              <a:ln w="12700" cap="flat" cmpd="sng" algn="ctr">
                                <a:solidFill>
                                  <a:sysClr val="windowText" lastClr="000000"/>
                                </a:solidFill>
                                <a:prstDash val="solid"/>
                                <a:miter lim="800000"/>
                                <a:tailEnd type="triangle"/>
                              </a:ln>
                              <a:effectLst/>
                            </wps:spPr>
                            <wps:bodyPr/>
                          </wps:wsp>
                          <wps:wsp>
                            <wps:cNvPr id="12" name="Straight Arrow Connector 12"/>
                            <wps:cNvCnPr/>
                            <wps:spPr>
                              <a:xfrm>
                                <a:off x="0" y="0"/>
                                <a:ext cx="228600" cy="0"/>
                              </a:xfrm>
                              <a:prstGeom prst="straightConnector1">
                                <a:avLst/>
                              </a:prstGeom>
                              <a:noFill/>
                              <a:ln w="12700" cap="flat" cmpd="sng" algn="ctr">
                                <a:solidFill>
                                  <a:sysClr val="windowText" lastClr="000000"/>
                                </a:solidFill>
                                <a:prstDash val="solid"/>
                                <a:miter lim="800000"/>
                                <a:tailEnd type="triangle"/>
                              </a:ln>
                              <a:effectLst/>
                            </wps:spPr>
                            <wps:bodyPr/>
                          </wps:wsp>
                        </wpg:grpSp>
                      </wpg:grpSp>
                      <wpg:grpSp>
                        <wpg:cNvPr id="13" name="Group 13"/>
                        <wpg:cNvGrpSpPr/>
                        <wpg:grpSpPr>
                          <a:xfrm>
                            <a:off x="2353456" y="682053"/>
                            <a:ext cx="0" cy="1255426"/>
                            <a:chOff x="0" y="0"/>
                            <a:chExt cx="0" cy="1255426"/>
                          </a:xfrm>
                        </wpg:grpSpPr>
                        <wps:wsp>
                          <wps:cNvPr id="14" name="Straight Arrow Connector 14"/>
                          <wps:cNvCnPr/>
                          <wps:spPr>
                            <a:xfrm>
                              <a:off x="0" y="0"/>
                              <a:ext cx="0" cy="228600"/>
                            </a:xfrm>
                            <a:prstGeom prst="straightConnector1">
                              <a:avLst/>
                            </a:prstGeom>
                            <a:noFill/>
                            <a:ln w="12700" cap="flat" cmpd="sng" algn="ctr">
                              <a:solidFill>
                                <a:sysClr val="windowText" lastClr="000000"/>
                              </a:solidFill>
                              <a:prstDash val="solid"/>
                              <a:miter lim="800000"/>
                              <a:tailEnd type="triangle"/>
                            </a:ln>
                            <a:effectLst/>
                          </wps:spPr>
                          <wps:bodyPr/>
                        </wps:wsp>
                        <wps:wsp>
                          <wps:cNvPr id="15" name="Straight Arrow Connector 15"/>
                          <wps:cNvCnPr/>
                          <wps:spPr>
                            <a:xfrm flipV="1">
                              <a:off x="0" y="1026826"/>
                              <a:ext cx="0" cy="228600"/>
                            </a:xfrm>
                            <a:prstGeom prst="straightConnector1">
                              <a:avLst/>
                            </a:prstGeom>
                            <a:noFill/>
                            <a:ln w="12700" cap="flat" cmpd="sng" algn="ctr">
                              <a:solidFill>
                                <a:sysClr val="windowText" lastClr="000000"/>
                              </a:solidFill>
                              <a:prstDash val="solid"/>
                              <a:miter lim="800000"/>
                              <a:tailEnd type="triangle"/>
                            </a:ln>
                            <a:effectLst/>
                          </wps:spPr>
                          <wps:bodyPr/>
                        </wps:wsp>
                      </wpg:grpSp>
                    </wpg:wgp>
                  </a:graphicData>
                </a:graphic>
              </wp:inline>
            </w:drawing>
          </mc:Choice>
          <mc:Fallback>
            <w:pict>
              <v:group w14:anchorId="0669D64C" id="Group 2" o:spid="_x0000_s1026" style="width:369.4pt;height:206.85pt;mso-position-horizontal-relative:char;mso-position-vertical-relative:line" coordsize="46917,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">
                <v:group id="Group 3" o:spid="_x0000_s1027" style="position:absolute;width:46917;height:26269" coordsize="46917,262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oundrect id="Rounded Rectangle 4" o:spid="_x0000_s1028" style="position:absolute;top:9668;width:13714;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gi5cMA&#10;AADaAAAADwAAAGRycy9kb3ducmV2LnhtbESPQWsCMRSE74L/ITyhN81Wi9XVKEWQFvTi6sXbc/Pc&#10;3bp52SZRt/++EYQeh5n5hpkvW1OLGzlfWVbwOkhAEOdWV1woOOzX/QkIH5A11pZJwS95WC66nTmm&#10;2t55R7csFCJC2KeooAyhSaX0eUkG/cA2xNE7W2cwROkKqR3eI9zUcpgkY2mw4rhQYkOrkvJLdjUK&#10;fvLivRqOjpdk6rafeP3eZKfVRqmXXvsxAxGoDf/hZ/tLK3iDx5V4A+T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Zgi5cMAAADaAAAADwAAAAAAAAAAAAAAAACYAgAAZHJzL2Rv&#10;d25yZXYueG1sUEsFBgAAAAAEAAQA9QAAAIgDAAAAAA==&#10;" fillcolor="window" strokecolor="windowText" strokeweight="1pt">
                    <v:stroke joinstyle="miter"/>
                    <v:textbox>
                      <w:txbxContent>
                        <w:p w14:paraId="35A6384B" w14:textId="4D852042" w:rsidR="005711AE" w:rsidRPr="00CC436E" w:rsidRDefault="00471195" w:rsidP="00860FD1">
                          <w:pPr>
                            <w:spacing w:line="240" w:lineRule="atLeast"/>
                            <w:jc w:val="center"/>
                            <w:rPr>
                              <w:rFonts w:ascii="Arial" w:hAnsi="Arial" w:cs="Arial"/>
                              <w:sz w:val="18"/>
                              <w:szCs w:val="18"/>
                            </w:rPr>
                          </w:pPr>
                          <w:r>
                            <w:rPr>
                              <w:rFonts w:ascii="Arial" w:hAnsi="Arial" w:cs="Arial"/>
                              <w:sz w:val="18"/>
                              <w:szCs w:val="18"/>
                            </w:rPr>
                            <w:t>Bargaining Power of S</w:t>
                          </w:r>
                          <w:r w:rsidR="005711AE" w:rsidRPr="00CC436E">
                            <w:rPr>
                              <w:rFonts w:ascii="Arial" w:hAnsi="Arial" w:cs="Arial"/>
                              <w:sz w:val="18"/>
                              <w:szCs w:val="18"/>
                            </w:rPr>
                            <w:t>uppliers</w:t>
                          </w:r>
                        </w:p>
                      </w:txbxContent>
                    </v:textbox>
                  </v:roundrect>
                  <v:roundrect id="Rounded Rectangle 5" o:spid="_x0000_s1029" style="position:absolute;left:33203;top:9668;width:13714;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SHfsMA&#10;AADaAAAADwAAAGRycy9kb3ducmV2LnhtbESPQWsCMRSE74L/ITyhN81WqdXVKEWQFvTi6sXbc/Pc&#10;3bp52SZRt/++EYQeh5n5hpkvW1OLGzlfWVbwOkhAEOdWV1woOOzX/QkIH5A11pZJwS95WC66nTmm&#10;2t55R7csFCJC2KeooAyhSaX0eUkG/cA2xNE7W2cwROkKqR3eI9zUcpgkY2mw4rhQYkOrkvJLdjUK&#10;fvLivRqOjpdk6rafeP3eZKfVRqmXXvsxAxGoDf/hZ/tLK3iDx5V4A+T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tSHfsMAAADaAAAADwAAAAAAAAAAAAAAAACYAgAAZHJzL2Rv&#10;d25yZXYueG1sUEsFBgAAAAAEAAQA9QAAAIgDAAAAAA==&#10;" fillcolor="window" strokecolor="windowText" strokeweight="1pt">
                    <v:stroke joinstyle="miter"/>
                    <v:textbox>
                      <w:txbxContent>
                        <w:p w14:paraId="21151EB5" w14:textId="5685BB1E" w:rsidR="005711AE" w:rsidRPr="00CC436E" w:rsidRDefault="005711AE" w:rsidP="00860FD1">
                          <w:pPr>
                            <w:spacing w:line="240" w:lineRule="atLeast"/>
                            <w:jc w:val="center"/>
                            <w:rPr>
                              <w:rFonts w:ascii="Arial" w:hAnsi="Arial" w:cs="Arial"/>
                              <w:sz w:val="18"/>
                              <w:szCs w:val="18"/>
                            </w:rPr>
                          </w:pPr>
                          <w:r w:rsidRPr="00CC436E">
                            <w:rPr>
                              <w:rFonts w:ascii="Arial" w:hAnsi="Arial" w:cs="Arial"/>
                              <w:sz w:val="18"/>
                              <w:szCs w:val="18"/>
                            </w:rPr>
                            <w:t>B</w:t>
                          </w:r>
                          <w:r w:rsidR="00471195">
                            <w:rPr>
                              <w:rFonts w:ascii="Arial" w:hAnsi="Arial" w:cs="Arial"/>
                              <w:sz w:val="18"/>
                              <w:szCs w:val="18"/>
                            </w:rPr>
                            <w:t>argaining Power of B</w:t>
                          </w:r>
                          <w:r w:rsidRPr="00CC436E">
                            <w:rPr>
                              <w:rFonts w:ascii="Arial" w:hAnsi="Arial" w:cs="Arial"/>
                              <w:sz w:val="18"/>
                              <w:szCs w:val="18"/>
                            </w:rPr>
                            <w:t>uyers</w:t>
                          </w:r>
                        </w:p>
                      </w:txbxContent>
                    </v:textbox>
                  </v:roundrect>
                  <v:group id="Group 6" o:spid="_x0000_s1030" style="position:absolute;left:16564;width:13714;height:26269" coordsize="13716,262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roundrect id="Rounded Rectangle 7" o:spid="_x0000_s1031" style="position:absolute;width:13716;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q8ksQA&#10;AADaAAAADwAAAGRycy9kb3ducmV2LnhtbESPT2vCQBTE74V+h+UVvNWNEfyTukoRSgW9GHvp7Zl9&#10;TaLZt+nuRtNv3xUEj8PM/IZZrHrTiAs5X1tWMBomIIgLq2suFXwdPl5nIHxA1thYJgV/5GG1fH5a&#10;YKbtlfd0yUMpIoR9hgqqENpMSl9UZNAPbUscvR/rDIYoXSm1w2uEm0amSTKRBmuOCxW2tK6oOOed&#10;UfBblNM6HX+fk7nbfWJ32ubH9VapwUv//gYiUB8e4Xt7oxVM4XYl3gC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KvJLEAAAA2gAAAA8AAAAAAAAAAAAAAAAAmAIAAGRycy9k&#10;b3ducmV2LnhtbFBLBQYAAAAABAAEAPUAAACJAwAAAAA=&#10;" fillcolor="window" strokecolor="windowText" strokeweight="1pt">
                      <v:stroke joinstyle="miter"/>
                      <v:textbox>
                        <w:txbxContent>
                          <w:p w14:paraId="55ED0ED8" w14:textId="628A0E7F" w:rsidR="005711AE" w:rsidRPr="00CC436E" w:rsidRDefault="005711AE" w:rsidP="00860FD1">
                            <w:pPr>
                              <w:spacing w:line="240" w:lineRule="atLeast"/>
                              <w:jc w:val="center"/>
                              <w:rPr>
                                <w:rFonts w:ascii="Arial" w:hAnsi="Arial" w:cs="Arial"/>
                                <w:sz w:val="18"/>
                                <w:szCs w:val="18"/>
                              </w:rPr>
                            </w:pPr>
                            <w:r w:rsidRPr="00CC436E">
                              <w:rPr>
                                <w:rFonts w:ascii="Arial" w:hAnsi="Arial" w:cs="Arial"/>
                                <w:sz w:val="18"/>
                                <w:szCs w:val="18"/>
                              </w:rPr>
                              <w:t>T</w:t>
                            </w:r>
                            <w:r w:rsidR="00471195">
                              <w:rPr>
                                <w:rFonts w:ascii="Arial" w:hAnsi="Arial" w:cs="Arial"/>
                                <w:sz w:val="18"/>
                                <w:szCs w:val="18"/>
                              </w:rPr>
                              <w:t>hreat of New E</w:t>
                            </w:r>
                            <w:r w:rsidRPr="00CC436E">
                              <w:rPr>
                                <w:rFonts w:ascii="Arial" w:hAnsi="Arial" w:cs="Arial"/>
                                <w:sz w:val="18"/>
                                <w:szCs w:val="18"/>
                              </w:rPr>
                              <w:t>ntrants</w:t>
                            </w:r>
                          </w:p>
                        </w:txbxContent>
                      </v:textbox>
                    </v:roundrect>
                    <v:roundrect id="Rounded Rectangle 8" o:spid="_x0000_s1032" style="position:absolute;top:9668;width:13716;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Uo4MEA&#10;AADaAAAADwAAAGRycy9kb3ducmV2LnhtbERPz2vCMBS+C/4P4Qm7aToHc1ajSGFs4C52u+z2TJ5t&#10;Z/NSk1S7/345DDx+fL/X28G24ko+NI4VPM4yEMTamYYrBV+fr9MXECEiG2wdk4JfCrDdjEdrzI27&#10;8YGuZaxECuGQo4I6xi6XMuiaLIaZ64gTd3LeYkzQV9J4vKVw28p5lj1Liw2nhho7KmrS57K3Ci66&#10;WjTzp+9ztvQfb9j/7MtjsVfqYTLsViAiDfEu/ne/GwVpa7qSboD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jVKODBAAAA2gAAAA8AAAAAAAAAAAAAAAAAmAIAAGRycy9kb3du&#10;cmV2LnhtbFBLBQYAAAAABAAEAPUAAACGAwAAAAA=&#10;" fillcolor="window" strokecolor="windowText" strokeweight="1pt">
                      <v:stroke joinstyle="miter"/>
                      <v:textbox>
                        <w:txbxContent>
                          <w:p w14:paraId="1F17E9AE" w14:textId="4F1B2BB2" w:rsidR="005711AE" w:rsidRPr="00CC436E" w:rsidRDefault="005711AE" w:rsidP="00860FD1">
                            <w:pPr>
                              <w:spacing w:line="240" w:lineRule="atLeast"/>
                              <w:jc w:val="center"/>
                              <w:rPr>
                                <w:rFonts w:ascii="Arial" w:hAnsi="Arial" w:cs="Arial"/>
                                <w:sz w:val="18"/>
                                <w:szCs w:val="18"/>
                              </w:rPr>
                            </w:pPr>
                            <w:r w:rsidRPr="00CC436E">
                              <w:rPr>
                                <w:rFonts w:ascii="Arial" w:hAnsi="Arial" w:cs="Arial"/>
                                <w:sz w:val="18"/>
                                <w:szCs w:val="18"/>
                              </w:rPr>
                              <w:t>I</w:t>
                            </w:r>
                            <w:r w:rsidR="00471195">
                              <w:rPr>
                                <w:rFonts w:ascii="Arial" w:hAnsi="Arial" w:cs="Arial"/>
                                <w:sz w:val="18"/>
                                <w:szCs w:val="18"/>
                              </w:rPr>
                              <w:t>ntensity of Rivalry between Competing F</w:t>
                            </w:r>
                            <w:r w:rsidRPr="00CC436E">
                              <w:rPr>
                                <w:rFonts w:ascii="Arial" w:hAnsi="Arial" w:cs="Arial"/>
                                <w:sz w:val="18"/>
                                <w:szCs w:val="18"/>
                              </w:rPr>
                              <w:t>irms</w:t>
                            </w:r>
                          </w:p>
                        </w:txbxContent>
                      </v:textbox>
                    </v:roundrect>
                    <v:roundrect id="Rounded Rectangle 9" o:spid="_x0000_s1033" style="position:absolute;top:19412;width:13716;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mNe8QA&#10;AADaAAAADwAAAGRycy9kb3ducmV2LnhtbESPQWvCQBSE7wX/w/IKvTWbWqga3YgI0oK9GHvp7Zl9&#10;TdJk38bdVdN/3xUEj8PMfMMsloPpxJmcbywreElSEMSl1Q1XCr72m+cpCB+QNXaWScEfeVjmo4cF&#10;ZtpeeEfnIlQiQthnqKAOoc+k9GVNBn1ie+Lo/VhnMETpKqkdXiLcdHKcpm/SYMNxocae1jWVbXEy&#10;Co5lNWnGr99tOnOf73j63RaH9Vapp8dhNQcRaAj38K39oRXM4Hol3gCZ/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ZjXvEAAAA2gAAAA8AAAAAAAAAAAAAAAAAmAIAAGRycy9k&#10;b3ducmV2LnhtbFBLBQYAAAAABAAEAPUAAACJAwAAAAA=&#10;" fillcolor="window" strokecolor="windowText" strokeweight="1pt">
                      <v:stroke joinstyle="miter"/>
                      <v:textbox>
                        <w:txbxContent>
                          <w:p w14:paraId="2606B297" w14:textId="6FD7A44C" w:rsidR="005711AE" w:rsidRPr="00CC436E" w:rsidRDefault="005711AE" w:rsidP="00860FD1">
                            <w:pPr>
                              <w:spacing w:line="240" w:lineRule="atLeast"/>
                              <w:jc w:val="center"/>
                              <w:rPr>
                                <w:rFonts w:ascii="Arial" w:hAnsi="Arial" w:cs="Arial"/>
                                <w:sz w:val="18"/>
                                <w:szCs w:val="18"/>
                              </w:rPr>
                            </w:pPr>
                            <w:r w:rsidRPr="00CC436E">
                              <w:rPr>
                                <w:rFonts w:ascii="Arial" w:hAnsi="Arial" w:cs="Arial"/>
                                <w:sz w:val="18"/>
                                <w:szCs w:val="18"/>
                              </w:rPr>
                              <w:t>T</w:t>
                            </w:r>
                            <w:r w:rsidR="00471195">
                              <w:rPr>
                                <w:rFonts w:ascii="Arial" w:hAnsi="Arial" w:cs="Arial"/>
                                <w:sz w:val="18"/>
                                <w:szCs w:val="18"/>
                              </w:rPr>
                              <w:t>hreat of Substitute P</w:t>
                            </w:r>
                            <w:r w:rsidRPr="00CC436E">
                              <w:rPr>
                                <w:rFonts w:ascii="Arial" w:hAnsi="Arial" w:cs="Arial"/>
                                <w:sz w:val="18"/>
                                <w:szCs w:val="18"/>
                              </w:rPr>
                              <w:t>roducts</w:t>
                            </w:r>
                          </w:p>
                        </w:txbxContent>
                      </v:textbox>
                    </v:roundrect>
                  </v:group>
                  <v:group id="Group 10" o:spid="_x0000_s1034" style="position:absolute;left:13716;top:13116;width:19449;height:0" coordsize="1944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type id="_x0000_t32" coordsize="21600,21600" o:spt="32" o:oned="t" path="m,l21600,21600e" filled="f">
                      <v:path arrowok="t" fillok="f" o:connecttype="none"/>
                      <o:lock v:ext="edit" shapetype="t"/>
                    </v:shapetype>
                    <v:shape id="Straight Arrow Connector 11" o:spid="_x0000_s1035" type="#_x0000_t32" style="position:absolute;left:17163;width:228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z9Fb8AAADbAAAADwAAAGRycy9kb3ducmV2LnhtbESPzQrCMBCE74LvEFbwpmkFRapRRBDE&#10;nvxBr0uzttVmU5qo9e2NIHjbZWbnm50vW1OJJzWutKwgHkYgiDOrS84VnI6bwRSE88gaK8uk4E0O&#10;lotuZ46Jti/e0/PgcxFC2CWooPC+TqR0WUEG3dDWxEG72sagD2uTS93gK4SbSo6iaCINlhwIBda0&#10;Lii7Hx4mQNLx7fwos3y/u2iydE137zhVqt9rVzMQnlr/N/+utzrUj+H7SxhAL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az9Fb8AAADbAAAADwAAAAAAAAAAAAAAAACh&#10;AgAAZHJzL2Rvd25yZXYueG1sUEsFBgAAAAAEAAQA+QAAAI0DAAAAAA==&#10;" strokecolor="windowText" strokeweight="1pt">
                      <v:stroke endarrow="block" joinstyle="miter"/>
                    </v:shape>
                    <v:shape id="Straight Arrow Connector 12" o:spid="_x0000_s1036" type="#_x0000_t32" style="position:absolute;width:22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W58MIAAADbAAAADwAAAGRycy9kb3ducmV2LnhtbERPTWvCQBC9C/0PyxS8iG4UKRJdRUpb&#10;exFpKoK3ITtmg9nZmF1N+u9doeBtHu9zFqvOVuJGjS8dKxiPEhDEudMlFwr2v5/DGQgfkDVWjknB&#10;H3lYLV96C0y1a/mHblkoRAxhn6ICE0KdSulzQxb9yNXEkTu5xmKIsCmkbrCN4baSkyR5kxZLjg0G&#10;a3o3lJ+zq1VAzl2O28PafO1mbbAfh8FmOr0q1X/t1nMQgbrwFP+7v3WcP4HHL/EAub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dW58MIAAADbAAAADwAAAAAAAAAAAAAA&#10;AAChAgAAZHJzL2Rvd25yZXYueG1sUEsFBgAAAAAEAAQA+QAAAJADAAAAAA==&#10;" strokecolor="windowText" strokeweight="1pt">
                      <v:stroke endarrow="block" joinstyle="miter"/>
                    </v:shape>
                  </v:group>
                </v:group>
                <v:group id="Group 13" o:spid="_x0000_s1037" style="position:absolute;left:23534;top:6820;width:0;height:12554" coordsize="0,125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shape id="Straight Arrow Connector 14" o:spid="_x0000_s1038" type="#_x0000_t32" style="position:absolute;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CEH8MAAADbAAAADwAAAGRycy9kb3ducmV2LnhtbERPTWvCQBC9F/wPywheim5agkjqKkFq&#10;9VJKbRG8DdlpNpidjdmNif++WxB6m8f7nOV6sLW4UusrxwqeZgkI4sLpiksF31/b6QKED8gaa8ek&#10;4EYe1qvRwxIz7Xr+pOshlCKGsM9QgQmhyaT0hSGLfuYa4sj9uNZiiLAtpW6xj+G2ls9JMpcWK44N&#10;BhvaGCrOh84qIOcup/djbt4+Fn2wr8fHXZp2Sk3GQ/4CItAQ/sV3917H+Sn8/RIPkK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VwhB/DAAAA2wAAAA8AAAAAAAAAAAAA&#10;AAAAoQIAAGRycy9kb3ducmV2LnhtbFBLBQYAAAAABAAEAPkAAACRAwAAAAA=&#10;" strokecolor="windowText" strokeweight="1pt">
                    <v:stroke endarrow="block" joinstyle="miter"/>
                  </v:shape>
                  <v:shape id="Straight Arrow Connector 15" o:spid="_x0000_s1039" type="#_x0000_t32" style="position:absolute;top:10268;width:0;height:228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f7Fr8AAADbAAAADwAAAGRycy9kb3ducmV2LnhtbESPzQrCMBCE74LvEFbwpqmCItUoIghi&#10;T/6g16VZ22qzKU2q9e2NIHjbZWbnm12sWlOKJ9WusKxgNIxAEKdWF5wpOJ+2gxkI55E1lpZJwZsc&#10;rJbdzgJjbV98oOfRZyKEsItRQe59FUvp0pwMuqGtiIN2s7VBH9Y6k7rGVwg3pRxH0VQaLDgQcqxo&#10;k1P6ODYmQJLJ/dIUaXbYXzVZuiX79yhRqt9r13MQnlr/N/+udzrUn8D3lzCAXH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pf7Fr8AAADbAAAADwAAAAAAAAAAAAAAAACh&#10;AgAAZHJzL2Rvd25yZXYueG1sUEsFBgAAAAAEAAQA+QAAAI0DAAAAAA==&#10;" strokecolor="windowText" strokeweight="1pt">
                    <v:stroke endarrow="block" joinstyle="miter"/>
                  </v:shape>
                </v:group>
                <w10:anchorlock/>
              </v:group>
            </w:pict>
          </mc:Fallback>
        </mc:AlternateContent>
      </w:r>
    </w:p>
    <w:p w14:paraId="01486CDC" w14:textId="77777777" w:rsidR="00860FD1" w:rsidRDefault="00860FD1" w:rsidP="003772D1">
      <w:pPr>
        <w:pStyle w:val="BodyTextMain"/>
        <w:rPr>
          <w:lang w:val="en-GB"/>
        </w:rPr>
      </w:pPr>
    </w:p>
    <w:p w14:paraId="34630D38" w14:textId="77777777" w:rsidR="00F72A1B" w:rsidRPr="00860FD1" w:rsidRDefault="00F72A1B" w:rsidP="003772D1">
      <w:pPr>
        <w:pStyle w:val="BodyTextMain"/>
        <w:rPr>
          <w:lang w:val="en-GB"/>
        </w:rPr>
      </w:pPr>
    </w:p>
    <w:p w14:paraId="5284F3D6" w14:textId="77777777" w:rsidR="003772D1" w:rsidRPr="00860FD1" w:rsidRDefault="00860FD1" w:rsidP="00860FD1">
      <w:pPr>
        <w:jc w:val="both"/>
        <w:rPr>
          <w:sz w:val="22"/>
          <w:szCs w:val="22"/>
          <w:lang w:val="en-GB"/>
        </w:rPr>
      </w:pPr>
      <w:r w:rsidRPr="00860FD1">
        <w:rPr>
          <w:i/>
          <w:sz w:val="22"/>
          <w:szCs w:val="22"/>
          <w:lang w:val="en-GB"/>
        </w:rPr>
        <w:t xml:space="preserve">The threat of new entrants </w:t>
      </w:r>
      <w:r w:rsidRPr="00860FD1">
        <w:rPr>
          <w:sz w:val="22"/>
          <w:szCs w:val="22"/>
          <w:lang w:val="en-GB"/>
        </w:rPr>
        <w:t>increases when barriers to entry are low, for example, when</w:t>
      </w:r>
    </w:p>
    <w:p w14:paraId="518B3042" w14:textId="77777777" w:rsidR="00860FD1" w:rsidRPr="00860FD1" w:rsidRDefault="00860FD1" w:rsidP="00100EF4">
      <w:pPr>
        <w:numPr>
          <w:ilvl w:val="0"/>
          <w:numId w:val="2"/>
        </w:numPr>
        <w:jc w:val="both"/>
        <w:rPr>
          <w:sz w:val="22"/>
          <w:szCs w:val="22"/>
          <w:lang w:val="en-GB"/>
        </w:rPr>
      </w:pPr>
      <w:r w:rsidRPr="00860FD1">
        <w:rPr>
          <w:sz w:val="22"/>
          <w:szCs w:val="22"/>
          <w:lang w:val="en-GB"/>
        </w:rPr>
        <w:t>there are no economies of scale related to production, marketing, or distribution;</w:t>
      </w:r>
    </w:p>
    <w:p w14:paraId="63C73F46" w14:textId="77777777" w:rsidR="00860FD1" w:rsidRPr="00860FD1" w:rsidRDefault="00860FD1" w:rsidP="00100EF4">
      <w:pPr>
        <w:numPr>
          <w:ilvl w:val="0"/>
          <w:numId w:val="2"/>
        </w:numPr>
        <w:jc w:val="both"/>
        <w:rPr>
          <w:sz w:val="22"/>
          <w:szCs w:val="22"/>
          <w:lang w:val="en-GB"/>
        </w:rPr>
      </w:pPr>
      <w:r w:rsidRPr="00860FD1">
        <w:rPr>
          <w:sz w:val="22"/>
          <w:szCs w:val="22"/>
          <w:lang w:val="en-GB"/>
        </w:rPr>
        <w:t>product differentiation is low, so new f</w:t>
      </w:r>
      <w:bookmarkStart w:id="18" w:name="_GoBack"/>
      <w:bookmarkEnd w:id="18"/>
      <w:r w:rsidRPr="00860FD1">
        <w:rPr>
          <w:sz w:val="22"/>
          <w:szCs w:val="22"/>
          <w:lang w:val="en-GB"/>
        </w:rPr>
        <w:t>irms do not have to spend heavily on branding;</w:t>
      </w:r>
    </w:p>
    <w:p w14:paraId="6DD33E76" w14:textId="77777777" w:rsidR="00860FD1" w:rsidRPr="00860FD1" w:rsidRDefault="00860FD1" w:rsidP="00100EF4">
      <w:pPr>
        <w:numPr>
          <w:ilvl w:val="0"/>
          <w:numId w:val="2"/>
        </w:numPr>
        <w:jc w:val="both"/>
        <w:rPr>
          <w:sz w:val="22"/>
          <w:szCs w:val="22"/>
          <w:lang w:val="en-GB"/>
        </w:rPr>
      </w:pPr>
      <w:r w:rsidRPr="00860FD1">
        <w:rPr>
          <w:sz w:val="22"/>
          <w:szCs w:val="22"/>
          <w:lang w:val="en-GB"/>
        </w:rPr>
        <w:t>capital requirements are low, which makes entry into an industry less risky;</w:t>
      </w:r>
    </w:p>
    <w:p w14:paraId="5C10337F" w14:textId="69BD9E04" w:rsidR="00860FD1" w:rsidRPr="00860FD1" w:rsidRDefault="00860FD1" w:rsidP="00100EF4">
      <w:pPr>
        <w:numPr>
          <w:ilvl w:val="0"/>
          <w:numId w:val="2"/>
        </w:numPr>
        <w:jc w:val="both"/>
        <w:rPr>
          <w:sz w:val="22"/>
          <w:szCs w:val="22"/>
          <w:lang w:val="en-GB"/>
        </w:rPr>
      </w:pPr>
      <w:r w:rsidRPr="00860FD1">
        <w:rPr>
          <w:sz w:val="22"/>
          <w:szCs w:val="22"/>
          <w:lang w:val="en-GB"/>
        </w:rPr>
        <w:t xml:space="preserve">switching costs are low, so new firms do not need to offer major improvements to get a customer to switch brands; </w:t>
      </w:r>
      <w:r w:rsidR="00F72A1B">
        <w:rPr>
          <w:sz w:val="22"/>
          <w:szCs w:val="22"/>
          <w:lang w:val="en-GB"/>
        </w:rPr>
        <w:t>or</w:t>
      </w:r>
    </w:p>
    <w:p w14:paraId="74946813" w14:textId="77777777" w:rsidR="00860FD1" w:rsidRPr="00860FD1" w:rsidRDefault="00860FD1" w:rsidP="00100EF4">
      <w:pPr>
        <w:numPr>
          <w:ilvl w:val="0"/>
          <w:numId w:val="2"/>
        </w:numPr>
        <w:jc w:val="both"/>
        <w:rPr>
          <w:b/>
          <w:sz w:val="22"/>
          <w:szCs w:val="22"/>
          <w:lang w:val="en-GB"/>
        </w:rPr>
      </w:pPr>
      <w:proofErr w:type="gramStart"/>
      <w:r w:rsidRPr="00860FD1">
        <w:rPr>
          <w:sz w:val="22"/>
          <w:szCs w:val="22"/>
          <w:lang w:val="en-GB"/>
        </w:rPr>
        <w:t>firms</w:t>
      </w:r>
      <w:proofErr w:type="gramEnd"/>
      <w:r w:rsidRPr="00860FD1">
        <w:rPr>
          <w:sz w:val="22"/>
          <w:szCs w:val="22"/>
          <w:lang w:val="en-GB"/>
        </w:rPr>
        <w:t xml:space="preserve"> have easy access to distribution channels. </w:t>
      </w:r>
    </w:p>
    <w:p w14:paraId="0DEB2A08" w14:textId="77777777" w:rsidR="00EA773C" w:rsidRDefault="00EA773C" w:rsidP="00860FD1">
      <w:pPr>
        <w:jc w:val="both"/>
        <w:rPr>
          <w:i/>
          <w:sz w:val="22"/>
          <w:szCs w:val="22"/>
          <w:lang w:val="en-GB"/>
        </w:rPr>
      </w:pPr>
    </w:p>
    <w:p w14:paraId="7C69920A" w14:textId="0B38679A" w:rsidR="003772D1" w:rsidRPr="00860FD1" w:rsidRDefault="00860FD1" w:rsidP="00860FD1">
      <w:pPr>
        <w:jc w:val="both"/>
        <w:rPr>
          <w:sz w:val="22"/>
          <w:szCs w:val="22"/>
          <w:lang w:val="en-GB"/>
        </w:rPr>
      </w:pPr>
      <w:r w:rsidRPr="00860FD1">
        <w:rPr>
          <w:i/>
          <w:sz w:val="22"/>
          <w:szCs w:val="22"/>
          <w:lang w:val="en-GB"/>
        </w:rPr>
        <w:t>Intensity of industry rivalry</w:t>
      </w:r>
      <w:r w:rsidR="003772D1">
        <w:rPr>
          <w:sz w:val="22"/>
          <w:szCs w:val="22"/>
          <w:lang w:val="en-GB"/>
        </w:rPr>
        <w:t xml:space="preserve"> increases, for example, when</w:t>
      </w:r>
    </w:p>
    <w:p w14:paraId="7914949F" w14:textId="77777777" w:rsidR="00860FD1" w:rsidRPr="00860FD1" w:rsidRDefault="00860FD1" w:rsidP="00100EF4">
      <w:pPr>
        <w:numPr>
          <w:ilvl w:val="0"/>
          <w:numId w:val="1"/>
        </w:numPr>
        <w:jc w:val="both"/>
        <w:rPr>
          <w:sz w:val="22"/>
          <w:szCs w:val="22"/>
          <w:lang w:val="en-GB"/>
        </w:rPr>
      </w:pPr>
      <w:r w:rsidRPr="00860FD1">
        <w:rPr>
          <w:sz w:val="22"/>
          <w:szCs w:val="22"/>
          <w:lang w:val="en-GB"/>
        </w:rPr>
        <w:t>the number of competitors increases;</w:t>
      </w:r>
    </w:p>
    <w:p w14:paraId="259695DE" w14:textId="77777777" w:rsidR="00860FD1" w:rsidRPr="00860FD1" w:rsidRDefault="00860FD1" w:rsidP="00100EF4">
      <w:pPr>
        <w:numPr>
          <w:ilvl w:val="0"/>
          <w:numId w:val="1"/>
        </w:numPr>
        <w:jc w:val="both"/>
        <w:rPr>
          <w:sz w:val="22"/>
          <w:szCs w:val="22"/>
          <w:lang w:val="en-GB"/>
        </w:rPr>
      </w:pPr>
      <w:r w:rsidRPr="00860FD1">
        <w:rPr>
          <w:sz w:val="22"/>
          <w:szCs w:val="22"/>
          <w:lang w:val="en-GB"/>
        </w:rPr>
        <w:t xml:space="preserve">competitors are equal in size and capability; </w:t>
      </w:r>
    </w:p>
    <w:p w14:paraId="1D00341A" w14:textId="2A63EFC6" w:rsidR="00860FD1" w:rsidRPr="00860FD1" w:rsidRDefault="00860FD1" w:rsidP="00100EF4">
      <w:pPr>
        <w:numPr>
          <w:ilvl w:val="0"/>
          <w:numId w:val="1"/>
        </w:numPr>
        <w:jc w:val="both"/>
        <w:rPr>
          <w:sz w:val="22"/>
          <w:szCs w:val="22"/>
          <w:lang w:val="en-GB"/>
        </w:rPr>
      </w:pPr>
      <w:r w:rsidRPr="00860FD1">
        <w:rPr>
          <w:sz w:val="22"/>
          <w:szCs w:val="22"/>
          <w:lang w:val="en-GB"/>
        </w:rPr>
        <w:t xml:space="preserve">demand for the product is growing slowly; </w:t>
      </w:r>
      <w:r w:rsidR="00F72A1B">
        <w:rPr>
          <w:sz w:val="22"/>
          <w:szCs w:val="22"/>
          <w:lang w:val="en-GB"/>
        </w:rPr>
        <w:t>or</w:t>
      </w:r>
    </w:p>
    <w:p w14:paraId="2BDB83BE" w14:textId="77777777" w:rsidR="00860FD1" w:rsidRPr="00860FD1" w:rsidRDefault="00860FD1" w:rsidP="00100EF4">
      <w:pPr>
        <w:numPr>
          <w:ilvl w:val="0"/>
          <w:numId w:val="1"/>
        </w:numPr>
        <w:jc w:val="both"/>
        <w:rPr>
          <w:b/>
          <w:sz w:val="22"/>
          <w:szCs w:val="22"/>
          <w:lang w:val="en-GB"/>
        </w:rPr>
      </w:pPr>
      <w:proofErr w:type="gramStart"/>
      <w:r w:rsidRPr="00860FD1">
        <w:rPr>
          <w:sz w:val="22"/>
          <w:szCs w:val="22"/>
          <w:lang w:val="en-GB"/>
        </w:rPr>
        <w:t>customers</w:t>
      </w:r>
      <w:proofErr w:type="gramEnd"/>
      <w:r w:rsidRPr="00860FD1">
        <w:rPr>
          <w:sz w:val="22"/>
          <w:szCs w:val="22"/>
          <w:lang w:val="en-GB"/>
        </w:rPr>
        <w:t>’ costs to switch brands are low.</w:t>
      </w:r>
    </w:p>
    <w:p w14:paraId="1F59CFA4" w14:textId="77777777" w:rsidR="00860FD1" w:rsidRPr="00860FD1" w:rsidRDefault="00860FD1" w:rsidP="00860FD1">
      <w:pPr>
        <w:jc w:val="both"/>
        <w:rPr>
          <w:b/>
          <w:sz w:val="22"/>
          <w:szCs w:val="22"/>
          <w:lang w:val="en-GB"/>
        </w:rPr>
      </w:pPr>
    </w:p>
    <w:p w14:paraId="537F8238" w14:textId="77777777" w:rsidR="00860FD1" w:rsidRPr="00860FD1" w:rsidRDefault="00860FD1" w:rsidP="00860FD1">
      <w:pPr>
        <w:keepNext/>
        <w:jc w:val="both"/>
        <w:rPr>
          <w:sz w:val="22"/>
          <w:szCs w:val="22"/>
          <w:lang w:val="en-GB"/>
        </w:rPr>
      </w:pPr>
      <w:r w:rsidRPr="00860FD1">
        <w:rPr>
          <w:i/>
          <w:sz w:val="22"/>
          <w:szCs w:val="22"/>
          <w:lang w:val="en-GB"/>
        </w:rPr>
        <w:t>Threat of substitutes</w:t>
      </w:r>
      <w:r w:rsidRPr="00860FD1">
        <w:rPr>
          <w:sz w:val="22"/>
          <w:szCs w:val="22"/>
          <w:lang w:val="en-GB"/>
        </w:rPr>
        <w:t xml:space="preserve"> (products that provide similar benefits) is high, for example, when</w:t>
      </w:r>
    </w:p>
    <w:p w14:paraId="5DB38EA9" w14:textId="56F23D1E" w:rsidR="00860FD1" w:rsidRPr="00860FD1" w:rsidRDefault="00860FD1" w:rsidP="00100EF4">
      <w:pPr>
        <w:numPr>
          <w:ilvl w:val="0"/>
          <w:numId w:val="3"/>
        </w:numPr>
        <w:jc w:val="both"/>
        <w:rPr>
          <w:i/>
          <w:sz w:val="22"/>
          <w:szCs w:val="22"/>
          <w:lang w:val="en-GB"/>
        </w:rPr>
      </w:pPr>
      <w:r w:rsidRPr="00860FD1">
        <w:rPr>
          <w:sz w:val="22"/>
          <w:szCs w:val="22"/>
          <w:lang w:val="en-GB"/>
        </w:rPr>
        <w:t xml:space="preserve">the relative price of substitute products decreases; </w:t>
      </w:r>
      <w:r w:rsidR="00F72A1B">
        <w:rPr>
          <w:sz w:val="22"/>
          <w:szCs w:val="22"/>
          <w:lang w:val="en-GB"/>
        </w:rPr>
        <w:t>or</w:t>
      </w:r>
    </w:p>
    <w:p w14:paraId="4C74CDF3" w14:textId="77777777" w:rsidR="00860FD1" w:rsidRPr="00860FD1" w:rsidRDefault="00860FD1" w:rsidP="00100EF4">
      <w:pPr>
        <w:numPr>
          <w:ilvl w:val="0"/>
          <w:numId w:val="3"/>
        </w:numPr>
        <w:jc w:val="both"/>
        <w:rPr>
          <w:sz w:val="22"/>
          <w:szCs w:val="22"/>
          <w:lang w:val="en-GB"/>
        </w:rPr>
      </w:pPr>
      <w:proofErr w:type="gramStart"/>
      <w:r w:rsidRPr="00860FD1">
        <w:rPr>
          <w:sz w:val="22"/>
          <w:szCs w:val="22"/>
          <w:lang w:val="en-GB"/>
        </w:rPr>
        <w:t>customer</w:t>
      </w:r>
      <w:proofErr w:type="gramEnd"/>
      <w:r w:rsidRPr="00860FD1">
        <w:rPr>
          <w:sz w:val="22"/>
          <w:szCs w:val="22"/>
          <w:lang w:val="en-GB"/>
        </w:rPr>
        <w:t xml:space="preserve"> switching costs are low.</w:t>
      </w:r>
    </w:p>
    <w:p w14:paraId="380DB3FA" w14:textId="77777777" w:rsidR="00860FD1" w:rsidRPr="00860FD1" w:rsidRDefault="00860FD1" w:rsidP="00860FD1">
      <w:pPr>
        <w:jc w:val="both"/>
        <w:rPr>
          <w:sz w:val="22"/>
          <w:szCs w:val="22"/>
          <w:lang w:val="en-GB"/>
        </w:rPr>
      </w:pPr>
    </w:p>
    <w:p w14:paraId="00BE495A" w14:textId="77777777" w:rsidR="00860FD1" w:rsidRPr="00860FD1" w:rsidRDefault="00860FD1" w:rsidP="00860FD1">
      <w:pPr>
        <w:keepNext/>
        <w:jc w:val="both"/>
        <w:rPr>
          <w:sz w:val="22"/>
          <w:szCs w:val="22"/>
          <w:lang w:val="en-GB"/>
        </w:rPr>
      </w:pPr>
      <w:r w:rsidRPr="00860FD1">
        <w:rPr>
          <w:i/>
          <w:sz w:val="22"/>
          <w:szCs w:val="22"/>
          <w:lang w:val="en-GB"/>
        </w:rPr>
        <w:t>Supplier power</w:t>
      </w:r>
      <w:r w:rsidRPr="00860FD1">
        <w:rPr>
          <w:sz w:val="22"/>
          <w:szCs w:val="22"/>
          <w:lang w:val="en-GB"/>
        </w:rPr>
        <w:t xml:space="preserve"> is high, for example, when</w:t>
      </w:r>
    </w:p>
    <w:p w14:paraId="1F10B8C5" w14:textId="77777777" w:rsidR="00860FD1" w:rsidRPr="00860FD1" w:rsidRDefault="00860FD1" w:rsidP="00100EF4">
      <w:pPr>
        <w:numPr>
          <w:ilvl w:val="0"/>
          <w:numId w:val="4"/>
        </w:numPr>
        <w:jc w:val="both"/>
        <w:rPr>
          <w:sz w:val="22"/>
          <w:szCs w:val="22"/>
          <w:lang w:val="en-GB"/>
        </w:rPr>
      </w:pPr>
      <w:r w:rsidRPr="00860FD1">
        <w:rPr>
          <w:sz w:val="22"/>
          <w:szCs w:val="22"/>
          <w:lang w:val="en-GB"/>
        </w:rPr>
        <w:t>a supplier group is dominated by few companies;</w:t>
      </w:r>
    </w:p>
    <w:p w14:paraId="5F8D2473" w14:textId="77777777" w:rsidR="00860FD1" w:rsidRPr="00860FD1" w:rsidRDefault="00860FD1" w:rsidP="00100EF4">
      <w:pPr>
        <w:numPr>
          <w:ilvl w:val="0"/>
          <w:numId w:val="4"/>
        </w:numPr>
        <w:jc w:val="both"/>
        <w:rPr>
          <w:sz w:val="22"/>
          <w:szCs w:val="22"/>
          <w:lang w:val="en-GB"/>
        </w:rPr>
      </w:pPr>
      <w:r w:rsidRPr="00860FD1">
        <w:rPr>
          <w:sz w:val="22"/>
          <w:szCs w:val="22"/>
          <w:lang w:val="en-GB"/>
        </w:rPr>
        <w:t>the supplier group’s product is unique;</w:t>
      </w:r>
    </w:p>
    <w:p w14:paraId="44BC2EAD" w14:textId="261F9EF6" w:rsidR="00860FD1" w:rsidRPr="00860FD1" w:rsidRDefault="00860FD1" w:rsidP="00100EF4">
      <w:pPr>
        <w:numPr>
          <w:ilvl w:val="0"/>
          <w:numId w:val="4"/>
        </w:numPr>
        <w:jc w:val="both"/>
        <w:rPr>
          <w:sz w:val="22"/>
          <w:szCs w:val="22"/>
          <w:lang w:val="en-GB"/>
        </w:rPr>
      </w:pPr>
      <w:r w:rsidRPr="00860FD1">
        <w:rPr>
          <w:sz w:val="22"/>
          <w:szCs w:val="22"/>
          <w:lang w:val="en-GB"/>
        </w:rPr>
        <w:t xml:space="preserve">there are no or few substitute inputs; </w:t>
      </w:r>
      <w:r w:rsidR="00F72A1B">
        <w:rPr>
          <w:sz w:val="22"/>
          <w:szCs w:val="22"/>
          <w:lang w:val="en-GB"/>
        </w:rPr>
        <w:t>or</w:t>
      </w:r>
    </w:p>
    <w:p w14:paraId="02576B62" w14:textId="77777777" w:rsidR="00860FD1" w:rsidRPr="00860FD1" w:rsidRDefault="00860FD1" w:rsidP="00100EF4">
      <w:pPr>
        <w:numPr>
          <w:ilvl w:val="0"/>
          <w:numId w:val="4"/>
        </w:numPr>
        <w:jc w:val="both"/>
        <w:rPr>
          <w:sz w:val="22"/>
          <w:szCs w:val="22"/>
          <w:lang w:val="en-GB"/>
        </w:rPr>
      </w:pPr>
      <w:proofErr w:type="gramStart"/>
      <w:r w:rsidRPr="00860FD1">
        <w:rPr>
          <w:sz w:val="22"/>
          <w:szCs w:val="22"/>
          <w:lang w:val="en-GB"/>
        </w:rPr>
        <w:t>suppliers</w:t>
      </w:r>
      <w:proofErr w:type="gramEnd"/>
      <w:r w:rsidRPr="00860FD1">
        <w:rPr>
          <w:sz w:val="22"/>
          <w:szCs w:val="22"/>
          <w:lang w:val="en-GB"/>
        </w:rPr>
        <w:t xml:space="preserve"> pose a credible threat of integrating forward into the organization’s business.</w:t>
      </w:r>
    </w:p>
    <w:p w14:paraId="6EBF3B7B" w14:textId="77777777" w:rsidR="00860FD1" w:rsidRPr="0042236E" w:rsidRDefault="00860FD1" w:rsidP="00860FD1">
      <w:pPr>
        <w:jc w:val="both"/>
        <w:rPr>
          <w:sz w:val="18"/>
          <w:szCs w:val="18"/>
          <w:lang w:val="en-GB"/>
        </w:rPr>
      </w:pPr>
    </w:p>
    <w:p w14:paraId="3959D652" w14:textId="77777777" w:rsidR="00860FD1" w:rsidRPr="00860FD1" w:rsidRDefault="00860FD1" w:rsidP="00860FD1">
      <w:pPr>
        <w:jc w:val="both"/>
        <w:rPr>
          <w:sz w:val="22"/>
          <w:szCs w:val="22"/>
          <w:lang w:val="en-GB"/>
        </w:rPr>
      </w:pPr>
      <w:r w:rsidRPr="00860FD1">
        <w:rPr>
          <w:i/>
          <w:sz w:val="22"/>
          <w:szCs w:val="22"/>
          <w:lang w:val="en-GB"/>
        </w:rPr>
        <w:t>Buyer power</w:t>
      </w:r>
      <w:r w:rsidRPr="00860FD1">
        <w:rPr>
          <w:sz w:val="22"/>
          <w:szCs w:val="22"/>
          <w:lang w:val="en-GB"/>
        </w:rPr>
        <w:t xml:space="preserve"> is high, for example, when</w:t>
      </w:r>
    </w:p>
    <w:p w14:paraId="467FE347" w14:textId="77777777" w:rsidR="00860FD1" w:rsidRPr="00860FD1" w:rsidRDefault="00860FD1" w:rsidP="00100EF4">
      <w:pPr>
        <w:numPr>
          <w:ilvl w:val="0"/>
          <w:numId w:val="5"/>
        </w:numPr>
        <w:jc w:val="both"/>
        <w:rPr>
          <w:sz w:val="22"/>
          <w:szCs w:val="22"/>
          <w:lang w:val="en-GB"/>
        </w:rPr>
      </w:pPr>
      <w:r w:rsidRPr="00860FD1">
        <w:rPr>
          <w:sz w:val="22"/>
          <w:szCs w:val="22"/>
          <w:lang w:val="en-GB"/>
        </w:rPr>
        <w:t>the buyer group is concentrated or buyers purchase in large volumes;</w:t>
      </w:r>
    </w:p>
    <w:p w14:paraId="333EEC51" w14:textId="77777777" w:rsidR="00860FD1" w:rsidRPr="00860FD1" w:rsidRDefault="00860FD1" w:rsidP="00100EF4">
      <w:pPr>
        <w:numPr>
          <w:ilvl w:val="0"/>
          <w:numId w:val="5"/>
        </w:numPr>
        <w:jc w:val="both"/>
        <w:rPr>
          <w:sz w:val="22"/>
          <w:szCs w:val="22"/>
          <w:lang w:val="en-GB"/>
        </w:rPr>
      </w:pPr>
      <w:r w:rsidRPr="00860FD1">
        <w:rPr>
          <w:sz w:val="22"/>
          <w:szCs w:val="22"/>
          <w:lang w:val="en-GB"/>
        </w:rPr>
        <w:t>products purchased are undifferentiated;</w:t>
      </w:r>
    </w:p>
    <w:p w14:paraId="0FFCAAE2" w14:textId="26220EE6" w:rsidR="00860FD1" w:rsidRPr="00860FD1" w:rsidRDefault="00860FD1" w:rsidP="00100EF4">
      <w:pPr>
        <w:numPr>
          <w:ilvl w:val="0"/>
          <w:numId w:val="5"/>
        </w:numPr>
        <w:jc w:val="both"/>
        <w:rPr>
          <w:sz w:val="22"/>
          <w:szCs w:val="22"/>
          <w:lang w:val="en-GB"/>
        </w:rPr>
      </w:pPr>
      <w:r w:rsidRPr="00860FD1">
        <w:rPr>
          <w:sz w:val="22"/>
          <w:szCs w:val="22"/>
          <w:lang w:val="en-GB"/>
        </w:rPr>
        <w:t xml:space="preserve">buyers earn low profits, which creates pressure to lower purchasing costs; </w:t>
      </w:r>
      <w:r w:rsidR="00F72A1B">
        <w:rPr>
          <w:sz w:val="22"/>
          <w:szCs w:val="22"/>
          <w:lang w:val="en-GB"/>
        </w:rPr>
        <w:t>or</w:t>
      </w:r>
    </w:p>
    <w:p w14:paraId="6B345034" w14:textId="77777777" w:rsidR="00860FD1" w:rsidRPr="00860FD1" w:rsidRDefault="00860FD1" w:rsidP="00100EF4">
      <w:pPr>
        <w:numPr>
          <w:ilvl w:val="0"/>
          <w:numId w:val="5"/>
        </w:numPr>
        <w:jc w:val="both"/>
        <w:rPr>
          <w:sz w:val="22"/>
          <w:szCs w:val="22"/>
          <w:lang w:val="en-GB"/>
        </w:rPr>
      </w:pPr>
      <w:proofErr w:type="gramStart"/>
      <w:r w:rsidRPr="00860FD1">
        <w:rPr>
          <w:sz w:val="22"/>
          <w:szCs w:val="22"/>
          <w:lang w:val="en-GB"/>
        </w:rPr>
        <w:t>buyers</w:t>
      </w:r>
      <w:proofErr w:type="gramEnd"/>
      <w:r w:rsidRPr="00860FD1">
        <w:rPr>
          <w:sz w:val="22"/>
          <w:szCs w:val="22"/>
          <w:lang w:val="en-GB"/>
        </w:rPr>
        <w:t xml:space="preserve"> pose a credible threat of integrating backward to make the organization’s product.</w:t>
      </w:r>
    </w:p>
    <w:p w14:paraId="00A9D314" w14:textId="70F63617" w:rsidR="00860FD1" w:rsidRDefault="00BC6FC9" w:rsidP="003772D1">
      <w:pPr>
        <w:pStyle w:val="BodyTextMain"/>
        <w:rPr>
          <w:lang w:val="en-GB"/>
        </w:rPr>
      </w:pPr>
      <w:r>
        <w:rPr>
          <w:lang w:val="en-GB"/>
        </w:rPr>
        <w:lastRenderedPageBreak/>
        <w:t>I</w:t>
      </w:r>
      <w:r w:rsidR="0007798A">
        <w:rPr>
          <w:lang w:val="en-GB"/>
        </w:rPr>
        <w:t xml:space="preserve">n the body of a report, Porter’s five forces analysis should be used judiciously to highlight key forces that make an industry attractive or unattractive to enter. For example, in </w:t>
      </w:r>
      <w:proofErr w:type="spellStart"/>
      <w:r w:rsidR="0007798A">
        <w:rPr>
          <w:lang w:val="en-GB"/>
        </w:rPr>
        <w:t>analyzing</w:t>
      </w:r>
      <w:proofErr w:type="spellEnd"/>
      <w:r w:rsidR="0007798A">
        <w:rPr>
          <w:lang w:val="en-GB"/>
        </w:rPr>
        <w:t xml:space="preserve"> whether a restaurant should expand into catering, an organization would encounter an unattractive industry characterized </w:t>
      </w:r>
      <w:r w:rsidR="00F052E8">
        <w:rPr>
          <w:lang w:val="en-GB"/>
        </w:rPr>
        <w:t>by high threat of new entrants (capital requirements are relatively low and product differentiation is hard to achieve); fierce rivalry (many restaurants are doing catering</w:t>
      </w:r>
      <w:r w:rsidR="004C53A8">
        <w:rPr>
          <w:lang w:val="en-GB"/>
        </w:rPr>
        <w:t>,</w:t>
      </w:r>
      <w:r w:rsidR="00F052E8">
        <w:rPr>
          <w:lang w:val="en-GB"/>
        </w:rPr>
        <w:t xml:space="preserve"> and demand for cater</w:t>
      </w:r>
      <w:r w:rsidR="004C53A8">
        <w:rPr>
          <w:lang w:val="en-GB"/>
        </w:rPr>
        <w:t>ed meals</w:t>
      </w:r>
      <w:r w:rsidR="00F052E8">
        <w:rPr>
          <w:lang w:val="en-GB"/>
        </w:rPr>
        <w:t xml:space="preserve"> is growing slowly); high supplier power (there are only a few commercial food service companies); high buyer power (there are many caterers for buyers to choose from</w:t>
      </w:r>
      <w:r w:rsidR="004C53A8">
        <w:rPr>
          <w:lang w:val="en-GB"/>
        </w:rPr>
        <w:t>,</w:t>
      </w:r>
      <w:r w:rsidR="00F052E8">
        <w:rPr>
          <w:lang w:val="en-GB"/>
        </w:rPr>
        <w:t xml:space="preserve"> and </w:t>
      </w:r>
      <w:r w:rsidR="004C53A8">
        <w:rPr>
          <w:lang w:val="en-GB"/>
        </w:rPr>
        <w:t>often they</w:t>
      </w:r>
      <w:r w:rsidR="00F052E8">
        <w:rPr>
          <w:lang w:val="en-GB"/>
        </w:rPr>
        <w:t xml:space="preserve"> offer the same type of food); and a </w:t>
      </w:r>
      <w:r w:rsidR="004C53A8">
        <w:rPr>
          <w:lang w:val="en-GB"/>
        </w:rPr>
        <w:t xml:space="preserve">moderately </w:t>
      </w:r>
      <w:r w:rsidR="00F052E8">
        <w:rPr>
          <w:lang w:val="en-GB"/>
        </w:rPr>
        <w:t>high threat of substitutes (going to a restaurant, cooking yourself).</w:t>
      </w:r>
      <w:r>
        <w:rPr>
          <w:lang w:val="en-GB"/>
        </w:rPr>
        <w:t xml:space="preserve"> A more </w:t>
      </w:r>
      <w:proofErr w:type="spellStart"/>
      <w:r>
        <w:rPr>
          <w:lang w:val="en-GB"/>
        </w:rPr>
        <w:t>completePorter’s</w:t>
      </w:r>
      <w:proofErr w:type="spellEnd"/>
      <w:r>
        <w:rPr>
          <w:lang w:val="en-GB"/>
        </w:rPr>
        <w:t xml:space="preserve"> five forces can be placed in an appendix, if you deem this to be value-added.</w:t>
      </w:r>
    </w:p>
    <w:p w14:paraId="19D0E3A7" w14:textId="40CAEC0F" w:rsidR="00F052E8" w:rsidRDefault="00F052E8" w:rsidP="003772D1">
      <w:pPr>
        <w:pStyle w:val="BodyTextMain"/>
        <w:rPr>
          <w:lang w:val="en-GB"/>
        </w:rPr>
      </w:pPr>
    </w:p>
    <w:p w14:paraId="43CEDB82" w14:textId="77777777" w:rsidR="002F178F" w:rsidRPr="00860FD1" w:rsidRDefault="002F178F" w:rsidP="003772D1">
      <w:pPr>
        <w:pStyle w:val="BodyTextMain"/>
        <w:rPr>
          <w:lang w:val="en-GB"/>
        </w:rPr>
      </w:pPr>
    </w:p>
    <w:p w14:paraId="0E13443E" w14:textId="096084D6" w:rsidR="00860FD1" w:rsidRPr="00860FD1" w:rsidRDefault="00BC6FC9" w:rsidP="00100EF4">
      <w:pPr>
        <w:numPr>
          <w:ilvl w:val="0"/>
          <w:numId w:val="9"/>
        </w:numPr>
        <w:tabs>
          <w:tab w:val="left" w:pos="284"/>
        </w:tabs>
        <w:jc w:val="both"/>
        <w:rPr>
          <w:rFonts w:ascii="Arial" w:hAnsi="Arial" w:cs="Arial"/>
          <w:b/>
          <w:caps/>
          <w:lang w:val="en-GB"/>
        </w:rPr>
      </w:pPr>
      <w:bookmarkStart w:id="19" w:name="_Toc365803796"/>
      <w:bookmarkStart w:id="20" w:name="_Toc392920676"/>
      <w:bookmarkStart w:id="21" w:name="_Toc393181058"/>
      <w:r>
        <w:rPr>
          <w:rFonts w:ascii="Arial" w:hAnsi="Arial" w:cs="Arial"/>
          <w:b/>
          <w:caps/>
          <w:lang w:val="en-GB"/>
        </w:rPr>
        <w:t xml:space="preserve"> </w:t>
      </w:r>
      <w:r w:rsidR="00860FD1" w:rsidRPr="00860FD1">
        <w:rPr>
          <w:rFonts w:ascii="Arial" w:hAnsi="Arial" w:cs="Arial"/>
          <w:b/>
          <w:caps/>
          <w:lang w:val="en-GB"/>
        </w:rPr>
        <w:t>Stakeholder Analysis</w:t>
      </w:r>
      <w:bookmarkEnd w:id="19"/>
      <w:bookmarkEnd w:id="20"/>
      <w:bookmarkEnd w:id="21"/>
    </w:p>
    <w:p w14:paraId="142DA4D1" w14:textId="77777777" w:rsidR="00860FD1" w:rsidRPr="00860FD1" w:rsidRDefault="00860FD1" w:rsidP="00860FD1">
      <w:pPr>
        <w:keepNext/>
        <w:jc w:val="both"/>
        <w:rPr>
          <w:sz w:val="22"/>
          <w:szCs w:val="22"/>
          <w:lang w:val="en-GB"/>
        </w:rPr>
      </w:pPr>
    </w:p>
    <w:p w14:paraId="36189DF0" w14:textId="41B3E874" w:rsidR="00860FD1" w:rsidRPr="00860FD1" w:rsidRDefault="00860FD1" w:rsidP="00860FD1">
      <w:pPr>
        <w:jc w:val="both"/>
        <w:rPr>
          <w:sz w:val="22"/>
          <w:szCs w:val="22"/>
          <w:lang w:val="en-GB"/>
        </w:rPr>
      </w:pPr>
      <w:r w:rsidRPr="00860FD1">
        <w:rPr>
          <w:sz w:val="22"/>
          <w:szCs w:val="22"/>
          <w:lang w:val="en-GB"/>
        </w:rPr>
        <w:t>A stakeholder analysis identifies the relevant internal and external stakeholders</w:t>
      </w:r>
      <w:r w:rsidR="00F052E8">
        <w:rPr>
          <w:sz w:val="22"/>
          <w:szCs w:val="22"/>
          <w:lang w:val="en-GB"/>
        </w:rPr>
        <w:t xml:space="preserve"> (e.g., customers, shareholders, employees, distributors, suppliers, and the local community)</w:t>
      </w:r>
      <w:r w:rsidRPr="00860FD1">
        <w:rPr>
          <w:sz w:val="22"/>
          <w:szCs w:val="22"/>
          <w:lang w:val="en-GB"/>
        </w:rPr>
        <w:t xml:space="preserve"> and what they need </w:t>
      </w:r>
      <w:r w:rsidR="006207BD">
        <w:rPr>
          <w:sz w:val="22"/>
          <w:szCs w:val="22"/>
          <w:lang w:val="en-GB"/>
        </w:rPr>
        <w:t>or</w:t>
      </w:r>
      <w:r w:rsidR="006207BD" w:rsidRPr="00860FD1">
        <w:rPr>
          <w:sz w:val="22"/>
          <w:szCs w:val="22"/>
          <w:lang w:val="en-GB"/>
        </w:rPr>
        <w:t xml:space="preserve"> </w:t>
      </w:r>
      <w:r w:rsidRPr="00860FD1">
        <w:rPr>
          <w:sz w:val="22"/>
          <w:szCs w:val="22"/>
          <w:lang w:val="en-GB"/>
        </w:rPr>
        <w:t>expect from an organization</w:t>
      </w:r>
      <w:r w:rsidR="002F178F">
        <w:rPr>
          <w:sz w:val="22"/>
          <w:szCs w:val="22"/>
          <w:lang w:val="en-GB"/>
        </w:rPr>
        <w:t xml:space="preserve"> as it pertains to the dilemma under consideration</w:t>
      </w:r>
      <w:r w:rsidRPr="00860FD1">
        <w:rPr>
          <w:sz w:val="22"/>
          <w:szCs w:val="22"/>
          <w:lang w:val="en-GB"/>
        </w:rPr>
        <w:t>.</w:t>
      </w:r>
    </w:p>
    <w:p w14:paraId="696FBE43" w14:textId="77777777" w:rsidR="00860FD1" w:rsidRPr="00860FD1" w:rsidRDefault="00860FD1" w:rsidP="00860FD1">
      <w:pPr>
        <w:jc w:val="both"/>
        <w:rPr>
          <w:sz w:val="22"/>
          <w:szCs w:val="22"/>
          <w:lang w:val="en-GB"/>
        </w:rPr>
      </w:pPr>
    </w:p>
    <w:p w14:paraId="7EE3102A" w14:textId="77777777" w:rsidR="00860FD1" w:rsidRPr="00860FD1" w:rsidRDefault="00860FD1" w:rsidP="00860FD1">
      <w:pPr>
        <w:jc w:val="both"/>
        <w:rPr>
          <w:sz w:val="22"/>
          <w:szCs w:val="22"/>
          <w:lang w:val="en-GB"/>
        </w:rPr>
      </w:pPr>
      <w:r w:rsidRPr="00860FD1">
        <w:rPr>
          <w:sz w:val="22"/>
          <w:szCs w:val="22"/>
          <w:lang w:val="en-GB"/>
        </w:rPr>
        <w:t>After identifying potential stakeholders and their interests, a company can either align its actions to meet the interests and needs of the stakeholders, or it can manage its relationships with stakeholders by addressing the consequences of the company’s actions on the stakeholders.</w:t>
      </w:r>
    </w:p>
    <w:p w14:paraId="67F016D0" w14:textId="77777777" w:rsidR="00860FD1" w:rsidRPr="00860FD1" w:rsidRDefault="00860FD1" w:rsidP="00860FD1">
      <w:pPr>
        <w:jc w:val="both"/>
        <w:rPr>
          <w:sz w:val="22"/>
          <w:szCs w:val="22"/>
          <w:lang w:val="en-GB"/>
        </w:rPr>
      </w:pPr>
    </w:p>
    <w:p w14:paraId="00A817A3" w14:textId="79582BB1" w:rsidR="00860FD1" w:rsidRPr="00860FD1" w:rsidRDefault="00860FD1" w:rsidP="00860FD1">
      <w:pPr>
        <w:jc w:val="both"/>
        <w:rPr>
          <w:sz w:val="22"/>
          <w:szCs w:val="22"/>
          <w:lang w:val="en-GB"/>
        </w:rPr>
      </w:pPr>
      <w:r w:rsidRPr="00860FD1">
        <w:rPr>
          <w:sz w:val="22"/>
          <w:szCs w:val="22"/>
          <w:lang w:val="en-GB"/>
        </w:rPr>
        <w:t xml:space="preserve">A grid similar to that shown in </w:t>
      </w:r>
      <w:r w:rsidRPr="00030594">
        <w:rPr>
          <w:sz w:val="22"/>
          <w:szCs w:val="22"/>
          <w:lang w:val="en-GB"/>
        </w:rPr>
        <w:fldChar w:fldCharType="begin"/>
      </w:r>
      <w:r w:rsidRPr="00030594">
        <w:rPr>
          <w:sz w:val="22"/>
          <w:szCs w:val="22"/>
          <w:lang w:val="en-GB"/>
        </w:rPr>
        <w:instrText xml:space="preserve"> REF _Ref501525107 \h </w:instrText>
      </w:r>
      <w:r w:rsidR="00030594">
        <w:rPr>
          <w:sz w:val="22"/>
          <w:szCs w:val="22"/>
          <w:lang w:val="en-GB"/>
        </w:rPr>
        <w:instrText xml:space="preserve"> \* MERGEFORMAT </w:instrText>
      </w:r>
      <w:r w:rsidRPr="00030594">
        <w:rPr>
          <w:sz w:val="22"/>
          <w:szCs w:val="22"/>
          <w:lang w:val="en-GB"/>
        </w:rPr>
      </w:r>
      <w:r w:rsidRPr="00030594">
        <w:rPr>
          <w:sz w:val="22"/>
          <w:szCs w:val="22"/>
          <w:lang w:val="en-GB"/>
        </w:rPr>
        <w:fldChar w:fldCharType="separate"/>
      </w:r>
      <w:r w:rsidR="00073D63" w:rsidRPr="00073D63">
        <w:rPr>
          <w:rFonts w:eastAsia="Calibri"/>
          <w:sz w:val="22"/>
          <w:szCs w:val="22"/>
          <w:lang w:val="en-GB"/>
        </w:rPr>
        <w:t xml:space="preserve">Figure </w:t>
      </w:r>
      <w:r w:rsidR="00073D63" w:rsidRPr="00073D63">
        <w:rPr>
          <w:rFonts w:eastAsia="Calibri"/>
          <w:noProof/>
          <w:sz w:val="22"/>
          <w:szCs w:val="22"/>
          <w:lang w:val="en-GB"/>
        </w:rPr>
        <w:t>7</w:t>
      </w:r>
      <w:r w:rsidRPr="00030594">
        <w:rPr>
          <w:sz w:val="22"/>
          <w:szCs w:val="22"/>
          <w:lang w:val="en-GB"/>
        </w:rPr>
        <w:fldChar w:fldCharType="end"/>
      </w:r>
      <w:r w:rsidRPr="00860FD1">
        <w:rPr>
          <w:sz w:val="22"/>
          <w:szCs w:val="22"/>
          <w:lang w:val="en-GB"/>
        </w:rPr>
        <w:t xml:space="preserve"> for resource gap analysis can be used to summarize the existing preferences of various stakeholders, the new required preferences (i.e., </w:t>
      </w:r>
      <w:r w:rsidR="006207BD">
        <w:rPr>
          <w:sz w:val="22"/>
          <w:szCs w:val="22"/>
          <w:lang w:val="en-GB"/>
        </w:rPr>
        <w:t xml:space="preserve">to align </w:t>
      </w:r>
      <w:r w:rsidRPr="00860FD1">
        <w:rPr>
          <w:sz w:val="22"/>
          <w:szCs w:val="22"/>
          <w:lang w:val="en-GB"/>
        </w:rPr>
        <w:t>with a particular alternative), major gaps between stakeholder expectations and corporate actions, and ways to reduce those gaps.</w:t>
      </w:r>
    </w:p>
    <w:p w14:paraId="26413397" w14:textId="77777777" w:rsidR="002F178F" w:rsidRPr="00860FD1" w:rsidRDefault="002F178F" w:rsidP="00860FD1">
      <w:pPr>
        <w:jc w:val="both"/>
        <w:rPr>
          <w:sz w:val="22"/>
          <w:szCs w:val="22"/>
          <w:lang w:val="en-GB"/>
        </w:rPr>
      </w:pPr>
    </w:p>
    <w:p w14:paraId="3F5EF23A" w14:textId="77777777" w:rsidR="00860FD1" w:rsidRPr="00860FD1" w:rsidRDefault="00860FD1" w:rsidP="00860FD1">
      <w:pPr>
        <w:jc w:val="both"/>
        <w:rPr>
          <w:sz w:val="22"/>
          <w:szCs w:val="22"/>
          <w:lang w:val="en-GB"/>
        </w:rPr>
      </w:pPr>
    </w:p>
    <w:p w14:paraId="387F66D3" w14:textId="5FC40839" w:rsidR="00860FD1" w:rsidRPr="00860FD1" w:rsidRDefault="00BC6FC9" w:rsidP="00100EF4">
      <w:pPr>
        <w:numPr>
          <w:ilvl w:val="0"/>
          <w:numId w:val="9"/>
        </w:numPr>
        <w:tabs>
          <w:tab w:val="left" w:pos="284"/>
        </w:tabs>
        <w:jc w:val="both"/>
        <w:rPr>
          <w:rFonts w:ascii="Arial" w:hAnsi="Arial" w:cs="Arial"/>
          <w:b/>
          <w:caps/>
          <w:lang w:val="en-GB"/>
        </w:rPr>
      </w:pPr>
      <w:bookmarkStart w:id="22" w:name="_Toc365803797"/>
      <w:bookmarkStart w:id="23" w:name="_Toc392920677"/>
      <w:bookmarkStart w:id="24" w:name="_Toc393181059"/>
      <w:r>
        <w:rPr>
          <w:rFonts w:ascii="Arial" w:hAnsi="Arial" w:cs="Arial"/>
          <w:b/>
          <w:caps/>
          <w:lang w:val="en-GB"/>
        </w:rPr>
        <w:t xml:space="preserve"> </w:t>
      </w:r>
      <w:r w:rsidR="00860FD1" w:rsidRPr="00860FD1">
        <w:rPr>
          <w:rFonts w:ascii="Arial" w:hAnsi="Arial" w:cs="Arial"/>
          <w:b/>
          <w:caps/>
          <w:lang w:val="en-GB"/>
        </w:rPr>
        <w:t>Industry Key Success Factors</w:t>
      </w:r>
      <w:bookmarkEnd w:id="22"/>
      <w:bookmarkEnd w:id="23"/>
      <w:bookmarkEnd w:id="24"/>
    </w:p>
    <w:p w14:paraId="0A9878A2" w14:textId="77777777" w:rsidR="00860FD1" w:rsidRPr="00860FD1" w:rsidRDefault="00860FD1" w:rsidP="00860FD1">
      <w:pPr>
        <w:jc w:val="both"/>
        <w:rPr>
          <w:sz w:val="22"/>
          <w:szCs w:val="22"/>
          <w:lang w:val="en-GB"/>
        </w:rPr>
      </w:pPr>
    </w:p>
    <w:p w14:paraId="16589960" w14:textId="24CF720D" w:rsidR="00860FD1" w:rsidRPr="00860FD1" w:rsidRDefault="00860FD1" w:rsidP="00860FD1">
      <w:pPr>
        <w:jc w:val="both"/>
        <w:rPr>
          <w:sz w:val="22"/>
          <w:szCs w:val="22"/>
          <w:lang w:val="en-GB"/>
        </w:rPr>
      </w:pPr>
      <w:r w:rsidRPr="00860FD1">
        <w:rPr>
          <w:sz w:val="22"/>
          <w:szCs w:val="22"/>
          <w:lang w:val="en-GB"/>
        </w:rPr>
        <w:t>Industry key success factors (KSFs) identify what a company needs to succeed or win in the industry. KSFs include product qualities, organizational capabilities, resources, and market achievements that combine to create value for customers and are critical for long-term competitive success in the industry. An industry usually has only two or three KSFs; rarely are there more than five or six.</w:t>
      </w:r>
    </w:p>
    <w:p w14:paraId="6000A607" w14:textId="77777777" w:rsidR="00860FD1" w:rsidRPr="00860FD1" w:rsidRDefault="00860FD1" w:rsidP="00860FD1">
      <w:pPr>
        <w:jc w:val="both"/>
        <w:rPr>
          <w:sz w:val="22"/>
          <w:szCs w:val="22"/>
          <w:lang w:val="en-GB"/>
        </w:rPr>
      </w:pPr>
    </w:p>
    <w:p w14:paraId="13EE568D" w14:textId="77777777" w:rsidR="00860FD1" w:rsidRPr="00860FD1" w:rsidRDefault="00860FD1" w:rsidP="00860FD1">
      <w:pPr>
        <w:jc w:val="both"/>
        <w:rPr>
          <w:sz w:val="22"/>
          <w:szCs w:val="22"/>
          <w:lang w:val="en-GB"/>
        </w:rPr>
      </w:pPr>
      <w:r w:rsidRPr="00860FD1">
        <w:rPr>
          <w:sz w:val="22"/>
          <w:szCs w:val="22"/>
          <w:lang w:val="en-GB"/>
        </w:rPr>
        <w:t>Identifying KSFs allows a company to assess its performance against industry KSFs. A company wants to perform well on all KSFs and be distinctively better on one or two to develop a competitive advantage.</w:t>
      </w:r>
    </w:p>
    <w:p w14:paraId="397B2A4D" w14:textId="77777777" w:rsidR="00860FD1" w:rsidRPr="00860FD1" w:rsidRDefault="00860FD1" w:rsidP="00860FD1">
      <w:pPr>
        <w:jc w:val="both"/>
        <w:rPr>
          <w:sz w:val="22"/>
          <w:szCs w:val="22"/>
          <w:lang w:val="en-GB"/>
        </w:rPr>
      </w:pPr>
    </w:p>
    <w:p w14:paraId="4512A5F6" w14:textId="77777777" w:rsidR="00860FD1" w:rsidRPr="00860FD1" w:rsidRDefault="00860FD1" w:rsidP="00860FD1">
      <w:pPr>
        <w:jc w:val="both"/>
        <w:rPr>
          <w:sz w:val="22"/>
          <w:szCs w:val="22"/>
          <w:lang w:val="en-GB"/>
        </w:rPr>
      </w:pPr>
    </w:p>
    <w:p w14:paraId="7775ADF9" w14:textId="4D275532" w:rsidR="00860FD1" w:rsidRPr="00860FD1" w:rsidRDefault="00BC6FC9" w:rsidP="00100EF4">
      <w:pPr>
        <w:keepNext/>
        <w:numPr>
          <w:ilvl w:val="0"/>
          <w:numId w:val="9"/>
        </w:numPr>
        <w:tabs>
          <w:tab w:val="left" w:pos="284"/>
        </w:tabs>
        <w:jc w:val="both"/>
        <w:rPr>
          <w:rFonts w:ascii="Arial" w:hAnsi="Arial" w:cs="Arial"/>
          <w:b/>
          <w:caps/>
          <w:lang w:val="en-GB"/>
        </w:rPr>
      </w:pPr>
      <w:bookmarkStart w:id="25" w:name="_Ref501125117"/>
      <w:bookmarkStart w:id="26" w:name="_Toc392920678"/>
      <w:bookmarkStart w:id="27" w:name="_Toc393181060"/>
      <w:bookmarkStart w:id="28" w:name="_Toc365803798"/>
      <w:r>
        <w:rPr>
          <w:rFonts w:ascii="Arial" w:hAnsi="Arial" w:cs="Arial"/>
          <w:b/>
          <w:caps/>
          <w:lang w:val="en-GB"/>
        </w:rPr>
        <w:t xml:space="preserve"> </w:t>
      </w:r>
      <w:r w:rsidR="00860FD1" w:rsidRPr="00860FD1">
        <w:rPr>
          <w:rFonts w:ascii="Arial" w:hAnsi="Arial" w:cs="Arial"/>
          <w:b/>
          <w:caps/>
          <w:lang w:val="en-GB"/>
        </w:rPr>
        <w:t>Value Chain Analysis</w:t>
      </w:r>
      <w:bookmarkEnd w:id="25"/>
    </w:p>
    <w:p w14:paraId="78A020F7" w14:textId="77777777" w:rsidR="00860FD1" w:rsidRPr="00860FD1" w:rsidRDefault="00860FD1" w:rsidP="003772D1">
      <w:pPr>
        <w:keepNext/>
        <w:jc w:val="both"/>
        <w:rPr>
          <w:sz w:val="22"/>
          <w:szCs w:val="22"/>
          <w:lang w:val="en-GB"/>
        </w:rPr>
      </w:pPr>
    </w:p>
    <w:p w14:paraId="321D9925" w14:textId="63077A66" w:rsidR="00860FD1" w:rsidRPr="005C2DED" w:rsidRDefault="005C2DED" w:rsidP="005C2DED">
      <w:pPr>
        <w:pStyle w:val="Casehead2"/>
        <w:numPr>
          <w:ilvl w:val="1"/>
          <w:numId w:val="15"/>
        </w:numPr>
        <w:rPr>
          <w:lang w:val="en-GB"/>
        </w:rPr>
      </w:pPr>
      <w:r>
        <w:rPr>
          <w:lang w:val="en-GB"/>
        </w:rPr>
        <w:t>I</w:t>
      </w:r>
      <w:r w:rsidR="00860FD1" w:rsidRPr="005C2DED">
        <w:rPr>
          <w:lang w:val="en-GB"/>
        </w:rPr>
        <w:t>ndustry Value Chain</w:t>
      </w:r>
      <w:bookmarkEnd w:id="26"/>
      <w:bookmarkEnd w:id="27"/>
      <w:bookmarkEnd w:id="28"/>
    </w:p>
    <w:p w14:paraId="3488EC32" w14:textId="77777777" w:rsidR="00860FD1" w:rsidRPr="00860FD1" w:rsidRDefault="00860FD1" w:rsidP="00860FD1">
      <w:pPr>
        <w:keepNext/>
        <w:jc w:val="both"/>
        <w:rPr>
          <w:sz w:val="22"/>
          <w:szCs w:val="22"/>
          <w:lang w:val="en-GB"/>
        </w:rPr>
      </w:pPr>
    </w:p>
    <w:p w14:paraId="03DA0625" w14:textId="51935B56" w:rsidR="00860FD1" w:rsidRPr="00860FD1" w:rsidRDefault="00860FD1" w:rsidP="00860FD1">
      <w:pPr>
        <w:jc w:val="both"/>
        <w:rPr>
          <w:sz w:val="22"/>
          <w:szCs w:val="22"/>
          <w:lang w:val="en-GB"/>
        </w:rPr>
      </w:pPr>
      <w:r w:rsidRPr="00860FD1">
        <w:rPr>
          <w:sz w:val="22"/>
          <w:szCs w:val="22"/>
          <w:lang w:val="en-GB"/>
        </w:rPr>
        <w:t>An industry value chain</w:t>
      </w:r>
      <w:r w:rsidRPr="00860FD1">
        <w:rPr>
          <w:sz w:val="22"/>
          <w:szCs w:val="22"/>
          <w:vertAlign w:val="superscript"/>
          <w:lang w:val="en-GB"/>
        </w:rPr>
        <w:footnoteReference w:id="2"/>
      </w:r>
      <w:r w:rsidRPr="00860FD1">
        <w:rPr>
          <w:sz w:val="22"/>
          <w:szCs w:val="22"/>
          <w:lang w:val="en-GB"/>
        </w:rPr>
        <w:t xml:space="preserve"> (see </w:t>
      </w:r>
      <w:r w:rsidRPr="00057E53">
        <w:rPr>
          <w:sz w:val="22"/>
          <w:szCs w:val="22"/>
          <w:lang w:val="en-GB"/>
        </w:rPr>
        <w:fldChar w:fldCharType="begin"/>
      </w:r>
      <w:r w:rsidRPr="00057E53">
        <w:rPr>
          <w:sz w:val="22"/>
          <w:szCs w:val="22"/>
          <w:lang w:val="en-GB"/>
        </w:rPr>
        <w:instrText xml:space="preserve"> REF _Ref501127683 \h </w:instrText>
      </w:r>
      <w:r w:rsidR="003772D1" w:rsidRPr="00057E53">
        <w:rPr>
          <w:sz w:val="22"/>
          <w:szCs w:val="22"/>
          <w:lang w:val="en-GB"/>
        </w:rPr>
        <w:instrText xml:space="preserve"> \* MERGEFORMAT </w:instrText>
      </w:r>
      <w:r w:rsidRPr="00057E53">
        <w:rPr>
          <w:sz w:val="22"/>
          <w:szCs w:val="22"/>
          <w:lang w:val="en-GB"/>
        </w:rPr>
      </w:r>
      <w:r w:rsidRPr="00057E53">
        <w:rPr>
          <w:sz w:val="22"/>
          <w:szCs w:val="22"/>
          <w:lang w:val="en-GB"/>
        </w:rPr>
        <w:fldChar w:fldCharType="separate"/>
      </w:r>
      <w:r w:rsidR="00073D63" w:rsidRPr="00073D63">
        <w:rPr>
          <w:rFonts w:eastAsia="Calibri"/>
          <w:bCs/>
          <w:szCs w:val="18"/>
          <w:lang w:val="en-GB"/>
        </w:rPr>
        <w:t xml:space="preserve">Figure </w:t>
      </w:r>
      <w:r w:rsidR="00073D63" w:rsidRPr="00073D63">
        <w:rPr>
          <w:rFonts w:eastAsia="Calibri"/>
          <w:bCs/>
          <w:noProof/>
          <w:szCs w:val="18"/>
          <w:lang w:val="en-GB"/>
        </w:rPr>
        <w:t>3</w:t>
      </w:r>
      <w:r w:rsidRPr="00057E53">
        <w:rPr>
          <w:sz w:val="22"/>
          <w:szCs w:val="22"/>
          <w:lang w:val="en-GB"/>
        </w:rPr>
        <w:fldChar w:fldCharType="end"/>
      </w:r>
      <w:r w:rsidRPr="00860FD1">
        <w:rPr>
          <w:sz w:val="22"/>
          <w:szCs w:val="22"/>
          <w:lang w:val="en-GB"/>
        </w:rPr>
        <w:t>) consists of the activities that contribute to the process of firms within an industry providing a valuable product or service. Most businesses buy products or supplies from another company, transform them, and then sell them to customers. Therefore, an industry value chain includes the firms’ own value chains as well as the value chains of their suppliers and distributors.</w:t>
      </w:r>
    </w:p>
    <w:p w14:paraId="5E2A73F5" w14:textId="77777777" w:rsidR="00860FD1" w:rsidRPr="00860FD1" w:rsidRDefault="00860FD1" w:rsidP="00860FD1">
      <w:pPr>
        <w:jc w:val="both"/>
        <w:rPr>
          <w:sz w:val="22"/>
          <w:szCs w:val="22"/>
          <w:lang w:val="en-GB"/>
        </w:rPr>
      </w:pPr>
    </w:p>
    <w:p w14:paraId="1DAF78E4" w14:textId="01593C37" w:rsidR="00860FD1" w:rsidRPr="00860FD1" w:rsidRDefault="00860FD1" w:rsidP="00860FD1">
      <w:pPr>
        <w:keepNext/>
        <w:spacing w:before="180" w:after="240"/>
        <w:jc w:val="both"/>
        <w:rPr>
          <w:rFonts w:ascii="Arial" w:eastAsia="Calibri" w:hAnsi="Arial"/>
          <w:b/>
          <w:bCs/>
          <w:szCs w:val="18"/>
          <w:lang w:val="en-GB"/>
        </w:rPr>
      </w:pPr>
      <w:bookmarkStart w:id="29" w:name="_Ref501127683"/>
      <w:r w:rsidRPr="00860FD1">
        <w:rPr>
          <w:rFonts w:ascii="Arial" w:eastAsia="Calibri" w:hAnsi="Arial"/>
          <w:b/>
          <w:bCs/>
          <w:szCs w:val="18"/>
          <w:lang w:val="en-GB"/>
        </w:rPr>
        <w:lastRenderedPageBreak/>
        <w:t xml:space="preserve">Figure </w:t>
      </w:r>
      <w:r w:rsidRPr="00860FD1">
        <w:rPr>
          <w:rFonts w:ascii="Arial" w:eastAsia="Calibri" w:hAnsi="Arial"/>
          <w:b/>
          <w:bCs/>
          <w:szCs w:val="18"/>
          <w:lang w:val="en-GB"/>
        </w:rPr>
        <w:fldChar w:fldCharType="begin"/>
      </w:r>
      <w:r w:rsidRPr="00860FD1">
        <w:rPr>
          <w:rFonts w:ascii="Arial" w:eastAsia="Calibri" w:hAnsi="Arial"/>
          <w:b/>
          <w:bCs/>
          <w:szCs w:val="18"/>
          <w:lang w:val="en-GB"/>
        </w:rPr>
        <w:instrText xml:space="preserve"> SEQ Figure \* ARABIC </w:instrText>
      </w:r>
      <w:r w:rsidRPr="00860FD1">
        <w:rPr>
          <w:rFonts w:ascii="Arial" w:eastAsia="Calibri" w:hAnsi="Arial"/>
          <w:b/>
          <w:bCs/>
          <w:szCs w:val="18"/>
          <w:lang w:val="en-GB"/>
        </w:rPr>
        <w:fldChar w:fldCharType="separate"/>
      </w:r>
      <w:r w:rsidR="00073D63">
        <w:rPr>
          <w:rFonts w:ascii="Arial" w:eastAsia="Calibri" w:hAnsi="Arial"/>
          <w:b/>
          <w:bCs/>
          <w:noProof/>
          <w:szCs w:val="18"/>
          <w:lang w:val="en-GB"/>
        </w:rPr>
        <w:t>3</w:t>
      </w:r>
      <w:r w:rsidRPr="00860FD1">
        <w:rPr>
          <w:rFonts w:ascii="Arial" w:eastAsia="Calibri" w:hAnsi="Arial"/>
          <w:b/>
          <w:bCs/>
          <w:szCs w:val="18"/>
          <w:lang w:val="en-GB"/>
        </w:rPr>
        <w:fldChar w:fldCharType="end"/>
      </w:r>
      <w:bookmarkEnd w:id="29"/>
      <w:r w:rsidRPr="00860FD1">
        <w:rPr>
          <w:rFonts w:ascii="Arial" w:eastAsia="Calibri" w:hAnsi="Arial"/>
          <w:b/>
          <w:bCs/>
          <w:szCs w:val="18"/>
          <w:lang w:val="en-GB"/>
        </w:rPr>
        <w:t xml:space="preserve">: </w:t>
      </w:r>
      <w:bookmarkStart w:id="30" w:name="_Ref501127674"/>
      <w:r w:rsidRPr="00860FD1">
        <w:rPr>
          <w:rFonts w:ascii="Arial" w:eastAsia="Calibri" w:hAnsi="Arial"/>
          <w:b/>
          <w:bCs/>
          <w:szCs w:val="18"/>
          <w:lang w:val="en-GB"/>
        </w:rPr>
        <w:t>Industry Value Chain</w:t>
      </w:r>
      <w:bookmarkEnd w:id="30"/>
    </w:p>
    <w:p w14:paraId="6FBD721B" w14:textId="77777777" w:rsidR="00860FD1" w:rsidRPr="00860FD1" w:rsidRDefault="00860FD1" w:rsidP="00860FD1">
      <w:pPr>
        <w:jc w:val="center"/>
        <w:rPr>
          <w:sz w:val="22"/>
          <w:szCs w:val="22"/>
          <w:lang w:val="en-GB"/>
        </w:rPr>
      </w:pPr>
      <w:r w:rsidRPr="00860FD1">
        <w:rPr>
          <w:noProof/>
          <w:sz w:val="22"/>
          <w:szCs w:val="22"/>
        </w:rPr>
        <mc:AlternateContent>
          <mc:Choice Requires="wpg">
            <w:drawing>
              <wp:inline distT="0" distB="0" distL="0" distR="0" wp14:anchorId="59F30573" wp14:editId="5B24E05C">
                <wp:extent cx="5819182" cy="1828800"/>
                <wp:effectExtent l="25400" t="0" r="48260" b="25400"/>
                <wp:docPr id="54" name="Group 54"/>
                <wp:cNvGraphicFramePr/>
                <a:graphic xmlns:a="http://schemas.openxmlformats.org/drawingml/2006/main">
                  <a:graphicData uri="http://schemas.microsoft.com/office/word/2010/wordprocessingGroup">
                    <wpg:wgp>
                      <wpg:cNvGrpSpPr/>
                      <wpg:grpSpPr>
                        <a:xfrm>
                          <a:off x="0" y="0"/>
                          <a:ext cx="5819182" cy="1828800"/>
                          <a:chOff x="0" y="0"/>
                          <a:chExt cx="5819182" cy="1828800"/>
                        </a:xfrm>
                      </wpg:grpSpPr>
                      <wpg:grpSp>
                        <wpg:cNvPr id="51" name="Group 51"/>
                        <wpg:cNvGrpSpPr/>
                        <wpg:grpSpPr>
                          <a:xfrm>
                            <a:off x="0" y="7495"/>
                            <a:ext cx="5152120" cy="1818307"/>
                            <a:chOff x="0" y="0"/>
                            <a:chExt cx="5152120" cy="1818307"/>
                          </a:xfrm>
                        </wpg:grpSpPr>
                        <wpg:grpSp>
                          <wpg:cNvPr id="46" name="Group 46"/>
                          <wpg:cNvGrpSpPr/>
                          <wpg:grpSpPr>
                            <a:xfrm>
                              <a:off x="0" y="0"/>
                              <a:ext cx="5152120" cy="457200"/>
                              <a:chOff x="0" y="0"/>
                              <a:chExt cx="5152120" cy="457200"/>
                            </a:xfrm>
                          </wpg:grpSpPr>
                          <wps:wsp>
                            <wps:cNvPr id="38" name="Chevron 38"/>
                            <wps:cNvSpPr/>
                            <wps:spPr>
                              <a:xfrm>
                                <a:off x="0" y="0"/>
                                <a:ext cx="1097280" cy="457200"/>
                              </a:xfrm>
                              <a:prstGeom prst="chevron">
                                <a:avLst/>
                              </a:prstGeom>
                              <a:solidFill>
                                <a:sysClr val="window" lastClr="FFFFFF"/>
                              </a:solidFill>
                              <a:ln w="12700" cap="flat" cmpd="sng" algn="ctr">
                                <a:solidFill>
                                  <a:sysClr val="windowText" lastClr="000000"/>
                                </a:solidFill>
                                <a:prstDash val="solid"/>
                                <a:miter lim="800000"/>
                              </a:ln>
                              <a:effectLst/>
                            </wps:spPr>
                            <wps:txbx>
                              <w:txbxContent>
                                <w:p w14:paraId="5429257A" w14:textId="77777777" w:rsidR="005711AE" w:rsidRPr="004802D7" w:rsidRDefault="005711AE" w:rsidP="00860FD1">
                                  <w:pPr>
                                    <w:spacing w:line="240" w:lineRule="atLeast"/>
                                    <w:jc w:val="center"/>
                                    <w:rPr>
                                      <w:rFonts w:ascii="Arial" w:hAnsi="Arial" w:cs="Arial"/>
                                      <w:sz w:val="18"/>
                                      <w:szCs w:val="18"/>
                                    </w:rPr>
                                  </w:pPr>
                                  <w:r w:rsidRPr="004802D7">
                                    <w:rPr>
                                      <w:rFonts w:ascii="Arial" w:hAnsi="Arial" w:cs="Arial"/>
                                      <w:sz w:val="18"/>
                                      <w:szCs w:val="18"/>
                                    </w:rPr>
                                    <w:t>Inbound Logistics</w:t>
                                  </w: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wps:wsp>
                            <wps:cNvPr id="39" name="Chevron 39"/>
                            <wps:cNvSpPr/>
                            <wps:spPr>
                              <a:xfrm>
                                <a:off x="989351" y="0"/>
                                <a:ext cx="1188720" cy="457200"/>
                              </a:xfrm>
                              <a:prstGeom prst="chevron">
                                <a:avLst/>
                              </a:prstGeom>
                              <a:solidFill>
                                <a:sysClr val="window" lastClr="FFFFFF"/>
                              </a:solidFill>
                              <a:ln w="12700" cap="flat" cmpd="sng" algn="ctr">
                                <a:solidFill>
                                  <a:sysClr val="windowText" lastClr="000000"/>
                                </a:solidFill>
                                <a:prstDash val="solid"/>
                                <a:miter lim="800000"/>
                              </a:ln>
                              <a:effectLst/>
                            </wps:spPr>
                            <wps:txbx>
                              <w:txbxContent>
                                <w:p w14:paraId="2366A512" w14:textId="77777777" w:rsidR="005711AE" w:rsidRPr="004802D7" w:rsidRDefault="005711AE" w:rsidP="00860FD1">
                                  <w:pPr>
                                    <w:spacing w:line="240" w:lineRule="atLeast"/>
                                    <w:jc w:val="center"/>
                                    <w:rPr>
                                      <w:rFonts w:ascii="Arial" w:hAnsi="Arial" w:cs="Arial"/>
                                      <w:sz w:val="18"/>
                                      <w:szCs w:val="18"/>
                                    </w:rPr>
                                  </w:pPr>
                                  <w:r>
                                    <w:rPr>
                                      <w:rFonts w:ascii="Arial" w:hAnsi="Arial" w:cs="Arial"/>
                                      <w:sz w:val="18"/>
                                      <w:szCs w:val="18"/>
                                    </w:rPr>
                                    <w:t>Operations</w:t>
                                  </w: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wps:wsp>
                            <wps:cNvPr id="40" name="Chevron 40"/>
                            <wps:cNvSpPr/>
                            <wps:spPr>
                              <a:xfrm>
                                <a:off x="2076138" y="0"/>
                                <a:ext cx="1097280" cy="457200"/>
                              </a:xfrm>
                              <a:prstGeom prst="chevron">
                                <a:avLst/>
                              </a:prstGeom>
                              <a:solidFill>
                                <a:sysClr val="window" lastClr="FFFFFF"/>
                              </a:solidFill>
                              <a:ln w="12700" cap="flat" cmpd="sng" algn="ctr">
                                <a:solidFill>
                                  <a:sysClr val="windowText" lastClr="000000"/>
                                </a:solidFill>
                                <a:prstDash val="solid"/>
                                <a:miter lim="800000"/>
                              </a:ln>
                              <a:effectLst/>
                            </wps:spPr>
                            <wps:txbx>
                              <w:txbxContent>
                                <w:p w14:paraId="6873F7A3" w14:textId="77777777" w:rsidR="005711AE" w:rsidRPr="004802D7" w:rsidRDefault="005711AE" w:rsidP="00860FD1">
                                  <w:pPr>
                                    <w:spacing w:line="240" w:lineRule="atLeast"/>
                                    <w:jc w:val="center"/>
                                    <w:rPr>
                                      <w:rFonts w:ascii="Arial" w:hAnsi="Arial" w:cs="Arial"/>
                                      <w:sz w:val="18"/>
                                      <w:szCs w:val="18"/>
                                    </w:rPr>
                                  </w:pPr>
                                  <w:r>
                                    <w:rPr>
                                      <w:rFonts w:ascii="Arial" w:hAnsi="Arial" w:cs="Arial"/>
                                      <w:sz w:val="18"/>
                                      <w:szCs w:val="18"/>
                                    </w:rPr>
                                    <w:t>Outbound</w:t>
                                  </w:r>
                                  <w:r w:rsidRPr="004802D7">
                                    <w:rPr>
                                      <w:rFonts w:ascii="Arial" w:hAnsi="Arial" w:cs="Arial"/>
                                      <w:sz w:val="18"/>
                                      <w:szCs w:val="18"/>
                                    </w:rPr>
                                    <w:t xml:space="preserve"> Logistics</w:t>
                                  </w: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wps:wsp>
                            <wps:cNvPr id="41" name="Chevron 41"/>
                            <wps:cNvSpPr/>
                            <wps:spPr>
                              <a:xfrm>
                                <a:off x="3065489" y="0"/>
                                <a:ext cx="1097280" cy="457200"/>
                              </a:xfrm>
                              <a:prstGeom prst="chevron">
                                <a:avLst/>
                              </a:prstGeom>
                              <a:solidFill>
                                <a:sysClr val="window" lastClr="FFFFFF"/>
                              </a:solidFill>
                              <a:ln w="12700" cap="flat" cmpd="sng" algn="ctr">
                                <a:solidFill>
                                  <a:sysClr val="windowText" lastClr="000000"/>
                                </a:solidFill>
                                <a:prstDash val="solid"/>
                                <a:miter lim="800000"/>
                              </a:ln>
                              <a:effectLst/>
                            </wps:spPr>
                            <wps:txbx>
                              <w:txbxContent>
                                <w:p w14:paraId="6F0C2563" w14:textId="77777777" w:rsidR="005711AE" w:rsidRPr="004802D7" w:rsidRDefault="005711AE" w:rsidP="00860FD1">
                                  <w:pPr>
                                    <w:spacing w:line="240" w:lineRule="atLeast"/>
                                    <w:jc w:val="center"/>
                                    <w:rPr>
                                      <w:rFonts w:ascii="Arial" w:hAnsi="Arial" w:cs="Arial"/>
                                      <w:sz w:val="18"/>
                                      <w:szCs w:val="18"/>
                                    </w:rPr>
                                  </w:pPr>
                                  <w:r>
                                    <w:rPr>
                                      <w:rFonts w:ascii="Arial" w:hAnsi="Arial" w:cs="Arial"/>
                                      <w:sz w:val="18"/>
                                      <w:szCs w:val="18"/>
                                    </w:rPr>
                                    <w:t>Marketing &amp; Sales</w:t>
                                  </w: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wps:wsp>
                            <wps:cNvPr id="42" name="Chevron 42"/>
                            <wps:cNvSpPr/>
                            <wps:spPr>
                              <a:xfrm>
                                <a:off x="4054840" y="0"/>
                                <a:ext cx="1097280" cy="457200"/>
                              </a:xfrm>
                              <a:prstGeom prst="chevron">
                                <a:avLst/>
                              </a:prstGeom>
                              <a:solidFill>
                                <a:sysClr val="window" lastClr="FFFFFF"/>
                              </a:solidFill>
                              <a:ln w="12700" cap="flat" cmpd="sng" algn="ctr">
                                <a:solidFill>
                                  <a:sysClr val="windowText" lastClr="000000"/>
                                </a:solidFill>
                                <a:prstDash val="solid"/>
                                <a:miter lim="800000"/>
                              </a:ln>
                              <a:effectLst/>
                            </wps:spPr>
                            <wps:txbx>
                              <w:txbxContent>
                                <w:p w14:paraId="5513B94E" w14:textId="77777777" w:rsidR="005711AE" w:rsidRPr="004802D7" w:rsidRDefault="005711AE" w:rsidP="00860FD1">
                                  <w:pPr>
                                    <w:spacing w:line="240" w:lineRule="atLeast"/>
                                    <w:jc w:val="center"/>
                                    <w:rPr>
                                      <w:rFonts w:ascii="Arial" w:hAnsi="Arial" w:cs="Arial"/>
                                      <w:sz w:val="18"/>
                                      <w:szCs w:val="18"/>
                                    </w:rPr>
                                  </w:pPr>
                                  <w:r>
                                    <w:rPr>
                                      <w:rFonts w:ascii="Arial" w:hAnsi="Arial" w:cs="Arial"/>
                                      <w:sz w:val="18"/>
                                      <w:szCs w:val="18"/>
                                    </w:rPr>
                                    <w:t>Service</w:t>
                                  </w: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wpg:grpSp>
                        <wps:wsp>
                          <wps:cNvPr id="45" name="Rectangle 45"/>
                          <wps:cNvSpPr/>
                          <wps:spPr>
                            <a:xfrm>
                              <a:off x="0" y="524656"/>
                              <a:ext cx="5120640" cy="27432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9969E02" w14:textId="77777777" w:rsidR="005711AE" w:rsidRPr="00D56069" w:rsidRDefault="005711AE" w:rsidP="00860FD1">
                                <w:pPr>
                                  <w:jc w:val="center"/>
                                  <w:rPr>
                                    <w:rFonts w:ascii="Arial" w:hAnsi="Arial" w:cs="Arial"/>
                                    <w:sz w:val="18"/>
                                    <w:szCs w:val="18"/>
                                  </w:rPr>
                                </w:pPr>
                                <w:r w:rsidRPr="00D56069">
                                  <w:rPr>
                                    <w:rFonts w:ascii="Arial" w:hAnsi="Arial" w:cs="Arial"/>
                                    <w:sz w:val="18"/>
                                    <w:szCs w:val="18"/>
                                  </w:rPr>
                                  <w:t>Firm Infrastructure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0" y="861935"/>
                              <a:ext cx="5120640" cy="27432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4E75E30" w14:textId="77777777" w:rsidR="005711AE" w:rsidRPr="00D56069" w:rsidRDefault="005711AE" w:rsidP="00860FD1">
                                <w:pPr>
                                  <w:jc w:val="center"/>
                                  <w:rPr>
                                    <w:rFonts w:ascii="Arial" w:hAnsi="Arial" w:cs="Arial"/>
                                    <w:sz w:val="18"/>
                                    <w:szCs w:val="18"/>
                                  </w:rPr>
                                </w:pPr>
                                <w:r>
                                  <w:rPr>
                                    <w:rFonts w:ascii="Arial" w:hAnsi="Arial" w:cs="Arial"/>
                                    <w:sz w:val="18"/>
                                    <w:szCs w:val="18"/>
                                  </w:rPr>
                                  <w:t>Human Resource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0" y="1206709"/>
                              <a:ext cx="5120640" cy="27432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9FE80B6" w14:textId="77777777" w:rsidR="005711AE" w:rsidRPr="00D56069" w:rsidRDefault="005711AE" w:rsidP="00860FD1">
                                <w:pPr>
                                  <w:jc w:val="center"/>
                                  <w:rPr>
                                    <w:rFonts w:ascii="Arial" w:hAnsi="Arial" w:cs="Arial"/>
                                    <w:sz w:val="18"/>
                                    <w:szCs w:val="18"/>
                                  </w:rPr>
                                </w:pPr>
                                <w:r>
                                  <w:rPr>
                                    <w:rFonts w:ascii="Arial" w:hAnsi="Arial" w:cs="Arial"/>
                                    <w:sz w:val="18"/>
                                    <w:szCs w:val="18"/>
                                  </w:rPr>
                                  <w:t>Technology Development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0" y="1543987"/>
                              <a:ext cx="5120640" cy="27432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A6C4EC7" w14:textId="77777777" w:rsidR="005711AE" w:rsidRPr="00D56069" w:rsidRDefault="005711AE" w:rsidP="00860FD1">
                                <w:pPr>
                                  <w:jc w:val="center"/>
                                  <w:rPr>
                                    <w:rFonts w:ascii="Arial" w:hAnsi="Arial" w:cs="Arial"/>
                                    <w:sz w:val="18"/>
                                    <w:szCs w:val="18"/>
                                  </w:rPr>
                                </w:pPr>
                                <w:r>
                                  <w:rPr>
                                    <w:rFonts w:ascii="Arial" w:hAnsi="Arial" w:cs="Arial"/>
                                    <w:sz w:val="18"/>
                                    <w:szCs w:val="18"/>
                                  </w:rPr>
                                  <w:t>Procurement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2" name="Chevron 52"/>
                        <wps:cNvSpPr/>
                        <wps:spPr>
                          <a:xfrm>
                            <a:off x="5179102" y="0"/>
                            <a:ext cx="640080" cy="1828800"/>
                          </a:xfrm>
                          <a:prstGeom prst="chevron">
                            <a:avLst/>
                          </a:prstGeom>
                          <a:solidFill>
                            <a:sysClr val="window" lastClr="FFFFFF"/>
                          </a:solidFill>
                          <a:ln w="12700" cap="flat" cmpd="sng" algn="ctr">
                            <a:solidFill>
                              <a:sysClr val="windowText" lastClr="000000"/>
                            </a:solidFill>
                            <a:prstDash val="solid"/>
                            <a:miter lim="800000"/>
                          </a:ln>
                          <a:effectLst/>
                        </wps:spPr>
                        <wps:txbx>
                          <w:txbxContent>
                            <w:p w14:paraId="68FB3E84" w14:textId="77777777" w:rsidR="005711AE" w:rsidRPr="001E49A4" w:rsidRDefault="005711AE" w:rsidP="00860FD1">
                              <w:pPr>
                                <w:jc w:val="center"/>
                                <w:rPr>
                                  <w:rFonts w:ascii="Arial" w:hAnsi="Arial" w:cs="Arial"/>
                                  <w:sz w:val="18"/>
                                  <w:szCs w:val="18"/>
                                </w:rPr>
                              </w:pPr>
                              <w:r w:rsidRPr="001E49A4">
                                <w:rPr>
                                  <w:rFonts w:ascii="Arial" w:hAnsi="Arial" w:cs="Arial"/>
                                  <w:sz w:val="18"/>
                                  <w:szCs w:val="18"/>
                                </w:rPr>
                                <w:t>Margin</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wpg:wgp>
                  </a:graphicData>
                </a:graphic>
              </wp:inline>
            </w:drawing>
          </mc:Choice>
          <mc:Fallback xmlns:w16se="http://schemas.microsoft.com/office/word/2015/wordml/symex" xmlns:cx1="http://schemas.microsoft.com/office/drawing/2015/9/8/chartex" xmlns:cx="http://schemas.microsoft.com/office/drawing/2014/chartex">
            <w:pict>
              <v:group w14:anchorId="59F30573" id="Group 54" o:spid="_x0000_s1040" style="width:458.2pt;height:2in;mso-position-horizontal-relative:char;mso-position-vertical-relative:line" coordsize="58191,18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">
                <v:group id="Group 51" o:spid="_x0000_s1041" style="position:absolute;top:74;width:51521;height:18184" coordsize="51521,18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group id="Group 46" o:spid="_x0000_s1042" style="position:absolute;width:51521;height:4572" coordsize="51521,4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Chevron 38" o:spid="_x0000_s1043" type="#_x0000_t55" style="position:absolute;width:1097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" adj="17100" fillcolor="window" strokecolor="windowText" strokeweight="1pt">
                      <v:textbox inset="3.6pt,,3.6pt">
                        <w:txbxContent>
                          <w:p w14:paraId="5429257A" w14:textId="77777777" w:rsidR="005711AE" w:rsidRPr="004802D7" w:rsidRDefault="005711AE" w:rsidP="00860FD1">
                            <w:pPr>
                              <w:spacing w:line="240" w:lineRule="atLeast"/>
                              <w:jc w:val="center"/>
                              <w:rPr>
                                <w:rFonts w:ascii="Arial" w:hAnsi="Arial" w:cs="Arial"/>
                                <w:sz w:val="18"/>
                                <w:szCs w:val="18"/>
                              </w:rPr>
                            </w:pPr>
                            <w:r w:rsidRPr="004802D7">
                              <w:rPr>
                                <w:rFonts w:ascii="Arial" w:hAnsi="Arial" w:cs="Arial"/>
                                <w:sz w:val="18"/>
                                <w:szCs w:val="18"/>
                              </w:rPr>
                              <w:t>Inbound Logistics</w:t>
                            </w:r>
                          </w:p>
                        </w:txbxContent>
                      </v:textbox>
                    </v:shape>
                    <v:shape id="Chevron 39" o:spid="_x0000_s1044" type="#_x0000_t55" style="position:absolute;left:9893;width:11887;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" adj="17446" fillcolor="window" strokecolor="windowText" strokeweight="1pt">
                      <v:textbox inset="3.6pt,,3.6pt">
                        <w:txbxContent>
                          <w:p w14:paraId="2366A512" w14:textId="77777777" w:rsidR="005711AE" w:rsidRPr="004802D7" w:rsidRDefault="005711AE" w:rsidP="00860FD1">
                            <w:pPr>
                              <w:spacing w:line="240" w:lineRule="atLeast"/>
                              <w:jc w:val="center"/>
                              <w:rPr>
                                <w:rFonts w:ascii="Arial" w:hAnsi="Arial" w:cs="Arial"/>
                                <w:sz w:val="18"/>
                                <w:szCs w:val="18"/>
                              </w:rPr>
                            </w:pPr>
                            <w:r>
                              <w:rPr>
                                <w:rFonts w:ascii="Arial" w:hAnsi="Arial" w:cs="Arial"/>
                                <w:sz w:val="18"/>
                                <w:szCs w:val="18"/>
                              </w:rPr>
                              <w:t>Operations</w:t>
                            </w:r>
                          </w:p>
                        </w:txbxContent>
                      </v:textbox>
                    </v:shape>
                    <v:shape id="Chevron 40" o:spid="_x0000_s1045" type="#_x0000_t55" style="position:absolute;left:20761;width:10973;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" adj="17100" fillcolor="window" strokecolor="windowText" strokeweight="1pt">
                      <v:textbox inset="3.6pt,,3.6pt">
                        <w:txbxContent>
                          <w:p w14:paraId="6873F7A3" w14:textId="77777777" w:rsidR="005711AE" w:rsidRPr="004802D7" w:rsidRDefault="005711AE" w:rsidP="00860FD1">
                            <w:pPr>
                              <w:spacing w:line="240" w:lineRule="atLeast"/>
                              <w:jc w:val="center"/>
                              <w:rPr>
                                <w:rFonts w:ascii="Arial" w:hAnsi="Arial" w:cs="Arial"/>
                                <w:sz w:val="18"/>
                                <w:szCs w:val="18"/>
                              </w:rPr>
                            </w:pPr>
                            <w:r>
                              <w:rPr>
                                <w:rFonts w:ascii="Arial" w:hAnsi="Arial" w:cs="Arial"/>
                                <w:sz w:val="18"/>
                                <w:szCs w:val="18"/>
                              </w:rPr>
                              <w:t>Outbound</w:t>
                            </w:r>
                            <w:r w:rsidRPr="004802D7">
                              <w:rPr>
                                <w:rFonts w:ascii="Arial" w:hAnsi="Arial" w:cs="Arial"/>
                                <w:sz w:val="18"/>
                                <w:szCs w:val="18"/>
                              </w:rPr>
                              <w:t xml:space="preserve"> Logistics</w:t>
                            </w:r>
                          </w:p>
                        </w:txbxContent>
                      </v:textbox>
                    </v:shape>
                    <v:shape id="Chevron 41" o:spid="_x0000_s1046" type="#_x0000_t55" style="position:absolute;left:30654;width:10973;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" adj="17100" fillcolor="window" strokecolor="windowText" strokeweight="1pt">
                      <v:textbox inset="3.6pt,,3.6pt">
                        <w:txbxContent>
                          <w:p w14:paraId="6F0C2563" w14:textId="77777777" w:rsidR="005711AE" w:rsidRPr="004802D7" w:rsidRDefault="005711AE" w:rsidP="00860FD1">
                            <w:pPr>
                              <w:spacing w:line="240" w:lineRule="atLeast"/>
                              <w:jc w:val="center"/>
                              <w:rPr>
                                <w:rFonts w:ascii="Arial" w:hAnsi="Arial" w:cs="Arial"/>
                                <w:sz w:val="18"/>
                                <w:szCs w:val="18"/>
                              </w:rPr>
                            </w:pPr>
                            <w:r>
                              <w:rPr>
                                <w:rFonts w:ascii="Arial" w:hAnsi="Arial" w:cs="Arial"/>
                                <w:sz w:val="18"/>
                                <w:szCs w:val="18"/>
                              </w:rPr>
                              <w:t>Marketing &amp; Sales</w:t>
                            </w:r>
                          </w:p>
                        </w:txbxContent>
                      </v:textbox>
                    </v:shape>
                    <v:shape id="Chevron 42" o:spid="_x0000_s1047" type="#_x0000_t55" style="position:absolute;left:40548;width:10973;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" adj="17100" fillcolor="window" strokecolor="windowText" strokeweight="1pt">
                      <v:textbox inset="3.6pt,,3.6pt">
                        <w:txbxContent>
                          <w:p w14:paraId="5513B94E" w14:textId="77777777" w:rsidR="005711AE" w:rsidRPr="004802D7" w:rsidRDefault="005711AE" w:rsidP="00860FD1">
                            <w:pPr>
                              <w:spacing w:line="240" w:lineRule="atLeast"/>
                              <w:jc w:val="center"/>
                              <w:rPr>
                                <w:rFonts w:ascii="Arial" w:hAnsi="Arial" w:cs="Arial"/>
                                <w:sz w:val="18"/>
                                <w:szCs w:val="18"/>
                              </w:rPr>
                            </w:pPr>
                            <w:r>
                              <w:rPr>
                                <w:rFonts w:ascii="Arial" w:hAnsi="Arial" w:cs="Arial"/>
                                <w:sz w:val="18"/>
                                <w:szCs w:val="18"/>
                              </w:rPr>
                              <w:t>Service</w:t>
                            </w:r>
                          </w:p>
                        </w:txbxContent>
                      </v:textbox>
                    </v:shape>
                  </v:group>
                  <v:rect id="Rectangle 45" o:spid="_x0000_s1048" style="position:absolute;top:5246;width:5120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" fillcolor="window" strokecolor="windowText" strokeweight="1pt">
                    <v:textbox>
                      <w:txbxContent>
                        <w:p w14:paraId="79969E02" w14:textId="77777777" w:rsidR="005711AE" w:rsidRPr="00D56069" w:rsidRDefault="005711AE" w:rsidP="00860FD1">
                          <w:pPr>
                            <w:jc w:val="center"/>
                            <w:rPr>
                              <w:rFonts w:ascii="Arial" w:hAnsi="Arial" w:cs="Arial"/>
                              <w:sz w:val="18"/>
                              <w:szCs w:val="18"/>
                            </w:rPr>
                          </w:pPr>
                          <w:r w:rsidRPr="00D56069">
                            <w:rPr>
                              <w:rFonts w:ascii="Arial" w:hAnsi="Arial" w:cs="Arial"/>
                              <w:sz w:val="18"/>
                              <w:szCs w:val="18"/>
                            </w:rPr>
                            <w:t>Firm Infrastructure</w:t>
                          </w:r>
                        </w:p>
                      </w:txbxContent>
                    </v:textbox>
                  </v:rect>
                  <v:rect id="Rectangle 47" o:spid="_x0000_s1049" style="position:absolute;top:8619;width:5120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" fillcolor="window" strokecolor="windowText" strokeweight="1pt">
                    <v:textbox>
                      <w:txbxContent>
                        <w:p w14:paraId="74E75E30" w14:textId="77777777" w:rsidR="005711AE" w:rsidRPr="00D56069" w:rsidRDefault="005711AE" w:rsidP="00860FD1">
                          <w:pPr>
                            <w:jc w:val="center"/>
                            <w:rPr>
                              <w:rFonts w:ascii="Arial" w:hAnsi="Arial" w:cs="Arial"/>
                              <w:sz w:val="18"/>
                              <w:szCs w:val="18"/>
                            </w:rPr>
                          </w:pPr>
                          <w:r>
                            <w:rPr>
                              <w:rFonts w:ascii="Arial" w:hAnsi="Arial" w:cs="Arial"/>
                              <w:sz w:val="18"/>
                              <w:szCs w:val="18"/>
                            </w:rPr>
                            <w:t>Human Resource Management</w:t>
                          </w:r>
                        </w:p>
                      </w:txbxContent>
                    </v:textbox>
                  </v:rect>
                  <v:rect id="Rectangle 48" o:spid="_x0000_s1050" style="position:absolute;top:12067;width:5120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" fillcolor="window" strokecolor="windowText" strokeweight="1pt">
                    <v:textbox>
                      <w:txbxContent>
                        <w:p w14:paraId="29FE80B6" w14:textId="77777777" w:rsidR="005711AE" w:rsidRPr="00D56069" w:rsidRDefault="005711AE" w:rsidP="00860FD1">
                          <w:pPr>
                            <w:jc w:val="center"/>
                            <w:rPr>
                              <w:rFonts w:ascii="Arial" w:hAnsi="Arial" w:cs="Arial"/>
                              <w:sz w:val="18"/>
                              <w:szCs w:val="18"/>
                            </w:rPr>
                          </w:pPr>
                          <w:r>
                            <w:rPr>
                              <w:rFonts w:ascii="Arial" w:hAnsi="Arial" w:cs="Arial"/>
                              <w:sz w:val="18"/>
                              <w:szCs w:val="18"/>
                            </w:rPr>
                            <w:t>Technology Development</w:t>
                          </w:r>
                        </w:p>
                      </w:txbxContent>
                    </v:textbox>
                  </v:rect>
                  <v:rect id="Rectangle 50" o:spid="_x0000_s1051" style="position:absolute;top:15439;width:51206;height:27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" fillcolor="window" strokecolor="windowText" strokeweight="1pt">
                    <v:textbox>
                      <w:txbxContent>
                        <w:p w14:paraId="4A6C4EC7" w14:textId="77777777" w:rsidR="005711AE" w:rsidRPr="00D56069" w:rsidRDefault="005711AE" w:rsidP="00860FD1">
                          <w:pPr>
                            <w:jc w:val="center"/>
                            <w:rPr>
                              <w:rFonts w:ascii="Arial" w:hAnsi="Arial" w:cs="Arial"/>
                              <w:sz w:val="18"/>
                              <w:szCs w:val="18"/>
                            </w:rPr>
                          </w:pPr>
                          <w:r>
                            <w:rPr>
                              <w:rFonts w:ascii="Arial" w:hAnsi="Arial" w:cs="Arial"/>
                              <w:sz w:val="18"/>
                              <w:szCs w:val="18"/>
                            </w:rPr>
                            <w:t>Procurement</w:t>
                          </w:r>
                        </w:p>
                      </w:txbxContent>
                    </v:textbox>
                  </v:rect>
                </v:group>
                <v:shape id="Chevron 52" o:spid="_x0000_s1052" type="#_x0000_t55" style="position:absolute;left:51791;width:6400;height:18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" adj="10800" fillcolor="window" strokecolor="windowText" strokeweight="1pt">
                  <v:textbox style="layout-flow:vertical">
                    <w:txbxContent>
                      <w:p w14:paraId="68FB3E84" w14:textId="77777777" w:rsidR="005711AE" w:rsidRPr="001E49A4" w:rsidRDefault="005711AE" w:rsidP="00860FD1">
                        <w:pPr>
                          <w:jc w:val="center"/>
                          <w:rPr>
                            <w:rFonts w:ascii="Arial" w:hAnsi="Arial" w:cs="Arial"/>
                            <w:sz w:val="18"/>
                            <w:szCs w:val="18"/>
                          </w:rPr>
                        </w:pPr>
                        <w:r w:rsidRPr="001E49A4">
                          <w:rPr>
                            <w:rFonts w:ascii="Arial" w:hAnsi="Arial" w:cs="Arial"/>
                            <w:sz w:val="18"/>
                            <w:szCs w:val="18"/>
                          </w:rPr>
                          <w:t>Margin</w:t>
                        </w:r>
                      </w:p>
                    </w:txbxContent>
                  </v:textbox>
                </v:shape>
                <w10:anchorlock/>
              </v:group>
            </w:pict>
          </mc:Fallback>
        </mc:AlternateContent>
      </w:r>
    </w:p>
    <w:p w14:paraId="51CF6740" w14:textId="77777777" w:rsidR="00860FD1" w:rsidRPr="00860FD1" w:rsidRDefault="00860FD1" w:rsidP="00860FD1">
      <w:pPr>
        <w:jc w:val="both"/>
        <w:rPr>
          <w:sz w:val="22"/>
          <w:szCs w:val="22"/>
          <w:lang w:val="en-GB"/>
        </w:rPr>
      </w:pPr>
    </w:p>
    <w:p w14:paraId="1CB8DC64" w14:textId="77777777" w:rsidR="00860FD1" w:rsidRPr="00860FD1" w:rsidRDefault="00860FD1" w:rsidP="00860FD1">
      <w:pPr>
        <w:jc w:val="both"/>
        <w:rPr>
          <w:sz w:val="22"/>
          <w:szCs w:val="22"/>
          <w:lang w:val="en-GB"/>
        </w:rPr>
      </w:pPr>
    </w:p>
    <w:p w14:paraId="7AEBAF82" w14:textId="77777777" w:rsidR="00860FD1" w:rsidRPr="00860FD1" w:rsidRDefault="00860FD1" w:rsidP="00860FD1">
      <w:pPr>
        <w:keepNext/>
        <w:numPr>
          <w:ilvl w:val="1"/>
          <w:numId w:val="0"/>
        </w:numPr>
        <w:tabs>
          <w:tab w:val="num" w:pos="720"/>
        </w:tabs>
        <w:ind w:left="720" w:hanging="720"/>
        <w:jc w:val="both"/>
        <w:rPr>
          <w:rFonts w:ascii="Arial" w:hAnsi="Arial" w:cs="Arial"/>
          <w:b/>
          <w:lang w:val="en-GB"/>
        </w:rPr>
      </w:pPr>
      <w:bookmarkStart w:id="31" w:name="_Toc393181061"/>
      <w:r w:rsidRPr="00AE7F34">
        <w:rPr>
          <w:rFonts w:ascii="Arial" w:hAnsi="Arial" w:cs="Arial"/>
          <w:b/>
          <w:lang w:val="en-GB"/>
        </w:rPr>
        <w:t>13.2</w:t>
      </w:r>
      <w:r w:rsidRPr="00AE7F34">
        <w:rPr>
          <w:rFonts w:ascii="Arial" w:hAnsi="Arial" w:cs="Arial"/>
          <w:b/>
          <w:lang w:val="en-GB"/>
        </w:rPr>
        <w:tab/>
        <w:t>Organization Value Chain</w:t>
      </w:r>
      <w:bookmarkEnd w:id="31"/>
    </w:p>
    <w:p w14:paraId="3EB8FD7F" w14:textId="77777777" w:rsidR="00860FD1" w:rsidRPr="00860FD1" w:rsidRDefault="00860FD1" w:rsidP="00860FD1">
      <w:pPr>
        <w:jc w:val="both"/>
        <w:rPr>
          <w:sz w:val="22"/>
          <w:szCs w:val="22"/>
          <w:lang w:val="en-GB"/>
        </w:rPr>
      </w:pPr>
    </w:p>
    <w:p w14:paraId="59E1C0EF" w14:textId="12999C33" w:rsidR="00860FD1" w:rsidRPr="00860FD1" w:rsidRDefault="00860FD1" w:rsidP="00860FD1">
      <w:pPr>
        <w:jc w:val="both"/>
        <w:rPr>
          <w:sz w:val="22"/>
          <w:szCs w:val="22"/>
          <w:highlight w:val="yellow"/>
          <w:lang w:val="en-GB"/>
        </w:rPr>
      </w:pPr>
      <w:r w:rsidRPr="00860FD1">
        <w:rPr>
          <w:sz w:val="22"/>
          <w:szCs w:val="22"/>
          <w:lang w:val="en-GB"/>
        </w:rPr>
        <w:t xml:space="preserve">An organization can use a value chain analysis to systematically identify its own capabilities and competitive advantages. Part of a sample value chain analysis for an organization is provided in </w:t>
      </w:r>
      <w:r w:rsidRPr="00860FD1">
        <w:rPr>
          <w:sz w:val="22"/>
          <w:szCs w:val="22"/>
          <w:lang w:val="en-GB"/>
        </w:rPr>
        <w:fldChar w:fldCharType="begin"/>
      </w:r>
      <w:r w:rsidRPr="00860FD1">
        <w:rPr>
          <w:sz w:val="22"/>
          <w:szCs w:val="22"/>
          <w:lang w:val="en-GB"/>
        </w:rPr>
        <w:instrText xml:space="preserve"> REF _Ref501523522 \h  \* MERGEFORMAT </w:instrText>
      </w:r>
      <w:r w:rsidRPr="00860FD1">
        <w:rPr>
          <w:sz w:val="22"/>
          <w:szCs w:val="22"/>
          <w:lang w:val="en-GB"/>
        </w:rPr>
      </w:r>
      <w:r w:rsidRPr="00860FD1">
        <w:rPr>
          <w:sz w:val="22"/>
          <w:szCs w:val="22"/>
          <w:lang w:val="en-GB"/>
        </w:rPr>
        <w:fldChar w:fldCharType="separate"/>
      </w:r>
      <w:r w:rsidR="00073D63" w:rsidRPr="00073D63">
        <w:rPr>
          <w:sz w:val="22"/>
          <w:szCs w:val="22"/>
          <w:lang w:val="en-GB"/>
        </w:rPr>
        <w:t xml:space="preserve">Figure </w:t>
      </w:r>
      <w:r w:rsidR="00073D63" w:rsidRPr="00073D63">
        <w:rPr>
          <w:noProof/>
          <w:sz w:val="22"/>
          <w:szCs w:val="22"/>
          <w:lang w:val="en-GB"/>
        </w:rPr>
        <w:t>4</w:t>
      </w:r>
      <w:r w:rsidRPr="00860FD1">
        <w:rPr>
          <w:sz w:val="22"/>
          <w:szCs w:val="22"/>
          <w:lang w:val="en-GB"/>
        </w:rPr>
        <w:fldChar w:fldCharType="end"/>
      </w:r>
      <w:r w:rsidRPr="00860FD1">
        <w:rPr>
          <w:sz w:val="22"/>
          <w:szCs w:val="22"/>
          <w:lang w:val="en-GB"/>
        </w:rPr>
        <w:t xml:space="preserve">. The analysis is designed to evaluate the value chain of Birks Group, a Canadian jewellery company. </w:t>
      </w:r>
      <w:proofErr w:type="spellStart"/>
      <w:r w:rsidRPr="00860FD1">
        <w:rPr>
          <w:sz w:val="22"/>
          <w:szCs w:val="22"/>
          <w:lang w:val="en-GB"/>
        </w:rPr>
        <w:t>Analyzing</w:t>
      </w:r>
      <w:proofErr w:type="spellEnd"/>
      <w:r w:rsidRPr="00860FD1">
        <w:rPr>
          <w:sz w:val="22"/>
          <w:szCs w:val="22"/>
          <w:lang w:val="en-GB"/>
        </w:rPr>
        <w:t xml:space="preserve"> Birks’ value chain identifies where the company’s primary and supporting activities can be leveraged and integrated to add value and build an advantage over a competitor.</w:t>
      </w:r>
    </w:p>
    <w:p w14:paraId="44B37BD2" w14:textId="77777777" w:rsidR="00860FD1" w:rsidRPr="00860FD1" w:rsidRDefault="00860FD1" w:rsidP="00860FD1">
      <w:pPr>
        <w:jc w:val="both"/>
        <w:rPr>
          <w:sz w:val="22"/>
          <w:szCs w:val="22"/>
          <w:lang w:val="en-GB"/>
        </w:rPr>
      </w:pPr>
    </w:p>
    <w:p w14:paraId="34A20FD1" w14:textId="77777777" w:rsidR="00860FD1" w:rsidRPr="00860FD1" w:rsidRDefault="00860FD1" w:rsidP="00860FD1">
      <w:pPr>
        <w:jc w:val="both"/>
        <w:rPr>
          <w:sz w:val="22"/>
          <w:szCs w:val="22"/>
          <w:lang w:val="en-GB"/>
        </w:rPr>
      </w:pPr>
    </w:p>
    <w:p w14:paraId="48458750" w14:textId="5541FC5C" w:rsidR="00860FD1" w:rsidRPr="00860FD1" w:rsidRDefault="00860FD1" w:rsidP="00860FD1">
      <w:pPr>
        <w:jc w:val="both"/>
        <w:rPr>
          <w:rFonts w:ascii="Arial" w:eastAsia="Calibri" w:hAnsi="Arial" w:cs="Arial"/>
          <w:b/>
          <w:lang w:val="en-GB"/>
        </w:rPr>
      </w:pPr>
      <w:bookmarkStart w:id="32" w:name="_Ref501523522"/>
      <w:r w:rsidRPr="00860FD1">
        <w:rPr>
          <w:rFonts w:ascii="Arial" w:eastAsia="Calibri" w:hAnsi="Arial" w:cs="Arial"/>
          <w:b/>
          <w:lang w:val="en-GB"/>
        </w:rPr>
        <w:t xml:space="preserve">Figure </w:t>
      </w:r>
      <w:r w:rsidRPr="00860FD1">
        <w:rPr>
          <w:rFonts w:ascii="Arial" w:eastAsia="Calibri" w:hAnsi="Arial" w:cs="Arial"/>
          <w:b/>
          <w:lang w:val="en-GB"/>
        </w:rPr>
        <w:fldChar w:fldCharType="begin"/>
      </w:r>
      <w:r w:rsidRPr="00860FD1">
        <w:rPr>
          <w:rFonts w:ascii="Arial" w:eastAsia="Calibri" w:hAnsi="Arial" w:cs="Arial"/>
          <w:b/>
          <w:lang w:val="en-GB"/>
        </w:rPr>
        <w:instrText xml:space="preserve"> SEQ Figure \* ARABIC </w:instrText>
      </w:r>
      <w:r w:rsidRPr="00860FD1">
        <w:rPr>
          <w:rFonts w:ascii="Arial" w:eastAsia="Calibri" w:hAnsi="Arial" w:cs="Arial"/>
          <w:b/>
          <w:lang w:val="en-GB"/>
        </w:rPr>
        <w:fldChar w:fldCharType="separate"/>
      </w:r>
      <w:r w:rsidR="00073D63">
        <w:rPr>
          <w:rFonts w:ascii="Arial" w:eastAsia="Calibri" w:hAnsi="Arial" w:cs="Arial"/>
          <w:b/>
          <w:noProof/>
          <w:lang w:val="en-GB"/>
        </w:rPr>
        <w:t>4</w:t>
      </w:r>
      <w:r w:rsidRPr="00860FD1">
        <w:rPr>
          <w:rFonts w:ascii="Arial" w:eastAsia="Calibri" w:hAnsi="Arial" w:cs="Arial"/>
          <w:b/>
          <w:lang w:val="en-GB"/>
        </w:rPr>
        <w:fldChar w:fldCharType="end"/>
      </w:r>
      <w:bookmarkEnd w:id="32"/>
      <w:r w:rsidRPr="00860FD1">
        <w:rPr>
          <w:rFonts w:ascii="Arial" w:eastAsia="Calibri" w:hAnsi="Arial" w:cs="Arial"/>
          <w:b/>
          <w:lang w:val="en-GB"/>
        </w:rPr>
        <w:t>: Value Chain Analysis, Birks Group</w:t>
      </w:r>
    </w:p>
    <w:p w14:paraId="2E64DF5B" w14:textId="77777777" w:rsidR="00860FD1" w:rsidRPr="00860FD1" w:rsidRDefault="00860FD1" w:rsidP="003772D1">
      <w:pPr>
        <w:pStyle w:val="BodyTextMain"/>
        <w:rPr>
          <w:rFonts w:eastAsia="Calibri"/>
          <w:lang w:val="en-GB"/>
        </w:rPr>
      </w:pPr>
    </w:p>
    <w:tbl>
      <w:tblPr>
        <w:tblStyle w:val="IveyTable"/>
        <w:tblW w:w="5000" w:type="pct"/>
        <w:tblLayout w:type="fixed"/>
        <w:tblLook w:val="04A0" w:firstRow="1" w:lastRow="0" w:firstColumn="1" w:lastColumn="0" w:noHBand="0" w:noVBand="1"/>
      </w:tblPr>
      <w:tblGrid>
        <w:gridCol w:w="2583"/>
        <w:gridCol w:w="6777"/>
      </w:tblGrid>
      <w:tr w:rsidR="00860FD1" w:rsidRPr="00860FD1" w14:paraId="26D065F7" w14:textId="77777777" w:rsidTr="00860FD1">
        <w:trPr>
          <w:cnfStyle w:val="100000000000" w:firstRow="1" w:lastRow="0" w:firstColumn="0" w:lastColumn="0" w:oddVBand="0" w:evenVBand="0" w:oddHBand="0" w:evenHBand="0" w:firstRowFirstColumn="0" w:firstRowLastColumn="0" w:lastRowFirstColumn="0" w:lastRowLastColumn="0"/>
        </w:trPr>
        <w:tc>
          <w:tcPr>
            <w:tcW w:w="9360" w:type="dxa"/>
            <w:gridSpan w:val="2"/>
          </w:tcPr>
          <w:p w14:paraId="6ED970FC" w14:textId="77777777" w:rsidR="00860FD1" w:rsidRPr="00860FD1" w:rsidRDefault="00860FD1" w:rsidP="00860FD1">
            <w:pPr>
              <w:jc w:val="center"/>
              <w:rPr>
                <w:rFonts w:ascii="Arial" w:hAnsi="Arial" w:cs="Arial"/>
                <w:lang w:val="en-GB"/>
              </w:rPr>
            </w:pPr>
            <w:r w:rsidRPr="00860FD1">
              <w:rPr>
                <w:rFonts w:ascii="Arial" w:hAnsi="Arial" w:cs="Arial"/>
                <w:lang w:val="en-GB"/>
              </w:rPr>
              <w:t>Primary Activities</w:t>
            </w:r>
          </w:p>
        </w:tc>
      </w:tr>
      <w:tr w:rsidR="00860FD1" w:rsidRPr="00860FD1" w14:paraId="46C692C1" w14:textId="77777777" w:rsidTr="00860FD1">
        <w:tc>
          <w:tcPr>
            <w:tcW w:w="2583" w:type="dxa"/>
          </w:tcPr>
          <w:p w14:paraId="23E4764B" w14:textId="77777777" w:rsidR="00860FD1" w:rsidRPr="00860FD1" w:rsidRDefault="00860FD1" w:rsidP="00860FD1">
            <w:pPr>
              <w:rPr>
                <w:rFonts w:ascii="Arial" w:hAnsi="Arial" w:cs="Arial"/>
                <w:lang w:val="en-GB"/>
              </w:rPr>
            </w:pPr>
            <w:r w:rsidRPr="00860FD1">
              <w:rPr>
                <w:rFonts w:ascii="Arial" w:hAnsi="Arial" w:cs="Arial"/>
                <w:lang w:val="en-GB"/>
              </w:rPr>
              <w:t>Operations</w:t>
            </w:r>
          </w:p>
        </w:tc>
        <w:tc>
          <w:tcPr>
            <w:tcW w:w="6777" w:type="dxa"/>
          </w:tcPr>
          <w:p w14:paraId="0E9AF29E" w14:textId="77777777" w:rsidR="00860FD1" w:rsidRPr="00860FD1" w:rsidRDefault="00860FD1" w:rsidP="00860FD1">
            <w:pPr>
              <w:rPr>
                <w:rFonts w:ascii="Arial" w:hAnsi="Arial" w:cs="Arial"/>
                <w:lang w:val="en-GB"/>
              </w:rPr>
            </w:pPr>
            <w:r w:rsidRPr="00860FD1">
              <w:rPr>
                <w:rFonts w:ascii="Arial" w:hAnsi="Arial" w:cs="Arial"/>
                <w:lang w:val="en-GB"/>
              </w:rPr>
              <w:t>Jewellery factory: making models of jewellery, casting metals, mounting and setting jewels, polishing completed jewellery</w:t>
            </w:r>
          </w:p>
          <w:p w14:paraId="695A42EE" w14:textId="77777777" w:rsidR="00860FD1" w:rsidRPr="00860FD1" w:rsidRDefault="00860FD1" w:rsidP="00860FD1">
            <w:pPr>
              <w:rPr>
                <w:rFonts w:ascii="Arial" w:hAnsi="Arial" w:cs="Arial"/>
                <w:lang w:val="en-GB"/>
              </w:rPr>
            </w:pPr>
            <w:r w:rsidRPr="00860FD1">
              <w:rPr>
                <w:rFonts w:ascii="Arial" w:hAnsi="Arial" w:cs="Arial"/>
                <w:lang w:val="en-GB"/>
              </w:rPr>
              <w:t>Watch factory: limited reassembly and customization of watches</w:t>
            </w:r>
          </w:p>
        </w:tc>
      </w:tr>
      <w:tr w:rsidR="00860FD1" w:rsidRPr="00860FD1" w14:paraId="04926277" w14:textId="77777777" w:rsidTr="00860FD1">
        <w:tc>
          <w:tcPr>
            <w:tcW w:w="2583" w:type="dxa"/>
          </w:tcPr>
          <w:p w14:paraId="4AF8DE57" w14:textId="77777777" w:rsidR="00860FD1" w:rsidRPr="00860FD1" w:rsidRDefault="00860FD1" w:rsidP="00860FD1">
            <w:pPr>
              <w:rPr>
                <w:rFonts w:ascii="Arial" w:hAnsi="Arial" w:cs="Arial"/>
                <w:lang w:val="en-GB"/>
              </w:rPr>
            </w:pPr>
            <w:r w:rsidRPr="00860FD1">
              <w:rPr>
                <w:rFonts w:ascii="Arial" w:hAnsi="Arial" w:cs="Arial"/>
                <w:lang w:val="en-GB"/>
              </w:rPr>
              <w:t>Outbound logistics</w:t>
            </w:r>
          </w:p>
        </w:tc>
        <w:tc>
          <w:tcPr>
            <w:tcW w:w="6777" w:type="dxa"/>
          </w:tcPr>
          <w:p w14:paraId="48767C7B" w14:textId="77777777" w:rsidR="00860FD1" w:rsidRPr="00860FD1" w:rsidRDefault="00860FD1" w:rsidP="00860FD1">
            <w:pPr>
              <w:rPr>
                <w:rFonts w:ascii="Arial" w:hAnsi="Arial" w:cs="Arial"/>
                <w:lang w:val="en-GB"/>
              </w:rPr>
            </w:pPr>
            <w:r w:rsidRPr="00860FD1">
              <w:rPr>
                <w:rFonts w:ascii="Arial" w:hAnsi="Arial" w:cs="Arial"/>
                <w:lang w:val="en-GB"/>
              </w:rPr>
              <w:t xml:space="preserve">Shipping of jewellery and watches </w:t>
            </w:r>
          </w:p>
        </w:tc>
      </w:tr>
      <w:tr w:rsidR="00860FD1" w:rsidRPr="00860FD1" w14:paraId="16F5D802" w14:textId="77777777" w:rsidTr="00860FD1">
        <w:tc>
          <w:tcPr>
            <w:tcW w:w="2583" w:type="dxa"/>
          </w:tcPr>
          <w:p w14:paraId="7ED8124B" w14:textId="77777777" w:rsidR="00860FD1" w:rsidRPr="00860FD1" w:rsidRDefault="00860FD1" w:rsidP="00860FD1">
            <w:pPr>
              <w:rPr>
                <w:rFonts w:ascii="Arial" w:hAnsi="Arial" w:cs="Arial"/>
                <w:lang w:val="en-GB"/>
              </w:rPr>
            </w:pPr>
            <w:r w:rsidRPr="00860FD1">
              <w:rPr>
                <w:rFonts w:ascii="Arial" w:hAnsi="Arial" w:cs="Arial"/>
                <w:lang w:val="en-GB"/>
              </w:rPr>
              <w:t>Marketing and sales</w:t>
            </w:r>
          </w:p>
        </w:tc>
        <w:tc>
          <w:tcPr>
            <w:tcW w:w="6777" w:type="dxa"/>
          </w:tcPr>
          <w:p w14:paraId="4242C7C0" w14:textId="77777777" w:rsidR="00860FD1" w:rsidRPr="00860FD1" w:rsidRDefault="00860FD1" w:rsidP="00860FD1">
            <w:pPr>
              <w:rPr>
                <w:rFonts w:ascii="Arial" w:hAnsi="Arial" w:cs="Arial"/>
                <w:lang w:val="en-GB"/>
              </w:rPr>
            </w:pPr>
            <w:r w:rsidRPr="00860FD1">
              <w:rPr>
                <w:rFonts w:ascii="Arial" w:hAnsi="Arial" w:cs="Arial"/>
                <w:lang w:val="en-GB"/>
              </w:rPr>
              <w:t>38 corporate stores in 15 Canadian markets</w:t>
            </w:r>
          </w:p>
        </w:tc>
      </w:tr>
      <w:tr w:rsidR="00860FD1" w:rsidRPr="00860FD1" w14:paraId="24C81657" w14:textId="77777777" w:rsidTr="00860FD1">
        <w:tc>
          <w:tcPr>
            <w:tcW w:w="2583" w:type="dxa"/>
            <w:tcBorders>
              <w:bottom w:val="single" w:sz="12" w:space="0" w:color="auto"/>
            </w:tcBorders>
          </w:tcPr>
          <w:p w14:paraId="706C9499" w14:textId="77777777" w:rsidR="00860FD1" w:rsidRPr="00860FD1" w:rsidRDefault="00860FD1" w:rsidP="00860FD1">
            <w:pPr>
              <w:rPr>
                <w:rFonts w:ascii="Arial" w:hAnsi="Arial" w:cs="Arial"/>
                <w:lang w:val="en-GB"/>
              </w:rPr>
            </w:pPr>
            <w:r w:rsidRPr="00860FD1">
              <w:rPr>
                <w:rFonts w:ascii="Arial" w:hAnsi="Arial" w:cs="Arial"/>
                <w:lang w:val="en-GB"/>
              </w:rPr>
              <w:t>Service</w:t>
            </w:r>
          </w:p>
        </w:tc>
        <w:tc>
          <w:tcPr>
            <w:tcW w:w="6777" w:type="dxa"/>
            <w:tcBorders>
              <w:bottom w:val="single" w:sz="12" w:space="0" w:color="auto"/>
            </w:tcBorders>
          </w:tcPr>
          <w:p w14:paraId="108DA38D" w14:textId="77777777" w:rsidR="00860FD1" w:rsidRPr="00860FD1" w:rsidRDefault="00860FD1" w:rsidP="00860FD1">
            <w:pPr>
              <w:rPr>
                <w:rFonts w:ascii="Arial" w:hAnsi="Arial" w:cs="Arial"/>
                <w:lang w:val="en-GB"/>
              </w:rPr>
            </w:pPr>
            <w:r w:rsidRPr="00860FD1">
              <w:rPr>
                <w:rFonts w:ascii="Arial" w:hAnsi="Arial" w:cs="Arial"/>
                <w:lang w:val="en-GB"/>
              </w:rPr>
              <w:t>Polishing and repairing of jewellery and watches</w:t>
            </w:r>
          </w:p>
        </w:tc>
      </w:tr>
      <w:tr w:rsidR="00860FD1" w:rsidRPr="00860FD1" w14:paraId="4C249FE4" w14:textId="77777777" w:rsidTr="00860FD1">
        <w:tc>
          <w:tcPr>
            <w:tcW w:w="9360" w:type="dxa"/>
            <w:gridSpan w:val="2"/>
          </w:tcPr>
          <w:p w14:paraId="2B0DD156" w14:textId="77777777" w:rsidR="00860FD1" w:rsidRPr="00860FD1" w:rsidRDefault="00860FD1" w:rsidP="00860FD1">
            <w:pPr>
              <w:jc w:val="center"/>
              <w:rPr>
                <w:rFonts w:ascii="Arial" w:hAnsi="Arial" w:cs="Arial"/>
                <w:b/>
                <w:lang w:val="en-GB"/>
              </w:rPr>
            </w:pPr>
            <w:r w:rsidRPr="00860FD1">
              <w:rPr>
                <w:rFonts w:ascii="Arial" w:hAnsi="Arial" w:cs="Arial"/>
                <w:b/>
                <w:lang w:val="en-GB"/>
              </w:rPr>
              <w:t>Secondary Activities</w:t>
            </w:r>
          </w:p>
        </w:tc>
      </w:tr>
      <w:tr w:rsidR="00860FD1" w:rsidRPr="00860FD1" w14:paraId="62895A6F" w14:textId="77777777" w:rsidTr="00860FD1">
        <w:tc>
          <w:tcPr>
            <w:tcW w:w="2583" w:type="dxa"/>
            <w:tcBorders>
              <w:top w:val="single" w:sz="12" w:space="0" w:color="auto"/>
            </w:tcBorders>
          </w:tcPr>
          <w:p w14:paraId="3416CAE4" w14:textId="77777777" w:rsidR="00860FD1" w:rsidRPr="00860FD1" w:rsidRDefault="00860FD1" w:rsidP="00860FD1">
            <w:pPr>
              <w:rPr>
                <w:rFonts w:ascii="Arial" w:hAnsi="Arial" w:cs="Arial"/>
                <w:lang w:val="en-GB"/>
              </w:rPr>
            </w:pPr>
            <w:r w:rsidRPr="00860FD1">
              <w:rPr>
                <w:rFonts w:ascii="Arial" w:hAnsi="Arial" w:cs="Arial"/>
                <w:lang w:val="en-GB"/>
              </w:rPr>
              <w:t>Human resource management</w:t>
            </w:r>
          </w:p>
        </w:tc>
        <w:tc>
          <w:tcPr>
            <w:tcW w:w="6777" w:type="dxa"/>
            <w:tcBorders>
              <w:top w:val="single" w:sz="12" w:space="0" w:color="auto"/>
            </w:tcBorders>
          </w:tcPr>
          <w:p w14:paraId="6972573B" w14:textId="77777777" w:rsidR="00860FD1" w:rsidRPr="00860FD1" w:rsidRDefault="00860FD1" w:rsidP="00860FD1">
            <w:pPr>
              <w:rPr>
                <w:rFonts w:ascii="Arial" w:hAnsi="Arial" w:cs="Arial"/>
                <w:lang w:val="en-GB"/>
              </w:rPr>
            </w:pPr>
            <w:r w:rsidRPr="00860FD1">
              <w:rPr>
                <w:rFonts w:ascii="Arial" w:hAnsi="Arial" w:cs="Arial"/>
                <w:lang w:val="en-GB"/>
              </w:rPr>
              <w:t>Internationally renowned, award-winning, in-house design team</w:t>
            </w:r>
          </w:p>
        </w:tc>
      </w:tr>
      <w:tr w:rsidR="00860FD1" w:rsidRPr="00860FD1" w14:paraId="1B7B9F4B" w14:textId="77777777" w:rsidTr="00860FD1">
        <w:tc>
          <w:tcPr>
            <w:tcW w:w="2583" w:type="dxa"/>
          </w:tcPr>
          <w:p w14:paraId="4A5F32A9" w14:textId="77777777" w:rsidR="00860FD1" w:rsidRPr="00860FD1" w:rsidRDefault="00860FD1" w:rsidP="00860FD1">
            <w:pPr>
              <w:rPr>
                <w:rFonts w:ascii="Arial" w:hAnsi="Arial" w:cs="Arial"/>
                <w:lang w:val="en-GB"/>
              </w:rPr>
            </w:pPr>
            <w:r w:rsidRPr="00860FD1">
              <w:rPr>
                <w:rFonts w:ascii="Arial" w:hAnsi="Arial" w:cs="Arial"/>
                <w:lang w:val="en-GB"/>
              </w:rPr>
              <w:t xml:space="preserve">Firm infrastructure </w:t>
            </w:r>
          </w:p>
        </w:tc>
        <w:tc>
          <w:tcPr>
            <w:tcW w:w="6777" w:type="dxa"/>
          </w:tcPr>
          <w:p w14:paraId="41274B2C" w14:textId="77777777" w:rsidR="00860FD1" w:rsidRPr="00860FD1" w:rsidRDefault="00860FD1" w:rsidP="00860FD1">
            <w:pPr>
              <w:rPr>
                <w:rFonts w:ascii="Arial" w:hAnsi="Arial" w:cs="Arial"/>
                <w:lang w:val="en-GB"/>
              </w:rPr>
            </w:pPr>
            <w:r w:rsidRPr="00860FD1">
              <w:rPr>
                <w:rFonts w:ascii="Arial" w:hAnsi="Arial" w:cs="Arial"/>
                <w:lang w:val="en-GB"/>
              </w:rPr>
              <w:t>Head office support by 62 managers in Montreal</w:t>
            </w:r>
          </w:p>
        </w:tc>
      </w:tr>
      <w:tr w:rsidR="00860FD1" w:rsidRPr="00860FD1" w14:paraId="11529390" w14:textId="77777777" w:rsidTr="00860FD1">
        <w:tc>
          <w:tcPr>
            <w:tcW w:w="2583" w:type="dxa"/>
          </w:tcPr>
          <w:p w14:paraId="709ABE95" w14:textId="77777777" w:rsidR="00860FD1" w:rsidRPr="00860FD1" w:rsidRDefault="00860FD1" w:rsidP="00860FD1">
            <w:pPr>
              <w:rPr>
                <w:rFonts w:ascii="Arial" w:hAnsi="Arial" w:cs="Arial"/>
                <w:lang w:val="en-GB"/>
              </w:rPr>
            </w:pPr>
            <w:r w:rsidRPr="00860FD1">
              <w:rPr>
                <w:rFonts w:ascii="Arial" w:hAnsi="Arial" w:cs="Arial"/>
                <w:lang w:val="en-GB"/>
              </w:rPr>
              <w:t>Procurement</w:t>
            </w:r>
          </w:p>
        </w:tc>
        <w:tc>
          <w:tcPr>
            <w:tcW w:w="6777" w:type="dxa"/>
          </w:tcPr>
          <w:p w14:paraId="7B8E5F20" w14:textId="77777777" w:rsidR="00860FD1" w:rsidRPr="00860FD1" w:rsidRDefault="00860FD1" w:rsidP="00860FD1">
            <w:pPr>
              <w:rPr>
                <w:rFonts w:ascii="Arial" w:hAnsi="Arial" w:cs="Arial"/>
                <w:lang w:val="en-GB"/>
              </w:rPr>
            </w:pPr>
            <w:r w:rsidRPr="00860FD1">
              <w:rPr>
                <w:rFonts w:ascii="Arial" w:hAnsi="Arial" w:cs="Arial"/>
                <w:lang w:val="en-GB"/>
              </w:rPr>
              <w:t>Sourcing metal and jewels for jewellery</w:t>
            </w:r>
          </w:p>
          <w:p w14:paraId="1FE4385A" w14:textId="77777777" w:rsidR="00860FD1" w:rsidRPr="00860FD1" w:rsidRDefault="00860FD1" w:rsidP="00860FD1">
            <w:pPr>
              <w:rPr>
                <w:rFonts w:ascii="Arial" w:hAnsi="Arial" w:cs="Arial"/>
                <w:lang w:val="en-GB"/>
              </w:rPr>
            </w:pPr>
            <w:r w:rsidRPr="00860FD1">
              <w:rPr>
                <w:rFonts w:ascii="Arial" w:hAnsi="Arial" w:cs="Arial"/>
                <w:lang w:val="en-GB"/>
              </w:rPr>
              <w:t>Sourcing watch components for limited reassembly</w:t>
            </w:r>
          </w:p>
        </w:tc>
      </w:tr>
    </w:tbl>
    <w:p w14:paraId="27F3BE00" w14:textId="77777777" w:rsidR="00860FD1" w:rsidRPr="00860FD1" w:rsidRDefault="00860FD1" w:rsidP="00860FD1">
      <w:pPr>
        <w:jc w:val="both"/>
        <w:rPr>
          <w:sz w:val="22"/>
          <w:szCs w:val="22"/>
          <w:lang w:val="en-GB"/>
        </w:rPr>
      </w:pPr>
      <w:bookmarkStart w:id="33" w:name="_Toc365803799"/>
      <w:bookmarkStart w:id="34" w:name="_Toc392920679"/>
      <w:bookmarkStart w:id="35" w:name="_Toc393181062"/>
    </w:p>
    <w:p w14:paraId="4CCCD2CD" w14:textId="77777777" w:rsidR="00860FD1" w:rsidRPr="00860FD1" w:rsidRDefault="00860FD1" w:rsidP="00860FD1">
      <w:pPr>
        <w:jc w:val="both"/>
        <w:rPr>
          <w:sz w:val="22"/>
          <w:szCs w:val="22"/>
          <w:lang w:val="en-GB"/>
        </w:rPr>
      </w:pPr>
    </w:p>
    <w:p w14:paraId="68BFE347" w14:textId="42F7FA59" w:rsidR="00860FD1" w:rsidRPr="00860FD1" w:rsidRDefault="00BC6FC9" w:rsidP="0042236E">
      <w:pPr>
        <w:keepNext/>
        <w:numPr>
          <w:ilvl w:val="0"/>
          <w:numId w:val="9"/>
        </w:numPr>
        <w:tabs>
          <w:tab w:val="left" w:pos="284"/>
        </w:tabs>
        <w:jc w:val="both"/>
        <w:rPr>
          <w:rFonts w:ascii="Arial" w:hAnsi="Arial" w:cs="Arial"/>
          <w:b/>
          <w:caps/>
          <w:lang w:val="en-GB"/>
        </w:rPr>
      </w:pPr>
      <w:r>
        <w:rPr>
          <w:rFonts w:ascii="Arial" w:hAnsi="Arial" w:cs="Arial"/>
          <w:b/>
          <w:caps/>
          <w:lang w:val="en-GB"/>
        </w:rPr>
        <w:t xml:space="preserve"> </w:t>
      </w:r>
      <w:r w:rsidR="00860FD1" w:rsidRPr="00860FD1">
        <w:rPr>
          <w:rFonts w:ascii="Arial" w:hAnsi="Arial" w:cs="Arial"/>
          <w:b/>
          <w:caps/>
          <w:lang w:val="en-GB"/>
        </w:rPr>
        <w:t>Competitive Position Matrix</w:t>
      </w:r>
      <w:bookmarkEnd w:id="33"/>
      <w:bookmarkEnd w:id="34"/>
      <w:bookmarkEnd w:id="35"/>
    </w:p>
    <w:p w14:paraId="247F0EB6" w14:textId="77777777" w:rsidR="00860FD1" w:rsidRPr="00860FD1" w:rsidRDefault="00860FD1" w:rsidP="0042236E">
      <w:pPr>
        <w:keepNext/>
        <w:jc w:val="both"/>
        <w:rPr>
          <w:sz w:val="22"/>
          <w:szCs w:val="22"/>
          <w:lang w:val="en-GB"/>
        </w:rPr>
      </w:pPr>
    </w:p>
    <w:p w14:paraId="39640F85" w14:textId="5A59DAAC" w:rsidR="00860FD1" w:rsidRPr="00860FD1" w:rsidRDefault="00860FD1" w:rsidP="00860FD1">
      <w:pPr>
        <w:jc w:val="both"/>
        <w:rPr>
          <w:sz w:val="22"/>
          <w:szCs w:val="22"/>
          <w:lang w:val="en-GB"/>
        </w:rPr>
      </w:pPr>
      <w:r w:rsidRPr="00860FD1">
        <w:rPr>
          <w:sz w:val="22"/>
          <w:szCs w:val="22"/>
          <w:lang w:val="en-GB"/>
        </w:rPr>
        <w:t xml:space="preserve">A competitive position matrix identifies competitive dimensions that add value and are important to the customer. </w:t>
      </w:r>
      <w:r w:rsidR="0033689F">
        <w:rPr>
          <w:sz w:val="22"/>
          <w:szCs w:val="22"/>
          <w:lang w:val="en-GB"/>
        </w:rPr>
        <w:t>Potential dimensions</w:t>
      </w:r>
      <w:r w:rsidRPr="00860FD1">
        <w:rPr>
          <w:sz w:val="22"/>
          <w:szCs w:val="22"/>
          <w:lang w:val="en-GB"/>
        </w:rPr>
        <w:t xml:space="preserve"> include price, delivery, price/quality mix, product/service characteristics, product/service scope, and geographical scope. The matrix uses these dimensions to compare the positions </w:t>
      </w:r>
      <w:r w:rsidRPr="00860FD1">
        <w:rPr>
          <w:sz w:val="22"/>
          <w:szCs w:val="22"/>
          <w:lang w:val="en-GB"/>
        </w:rPr>
        <w:lastRenderedPageBreak/>
        <w:t xml:space="preserve">of competitors in an industry (see </w:t>
      </w:r>
      <w:r w:rsidRPr="003772D1">
        <w:rPr>
          <w:sz w:val="22"/>
          <w:szCs w:val="22"/>
          <w:lang w:val="en-GB"/>
        </w:rPr>
        <w:fldChar w:fldCharType="begin"/>
      </w:r>
      <w:r w:rsidRPr="003772D1">
        <w:rPr>
          <w:sz w:val="22"/>
          <w:szCs w:val="22"/>
          <w:lang w:val="en-GB"/>
        </w:rPr>
        <w:instrText xml:space="preserve"> REF _Ref501524447 \h </w:instrText>
      </w:r>
      <w:r w:rsidR="003772D1">
        <w:rPr>
          <w:sz w:val="22"/>
          <w:szCs w:val="22"/>
          <w:lang w:val="en-GB"/>
        </w:rPr>
        <w:instrText xml:space="preserve"> \* MERGEFORMAT </w:instrText>
      </w:r>
      <w:r w:rsidRPr="003772D1">
        <w:rPr>
          <w:sz w:val="22"/>
          <w:szCs w:val="22"/>
          <w:lang w:val="en-GB"/>
        </w:rPr>
      </w:r>
      <w:r w:rsidRPr="003772D1">
        <w:rPr>
          <w:sz w:val="22"/>
          <w:szCs w:val="22"/>
          <w:lang w:val="en-GB"/>
        </w:rPr>
        <w:fldChar w:fldCharType="separate"/>
      </w:r>
      <w:r w:rsidR="00073D63" w:rsidRPr="00073D63">
        <w:rPr>
          <w:rFonts w:eastAsia="Calibri"/>
          <w:sz w:val="22"/>
          <w:szCs w:val="22"/>
          <w:lang w:val="en-GB"/>
        </w:rPr>
        <w:t xml:space="preserve">Figure </w:t>
      </w:r>
      <w:r w:rsidR="00073D63" w:rsidRPr="00073D63">
        <w:rPr>
          <w:rFonts w:eastAsia="Calibri"/>
          <w:noProof/>
          <w:sz w:val="22"/>
          <w:szCs w:val="22"/>
          <w:lang w:val="en-GB"/>
        </w:rPr>
        <w:t>5</w:t>
      </w:r>
      <w:r w:rsidRPr="003772D1">
        <w:rPr>
          <w:sz w:val="22"/>
          <w:szCs w:val="22"/>
          <w:lang w:val="en-GB"/>
        </w:rPr>
        <w:fldChar w:fldCharType="end"/>
      </w:r>
      <w:r w:rsidRPr="003772D1">
        <w:rPr>
          <w:sz w:val="22"/>
          <w:szCs w:val="22"/>
          <w:lang w:val="en-GB"/>
        </w:rPr>
        <w:t>)</w:t>
      </w:r>
      <w:r w:rsidRPr="00860FD1">
        <w:rPr>
          <w:sz w:val="22"/>
          <w:szCs w:val="22"/>
          <w:lang w:val="en-GB"/>
        </w:rPr>
        <w:t xml:space="preserve">. Competitors with similar characteristics and market positions </w:t>
      </w:r>
      <w:r w:rsidR="00376EA0">
        <w:rPr>
          <w:sz w:val="22"/>
          <w:szCs w:val="22"/>
          <w:lang w:val="en-GB"/>
        </w:rPr>
        <w:t>can</w:t>
      </w:r>
      <w:r w:rsidRPr="00860FD1">
        <w:rPr>
          <w:sz w:val="22"/>
          <w:szCs w:val="22"/>
          <w:lang w:val="en-GB"/>
        </w:rPr>
        <w:t xml:space="preserve"> </w:t>
      </w:r>
      <w:r w:rsidR="0032533D">
        <w:rPr>
          <w:sz w:val="22"/>
          <w:szCs w:val="22"/>
          <w:lang w:val="en-GB"/>
        </w:rPr>
        <w:t xml:space="preserve">be </w:t>
      </w:r>
      <w:r w:rsidRPr="00860FD1">
        <w:rPr>
          <w:sz w:val="22"/>
          <w:szCs w:val="22"/>
          <w:lang w:val="en-GB"/>
        </w:rPr>
        <w:t>grouped to make competitive analysis more manageable.</w:t>
      </w:r>
    </w:p>
    <w:p w14:paraId="4EB42C05" w14:textId="77777777" w:rsidR="00860FD1" w:rsidRPr="00860FD1" w:rsidRDefault="00860FD1" w:rsidP="00860FD1">
      <w:pPr>
        <w:jc w:val="both"/>
        <w:rPr>
          <w:sz w:val="22"/>
          <w:szCs w:val="22"/>
          <w:lang w:val="en-GB"/>
        </w:rPr>
      </w:pPr>
    </w:p>
    <w:p w14:paraId="71099953" w14:textId="16495BAE" w:rsidR="00860FD1" w:rsidRPr="00860FD1" w:rsidRDefault="00860FD1" w:rsidP="00860FD1">
      <w:pPr>
        <w:jc w:val="both"/>
        <w:rPr>
          <w:rFonts w:ascii="Arial" w:eastAsia="Calibri" w:hAnsi="Arial" w:cs="Arial"/>
          <w:b/>
          <w:lang w:val="en-GB"/>
        </w:rPr>
      </w:pPr>
      <w:bookmarkStart w:id="36" w:name="_Ref501524447"/>
      <w:r w:rsidRPr="00860FD1">
        <w:rPr>
          <w:rFonts w:ascii="Arial" w:eastAsia="Calibri" w:hAnsi="Arial" w:cs="Arial"/>
          <w:b/>
          <w:lang w:val="en-GB"/>
        </w:rPr>
        <w:t xml:space="preserve">Figure </w:t>
      </w:r>
      <w:r w:rsidRPr="00860FD1">
        <w:rPr>
          <w:rFonts w:ascii="Arial" w:eastAsia="Calibri" w:hAnsi="Arial" w:cs="Arial"/>
          <w:b/>
          <w:lang w:val="en-GB"/>
        </w:rPr>
        <w:fldChar w:fldCharType="begin"/>
      </w:r>
      <w:r w:rsidRPr="00860FD1">
        <w:rPr>
          <w:rFonts w:ascii="Arial" w:eastAsia="Calibri" w:hAnsi="Arial" w:cs="Arial"/>
          <w:b/>
          <w:lang w:val="en-GB"/>
        </w:rPr>
        <w:instrText xml:space="preserve"> SEQ Figure \* ARABIC </w:instrText>
      </w:r>
      <w:r w:rsidRPr="00860FD1">
        <w:rPr>
          <w:rFonts w:ascii="Arial" w:eastAsia="Calibri" w:hAnsi="Arial" w:cs="Arial"/>
          <w:b/>
          <w:lang w:val="en-GB"/>
        </w:rPr>
        <w:fldChar w:fldCharType="separate"/>
      </w:r>
      <w:r w:rsidR="00073D63">
        <w:rPr>
          <w:rFonts w:ascii="Arial" w:eastAsia="Calibri" w:hAnsi="Arial" w:cs="Arial"/>
          <w:b/>
          <w:noProof/>
          <w:lang w:val="en-GB"/>
        </w:rPr>
        <w:t>5</w:t>
      </w:r>
      <w:r w:rsidRPr="00860FD1">
        <w:rPr>
          <w:rFonts w:ascii="Arial" w:eastAsia="Calibri" w:hAnsi="Arial" w:cs="Arial"/>
          <w:b/>
          <w:lang w:val="en-GB"/>
        </w:rPr>
        <w:fldChar w:fldCharType="end"/>
      </w:r>
      <w:bookmarkEnd w:id="36"/>
      <w:r w:rsidRPr="00860FD1">
        <w:rPr>
          <w:rFonts w:ascii="Arial" w:eastAsia="Calibri" w:hAnsi="Arial" w:cs="Arial"/>
          <w:b/>
          <w:lang w:val="en-GB"/>
        </w:rPr>
        <w:t>: Competitive Position Matrix, Canadian Furniture Retail</w:t>
      </w:r>
    </w:p>
    <w:p w14:paraId="184BF95E" w14:textId="77777777" w:rsidR="00860FD1" w:rsidRPr="00860FD1" w:rsidRDefault="00860FD1" w:rsidP="00860FD1">
      <w:pPr>
        <w:jc w:val="both"/>
        <w:rPr>
          <w:rFonts w:ascii="Arial" w:eastAsia="Calibri" w:hAnsi="Arial" w:cs="Arial"/>
          <w:b/>
          <w:lang w:val="en-GB"/>
        </w:rPr>
      </w:pPr>
    </w:p>
    <w:tbl>
      <w:tblPr>
        <w:tblStyle w:val="IveyTable"/>
        <w:tblW w:w="9359" w:type="dxa"/>
        <w:tblLayout w:type="fixed"/>
        <w:tblLook w:val="04A0" w:firstRow="1" w:lastRow="0" w:firstColumn="1" w:lastColumn="0" w:noHBand="0" w:noVBand="1"/>
      </w:tblPr>
      <w:tblGrid>
        <w:gridCol w:w="1800"/>
        <w:gridCol w:w="1710"/>
        <w:gridCol w:w="1890"/>
        <w:gridCol w:w="1890"/>
        <w:gridCol w:w="2069"/>
      </w:tblGrid>
      <w:tr w:rsidR="00860FD1" w:rsidRPr="00860FD1" w14:paraId="774EA853" w14:textId="77777777" w:rsidTr="00860FD1">
        <w:trPr>
          <w:cnfStyle w:val="100000000000" w:firstRow="1" w:lastRow="0" w:firstColumn="0" w:lastColumn="0" w:oddVBand="0" w:evenVBand="0" w:oddHBand="0" w:evenHBand="0" w:firstRowFirstColumn="0" w:firstRowLastColumn="0" w:lastRowFirstColumn="0" w:lastRowLastColumn="0"/>
        </w:trPr>
        <w:tc>
          <w:tcPr>
            <w:tcW w:w="1800" w:type="dxa"/>
          </w:tcPr>
          <w:p w14:paraId="35AA5A80" w14:textId="77777777" w:rsidR="00860FD1" w:rsidRPr="00860FD1" w:rsidRDefault="00860FD1" w:rsidP="00860FD1">
            <w:pPr>
              <w:rPr>
                <w:rFonts w:ascii="Arial" w:hAnsi="Arial" w:cs="Arial"/>
                <w:lang w:val="en-GB"/>
              </w:rPr>
            </w:pPr>
          </w:p>
        </w:tc>
        <w:tc>
          <w:tcPr>
            <w:tcW w:w="1710" w:type="dxa"/>
          </w:tcPr>
          <w:p w14:paraId="635EA1B0" w14:textId="77777777" w:rsidR="00860FD1" w:rsidRPr="00860FD1" w:rsidRDefault="00860FD1" w:rsidP="00860FD1">
            <w:pPr>
              <w:jc w:val="center"/>
              <w:rPr>
                <w:rFonts w:ascii="Arial" w:hAnsi="Arial" w:cs="Arial"/>
                <w:lang w:val="en-GB"/>
              </w:rPr>
            </w:pPr>
            <w:r w:rsidRPr="00860FD1">
              <w:rPr>
                <w:rFonts w:ascii="Arial" w:hAnsi="Arial" w:cs="Arial"/>
                <w:lang w:val="en-GB"/>
              </w:rPr>
              <w:t>Geographical Scope</w:t>
            </w:r>
          </w:p>
        </w:tc>
        <w:tc>
          <w:tcPr>
            <w:tcW w:w="1890" w:type="dxa"/>
          </w:tcPr>
          <w:p w14:paraId="7C65DFE6" w14:textId="65F2B4F6" w:rsidR="0032533D" w:rsidRDefault="00860FD1" w:rsidP="0032533D">
            <w:pPr>
              <w:jc w:val="center"/>
              <w:rPr>
                <w:rFonts w:ascii="Arial" w:hAnsi="Arial" w:cs="Arial"/>
                <w:lang w:val="en-GB"/>
              </w:rPr>
            </w:pPr>
            <w:r w:rsidRPr="00860FD1">
              <w:rPr>
                <w:rFonts w:ascii="Arial" w:hAnsi="Arial" w:cs="Arial"/>
                <w:lang w:val="en-GB"/>
              </w:rPr>
              <w:t>Price</w:t>
            </w:r>
            <w:r w:rsidR="0032533D">
              <w:rPr>
                <w:rFonts w:ascii="Arial" w:hAnsi="Arial" w:cs="Arial"/>
                <w:lang w:val="en-GB"/>
              </w:rPr>
              <w:t xml:space="preserve"> Relative </w:t>
            </w:r>
          </w:p>
          <w:p w14:paraId="406DB7D3" w14:textId="353CE690" w:rsidR="00860FD1" w:rsidRPr="00860FD1" w:rsidRDefault="0032533D" w:rsidP="0032533D">
            <w:pPr>
              <w:jc w:val="center"/>
              <w:rPr>
                <w:rFonts w:ascii="Arial" w:hAnsi="Arial" w:cs="Arial"/>
                <w:lang w:val="en-GB"/>
              </w:rPr>
            </w:pPr>
            <w:r>
              <w:rPr>
                <w:rFonts w:ascii="Arial" w:hAnsi="Arial" w:cs="Arial"/>
                <w:lang w:val="en-GB"/>
              </w:rPr>
              <w:t xml:space="preserve">to </w:t>
            </w:r>
            <w:r w:rsidR="00860FD1" w:rsidRPr="00860FD1">
              <w:rPr>
                <w:rFonts w:ascii="Arial" w:hAnsi="Arial" w:cs="Arial"/>
                <w:lang w:val="en-GB"/>
              </w:rPr>
              <w:t>Quality</w:t>
            </w:r>
          </w:p>
        </w:tc>
        <w:tc>
          <w:tcPr>
            <w:tcW w:w="1890" w:type="dxa"/>
          </w:tcPr>
          <w:p w14:paraId="4C320027" w14:textId="77777777" w:rsidR="00860FD1" w:rsidRPr="00860FD1" w:rsidRDefault="00860FD1" w:rsidP="00860FD1">
            <w:pPr>
              <w:jc w:val="center"/>
              <w:rPr>
                <w:rFonts w:ascii="Arial" w:hAnsi="Arial" w:cs="Arial"/>
                <w:lang w:val="en-GB"/>
              </w:rPr>
            </w:pPr>
            <w:r w:rsidRPr="00860FD1">
              <w:rPr>
                <w:rFonts w:ascii="Arial" w:hAnsi="Arial" w:cs="Arial"/>
                <w:lang w:val="en-GB"/>
              </w:rPr>
              <w:t>Selection</w:t>
            </w:r>
          </w:p>
        </w:tc>
        <w:tc>
          <w:tcPr>
            <w:tcW w:w="2069" w:type="dxa"/>
          </w:tcPr>
          <w:p w14:paraId="353CC497" w14:textId="77777777" w:rsidR="00860FD1" w:rsidRPr="00860FD1" w:rsidRDefault="00860FD1" w:rsidP="00860FD1">
            <w:pPr>
              <w:jc w:val="center"/>
              <w:rPr>
                <w:rFonts w:ascii="Arial" w:hAnsi="Arial" w:cs="Arial"/>
                <w:lang w:val="en-GB"/>
              </w:rPr>
            </w:pPr>
            <w:r w:rsidRPr="00860FD1">
              <w:rPr>
                <w:rFonts w:ascii="Arial" w:hAnsi="Arial" w:cs="Arial"/>
                <w:lang w:val="en-GB"/>
              </w:rPr>
              <w:t>Service and Delivery</w:t>
            </w:r>
          </w:p>
        </w:tc>
      </w:tr>
      <w:tr w:rsidR="00860FD1" w:rsidRPr="00860FD1" w14:paraId="03A9C1DF" w14:textId="77777777" w:rsidTr="00860FD1">
        <w:tc>
          <w:tcPr>
            <w:tcW w:w="1800" w:type="dxa"/>
          </w:tcPr>
          <w:p w14:paraId="1F9C5F55" w14:textId="77777777" w:rsidR="00860FD1" w:rsidRPr="00860FD1" w:rsidRDefault="00860FD1" w:rsidP="00860FD1">
            <w:pPr>
              <w:rPr>
                <w:rFonts w:ascii="Arial" w:hAnsi="Arial" w:cs="Arial"/>
                <w:lang w:val="en-GB"/>
              </w:rPr>
            </w:pPr>
            <w:r w:rsidRPr="00860FD1">
              <w:rPr>
                <w:rFonts w:ascii="Arial" w:hAnsi="Arial" w:cs="Arial"/>
                <w:lang w:val="en-GB"/>
              </w:rPr>
              <w:t>IKEA</w:t>
            </w:r>
          </w:p>
        </w:tc>
        <w:tc>
          <w:tcPr>
            <w:tcW w:w="1710" w:type="dxa"/>
          </w:tcPr>
          <w:p w14:paraId="4D01F800" w14:textId="77777777" w:rsidR="00860FD1" w:rsidRPr="00860FD1" w:rsidRDefault="00860FD1" w:rsidP="00860FD1">
            <w:pPr>
              <w:rPr>
                <w:rFonts w:ascii="Arial" w:hAnsi="Arial" w:cs="Arial"/>
                <w:lang w:val="en-GB"/>
              </w:rPr>
            </w:pPr>
            <w:r w:rsidRPr="00860FD1">
              <w:rPr>
                <w:rFonts w:ascii="Arial" w:hAnsi="Arial" w:cs="Arial"/>
                <w:lang w:val="en-GB"/>
              </w:rPr>
              <w:t>National, in urban centres</w:t>
            </w:r>
          </w:p>
        </w:tc>
        <w:tc>
          <w:tcPr>
            <w:tcW w:w="1890" w:type="dxa"/>
          </w:tcPr>
          <w:p w14:paraId="5F93F3B6" w14:textId="77777777" w:rsidR="00860FD1" w:rsidRPr="00860FD1" w:rsidRDefault="00860FD1" w:rsidP="00860FD1">
            <w:pPr>
              <w:rPr>
                <w:rFonts w:ascii="Arial" w:hAnsi="Arial" w:cs="Arial"/>
                <w:lang w:val="en-GB"/>
              </w:rPr>
            </w:pPr>
            <w:r w:rsidRPr="00860FD1">
              <w:rPr>
                <w:rFonts w:ascii="Arial" w:hAnsi="Arial" w:cs="Arial"/>
                <w:lang w:val="en-GB"/>
              </w:rPr>
              <w:t>Low to moderate</w:t>
            </w:r>
          </w:p>
        </w:tc>
        <w:tc>
          <w:tcPr>
            <w:tcW w:w="1890" w:type="dxa"/>
          </w:tcPr>
          <w:p w14:paraId="49F9738B" w14:textId="77777777" w:rsidR="00860FD1" w:rsidRPr="00860FD1" w:rsidRDefault="00860FD1" w:rsidP="00860FD1">
            <w:pPr>
              <w:rPr>
                <w:rFonts w:ascii="Arial" w:hAnsi="Arial" w:cs="Arial"/>
                <w:lang w:val="en-GB"/>
              </w:rPr>
            </w:pPr>
            <w:r w:rsidRPr="00860FD1">
              <w:rPr>
                <w:rFonts w:ascii="Arial" w:hAnsi="Arial" w:cs="Arial"/>
                <w:lang w:val="en-GB"/>
              </w:rPr>
              <w:t>Low—only knock-down furniture</w:t>
            </w:r>
          </w:p>
        </w:tc>
        <w:tc>
          <w:tcPr>
            <w:tcW w:w="2069" w:type="dxa"/>
          </w:tcPr>
          <w:p w14:paraId="01D280F4" w14:textId="77777777" w:rsidR="00860FD1" w:rsidRPr="00860FD1" w:rsidRDefault="00860FD1" w:rsidP="00860FD1">
            <w:pPr>
              <w:rPr>
                <w:rFonts w:ascii="Arial" w:hAnsi="Arial" w:cs="Arial"/>
                <w:lang w:val="en-GB"/>
              </w:rPr>
            </w:pPr>
            <w:r w:rsidRPr="00860FD1">
              <w:rPr>
                <w:rFonts w:ascii="Arial" w:hAnsi="Arial" w:cs="Arial"/>
                <w:lang w:val="en-GB"/>
              </w:rPr>
              <w:t>Low—consumers transport and assemble</w:t>
            </w:r>
          </w:p>
        </w:tc>
      </w:tr>
      <w:tr w:rsidR="00860FD1" w:rsidRPr="00860FD1" w14:paraId="38602FDD" w14:textId="77777777" w:rsidTr="00860FD1">
        <w:tc>
          <w:tcPr>
            <w:tcW w:w="1800" w:type="dxa"/>
          </w:tcPr>
          <w:p w14:paraId="227F4874" w14:textId="77777777" w:rsidR="00860FD1" w:rsidRPr="00860FD1" w:rsidRDefault="00860FD1" w:rsidP="00860FD1">
            <w:pPr>
              <w:rPr>
                <w:rFonts w:ascii="Arial" w:hAnsi="Arial" w:cs="Arial"/>
                <w:lang w:val="en-GB"/>
              </w:rPr>
            </w:pPr>
            <w:r w:rsidRPr="00860FD1">
              <w:rPr>
                <w:rFonts w:ascii="Arial" w:hAnsi="Arial" w:cs="Arial"/>
                <w:lang w:val="en-GB"/>
              </w:rPr>
              <w:t>The Brick</w:t>
            </w:r>
          </w:p>
        </w:tc>
        <w:tc>
          <w:tcPr>
            <w:tcW w:w="1710" w:type="dxa"/>
          </w:tcPr>
          <w:p w14:paraId="080B5CB5" w14:textId="77777777" w:rsidR="00860FD1" w:rsidRPr="00860FD1" w:rsidRDefault="00860FD1" w:rsidP="00860FD1">
            <w:pPr>
              <w:rPr>
                <w:rFonts w:ascii="Arial" w:hAnsi="Arial" w:cs="Arial"/>
                <w:lang w:val="en-GB"/>
              </w:rPr>
            </w:pPr>
            <w:r w:rsidRPr="00860FD1">
              <w:rPr>
                <w:rFonts w:ascii="Arial" w:hAnsi="Arial" w:cs="Arial"/>
                <w:lang w:val="en-GB"/>
              </w:rPr>
              <w:t>National</w:t>
            </w:r>
          </w:p>
        </w:tc>
        <w:tc>
          <w:tcPr>
            <w:tcW w:w="1890" w:type="dxa"/>
          </w:tcPr>
          <w:p w14:paraId="36F0366D" w14:textId="77777777" w:rsidR="00860FD1" w:rsidRPr="00860FD1" w:rsidRDefault="00860FD1" w:rsidP="00860FD1">
            <w:pPr>
              <w:rPr>
                <w:rFonts w:ascii="Arial" w:hAnsi="Arial" w:cs="Arial"/>
                <w:lang w:val="en-GB"/>
              </w:rPr>
            </w:pPr>
            <w:r w:rsidRPr="00860FD1">
              <w:rPr>
                <w:rFonts w:ascii="Arial" w:hAnsi="Arial" w:cs="Arial"/>
                <w:lang w:val="en-GB"/>
              </w:rPr>
              <w:t>Low to moderate</w:t>
            </w:r>
          </w:p>
        </w:tc>
        <w:tc>
          <w:tcPr>
            <w:tcW w:w="1890" w:type="dxa"/>
          </w:tcPr>
          <w:p w14:paraId="3864CB4D" w14:textId="77777777" w:rsidR="00860FD1" w:rsidRPr="00860FD1" w:rsidRDefault="00860FD1" w:rsidP="00860FD1">
            <w:pPr>
              <w:rPr>
                <w:rFonts w:ascii="Arial" w:hAnsi="Arial" w:cs="Arial"/>
                <w:lang w:val="en-GB"/>
              </w:rPr>
            </w:pPr>
            <w:r w:rsidRPr="00860FD1">
              <w:rPr>
                <w:rFonts w:ascii="Arial" w:hAnsi="Arial" w:cs="Arial"/>
                <w:lang w:val="en-GB"/>
              </w:rPr>
              <w:t>High</w:t>
            </w:r>
          </w:p>
        </w:tc>
        <w:tc>
          <w:tcPr>
            <w:tcW w:w="2069" w:type="dxa"/>
          </w:tcPr>
          <w:p w14:paraId="0DD82716" w14:textId="77777777" w:rsidR="00860FD1" w:rsidRPr="00860FD1" w:rsidRDefault="00860FD1" w:rsidP="00860FD1">
            <w:pPr>
              <w:rPr>
                <w:rFonts w:ascii="Arial" w:hAnsi="Arial" w:cs="Arial"/>
                <w:lang w:val="en-GB"/>
              </w:rPr>
            </w:pPr>
            <w:r w:rsidRPr="00860FD1">
              <w:rPr>
                <w:rFonts w:ascii="Arial" w:hAnsi="Arial" w:cs="Arial"/>
                <w:lang w:val="en-GB"/>
              </w:rPr>
              <w:t>Moderate—includes financing</w:t>
            </w:r>
          </w:p>
        </w:tc>
      </w:tr>
      <w:tr w:rsidR="00860FD1" w:rsidRPr="00860FD1" w14:paraId="1DE6B917" w14:textId="77777777" w:rsidTr="00860FD1">
        <w:tc>
          <w:tcPr>
            <w:tcW w:w="1800" w:type="dxa"/>
          </w:tcPr>
          <w:p w14:paraId="5D1905F4" w14:textId="77777777" w:rsidR="00860FD1" w:rsidRPr="00860FD1" w:rsidRDefault="00860FD1" w:rsidP="00860FD1">
            <w:pPr>
              <w:rPr>
                <w:rFonts w:ascii="Arial" w:hAnsi="Arial" w:cs="Arial"/>
                <w:lang w:val="en-GB"/>
              </w:rPr>
            </w:pPr>
            <w:r w:rsidRPr="00860FD1">
              <w:rPr>
                <w:rFonts w:ascii="Arial" w:hAnsi="Arial" w:cs="Arial"/>
                <w:lang w:val="en-GB"/>
              </w:rPr>
              <w:t>Hudson’s Bay (Home Outfitters)</w:t>
            </w:r>
          </w:p>
        </w:tc>
        <w:tc>
          <w:tcPr>
            <w:tcW w:w="1710" w:type="dxa"/>
          </w:tcPr>
          <w:p w14:paraId="24064539" w14:textId="77777777" w:rsidR="00860FD1" w:rsidRPr="00860FD1" w:rsidRDefault="00860FD1" w:rsidP="00860FD1">
            <w:pPr>
              <w:rPr>
                <w:rFonts w:ascii="Arial" w:hAnsi="Arial" w:cs="Arial"/>
                <w:lang w:val="en-GB"/>
              </w:rPr>
            </w:pPr>
            <w:r w:rsidRPr="00860FD1">
              <w:rPr>
                <w:rFonts w:ascii="Arial" w:hAnsi="Arial" w:cs="Arial"/>
                <w:lang w:val="en-GB"/>
              </w:rPr>
              <w:t>National</w:t>
            </w:r>
          </w:p>
        </w:tc>
        <w:tc>
          <w:tcPr>
            <w:tcW w:w="1890" w:type="dxa"/>
          </w:tcPr>
          <w:p w14:paraId="1F9A5E8C" w14:textId="77777777" w:rsidR="00860FD1" w:rsidRPr="00860FD1" w:rsidRDefault="00860FD1" w:rsidP="00860FD1">
            <w:pPr>
              <w:rPr>
                <w:rFonts w:ascii="Arial" w:hAnsi="Arial" w:cs="Arial"/>
                <w:lang w:val="en-GB"/>
              </w:rPr>
            </w:pPr>
            <w:r w:rsidRPr="00860FD1">
              <w:rPr>
                <w:rFonts w:ascii="Arial" w:hAnsi="Arial" w:cs="Arial"/>
                <w:lang w:val="en-GB"/>
              </w:rPr>
              <w:t>Low to moderate</w:t>
            </w:r>
          </w:p>
        </w:tc>
        <w:tc>
          <w:tcPr>
            <w:tcW w:w="1890" w:type="dxa"/>
          </w:tcPr>
          <w:p w14:paraId="0029D53D" w14:textId="77777777" w:rsidR="00860FD1" w:rsidRPr="00860FD1" w:rsidRDefault="00860FD1" w:rsidP="00860FD1">
            <w:pPr>
              <w:rPr>
                <w:rFonts w:ascii="Arial" w:hAnsi="Arial" w:cs="Arial"/>
                <w:lang w:val="en-GB"/>
              </w:rPr>
            </w:pPr>
            <w:r w:rsidRPr="00860FD1">
              <w:rPr>
                <w:rFonts w:ascii="Arial" w:hAnsi="Arial" w:cs="Arial"/>
                <w:lang w:val="en-GB"/>
              </w:rPr>
              <w:t>Moderate to high</w:t>
            </w:r>
          </w:p>
        </w:tc>
        <w:tc>
          <w:tcPr>
            <w:tcW w:w="2069" w:type="dxa"/>
          </w:tcPr>
          <w:p w14:paraId="5FE6375C" w14:textId="77777777" w:rsidR="00860FD1" w:rsidRPr="00860FD1" w:rsidRDefault="00860FD1" w:rsidP="00860FD1">
            <w:pPr>
              <w:rPr>
                <w:rFonts w:ascii="Arial" w:hAnsi="Arial" w:cs="Arial"/>
                <w:lang w:val="en-GB"/>
              </w:rPr>
            </w:pPr>
            <w:r w:rsidRPr="00860FD1">
              <w:rPr>
                <w:rFonts w:ascii="Arial" w:hAnsi="Arial" w:cs="Arial"/>
                <w:lang w:val="en-GB"/>
              </w:rPr>
              <w:t>Moderate to high</w:t>
            </w:r>
          </w:p>
        </w:tc>
      </w:tr>
      <w:tr w:rsidR="00860FD1" w:rsidRPr="00860FD1" w14:paraId="0077B1FF" w14:textId="77777777" w:rsidTr="00860FD1">
        <w:tc>
          <w:tcPr>
            <w:tcW w:w="1800" w:type="dxa"/>
          </w:tcPr>
          <w:p w14:paraId="3757621A" w14:textId="77777777" w:rsidR="00860FD1" w:rsidRPr="00860FD1" w:rsidRDefault="00860FD1" w:rsidP="00860FD1">
            <w:pPr>
              <w:rPr>
                <w:rFonts w:ascii="Arial" w:hAnsi="Arial" w:cs="Arial"/>
                <w:lang w:val="en-GB"/>
              </w:rPr>
            </w:pPr>
            <w:r w:rsidRPr="00860FD1">
              <w:rPr>
                <w:rFonts w:ascii="Arial" w:hAnsi="Arial" w:cs="Arial"/>
                <w:lang w:val="en-GB"/>
              </w:rPr>
              <w:t>Independents</w:t>
            </w:r>
          </w:p>
        </w:tc>
        <w:tc>
          <w:tcPr>
            <w:tcW w:w="1710" w:type="dxa"/>
          </w:tcPr>
          <w:p w14:paraId="2E5B4282" w14:textId="77777777" w:rsidR="00860FD1" w:rsidRPr="00860FD1" w:rsidRDefault="00860FD1" w:rsidP="00860FD1">
            <w:pPr>
              <w:rPr>
                <w:rFonts w:ascii="Arial" w:hAnsi="Arial" w:cs="Arial"/>
                <w:lang w:val="en-GB"/>
              </w:rPr>
            </w:pPr>
            <w:r w:rsidRPr="00860FD1">
              <w:rPr>
                <w:rFonts w:ascii="Arial" w:hAnsi="Arial" w:cs="Arial"/>
                <w:lang w:val="en-GB"/>
              </w:rPr>
              <w:t>Local</w:t>
            </w:r>
          </w:p>
        </w:tc>
        <w:tc>
          <w:tcPr>
            <w:tcW w:w="1890" w:type="dxa"/>
          </w:tcPr>
          <w:p w14:paraId="7E133E81" w14:textId="77777777" w:rsidR="00860FD1" w:rsidRPr="00860FD1" w:rsidRDefault="00860FD1" w:rsidP="00860FD1">
            <w:pPr>
              <w:rPr>
                <w:rFonts w:ascii="Arial" w:hAnsi="Arial" w:cs="Arial"/>
                <w:lang w:val="en-GB"/>
              </w:rPr>
            </w:pPr>
            <w:r w:rsidRPr="00860FD1">
              <w:rPr>
                <w:rFonts w:ascii="Arial" w:hAnsi="Arial" w:cs="Arial"/>
                <w:lang w:val="en-GB"/>
              </w:rPr>
              <w:t>Moderate to High</w:t>
            </w:r>
          </w:p>
        </w:tc>
        <w:tc>
          <w:tcPr>
            <w:tcW w:w="1890" w:type="dxa"/>
          </w:tcPr>
          <w:p w14:paraId="4351CD6E" w14:textId="77777777" w:rsidR="00860FD1" w:rsidRPr="00860FD1" w:rsidRDefault="00860FD1" w:rsidP="00860FD1">
            <w:pPr>
              <w:rPr>
                <w:rFonts w:ascii="Arial" w:hAnsi="Arial" w:cs="Arial"/>
                <w:lang w:val="en-GB"/>
              </w:rPr>
            </w:pPr>
            <w:r w:rsidRPr="00860FD1">
              <w:rPr>
                <w:rFonts w:ascii="Arial" w:hAnsi="Arial" w:cs="Arial"/>
                <w:lang w:val="en-GB"/>
              </w:rPr>
              <w:t>Low to high</w:t>
            </w:r>
          </w:p>
        </w:tc>
        <w:tc>
          <w:tcPr>
            <w:tcW w:w="2069" w:type="dxa"/>
          </w:tcPr>
          <w:p w14:paraId="3442C476" w14:textId="77777777" w:rsidR="00860FD1" w:rsidRPr="00860FD1" w:rsidRDefault="00860FD1" w:rsidP="00860FD1">
            <w:pPr>
              <w:rPr>
                <w:rFonts w:ascii="Arial" w:hAnsi="Arial" w:cs="Arial"/>
                <w:lang w:val="en-GB"/>
              </w:rPr>
            </w:pPr>
            <w:r w:rsidRPr="00860FD1">
              <w:rPr>
                <w:rFonts w:ascii="Arial" w:hAnsi="Arial" w:cs="Arial"/>
                <w:lang w:val="en-GB"/>
              </w:rPr>
              <w:t>High</w:t>
            </w:r>
          </w:p>
        </w:tc>
      </w:tr>
    </w:tbl>
    <w:p w14:paraId="0AF42FEC" w14:textId="77777777" w:rsidR="00860FD1" w:rsidRPr="0042236E" w:rsidRDefault="00860FD1" w:rsidP="00860FD1">
      <w:pPr>
        <w:jc w:val="both"/>
        <w:rPr>
          <w:sz w:val="18"/>
          <w:szCs w:val="18"/>
          <w:lang w:val="en-GB"/>
        </w:rPr>
      </w:pPr>
      <w:bookmarkStart w:id="37" w:name="_Toc365803800"/>
      <w:bookmarkStart w:id="38" w:name="_Toc392920680"/>
      <w:bookmarkStart w:id="39" w:name="_Toc393181063"/>
    </w:p>
    <w:p w14:paraId="54DF319F" w14:textId="77777777" w:rsidR="00860FD1" w:rsidRPr="0042236E" w:rsidRDefault="00860FD1" w:rsidP="00860FD1">
      <w:pPr>
        <w:jc w:val="both"/>
        <w:rPr>
          <w:sz w:val="18"/>
          <w:szCs w:val="18"/>
          <w:lang w:val="en-GB"/>
        </w:rPr>
      </w:pPr>
    </w:p>
    <w:p w14:paraId="117F91A5" w14:textId="34084F2A" w:rsidR="00860FD1" w:rsidRPr="00860FD1" w:rsidRDefault="00BC6FC9" w:rsidP="00100EF4">
      <w:pPr>
        <w:numPr>
          <w:ilvl w:val="0"/>
          <w:numId w:val="9"/>
        </w:numPr>
        <w:tabs>
          <w:tab w:val="left" w:pos="284"/>
        </w:tabs>
        <w:jc w:val="both"/>
        <w:rPr>
          <w:rFonts w:ascii="Arial" w:hAnsi="Arial" w:cs="Arial"/>
          <w:b/>
          <w:caps/>
          <w:lang w:val="en-GB"/>
        </w:rPr>
      </w:pPr>
      <w:r>
        <w:rPr>
          <w:rFonts w:ascii="Arial" w:hAnsi="Arial" w:cs="Arial"/>
          <w:b/>
          <w:caps/>
          <w:lang w:val="en-GB"/>
        </w:rPr>
        <w:t xml:space="preserve"> </w:t>
      </w:r>
      <w:r w:rsidR="00860FD1" w:rsidRPr="00860FD1">
        <w:rPr>
          <w:rFonts w:ascii="Arial" w:hAnsi="Arial" w:cs="Arial"/>
          <w:b/>
          <w:caps/>
          <w:lang w:val="en-GB"/>
        </w:rPr>
        <w:t xml:space="preserve">Strategic Cluster Map </w:t>
      </w:r>
    </w:p>
    <w:p w14:paraId="66031FE3" w14:textId="77777777" w:rsidR="00860FD1" w:rsidRPr="0042236E" w:rsidRDefault="00860FD1" w:rsidP="00860FD1">
      <w:pPr>
        <w:keepNext/>
        <w:jc w:val="both"/>
        <w:rPr>
          <w:sz w:val="18"/>
          <w:szCs w:val="18"/>
          <w:lang w:val="en-GB"/>
        </w:rPr>
      </w:pPr>
    </w:p>
    <w:p w14:paraId="7BD4367D" w14:textId="01D2639E" w:rsidR="00860FD1" w:rsidRDefault="00860FD1" w:rsidP="00860FD1">
      <w:pPr>
        <w:jc w:val="both"/>
        <w:rPr>
          <w:spacing w:val="-4"/>
          <w:kern w:val="22"/>
          <w:sz w:val="22"/>
          <w:szCs w:val="22"/>
          <w:lang w:val="en-GB"/>
        </w:rPr>
      </w:pPr>
      <w:r w:rsidRPr="0042236E">
        <w:rPr>
          <w:spacing w:val="-4"/>
          <w:kern w:val="22"/>
          <w:sz w:val="22"/>
          <w:szCs w:val="22"/>
          <w:lang w:val="en-GB"/>
        </w:rPr>
        <w:t xml:space="preserve">A strategic cluster map (or strategic group map) provides a convenient visualization of the competitive position of various firms in the industry, but the map limits the choice of competitive dimensions to two (see </w:t>
      </w:r>
      <w:r w:rsidRPr="0042236E">
        <w:rPr>
          <w:spacing w:val="-4"/>
          <w:kern w:val="22"/>
          <w:sz w:val="22"/>
          <w:szCs w:val="22"/>
          <w:lang w:val="en-GB"/>
        </w:rPr>
        <w:fldChar w:fldCharType="begin"/>
      </w:r>
      <w:r w:rsidRPr="0042236E">
        <w:rPr>
          <w:spacing w:val="-4"/>
          <w:kern w:val="22"/>
          <w:sz w:val="22"/>
          <w:szCs w:val="22"/>
          <w:lang w:val="en-GB"/>
        </w:rPr>
        <w:instrText xml:space="preserve"> REF _Ref501524806 \h </w:instrText>
      </w:r>
      <w:r w:rsidR="003772D1" w:rsidRPr="0042236E">
        <w:rPr>
          <w:spacing w:val="-4"/>
          <w:kern w:val="22"/>
          <w:sz w:val="22"/>
          <w:szCs w:val="22"/>
          <w:lang w:val="en-GB"/>
        </w:rPr>
        <w:instrText xml:space="preserve"> \* MERGEFORMAT </w:instrText>
      </w:r>
      <w:r w:rsidRPr="0042236E">
        <w:rPr>
          <w:spacing w:val="-4"/>
          <w:kern w:val="22"/>
          <w:sz w:val="22"/>
          <w:szCs w:val="22"/>
          <w:lang w:val="en-GB"/>
        </w:rPr>
      </w:r>
      <w:r w:rsidRPr="0042236E">
        <w:rPr>
          <w:spacing w:val="-4"/>
          <w:kern w:val="22"/>
          <w:sz w:val="22"/>
          <w:szCs w:val="22"/>
          <w:lang w:val="en-GB"/>
        </w:rPr>
        <w:fldChar w:fldCharType="separate"/>
      </w:r>
      <w:r w:rsidR="00073D63" w:rsidRPr="0042236E">
        <w:rPr>
          <w:rFonts w:eastAsia="Calibri"/>
          <w:spacing w:val="-4"/>
          <w:kern w:val="22"/>
          <w:sz w:val="22"/>
          <w:szCs w:val="22"/>
          <w:lang w:val="en-GB"/>
        </w:rPr>
        <w:t xml:space="preserve">Figure </w:t>
      </w:r>
      <w:r w:rsidR="00073D63" w:rsidRPr="0042236E">
        <w:rPr>
          <w:rFonts w:eastAsia="Calibri"/>
          <w:noProof/>
          <w:spacing w:val="-4"/>
          <w:kern w:val="22"/>
          <w:sz w:val="22"/>
          <w:szCs w:val="22"/>
          <w:lang w:val="en-GB"/>
        </w:rPr>
        <w:t>6</w:t>
      </w:r>
      <w:r w:rsidRPr="0042236E">
        <w:rPr>
          <w:spacing w:val="-4"/>
          <w:kern w:val="22"/>
          <w:sz w:val="22"/>
          <w:szCs w:val="22"/>
          <w:lang w:val="en-GB"/>
        </w:rPr>
        <w:fldChar w:fldCharType="end"/>
      </w:r>
      <w:r w:rsidRPr="0042236E">
        <w:rPr>
          <w:spacing w:val="-4"/>
          <w:kern w:val="22"/>
          <w:sz w:val="22"/>
          <w:szCs w:val="22"/>
          <w:lang w:val="en-GB"/>
        </w:rPr>
        <w:t>).</w:t>
      </w:r>
    </w:p>
    <w:p w14:paraId="0BC5ACA0" w14:textId="77777777" w:rsidR="00F72A1B" w:rsidRPr="0042236E" w:rsidRDefault="00F72A1B" w:rsidP="00860FD1">
      <w:pPr>
        <w:jc w:val="both"/>
        <w:rPr>
          <w:spacing w:val="-4"/>
          <w:kern w:val="22"/>
          <w:sz w:val="18"/>
          <w:szCs w:val="18"/>
          <w:lang w:val="en-GB"/>
        </w:rPr>
      </w:pPr>
    </w:p>
    <w:p w14:paraId="173B5711" w14:textId="6FC21A2B" w:rsidR="00860FD1" w:rsidRPr="00860FD1" w:rsidRDefault="00860FD1" w:rsidP="003772D1">
      <w:pPr>
        <w:keepNext/>
        <w:jc w:val="both"/>
        <w:rPr>
          <w:rFonts w:ascii="Arial" w:eastAsia="Calibri" w:hAnsi="Arial" w:cs="Arial"/>
          <w:b/>
          <w:lang w:val="en-GB"/>
        </w:rPr>
      </w:pPr>
      <w:bookmarkStart w:id="40" w:name="_Ref501524806"/>
      <w:r w:rsidRPr="00860FD1">
        <w:rPr>
          <w:rFonts w:ascii="Arial" w:eastAsia="Calibri" w:hAnsi="Arial" w:cs="Arial"/>
          <w:b/>
          <w:lang w:val="en-GB"/>
        </w:rPr>
        <w:t xml:space="preserve">Figure </w:t>
      </w:r>
      <w:r w:rsidRPr="00860FD1">
        <w:rPr>
          <w:rFonts w:ascii="Arial" w:eastAsia="Calibri" w:hAnsi="Arial" w:cs="Arial"/>
          <w:b/>
          <w:lang w:val="en-GB"/>
        </w:rPr>
        <w:fldChar w:fldCharType="begin"/>
      </w:r>
      <w:r w:rsidRPr="00860FD1">
        <w:rPr>
          <w:rFonts w:ascii="Arial" w:eastAsia="Calibri" w:hAnsi="Arial" w:cs="Arial"/>
          <w:b/>
          <w:lang w:val="en-GB"/>
        </w:rPr>
        <w:instrText xml:space="preserve"> SEQ Figure \* ARABIC </w:instrText>
      </w:r>
      <w:r w:rsidRPr="00860FD1">
        <w:rPr>
          <w:rFonts w:ascii="Arial" w:eastAsia="Calibri" w:hAnsi="Arial" w:cs="Arial"/>
          <w:b/>
          <w:lang w:val="en-GB"/>
        </w:rPr>
        <w:fldChar w:fldCharType="separate"/>
      </w:r>
      <w:r w:rsidR="00073D63">
        <w:rPr>
          <w:rFonts w:ascii="Arial" w:eastAsia="Calibri" w:hAnsi="Arial" w:cs="Arial"/>
          <w:b/>
          <w:noProof/>
          <w:lang w:val="en-GB"/>
        </w:rPr>
        <w:t>6</w:t>
      </w:r>
      <w:r w:rsidRPr="00860FD1">
        <w:rPr>
          <w:rFonts w:ascii="Arial" w:eastAsia="Calibri" w:hAnsi="Arial" w:cs="Arial"/>
          <w:b/>
          <w:lang w:val="en-GB"/>
        </w:rPr>
        <w:fldChar w:fldCharType="end"/>
      </w:r>
      <w:bookmarkEnd w:id="40"/>
      <w:r w:rsidRPr="00860FD1">
        <w:rPr>
          <w:rFonts w:ascii="Arial" w:eastAsia="Calibri" w:hAnsi="Arial" w:cs="Arial"/>
          <w:b/>
          <w:lang w:val="en-GB"/>
        </w:rPr>
        <w:t>: Strategic Cluster Map, Canadian Furniture Retail</w:t>
      </w:r>
    </w:p>
    <w:p w14:paraId="5A87F22D" w14:textId="77777777" w:rsidR="00860FD1" w:rsidRPr="00860FD1" w:rsidRDefault="00860FD1" w:rsidP="003772D1">
      <w:pPr>
        <w:pStyle w:val="BodyTextMain"/>
        <w:keepNext/>
        <w:rPr>
          <w:rFonts w:eastAsia="Calibri"/>
          <w:lang w:val="en-GB"/>
        </w:rPr>
      </w:pPr>
    </w:p>
    <w:p w14:paraId="2C62A1BC" w14:textId="77777777" w:rsidR="00860FD1" w:rsidRDefault="00860FD1" w:rsidP="003772D1">
      <w:pPr>
        <w:keepNext/>
        <w:jc w:val="center"/>
        <w:rPr>
          <w:b/>
          <w:sz w:val="22"/>
          <w:szCs w:val="22"/>
          <w:lang w:val="en-GB"/>
        </w:rPr>
      </w:pPr>
      <w:r w:rsidRPr="00860FD1">
        <w:rPr>
          <w:i/>
          <w:noProof/>
          <w:sz w:val="22"/>
          <w:szCs w:val="22"/>
        </w:rPr>
        <mc:AlternateContent>
          <mc:Choice Requires="wpg">
            <w:drawing>
              <wp:inline distT="0" distB="0" distL="0" distR="0" wp14:anchorId="5AFA9336" wp14:editId="1F495E4F">
                <wp:extent cx="5420629" cy="3064666"/>
                <wp:effectExtent l="0" t="38100" r="46990" b="2540"/>
                <wp:docPr id="16" name="Group 1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420629" cy="3064666"/>
                          <a:chOff x="826" y="2700"/>
                          <a:chExt cx="10196" cy="7488"/>
                        </a:xfrm>
                      </wpg:grpSpPr>
                      <wpg:grpSp>
                        <wpg:cNvPr id="17" name="Group 4"/>
                        <wpg:cNvGrpSpPr>
                          <a:grpSpLocks/>
                        </wpg:cNvGrpSpPr>
                        <wpg:grpSpPr bwMode="auto">
                          <a:xfrm>
                            <a:off x="2083" y="2813"/>
                            <a:ext cx="8521" cy="5915"/>
                            <a:chOff x="14180" y="720"/>
                            <a:chExt cx="65454" cy="34030"/>
                          </a:xfrm>
                        </wpg:grpSpPr>
                        <wps:wsp>
                          <wps:cNvPr id="18" name="Oval 7"/>
                          <wps:cNvSpPr>
                            <a:spLocks noChangeArrowheads="1"/>
                          </wps:cNvSpPr>
                          <wps:spPr bwMode="auto">
                            <a:xfrm>
                              <a:off x="14180" y="10799"/>
                              <a:ext cx="17500" cy="14311"/>
                            </a:xfrm>
                            <a:prstGeom prst="ellipse">
                              <a:avLst/>
                            </a:prstGeom>
                            <a:solidFill>
                              <a:sysClr val="window" lastClr="FFFFFF"/>
                            </a:solidFill>
                            <a:ln w="9525" cap="flat" cmpd="sng" algn="ctr">
                              <a:solidFill>
                                <a:sysClr val="windowText" lastClr="000000"/>
                              </a:solidFill>
                              <a:prstDash val="solid"/>
                              <a:miter lim="800000"/>
                              <a:headEnd/>
                              <a:tailEnd/>
                            </a:ln>
                            <a:effectLst/>
                          </wps:spPr>
                          <wps:txbx>
                            <w:txbxContent>
                              <w:p w14:paraId="7EC3B110" w14:textId="77777777" w:rsidR="005711AE" w:rsidRPr="008B4BA9" w:rsidRDefault="005711AE" w:rsidP="00860FD1">
                                <w:pPr>
                                  <w:pStyle w:val="FigureContent"/>
                                </w:pPr>
                                <w:r w:rsidRPr="00E334CA">
                                  <w:t>National Chain</w:t>
                                </w:r>
                                <w:r>
                                  <w:t>s</w:t>
                                </w:r>
                                <w:r w:rsidRPr="00E334CA">
                                  <w:t xml:space="preserve"> (e.g.</w:t>
                                </w:r>
                                <w:r>
                                  <w:t>,</w:t>
                                </w:r>
                                <w:r w:rsidRPr="00E334CA">
                                  <w:t xml:space="preserve"> Hudson’s Bay)</w:t>
                                </w:r>
                              </w:p>
                            </w:txbxContent>
                          </wps:txbx>
                          <wps:bodyPr rot="0" vert="horz" wrap="square" lIns="91440" tIns="45720" rIns="91440" bIns="45720" anchor="ctr" anchorCtr="0" upright="1">
                            <a:noAutofit/>
                          </wps:bodyPr>
                        </wps:wsp>
                        <wps:wsp>
                          <wps:cNvPr id="19" name="Oval 9"/>
                          <wps:cNvSpPr>
                            <a:spLocks noChangeArrowheads="1"/>
                          </wps:cNvSpPr>
                          <wps:spPr bwMode="auto">
                            <a:xfrm>
                              <a:off x="30963" y="12961"/>
                              <a:ext cx="22548" cy="18722"/>
                            </a:xfrm>
                            <a:prstGeom prst="ellipse">
                              <a:avLst/>
                            </a:prstGeom>
                            <a:solidFill>
                              <a:sysClr val="window" lastClr="FFFFFF"/>
                            </a:solidFill>
                            <a:ln w="9525" cap="flat" cmpd="sng" algn="ctr">
                              <a:solidFill>
                                <a:sysClr val="windowText" lastClr="000000"/>
                              </a:solidFill>
                              <a:prstDash val="solid"/>
                              <a:miter lim="800000"/>
                              <a:headEnd/>
                              <a:tailEnd/>
                            </a:ln>
                            <a:effectLst/>
                          </wps:spPr>
                          <wps:txbx>
                            <w:txbxContent>
                              <w:p w14:paraId="492DB16C" w14:textId="77777777" w:rsidR="005711AE" w:rsidRPr="008B4BA9" w:rsidRDefault="005711AE" w:rsidP="00860FD1">
                                <w:pPr>
                                  <w:pStyle w:val="FigureContent"/>
                                </w:pPr>
                                <w:r w:rsidRPr="008B4BA9">
                                  <w:t>Discount Furniture Chains (e.g.</w:t>
                                </w:r>
                                <w:r>
                                  <w:t>,</w:t>
                                </w:r>
                                <w:r w:rsidRPr="008B4BA9">
                                  <w:t xml:space="preserve"> Leon’s, The Brick)</w:t>
                                </w:r>
                              </w:p>
                            </w:txbxContent>
                          </wps:txbx>
                          <wps:bodyPr rot="0" vert="horz" wrap="square" lIns="91440" tIns="45720" rIns="91440" bIns="45720" anchor="ctr" anchorCtr="0" upright="1">
                            <a:noAutofit/>
                          </wps:bodyPr>
                        </wps:wsp>
                        <wps:wsp>
                          <wps:cNvPr id="20" name="Oval 10"/>
                          <wps:cNvSpPr>
                            <a:spLocks noChangeArrowheads="1"/>
                          </wps:cNvSpPr>
                          <wps:spPr bwMode="auto">
                            <a:xfrm>
                              <a:off x="51372" y="7920"/>
                              <a:ext cx="24055" cy="14551"/>
                            </a:xfrm>
                            <a:prstGeom prst="ellipse">
                              <a:avLst/>
                            </a:prstGeom>
                            <a:solidFill>
                              <a:sysClr val="window" lastClr="FFFFFF"/>
                            </a:solidFill>
                            <a:ln w="9525" cap="flat" cmpd="sng" algn="ctr">
                              <a:solidFill>
                                <a:sysClr val="windowText" lastClr="000000"/>
                              </a:solidFill>
                              <a:prstDash val="solid"/>
                              <a:miter lim="800000"/>
                              <a:headEnd/>
                              <a:tailEnd/>
                            </a:ln>
                            <a:effectLst/>
                          </wps:spPr>
                          <wps:txbx>
                            <w:txbxContent>
                              <w:p w14:paraId="068425CA" w14:textId="77777777" w:rsidR="005711AE" w:rsidRPr="002528F3" w:rsidRDefault="005711AE" w:rsidP="00860FD1">
                                <w:pPr>
                                  <w:pStyle w:val="FigureContent"/>
                                  <w:jc w:val="center"/>
                                </w:pPr>
                                <w:r w:rsidRPr="00844F7D">
                                  <w:t>Local Specialty Stores</w:t>
                                </w:r>
                              </w:p>
                            </w:txbxContent>
                          </wps:txbx>
                          <wps:bodyPr rot="0" vert="horz" wrap="square" lIns="91440" tIns="45720" rIns="91440" bIns="45720" anchor="ctr" anchorCtr="0" upright="1">
                            <a:noAutofit/>
                          </wps:bodyPr>
                        </wps:wsp>
                        <wps:wsp>
                          <wps:cNvPr id="21" name="Oval 11"/>
                          <wps:cNvSpPr>
                            <a:spLocks noChangeArrowheads="1"/>
                          </wps:cNvSpPr>
                          <wps:spPr bwMode="auto">
                            <a:xfrm>
                              <a:off x="63448" y="16941"/>
                              <a:ext cx="15034" cy="17809"/>
                            </a:xfrm>
                            <a:prstGeom prst="ellipse">
                              <a:avLst/>
                            </a:prstGeom>
                            <a:solidFill>
                              <a:sysClr val="window" lastClr="FFFFFF"/>
                            </a:solidFill>
                            <a:ln w="9525" cap="flat" cmpd="sng" algn="ctr">
                              <a:solidFill>
                                <a:sysClr val="windowText" lastClr="000000"/>
                              </a:solidFill>
                              <a:prstDash val="solid"/>
                              <a:miter lim="800000"/>
                              <a:headEnd/>
                              <a:tailEnd/>
                            </a:ln>
                            <a:effectLst/>
                          </wps:spPr>
                          <wps:txbx>
                            <w:txbxContent>
                              <w:p w14:paraId="2335E863" w14:textId="77777777" w:rsidR="005711AE" w:rsidRPr="002528F3" w:rsidRDefault="005711AE" w:rsidP="00860FD1">
                                <w:pPr>
                                  <w:pStyle w:val="FigureContent"/>
                                  <w:jc w:val="center"/>
                                </w:pPr>
                                <w:r w:rsidRPr="00844F7D">
                                  <w:t>I</w:t>
                                </w:r>
                                <w:r>
                                  <w:t>KEA</w:t>
                                </w:r>
                                <w:r w:rsidRPr="00844F7D">
                                  <w:t xml:space="preserve"> (knock-down Euro-styled</w:t>
                                </w:r>
                                <w:r>
                                  <w:t>)</w:t>
                                </w:r>
                              </w:p>
                            </w:txbxContent>
                          </wps:txbx>
                          <wps:bodyPr rot="0" vert="horz" wrap="square" lIns="91440" tIns="45720" rIns="91440" bIns="45720" anchor="ctr" anchorCtr="0" upright="1">
                            <a:noAutofit/>
                          </wps:bodyPr>
                        </wps:wsp>
                        <wps:wsp>
                          <wps:cNvPr id="22" name="Oval 12"/>
                          <wps:cNvSpPr>
                            <a:spLocks noChangeArrowheads="1"/>
                          </wps:cNvSpPr>
                          <wps:spPr bwMode="auto">
                            <a:xfrm>
                              <a:off x="65521" y="720"/>
                              <a:ext cx="14113" cy="11535"/>
                            </a:xfrm>
                            <a:prstGeom prst="ellipse">
                              <a:avLst/>
                            </a:prstGeom>
                            <a:solidFill>
                              <a:sysClr val="window" lastClr="FFFFFF"/>
                            </a:solidFill>
                            <a:ln w="9525" cap="flat" cmpd="sng" algn="ctr">
                              <a:solidFill>
                                <a:sysClr val="windowText" lastClr="000000"/>
                              </a:solidFill>
                              <a:prstDash val="solid"/>
                              <a:miter lim="800000"/>
                              <a:headEnd/>
                              <a:tailEnd/>
                            </a:ln>
                            <a:effectLst/>
                          </wps:spPr>
                          <wps:txbx>
                            <w:txbxContent>
                              <w:p w14:paraId="18D836A2" w14:textId="77777777" w:rsidR="005711AE" w:rsidRPr="002528F3" w:rsidRDefault="005711AE" w:rsidP="00860FD1">
                                <w:pPr>
                                  <w:pStyle w:val="FigureContent"/>
                                  <w:jc w:val="center"/>
                                </w:pPr>
                                <w:r w:rsidRPr="00844F7D">
                                  <w:t>Local Antique Stores</w:t>
                                </w:r>
                              </w:p>
                            </w:txbxContent>
                          </wps:txbx>
                          <wps:bodyPr rot="0" vert="horz" wrap="square" lIns="91440" tIns="45720" rIns="91440" bIns="45720" anchor="ctr" anchorCtr="0" upright="1">
                            <a:noAutofit/>
                          </wps:bodyPr>
                        </wps:wsp>
                      </wpg:grpSp>
                      <wpg:grpSp>
                        <wpg:cNvPr id="23" name="Group 22"/>
                        <wpg:cNvGrpSpPr>
                          <a:grpSpLocks/>
                        </wpg:cNvGrpSpPr>
                        <wpg:grpSpPr bwMode="auto">
                          <a:xfrm>
                            <a:off x="826" y="2700"/>
                            <a:ext cx="10196" cy="7488"/>
                            <a:chOff x="826" y="2700"/>
                            <a:chExt cx="10196" cy="7488"/>
                          </a:xfrm>
                        </wpg:grpSpPr>
                        <wpg:grpSp>
                          <wpg:cNvPr id="24" name="Group 13"/>
                          <wpg:cNvGrpSpPr>
                            <a:grpSpLocks/>
                          </wpg:cNvGrpSpPr>
                          <wpg:grpSpPr bwMode="auto">
                            <a:xfrm>
                              <a:off x="1832" y="2700"/>
                              <a:ext cx="9190" cy="6201"/>
                              <a:chOff x="12241" y="0"/>
                              <a:chExt cx="71288" cy="39604"/>
                            </a:xfrm>
                          </wpg:grpSpPr>
                          <wps:wsp>
                            <wps:cNvPr id="25" name="Straight Connector 14"/>
                            <wps:cNvCnPr>
                              <a:cxnSpLocks noChangeShapeType="1"/>
                            </wps:cNvCnPr>
                            <wps:spPr bwMode="auto">
                              <a:xfrm>
                                <a:off x="12241" y="0"/>
                                <a:ext cx="0" cy="39604"/>
                              </a:xfrm>
                              <a:prstGeom prst="line">
                                <a:avLst/>
                              </a:prstGeom>
                              <a:noFill/>
                              <a:ln w="12700">
                                <a:solidFill>
                                  <a:srgbClr val="000000"/>
                                </a:solidFill>
                                <a:round/>
                                <a:headEnd type="oval" w="med" len="med"/>
                                <a:tailEnd type="oval" w="med" len="med"/>
                              </a:ln>
                              <a:extLst>
                                <a:ext uri="{909E8E84-426E-40dd-AFC4-6F175D3DCCD1}">
                                  <a14:hiddenFill xmlns:cx2="http://schemas.microsoft.com/office/drawing/2015/10/21/chart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cx1="http://schemas.microsoft.com/office/drawing/2015/9/8/chartex" xmlns:cx="http://schemas.microsoft.com/office/drawing/2014/chartex">
                                    <a:noFill/>
                                  </a14:hiddenFill>
                                </a:ext>
                              </a:extLst>
                            </wps:spPr>
                            <wps:bodyPr/>
                          </wps:wsp>
                          <wps:wsp>
                            <wps:cNvPr id="26" name="Straight Connector 15"/>
                            <wps:cNvCnPr>
                              <a:cxnSpLocks noChangeShapeType="1"/>
                            </wps:cNvCnPr>
                            <wps:spPr bwMode="auto">
                              <a:xfrm>
                                <a:off x="12241" y="39604"/>
                                <a:ext cx="71288" cy="0"/>
                              </a:xfrm>
                              <a:prstGeom prst="line">
                                <a:avLst/>
                              </a:prstGeom>
                              <a:noFill/>
                              <a:ln w="12700">
                                <a:solidFill>
                                  <a:srgbClr val="000000"/>
                                </a:solidFill>
                                <a:round/>
                                <a:headEnd type="oval" w="med" len="med"/>
                                <a:tailEnd type="oval" w="med" len="med"/>
                              </a:ln>
                              <a:extLst>
                                <a:ext uri="{909E8E84-426E-40dd-AFC4-6F175D3DCCD1}">
                                  <a14:hiddenFill xmlns:cx2="http://schemas.microsoft.com/office/drawing/2015/10/21/chart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cx1="http://schemas.microsoft.com/office/drawing/2015/9/8/chartex" xmlns:cx="http://schemas.microsoft.com/office/drawing/2014/chartex">
                                    <a:noFill/>
                                  </a14:hiddenFill>
                                </a:ext>
                              </a:extLst>
                            </wps:spPr>
                            <wps:bodyPr/>
                          </wps:wsp>
                        </wpg:grpSp>
                        <wps:wsp>
                          <wps:cNvPr id="27" name="TextBox 13"/>
                          <wps:cNvSpPr txBox="1">
                            <a:spLocks noChangeArrowheads="1"/>
                          </wps:cNvSpPr>
                          <wps:spPr bwMode="auto">
                            <a:xfrm>
                              <a:off x="826" y="2813"/>
                              <a:ext cx="915" cy="573"/>
                            </a:xfrm>
                            <a:prstGeom prst="rect">
                              <a:avLst/>
                            </a:prstGeom>
                            <a:noFill/>
                            <a:ln>
                              <a:noFill/>
                            </a:ln>
                            <a:extLst>
                              <a:ext uri="{909E8E84-426E-40dd-AFC4-6F175D3DCCD1}">
                                <a14:hiddenFill xmlns:cx2="http://schemas.microsoft.com/office/drawing/2015/10/21/chart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cx1="http://schemas.microsoft.com/office/drawing/2015/9/8/chartex" xmlns:cx="http://schemas.microsoft.com/office/drawing/2014/chartex">
                                  <a:solidFill>
                                    <a:srgbClr val="FFFFFF"/>
                                  </a:solidFill>
                                </a14:hiddenFill>
                              </a:ext>
                              <a:ext uri="{91240B29-F687-4f45-9708-019B960494DF}">
                                <a14:hiddenLine xmlns:cx2="http://schemas.microsoft.com/office/drawing/2015/10/21/chart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cx1="http://schemas.microsoft.com/office/drawing/2015/9/8/chartex" xmlns:cx="http://schemas.microsoft.com/office/drawing/2014/chartex" w="9525">
                                  <a:solidFill>
                                    <a:srgbClr val="000000"/>
                                  </a:solidFill>
                                  <a:miter lim="800000"/>
                                  <a:headEnd/>
                                  <a:tailEnd/>
                                </a14:hiddenLine>
                              </a:ext>
                            </a:extLst>
                          </wps:spPr>
                          <wps:txbx>
                            <w:txbxContent>
                              <w:p w14:paraId="6192112F" w14:textId="77777777" w:rsidR="005711AE" w:rsidRPr="00E334CA" w:rsidRDefault="005711AE" w:rsidP="00860FD1">
                                <w:pPr>
                                  <w:pStyle w:val="FigureContent"/>
                                  <w:jc w:val="center"/>
                                  <w:rPr>
                                    <w:i/>
                                  </w:rPr>
                                </w:pPr>
                                <w:r w:rsidRPr="00E334CA">
                                  <w:rPr>
                                    <w:i/>
                                  </w:rPr>
                                  <w:t>High</w:t>
                                </w:r>
                              </w:p>
                            </w:txbxContent>
                          </wps:txbx>
                          <wps:bodyPr rot="0" vert="horz" wrap="square" lIns="91440" tIns="45720" rIns="91440" bIns="45720" anchor="ctr" anchorCtr="0" upright="1">
                            <a:noAutofit/>
                          </wps:bodyPr>
                        </wps:wsp>
                        <wps:wsp>
                          <wps:cNvPr id="28" name="TextBox 14"/>
                          <wps:cNvSpPr txBox="1">
                            <a:spLocks noChangeArrowheads="1"/>
                          </wps:cNvSpPr>
                          <wps:spPr bwMode="auto">
                            <a:xfrm>
                              <a:off x="844" y="8355"/>
                              <a:ext cx="897" cy="573"/>
                            </a:xfrm>
                            <a:prstGeom prst="rect">
                              <a:avLst/>
                            </a:prstGeom>
                            <a:noFill/>
                            <a:ln>
                              <a:noFill/>
                            </a:ln>
                            <a:extLst>
                              <a:ext uri="{909E8E84-426E-40dd-AFC4-6F175D3DCCD1}">
                                <a14:hiddenFill xmlns:cx2="http://schemas.microsoft.com/office/drawing/2015/10/21/chart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cx1="http://schemas.microsoft.com/office/drawing/2015/9/8/chartex" xmlns:cx="http://schemas.microsoft.com/office/drawing/2014/chartex">
                                  <a:solidFill>
                                    <a:srgbClr val="FFFFFF"/>
                                  </a:solidFill>
                                </a14:hiddenFill>
                              </a:ext>
                              <a:ext uri="{91240B29-F687-4f45-9708-019B960494DF}">
                                <a14:hiddenLine xmlns:cx2="http://schemas.microsoft.com/office/drawing/2015/10/21/chart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cx1="http://schemas.microsoft.com/office/drawing/2015/9/8/chartex" xmlns:cx="http://schemas.microsoft.com/office/drawing/2014/chartex" w="9525">
                                  <a:solidFill>
                                    <a:srgbClr val="000000"/>
                                  </a:solidFill>
                                  <a:miter lim="800000"/>
                                  <a:headEnd/>
                                  <a:tailEnd/>
                                </a14:hiddenLine>
                              </a:ext>
                            </a:extLst>
                          </wps:spPr>
                          <wps:txbx>
                            <w:txbxContent>
                              <w:p w14:paraId="09862CC4" w14:textId="77777777" w:rsidR="005711AE" w:rsidRPr="00E334CA" w:rsidRDefault="005711AE" w:rsidP="00860FD1">
                                <w:pPr>
                                  <w:pStyle w:val="FigureContent"/>
                                  <w:rPr>
                                    <w:i/>
                                  </w:rPr>
                                </w:pPr>
                                <w:r w:rsidRPr="00E334CA">
                                  <w:rPr>
                                    <w:i/>
                                  </w:rPr>
                                  <w:t>Low</w:t>
                                </w:r>
                              </w:p>
                            </w:txbxContent>
                          </wps:txbx>
                          <wps:bodyPr rot="0" vert="horz" wrap="square" lIns="91440" tIns="45720" rIns="91440" bIns="45720" anchor="ctr" anchorCtr="0" upright="1">
                            <a:noAutofit/>
                          </wps:bodyPr>
                        </wps:wsp>
                        <wps:wsp>
                          <wps:cNvPr id="29" name="TextBox 15"/>
                          <wps:cNvSpPr txBox="1">
                            <a:spLocks noChangeArrowheads="1"/>
                          </wps:cNvSpPr>
                          <wps:spPr bwMode="auto">
                            <a:xfrm>
                              <a:off x="1879" y="9066"/>
                              <a:ext cx="3516" cy="573"/>
                            </a:xfrm>
                            <a:prstGeom prst="rect">
                              <a:avLst/>
                            </a:prstGeom>
                            <a:noFill/>
                            <a:ln>
                              <a:noFill/>
                            </a:ln>
                            <a:extLst>
                              <a:ext uri="{909E8E84-426E-40dd-AFC4-6F175D3DCCD1}">
                                <a14:hiddenFill xmlns:cx2="http://schemas.microsoft.com/office/drawing/2015/10/21/chart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cx1="http://schemas.microsoft.com/office/drawing/2015/9/8/chartex" xmlns:cx="http://schemas.microsoft.com/office/drawing/2014/chartex">
                                  <a:solidFill>
                                    <a:srgbClr val="FFFFFF"/>
                                  </a:solidFill>
                                </a14:hiddenFill>
                              </a:ext>
                              <a:ext uri="{91240B29-F687-4f45-9708-019B960494DF}">
                                <a14:hiddenLine xmlns:cx2="http://schemas.microsoft.com/office/drawing/2015/10/21/chart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cx1="http://schemas.microsoft.com/office/drawing/2015/9/8/chartex" xmlns:cx="http://schemas.microsoft.com/office/drawing/2014/chartex" w="9525">
                                  <a:solidFill>
                                    <a:srgbClr val="000000"/>
                                  </a:solidFill>
                                  <a:miter lim="800000"/>
                                  <a:headEnd/>
                                  <a:tailEnd/>
                                </a14:hiddenLine>
                              </a:ext>
                            </a:extLst>
                          </wps:spPr>
                          <wps:txbx>
                            <w:txbxContent>
                              <w:p w14:paraId="14D8FBEC" w14:textId="77777777" w:rsidR="005711AE" w:rsidRPr="00E334CA" w:rsidRDefault="005711AE" w:rsidP="00860FD1">
                                <w:pPr>
                                  <w:pStyle w:val="FigureContent"/>
                                  <w:jc w:val="center"/>
                                  <w:rPr>
                                    <w:i/>
                                  </w:rPr>
                                </w:pPr>
                                <w:r w:rsidRPr="00E334CA">
                                  <w:rPr>
                                    <w:i/>
                                  </w:rPr>
                                  <w:t>Full-</w:t>
                                </w:r>
                                <w:r>
                                  <w:rPr>
                                    <w:i/>
                                  </w:rPr>
                                  <w:t>L</w:t>
                                </w:r>
                                <w:r w:rsidRPr="00E334CA">
                                  <w:rPr>
                                    <w:i/>
                                  </w:rPr>
                                  <w:t>ine Mass Merchandiser</w:t>
                                </w:r>
                              </w:p>
                            </w:txbxContent>
                          </wps:txbx>
                          <wps:bodyPr rot="0" vert="horz" wrap="square" lIns="91440" tIns="45720" rIns="91440" bIns="45720" anchor="ctr" anchorCtr="0" upright="1">
                            <a:noAutofit/>
                          </wps:bodyPr>
                        </wps:wsp>
                        <wps:wsp>
                          <wps:cNvPr id="30" name="TextBox 16"/>
                          <wps:cNvSpPr txBox="1">
                            <a:spLocks noChangeArrowheads="1"/>
                          </wps:cNvSpPr>
                          <wps:spPr bwMode="auto">
                            <a:xfrm>
                              <a:off x="6314" y="9066"/>
                              <a:ext cx="1441" cy="573"/>
                            </a:xfrm>
                            <a:prstGeom prst="rect">
                              <a:avLst/>
                            </a:prstGeom>
                            <a:noFill/>
                            <a:ln>
                              <a:noFill/>
                            </a:ln>
                            <a:extLst>
                              <a:ext uri="{909E8E84-426E-40dd-AFC4-6F175D3DCCD1}">
                                <a14:hiddenFill xmlns:cx2="http://schemas.microsoft.com/office/drawing/2015/10/21/chart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cx1="http://schemas.microsoft.com/office/drawing/2015/9/8/chartex" xmlns:cx="http://schemas.microsoft.com/office/drawing/2014/chartex">
                                  <a:solidFill>
                                    <a:srgbClr val="FFFFFF"/>
                                  </a:solidFill>
                                </a14:hiddenFill>
                              </a:ext>
                              <a:ext uri="{91240B29-F687-4f45-9708-019B960494DF}">
                                <a14:hiddenLine xmlns:cx2="http://schemas.microsoft.com/office/drawing/2015/10/21/chart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cx1="http://schemas.microsoft.com/office/drawing/2015/9/8/chartex" xmlns:cx="http://schemas.microsoft.com/office/drawing/2014/chartex" w="9525">
                                  <a:solidFill>
                                    <a:srgbClr val="000000"/>
                                  </a:solidFill>
                                  <a:miter lim="800000"/>
                                  <a:headEnd/>
                                  <a:tailEnd/>
                                </a14:hiddenLine>
                              </a:ext>
                            </a:extLst>
                          </wps:spPr>
                          <wps:txbx>
                            <w:txbxContent>
                              <w:p w14:paraId="71E2B31D" w14:textId="77777777" w:rsidR="005711AE" w:rsidRPr="00E334CA" w:rsidRDefault="005711AE" w:rsidP="00860FD1">
                                <w:pPr>
                                  <w:pStyle w:val="FigureContent"/>
                                  <w:jc w:val="center"/>
                                  <w:rPr>
                                    <w:i/>
                                  </w:rPr>
                                </w:pPr>
                                <w:r w:rsidRPr="00E334CA">
                                  <w:rPr>
                                    <w:i/>
                                  </w:rPr>
                                  <w:t>Full-</w:t>
                                </w:r>
                                <w:r>
                                  <w:rPr>
                                    <w:i/>
                                  </w:rPr>
                                  <w:t>L</w:t>
                                </w:r>
                                <w:r w:rsidRPr="00E334CA">
                                  <w:rPr>
                                    <w:i/>
                                  </w:rPr>
                                  <w:t>ine</w:t>
                                </w:r>
                              </w:p>
                            </w:txbxContent>
                          </wps:txbx>
                          <wps:bodyPr rot="0" vert="horz" wrap="square" lIns="91440" tIns="45720" rIns="91440" bIns="45720" anchor="ctr" anchorCtr="0" upright="1">
                            <a:noAutofit/>
                          </wps:bodyPr>
                        </wps:wsp>
                        <wps:wsp>
                          <wps:cNvPr id="31" name="TextBox 17"/>
                          <wps:cNvSpPr txBox="1">
                            <a:spLocks noChangeArrowheads="1"/>
                          </wps:cNvSpPr>
                          <wps:spPr bwMode="auto">
                            <a:xfrm>
                              <a:off x="9533" y="9066"/>
                              <a:ext cx="1393" cy="573"/>
                            </a:xfrm>
                            <a:prstGeom prst="rect">
                              <a:avLst/>
                            </a:prstGeom>
                            <a:noFill/>
                            <a:ln>
                              <a:noFill/>
                            </a:ln>
                            <a:extLst>
                              <a:ext uri="{909E8E84-426E-40dd-AFC4-6F175D3DCCD1}">
                                <a14:hiddenFill xmlns:cx2="http://schemas.microsoft.com/office/drawing/2015/10/21/chart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cx1="http://schemas.microsoft.com/office/drawing/2015/9/8/chartex" xmlns:cx="http://schemas.microsoft.com/office/drawing/2014/chartex">
                                  <a:solidFill>
                                    <a:srgbClr val="FFFFFF"/>
                                  </a:solidFill>
                                </a14:hiddenFill>
                              </a:ext>
                              <a:ext uri="{91240B29-F687-4f45-9708-019B960494DF}">
                                <a14:hiddenLine xmlns:cx2="http://schemas.microsoft.com/office/drawing/2015/10/21/chart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cx1="http://schemas.microsoft.com/office/drawing/2015/9/8/chartex" xmlns:cx="http://schemas.microsoft.com/office/drawing/2014/chartex" w="9525">
                                  <a:solidFill>
                                    <a:srgbClr val="000000"/>
                                  </a:solidFill>
                                  <a:miter lim="800000"/>
                                  <a:headEnd/>
                                  <a:tailEnd/>
                                </a14:hiddenLine>
                              </a:ext>
                            </a:extLst>
                          </wps:spPr>
                          <wps:txbx>
                            <w:txbxContent>
                              <w:p w14:paraId="5A8BDD51" w14:textId="77777777" w:rsidR="005711AE" w:rsidRPr="00E334CA" w:rsidRDefault="005711AE" w:rsidP="00860FD1">
                                <w:pPr>
                                  <w:pStyle w:val="FigureContent"/>
                                  <w:jc w:val="center"/>
                                  <w:rPr>
                                    <w:i/>
                                  </w:rPr>
                                </w:pPr>
                                <w:r w:rsidRPr="00E334CA">
                                  <w:rPr>
                                    <w:i/>
                                  </w:rPr>
                                  <w:t>Specialty</w:t>
                                </w:r>
                              </w:p>
                            </w:txbxContent>
                          </wps:txbx>
                          <wps:bodyPr rot="0" vert="horz" wrap="square" lIns="91440" tIns="45720" rIns="91440" bIns="45720" anchor="ctr" anchorCtr="0" upright="1">
                            <a:noAutofit/>
                          </wps:bodyPr>
                        </wps:wsp>
                        <wps:wsp>
                          <wps:cNvPr id="32" name="TextBox 18"/>
                          <wps:cNvSpPr txBox="1">
                            <a:spLocks noChangeArrowheads="1"/>
                          </wps:cNvSpPr>
                          <wps:spPr bwMode="auto">
                            <a:xfrm>
                              <a:off x="2610" y="9615"/>
                              <a:ext cx="7995" cy="573"/>
                            </a:xfrm>
                            <a:prstGeom prst="rect">
                              <a:avLst/>
                            </a:prstGeom>
                            <a:noFill/>
                            <a:ln>
                              <a:noFill/>
                            </a:ln>
                            <a:extLst>
                              <a:ext uri="{909E8E84-426E-40dd-AFC4-6F175D3DCCD1}">
                                <a14:hiddenFill xmlns:cx2="http://schemas.microsoft.com/office/drawing/2015/10/21/chart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cx1="http://schemas.microsoft.com/office/drawing/2015/9/8/chartex" xmlns:cx="http://schemas.microsoft.com/office/drawing/2014/chartex">
                                  <a:solidFill>
                                    <a:srgbClr val="FFFFFF"/>
                                  </a:solidFill>
                                </a14:hiddenFill>
                              </a:ext>
                              <a:ext uri="{91240B29-F687-4f45-9708-019B960494DF}">
                                <a14:hiddenLine xmlns:cx2="http://schemas.microsoft.com/office/drawing/2015/10/21/chart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cx1="http://schemas.microsoft.com/office/drawing/2015/9/8/chartex" xmlns:cx="http://schemas.microsoft.com/office/drawing/2014/chartex" w="9525">
                                  <a:solidFill>
                                    <a:srgbClr val="000000"/>
                                  </a:solidFill>
                                  <a:miter lim="800000"/>
                                  <a:headEnd/>
                                  <a:tailEnd/>
                                </a14:hiddenLine>
                              </a:ext>
                            </a:extLst>
                          </wps:spPr>
                          <wps:txbx>
                            <w:txbxContent>
                              <w:p w14:paraId="6A3E9BFF" w14:textId="2F126F71" w:rsidR="005711AE" w:rsidRPr="00E334CA" w:rsidRDefault="005711AE" w:rsidP="00860FD1">
                                <w:pPr>
                                  <w:pStyle w:val="FigureContent"/>
                                  <w:jc w:val="center"/>
                                  <w:rPr>
                                    <w:b/>
                                  </w:rPr>
                                </w:pPr>
                                <w:r>
                                  <w:rPr>
                                    <w:b/>
                                  </w:rPr>
                                  <w:t xml:space="preserve">Width of </w:t>
                                </w:r>
                                <w:r w:rsidRPr="00E334CA">
                                  <w:rPr>
                                    <w:b/>
                                  </w:rPr>
                                  <w:t xml:space="preserve">Product </w:t>
                                </w:r>
                                <w:r>
                                  <w:rPr>
                                    <w:b/>
                                  </w:rPr>
                                  <w:t>L</w:t>
                                </w:r>
                                <w:r w:rsidRPr="00E334CA">
                                  <w:rPr>
                                    <w:b/>
                                  </w:rPr>
                                  <w:t>ine</w:t>
                                </w:r>
                                <w:r>
                                  <w:rPr>
                                    <w:b/>
                                  </w:rPr>
                                  <w:t xml:space="preserve">, Range of </w:t>
                                </w:r>
                                <w:r w:rsidRPr="00E334CA">
                                  <w:rPr>
                                    <w:b/>
                                  </w:rPr>
                                  <w:t>Merchandise Mix</w:t>
                                </w:r>
                              </w:p>
                            </w:txbxContent>
                          </wps:txbx>
                          <wps:bodyPr rot="0" vert="horz" wrap="square" lIns="91440" tIns="45720" rIns="91440" bIns="45720" anchor="t" anchorCtr="0" upright="1">
                            <a:noAutofit/>
                          </wps:bodyPr>
                        </wps:wsp>
                        <wps:wsp>
                          <wps:cNvPr id="33" name="TextBox 19"/>
                          <wps:cNvSpPr txBox="1">
                            <a:spLocks noChangeArrowheads="1"/>
                          </wps:cNvSpPr>
                          <wps:spPr bwMode="auto">
                            <a:xfrm>
                              <a:off x="1160" y="3888"/>
                              <a:ext cx="589" cy="3899"/>
                            </a:xfrm>
                            <a:prstGeom prst="rect">
                              <a:avLst/>
                            </a:prstGeom>
                            <a:noFill/>
                            <a:ln>
                              <a:noFill/>
                            </a:ln>
                            <a:extLst>
                              <a:ext uri="{909E8E84-426E-40dd-AFC4-6F175D3DCCD1}">
                                <a14:hiddenFill xmlns:cx2="http://schemas.microsoft.com/office/drawing/2015/10/21/chart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cx1="http://schemas.microsoft.com/office/drawing/2015/9/8/chartex" xmlns:cx="http://schemas.microsoft.com/office/drawing/2014/chartex">
                                  <a:solidFill>
                                    <a:srgbClr val="FFFFFF"/>
                                  </a:solidFill>
                                </a14:hiddenFill>
                              </a:ext>
                              <a:ext uri="{91240B29-F687-4f45-9708-019B960494DF}">
                                <a14:hiddenLine xmlns:cx2="http://schemas.microsoft.com/office/drawing/2015/10/21/chart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cx1="http://schemas.microsoft.com/office/drawing/2015/9/8/chartex" xmlns:cx="http://schemas.microsoft.com/office/drawing/2014/chartex" w="9525">
                                  <a:solidFill>
                                    <a:srgbClr val="000000"/>
                                  </a:solidFill>
                                  <a:miter lim="800000"/>
                                  <a:headEnd/>
                                  <a:tailEnd/>
                                </a14:hiddenLine>
                              </a:ext>
                            </a:extLst>
                          </wps:spPr>
                          <wps:txbx>
                            <w:txbxContent>
                              <w:p w14:paraId="5C689D0C" w14:textId="7149FDB1" w:rsidR="005711AE" w:rsidRPr="00E334CA" w:rsidRDefault="005711AE" w:rsidP="00860FD1">
                                <w:pPr>
                                  <w:pStyle w:val="FigureContent"/>
                                  <w:jc w:val="center"/>
                                  <w:rPr>
                                    <w:b/>
                                  </w:rPr>
                                </w:pPr>
                                <w:r w:rsidRPr="00E334CA">
                                  <w:rPr>
                                    <w:b/>
                                  </w:rPr>
                                  <w:t>Price</w:t>
                                </w:r>
                                <w:r>
                                  <w:rPr>
                                    <w:b/>
                                  </w:rPr>
                                  <w:t xml:space="preserve"> Relative to </w:t>
                                </w:r>
                                <w:r w:rsidRPr="00E334CA">
                                  <w:rPr>
                                    <w:b/>
                                  </w:rPr>
                                  <w:t>Quality</w:t>
                                </w:r>
                              </w:p>
                            </w:txbxContent>
                          </wps:txbx>
                          <wps:bodyPr rot="0" vert="vert270" wrap="square" lIns="91440" tIns="45720" rIns="91440" bIns="45720" anchor="ctr" anchorCtr="0" upright="1">
                            <a:noAutofit/>
                          </wps:bodyPr>
                        </wps:wsp>
                      </wpg:grpSp>
                    </wpg:wgp>
                  </a:graphicData>
                </a:graphic>
              </wp:inline>
            </w:drawing>
          </mc:Choice>
          <mc:Fallback xmlns:w16se="http://schemas.microsoft.com/office/word/2015/wordml/symex" xmlns:cx1="http://schemas.microsoft.com/office/drawing/2015/9/8/chartex" xmlns:cx="http://schemas.microsoft.com/office/drawing/2014/chartex">
            <w:pict>
              <v:group w14:anchorId="5AFA9336" id="Group 16" o:spid="_x0000_s1053" style="width:426.8pt;height:241.3pt;mso-position-horizontal-relative:char;mso-position-vertical-relative:line" coordorigin="826,2700" coordsize="10196,7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">
                <o:lock v:ext="edit" aspectratio="t"/>
                <v:group id="Group 4" o:spid="_x0000_s1054" style="position:absolute;left:2083;top:2813;width:8521;height:5915" coordorigin="14180,720" coordsize="65454,34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oval id="Oval 7" o:spid="_x0000_s1055" style="position:absolute;left:14180;top:10799;width:17500;height:143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" fillcolor="window" strokecolor="windowText">
                    <v:stroke joinstyle="miter"/>
                    <v:textbox>
                      <w:txbxContent>
                        <w:p w14:paraId="7EC3B110" w14:textId="77777777" w:rsidR="005711AE" w:rsidRPr="008B4BA9" w:rsidRDefault="005711AE" w:rsidP="00860FD1">
                          <w:pPr>
                            <w:pStyle w:val="FigureContent"/>
                          </w:pPr>
                          <w:r w:rsidRPr="00E334CA">
                            <w:t>National Chain</w:t>
                          </w:r>
                          <w:r>
                            <w:t>s</w:t>
                          </w:r>
                          <w:r w:rsidRPr="00E334CA">
                            <w:t xml:space="preserve"> (e.g.</w:t>
                          </w:r>
                          <w:r>
                            <w:t>,</w:t>
                          </w:r>
                          <w:r w:rsidRPr="00E334CA">
                            <w:t xml:space="preserve"> Hudson’s Bay)</w:t>
                          </w:r>
                        </w:p>
                      </w:txbxContent>
                    </v:textbox>
                  </v:oval>
                  <v:oval id="Oval 9" o:spid="_x0000_s1056" style="position:absolute;left:30963;top:12961;width:22548;height:18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" fillcolor="window" strokecolor="windowText">
                    <v:stroke joinstyle="miter"/>
                    <v:textbox>
                      <w:txbxContent>
                        <w:p w14:paraId="492DB16C" w14:textId="77777777" w:rsidR="005711AE" w:rsidRPr="008B4BA9" w:rsidRDefault="005711AE" w:rsidP="00860FD1">
                          <w:pPr>
                            <w:pStyle w:val="FigureContent"/>
                          </w:pPr>
                          <w:r w:rsidRPr="008B4BA9">
                            <w:t>Discount Furniture Chains (e.g.</w:t>
                          </w:r>
                          <w:r>
                            <w:t>,</w:t>
                          </w:r>
                          <w:r w:rsidRPr="008B4BA9">
                            <w:t xml:space="preserve"> Leon’s, The Brick)</w:t>
                          </w:r>
                        </w:p>
                      </w:txbxContent>
                    </v:textbox>
                  </v:oval>
                  <v:oval id="Oval 10" o:spid="_x0000_s1057" style="position:absolute;left:51372;top:7920;width:24055;height:145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" fillcolor="window" strokecolor="windowText">
                    <v:stroke joinstyle="miter"/>
                    <v:textbox>
                      <w:txbxContent>
                        <w:p w14:paraId="068425CA" w14:textId="77777777" w:rsidR="005711AE" w:rsidRPr="002528F3" w:rsidRDefault="005711AE" w:rsidP="00860FD1">
                          <w:pPr>
                            <w:pStyle w:val="FigureContent"/>
                            <w:jc w:val="center"/>
                          </w:pPr>
                          <w:r w:rsidRPr="00844F7D">
                            <w:t>Local Specialty Stores</w:t>
                          </w:r>
                        </w:p>
                      </w:txbxContent>
                    </v:textbox>
                  </v:oval>
                  <v:oval id="Oval 11" o:spid="_x0000_s1058" style="position:absolute;left:63448;top:16941;width:15034;height:17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" fillcolor="window" strokecolor="windowText">
                    <v:stroke joinstyle="miter"/>
                    <v:textbox>
                      <w:txbxContent>
                        <w:p w14:paraId="2335E863" w14:textId="77777777" w:rsidR="005711AE" w:rsidRPr="002528F3" w:rsidRDefault="005711AE" w:rsidP="00860FD1">
                          <w:pPr>
                            <w:pStyle w:val="FigureContent"/>
                            <w:jc w:val="center"/>
                          </w:pPr>
                          <w:r w:rsidRPr="00844F7D">
                            <w:t>I</w:t>
                          </w:r>
                          <w:r>
                            <w:t>KEA</w:t>
                          </w:r>
                          <w:r w:rsidRPr="00844F7D">
                            <w:t xml:space="preserve"> (knock-down Euro-styled</w:t>
                          </w:r>
                          <w:r>
                            <w:t>)</w:t>
                          </w:r>
                        </w:p>
                      </w:txbxContent>
                    </v:textbox>
                  </v:oval>
                  <v:oval id="Oval 12" o:spid="_x0000_s1059" style="position:absolute;left:65521;top:720;width:14113;height:115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" fillcolor="window" strokecolor="windowText">
                    <v:stroke joinstyle="miter"/>
                    <v:textbox>
                      <w:txbxContent>
                        <w:p w14:paraId="18D836A2" w14:textId="77777777" w:rsidR="005711AE" w:rsidRPr="002528F3" w:rsidRDefault="005711AE" w:rsidP="00860FD1">
                          <w:pPr>
                            <w:pStyle w:val="FigureContent"/>
                            <w:jc w:val="center"/>
                          </w:pPr>
                          <w:r w:rsidRPr="00844F7D">
                            <w:t>Local Antique Stores</w:t>
                          </w:r>
                        </w:p>
                      </w:txbxContent>
                    </v:textbox>
                  </v:oval>
                </v:group>
                <v:group id="Group 22" o:spid="_x0000_s1060" style="position:absolute;left:826;top:2700;width:10196;height:7488" coordorigin="826,2700" coordsize="10196,7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group id="Group 13" o:spid="_x0000_s1061" style="position:absolute;left:1832;top:2700;width:9190;height:6201" coordorigin="12241" coordsize="71288,39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line id="Straight Connector 14" o:spid="_x0000_s1062" style="position:absolute;visibility:visible;mso-wrap-style:square" from="12241,0" to="12241,39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" strokeweight="1pt">
                      <v:stroke startarrow="oval" endarrow="oval"/>
                    </v:line>
                    <v:line id="Straight Connector 15" o:spid="_x0000_s1063" style="position:absolute;visibility:visible;mso-wrap-style:square" from="12241,39604" to="83529,39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" strokeweight="1pt">
                      <v:stroke startarrow="oval" endarrow="oval"/>
                    </v:line>
                  </v:group>
                  <v:shapetype id="_x0000_t202" coordsize="21600,21600" o:spt="202" path="m,l,21600r21600,l21600,xe">
                    <v:stroke joinstyle="miter"/>
                    <v:path gradientshapeok="t" o:connecttype="rect"/>
                  </v:shapetype>
                  <v:shape id="TextBox 13" o:spid="_x0000_s1064" type="#_x0000_t202" style="position:absolute;left:826;top:2813;width:915;height: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" filled="f" stroked="f">
                    <v:textbox>
                      <w:txbxContent>
                        <w:p w14:paraId="6192112F" w14:textId="77777777" w:rsidR="005711AE" w:rsidRPr="00E334CA" w:rsidRDefault="005711AE" w:rsidP="00860FD1">
                          <w:pPr>
                            <w:pStyle w:val="FigureContent"/>
                            <w:jc w:val="center"/>
                            <w:rPr>
                              <w:i/>
                            </w:rPr>
                          </w:pPr>
                          <w:r w:rsidRPr="00E334CA">
                            <w:rPr>
                              <w:i/>
                            </w:rPr>
                            <w:t>High</w:t>
                          </w:r>
                        </w:p>
                      </w:txbxContent>
                    </v:textbox>
                  </v:shape>
                  <v:shape id="TextBox 14" o:spid="_x0000_s1065" type="#_x0000_t202" style="position:absolute;left:844;top:8355;width:897;height: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" filled="f" stroked="f">
                    <v:textbox>
                      <w:txbxContent>
                        <w:p w14:paraId="09862CC4" w14:textId="77777777" w:rsidR="005711AE" w:rsidRPr="00E334CA" w:rsidRDefault="005711AE" w:rsidP="00860FD1">
                          <w:pPr>
                            <w:pStyle w:val="FigureContent"/>
                            <w:rPr>
                              <w:i/>
                            </w:rPr>
                          </w:pPr>
                          <w:r w:rsidRPr="00E334CA">
                            <w:rPr>
                              <w:i/>
                            </w:rPr>
                            <w:t>Low</w:t>
                          </w:r>
                        </w:p>
                      </w:txbxContent>
                    </v:textbox>
                  </v:shape>
                  <v:shape id="TextBox 15" o:spid="_x0000_s1066" type="#_x0000_t202" style="position:absolute;left:1879;top:9066;width:3516;height: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" filled="f" stroked="f">
                    <v:textbox>
                      <w:txbxContent>
                        <w:p w14:paraId="14D8FBEC" w14:textId="77777777" w:rsidR="005711AE" w:rsidRPr="00E334CA" w:rsidRDefault="005711AE" w:rsidP="00860FD1">
                          <w:pPr>
                            <w:pStyle w:val="FigureContent"/>
                            <w:jc w:val="center"/>
                            <w:rPr>
                              <w:i/>
                            </w:rPr>
                          </w:pPr>
                          <w:r w:rsidRPr="00E334CA">
                            <w:rPr>
                              <w:i/>
                            </w:rPr>
                            <w:t>Full-</w:t>
                          </w:r>
                          <w:r>
                            <w:rPr>
                              <w:i/>
                            </w:rPr>
                            <w:t>L</w:t>
                          </w:r>
                          <w:r w:rsidRPr="00E334CA">
                            <w:rPr>
                              <w:i/>
                            </w:rPr>
                            <w:t>ine Mass Merchandiser</w:t>
                          </w:r>
                        </w:p>
                      </w:txbxContent>
                    </v:textbox>
                  </v:shape>
                  <v:shape id="TextBox 16" o:spid="_x0000_s1067" type="#_x0000_t202" style="position:absolute;left:6314;top:9066;width:1441;height: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" filled="f" stroked="f">
                    <v:textbox>
                      <w:txbxContent>
                        <w:p w14:paraId="71E2B31D" w14:textId="77777777" w:rsidR="005711AE" w:rsidRPr="00E334CA" w:rsidRDefault="005711AE" w:rsidP="00860FD1">
                          <w:pPr>
                            <w:pStyle w:val="FigureContent"/>
                            <w:jc w:val="center"/>
                            <w:rPr>
                              <w:i/>
                            </w:rPr>
                          </w:pPr>
                          <w:r w:rsidRPr="00E334CA">
                            <w:rPr>
                              <w:i/>
                            </w:rPr>
                            <w:t>Full-</w:t>
                          </w:r>
                          <w:r>
                            <w:rPr>
                              <w:i/>
                            </w:rPr>
                            <w:t>L</w:t>
                          </w:r>
                          <w:r w:rsidRPr="00E334CA">
                            <w:rPr>
                              <w:i/>
                            </w:rPr>
                            <w:t>ine</w:t>
                          </w:r>
                        </w:p>
                      </w:txbxContent>
                    </v:textbox>
                  </v:shape>
                  <v:shape id="TextBox 17" o:spid="_x0000_s1068" type="#_x0000_t202" style="position:absolute;left:9533;top:9066;width:1393;height: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" filled="f" stroked="f">
                    <v:textbox>
                      <w:txbxContent>
                        <w:p w14:paraId="5A8BDD51" w14:textId="77777777" w:rsidR="005711AE" w:rsidRPr="00E334CA" w:rsidRDefault="005711AE" w:rsidP="00860FD1">
                          <w:pPr>
                            <w:pStyle w:val="FigureContent"/>
                            <w:jc w:val="center"/>
                            <w:rPr>
                              <w:i/>
                            </w:rPr>
                          </w:pPr>
                          <w:r w:rsidRPr="00E334CA">
                            <w:rPr>
                              <w:i/>
                            </w:rPr>
                            <w:t>Specialty</w:t>
                          </w:r>
                        </w:p>
                      </w:txbxContent>
                    </v:textbox>
                  </v:shape>
                  <v:shape id="TextBox 18" o:spid="_x0000_s1069" type="#_x0000_t202" style="position:absolute;left:2610;top:9615;width:7995;height: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14:paraId="6A3E9BFF" w14:textId="2F126F71" w:rsidR="005711AE" w:rsidRPr="00E334CA" w:rsidRDefault="005711AE" w:rsidP="00860FD1">
                          <w:pPr>
                            <w:pStyle w:val="FigureContent"/>
                            <w:jc w:val="center"/>
                            <w:rPr>
                              <w:b/>
                            </w:rPr>
                          </w:pPr>
                          <w:r>
                            <w:rPr>
                              <w:b/>
                            </w:rPr>
                            <w:t xml:space="preserve">Width of </w:t>
                          </w:r>
                          <w:r w:rsidRPr="00E334CA">
                            <w:rPr>
                              <w:b/>
                            </w:rPr>
                            <w:t xml:space="preserve">Product </w:t>
                          </w:r>
                          <w:r>
                            <w:rPr>
                              <w:b/>
                            </w:rPr>
                            <w:t>L</w:t>
                          </w:r>
                          <w:r w:rsidRPr="00E334CA">
                            <w:rPr>
                              <w:b/>
                            </w:rPr>
                            <w:t>ine</w:t>
                          </w:r>
                          <w:r>
                            <w:rPr>
                              <w:b/>
                            </w:rPr>
                            <w:t xml:space="preserve">, Range of </w:t>
                          </w:r>
                          <w:r w:rsidRPr="00E334CA">
                            <w:rPr>
                              <w:b/>
                            </w:rPr>
                            <w:t>Merchandise Mix</w:t>
                          </w:r>
                        </w:p>
                      </w:txbxContent>
                    </v:textbox>
                  </v:shape>
                  <v:shape id="TextBox 19" o:spid="_x0000_s1070" type="#_x0000_t202" style="position:absolute;left:1160;top:3888;width:589;height:38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" filled="f" stroked="f">
                    <v:textbox style="layout-flow:vertical;mso-layout-flow-alt:bottom-to-top">
                      <w:txbxContent>
                        <w:p w14:paraId="5C689D0C" w14:textId="7149FDB1" w:rsidR="005711AE" w:rsidRPr="00E334CA" w:rsidRDefault="005711AE" w:rsidP="00860FD1">
                          <w:pPr>
                            <w:pStyle w:val="FigureContent"/>
                            <w:jc w:val="center"/>
                            <w:rPr>
                              <w:b/>
                            </w:rPr>
                          </w:pPr>
                          <w:r w:rsidRPr="00E334CA">
                            <w:rPr>
                              <w:b/>
                            </w:rPr>
                            <w:t>Price</w:t>
                          </w:r>
                          <w:r>
                            <w:rPr>
                              <w:b/>
                            </w:rPr>
                            <w:t xml:space="preserve"> Relative to </w:t>
                          </w:r>
                          <w:r w:rsidRPr="00E334CA">
                            <w:rPr>
                              <w:b/>
                            </w:rPr>
                            <w:t>Quality</w:t>
                          </w:r>
                        </w:p>
                      </w:txbxContent>
                    </v:textbox>
                  </v:shape>
                </v:group>
                <w10:anchorlock/>
              </v:group>
            </w:pict>
          </mc:Fallback>
        </mc:AlternateContent>
      </w:r>
    </w:p>
    <w:p w14:paraId="54E65888" w14:textId="77777777" w:rsidR="003772D1" w:rsidRPr="00860FD1" w:rsidRDefault="003772D1" w:rsidP="003772D1">
      <w:pPr>
        <w:pStyle w:val="BodyTextMain"/>
        <w:rPr>
          <w:lang w:val="en-GB"/>
        </w:rPr>
      </w:pPr>
    </w:p>
    <w:p w14:paraId="23DF2BE8" w14:textId="4CAC531C" w:rsidR="00860FD1" w:rsidRPr="00860FD1" w:rsidRDefault="00BC6FC9" w:rsidP="00100EF4">
      <w:pPr>
        <w:keepNext/>
        <w:numPr>
          <w:ilvl w:val="0"/>
          <w:numId w:val="9"/>
        </w:numPr>
        <w:tabs>
          <w:tab w:val="left" w:pos="284"/>
        </w:tabs>
        <w:jc w:val="both"/>
        <w:rPr>
          <w:rFonts w:ascii="Arial" w:hAnsi="Arial" w:cs="Arial"/>
          <w:b/>
          <w:caps/>
          <w:lang w:val="en-GB"/>
        </w:rPr>
      </w:pPr>
      <w:bookmarkStart w:id="41" w:name="_Toc365803802"/>
      <w:bookmarkStart w:id="42" w:name="_Toc392920681"/>
      <w:bookmarkStart w:id="43" w:name="_Toc393181064"/>
      <w:bookmarkEnd w:id="37"/>
      <w:bookmarkEnd w:id="38"/>
      <w:bookmarkEnd w:id="39"/>
      <w:r>
        <w:rPr>
          <w:rFonts w:ascii="Arial" w:hAnsi="Arial" w:cs="Arial"/>
          <w:b/>
          <w:caps/>
          <w:lang w:val="en-GB"/>
        </w:rPr>
        <w:t xml:space="preserve"> </w:t>
      </w:r>
      <w:r w:rsidR="00860FD1" w:rsidRPr="00860FD1">
        <w:rPr>
          <w:rFonts w:ascii="Arial" w:hAnsi="Arial" w:cs="Arial"/>
          <w:b/>
          <w:caps/>
          <w:lang w:val="en-GB"/>
        </w:rPr>
        <w:t>Resource Gap Analysis</w:t>
      </w:r>
      <w:bookmarkEnd w:id="41"/>
      <w:bookmarkEnd w:id="42"/>
      <w:bookmarkEnd w:id="43"/>
    </w:p>
    <w:p w14:paraId="43A4163C" w14:textId="77777777" w:rsidR="00860FD1" w:rsidRPr="00860FD1" w:rsidRDefault="00860FD1" w:rsidP="003772D1">
      <w:pPr>
        <w:keepNext/>
        <w:jc w:val="both"/>
        <w:rPr>
          <w:sz w:val="22"/>
          <w:szCs w:val="22"/>
          <w:lang w:val="en-GB"/>
        </w:rPr>
      </w:pPr>
    </w:p>
    <w:p w14:paraId="08F5C30F" w14:textId="30B06F30" w:rsidR="00860FD1" w:rsidRPr="00860FD1" w:rsidRDefault="00860FD1" w:rsidP="00860FD1">
      <w:pPr>
        <w:jc w:val="both"/>
        <w:rPr>
          <w:sz w:val="22"/>
          <w:szCs w:val="22"/>
          <w:lang w:val="en-GB"/>
        </w:rPr>
      </w:pPr>
      <w:r w:rsidRPr="00860FD1">
        <w:rPr>
          <w:sz w:val="22"/>
          <w:szCs w:val="22"/>
          <w:lang w:val="en-GB"/>
        </w:rPr>
        <w:t xml:space="preserve">A resource gap analysis identifies an organization’s major gaps in resources and skills. It can be used to </w:t>
      </w:r>
      <w:proofErr w:type="spellStart"/>
      <w:r w:rsidRPr="00860FD1">
        <w:rPr>
          <w:sz w:val="22"/>
          <w:szCs w:val="22"/>
          <w:lang w:val="en-GB"/>
        </w:rPr>
        <w:t>analyze</w:t>
      </w:r>
      <w:proofErr w:type="spellEnd"/>
      <w:r w:rsidRPr="00860FD1">
        <w:rPr>
          <w:sz w:val="22"/>
          <w:szCs w:val="22"/>
          <w:lang w:val="en-GB"/>
        </w:rPr>
        <w:t xml:space="preserve"> issues and </w:t>
      </w:r>
      <w:r w:rsidR="00057E53">
        <w:rPr>
          <w:sz w:val="22"/>
          <w:szCs w:val="22"/>
          <w:lang w:val="en-GB"/>
        </w:rPr>
        <w:t xml:space="preserve">to develop </w:t>
      </w:r>
      <w:r w:rsidRPr="00860FD1">
        <w:rPr>
          <w:sz w:val="22"/>
          <w:szCs w:val="22"/>
          <w:lang w:val="en-GB"/>
        </w:rPr>
        <w:t xml:space="preserve">the pros and cons </w:t>
      </w:r>
      <w:r w:rsidR="00057E53">
        <w:rPr>
          <w:sz w:val="22"/>
          <w:szCs w:val="22"/>
          <w:lang w:val="en-GB"/>
        </w:rPr>
        <w:t>for</w:t>
      </w:r>
      <w:r w:rsidR="00057E53" w:rsidRPr="00860FD1">
        <w:rPr>
          <w:sz w:val="22"/>
          <w:szCs w:val="22"/>
          <w:lang w:val="en-GB"/>
        </w:rPr>
        <w:t xml:space="preserve"> </w:t>
      </w:r>
      <w:r w:rsidRPr="00860FD1">
        <w:rPr>
          <w:sz w:val="22"/>
          <w:szCs w:val="22"/>
          <w:lang w:val="en-GB"/>
        </w:rPr>
        <w:t>alternative courses of action.</w:t>
      </w:r>
    </w:p>
    <w:p w14:paraId="5748BFF5" w14:textId="77777777" w:rsidR="00860FD1" w:rsidRPr="00860FD1" w:rsidRDefault="00860FD1" w:rsidP="00860FD1">
      <w:pPr>
        <w:jc w:val="both"/>
        <w:rPr>
          <w:sz w:val="22"/>
          <w:szCs w:val="22"/>
          <w:lang w:val="en-GB"/>
        </w:rPr>
      </w:pPr>
    </w:p>
    <w:p w14:paraId="6C9376A5" w14:textId="1AB1DD15" w:rsidR="00336EBF" w:rsidRDefault="00860FD1" w:rsidP="00860FD1">
      <w:pPr>
        <w:jc w:val="both"/>
        <w:rPr>
          <w:sz w:val="22"/>
          <w:szCs w:val="22"/>
          <w:lang w:val="en-GB"/>
        </w:rPr>
      </w:pPr>
      <w:r w:rsidRPr="00860FD1">
        <w:rPr>
          <w:sz w:val="22"/>
          <w:szCs w:val="22"/>
          <w:lang w:val="en-GB"/>
        </w:rPr>
        <w:lastRenderedPageBreak/>
        <w:t xml:space="preserve">In Figure 7, a partially completed template for a resource-gap analysis identifies gaps in a university’s ability to serve adult learners through a continuing education program. </w:t>
      </w:r>
    </w:p>
    <w:p w14:paraId="56FEE5E0" w14:textId="77777777" w:rsidR="00F72A1B" w:rsidRPr="00860FD1" w:rsidRDefault="00F72A1B" w:rsidP="00860FD1">
      <w:pPr>
        <w:jc w:val="both"/>
        <w:rPr>
          <w:sz w:val="22"/>
          <w:szCs w:val="22"/>
          <w:lang w:val="en-GB"/>
        </w:rPr>
      </w:pPr>
    </w:p>
    <w:p w14:paraId="3C0BAA43" w14:textId="58D6D69C" w:rsidR="00860FD1" w:rsidRPr="00860FD1" w:rsidRDefault="00860FD1" w:rsidP="00860FD1">
      <w:pPr>
        <w:jc w:val="both"/>
        <w:rPr>
          <w:rFonts w:ascii="Arial" w:eastAsia="Calibri" w:hAnsi="Arial" w:cs="Arial"/>
          <w:b/>
          <w:lang w:val="en-GB"/>
        </w:rPr>
      </w:pPr>
      <w:bookmarkStart w:id="44" w:name="_Ref501525107"/>
      <w:bookmarkStart w:id="45" w:name="_Ref501685904"/>
      <w:r w:rsidRPr="00860FD1">
        <w:rPr>
          <w:rFonts w:ascii="Arial" w:eastAsia="Calibri" w:hAnsi="Arial" w:cs="Arial"/>
          <w:b/>
          <w:lang w:val="en-GB"/>
        </w:rPr>
        <w:t xml:space="preserve">Figure </w:t>
      </w:r>
      <w:r w:rsidRPr="00860FD1">
        <w:rPr>
          <w:rFonts w:ascii="Arial" w:eastAsia="Calibri" w:hAnsi="Arial" w:cs="Arial"/>
          <w:b/>
          <w:lang w:val="en-GB"/>
        </w:rPr>
        <w:fldChar w:fldCharType="begin"/>
      </w:r>
      <w:r w:rsidRPr="00860FD1">
        <w:rPr>
          <w:rFonts w:ascii="Arial" w:eastAsia="Calibri" w:hAnsi="Arial" w:cs="Arial"/>
          <w:b/>
          <w:lang w:val="en-GB"/>
        </w:rPr>
        <w:instrText xml:space="preserve"> SEQ Figure \* ARABIC </w:instrText>
      </w:r>
      <w:r w:rsidRPr="00860FD1">
        <w:rPr>
          <w:rFonts w:ascii="Arial" w:eastAsia="Calibri" w:hAnsi="Arial" w:cs="Arial"/>
          <w:b/>
          <w:lang w:val="en-GB"/>
        </w:rPr>
        <w:fldChar w:fldCharType="separate"/>
      </w:r>
      <w:r w:rsidR="00073D63">
        <w:rPr>
          <w:rFonts w:ascii="Arial" w:eastAsia="Calibri" w:hAnsi="Arial" w:cs="Arial"/>
          <w:b/>
          <w:noProof/>
          <w:lang w:val="en-GB"/>
        </w:rPr>
        <w:t>7</w:t>
      </w:r>
      <w:r w:rsidRPr="00860FD1">
        <w:rPr>
          <w:rFonts w:ascii="Arial" w:eastAsia="Calibri" w:hAnsi="Arial" w:cs="Arial"/>
          <w:b/>
          <w:lang w:val="en-GB"/>
        </w:rPr>
        <w:fldChar w:fldCharType="end"/>
      </w:r>
      <w:bookmarkEnd w:id="44"/>
      <w:r w:rsidRPr="00860FD1">
        <w:rPr>
          <w:rFonts w:ascii="Arial" w:eastAsia="Calibri" w:hAnsi="Arial" w:cs="Arial"/>
          <w:b/>
          <w:lang w:val="en-GB"/>
        </w:rPr>
        <w:t>: Resource Gap Analysis</w:t>
      </w:r>
      <w:bookmarkEnd w:id="45"/>
    </w:p>
    <w:p w14:paraId="268FA01D" w14:textId="77777777" w:rsidR="00860FD1" w:rsidRPr="00860FD1" w:rsidRDefault="00860FD1" w:rsidP="00860FD1">
      <w:pPr>
        <w:jc w:val="both"/>
        <w:rPr>
          <w:rFonts w:ascii="Arial" w:eastAsia="Calibri" w:hAnsi="Arial" w:cs="Arial"/>
          <w:b/>
          <w:lang w:val="en-GB"/>
        </w:rPr>
      </w:pPr>
    </w:p>
    <w:tbl>
      <w:tblPr>
        <w:tblStyle w:val="IveyTable"/>
        <w:tblW w:w="0" w:type="auto"/>
        <w:tblLook w:val="04A0" w:firstRow="1" w:lastRow="0" w:firstColumn="1" w:lastColumn="0" w:noHBand="0" w:noVBand="1"/>
      </w:tblPr>
      <w:tblGrid>
        <w:gridCol w:w="2087"/>
        <w:gridCol w:w="1352"/>
        <w:gridCol w:w="1921"/>
        <w:gridCol w:w="2126"/>
        <w:gridCol w:w="1874"/>
      </w:tblGrid>
      <w:tr w:rsidR="00860FD1" w:rsidRPr="00860FD1" w14:paraId="3334D64E" w14:textId="77777777" w:rsidTr="004F2449">
        <w:trPr>
          <w:cnfStyle w:val="100000000000" w:firstRow="1" w:lastRow="0" w:firstColumn="0" w:lastColumn="0" w:oddVBand="0" w:evenVBand="0" w:oddHBand="0" w:evenHBand="0" w:firstRowFirstColumn="0" w:firstRowLastColumn="0" w:lastRowFirstColumn="0" w:lastRowLastColumn="0"/>
        </w:trPr>
        <w:tc>
          <w:tcPr>
            <w:tcW w:w="2087" w:type="dxa"/>
          </w:tcPr>
          <w:p w14:paraId="6EFE2EDB" w14:textId="77777777" w:rsidR="00860FD1" w:rsidRPr="00860FD1" w:rsidRDefault="00860FD1" w:rsidP="00860FD1">
            <w:pPr>
              <w:jc w:val="center"/>
              <w:rPr>
                <w:rFonts w:ascii="Arial" w:hAnsi="Arial" w:cs="Arial"/>
                <w:lang w:val="en-GB"/>
              </w:rPr>
            </w:pPr>
            <w:r w:rsidRPr="00860FD1">
              <w:rPr>
                <w:rFonts w:ascii="Arial" w:hAnsi="Arial" w:cs="Arial"/>
                <w:lang w:val="en-GB"/>
              </w:rPr>
              <w:t>Resource Category</w:t>
            </w:r>
          </w:p>
        </w:tc>
        <w:tc>
          <w:tcPr>
            <w:tcW w:w="1352" w:type="dxa"/>
          </w:tcPr>
          <w:p w14:paraId="28587BD9" w14:textId="77777777" w:rsidR="00860FD1" w:rsidRPr="00860FD1" w:rsidRDefault="00860FD1" w:rsidP="00860FD1">
            <w:pPr>
              <w:jc w:val="center"/>
              <w:rPr>
                <w:rFonts w:ascii="Arial" w:hAnsi="Arial" w:cs="Arial"/>
                <w:lang w:val="en-GB"/>
              </w:rPr>
            </w:pPr>
            <w:r w:rsidRPr="00860FD1">
              <w:rPr>
                <w:rFonts w:ascii="Arial" w:hAnsi="Arial" w:cs="Arial"/>
                <w:lang w:val="en-GB"/>
              </w:rPr>
              <w:t>Required Resources</w:t>
            </w:r>
          </w:p>
        </w:tc>
        <w:tc>
          <w:tcPr>
            <w:tcW w:w="1921" w:type="dxa"/>
          </w:tcPr>
          <w:p w14:paraId="65940A13" w14:textId="77777777" w:rsidR="00860FD1" w:rsidRPr="00860FD1" w:rsidRDefault="00860FD1" w:rsidP="00860FD1">
            <w:pPr>
              <w:jc w:val="center"/>
              <w:rPr>
                <w:rFonts w:ascii="Arial" w:hAnsi="Arial" w:cs="Arial"/>
                <w:lang w:val="en-GB"/>
              </w:rPr>
            </w:pPr>
            <w:r w:rsidRPr="00860FD1">
              <w:rPr>
                <w:rFonts w:ascii="Arial" w:hAnsi="Arial" w:cs="Arial"/>
                <w:lang w:val="en-GB"/>
              </w:rPr>
              <w:t>Available Resources</w:t>
            </w:r>
          </w:p>
        </w:tc>
        <w:tc>
          <w:tcPr>
            <w:tcW w:w="2126" w:type="dxa"/>
          </w:tcPr>
          <w:p w14:paraId="7B53575C" w14:textId="77777777" w:rsidR="00860FD1" w:rsidRPr="00860FD1" w:rsidRDefault="00860FD1" w:rsidP="00860FD1">
            <w:pPr>
              <w:jc w:val="center"/>
              <w:rPr>
                <w:rFonts w:ascii="Arial" w:hAnsi="Arial" w:cs="Arial"/>
                <w:lang w:val="en-GB"/>
              </w:rPr>
            </w:pPr>
            <w:r w:rsidRPr="00860FD1">
              <w:rPr>
                <w:rFonts w:ascii="Arial" w:hAnsi="Arial" w:cs="Arial"/>
                <w:lang w:val="en-GB"/>
              </w:rPr>
              <w:t>Resource Gaps</w:t>
            </w:r>
          </w:p>
        </w:tc>
        <w:tc>
          <w:tcPr>
            <w:tcW w:w="1874" w:type="dxa"/>
          </w:tcPr>
          <w:p w14:paraId="474B6A2B" w14:textId="77777777" w:rsidR="00860FD1" w:rsidRPr="00860FD1" w:rsidRDefault="00860FD1" w:rsidP="00860FD1">
            <w:pPr>
              <w:jc w:val="center"/>
              <w:rPr>
                <w:rFonts w:ascii="Arial" w:hAnsi="Arial" w:cs="Arial"/>
                <w:lang w:val="en-GB"/>
              </w:rPr>
            </w:pPr>
            <w:r w:rsidRPr="00860FD1">
              <w:rPr>
                <w:rFonts w:ascii="Arial" w:hAnsi="Arial" w:cs="Arial"/>
                <w:lang w:val="en-GB"/>
              </w:rPr>
              <w:t>Ways to Reduce Resource Gaps</w:t>
            </w:r>
          </w:p>
        </w:tc>
      </w:tr>
      <w:tr w:rsidR="00860FD1" w:rsidRPr="00860FD1" w14:paraId="6FC29B26" w14:textId="77777777" w:rsidTr="004F2449">
        <w:tc>
          <w:tcPr>
            <w:tcW w:w="2087" w:type="dxa"/>
          </w:tcPr>
          <w:p w14:paraId="07C53150" w14:textId="7BA6573B" w:rsidR="00860FD1" w:rsidRPr="00860FD1" w:rsidRDefault="00057E53" w:rsidP="00860FD1">
            <w:pPr>
              <w:rPr>
                <w:rFonts w:ascii="Arial" w:hAnsi="Arial" w:cs="Arial"/>
                <w:lang w:val="en-GB"/>
              </w:rPr>
            </w:pPr>
            <w:r>
              <w:rPr>
                <w:rFonts w:ascii="Arial" w:hAnsi="Arial" w:cs="Arial"/>
                <w:lang w:val="en-GB"/>
              </w:rPr>
              <w:t>Human Resources</w:t>
            </w:r>
          </w:p>
        </w:tc>
        <w:tc>
          <w:tcPr>
            <w:tcW w:w="1352" w:type="dxa"/>
          </w:tcPr>
          <w:p w14:paraId="330176CC" w14:textId="77777777" w:rsidR="00860FD1" w:rsidRPr="00860FD1" w:rsidRDefault="00860FD1" w:rsidP="00860FD1">
            <w:pPr>
              <w:rPr>
                <w:rFonts w:ascii="Arial" w:hAnsi="Arial" w:cs="Arial"/>
                <w:lang w:val="en-GB"/>
              </w:rPr>
            </w:pPr>
            <w:r w:rsidRPr="00860FD1">
              <w:rPr>
                <w:rFonts w:ascii="Arial" w:hAnsi="Arial" w:cs="Arial"/>
                <w:lang w:val="en-GB"/>
              </w:rPr>
              <w:t>Course instructors</w:t>
            </w:r>
          </w:p>
        </w:tc>
        <w:tc>
          <w:tcPr>
            <w:tcW w:w="1921" w:type="dxa"/>
          </w:tcPr>
          <w:p w14:paraId="5A373471" w14:textId="0C9417EE" w:rsidR="00860FD1" w:rsidRPr="00860FD1" w:rsidRDefault="00057E53" w:rsidP="00057E53">
            <w:pPr>
              <w:rPr>
                <w:rFonts w:ascii="Arial" w:hAnsi="Arial" w:cs="Arial"/>
                <w:lang w:val="en-GB"/>
              </w:rPr>
            </w:pPr>
            <w:r>
              <w:rPr>
                <w:rFonts w:ascii="Arial" w:hAnsi="Arial" w:cs="Arial"/>
                <w:lang w:val="en-GB"/>
              </w:rPr>
              <w:t>Existing f</w:t>
            </w:r>
            <w:r w:rsidR="00860FD1" w:rsidRPr="00860FD1">
              <w:rPr>
                <w:rFonts w:ascii="Arial" w:hAnsi="Arial" w:cs="Arial"/>
                <w:lang w:val="en-GB"/>
              </w:rPr>
              <w:t xml:space="preserve">ull-time and part-time faculty; alumni with experience in a variety of fields </w:t>
            </w:r>
          </w:p>
        </w:tc>
        <w:tc>
          <w:tcPr>
            <w:tcW w:w="2126" w:type="dxa"/>
          </w:tcPr>
          <w:p w14:paraId="12E3C612" w14:textId="2866C321" w:rsidR="00860FD1" w:rsidRPr="00860FD1" w:rsidRDefault="00057E53" w:rsidP="00860FD1">
            <w:pPr>
              <w:rPr>
                <w:rFonts w:ascii="Arial" w:hAnsi="Arial" w:cs="Arial"/>
                <w:lang w:val="en-GB"/>
              </w:rPr>
            </w:pPr>
            <w:r>
              <w:rPr>
                <w:rFonts w:ascii="Arial" w:hAnsi="Arial" w:cs="Arial"/>
                <w:lang w:val="en-GB"/>
              </w:rPr>
              <w:t>Instructors who have experience with adult learners</w:t>
            </w:r>
          </w:p>
        </w:tc>
        <w:tc>
          <w:tcPr>
            <w:tcW w:w="1874" w:type="dxa"/>
          </w:tcPr>
          <w:p w14:paraId="47324D0C" w14:textId="09588F46" w:rsidR="00860FD1" w:rsidRPr="00860FD1" w:rsidRDefault="00057E53" w:rsidP="00860FD1">
            <w:pPr>
              <w:rPr>
                <w:rFonts w:ascii="Arial" w:hAnsi="Arial" w:cs="Arial"/>
                <w:lang w:val="en-GB"/>
              </w:rPr>
            </w:pPr>
            <w:r>
              <w:rPr>
                <w:rFonts w:ascii="Arial" w:hAnsi="Arial" w:cs="Arial"/>
                <w:lang w:val="en-GB"/>
              </w:rPr>
              <w:t>Hire and train instructors</w:t>
            </w:r>
            <w:r w:rsidR="00860FD1" w:rsidRPr="00860FD1">
              <w:rPr>
                <w:rFonts w:ascii="Arial" w:hAnsi="Arial" w:cs="Arial"/>
                <w:lang w:val="en-GB"/>
              </w:rPr>
              <w:t xml:space="preserve"> </w:t>
            </w:r>
          </w:p>
        </w:tc>
      </w:tr>
      <w:tr w:rsidR="00860FD1" w:rsidRPr="00860FD1" w14:paraId="1A4F5BC2" w14:textId="77777777" w:rsidTr="004F2449">
        <w:tc>
          <w:tcPr>
            <w:tcW w:w="2087" w:type="dxa"/>
          </w:tcPr>
          <w:p w14:paraId="17C70030" w14:textId="257D3272" w:rsidR="00860FD1" w:rsidRPr="00860FD1" w:rsidRDefault="00057E53" w:rsidP="00860FD1">
            <w:pPr>
              <w:rPr>
                <w:rFonts w:ascii="Arial" w:hAnsi="Arial" w:cs="Arial"/>
                <w:lang w:val="en-GB"/>
              </w:rPr>
            </w:pPr>
            <w:r>
              <w:rPr>
                <w:rFonts w:ascii="Arial" w:hAnsi="Arial" w:cs="Arial"/>
                <w:lang w:val="en-GB"/>
              </w:rPr>
              <w:t>Operations</w:t>
            </w:r>
          </w:p>
        </w:tc>
        <w:tc>
          <w:tcPr>
            <w:tcW w:w="1352" w:type="dxa"/>
          </w:tcPr>
          <w:p w14:paraId="485EDCD2" w14:textId="52A178D5" w:rsidR="00860FD1" w:rsidRPr="00860FD1" w:rsidRDefault="00057E53" w:rsidP="00860FD1">
            <w:pPr>
              <w:rPr>
                <w:rFonts w:ascii="Arial" w:hAnsi="Arial" w:cs="Arial"/>
                <w:lang w:val="en-GB"/>
              </w:rPr>
            </w:pPr>
            <w:r>
              <w:rPr>
                <w:rFonts w:ascii="Arial" w:hAnsi="Arial" w:cs="Arial"/>
                <w:lang w:val="en-GB"/>
              </w:rPr>
              <w:t>Curriculum</w:t>
            </w:r>
          </w:p>
        </w:tc>
        <w:tc>
          <w:tcPr>
            <w:tcW w:w="1921" w:type="dxa"/>
          </w:tcPr>
          <w:p w14:paraId="7A4A44A5" w14:textId="2046EE8E" w:rsidR="00860FD1" w:rsidRPr="00860FD1" w:rsidRDefault="00057E53" w:rsidP="00860FD1">
            <w:pPr>
              <w:rPr>
                <w:rFonts w:ascii="Arial" w:hAnsi="Arial" w:cs="Arial"/>
                <w:lang w:val="en-GB"/>
              </w:rPr>
            </w:pPr>
            <w:r>
              <w:rPr>
                <w:rFonts w:ascii="Arial" w:hAnsi="Arial" w:cs="Arial"/>
                <w:lang w:val="en-GB"/>
              </w:rPr>
              <w:t>Existing courses</w:t>
            </w:r>
          </w:p>
        </w:tc>
        <w:tc>
          <w:tcPr>
            <w:tcW w:w="2126" w:type="dxa"/>
          </w:tcPr>
          <w:p w14:paraId="0E385E6A" w14:textId="1585984A" w:rsidR="00860FD1" w:rsidRPr="00860FD1" w:rsidRDefault="00057E53" w:rsidP="00860FD1">
            <w:pPr>
              <w:rPr>
                <w:rFonts w:ascii="Arial" w:hAnsi="Arial" w:cs="Arial"/>
                <w:lang w:val="en-GB"/>
              </w:rPr>
            </w:pPr>
            <w:r>
              <w:rPr>
                <w:rFonts w:ascii="Arial" w:hAnsi="Arial" w:cs="Arial"/>
                <w:lang w:val="en-GB"/>
              </w:rPr>
              <w:t>Material tailored to an adult audience with on-the-job experience</w:t>
            </w:r>
          </w:p>
        </w:tc>
        <w:tc>
          <w:tcPr>
            <w:tcW w:w="1874" w:type="dxa"/>
          </w:tcPr>
          <w:p w14:paraId="238AAE59" w14:textId="58CC649E" w:rsidR="00860FD1" w:rsidRPr="00860FD1" w:rsidRDefault="00057E53" w:rsidP="00057E53">
            <w:pPr>
              <w:rPr>
                <w:rFonts w:ascii="Arial" w:hAnsi="Arial" w:cs="Arial"/>
                <w:lang w:val="en-GB"/>
              </w:rPr>
            </w:pPr>
            <w:r>
              <w:rPr>
                <w:rFonts w:ascii="Arial" w:hAnsi="Arial" w:cs="Arial"/>
                <w:lang w:val="en-GB"/>
              </w:rPr>
              <w:t>Have faculty adjust existing course material; have faculty develop new course material</w:t>
            </w:r>
          </w:p>
        </w:tc>
      </w:tr>
    </w:tbl>
    <w:p w14:paraId="5332C29E" w14:textId="77777777" w:rsidR="00860FD1" w:rsidRDefault="00860FD1" w:rsidP="00860FD1">
      <w:pPr>
        <w:jc w:val="both"/>
        <w:rPr>
          <w:sz w:val="22"/>
          <w:szCs w:val="22"/>
          <w:lang w:val="en-GB"/>
        </w:rPr>
      </w:pPr>
      <w:bookmarkStart w:id="46" w:name="_Toc392920682"/>
      <w:bookmarkStart w:id="47" w:name="_Toc393181065"/>
      <w:bookmarkStart w:id="48" w:name="_Toc365803803"/>
    </w:p>
    <w:p w14:paraId="1E3F56C3" w14:textId="77777777" w:rsidR="00336EBF" w:rsidRPr="00860FD1" w:rsidRDefault="00336EBF" w:rsidP="00860FD1">
      <w:pPr>
        <w:jc w:val="both"/>
        <w:rPr>
          <w:sz w:val="22"/>
          <w:szCs w:val="22"/>
          <w:lang w:val="en-GB"/>
        </w:rPr>
      </w:pPr>
    </w:p>
    <w:p w14:paraId="5D610E6C" w14:textId="41374CDF" w:rsidR="00860FD1" w:rsidRPr="00AE7F34" w:rsidRDefault="00220F32" w:rsidP="00100EF4">
      <w:pPr>
        <w:keepNext/>
        <w:numPr>
          <w:ilvl w:val="0"/>
          <w:numId w:val="9"/>
        </w:numPr>
        <w:tabs>
          <w:tab w:val="left" w:pos="284"/>
        </w:tabs>
        <w:jc w:val="both"/>
        <w:rPr>
          <w:rFonts w:ascii="Arial" w:hAnsi="Arial" w:cs="Arial"/>
          <w:b/>
          <w:caps/>
          <w:lang w:val="en-GB"/>
        </w:rPr>
      </w:pPr>
      <w:r>
        <w:rPr>
          <w:rFonts w:ascii="Arial" w:hAnsi="Arial" w:cs="Arial"/>
          <w:b/>
          <w:caps/>
          <w:lang w:val="en-GB"/>
        </w:rPr>
        <w:t xml:space="preserve"> </w:t>
      </w:r>
      <w:r w:rsidR="00860FD1" w:rsidRPr="00AE7F34">
        <w:rPr>
          <w:rFonts w:ascii="Arial" w:hAnsi="Arial" w:cs="Arial"/>
          <w:b/>
          <w:caps/>
          <w:lang w:val="en-GB"/>
        </w:rPr>
        <w:t>Core Competencies</w:t>
      </w:r>
      <w:bookmarkEnd w:id="46"/>
      <w:bookmarkEnd w:id="47"/>
      <w:bookmarkEnd w:id="48"/>
    </w:p>
    <w:p w14:paraId="6F733C11" w14:textId="77777777" w:rsidR="00860FD1" w:rsidRPr="00336EBF" w:rsidRDefault="00860FD1" w:rsidP="003772D1">
      <w:pPr>
        <w:keepNext/>
        <w:jc w:val="both"/>
        <w:rPr>
          <w:sz w:val="18"/>
          <w:szCs w:val="18"/>
          <w:lang w:val="en-GB"/>
        </w:rPr>
      </w:pPr>
    </w:p>
    <w:p w14:paraId="32D45B87" w14:textId="61F4C837" w:rsidR="00860FD1" w:rsidRPr="00860FD1" w:rsidRDefault="00860FD1" w:rsidP="00860FD1">
      <w:pPr>
        <w:jc w:val="both"/>
        <w:rPr>
          <w:sz w:val="22"/>
          <w:szCs w:val="22"/>
          <w:lang w:val="en-GB"/>
        </w:rPr>
      </w:pPr>
      <w:r w:rsidRPr="00860FD1">
        <w:rPr>
          <w:sz w:val="22"/>
          <w:szCs w:val="22"/>
          <w:lang w:val="en-GB"/>
        </w:rPr>
        <w:t>Core competencies are skills and capabilities that an organization uses exceptionally well</w:t>
      </w:r>
      <w:r w:rsidR="00376EA0">
        <w:rPr>
          <w:sz w:val="22"/>
          <w:szCs w:val="22"/>
          <w:lang w:val="en-GB"/>
        </w:rPr>
        <w:t xml:space="preserve">, such as developing curriculum </w:t>
      </w:r>
      <w:r w:rsidR="002F178F">
        <w:rPr>
          <w:sz w:val="22"/>
          <w:szCs w:val="22"/>
          <w:lang w:val="en-GB"/>
        </w:rPr>
        <w:t xml:space="preserve">for </w:t>
      </w:r>
      <w:r w:rsidR="00376EA0">
        <w:rPr>
          <w:sz w:val="22"/>
          <w:szCs w:val="22"/>
          <w:lang w:val="en-GB"/>
        </w:rPr>
        <w:t xml:space="preserve">a diverse audience or delivering </w:t>
      </w:r>
      <w:r w:rsidR="002F178F">
        <w:rPr>
          <w:sz w:val="22"/>
          <w:szCs w:val="22"/>
          <w:lang w:val="en-GB"/>
        </w:rPr>
        <w:t xml:space="preserve">instructional </w:t>
      </w:r>
      <w:r w:rsidR="00376EA0">
        <w:rPr>
          <w:sz w:val="22"/>
          <w:szCs w:val="22"/>
          <w:lang w:val="en-GB"/>
        </w:rPr>
        <w:t>content using user-friendly online platforms</w:t>
      </w:r>
      <w:r w:rsidRPr="00860FD1">
        <w:rPr>
          <w:sz w:val="22"/>
          <w:szCs w:val="22"/>
          <w:lang w:val="en-GB"/>
        </w:rPr>
        <w:t>. Analysis of an organization’s core competencies can be used to identify strengths, as part of a SWOT analysis. When core competencies involve competitively important value chain activities, the competencies can evolve into competitive advantages.</w:t>
      </w:r>
    </w:p>
    <w:p w14:paraId="17C80D8E" w14:textId="77777777" w:rsidR="00860FD1" w:rsidRPr="00336EBF" w:rsidRDefault="00860FD1" w:rsidP="00860FD1">
      <w:pPr>
        <w:jc w:val="both"/>
        <w:rPr>
          <w:sz w:val="18"/>
          <w:szCs w:val="18"/>
          <w:lang w:val="en-GB"/>
        </w:rPr>
      </w:pPr>
    </w:p>
    <w:p w14:paraId="70BCCD4F" w14:textId="77777777" w:rsidR="00860FD1" w:rsidRPr="00336EBF" w:rsidRDefault="00860FD1" w:rsidP="00860FD1">
      <w:pPr>
        <w:jc w:val="both"/>
        <w:rPr>
          <w:sz w:val="18"/>
          <w:szCs w:val="18"/>
          <w:lang w:val="en-GB"/>
        </w:rPr>
      </w:pPr>
    </w:p>
    <w:p w14:paraId="161D4FE8" w14:textId="61294A2C" w:rsidR="00860FD1" w:rsidRPr="00AE7F34" w:rsidRDefault="00220F32" w:rsidP="00100EF4">
      <w:pPr>
        <w:numPr>
          <w:ilvl w:val="0"/>
          <w:numId w:val="9"/>
        </w:numPr>
        <w:tabs>
          <w:tab w:val="left" w:pos="284"/>
        </w:tabs>
        <w:jc w:val="both"/>
        <w:rPr>
          <w:rFonts w:ascii="Arial" w:hAnsi="Arial" w:cs="Arial"/>
          <w:b/>
          <w:caps/>
          <w:lang w:val="en-GB"/>
        </w:rPr>
      </w:pPr>
      <w:bookmarkStart w:id="49" w:name="_Toc365803804"/>
      <w:bookmarkStart w:id="50" w:name="_Toc392920683"/>
      <w:bookmarkStart w:id="51" w:name="_Toc393181066"/>
      <w:r>
        <w:rPr>
          <w:rFonts w:ascii="Arial" w:hAnsi="Arial" w:cs="Arial"/>
          <w:b/>
          <w:caps/>
          <w:lang w:val="en-GB"/>
        </w:rPr>
        <w:t xml:space="preserve"> </w:t>
      </w:r>
      <w:r w:rsidR="00860FD1" w:rsidRPr="00AE7F34">
        <w:rPr>
          <w:rFonts w:ascii="Arial" w:hAnsi="Arial" w:cs="Arial"/>
          <w:b/>
          <w:caps/>
          <w:lang w:val="en-GB"/>
        </w:rPr>
        <w:t>Competitive Advantage Analysis</w:t>
      </w:r>
      <w:bookmarkEnd w:id="49"/>
      <w:r w:rsidR="00860FD1" w:rsidRPr="00AE7F34">
        <w:rPr>
          <w:rFonts w:ascii="Arial" w:hAnsi="Arial" w:cs="Arial"/>
          <w:b/>
          <w:caps/>
          <w:lang w:val="en-GB"/>
        </w:rPr>
        <w:t>: VRIO</w:t>
      </w:r>
      <w:bookmarkEnd w:id="50"/>
      <w:bookmarkEnd w:id="51"/>
      <w:r w:rsidR="00860FD1" w:rsidRPr="004F2449">
        <w:rPr>
          <w:rFonts w:ascii="Arial" w:hAnsi="Arial" w:cs="Arial"/>
          <w:b/>
          <w:caps/>
          <w:vertAlign w:val="superscript"/>
          <w:lang w:val="en-GB"/>
        </w:rPr>
        <w:footnoteReference w:id="3"/>
      </w:r>
    </w:p>
    <w:p w14:paraId="7D8F22A9" w14:textId="77777777" w:rsidR="00860FD1" w:rsidRPr="00336EBF" w:rsidRDefault="00860FD1" w:rsidP="00860FD1">
      <w:pPr>
        <w:jc w:val="both"/>
        <w:rPr>
          <w:sz w:val="18"/>
          <w:szCs w:val="18"/>
          <w:lang w:val="en-GB"/>
        </w:rPr>
      </w:pPr>
    </w:p>
    <w:p w14:paraId="7731B41D" w14:textId="77777777" w:rsidR="00860FD1" w:rsidRPr="00860FD1" w:rsidRDefault="00860FD1" w:rsidP="00860FD1">
      <w:pPr>
        <w:jc w:val="both"/>
        <w:rPr>
          <w:sz w:val="22"/>
          <w:szCs w:val="22"/>
          <w:lang w:val="en-GB"/>
        </w:rPr>
      </w:pPr>
      <w:r w:rsidRPr="00860FD1">
        <w:rPr>
          <w:sz w:val="22"/>
          <w:szCs w:val="22"/>
          <w:lang w:val="en-GB"/>
        </w:rPr>
        <w:t xml:space="preserve">The VRIO framework developed by Jay Barney suggests that resources and capabilities may offer a competitive advantage if they are valuable (V), rare (R), and inimitable (I) (i.e., difficult to imitate), and the firm is organized (O) to capitalize on those resources and capabilities. </w:t>
      </w:r>
    </w:p>
    <w:p w14:paraId="48D7AD27" w14:textId="77777777" w:rsidR="00860FD1" w:rsidRPr="00336EBF" w:rsidRDefault="00860FD1" w:rsidP="00860FD1">
      <w:pPr>
        <w:jc w:val="both"/>
        <w:rPr>
          <w:sz w:val="18"/>
          <w:szCs w:val="18"/>
          <w:lang w:val="en-GB"/>
        </w:rPr>
      </w:pPr>
    </w:p>
    <w:p w14:paraId="151A8B4F" w14:textId="77777777" w:rsidR="00860FD1" w:rsidRPr="00860FD1" w:rsidRDefault="00860FD1" w:rsidP="00860FD1">
      <w:pPr>
        <w:jc w:val="both"/>
        <w:rPr>
          <w:bCs/>
          <w:sz w:val="22"/>
          <w:szCs w:val="22"/>
          <w:lang w:val="en-GB"/>
        </w:rPr>
      </w:pPr>
      <w:r w:rsidRPr="00860FD1">
        <w:rPr>
          <w:sz w:val="22"/>
          <w:szCs w:val="22"/>
          <w:lang w:val="en-GB"/>
        </w:rPr>
        <w:t xml:space="preserve">Resources are </w:t>
      </w:r>
      <w:r w:rsidRPr="00860FD1">
        <w:rPr>
          <w:i/>
          <w:sz w:val="22"/>
          <w:szCs w:val="22"/>
          <w:lang w:val="en-GB"/>
        </w:rPr>
        <w:t>valuable</w:t>
      </w:r>
      <w:r w:rsidRPr="00860FD1">
        <w:rPr>
          <w:sz w:val="22"/>
          <w:szCs w:val="22"/>
          <w:lang w:val="en-GB"/>
        </w:rPr>
        <w:t xml:space="preserve"> if they </w:t>
      </w:r>
      <w:r w:rsidRPr="00860FD1">
        <w:rPr>
          <w:bCs/>
          <w:sz w:val="22"/>
          <w:szCs w:val="22"/>
          <w:lang w:val="en-GB"/>
        </w:rPr>
        <w:t xml:space="preserve">contribute to meeting customers’ needs at the price that customers are willing to pay. Resources are also valuable if they enable a company to develop alternatives to exploit opportunities, mitigate threats, and improve efficiency or effectiveness. </w:t>
      </w:r>
    </w:p>
    <w:p w14:paraId="365F1CE2" w14:textId="77777777" w:rsidR="00860FD1" w:rsidRPr="00336EBF" w:rsidRDefault="00860FD1" w:rsidP="00860FD1">
      <w:pPr>
        <w:jc w:val="both"/>
        <w:rPr>
          <w:bCs/>
          <w:sz w:val="18"/>
          <w:szCs w:val="18"/>
          <w:lang w:val="en-GB"/>
        </w:rPr>
      </w:pPr>
    </w:p>
    <w:p w14:paraId="204A0B9E" w14:textId="77777777" w:rsidR="00672941" w:rsidRDefault="00860FD1" w:rsidP="00860FD1">
      <w:pPr>
        <w:jc w:val="both"/>
        <w:rPr>
          <w:sz w:val="22"/>
          <w:szCs w:val="22"/>
          <w:lang w:val="en-GB"/>
        </w:rPr>
      </w:pPr>
      <w:r w:rsidRPr="00860FD1">
        <w:rPr>
          <w:sz w:val="22"/>
          <w:szCs w:val="22"/>
          <w:lang w:val="en-GB"/>
        </w:rPr>
        <w:t xml:space="preserve">Resources and capabilities are </w:t>
      </w:r>
      <w:r w:rsidRPr="00860FD1">
        <w:rPr>
          <w:i/>
          <w:sz w:val="22"/>
          <w:szCs w:val="22"/>
          <w:lang w:val="en-GB"/>
        </w:rPr>
        <w:t>rare</w:t>
      </w:r>
      <w:r w:rsidRPr="00860FD1">
        <w:rPr>
          <w:sz w:val="22"/>
          <w:szCs w:val="22"/>
          <w:lang w:val="en-GB"/>
        </w:rPr>
        <w:t xml:space="preserve"> if only a few competing firms possess them. </w:t>
      </w:r>
    </w:p>
    <w:p w14:paraId="2795CD2E" w14:textId="77777777" w:rsidR="00672941" w:rsidRPr="00336EBF" w:rsidRDefault="00672941" w:rsidP="00860FD1">
      <w:pPr>
        <w:jc w:val="both"/>
        <w:rPr>
          <w:sz w:val="18"/>
          <w:szCs w:val="18"/>
          <w:lang w:val="en-GB"/>
        </w:rPr>
      </w:pPr>
    </w:p>
    <w:p w14:paraId="79E3D301" w14:textId="03AD6BEF" w:rsidR="00860FD1" w:rsidRPr="00336EBF" w:rsidRDefault="00860FD1" w:rsidP="00860FD1">
      <w:pPr>
        <w:jc w:val="both"/>
        <w:rPr>
          <w:spacing w:val="-4"/>
          <w:kern w:val="22"/>
          <w:sz w:val="22"/>
          <w:szCs w:val="22"/>
          <w:lang w:val="en-GB"/>
        </w:rPr>
      </w:pPr>
      <w:r w:rsidRPr="00336EBF">
        <w:rPr>
          <w:spacing w:val="-4"/>
          <w:kern w:val="22"/>
          <w:sz w:val="22"/>
          <w:szCs w:val="22"/>
          <w:lang w:val="en-GB"/>
        </w:rPr>
        <w:t xml:space="preserve">Resources and capabilities are </w:t>
      </w:r>
      <w:r w:rsidRPr="00336EBF">
        <w:rPr>
          <w:i/>
          <w:spacing w:val="-4"/>
          <w:kern w:val="22"/>
          <w:sz w:val="22"/>
          <w:szCs w:val="22"/>
          <w:lang w:val="en-GB"/>
        </w:rPr>
        <w:t>inimitable</w:t>
      </w:r>
      <w:r w:rsidRPr="00336EBF">
        <w:rPr>
          <w:spacing w:val="-4"/>
          <w:kern w:val="22"/>
          <w:sz w:val="22"/>
          <w:szCs w:val="22"/>
          <w:lang w:val="en-GB"/>
        </w:rPr>
        <w:t xml:space="preserve"> if they are </w:t>
      </w:r>
      <w:r w:rsidRPr="00336EBF">
        <w:rPr>
          <w:bCs/>
          <w:spacing w:val="-4"/>
          <w:kern w:val="22"/>
          <w:sz w:val="22"/>
          <w:szCs w:val="22"/>
          <w:lang w:val="en-GB"/>
        </w:rPr>
        <w:t>costly and difficult to imitate. Resources could be inimitable because they are physically unique; have been built up over time based on specific experiences (e.g., unique historical conditions); result from interpersonal relationships, group norms, or culture (social complexity); or because it is difficult to identify the resource, its value, or its competitive advantages (causal ambiguity)</w:t>
      </w:r>
      <w:r w:rsidRPr="00336EBF">
        <w:rPr>
          <w:spacing w:val="-4"/>
          <w:kern w:val="22"/>
          <w:sz w:val="22"/>
          <w:szCs w:val="22"/>
          <w:lang w:val="en-GB"/>
        </w:rPr>
        <w:t xml:space="preserve">. </w:t>
      </w:r>
    </w:p>
    <w:p w14:paraId="3422C374" w14:textId="77777777" w:rsidR="00860FD1" w:rsidRPr="00336EBF" w:rsidRDefault="00860FD1" w:rsidP="00860FD1">
      <w:pPr>
        <w:jc w:val="both"/>
        <w:rPr>
          <w:sz w:val="18"/>
          <w:szCs w:val="18"/>
          <w:lang w:val="en-GB"/>
        </w:rPr>
      </w:pPr>
    </w:p>
    <w:p w14:paraId="34B0F6CF" w14:textId="77777777" w:rsidR="00860FD1" w:rsidRPr="00860FD1" w:rsidRDefault="00860FD1" w:rsidP="00860FD1">
      <w:pPr>
        <w:jc w:val="both"/>
        <w:rPr>
          <w:bCs/>
          <w:sz w:val="22"/>
          <w:szCs w:val="22"/>
          <w:lang w:val="en-GB"/>
        </w:rPr>
      </w:pPr>
      <w:r w:rsidRPr="00860FD1">
        <w:rPr>
          <w:sz w:val="22"/>
          <w:szCs w:val="22"/>
          <w:lang w:val="en-GB"/>
        </w:rPr>
        <w:t>Finally,</w:t>
      </w:r>
      <w:r w:rsidRPr="00860FD1">
        <w:rPr>
          <w:bCs/>
          <w:sz w:val="22"/>
          <w:szCs w:val="22"/>
          <w:lang w:val="en-GB"/>
        </w:rPr>
        <w:t xml:space="preserve"> resources and capabilities provide a competitive advantage only if the firm is </w:t>
      </w:r>
      <w:r w:rsidRPr="00860FD1">
        <w:rPr>
          <w:bCs/>
          <w:i/>
          <w:sz w:val="22"/>
          <w:szCs w:val="22"/>
          <w:lang w:val="en-GB"/>
        </w:rPr>
        <w:t>organized</w:t>
      </w:r>
      <w:r w:rsidRPr="00860FD1">
        <w:rPr>
          <w:bCs/>
          <w:sz w:val="22"/>
          <w:szCs w:val="22"/>
          <w:lang w:val="en-GB"/>
        </w:rPr>
        <w:t>—that is, the firm has the</w:t>
      </w:r>
      <w:r w:rsidRPr="00860FD1">
        <w:rPr>
          <w:b/>
          <w:bCs/>
          <w:sz w:val="22"/>
          <w:szCs w:val="22"/>
          <w:lang w:val="en-GB"/>
        </w:rPr>
        <w:t xml:space="preserve"> </w:t>
      </w:r>
      <w:r w:rsidRPr="00860FD1">
        <w:rPr>
          <w:bCs/>
          <w:sz w:val="22"/>
          <w:szCs w:val="22"/>
          <w:lang w:val="en-GB"/>
        </w:rPr>
        <w:t>necessary structure, such as</w:t>
      </w:r>
      <w:r w:rsidRPr="00860FD1">
        <w:rPr>
          <w:b/>
          <w:bCs/>
          <w:sz w:val="22"/>
          <w:szCs w:val="22"/>
          <w:lang w:val="en-GB"/>
        </w:rPr>
        <w:t xml:space="preserve"> </w:t>
      </w:r>
      <w:r w:rsidRPr="00860FD1">
        <w:rPr>
          <w:bCs/>
          <w:sz w:val="22"/>
          <w:szCs w:val="22"/>
          <w:lang w:val="en-GB"/>
        </w:rPr>
        <w:t>the appropriate employees, management, organization, control systems, reward systems, and culture—to capitalize on its resources and capabilities.</w:t>
      </w:r>
    </w:p>
    <w:p w14:paraId="4541E643" w14:textId="18559FBE" w:rsidR="00860FD1" w:rsidRPr="00AE7F34" w:rsidRDefault="00E92DB6" w:rsidP="00100EF4">
      <w:pPr>
        <w:numPr>
          <w:ilvl w:val="0"/>
          <w:numId w:val="9"/>
        </w:numPr>
        <w:tabs>
          <w:tab w:val="left" w:pos="284"/>
        </w:tabs>
        <w:jc w:val="both"/>
        <w:rPr>
          <w:rFonts w:ascii="Arial" w:hAnsi="Arial" w:cs="Arial"/>
          <w:b/>
          <w:caps/>
          <w:lang w:val="en-GB"/>
        </w:rPr>
      </w:pPr>
      <w:r>
        <w:rPr>
          <w:rFonts w:ascii="Arial" w:hAnsi="Arial" w:cs="Arial"/>
          <w:b/>
          <w:caps/>
          <w:lang w:val="en-GB"/>
        </w:rPr>
        <w:lastRenderedPageBreak/>
        <w:t xml:space="preserve"> </w:t>
      </w:r>
      <w:r w:rsidR="00860FD1" w:rsidRPr="00AE7F34">
        <w:rPr>
          <w:rFonts w:ascii="Arial" w:hAnsi="Arial" w:cs="Arial"/>
          <w:b/>
          <w:caps/>
          <w:lang w:val="en-GB"/>
        </w:rPr>
        <w:t>Case Analysis and Academic Integrity</w:t>
      </w:r>
    </w:p>
    <w:p w14:paraId="0C2B77E0" w14:textId="77777777" w:rsidR="00860FD1" w:rsidRPr="00336EBF" w:rsidRDefault="00860FD1" w:rsidP="00860FD1">
      <w:pPr>
        <w:jc w:val="both"/>
        <w:rPr>
          <w:sz w:val="18"/>
          <w:szCs w:val="18"/>
          <w:lang w:val="en-GB"/>
        </w:rPr>
      </w:pPr>
    </w:p>
    <w:p w14:paraId="396AE4DB" w14:textId="77777777" w:rsidR="00336EBF" w:rsidRPr="00336EBF" w:rsidRDefault="00336EBF" w:rsidP="00336EBF">
      <w:pPr>
        <w:pStyle w:val="BodyTextMain"/>
        <w:rPr>
          <w:rFonts w:eastAsia="Calibri"/>
          <w:spacing w:val="-4"/>
          <w:kern w:val="22"/>
          <w:lang w:val="en-CA"/>
        </w:rPr>
      </w:pPr>
      <w:r w:rsidRPr="00336EBF">
        <w:rPr>
          <w:rFonts w:eastAsia="Calibri"/>
          <w:spacing w:val="-4"/>
          <w:kern w:val="22"/>
          <w:lang w:val="en-CA"/>
        </w:rPr>
        <w:t xml:space="preserve">Because case analysis is complex, it may often seem helpful to discuss the case informally or formally with other students before participating in a class discussion, writing a report, or making a presentation. Managers and consultants often discuss problems with other people, within the constraints allowed by confidentiality. Therefore, your instructor may allow, encourage, or even require such discussion. However, </w:t>
      </w:r>
      <w:r w:rsidRPr="00336EBF">
        <w:rPr>
          <w:rFonts w:eastAsia="Calibri"/>
          <w:b/>
          <w:i/>
          <w:spacing w:val="-4"/>
          <w:kern w:val="22"/>
          <w:lang w:val="en-CA"/>
        </w:rPr>
        <w:t>to ensure academic integrity and to avoid plagiarism, unless your instructor has specifically indicated that some degree of discussion is permissible, you should consult with your instructor before engaging in any collaboration</w:t>
      </w:r>
      <w:r w:rsidRPr="00336EBF">
        <w:rPr>
          <w:rFonts w:eastAsia="Calibri"/>
          <w:spacing w:val="-4"/>
          <w:kern w:val="22"/>
          <w:lang w:val="en-CA"/>
        </w:rPr>
        <w:t>. This restriction on outside discussion is especially necessary when preparing reports and presentations.</w:t>
      </w:r>
    </w:p>
    <w:p w14:paraId="62A1CF63" w14:textId="77777777" w:rsidR="00336EBF" w:rsidRPr="00336EBF" w:rsidRDefault="00336EBF" w:rsidP="00336EBF">
      <w:pPr>
        <w:pStyle w:val="BodyTextMain"/>
        <w:rPr>
          <w:rFonts w:eastAsia="Calibri"/>
          <w:sz w:val="18"/>
          <w:szCs w:val="18"/>
          <w:lang w:val="en-CA"/>
        </w:rPr>
      </w:pPr>
    </w:p>
    <w:p w14:paraId="54DA70B6" w14:textId="77777777" w:rsidR="00336EBF" w:rsidRDefault="00336EBF" w:rsidP="00336EBF">
      <w:pPr>
        <w:pStyle w:val="BodyTextMain"/>
        <w:rPr>
          <w:rFonts w:eastAsia="Calibri"/>
          <w:lang w:val="en-CA"/>
        </w:rPr>
      </w:pPr>
      <w:r w:rsidRPr="00336EBF">
        <w:rPr>
          <w:rFonts w:eastAsia="Calibri"/>
          <w:lang w:val="en-CA"/>
        </w:rPr>
        <w:t>It may also seem helpful to search the Internet for teaching notes for cases or for case reports or slide presentations prepared by other students. Academic integrity requires that you refrain from using such resources, in full or in part. Any attempt to use the work of others and to pass it off as your own is plagiarism. If the instructor is suspicious that plagiarism might be involved, you may be asked to upload a copy of your case report through Turnitin.com.</w:t>
      </w:r>
    </w:p>
    <w:p w14:paraId="7EF04BBB" w14:textId="77777777" w:rsidR="00336EBF" w:rsidRPr="00336EBF" w:rsidRDefault="00336EBF" w:rsidP="00336EBF">
      <w:pPr>
        <w:pStyle w:val="BodyTextMain"/>
        <w:rPr>
          <w:rFonts w:eastAsia="Calibri"/>
          <w:sz w:val="18"/>
          <w:szCs w:val="18"/>
          <w:lang w:val="en-GB"/>
        </w:rPr>
      </w:pPr>
    </w:p>
    <w:p w14:paraId="4A7698AE" w14:textId="749E00D9" w:rsidR="00465348" w:rsidRPr="00336EBF" w:rsidRDefault="00336EBF" w:rsidP="00336EBF">
      <w:pPr>
        <w:pStyle w:val="BodyTextMain"/>
        <w:rPr>
          <w:rFonts w:eastAsia="Calibri"/>
          <w:lang w:val="en-CA"/>
        </w:rPr>
      </w:pPr>
      <w:r w:rsidRPr="00336EBF">
        <w:rPr>
          <w:rFonts w:eastAsia="Calibri"/>
          <w:lang w:val="en-CA"/>
        </w:rPr>
        <w:t>While using the work of others may appear to provide a shortcut to a good grade, the quality of online sources and the work of other students is often suspect, at best. Most importantly, you deprive yourself of the learning opportunities the case method offers.</w:t>
      </w:r>
    </w:p>
    <w:sectPr w:rsidR="00465348" w:rsidRPr="00336EBF" w:rsidSect="00751E0B">
      <w:headerReference w:type="default" r:id="rId11"/>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F47957" w14:textId="77777777" w:rsidR="005711AE" w:rsidRDefault="005711AE" w:rsidP="00D75295">
      <w:r>
        <w:separator/>
      </w:r>
    </w:p>
  </w:endnote>
  <w:endnote w:type="continuationSeparator" w:id="0">
    <w:p w14:paraId="364CA67A" w14:textId="77777777" w:rsidR="005711AE" w:rsidRDefault="005711AE"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D82CB1" w14:textId="77777777" w:rsidR="005711AE" w:rsidRDefault="005711AE" w:rsidP="00D75295">
      <w:r>
        <w:separator/>
      </w:r>
    </w:p>
  </w:footnote>
  <w:footnote w:type="continuationSeparator" w:id="0">
    <w:p w14:paraId="5FC817E3" w14:textId="77777777" w:rsidR="005711AE" w:rsidRDefault="005711AE" w:rsidP="00D75295">
      <w:r>
        <w:continuationSeparator/>
      </w:r>
    </w:p>
  </w:footnote>
  <w:footnote w:id="1">
    <w:p w14:paraId="5A88327A" w14:textId="77777777" w:rsidR="005711AE" w:rsidRPr="00F55E6E" w:rsidRDefault="005711AE" w:rsidP="00860FD1">
      <w:pPr>
        <w:pStyle w:val="Footnote"/>
        <w:rPr>
          <w:lang w:val="en-CA"/>
        </w:rPr>
      </w:pPr>
      <w:r>
        <w:rPr>
          <w:rStyle w:val="FootnoteReference"/>
        </w:rPr>
        <w:footnoteRef/>
      </w:r>
      <w:r>
        <w:t xml:space="preserve"> Michael E. </w:t>
      </w:r>
      <w:r>
        <w:rPr>
          <w:lang w:val="en-CA"/>
        </w:rPr>
        <w:t xml:space="preserve">Porter, “How Competitive Forces Shape Strategy,” </w:t>
      </w:r>
      <w:r>
        <w:rPr>
          <w:i/>
          <w:lang w:val="en-CA"/>
        </w:rPr>
        <w:t>Harvard Business Review</w:t>
      </w:r>
      <w:r>
        <w:rPr>
          <w:lang w:val="en-CA"/>
        </w:rPr>
        <w:t xml:space="preserve">, March 1979, 137–145; Michael E. Porter, “The Five Competitive Forces That Shape Strategy,” </w:t>
      </w:r>
      <w:r w:rsidRPr="00E334CA">
        <w:rPr>
          <w:i/>
          <w:lang w:val="en-CA"/>
        </w:rPr>
        <w:t>Harvard Business Review</w:t>
      </w:r>
      <w:r>
        <w:rPr>
          <w:lang w:val="en-CA"/>
        </w:rPr>
        <w:t>, January 2008, 57–71. Available from Ivey Publishing, product no. R0801E.</w:t>
      </w:r>
    </w:p>
  </w:footnote>
  <w:footnote w:id="2">
    <w:p w14:paraId="3605492A" w14:textId="77777777" w:rsidR="005711AE" w:rsidRPr="00D43EE8" w:rsidRDefault="005711AE" w:rsidP="00860FD1">
      <w:pPr>
        <w:pStyle w:val="Footnote"/>
        <w:rPr>
          <w:lang w:val="en-CA"/>
        </w:rPr>
      </w:pPr>
      <w:r>
        <w:rPr>
          <w:rStyle w:val="FootnoteReference"/>
        </w:rPr>
        <w:footnoteRef/>
      </w:r>
      <w:r>
        <w:t xml:space="preserve"> Based on Michael E. Porter, </w:t>
      </w:r>
      <w:r>
        <w:rPr>
          <w:i/>
        </w:rPr>
        <w:t>Competitive Advantage: Creating and Sustaining Superior Performance</w:t>
      </w:r>
      <w:r>
        <w:t xml:space="preserve"> (New York, NY: Free Press, 1985).</w:t>
      </w:r>
    </w:p>
  </w:footnote>
  <w:footnote w:id="3">
    <w:p w14:paraId="03D497BE" w14:textId="77777777" w:rsidR="005711AE" w:rsidRPr="00B26E76" w:rsidRDefault="005711AE" w:rsidP="00860FD1">
      <w:pPr>
        <w:pStyle w:val="Footnote"/>
        <w:rPr>
          <w:lang w:val="en-CA"/>
        </w:rPr>
      </w:pPr>
      <w:r>
        <w:rPr>
          <w:rStyle w:val="FootnoteReference"/>
        </w:rPr>
        <w:footnoteRef/>
      </w:r>
      <w:r>
        <w:t xml:space="preserve"> Jay </w:t>
      </w:r>
      <w:r>
        <w:rPr>
          <w:lang w:val="en-CA"/>
        </w:rPr>
        <w:t xml:space="preserve">Barney, “Firm Resources and Sustained Competitive Advantage,” </w:t>
      </w:r>
      <w:r>
        <w:rPr>
          <w:i/>
          <w:lang w:val="en-CA"/>
        </w:rPr>
        <w:t>Journal of Management</w:t>
      </w:r>
      <w:r w:rsidRPr="008B3C70">
        <w:rPr>
          <w:lang w:val="en-CA"/>
        </w:rPr>
        <w:t xml:space="preserve"> 17</w:t>
      </w:r>
      <w:r>
        <w:rPr>
          <w:lang w:val="en-CA"/>
        </w:rPr>
        <w:t xml:space="preserve">, no. </w:t>
      </w:r>
      <w:r w:rsidRPr="008B3C70">
        <w:rPr>
          <w:lang w:val="en-CA"/>
        </w:rPr>
        <w:t>1</w:t>
      </w:r>
      <w:r>
        <w:rPr>
          <w:lang w:val="en-CA"/>
        </w:rPr>
        <w:t xml:space="preserve"> (1991): 99–120.</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9D0CE" w14:textId="1CF6924D" w:rsidR="005711AE" w:rsidRPr="00C92CC4" w:rsidRDefault="005711AE"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471195">
      <w:rPr>
        <w:rFonts w:ascii="Arial" w:hAnsi="Arial"/>
        <w:b/>
        <w:noProof/>
      </w:rPr>
      <w:t>18</w:t>
    </w:r>
    <w:r>
      <w:rPr>
        <w:rFonts w:ascii="Arial" w:hAnsi="Arial"/>
        <w:b/>
      </w:rPr>
      <w:fldChar w:fldCharType="end"/>
    </w:r>
    <w:r>
      <w:rPr>
        <w:rFonts w:ascii="Arial" w:hAnsi="Arial"/>
        <w:b/>
      </w:rPr>
      <w:tab/>
      <w:t>9B18M059</w:t>
    </w:r>
  </w:p>
  <w:p w14:paraId="139C1DD2" w14:textId="77777777" w:rsidR="005711AE" w:rsidRDefault="005711AE" w:rsidP="00D13667">
    <w:pPr>
      <w:pStyle w:val="Header"/>
      <w:tabs>
        <w:tab w:val="clear" w:pos="4680"/>
      </w:tabs>
      <w:rPr>
        <w:sz w:val="18"/>
        <w:szCs w:val="18"/>
      </w:rPr>
    </w:pPr>
  </w:p>
  <w:p w14:paraId="6730B07E" w14:textId="77777777" w:rsidR="005711AE" w:rsidRPr="00C92CC4" w:rsidRDefault="005711AE"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0113A"/>
    <w:multiLevelType w:val="hybridMultilevel"/>
    <w:tmpl w:val="75E8E8FE"/>
    <w:lvl w:ilvl="0" w:tplc="ED6CD56E">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DA23A04"/>
    <w:multiLevelType w:val="hybridMultilevel"/>
    <w:tmpl w:val="E4985BD6"/>
    <w:lvl w:ilvl="0" w:tplc="BAB67558">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5300715"/>
    <w:multiLevelType w:val="hybridMultilevel"/>
    <w:tmpl w:val="4C5CD312"/>
    <w:lvl w:ilvl="0" w:tplc="05284084">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1EE2B9D"/>
    <w:multiLevelType w:val="multilevel"/>
    <w:tmpl w:val="2E689B08"/>
    <w:lvl w:ilvl="0">
      <w:start w:val="13"/>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D430224"/>
    <w:multiLevelType w:val="multilevel"/>
    <w:tmpl w:val="230CE118"/>
    <w:lvl w:ilvl="0">
      <w:start w:val="1"/>
      <w:numFmt w:val="decimal"/>
      <w:lvlText w:val="%1."/>
      <w:lvlJc w:val="left"/>
      <w:pPr>
        <w:ind w:left="357" w:hanging="357"/>
      </w:pPr>
      <w:rPr>
        <w:rFonts w:hint="default"/>
      </w:rPr>
    </w:lvl>
    <w:lvl w:ilvl="1">
      <w:start w:val="1"/>
      <w:numFmt w:val="decimal"/>
      <w:lvlText w:val="4.%2."/>
      <w:lvlJc w:val="left"/>
      <w:pPr>
        <w:tabs>
          <w:tab w:val="num" w:pos="357"/>
        </w:tabs>
        <w:ind w:left="357" w:hanging="357"/>
      </w:pPr>
      <w:rPr>
        <w:rFonts w:hint="default"/>
      </w:rPr>
    </w:lvl>
    <w:lvl w:ilvl="2">
      <w:start w:val="1"/>
      <w:numFmt w:val="decimal"/>
      <w:lvlText w:val="4.4.%3."/>
      <w:lvlJc w:val="left"/>
      <w:pPr>
        <w:tabs>
          <w:tab w:val="num" w:pos="720"/>
        </w:tabs>
        <w:ind w:left="720" w:hanging="72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F387B9D"/>
    <w:multiLevelType w:val="multilevel"/>
    <w:tmpl w:val="35E875F8"/>
    <w:lvl w:ilvl="0">
      <w:start w:val="4"/>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2EC2151"/>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528641A"/>
    <w:multiLevelType w:val="multilevel"/>
    <w:tmpl w:val="2E689B08"/>
    <w:lvl w:ilvl="0">
      <w:start w:val="13"/>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5366B42"/>
    <w:multiLevelType w:val="multilevel"/>
    <w:tmpl w:val="2E689B08"/>
    <w:lvl w:ilvl="0">
      <w:start w:val="13"/>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BA837C0"/>
    <w:multiLevelType w:val="multilevel"/>
    <w:tmpl w:val="84762A8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sz w:val="20"/>
        <w:szCs w:val="2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C13493C"/>
    <w:multiLevelType w:val="multilevel"/>
    <w:tmpl w:val="0082E36E"/>
    <w:lvl w:ilvl="0">
      <w:start w:val="5"/>
      <w:numFmt w:val="decimal"/>
      <w:lvlText w:val="%1."/>
      <w:lvlJc w:val="left"/>
      <w:pPr>
        <w:ind w:left="357" w:hanging="357"/>
      </w:pPr>
      <w:rPr>
        <w:rFonts w:hint="default"/>
      </w:rPr>
    </w:lvl>
    <w:lvl w:ilvl="1">
      <w:start w:val="4"/>
      <w:numFmt w:val="decimal"/>
      <w:lvlText w:val="%2.3"/>
      <w:lvlJc w:val="left"/>
      <w:pPr>
        <w:tabs>
          <w:tab w:val="num" w:pos="357"/>
        </w:tabs>
        <w:ind w:left="357" w:hanging="357"/>
      </w:pPr>
      <w:rPr>
        <w:rFonts w:hint="default"/>
      </w:rPr>
    </w:lvl>
    <w:lvl w:ilvl="2">
      <w:start w:val="1"/>
      <w:numFmt w:val="none"/>
      <w:lvlText w:val="4.1.2"/>
      <w:lvlJc w:val="left"/>
      <w:pPr>
        <w:tabs>
          <w:tab w:val="num" w:pos="720"/>
        </w:tabs>
        <w:ind w:left="720" w:hanging="72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5EC33C51"/>
    <w:multiLevelType w:val="multilevel"/>
    <w:tmpl w:val="C5DAC2F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7393360"/>
    <w:multiLevelType w:val="hybridMultilevel"/>
    <w:tmpl w:val="9514B986"/>
    <w:lvl w:ilvl="0" w:tplc="C262A548">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67A7D3B"/>
    <w:multiLevelType w:val="hybridMultilevel"/>
    <w:tmpl w:val="DD10588A"/>
    <w:lvl w:ilvl="0" w:tplc="20FCB36A">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D7957E6"/>
    <w:multiLevelType w:val="multilevel"/>
    <w:tmpl w:val="C5DAC2F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13"/>
  </w:num>
  <w:num w:numId="3">
    <w:abstractNumId w:val="0"/>
  </w:num>
  <w:num w:numId="4">
    <w:abstractNumId w:val="12"/>
  </w:num>
  <w:num w:numId="5">
    <w:abstractNumId w:val="2"/>
  </w:num>
  <w:num w:numId="6">
    <w:abstractNumId w:val="4"/>
  </w:num>
  <w:num w:numId="7">
    <w:abstractNumId w:val="9"/>
  </w:num>
  <w:num w:numId="8">
    <w:abstractNumId w:val="14"/>
  </w:num>
  <w:num w:numId="9">
    <w:abstractNumId w:val="10"/>
  </w:num>
  <w:num w:numId="10">
    <w:abstractNumId w:val="11"/>
  </w:num>
  <w:num w:numId="11">
    <w:abstractNumId w:val="5"/>
  </w:num>
  <w:num w:numId="12">
    <w:abstractNumId w:val="6"/>
  </w:num>
  <w:num w:numId="13">
    <w:abstractNumId w:val="8"/>
  </w:num>
  <w:num w:numId="14">
    <w:abstractNumId w:val="3"/>
  </w:num>
  <w:num w:numId="15">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hideGrammaticalErrors/>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6759"/>
    <w:rsid w:val="000216CE"/>
    <w:rsid w:val="00024ED4"/>
    <w:rsid w:val="00025DC7"/>
    <w:rsid w:val="00030594"/>
    <w:rsid w:val="00035F09"/>
    <w:rsid w:val="00044ECC"/>
    <w:rsid w:val="000451EB"/>
    <w:rsid w:val="000531D3"/>
    <w:rsid w:val="0005646B"/>
    <w:rsid w:val="00057E53"/>
    <w:rsid w:val="00073D63"/>
    <w:rsid w:val="0007560B"/>
    <w:rsid w:val="0007798A"/>
    <w:rsid w:val="0008102D"/>
    <w:rsid w:val="00087E1C"/>
    <w:rsid w:val="00094C0E"/>
    <w:rsid w:val="000D3813"/>
    <w:rsid w:val="000D7091"/>
    <w:rsid w:val="000F0C22"/>
    <w:rsid w:val="000F4A6D"/>
    <w:rsid w:val="000F6B09"/>
    <w:rsid w:val="000F6FDC"/>
    <w:rsid w:val="00100EF4"/>
    <w:rsid w:val="00104567"/>
    <w:rsid w:val="00104698"/>
    <w:rsid w:val="00104916"/>
    <w:rsid w:val="00104AA7"/>
    <w:rsid w:val="0012732D"/>
    <w:rsid w:val="00134C5C"/>
    <w:rsid w:val="00143F25"/>
    <w:rsid w:val="00152682"/>
    <w:rsid w:val="00154FC9"/>
    <w:rsid w:val="0019241A"/>
    <w:rsid w:val="001A22D1"/>
    <w:rsid w:val="001A752D"/>
    <w:rsid w:val="001A757E"/>
    <w:rsid w:val="001B5032"/>
    <w:rsid w:val="001C7777"/>
    <w:rsid w:val="001E364F"/>
    <w:rsid w:val="001F4222"/>
    <w:rsid w:val="00203AA1"/>
    <w:rsid w:val="00213E98"/>
    <w:rsid w:val="00220F32"/>
    <w:rsid w:val="0023081A"/>
    <w:rsid w:val="002439AA"/>
    <w:rsid w:val="0026392C"/>
    <w:rsid w:val="00272590"/>
    <w:rsid w:val="002A14FC"/>
    <w:rsid w:val="002A5117"/>
    <w:rsid w:val="002B0E77"/>
    <w:rsid w:val="002F178F"/>
    <w:rsid w:val="002F460C"/>
    <w:rsid w:val="002F48D6"/>
    <w:rsid w:val="00317391"/>
    <w:rsid w:val="0032533D"/>
    <w:rsid w:val="00326216"/>
    <w:rsid w:val="00336580"/>
    <w:rsid w:val="0033689F"/>
    <w:rsid w:val="00336EBF"/>
    <w:rsid w:val="00353DD8"/>
    <w:rsid w:val="00354899"/>
    <w:rsid w:val="00355FD6"/>
    <w:rsid w:val="00360C55"/>
    <w:rsid w:val="00364A5C"/>
    <w:rsid w:val="00373FB1"/>
    <w:rsid w:val="00376EA0"/>
    <w:rsid w:val="003772D1"/>
    <w:rsid w:val="003936DC"/>
    <w:rsid w:val="00396C76"/>
    <w:rsid w:val="003B30D8"/>
    <w:rsid w:val="003B7EF2"/>
    <w:rsid w:val="003C3FA4"/>
    <w:rsid w:val="003D0BA1"/>
    <w:rsid w:val="003D0F95"/>
    <w:rsid w:val="003F2B0C"/>
    <w:rsid w:val="004105B2"/>
    <w:rsid w:val="00412900"/>
    <w:rsid w:val="004221E4"/>
    <w:rsid w:val="0042236E"/>
    <w:rsid w:val="004273F8"/>
    <w:rsid w:val="004355A3"/>
    <w:rsid w:val="00446546"/>
    <w:rsid w:val="00452769"/>
    <w:rsid w:val="00456349"/>
    <w:rsid w:val="00465348"/>
    <w:rsid w:val="00471195"/>
    <w:rsid w:val="004B1CCB"/>
    <w:rsid w:val="004B632F"/>
    <w:rsid w:val="004C53A8"/>
    <w:rsid w:val="004D3FB1"/>
    <w:rsid w:val="004D6F21"/>
    <w:rsid w:val="004D73A5"/>
    <w:rsid w:val="004F2449"/>
    <w:rsid w:val="005077EA"/>
    <w:rsid w:val="005124D9"/>
    <w:rsid w:val="005160F1"/>
    <w:rsid w:val="00524F2F"/>
    <w:rsid w:val="00527E5C"/>
    <w:rsid w:val="00532CF5"/>
    <w:rsid w:val="0053579C"/>
    <w:rsid w:val="005528CB"/>
    <w:rsid w:val="00562204"/>
    <w:rsid w:val="00566771"/>
    <w:rsid w:val="005711AE"/>
    <w:rsid w:val="00581E2E"/>
    <w:rsid w:val="00584F15"/>
    <w:rsid w:val="0059514B"/>
    <w:rsid w:val="005959FF"/>
    <w:rsid w:val="005A018D"/>
    <w:rsid w:val="005A1B0F"/>
    <w:rsid w:val="005C2DED"/>
    <w:rsid w:val="005E7DB9"/>
    <w:rsid w:val="006163F7"/>
    <w:rsid w:val="006207BD"/>
    <w:rsid w:val="00627C63"/>
    <w:rsid w:val="0063350B"/>
    <w:rsid w:val="00652606"/>
    <w:rsid w:val="00672941"/>
    <w:rsid w:val="006778D0"/>
    <w:rsid w:val="00690ADD"/>
    <w:rsid w:val="006946EE"/>
    <w:rsid w:val="006A58A9"/>
    <w:rsid w:val="006A606D"/>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675F8"/>
    <w:rsid w:val="00780D94"/>
    <w:rsid w:val="007866A6"/>
    <w:rsid w:val="007A130D"/>
    <w:rsid w:val="007B2956"/>
    <w:rsid w:val="007C4E32"/>
    <w:rsid w:val="007D1A2D"/>
    <w:rsid w:val="007D4102"/>
    <w:rsid w:val="007F43B7"/>
    <w:rsid w:val="00821FFC"/>
    <w:rsid w:val="008271CA"/>
    <w:rsid w:val="008467D5"/>
    <w:rsid w:val="00860FD1"/>
    <w:rsid w:val="0086734E"/>
    <w:rsid w:val="008A4DC4"/>
    <w:rsid w:val="008B438C"/>
    <w:rsid w:val="008C008D"/>
    <w:rsid w:val="008D06CA"/>
    <w:rsid w:val="008D3A46"/>
    <w:rsid w:val="009067A4"/>
    <w:rsid w:val="00930885"/>
    <w:rsid w:val="00933C5B"/>
    <w:rsid w:val="00933D68"/>
    <w:rsid w:val="009340DB"/>
    <w:rsid w:val="0094618C"/>
    <w:rsid w:val="0095684B"/>
    <w:rsid w:val="00972498"/>
    <w:rsid w:val="0097481F"/>
    <w:rsid w:val="00974CC6"/>
    <w:rsid w:val="00976AD4"/>
    <w:rsid w:val="00995547"/>
    <w:rsid w:val="009A312F"/>
    <w:rsid w:val="009A5348"/>
    <w:rsid w:val="009B0AB7"/>
    <w:rsid w:val="009C76D5"/>
    <w:rsid w:val="009F7AA4"/>
    <w:rsid w:val="00A10AD7"/>
    <w:rsid w:val="00A559DB"/>
    <w:rsid w:val="00A569EA"/>
    <w:rsid w:val="00A56C9A"/>
    <w:rsid w:val="00AE7F34"/>
    <w:rsid w:val="00AF35FC"/>
    <w:rsid w:val="00AF5556"/>
    <w:rsid w:val="00B03639"/>
    <w:rsid w:val="00B0652A"/>
    <w:rsid w:val="00B16C30"/>
    <w:rsid w:val="00B40937"/>
    <w:rsid w:val="00B423EF"/>
    <w:rsid w:val="00B453DE"/>
    <w:rsid w:val="00B72597"/>
    <w:rsid w:val="00B901F9"/>
    <w:rsid w:val="00BA4AC3"/>
    <w:rsid w:val="00BC6FC9"/>
    <w:rsid w:val="00BD6EFB"/>
    <w:rsid w:val="00C1584D"/>
    <w:rsid w:val="00C15BE2"/>
    <w:rsid w:val="00C261C1"/>
    <w:rsid w:val="00C3447F"/>
    <w:rsid w:val="00C67102"/>
    <w:rsid w:val="00C81491"/>
    <w:rsid w:val="00C81676"/>
    <w:rsid w:val="00C85C5D"/>
    <w:rsid w:val="00C92CC4"/>
    <w:rsid w:val="00CA0AFB"/>
    <w:rsid w:val="00CA2CE1"/>
    <w:rsid w:val="00CA3976"/>
    <w:rsid w:val="00CA50E3"/>
    <w:rsid w:val="00CA5D64"/>
    <w:rsid w:val="00CA757B"/>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97F12"/>
    <w:rsid w:val="00DA6095"/>
    <w:rsid w:val="00DB42E7"/>
    <w:rsid w:val="00DE01A6"/>
    <w:rsid w:val="00DE7A98"/>
    <w:rsid w:val="00DF32C2"/>
    <w:rsid w:val="00E16867"/>
    <w:rsid w:val="00E471A7"/>
    <w:rsid w:val="00E635CF"/>
    <w:rsid w:val="00E92DB6"/>
    <w:rsid w:val="00EA773C"/>
    <w:rsid w:val="00EC6E0A"/>
    <w:rsid w:val="00ED4E18"/>
    <w:rsid w:val="00EE09B9"/>
    <w:rsid w:val="00EE1F37"/>
    <w:rsid w:val="00F0159C"/>
    <w:rsid w:val="00F052E8"/>
    <w:rsid w:val="00F105B7"/>
    <w:rsid w:val="00F119A8"/>
    <w:rsid w:val="00F13220"/>
    <w:rsid w:val="00F17A21"/>
    <w:rsid w:val="00F37B27"/>
    <w:rsid w:val="00F46556"/>
    <w:rsid w:val="00F50E91"/>
    <w:rsid w:val="00F5330C"/>
    <w:rsid w:val="00F57D29"/>
    <w:rsid w:val="00F72A1B"/>
    <w:rsid w:val="00F96201"/>
    <w:rsid w:val="00FD0B18"/>
    <w:rsid w:val="00FD2FAD"/>
    <w:rsid w:val="00FE4879"/>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0DE6EB2D"/>
  <w15:docId w15:val="{B332D785-A780-4C6D-A38E-8967D0C7B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iPriority w:val="9"/>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60FD1"/>
    <w:pPr>
      <w:keepNext/>
      <w:keepLines/>
      <w:spacing w:before="40"/>
      <w:outlineLvl w:val="5"/>
    </w:pPr>
    <w:rPr>
      <w:rFonts w:ascii="Calibri Light" w:hAnsi="Calibri Light"/>
      <w:color w:val="1F3763"/>
      <w:lang w:val="en-GB"/>
    </w:rPr>
  </w:style>
  <w:style w:type="paragraph" w:styleId="Heading7">
    <w:name w:val="heading 7"/>
    <w:basedOn w:val="Normal"/>
    <w:next w:val="Normal"/>
    <w:link w:val="Heading7Char"/>
    <w:uiPriority w:val="9"/>
    <w:qFormat/>
    <w:rsid w:val="004273F8"/>
    <w:pPr>
      <w:keepNext/>
      <w:outlineLvl w:val="6"/>
    </w:pPr>
    <w:rPr>
      <w:b/>
      <w:bCs/>
      <w:sz w:val="24"/>
      <w:szCs w:val="24"/>
      <w:lang w:val="en-GB" w:eastAsia="x-none"/>
    </w:rPr>
  </w:style>
  <w:style w:type="paragraph" w:styleId="Heading8">
    <w:name w:val="heading 8"/>
    <w:basedOn w:val="Normal"/>
    <w:next w:val="Normal"/>
    <w:link w:val="Heading8Char"/>
    <w:uiPriority w:val="9"/>
    <w:qFormat/>
    <w:rsid w:val="00711642"/>
    <w:pPr>
      <w:tabs>
        <w:tab w:val="left" w:pos="0"/>
      </w:tabs>
      <w:jc w:val="center"/>
      <w:outlineLvl w:val="7"/>
    </w:pPr>
    <w:rPr>
      <w:b/>
      <w:sz w:val="18"/>
      <w:lang w:val="en-AU"/>
    </w:rPr>
  </w:style>
  <w:style w:type="paragraph" w:styleId="Heading9">
    <w:name w:val="heading 9"/>
    <w:basedOn w:val="Normal"/>
    <w:next w:val="Normal"/>
    <w:link w:val="Heading9Char"/>
    <w:uiPriority w:val="9"/>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uiPriority w:val="9"/>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uiPriority w:val="9"/>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uiPriority w:val="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qFormat/>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uiPriority w:val="10"/>
    <w:qFormat/>
    <w:rsid w:val="00711642"/>
    <w:pPr>
      <w:spacing w:after="240"/>
      <w:jc w:val="center"/>
    </w:pPr>
    <w:rPr>
      <w:b/>
      <w:sz w:val="24"/>
      <w:lang w:val="en-AU"/>
    </w:rPr>
  </w:style>
  <w:style w:type="character" w:customStyle="1" w:styleId="TitleChar">
    <w:name w:val="Title Char"/>
    <w:basedOn w:val="DefaultParagraphFont"/>
    <w:link w:val="Title"/>
    <w:uiPriority w:val="10"/>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uiPriority w:val="9"/>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character" w:customStyle="1" w:styleId="Heading6Char">
    <w:name w:val="Heading 6 Char"/>
    <w:basedOn w:val="DefaultParagraphFont"/>
    <w:link w:val="Heading6"/>
    <w:uiPriority w:val="9"/>
    <w:semiHidden/>
    <w:rsid w:val="00860FD1"/>
    <w:rPr>
      <w:rFonts w:ascii="Calibri Light" w:eastAsia="Times New Roman" w:hAnsi="Calibri Light" w:cs="Times New Roman"/>
      <w:color w:val="1F3763"/>
      <w:sz w:val="20"/>
      <w:szCs w:val="20"/>
      <w:lang w:val="en-GB"/>
    </w:rPr>
  </w:style>
  <w:style w:type="numbering" w:customStyle="1" w:styleId="NoList1">
    <w:name w:val="No List1"/>
    <w:next w:val="NoList"/>
    <w:uiPriority w:val="99"/>
    <w:semiHidden/>
    <w:unhideWhenUsed/>
    <w:rsid w:val="00860FD1"/>
  </w:style>
  <w:style w:type="table" w:customStyle="1" w:styleId="TableGrid1">
    <w:name w:val="Table Grid1"/>
    <w:basedOn w:val="TableNormal"/>
    <w:next w:val="TableGrid"/>
    <w:uiPriority w:val="59"/>
    <w:rsid w:val="00860F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61">
    <w:name w:val="Heading 61"/>
    <w:basedOn w:val="Normal"/>
    <w:next w:val="Normal"/>
    <w:uiPriority w:val="9"/>
    <w:semiHidden/>
    <w:unhideWhenUsed/>
    <w:qFormat/>
    <w:rsid w:val="00860FD1"/>
    <w:pPr>
      <w:keepNext/>
      <w:keepLines/>
      <w:tabs>
        <w:tab w:val="num" w:pos="1440"/>
      </w:tabs>
      <w:spacing w:before="40"/>
      <w:ind w:left="1440" w:hanging="360"/>
      <w:outlineLvl w:val="5"/>
    </w:pPr>
    <w:rPr>
      <w:rFonts w:ascii="Calibri Light" w:hAnsi="Calibri Light"/>
      <w:color w:val="1F3763"/>
      <w:lang w:val="en-GB"/>
    </w:rPr>
  </w:style>
  <w:style w:type="character" w:customStyle="1" w:styleId="SubtleEmphasis1">
    <w:name w:val="Subtle Emphasis1"/>
    <w:basedOn w:val="DefaultParagraphFont"/>
    <w:uiPriority w:val="19"/>
    <w:rsid w:val="00860FD1"/>
    <w:rPr>
      <w:i/>
      <w:iCs/>
      <w:color w:val="404040"/>
    </w:rPr>
  </w:style>
  <w:style w:type="character" w:customStyle="1" w:styleId="IntenseEmphasis1">
    <w:name w:val="Intense Emphasis1"/>
    <w:basedOn w:val="DefaultParagraphFont"/>
    <w:uiPriority w:val="21"/>
    <w:rsid w:val="00860FD1"/>
    <w:rPr>
      <w:i/>
      <w:iCs/>
      <w:color w:val="4472C4"/>
    </w:rPr>
  </w:style>
  <w:style w:type="character" w:styleId="BookTitle">
    <w:name w:val="Book Title"/>
    <w:basedOn w:val="DefaultParagraphFont"/>
    <w:uiPriority w:val="33"/>
    <w:rsid w:val="00860FD1"/>
    <w:rPr>
      <w:b/>
      <w:bCs/>
      <w:i/>
      <w:iCs/>
      <w:spacing w:val="5"/>
    </w:rPr>
  </w:style>
  <w:style w:type="paragraph" w:customStyle="1" w:styleId="IntenseQuote1">
    <w:name w:val="Intense Quote1"/>
    <w:basedOn w:val="Normal"/>
    <w:next w:val="Normal"/>
    <w:uiPriority w:val="30"/>
    <w:rsid w:val="00860FD1"/>
    <w:pPr>
      <w:pBdr>
        <w:top w:val="single" w:sz="4" w:space="10" w:color="4472C4"/>
        <w:bottom w:val="single" w:sz="4" w:space="10" w:color="4472C4"/>
      </w:pBdr>
      <w:spacing w:before="360" w:after="360"/>
      <w:ind w:left="864" w:right="864"/>
      <w:jc w:val="center"/>
    </w:pPr>
    <w:rPr>
      <w:i/>
      <w:iCs/>
      <w:color w:val="4472C4"/>
      <w:lang w:val="en-GB"/>
    </w:rPr>
  </w:style>
  <w:style w:type="character" w:customStyle="1" w:styleId="IntenseQuoteChar">
    <w:name w:val="Intense Quote Char"/>
    <w:basedOn w:val="DefaultParagraphFont"/>
    <w:link w:val="IntenseQuote"/>
    <w:uiPriority w:val="30"/>
    <w:rsid w:val="00860FD1"/>
    <w:rPr>
      <w:rFonts w:ascii="Times New Roman" w:eastAsia="Times New Roman" w:hAnsi="Times New Roman" w:cs="Times New Roman"/>
      <w:i/>
      <w:iCs/>
      <w:color w:val="4472C4"/>
      <w:sz w:val="20"/>
      <w:szCs w:val="20"/>
      <w:lang w:val="en-GB"/>
    </w:rPr>
  </w:style>
  <w:style w:type="character" w:customStyle="1" w:styleId="SubtleReference1">
    <w:name w:val="Subtle Reference1"/>
    <w:basedOn w:val="DefaultParagraphFont"/>
    <w:uiPriority w:val="31"/>
    <w:rsid w:val="00860FD1"/>
    <w:rPr>
      <w:smallCaps/>
      <w:color w:val="5A5A5A"/>
    </w:rPr>
  </w:style>
  <w:style w:type="paragraph" w:customStyle="1" w:styleId="Quote1">
    <w:name w:val="Quote1"/>
    <w:basedOn w:val="Normal"/>
    <w:next w:val="Normal"/>
    <w:uiPriority w:val="29"/>
    <w:rsid w:val="00860FD1"/>
    <w:pPr>
      <w:spacing w:before="200" w:after="160"/>
      <w:ind w:left="864" w:right="864"/>
      <w:jc w:val="center"/>
    </w:pPr>
    <w:rPr>
      <w:i/>
      <w:iCs/>
      <w:color w:val="404040"/>
      <w:lang w:val="en-GB"/>
    </w:rPr>
  </w:style>
  <w:style w:type="character" w:customStyle="1" w:styleId="QuoteChar">
    <w:name w:val="Quote Char"/>
    <w:basedOn w:val="DefaultParagraphFont"/>
    <w:link w:val="Quote"/>
    <w:uiPriority w:val="29"/>
    <w:rsid w:val="00860FD1"/>
    <w:rPr>
      <w:rFonts w:ascii="Times New Roman" w:eastAsia="Times New Roman" w:hAnsi="Times New Roman" w:cs="Times New Roman"/>
      <w:i/>
      <w:iCs/>
      <w:color w:val="404040"/>
      <w:sz w:val="20"/>
      <w:szCs w:val="20"/>
      <w:lang w:val="en-GB"/>
    </w:rPr>
  </w:style>
  <w:style w:type="paragraph" w:styleId="Caption">
    <w:name w:val="caption"/>
    <w:basedOn w:val="BodyTextMain"/>
    <w:next w:val="BodyTextMain"/>
    <w:uiPriority w:val="35"/>
    <w:unhideWhenUsed/>
    <w:qFormat/>
    <w:rsid w:val="00860FD1"/>
    <w:pPr>
      <w:spacing w:before="180" w:after="240"/>
    </w:pPr>
    <w:rPr>
      <w:rFonts w:ascii="Arial" w:eastAsia="Calibri" w:hAnsi="Arial"/>
      <w:b/>
      <w:bCs/>
      <w:sz w:val="20"/>
      <w:szCs w:val="18"/>
      <w:lang w:val="en-GB"/>
    </w:rPr>
  </w:style>
  <w:style w:type="paragraph" w:customStyle="1" w:styleId="Subtitle1">
    <w:name w:val="Subtitle1"/>
    <w:basedOn w:val="Normal"/>
    <w:next w:val="Normal"/>
    <w:uiPriority w:val="11"/>
    <w:rsid w:val="00860FD1"/>
    <w:pPr>
      <w:numPr>
        <w:ilvl w:val="1"/>
      </w:numPr>
      <w:spacing w:after="160"/>
    </w:pPr>
    <w:rPr>
      <w:rFonts w:ascii="Calibri" w:hAnsi="Calibri"/>
      <w:color w:val="5A5A5A"/>
      <w:spacing w:val="15"/>
      <w:sz w:val="22"/>
      <w:szCs w:val="22"/>
      <w:lang w:val="en-GB"/>
    </w:rPr>
  </w:style>
  <w:style w:type="character" w:customStyle="1" w:styleId="SubtitleChar">
    <w:name w:val="Subtitle Char"/>
    <w:basedOn w:val="DefaultParagraphFont"/>
    <w:link w:val="Subtitle"/>
    <w:uiPriority w:val="11"/>
    <w:rsid w:val="00860FD1"/>
    <w:rPr>
      <w:rFonts w:eastAsia="Times New Roman"/>
      <w:color w:val="5A5A5A"/>
      <w:spacing w:val="15"/>
      <w:lang w:val="en-GB"/>
    </w:rPr>
  </w:style>
  <w:style w:type="table" w:customStyle="1" w:styleId="TableGrid11">
    <w:name w:val="Table Grid11"/>
    <w:basedOn w:val="TableNormal"/>
    <w:next w:val="TableGrid"/>
    <w:uiPriority w:val="39"/>
    <w:rsid w:val="00860FD1"/>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IveyTable">
    <w:name w:val="Ivey Table"/>
    <w:basedOn w:val="TableNormal"/>
    <w:uiPriority w:val="99"/>
    <w:rsid w:val="00860FD1"/>
    <w:pPr>
      <w:spacing w:after="0" w:line="240" w:lineRule="auto"/>
    </w:pPr>
    <w:rPr>
      <w:rFonts w:ascii="Arial" w:hAnsi="Arial"/>
      <w:sz w:val="20"/>
      <w:szCs w:val="24"/>
    </w:rPr>
    <w:tblPr>
      <w:jc w:val="center"/>
      <w:tblBorders>
        <w:top w:val="single" w:sz="4" w:space="0" w:color="auto"/>
        <w:bottom w:val="single" w:sz="4" w:space="0" w:color="auto"/>
        <w:insideH w:val="single" w:sz="4" w:space="0" w:color="auto"/>
      </w:tblBorders>
      <w:tblCellMar>
        <w:top w:w="58" w:type="dxa"/>
        <w:left w:w="115" w:type="dxa"/>
        <w:bottom w:w="58" w:type="dxa"/>
        <w:right w:w="115" w:type="dxa"/>
      </w:tblCellMar>
    </w:tblPr>
    <w:trPr>
      <w:jc w:val="center"/>
    </w:trPr>
    <w:tcPr>
      <w:vAlign w:val="center"/>
    </w:tcPr>
    <w:tblStylePr w:type="firstRow">
      <w:rPr>
        <w:b/>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FigureContent">
    <w:name w:val="Figure Content"/>
    <w:basedOn w:val="Normal"/>
    <w:rsid w:val="00860FD1"/>
    <w:pPr>
      <w:spacing w:line="240" w:lineRule="atLeast"/>
    </w:pPr>
    <w:rPr>
      <w:rFonts w:ascii="Arial" w:hAnsi="Arial" w:cs="Arial"/>
      <w:sz w:val="18"/>
      <w:szCs w:val="18"/>
      <w:lang w:val="en-GB"/>
    </w:rPr>
  </w:style>
  <w:style w:type="paragraph" w:customStyle="1" w:styleId="Level1">
    <w:name w:val="Level 1"/>
    <w:basedOn w:val="Normal"/>
    <w:rsid w:val="00860FD1"/>
    <w:pPr>
      <w:widowControl w:val="0"/>
    </w:pPr>
    <w:rPr>
      <w:sz w:val="24"/>
    </w:rPr>
  </w:style>
  <w:style w:type="character" w:styleId="PlaceholderText">
    <w:name w:val="Placeholder Text"/>
    <w:basedOn w:val="DefaultParagraphFont"/>
    <w:uiPriority w:val="99"/>
    <w:semiHidden/>
    <w:rsid w:val="00860FD1"/>
    <w:rPr>
      <w:color w:val="808080"/>
    </w:rPr>
  </w:style>
  <w:style w:type="character" w:styleId="SubtleEmphasis">
    <w:name w:val="Subtle Emphasis"/>
    <w:basedOn w:val="DefaultParagraphFont"/>
    <w:uiPriority w:val="19"/>
    <w:rsid w:val="00860FD1"/>
    <w:rPr>
      <w:i/>
      <w:iCs/>
      <w:color w:val="404040" w:themeColor="text1" w:themeTint="BF"/>
    </w:rPr>
  </w:style>
  <w:style w:type="character" w:styleId="IntenseEmphasis">
    <w:name w:val="Intense Emphasis"/>
    <w:basedOn w:val="DefaultParagraphFont"/>
    <w:uiPriority w:val="21"/>
    <w:rsid w:val="00860FD1"/>
    <w:rPr>
      <w:i/>
      <w:iCs/>
      <w:color w:val="4F81BD" w:themeColor="accent1"/>
    </w:rPr>
  </w:style>
  <w:style w:type="paragraph" w:styleId="IntenseQuote">
    <w:name w:val="Intense Quote"/>
    <w:basedOn w:val="Normal"/>
    <w:next w:val="Normal"/>
    <w:link w:val="IntenseQuoteChar"/>
    <w:uiPriority w:val="30"/>
    <w:rsid w:val="00860FD1"/>
    <w:pPr>
      <w:pBdr>
        <w:top w:val="single" w:sz="4" w:space="10" w:color="4F81BD" w:themeColor="accent1"/>
        <w:bottom w:val="single" w:sz="4" w:space="10" w:color="4F81BD" w:themeColor="accent1"/>
      </w:pBdr>
      <w:spacing w:before="360" w:after="360"/>
      <w:ind w:left="864" w:right="864"/>
      <w:jc w:val="center"/>
    </w:pPr>
    <w:rPr>
      <w:i/>
      <w:iCs/>
      <w:color w:val="4472C4"/>
      <w:lang w:val="en-GB"/>
    </w:rPr>
  </w:style>
  <w:style w:type="character" w:customStyle="1" w:styleId="IntenseQuoteChar1">
    <w:name w:val="Intense Quote Char1"/>
    <w:basedOn w:val="DefaultParagraphFont"/>
    <w:uiPriority w:val="30"/>
    <w:rsid w:val="00860FD1"/>
    <w:rPr>
      <w:rFonts w:ascii="Times New Roman" w:eastAsia="Times New Roman" w:hAnsi="Times New Roman" w:cs="Times New Roman"/>
      <w:i/>
      <w:iCs/>
      <w:color w:val="4F81BD" w:themeColor="accent1"/>
      <w:sz w:val="20"/>
      <w:szCs w:val="20"/>
    </w:rPr>
  </w:style>
  <w:style w:type="character" w:styleId="SubtleReference">
    <w:name w:val="Subtle Reference"/>
    <w:basedOn w:val="DefaultParagraphFont"/>
    <w:uiPriority w:val="31"/>
    <w:rsid w:val="00860FD1"/>
    <w:rPr>
      <w:smallCaps/>
      <w:color w:val="5A5A5A" w:themeColor="text1" w:themeTint="A5"/>
    </w:rPr>
  </w:style>
  <w:style w:type="paragraph" w:styleId="Quote">
    <w:name w:val="Quote"/>
    <w:basedOn w:val="Normal"/>
    <w:next w:val="Normal"/>
    <w:link w:val="QuoteChar"/>
    <w:uiPriority w:val="29"/>
    <w:rsid w:val="00860FD1"/>
    <w:pPr>
      <w:spacing w:before="200" w:after="160"/>
      <w:ind w:left="864" w:right="864"/>
      <w:jc w:val="center"/>
    </w:pPr>
    <w:rPr>
      <w:i/>
      <w:iCs/>
      <w:color w:val="404040"/>
      <w:lang w:val="en-GB"/>
    </w:rPr>
  </w:style>
  <w:style w:type="character" w:customStyle="1" w:styleId="QuoteChar1">
    <w:name w:val="Quote Char1"/>
    <w:basedOn w:val="DefaultParagraphFont"/>
    <w:uiPriority w:val="29"/>
    <w:rsid w:val="00860FD1"/>
    <w:rPr>
      <w:rFonts w:ascii="Times New Roman" w:eastAsia="Times New Roman" w:hAnsi="Times New Roman" w:cs="Times New Roman"/>
      <w:i/>
      <w:iCs/>
      <w:color w:val="404040" w:themeColor="text1" w:themeTint="BF"/>
      <w:sz w:val="20"/>
      <w:szCs w:val="20"/>
    </w:rPr>
  </w:style>
  <w:style w:type="paragraph" w:styleId="Subtitle">
    <w:name w:val="Subtitle"/>
    <w:basedOn w:val="Normal"/>
    <w:next w:val="Normal"/>
    <w:link w:val="SubtitleChar"/>
    <w:uiPriority w:val="11"/>
    <w:rsid w:val="00860FD1"/>
    <w:pPr>
      <w:numPr>
        <w:ilvl w:val="1"/>
      </w:numPr>
      <w:spacing w:after="160"/>
    </w:pPr>
    <w:rPr>
      <w:rFonts w:asciiTheme="minorHAnsi" w:hAnsiTheme="minorHAnsi" w:cstheme="minorBidi"/>
      <w:color w:val="5A5A5A"/>
      <w:spacing w:val="15"/>
      <w:sz w:val="22"/>
      <w:szCs w:val="22"/>
      <w:lang w:val="en-GB"/>
    </w:rPr>
  </w:style>
  <w:style w:type="character" w:customStyle="1" w:styleId="SubtitleChar1">
    <w:name w:val="Subtitle Char1"/>
    <w:basedOn w:val="DefaultParagraphFont"/>
    <w:uiPriority w:val="11"/>
    <w:rsid w:val="00860FD1"/>
    <w:rPr>
      <w:rFonts w:eastAsiaTheme="minorEastAsia"/>
      <w:color w:val="5A5A5A" w:themeColor="text1" w:themeTint="A5"/>
      <w:spacing w:val="15"/>
    </w:rPr>
  </w:style>
  <w:style w:type="character" w:customStyle="1" w:styleId="Heading6Char1">
    <w:name w:val="Heading 6 Char1"/>
    <w:basedOn w:val="DefaultParagraphFont"/>
    <w:uiPriority w:val="9"/>
    <w:semiHidden/>
    <w:rsid w:val="00860FD1"/>
    <w:rPr>
      <w:rFonts w:asciiTheme="majorHAnsi" w:eastAsiaTheme="majorEastAsia" w:hAnsiTheme="majorHAnsi" w:cstheme="majorBidi"/>
      <w:color w:val="243F60" w:themeColor="accent1" w:themeShade="7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57BB62-DDF4-4315-90A6-064284059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18</Pages>
  <Words>6565</Words>
  <Characters>37421</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43899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Martinali, Sara</cp:lastModifiedBy>
  <cp:revision>9</cp:revision>
  <cp:lastPrinted>2018-02-19T18:38:00Z</cp:lastPrinted>
  <dcterms:created xsi:type="dcterms:W3CDTF">2018-03-22T18:39:00Z</dcterms:created>
  <dcterms:modified xsi:type="dcterms:W3CDTF">2018-09-06T15:08:00Z</dcterms:modified>
</cp:coreProperties>
</file>