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99AF" w14:textId="359E2A43" w:rsidR="00F13220" w:rsidRPr="00C44B3A" w:rsidRDefault="009519E1" w:rsidP="008467D5">
      <w:pPr>
        <w:pBdr>
          <w:bottom w:val="single" w:sz="18" w:space="1" w:color="auto"/>
        </w:pBdr>
        <w:tabs>
          <w:tab w:val="left" w:pos="-1440"/>
          <w:tab w:val="left" w:pos="-720"/>
          <w:tab w:val="left" w:pos="1"/>
        </w:tabs>
        <w:jc w:val="both"/>
        <w:rPr>
          <w:rFonts w:ascii="Arial" w:hAnsi="Arial"/>
          <w:b/>
          <w:sz w:val="24"/>
          <w:lang w:val="en-CA"/>
        </w:rPr>
      </w:pPr>
      <w:r w:rsidRPr="00C44B3A">
        <w:rPr>
          <w:rFonts w:ascii="Arial" w:hAnsi="Arial"/>
          <w:b/>
          <w:noProof/>
          <w:sz w:val="24"/>
          <w:lang w:val="en-CA"/>
        </w:rPr>
        <w:drawing>
          <wp:inline distT="0" distB="0" distL="0" distR="0" wp14:anchorId="169A82E2" wp14:editId="409BD74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4FB886B" w14:textId="66930144" w:rsidR="00D75295" w:rsidRPr="00C44B3A" w:rsidRDefault="00D051E9" w:rsidP="00F105B7">
      <w:pPr>
        <w:pStyle w:val="ProductNumber"/>
        <w:rPr>
          <w:lang w:val="en-CA"/>
        </w:rPr>
      </w:pPr>
      <w:r w:rsidRPr="00C44B3A">
        <w:rPr>
          <w:lang w:val="en-CA"/>
        </w:rPr>
        <w:t>9B18M061</w:t>
      </w:r>
    </w:p>
    <w:p w14:paraId="00AD5369" w14:textId="77777777" w:rsidR="00D75295" w:rsidRPr="00C44B3A" w:rsidRDefault="00D75295" w:rsidP="00D75295">
      <w:pPr>
        <w:jc w:val="right"/>
        <w:rPr>
          <w:rFonts w:ascii="Arial" w:hAnsi="Arial"/>
          <w:b/>
          <w:sz w:val="28"/>
          <w:szCs w:val="28"/>
          <w:lang w:val="en-CA"/>
        </w:rPr>
      </w:pPr>
    </w:p>
    <w:p w14:paraId="146581CB" w14:textId="77777777" w:rsidR="00013360" w:rsidRPr="00C44B3A" w:rsidRDefault="00013360" w:rsidP="00D75295">
      <w:pPr>
        <w:jc w:val="right"/>
        <w:rPr>
          <w:rFonts w:ascii="Arial" w:hAnsi="Arial"/>
          <w:b/>
          <w:sz w:val="28"/>
          <w:szCs w:val="28"/>
          <w:lang w:val="en-CA"/>
        </w:rPr>
      </w:pPr>
    </w:p>
    <w:p w14:paraId="15310764" w14:textId="2BCC3D51" w:rsidR="00013360" w:rsidRPr="00C44B3A" w:rsidRDefault="00BE15C5" w:rsidP="00013360">
      <w:pPr>
        <w:pStyle w:val="CaseTitle"/>
        <w:spacing w:after="0" w:line="240" w:lineRule="auto"/>
        <w:rPr>
          <w:sz w:val="20"/>
          <w:szCs w:val="20"/>
          <w:lang w:val="en-CA"/>
        </w:rPr>
      </w:pPr>
      <w:r w:rsidRPr="00C44B3A">
        <w:rPr>
          <w:rFonts w:eastAsia="Times New Roman"/>
          <w:szCs w:val="20"/>
          <w:lang w:val="en-CA"/>
        </w:rPr>
        <w:t xml:space="preserve">New Flyer Industries: </w:t>
      </w:r>
      <w:r w:rsidR="00CF2593" w:rsidRPr="00C44B3A">
        <w:rPr>
          <w:rFonts w:eastAsia="Times New Roman"/>
          <w:szCs w:val="20"/>
          <w:lang w:val="en-CA"/>
        </w:rPr>
        <w:t>innovation in Transit</w:t>
      </w:r>
      <w:r w:rsidR="003E503A" w:rsidRPr="00C44B3A">
        <w:rPr>
          <w:rStyle w:val="EndnoteReference"/>
          <w:rFonts w:eastAsia="Times New Roman"/>
          <w:szCs w:val="20"/>
          <w:lang w:val="en-CA"/>
        </w:rPr>
        <w:endnoteReference w:id="1"/>
      </w:r>
    </w:p>
    <w:p w14:paraId="14F5409D" w14:textId="77777777" w:rsidR="00CA3976" w:rsidRPr="00C44B3A" w:rsidRDefault="00CA3976" w:rsidP="00013360">
      <w:pPr>
        <w:pStyle w:val="CaseTitle"/>
        <w:spacing w:after="0" w:line="240" w:lineRule="auto"/>
        <w:rPr>
          <w:sz w:val="20"/>
          <w:szCs w:val="20"/>
          <w:lang w:val="en-CA"/>
        </w:rPr>
      </w:pPr>
    </w:p>
    <w:p w14:paraId="1FBC887D" w14:textId="77777777" w:rsidR="00013360" w:rsidRPr="00C44B3A" w:rsidRDefault="00013360" w:rsidP="00013360">
      <w:pPr>
        <w:pStyle w:val="CaseTitle"/>
        <w:spacing w:after="0" w:line="240" w:lineRule="auto"/>
        <w:rPr>
          <w:sz w:val="20"/>
          <w:szCs w:val="20"/>
          <w:lang w:val="en-CA"/>
        </w:rPr>
      </w:pPr>
    </w:p>
    <w:p w14:paraId="1ECCDD25" w14:textId="77777777" w:rsidR="00627C63" w:rsidRPr="00C44B3A" w:rsidRDefault="00BE15C5" w:rsidP="00627C63">
      <w:pPr>
        <w:pStyle w:val="StyleCopyrightStatementAfter0ptBottomSinglesolidline1"/>
        <w:rPr>
          <w:lang w:val="en-CA"/>
        </w:rPr>
      </w:pPr>
      <w:r w:rsidRPr="00C44B3A">
        <w:rPr>
          <w:lang w:val="en-CA"/>
        </w:rPr>
        <w:t xml:space="preserve">Tyler Case and Brooke </w:t>
      </w:r>
      <w:proofErr w:type="spellStart"/>
      <w:r w:rsidRPr="00C44B3A">
        <w:rPr>
          <w:lang w:val="en-CA"/>
        </w:rPr>
        <w:t>Dobni</w:t>
      </w:r>
      <w:proofErr w:type="spellEnd"/>
      <w:r w:rsidR="001C7777" w:rsidRPr="00C44B3A">
        <w:rPr>
          <w:lang w:val="en-CA"/>
        </w:rPr>
        <w:t xml:space="preserve"> </w:t>
      </w:r>
      <w:r w:rsidR="004B632F" w:rsidRPr="00C44B3A">
        <w:rPr>
          <w:lang w:val="en-CA"/>
        </w:rPr>
        <w:t xml:space="preserve">wrote this </w:t>
      </w:r>
      <w:r w:rsidR="00152682" w:rsidRPr="00C44B3A">
        <w:rPr>
          <w:lang w:val="en-CA"/>
        </w:rPr>
        <w:t>case</w:t>
      </w:r>
      <w:r w:rsidR="004B632F" w:rsidRPr="00C44B3A">
        <w:rPr>
          <w:lang w:val="en-CA"/>
        </w:rPr>
        <w:t xml:space="preserve"> </w:t>
      </w:r>
      <w:r w:rsidR="00152682" w:rsidRPr="00C44B3A">
        <w:rPr>
          <w:lang w:val="en-CA"/>
        </w:rPr>
        <w:t>solely to provide material for class discussion. The</w:t>
      </w:r>
      <w:r w:rsidR="001C7777" w:rsidRPr="00C44B3A">
        <w:rPr>
          <w:lang w:val="en-CA"/>
        </w:rPr>
        <w:t xml:space="preserve"> author</w:t>
      </w:r>
      <w:r w:rsidR="001A22D1" w:rsidRPr="00C44B3A">
        <w:rPr>
          <w:lang w:val="en-CA"/>
        </w:rPr>
        <w:t>s</w:t>
      </w:r>
      <w:r w:rsidR="00152682" w:rsidRPr="00C44B3A">
        <w:rPr>
          <w:lang w:val="en-CA"/>
        </w:rPr>
        <w:t xml:space="preserve"> do not intend to illustrate either effective or ineffective handling of a managerial situation. The author</w:t>
      </w:r>
      <w:r w:rsidR="001A22D1" w:rsidRPr="00C44B3A">
        <w:rPr>
          <w:lang w:val="en-CA"/>
        </w:rPr>
        <w:t>s</w:t>
      </w:r>
      <w:r w:rsidR="00152682" w:rsidRPr="00C44B3A">
        <w:rPr>
          <w:lang w:val="en-CA"/>
        </w:rPr>
        <w:t xml:space="preserve"> may have disguised certain names and other identifying information to protect confidentiality.</w:t>
      </w:r>
    </w:p>
    <w:p w14:paraId="344C9957" w14:textId="77777777" w:rsidR="00751E0B" w:rsidRPr="00C44B3A" w:rsidRDefault="00751E0B" w:rsidP="00751E0B">
      <w:pPr>
        <w:pStyle w:val="StyleCopyrightStatementAfter0ptBottomSinglesolidline1"/>
        <w:rPr>
          <w:lang w:val="en-CA"/>
        </w:rPr>
      </w:pPr>
    </w:p>
    <w:p w14:paraId="7617EC8C" w14:textId="77777777" w:rsidR="009519E1" w:rsidRPr="00C44B3A" w:rsidRDefault="009519E1" w:rsidP="00927173">
      <w:pPr>
        <w:pBdr>
          <w:top w:val="single" w:sz="8" w:space="4" w:color="auto"/>
        </w:pBdr>
        <w:tabs>
          <w:tab w:val="right" w:pos="9360"/>
        </w:tabs>
        <w:autoSpaceDE w:val="0"/>
        <w:autoSpaceDN w:val="0"/>
        <w:adjustRightInd w:val="0"/>
        <w:jc w:val="both"/>
        <w:textAlignment w:val="center"/>
        <w:rPr>
          <w:rFonts w:ascii="Arial" w:hAnsi="Arial"/>
          <w:i/>
          <w:iCs/>
          <w:color w:val="000000"/>
          <w:sz w:val="16"/>
          <w:lang w:val="en-CA"/>
        </w:rPr>
      </w:pPr>
      <w:r w:rsidRPr="00C44B3A">
        <w:rPr>
          <w:rFonts w:ascii="Arial" w:hAnsi="Arial"/>
          <w:i/>
          <w:iCs/>
          <w:color w:val="000000"/>
          <w:sz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44B3A">
          <w:rPr>
            <w:rFonts w:ascii="Arial" w:hAnsi="Arial"/>
            <w:i/>
            <w:iCs/>
            <w:color w:val="000000"/>
            <w:sz w:val="16"/>
            <w:lang w:val="en-CA"/>
          </w:rPr>
          <w:t>cases@ivey.ca</w:t>
        </w:r>
      </w:hyperlink>
      <w:r w:rsidRPr="00C44B3A">
        <w:rPr>
          <w:rFonts w:ascii="Arial" w:hAnsi="Arial"/>
          <w:i/>
          <w:iCs/>
          <w:color w:val="000000"/>
          <w:sz w:val="16"/>
          <w:lang w:val="en-CA"/>
        </w:rPr>
        <w:t xml:space="preserve">; </w:t>
      </w:r>
      <w:hyperlink r:id="rId10" w:history="1">
        <w:r w:rsidRPr="00C44B3A">
          <w:rPr>
            <w:rFonts w:ascii="Arial" w:hAnsi="Arial"/>
            <w:i/>
            <w:iCs/>
            <w:color w:val="000000"/>
            <w:sz w:val="16"/>
            <w:lang w:val="en-CA"/>
          </w:rPr>
          <w:t>www.iveycases.com</w:t>
        </w:r>
      </w:hyperlink>
      <w:r w:rsidRPr="00C44B3A">
        <w:rPr>
          <w:rFonts w:ascii="Arial" w:hAnsi="Arial"/>
          <w:i/>
          <w:iCs/>
          <w:color w:val="000000"/>
          <w:sz w:val="16"/>
          <w:lang w:val="en-CA"/>
        </w:rPr>
        <w:t>.</w:t>
      </w:r>
    </w:p>
    <w:p w14:paraId="00C35669" w14:textId="77777777" w:rsidR="00BE15C5" w:rsidRPr="00C44B3A" w:rsidRDefault="00BE15C5" w:rsidP="00751E0B">
      <w:pPr>
        <w:pStyle w:val="StyleCopyrightStatementAfter0ptBottomSinglesolidline1"/>
        <w:rPr>
          <w:lang w:val="en-CA"/>
        </w:rPr>
      </w:pPr>
    </w:p>
    <w:p w14:paraId="60D6A9F2" w14:textId="3CB02A4A" w:rsidR="00751E0B" w:rsidRPr="00C44B3A" w:rsidRDefault="009519E1" w:rsidP="00751E0B">
      <w:pPr>
        <w:pStyle w:val="StyleStyleCopyrightStatementAfter0ptBottomSinglesolid"/>
        <w:rPr>
          <w:lang w:val="en-CA"/>
        </w:rPr>
      </w:pPr>
      <w:r w:rsidRPr="00C44B3A">
        <w:rPr>
          <w:rFonts w:cs="Arial"/>
          <w:szCs w:val="16"/>
          <w:lang w:val="en-CA"/>
        </w:rPr>
        <w:t>Copyright © 2018, Ivey Business School Foundation</w:t>
      </w:r>
      <w:r w:rsidR="00A569EA" w:rsidRPr="00C44B3A">
        <w:rPr>
          <w:rFonts w:cs="Arial"/>
          <w:szCs w:val="16"/>
          <w:lang w:val="en-CA"/>
        </w:rPr>
        <w:tab/>
      </w:r>
      <w:r w:rsidR="00751E0B" w:rsidRPr="00C44B3A">
        <w:rPr>
          <w:lang w:val="en-CA"/>
        </w:rPr>
        <w:t xml:space="preserve">Version: </w:t>
      </w:r>
      <w:r w:rsidR="00BE15C5" w:rsidRPr="00C44B3A">
        <w:rPr>
          <w:lang w:val="en-CA"/>
        </w:rPr>
        <w:t>2018</w:t>
      </w:r>
      <w:r w:rsidR="001C7777" w:rsidRPr="00C44B3A">
        <w:rPr>
          <w:lang w:val="en-CA"/>
        </w:rPr>
        <w:t>-</w:t>
      </w:r>
      <w:r w:rsidR="00BE15C5" w:rsidRPr="00C44B3A">
        <w:rPr>
          <w:lang w:val="en-CA"/>
        </w:rPr>
        <w:t>0</w:t>
      </w:r>
      <w:r w:rsidR="00FA0FD9" w:rsidRPr="00C44B3A">
        <w:rPr>
          <w:lang w:val="en-CA"/>
        </w:rPr>
        <w:t>4</w:t>
      </w:r>
      <w:r w:rsidR="00751E0B" w:rsidRPr="00C44B3A">
        <w:rPr>
          <w:lang w:val="en-CA"/>
        </w:rPr>
        <w:t>-</w:t>
      </w:r>
      <w:r w:rsidR="00316169" w:rsidRPr="00C44B3A">
        <w:rPr>
          <w:lang w:val="en-CA"/>
        </w:rPr>
        <w:t>06</w:t>
      </w:r>
    </w:p>
    <w:p w14:paraId="2642A4C6" w14:textId="77777777" w:rsidR="00751E0B" w:rsidRPr="00C44B3A" w:rsidRDefault="00751E0B" w:rsidP="00751E0B">
      <w:pPr>
        <w:pStyle w:val="StyleCopyrightStatementAfter0ptBottomSinglesolidline1"/>
        <w:rPr>
          <w:rFonts w:ascii="Times New Roman" w:hAnsi="Times New Roman"/>
          <w:sz w:val="20"/>
          <w:lang w:val="en-CA"/>
        </w:rPr>
      </w:pPr>
    </w:p>
    <w:p w14:paraId="65B80889" w14:textId="77777777" w:rsidR="004B632F" w:rsidRPr="00C44B3A" w:rsidRDefault="004B632F" w:rsidP="004B632F">
      <w:pPr>
        <w:pStyle w:val="StyleCopyrightStatementAfter0ptBottomSinglesolidline1"/>
        <w:rPr>
          <w:rFonts w:ascii="Times New Roman" w:hAnsi="Times New Roman"/>
          <w:sz w:val="20"/>
          <w:lang w:val="en-CA"/>
        </w:rPr>
      </w:pPr>
    </w:p>
    <w:p w14:paraId="29B695D0" w14:textId="1E49C83B" w:rsidR="00BE15C5" w:rsidRPr="00C44B3A" w:rsidRDefault="00BE15C5" w:rsidP="00F9210D">
      <w:pPr>
        <w:pStyle w:val="BodyTextMain"/>
        <w:rPr>
          <w:spacing w:val="-2"/>
          <w:kern w:val="22"/>
          <w:lang w:val="en-CA"/>
        </w:rPr>
      </w:pPr>
      <w:r w:rsidRPr="00C44B3A">
        <w:rPr>
          <w:spacing w:val="-2"/>
          <w:kern w:val="22"/>
          <w:lang w:val="en-CA"/>
        </w:rPr>
        <w:t xml:space="preserve">In October 2017, </w:t>
      </w:r>
      <w:r w:rsidR="00CF2593" w:rsidRPr="00C44B3A">
        <w:rPr>
          <w:spacing w:val="-2"/>
          <w:kern w:val="22"/>
          <w:lang w:val="en-CA"/>
        </w:rPr>
        <w:t>business analysts</w:t>
      </w:r>
      <w:r w:rsidR="00085C0E" w:rsidRPr="00C44B3A">
        <w:rPr>
          <w:spacing w:val="-2"/>
          <w:kern w:val="22"/>
          <w:lang w:val="en-CA"/>
        </w:rPr>
        <w:t xml:space="preserve"> confirmed the stock market success as well as the increasing revenue and profits</w:t>
      </w:r>
      <w:r w:rsidRPr="00C44B3A">
        <w:rPr>
          <w:spacing w:val="-2"/>
          <w:kern w:val="22"/>
          <w:lang w:val="en-CA"/>
        </w:rPr>
        <w:t xml:space="preserve"> of </w:t>
      </w:r>
      <w:r w:rsidR="00CF2593" w:rsidRPr="00C44B3A">
        <w:rPr>
          <w:spacing w:val="-2"/>
          <w:kern w:val="22"/>
          <w:lang w:val="en-CA"/>
        </w:rPr>
        <w:t xml:space="preserve">a </w:t>
      </w:r>
      <w:r w:rsidR="005176D7" w:rsidRPr="00C44B3A">
        <w:rPr>
          <w:spacing w:val="-2"/>
          <w:kern w:val="22"/>
          <w:lang w:val="en-CA"/>
        </w:rPr>
        <w:t>market-</w:t>
      </w:r>
      <w:r w:rsidR="00CF2593" w:rsidRPr="00C44B3A">
        <w:rPr>
          <w:spacing w:val="-2"/>
          <w:kern w:val="22"/>
          <w:lang w:val="en-CA"/>
        </w:rPr>
        <w:t>leading company</w:t>
      </w:r>
      <w:r w:rsidRPr="00C44B3A">
        <w:rPr>
          <w:spacing w:val="-2"/>
          <w:kern w:val="22"/>
          <w:lang w:val="en-CA"/>
        </w:rPr>
        <w:t>, New Flyer Industries Inc. (NFI).</w:t>
      </w:r>
      <w:r w:rsidR="00085C0E" w:rsidRPr="00C44B3A">
        <w:rPr>
          <w:rStyle w:val="EndnoteReference"/>
          <w:spacing w:val="-2"/>
          <w:kern w:val="22"/>
          <w:lang w:val="en-CA"/>
        </w:rPr>
        <w:endnoteReference w:id="2"/>
      </w:r>
      <w:r w:rsidRPr="00C44B3A">
        <w:rPr>
          <w:spacing w:val="-2"/>
          <w:kern w:val="22"/>
          <w:lang w:val="en-CA"/>
        </w:rPr>
        <w:t xml:space="preserve"> It had been over a year since </w:t>
      </w:r>
      <w:r w:rsidR="005176D7" w:rsidRPr="00C44B3A">
        <w:rPr>
          <w:spacing w:val="-2"/>
          <w:kern w:val="22"/>
          <w:lang w:val="en-CA"/>
        </w:rPr>
        <w:t xml:space="preserve">NFI had </w:t>
      </w:r>
      <w:r w:rsidRPr="00C44B3A">
        <w:rPr>
          <w:spacing w:val="-2"/>
          <w:kern w:val="22"/>
          <w:lang w:val="en-CA"/>
        </w:rPr>
        <w:t>successful</w:t>
      </w:r>
      <w:r w:rsidR="005176D7" w:rsidRPr="00C44B3A">
        <w:rPr>
          <w:spacing w:val="-2"/>
          <w:kern w:val="22"/>
          <w:lang w:val="en-CA"/>
        </w:rPr>
        <w:t>ly</w:t>
      </w:r>
      <w:r w:rsidRPr="00C44B3A">
        <w:rPr>
          <w:spacing w:val="-2"/>
          <w:kern w:val="22"/>
          <w:lang w:val="en-CA"/>
        </w:rPr>
        <w:t xml:space="preserve"> </w:t>
      </w:r>
      <w:r w:rsidR="005176D7" w:rsidRPr="00C44B3A">
        <w:rPr>
          <w:spacing w:val="-2"/>
          <w:kern w:val="22"/>
          <w:lang w:val="en-CA"/>
        </w:rPr>
        <w:t xml:space="preserve">acquired </w:t>
      </w:r>
      <w:r w:rsidRPr="00C44B3A">
        <w:rPr>
          <w:spacing w:val="-2"/>
          <w:kern w:val="22"/>
          <w:lang w:val="en-CA"/>
        </w:rPr>
        <w:t>Motor Coach Industries International Inc. (MCI), North America’s leading motor</w:t>
      </w:r>
      <w:r w:rsidR="00353676" w:rsidRPr="00C44B3A">
        <w:rPr>
          <w:spacing w:val="-2"/>
          <w:kern w:val="22"/>
          <w:lang w:val="en-CA"/>
        </w:rPr>
        <w:t xml:space="preserve"> </w:t>
      </w:r>
      <w:r w:rsidRPr="00C44B3A">
        <w:rPr>
          <w:spacing w:val="-2"/>
          <w:kern w:val="22"/>
          <w:lang w:val="en-CA"/>
        </w:rPr>
        <w:t>coach manufacturer and parts and service supplier.</w:t>
      </w:r>
      <w:r w:rsidRPr="00C44B3A">
        <w:rPr>
          <w:spacing w:val="-2"/>
          <w:kern w:val="22"/>
          <w:vertAlign w:val="superscript"/>
          <w:lang w:val="en-CA"/>
        </w:rPr>
        <w:endnoteReference w:id="3"/>
      </w:r>
      <w:r w:rsidRPr="00C44B3A">
        <w:rPr>
          <w:spacing w:val="-2"/>
          <w:kern w:val="22"/>
          <w:lang w:val="en-CA"/>
        </w:rPr>
        <w:t xml:space="preserve"> NFI’s performance since the acquisition </w:t>
      </w:r>
      <w:r w:rsidR="005176D7" w:rsidRPr="00C44B3A">
        <w:rPr>
          <w:spacing w:val="-2"/>
          <w:kern w:val="22"/>
          <w:lang w:val="en-CA"/>
        </w:rPr>
        <w:t xml:space="preserve">had been </w:t>
      </w:r>
      <w:r w:rsidR="003A58EF" w:rsidRPr="00C44B3A">
        <w:rPr>
          <w:spacing w:val="-2"/>
          <w:kern w:val="22"/>
          <w:lang w:val="en-CA"/>
        </w:rPr>
        <w:t>impressive</w:t>
      </w:r>
      <w:r w:rsidR="005176D7" w:rsidRPr="00C44B3A">
        <w:rPr>
          <w:spacing w:val="-2"/>
          <w:kern w:val="22"/>
          <w:lang w:val="en-CA"/>
        </w:rPr>
        <w:t>, and its</w:t>
      </w:r>
      <w:r w:rsidRPr="00C44B3A">
        <w:rPr>
          <w:spacing w:val="-2"/>
          <w:kern w:val="22"/>
          <w:lang w:val="en-CA"/>
        </w:rPr>
        <w:t xml:space="preserve"> reported earnings had surpassed expectations in recent quarte</w:t>
      </w:r>
      <w:r w:rsidR="00F9210D" w:rsidRPr="00C44B3A">
        <w:rPr>
          <w:spacing w:val="-2"/>
          <w:kern w:val="22"/>
          <w:lang w:val="en-CA"/>
        </w:rPr>
        <w:t>rs</w:t>
      </w:r>
      <w:r w:rsidR="00A20344" w:rsidRPr="00C44B3A">
        <w:rPr>
          <w:spacing w:val="-2"/>
          <w:kern w:val="22"/>
          <w:lang w:val="en-CA"/>
        </w:rPr>
        <w:t>;</w:t>
      </w:r>
      <w:r w:rsidRPr="00C44B3A">
        <w:rPr>
          <w:spacing w:val="-2"/>
          <w:kern w:val="22"/>
          <w:vertAlign w:val="superscript"/>
          <w:lang w:val="en-CA"/>
        </w:rPr>
        <w:endnoteReference w:id="4"/>
      </w:r>
      <w:r w:rsidRPr="00C44B3A">
        <w:rPr>
          <w:spacing w:val="-2"/>
          <w:kern w:val="22"/>
          <w:lang w:val="en-CA"/>
        </w:rPr>
        <w:t xml:space="preserve"> however, after a record high price of CA$56.52</w:t>
      </w:r>
      <w:r w:rsidR="00A20344" w:rsidRPr="00C44B3A">
        <w:rPr>
          <w:rStyle w:val="EndnoteReference"/>
          <w:spacing w:val="-2"/>
          <w:kern w:val="22"/>
          <w:lang w:val="en-CA"/>
        </w:rPr>
        <w:endnoteReference w:id="5"/>
      </w:r>
      <w:r w:rsidRPr="00C44B3A">
        <w:rPr>
          <w:spacing w:val="-2"/>
          <w:kern w:val="22"/>
          <w:lang w:val="en-CA"/>
        </w:rPr>
        <w:t xml:space="preserve"> only a few months before</w:t>
      </w:r>
      <w:r w:rsidR="002D65BF" w:rsidRPr="00C44B3A">
        <w:rPr>
          <w:spacing w:val="-2"/>
          <w:kern w:val="22"/>
          <w:lang w:val="en-CA"/>
        </w:rPr>
        <w:t>,</w:t>
      </w:r>
      <w:r w:rsidRPr="00C44B3A">
        <w:rPr>
          <w:spacing w:val="-2"/>
          <w:kern w:val="22"/>
          <w:lang w:val="en-CA"/>
        </w:rPr>
        <w:t xml:space="preserve"> </w:t>
      </w:r>
      <w:r w:rsidR="005176D7" w:rsidRPr="00C44B3A">
        <w:rPr>
          <w:spacing w:val="-2"/>
          <w:kern w:val="22"/>
          <w:lang w:val="en-CA"/>
        </w:rPr>
        <w:t xml:space="preserve">the company’s stock price had become stagnant. </w:t>
      </w:r>
      <w:r w:rsidRPr="00C44B3A">
        <w:rPr>
          <w:spacing w:val="-2"/>
          <w:kern w:val="22"/>
          <w:lang w:val="en-CA"/>
        </w:rPr>
        <w:t>What had the company done right to achie</w:t>
      </w:r>
      <w:r w:rsidR="00A20344" w:rsidRPr="00C44B3A">
        <w:rPr>
          <w:spacing w:val="-2"/>
          <w:kern w:val="22"/>
          <w:lang w:val="en-CA"/>
        </w:rPr>
        <w:t>ve market success? Had NFI</w:t>
      </w:r>
      <w:r w:rsidRPr="00C44B3A">
        <w:rPr>
          <w:spacing w:val="-2"/>
          <w:kern w:val="22"/>
          <w:lang w:val="en-CA"/>
        </w:rPr>
        <w:t xml:space="preserve"> reached the limits of its current strategy? </w:t>
      </w:r>
      <w:r w:rsidR="00CF2593" w:rsidRPr="00C44B3A">
        <w:rPr>
          <w:spacing w:val="-2"/>
          <w:kern w:val="22"/>
          <w:lang w:val="en-CA"/>
        </w:rPr>
        <w:t>A thorough analysis of</w:t>
      </w:r>
      <w:r w:rsidRPr="00C44B3A">
        <w:rPr>
          <w:spacing w:val="-2"/>
          <w:kern w:val="22"/>
          <w:lang w:val="en-CA"/>
        </w:rPr>
        <w:t xml:space="preserve"> the business and its environment </w:t>
      </w:r>
      <w:r w:rsidR="00CF2593" w:rsidRPr="00C44B3A">
        <w:rPr>
          <w:spacing w:val="-2"/>
          <w:kern w:val="22"/>
          <w:lang w:val="en-CA"/>
        </w:rPr>
        <w:t xml:space="preserve">were necessary </w:t>
      </w:r>
      <w:r w:rsidRPr="00C44B3A">
        <w:rPr>
          <w:spacing w:val="-2"/>
          <w:kern w:val="22"/>
          <w:lang w:val="en-CA"/>
        </w:rPr>
        <w:t>to identify the way forward.</w:t>
      </w:r>
    </w:p>
    <w:p w14:paraId="5C9E1CA9" w14:textId="77777777" w:rsidR="00BE15C5" w:rsidRPr="00C44B3A" w:rsidRDefault="00BE15C5" w:rsidP="00F9210D">
      <w:pPr>
        <w:pStyle w:val="BodyTextMain"/>
        <w:rPr>
          <w:lang w:val="en-CA"/>
        </w:rPr>
      </w:pPr>
    </w:p>
    <w:p w14:paraId="38BE5FE7" w14:textId="77777777" w:rsidR="00BE15C5" w:rsidRPr="00C44B3A" w:rsidRDefault="00BE15C5" w:rsidP="00F9210D">
      <w:pPr>
        <w:pStyle w:val="BodyTextMain"/>
        <w:rPr>
          <w:lang w:val="en-CA"/>
        </w:rPr>
      </w:pPr>
    </w:p>
    <w:p w14:paraId="7A71F8F5" w14:textId="29BEB4A4" w:rsidR="00BE15C5" w:rsidRPr="00C44B3A" w:rsidRDefault="00BE15C5" w:rsidP="00BE15C5">
      <w:pPr>
        <w:jc w:val="both"/>
        <w:rPr>
          <w:rFonts w:ascii="Arial" w:hAnsi="Arial" w:cs="Arial"/>
          <w:b/>
          <w:caps/>
          <w:lang w:val="en-CA"/>
        </w:rPr>
      </w:pPr>
      <w:r w:rsidRPr="00C44B3A">
        <w:rPr>
          <w:rFonts w:ascii="Arial" w:hAnsi="Arial" w:cs="Arial"/>
          <w:b/>
          <w:caps/>
          <w:lang w:val="en-CA"/>
        </w:rPr>
        <w:t>ROUTE 1</w:t>
      </w:r>
      <w:r w:rsidR="00353676" w:rsidRPr="00C44B3A">
        <w:rPr>
          <w:rFonts w:ascii="Arial" w:hAnsi="Arial" w:cs="Arial"/>
          <w:b/>
          <w:caps/>
          <w:lang w:val="en-CA"/>
        </w:rPr>
        <w:t xml:space="preserve">—HISTORy </w:t>
      </w:r>
      <w:r w:rsidRPr="00C44B3A">
        <w:rPr>
          <w:rFonts w:ascii="Arial" w:hAnsi="Arial" w:cs="Arial"/>
          <w:b/>
          <w:caps/>
          <w:lang w:val="en-CA"/>
        </w:rPr>
        <w:t>AVENUE</w:t>
      </w:r>
    </w:p>
    <w:p w14:paraId="0168B942" w14:textId="77777777" w:rsidR="00BE15C5" w:rsidRPr="00C44B3A" w:rsidRDefault="00BE15C5" w:rsidP="00F9210D">
      <w:pPr>
        <w:pStyle w:val="BodyTextMain"/>
        <w:rPr>
          <w:lang w:val="en-CA"/>
        </w:rPr>
      </w:pPr>
    </w:p>
    <w:p w14:paraId="2997BBF8" w14:textId="6002B512" w:rsidR="00BE15C5" w:rsidRPr="00C44B3A" w:rsidRDefault="002D65BF" w:rsidP="00BE15C5">
      <w:pPr>
        <w:jc w:val="both"/>
        <w:rPr>
          <w:sz w:val="22"/>
          <w:szCs w:val="22"/>
          <w:lang w:val="en-CA"/>
        </w:rPr>
      </w:pPr>
      <w:r w:rsidRPr="00C44B3A">
        <w:rPr>
          <w:sz w:val="22"/>
          <w:szCs w:val="22"/>
          <w:lang w:val="en-CA"/>
        </w:rPr>
        <w:t xml:space="preserve">John </w:t>
      </w:r>
      <w:proofErr w:type="spellStart"/>
      <w:r w:rsidRPr="00C44B3A">
        <w:rPr>
          <w:sz w:val="22"/>
          <w:szCs w:val="22"/>
          <w:lang w:val="en-CA"/>
        </w:rPr>
        <w:t>Coval</w:t>
      </w:r>
      <w:proofErr w:type="spellEnd"/>
      <w:r w:rsidRPr="00C44B3A">
        <w:rPr>
          <w:sz w:val="22"/>
          <w:szCs w:val="22"/>
          <w:lang w:val="en-CA"/>
        </w:rPr>
        <w:t xml:space="preserve"> founded </w:t>
      </w:r>
      <w:r w:rsidR="00BE15C5" w:rsidRPr="00C44B3A">
        <w:rPr>
          <w:sz w:val="22"/>
          <w:szCs w:val="22"/>
          <w:lang w:val="en-CA"/>
        </w:rPr>
        <w:t xml:space="preserve">NFI </w:t>
      </w:r>
      <w:r w:rsidRPr="00C44B3A">
        <w:rPr>
          <w:sz w:val="22"/>
          <w:szCs w:val="22"/>
          <w:lang w:val="en-CA"/>
        </w:rPr>
        <w:t xml:space="preserve">in 1930 </w:t>
      </w:r>
      <w:r w:rsidR="00BE15C5" w:rsidRPr="00C44B3A">
        <w:rPr>
          <w:sz w:val="22"/>
          <w:szCs w:val="22"/>
          <w:lang w:val="en-CA"/>
        </w:rPr>
        <w:t>in Winnipeg, Manitoba</w:t>
      </w:r>
      <w:r w:rsidRPr="00C44B3A">
        <w:rPr>
          <w:sz w:val="22"/>
          <w:szCs w:val="22"/>
          <w:lang w:val="en-CA"/>
        </w:rPr>
        <w:t>,</w:t>
      </w:r>
      <w:r w:rsidR="00BE15C5" w:rsidRPr="00C44B3A">
        <w:rPr>
          <w:sz w:val="22"/>
          <w:szCs w:val="22"/>
          <w:lang w:val="en-CA"/>
        </w:rPr>
        <w:t xml:space="preserve"> as a five-person operation known as Western Auto and Truck Body </w:t>
      </w:r>
      <w:r w:rsidRPr="00C44B3A">
        <w:rPr>
          <w:sz w:val="22"/>
          <w:szCs w:val="22"/>
          <w:lang w:val="en-CA"/>
        </w:rPr>
        <w:t xml:space="preserve">Works </w:t>
      </w:r>
      <w:r w:rsidR="00BE15C5" w:rsidRPr="00C44B3A">
        <w:rPr>
          <w:sz w:val="22"/>
          <w:szCs w:val="22"/>
          <w:lang w:val="en-CA"/>
        </w:rPr>
        <w:t>Limited. In 1941</w:t>
      </w:r>
      <w:r w:rsidRPr="00C44B3A">
        <w:rPr>
          <w:sz w:val="22"/>
          <w:szCs w:val="22"/>
          <w:lang w:val="en-CA"/>
        </w:rPr>
        <w:t>,</w:t>
      </w:r>
      <w:r w:rsidR="00BE15C5" w:rsidRPr="00C44B3A">
        <w:rPr>
          <w:sz w:val="22"/>
          <w:szCs w:val="22"/>
          <w:lang w:val="en-CA"/>
        </w:rPr>
        <w:t xml:space="preserve"> the company introduced the Western Flyer, the first intercity coach </w:t>
      </w:r>
      <w:r w:rsidR="00353676" w:rsidRPr="00C44B3A">
        <w:rPr>
          <w:sz w:val="22"/>
          <w:szCs w:val="22"/>
          <w:lang w:val="en-CA"/>
        </w:rPr>
        <w:t>with</w:t>
      </w:r>
      <w:r w:rsidR="00566394" w:rsidRPr="00C44B3A">
        <w:rPr>
          <w:sz w:val="22"/>
          <w:szCs w:val="22"/>
          <w:lang w:val="en-CA"/>
        </w:rPr>
        <w:t xml:space="preserve"> </w:t>
      </w:r>
      <w:r w:rsidR="00BE15C5" w:rsidRPr="00C44B3A">
        <w:rPr>
          <w:sz w:val="22"/>
          <w:szCs w:val="22"/>
          <w:lang w:val="en-CA"/>
        </w:rPr>
        <w:t>the engine inside the coach body</w:t>
      </w:r>
      <w:r w:rsidR="00566394" w:rsidRPr="00C44B3A">
        <w:rPr>
          <w:sz w:val="22"/>
          <w:szCs w:val="22"/>
          <w:lang w:val="en-CA"/>
        </w:rPr>
        <w:t>,</w:t>
      </w:r>
      <w:r w:rsidR="00BE15C5" w:rsidRPr="00C44B3A">
        <w:rPr>
          <w:sz w:val="22"/>
          <w:szCs w:val="22"/>
          <w:lang w:val="en-CA"/>
        </w:rPr>
        <w:t xml:space="preserve"> allowing for extra seating. The company was re</w:t>
      </w:r>
      <w:r w:rsidR="00614E8C" w:rsidRPr="00C44B3A">
        <w:rPr>
          <w:sz w:val="22"/>
          <w:szCs w:val="22"/>
          <w:lang w:val="en-CA"/>
        </w:rPr>
        <w:t>-</w:t>
      </w:r>
      <w:r w:rsidR="00BE15C5" w:rsidRPr="00C44B3A">
        <w:rPr>
          <w:sz w:val="22"/>
          <w:szCs w:val="22"/>
          <w:lang w:val="en-CA"/>
        </w:rPr>
        <w:t>named Western Flyer Coach Ltd</w:t>
      </w:r>
      <w:r w:rsidR="00566394" w:rsidRPr="00C44B3A">
        <w:rPr>
          <w:sz w:val="22"/>
          <w:szCs w:val="22"/>
          <w:lang w:val="en-CA"/>
        </w:rPr>
        <w:t>.</w:t>
      </w:r>
      <w:r w:rsidR="00BE15C5" w:rsidRPr="00C44B3A">
        <w:rPr>
          <w:sz w:val="22"/>
          <w:szCs w:val="22"/>
          <w:lang w:val="en-CA"/>
        </w:rPr>
        <w:t xml:space="preserve"> in 1945</w:t>
      </w:r>
      <w:r w:rsidR="00614E8C" w:rsidRPr="00C44B3A">
        <w:rPr>
          <w:sz w:val="22"/>
          <w:szCs w:val="22"/>
          <w:lang w:val="en-CA"/>
        </w:rPr>
        <w:t>,</w:t>
      </w:r>
      <w:r w:rsidR="00566394" w:rsidRPr="00C44B3A">
        <w:rPr>
          <w:sz w:val="22"/>
          <w:szCs w:val="22"/>
          <w:lang w:val="en-CA"/>
        </w:rPr>
        <w:t xml:space="preserve"> and</w:t>
      </w:r>
      <w:r w:rsidR="00614E8C" w:rsidRPr="00C44B3A">
        <w:rPr>
          <w:sz w:val="22"/>
          <w:szCs w:val="22"/>
          <w:lang w:val="en-CA"/>
        </w:rPr>
        <w:t xml:space="preserve"> it</w:t>
      </w:r>
      <w:r w:rsidR="00566394" w:rsidRPr="00C44B3A">
        <w:rPr>
          <w:sz w:val="22"/>
          <w:szCs w:val="22"/>
          <w:lang w:val="en-CA"/>
        </w:rPr>
        <w:t xml:space="preserve"> </w:t>
      </w:r>
      <w:r w:rsidR="00BE15C5" w:rsidRPr="00C44B3A">
        <w:rPr>
          <w:sz w:val="22"/>
          <w:szCs w:val="22"/>
          <w:lang w:val="en-CA"/>
        </w:rPr>
        <w:t>entered the U</w:t>
      </w:r>
      <w:r w:rsidR="00566394" w:rsidRPr="00C44B3A">
        <w:rPr>
          <w:sz w:val="22"/>
          <w:szCs w:val="22"/>
          <w:lang w:val="en-CA"/>
        </w:rPr>
        <w:t>.</w:t>
      </w:r>
      <w:r w:rsidR="00BE15C5" w:rsidRPr="00C44B3A">
        <w:rPr>
          <w:sz w:val="22"/>
          <w:szCs w:val="22"/>
          <w:lang w:val="en-CA"/>
        </w:rPr>
        <w:t>S</w:t>
      </w:r>
      <w:r w:rsidR="00566394" w:rsidRPr="00C44B3A">
        <w:rPr>
          <w:sz w:val="22"/>
          <w:szCs w:val="22"/>
          <w:lang w:val="en-CA"/>
        </w:rPr>
        <w:t>.</w:t>
      </w:r>
      <w:r w:rsidR="00BE15C5" w:rsidRPr="00C44B3A">
        <w:rPr>
          <w:sz w:val="22"/>
          <w:szCs w:val="22"/>
          <w:lang w:val="en-CA"/>
        </w:rPr>
        <w:t xml:space="preserve"> market in 1946 with the sale of sightseeing buses to Salt Lake Transportation Co. Through the mid-</w:t>
      </w:r>
      <w:r w:rsidR="00684CFC" w:rsidRPr="00C44B3A">
        <w:rPr>
          <w:sz w:val="22"/>
          <w:szCs w:val="22"/>
          <w:lang w:val="en-CA"/>
        </w:rPr>
        <w:t xml:space="preserve">20th </w:t>
      </w:r>
      <w:r w:rsidR="00BE15C5" w:rsidRPr="00C44B3A">
        <w:rPr>
          <w:sz w:val="22"/>
          <w:szCs w:val="22"/>
          <w:lang w:val="en-CA"/>
        </w:rPr>
        <w:t>century, the firm continued to diversify both its client ba</w:t>
      </w:r>
      <w:r w:rsidR="00A20344" w:rsidRPr="00C44B3A">
        <w:rPr>
          <w:sz w:val="22"/>
          <w:szCs w:val="22"/>
          <w:lang w:val="en-CA"/>
        </w:rPr>
        <w:t xml:space="preserve">se and </w:t>
      </w:r>
      <w:r w:rsidR="00684CFC" w:rsidRPr="00C44B3A">
        <w:rPr>
          <w:sz w:val="22"/>
          <w:szCs w:val="22"/>
          <w:lang w:val="en-CA"/>
        </w:rPr>
        <w:t xml:space="preserve">its </w:t>
      </w:r>
      <w:r w:rsidR="00A20344" w:rsidRPr="00C44B3A">
        <w:rPr>
          <w:sz w:val="22"/>
          <w:szCs w:val="22"/>
          <w:lang w:val="en-CA"/>
        </w:rPr>
        <w:t>product offerings.</w:t>
      </w:r>
    </w:p>
    <w:p w14:paraId="3D12EC44" w14:textId="77777777" w:rsidR="00BE15C5" w:rsidRPr="00C44B3A" w:rsidRDefault="00BE15C5" w:rsidP="00BE15C5">
      <w:pPr>
        <w:jc w:val="both"/>
        <w:rPr>
          <w:sz w:val="22"/>
          <w:szCs w:val="22"/>
          <w:lang w:val="en-CA"/>
        </w:rPr>
      </w:pPr>
    </w:p>
    <w:p w14:paraId="19FEC383" w14:textId="62E955D8" w:rsidR="00BE15C5" w:rsidRPr="00C44B3A" w:rsidRDefault="00BE15C5" w:rsidP="00BE15C5">
      <w:pPr>
        <w:jc w:val="both"/>
        <w:rPr>
          <w:sz w:val="22"/>
          <w:szCs w:val="22"/>
          <w:lang w:val="en-CA"/>
        </w:rPr>
      </w:pPr>
      <w:r w:rsidRPr="00C44B3A">
        <w:rPr>
          <w:sz w:val="22"/>
          <w:szCs w:val="22"/>
          <w:lang w:val="en-CA"/>
        </w:rPr>
        <w:t>In 1964, the company expanded into urban transit buses in anticipation of significant market growth. The firm’s history of innovation continued with the development of the first electric trolley coach in 1968. In 1971, the company was sold to an agency of the Manitoba government and re</w:t>
      </w:r>
      <w:r w:rsidR="00614E8C" w:rsidRPr="00C44B3A">
        <w:rPr>
          <w:sz w:val="22"/>
          <w:szCs w:val="22"/>
          <w:lang w:val="en-CA"/>
        </w:rPr>
        <w:t>-</w:t>
      </w:r>
      <w:r w:rsidRPr="00C44B3A">
        <w:rPr>
          <w:sz w:val="22"/>
          <w:szCs w:val="22"/>
          <w:lang w:val="en-CA"/>
        </w:rPr>
        <w:t xml:space="preserve">named Flyer Industries Limited, </w:t>
      </w:r>
      <w:r w:rsidR="00684CFC" w:rsidRPr="00C44B3A">
        <w:rPr>
          <w:sz w:val="22"/>
          <w:szCs w:val="22"/>
          <w:lang w:val="en-CA"/>
        </w:rPr>
        <w:t>and it began to</w:t>
      </w:r>
      <w:r w:rsidRPr="00C44B3A">
        <w:rPr>
          <w:sz w:val="22"/>
          <w:szCs w:val="22"/>
          <w:lang w:val="en-CA"/>
        </w:rPr>
        <w:t xml:space="preserve"> develop and </w:t>
      </w:r>
      <w:r w:rsidR="00684CFC" w:rsidRPr="00C44B3A">
        <w:rPr>
          <w:sz w:val="22"/>
          <w:szCs w:val="22"/>
          <w:lang w:val="en-CA"/>
        </w:rPr>
        <w:t>sell</w:t>
      </w:r>
      <w:r w:rsidRPr="00C44B3A">
        <w:rPr>
          <w:sz w:val="22"/>
          <w:szCs w:val="22"/>
          <w:lang w:val="en-CA"/>
        </w:rPr>
        <w:t xml:space="preserve"> heavy-duty transit buses.</w:t>
      </w:r>
    </w:p>
    <w:p w14:paraId="5D9F2971" w14:textId="77777777" w:rsidR="00BE15C5" w:rsidRPr="00C44B3A" w:rsidRDefault="00BE15C5" w:rsidP="00BE15C5">
      <w:pPr>
        <w:jc w:val="both"/>
        <w:rPr>
          <w:sz w:val="22"/>
          <w:szCs w:val="22"/>
          <w:lang w:val="en-CA"/>
        </w:rPr>
      </w:pPr>
    </w:p>
    <w:p w14:paraId="3E05BE60" w14:textId="6FEA92B0" w:rsidR="00BE15C5" w:rsidRPr="00C44B3A" w:rsidRDefault="00684CFC" w:rsidP="00BE15C5">
      <w:pPr>
        <w:jc w:val="both"/>
        <w:rPr>
          <w:sz w:val="22"/>
          <w:szCs w:val="22"/>
          <w:lang w:val="en-CA"/>
        </w:rPr>
      </w:pPr>
      <w:r w:rsidRPr="00C44B3A">
        <w:rPr>
          <w:sz w:val="22"/>
          <w:szCs w:val="22"/>
          <w:lang w:val="en-CA"/>
        </w:rPr>
        <w:t xml:space="preserve">Jan Den </w:t>
      </w:r>
      <w:proofErr w:type="spellStart"/>
      <w:r w:rsidRPr="00C44B3A">
        <w:rPr>
          <w:sz w:val="22"/>
          <w:szCs w:val="22"/>
          <w:lang w:val="en-CA"/>
        </w:rPr>
        <w:t>Oudsten</w:t>
      </w:r>
      <w:proofErr w:type="spellEnd"/>
      <w:r w:rsidRPr="00C44B3A">
        <w:rPr>
          <w:sz w:val="22"/>
          <w:szCs w:val="22"/>
          <w:lang w:val="en-CA"/>
        </w:rPr>
        <w:t xml:space="preserve"> of Den </w:t>
      </w:r>
      <w:proofErr w:type="spellStart"/>
      <w:r w:rsidRPr="00C44B3A">
        <w:rPr>
          <w:sz w:val="22"/>
          <w:szCs w:val="22"/>
          <w:lang w:val="en-CA"/>
        </w:rPr>
        <w:t>Oudsten</w:t>
      </w:r>
      <w:proofErr w:type="spellEnd"/>
      <w:r w:rsidRPr="00C44B3A">
        <w:rPr>
          <w:sz w:val="22"/>
          <w:szCs w:val="22"/>
          <w:lang w:val="en-CA"/>
        </w:rPr>
        <w:t xml:space="preserve"> </w:t>
      </w:r>
      <w:proofErr w:type="spellStart"/>
      <w:r w:rsidRPr="00C44B3A">
        <w:rPr>
          <w:sz w:val="22"/>
          <w:szCs w:val="22"/>
          <w:lang w:val="en-CA"/>
        </w:rPr>
        <w:t>Bussen</w:t>
      </w:r>
      <w:proofErr w:type="spellEnd"/>
      <w:r w:rsidRPr="00C44B3A">
        <w:rPr>
          <w:sz w:val="22"/>
          <w:szCs w:val="22"/>
          <w:lang w:val="en-CA"/>
        </w:rPr>
        <w:t xml:space="preserve"> BV, Holland’s largest bus manufacturer, </w:t>
      </w:r>
      <w:r w:rsidR="00037F11" w:rsidRPr="00C44B3A">
        <w:rPr>
          <w:sz w:val="22"/>
          <w:szCs w:val="22"/>
          <w:lang w:val="en-CA"/>
        </w:rPr>
        <w:t xml:space="preserve">acquired Flyer Industries Limited on </w:t>
      </w:r>
      <w:r w:rsidR="00BE15C5" w:rsidRPr="00C44B3A">
        <w:rPr>
          <w:sz w:val="22"/>
          <w:szCs w:val="22"/>
          <w:lang w:val="en-CA"/>
        </w:rPr>
        <w:t xml:space="preserve">July 15, 1986, </w:t>
      </w:r>
      <w:r w:rsidR="00037F11" w:rsidRPr="00C44B3A">
        <w:rPr>
          <w:sz w:val="22"/>
          <w:szCs w:val="22"/>
          <w:lang w:val="en-CA"/>
        </w:rPr>
        <w:t>and changed</w:t>
      </w:r>
      <w:r w:rsidR="00BE15C5" w:rsidRPr="00C44B3A">
        <w:rPr>
          <w:sz w:val="22"/>
          <w:szCs w:val="22"/>
          <w:lang w:val="en-CA"/>
        </w:rPr>
        <w:t xml:space="preserve"> the company name </w:t>
      </w:r>
      <w:r w:rsidR="00A20344" w:rsidRPr="00C44B3A">
        <w:rPr>
          <w:sz w:val="22"/>
          <w:szCs w:val="22"/>
          <w:lang w:val="en-CA"/>
        </w:rPr>
        <w:t>to New Flyer Industries</w:t>
      </w:r>
      <w:r w:rsidR="00BE15C5" w:rsidRPr="00C44B3A">
        <w:rPr>
          <w:sz w:val="22"/>
          <w:szCs w:val="22"/>
          <w:lang w:val="en-CA"/>
        </w:rPr>
        <w:t>. At this time, the company developed and introduced the first low-floor bus to the North American market</w:t>
      </w:r>
      <w:r w:rsidR="00A20344" w:rsidRPr="00C44B3A">
        <w:rPr>
          <w:sz w:val="22"/>
          <w:szCs w:val="22"/>
          <w:lang w:val="en-CA"/>
        </w:rPr>
        <w:t xml:space="preserve">, </w:t>
      </w:r>
      <w:r w:rsidR="00037F11" w:rsidRPr="00C44B3A">
        <w:rPr>
          <w:sz w:val="22"/>
          <w:szCs w:val="22"/>
          <w:lang w:val="en-CA"/>
        </w:rPr>
        <w:t xml:space="preserve">and it </w:t>
      </w:r>
      <w:r w:rsidR="00A20344" w:rsidRPr="00C44B3A">
        <w:rPr>
          <w:sz w:val="22"/>
          <w:szCs w:val="22"/>
          <w:lang w:val="en-CA"/>
        </w:rPr>
        <w:t>beca</w:t>
      </w:r>
      <w:r w:rsidR="00BE15C5" w:rsidRPr="00C44B3A">
        <w:rPr>
          <w:sz w:val="22"/>
          <w:szCs w:val="22"/>
          <w:lang w:val="en-CA"/>
        </w:rPr>
        <w:t>me an industry standard. In the 1990s</w:t>
      </w:r>
      <w:r w:rsidR="00037F11" w:rsidRPr="00C44B3A">
        <w:rPr>
          <w:sz w:val="22"/>
          <w:szCs w:val="22"/>
          <w:lang w:val="en-CA"/>
        </w:rPr>
        <w:t>,</w:t>
      </w:r>
      <w:r w:rsidR="00BE15C5" w:rsidRPr="00C44B3A">
        <w:rPr>
          <w:sz w:val="22"/>
          <w:szCs w:val="22"/>
          <w:lang w:val="en-CA"/>
        </w:rPr>
        <w:t xml:space="preserve"> the company continued to innovate</w:t>
      </w:r>
      <w:r w:rsidR="00037F11" w:rsidRPr="00C44B3A">
        <w:rPr>
          <w:sz w:val="22"/>
          <w:szCs w:val="22"/>
          <w:lang w:val="en-CA"/>
        </w:rPr>
        <w:t>—</w:t>
      </w:r>
      <w:r w:rsidR="00BE15C5" w:rsidRPr="00C44B3A">
        <w:rPr>
          <w:sz w:val="22"/>
          <w:szCs w:val="22"/>
          <w:lang w:val="en-CA"/>
        </w:rPr>
        <w:t>introduc</w:t>
      </w:r>
      <w:r w:rsidR="00037F11" w:rsidRPr="00C44B3A">
        <w:rPr>
          <w:sz w:val="22"/>
          <w:szCs w:val="22"/>
          <w:lang w:val="en-CA"/>
        </w:rPr>
        <w:t>ing</w:t>
      </w:r>
      <w:r w:rsidR="00BE15C5" w:rsidRPr="00C44B3A">
        <w:rPr>
          <w:sz w:val="22"/>
          <w:szCs w:val="22"/>
          <w:lang w:val="en-CA"/>
        </w:rPr>
        <w:t xml:space="preserve"> articulated buses, programmable electronics</w:t>
      </w:r>
      <w:r w:rsidR="00037F11" w:rsidRPr="00C44B3A">
        <w:rPr>
          <w:sz w:val="22"/>
          <w:szCs w:val="22"/>
          <w:lang w:val="en-CA"/>
        </w:rPr>
        <w:t>,</w:t>
      </w:r>
      <w:r w:rsidR="00BE15C5" w:rsidRPr="00C44B3A">
        <w:rPr>
          <w:sz w:val="22"/>
          <w:szCs w:val="22"/>
          <w:lang w:val="en-CA"/>
        </w:rPr>
        <w:t xml:space="preserve"> </w:t>
      </w:r>
      <w:r w:rsidR="00037F11" w:rsidRPr="00C44B3A">
        <w:rPr>
          <w:sz w:val="22"/>
          <w:szCs w:val="22"/>
          <w:lang w:val="en-CA"/>
        </w:rPr>
        <w:t>and</w:t>
      </w:r>
      <w:r w:rsidR="00BE15C5" w:rsidRPr="00C44B3A">
        <w:rPr>
          <w:sz w:val="22"/>
          <w:szCs w:val="22"/>
          <w:lang w:val="en-CA"/>
        </w:rPr>
        <w:t xml:space="preserve"> alternate power sources such as compressed natural gas (CNG), hydrogen fuel cells, and diesel</w:t>
      </w:r>
      <w:r w:rsidR="00353676" w:rsidRPr="00C44B3A">
        <w:rPr>
          <w:sz w:val="22"/>
          <w:szCs w:val="22"/>
          <w:lang w:val="en-CA"/>
        </w:rPr>
        <w:t>–</w:t>
      </w:r>
      <w:r w:rsidR="00BE15C5" w:rsidRPr="00C44B3A">
        <w:rPr>
          <w:sz w:val="22"/>
          <w:szCs w:val="22"/>
          <w:lang w:val="en-CA"/>
        </w:rPr>
        <w:t>electric hybrids.</w:t>
      </w:r>
      <w:r w:rsidR="00BE15C5" w:rsidRPr="00C44B3A">
        <w:rPr>
          <w:sz w:val="22"/>
          <w:szCs w:val="22"/>
          <w:vertAlign w:val="superscript"/>
          <w:lang w:val="en-CA"/>
        </w:rPr>
        <w:endnoteReference w:id="6"/>
      </w:r>
      <w:r w:rsidR="00BE15C5" w:rsidRPr="00C44B3A">
        <w:rPr>
          <w:sz w:val="22"/>
          <w:szCs w:val="22"/>
          <w:lang w:val="en-CA"/>
        </w:rPr>
        <w:t xml:space="preserve"> </w:t>
      </w:r>
    </w:p>
    <w:p w14:paraId="7D65390B" w14:textId="77777777" w:rsidR="00BE15C5" w:rsidRPr="00C44B3A" w:rsidRDefault="00BE15C5" w:rsidP="00BE15C5">
      <w:pPr>
        <w:jc w:val="both"/>
        <w:rPr>
          <w:sz w:val="22"/>
          <w:szCs w:val="22"/>
          <w:lang w:val="en-CA"/>
        </w:rPr>
      </w:pPr>
    </w:p>
    <w:p w14:paraId="2F4A68D6" w14:textId="56A6A9A2" w:rsidR="00BE15C5" w:rsidRPr="00C44B3A" w:rsidRDefault="00BE15C5" w:rsidP="00BE15C5">
      <w:pPr>
        <w:jc w:val="both"/>
        <w:rPr>
          <w:sz w:val="22"/>
          <w:szCs w:val="22"/>
          <w:lang w:val="en-CA"/>
        </w:rPr>
      </w:pPr>
      <w:r w:rsidRPr="00C44B3A">
        <w:rPr>
          <w:sz w:val="22"/>
          <w:szCs w:val="22"/>
          <w:lang w:val="en-CA"/>
        </w:rPr>
        <w:lastRenderedPageBreak/>
        <w:t>The firm change</w:t>
      </w:r>
      <w:r w:rsidR="00037F11" w:rsidRPr="00C44B3A">
        <w:rPr>
          <w:sz w:val="22"/>
          <w:szCs w:val="22"/>
          <w:lang w:val="en-CA"/>
        </w:rPr>
        <w:t>d</w:t>
      </w:r>
      <w:r w:rsidRPr="00C44B3A">
        <w:rPr>
          <w:sz w:val="22"/>
          <w:szCs w:val="22"/>
          <w:lang w:val="en-CA"/>
        </w:rPr>
        <w:t xml:space="preserve"> ownership on multiple occasions</w:t>
      </w:r>
      <w:r w:rsidR="00037F11" w:rsidRPr="00C44B3A">
        <w:rPr>
          <w:sz w:val="22"/>
          <w:szCs w:val="22"/>
          <w:lang w:val="en-CA"/>
        </w:rPr>
        <w:t xml:space="preserve"> in the early 2000s</w:t>
      </w:r>
      <w:r w:rsidRPr="00C44B3A">
        <w:rPr>
          <w:sz w:val="22"/>
          <w:szCs w:val="22"/>
          <w:lang w:val="en-CA"/>
        </w:rPr>
        <w:t xml:space="preserve">. </w:t>
      </w:r>
      <w:r w:rsidR="00037F11" w:rsidRPr="00C44B3A">
        <w:rPr>
          <w:sz w:val="22"/>
          <w:szCs w:val="22"/>
          <w:lang w:val="en-CA"/>
        </w:rPr>
        <w:t>NFI</w:t>
      </w:r>
      <w:r w:rsidRPr="00C44B3A">
        <w:rPr>
          <w:sz w:val="22"/>
          <w:szCs w:val="22"/>
          <w:lang w:val="en-CA"/>
        </w:rPr>
        <w:t xml:space="preserve"> was acquired by KPS Special </w:t>
      </w:r>
      <w:r w:rsidR="00037F11" w:rsidRPr="00C44B3A">
        <w:rPr>
          <w:sz w:val="22"/>
          <w:szCs w:val="22"/>
          <w:lang w:val="en-CA"/>
        </w:rPr>
        <w:t xml:space="preserve">Situations </w:t>
      </w:r>
      <w:r w:rsidRPr="00C44B3A">
        <w:rPr>
          <w:sz w:val="22"/>
          <w:szCs w:val="22"/>
          <w:lang w:val="en-CA"/>
        </w:rPr>
        <w:t xml:space="preserve">Fund in 2002 and then </w:t>
      </w:r>
      <w:r w:rsidR="00037F11" w:rsidRPr="00C44B3A">
        <w:rPr>
          <w:sz w:val="22"/>
          <w:szCs w:val="22"/>
          <w:lang w:val="en-CA"/>
        </w:rPr>
        <w:t xml:space="preserve">by </w:t>
      </w:r>
      <w:r w:rsidRPr="00C44B3A">
        <w:rPr>
          <w:sz w:val="22"/>
          <w:szCs w:val="22"/>
          <w:lang w:val="en-CA"/>
        </w:rPr>
        <w:t xml:space="preserve">Harvest Partners and Lightyear Capital in 2004. </w:t>
      </w:r>
      <w:r w:rsidR="00037F11" w:rsidRPr="00C44B3A">
        <w:rPr>
          <w:sz w:val="22"/>
          <w:szCs w:val="22"/>
          <w:lang w:val="en-CA"/>
        </w:rPr>
        <w:t xml:space="preserve">In </w:t>
      </w:r>
      <w:r w:rsidRPr="00C44B3A">
        <w:rPr>
          <w:sz w:val="22"/>
          <w:szCs w:val="22"/>
          <w:lang w:val="en-CA"/>
        </w:rPr>
        <w:t>2005</w:t>
      </w:r>
      <w:r w:rsidR="00037F11" w:rsidRPr="00C44B3A">
        <w:rPr>
          <w:sz w:val="22"/>
          <w:szCs w:val="22"/>
          <w:lang w:val="en-CA"/>
        </w:rPr>
        <w:t>,</w:t>
      </w:r>
      <w:r w:rsidRPr="00C44B3A">
        <w:rPr>
          <w:sz w:val="22"/>
          <w:szCs w:val="22"/>
          <w:lang w:val="en-CA"/>
        </w:rPr>
        <w:t xml:space="preserve"> the firm delivered the first commercial gasoline</w:t>
      </w:r>
      <w:r w:rsidR="00037F11" w:rsidRPr="00C44B3A">
        <w:rPr>
          <w:sz w:val="22"/>
          <w:szCs w:val="22"/>
          <w:lang w:val="en-CA"/>
        </w:rPr>
        <w:t>–</w:t>
      </w:r>
      <w:r w:rsidRPr="00C44B3A">
        <w:rPr>
          <w:sz w:val="22"/>
          <w:szCs w:val="22"/>
          <w:lang w:val="en-CA"/>
        </w:rPr>
        <w:t>electric hybrid buses to the North American market. On August 19, 2005, NFI announced the closing of an initial public offering in Canada of 20,000 income deposit securities,</w:t>
      </w:r>
      <w:r w:rsidR="00A20344" w:rsidRPr="00C44B3A">
        <w:rPr>
          <w:sz w:val="22"/>
          <w:szCs w:val="22"/>
          <w:vertAlign w:val="superscript"/>
          <w:lang w:val="en-CA"/>
        </w:rPr>
        <w:endnoteReference w:id="7"/>
      </w:r>
      <w:r w:rsidRPr="00C44B3A">
        <w:rPr>
          <w:sz w:val="22"/>
          <w:szCs w:val="22"/>
          <w:lang w:val="en-CA"/>
        </w:rPr>
        <w:t xml:space="preserve"> becoming publicly</w:t>
      </w:r>
      <w:r w:rsidR="00037F11" w:rsidRPr="00C44B3A">
        <w:rPr>
          <w:sz w:val="22"/>
          <w:szCs w:val="22"/>
          <w:lang w:val="en-CA"/>
        </w:rPr>
        <w:t xml:space="preserve"> </w:t>
      </w:r>
      <w:r w:rsidRPr="00C44B3A">
        <w:rPr>
          <w:sz w:val="22"/>
          <w:szCs w:val="22"/>
          <w:lang w:val="en-CA"/>
        </w:rPr>
        <w:t>traded on the Toronto Stock Exchange.</w:t>
      </w:r>
      <w:r w:rsidRPr="00C44B3A">
        <w:rPr>
          <w:sz w:val="22"/>
          <w:szCs w:val="22"/>
          <w:vertAlign w:val="superscript"/>
          <w:lang w:val="en-CA"/>
        </w:rPr>
        <w:endnoteReference w:id="8"/>
      </w:r>
      <w:r w:rsidRPr="00C44B3A">
        <w:rPr>
          <w:sz w:val="22"/>
          <w:szCs w:val="22"/>
          <w:lang w:val="en-CA"/>
        </w:rPr>
        <w:t xml:space="preserve"> Going public did not impede </w:t>
      </w:r>
      <w:r w:rsidR="00037F11" w:rsidRPr="00C44B3A">
        <w:rPr>
          <w:sz w:val="22"/>
          <w:szCs w:val="22"/>
          <w:lang w:val="en-CA"/>
        </w:rPr>
        <w:t xml:space="preserve">the company’s culture or </w:t>
      </w:r>
      <w:r w:rsidRPr="00C44B3A">
        <w:rPr>
          <w:sz w:val="22"/>
          <w:szCs w:val="22"/>
          <w:lang w:val="en-CA"/>
        </w:rPr>
        <w:t>innovation</w:t>
      </w:r>
      <w:r w:rsidR="00316169" w:rsidRPr="00C44B3A">
        <w:rPr>
          <w:sz w:val="22"/>
          <w:szCs w:val="22"/>
          <w:lang w:val="en-CA"/>
        </w:rPr>
        <w:t>—</w:t>
      </w:r>
      <w:r w:rsidRPr="00C44B3A">
        <w:rPr>
          <w:sz w:val="22"/>
          <w:szCs w:val="22"/>
          <w:lang w:val="en-CA"/>
        </w:rPr>
        <w:t>by 2010</w:t>
      </w:r>
      <w:r w:rsidR="00037F11" w:rsidRPr="00C44B3A">
        <w:rPr>
          <w:sz w:val="22"/>
          <w:szCs w:val="22"/>
          <w:lang w:val="en-CA"/>
        </w:rPr>
        <w:t>,</w:t>
      </w:r>
      <w:r w:rsidRPr="00C44B3A">
        <w:rPr>
          <w:sz w:val="22"/>
          <w:szCs w:val="22"/>
          <w:lang w:val="en-CA"/>
        </w:rPr>
        <w:t xml:space="preserve"> </w:t>
      </w:r>
      <w:r w:rsidR="00037F11" w:rsidRPr="00C44B3A">
        <w:rPr>
          <w:sz w:val="22"/>
          <w:szCs w:val="22"/>
          <w:lang w:val="en-CA"/>
        </w:rPr>
        <w:t>NFI</w:t>
      </w:r>
      <w:r w:rsidRPr="00C44B3A">
        <w:rPr>
          <w:sz w:val="22"/>
          <w:szCs w:val="22"/>
          <w:lang w:val="en-CA"/>
        </w:rPr>
        <w:t xml:space="preserve"> had been named to </w:t>
      </w:r>
      <w:r w:rsidR="00791CFA" w:rsidRPr="00C44B3A">
        <w:rPr>
          <w:sz w:val="22"/>
          <w:szCs w:val="22"/>
          <w:lang w:val="en-CA"/>
        </w:rPr>
        <w:t xml:space="preserve">the list of </w:t>
      </w:r>
      <w:r w:rsidRPr="00C44B3A">
        <w:rPr>
          <w:sz w:val="22"/>
          <w:szCs w:val="22"/>
          <w:lang w:val="en-CA"/>
        </w:rPr>
        <w:t xml:space="preserve">Canada’s Top 100 </w:t>
      </w:r>
      <w:r w:rsidR="00614E8C" w:rsidRPr="00C44B3A">
        <w:rPr>
          <w:sz w:val="22"/>
          <w:szCs w:val="22"/>
          <w:lang w:val="en-CA"/>
        </w:rPr>
        <w:t>E</w:t>
      </w:r>
      <w:r w:rsidRPr="00C44B3A">
        <w:rPr>
          <w:sz w:val="22"/>
          <w:szCs w:val="22"/>
          <w:lang w:val="en-CA"/>
        </w:rPr>
        <w:t>mployers for the sixth consecutive year</w:t>
      </w:r>
      <w:r w:rsidR="00353676" w:rsidRPr="00C44B3A">
        <w:rPr>
          <w:sz w:val="22"/>
          <w:szCs w:val="22"/>
          <w:lang w:val="en-CA"/>
        </w:rPr>
        <w:t>,</w:t>
      </w:r>
      <w:r w:rsidRPr="00C44B3A">
        <w:rPr>
          <w:sz w:val="22"/>
          <w:szCs w:val="22"/>
          <w:lang w:val="en-CA"/>
        </w:rPr>
        <w:t xml:space="preserve"> and </w:t>
      </w:r>
      <w:r w:rsidR="00353676" w:rsidRPr="00C44B3A">
        <w:rPr>
          <w:sz w:val="22"/>
          <w:szCs w:val="22"/>
          <w:lang w:val="en-CA"/>
        </w:rPr>
        <w:t xml:space="preserve">it </w:t>
      </w:r>
      <w:r w:rsidRPr="00C44B3A">
        <w:rPr>
          <w:sz w:val="22"/>
          <w:szCs w:val="22"/>
          <w:lang w:val="en-CA"/>
        </w:rPr>
        <w:t>continued to deliver new buses throughout North America.</w:t>
      </w:r>
      <w:r w:rsidRPr="00C44B3A">
        <w:rPr>
          <w:sz w:val="22"/>
          <w:szCs w:val="22"/>
          <w:vertAlign w:val="superscript"/>
          <w:lang w:val="en-CA"/>
        </w:rPr>
        <w:endnoteReference w:id="9"/>
      </w:r>
      <w:r w:rsidRPr="00C44B3A">
        <w:rPr>
          <w:sz w:val="22"/>
          <w:szCs w:val="22"/>
          <w:lang w:val="en-CA"/>
        </w:rPr>
        <w:t xml:space="preserve"> </w:t>
      </w:r>
    </w:p>
    <w:p w14:paraId="54A4ADBC" w14:textId="77777777" w:rsidR="00BE15C5" w:rsidRPr="00C44B3A" w:rsidRDefault="00BE15C5" w:rsidP="00BE15C5">
      <w:pPr>
        <w:jc w:val="both"/>
        <w:rPr>
          <w:sz w:val="22"/>
          <w:szCs w:val="22"/>
          <w:highlight w:val="yellow"/>
          <w:lang w:val="en-CA"/>
        </w:rPr>
      </w:pPr>
    </w:p>
    <w:p w14:paraId="283FB5B2" w14:textId="4B3F9BAF" w:rsidR="00BE15C5" w:rsidRPr="00C44B3A" w:rsidRDefault="00BE15C5" w:rsidP="00BE15C5">
      <w:pPr>
        <w:jc w:val="both"/>
        <w:rPr>
          <w:sz w:val="22"/>
          <w:szCs w:val="22"/>
          <w:lang w:val="en-CA"/>
        </w:rPr>
      </w:pPr>
      <w:r w:rsidRPr="00C44B3A">
        <w:rPr>
          <w:sz w:val="22"/>
          <w:szCs w:val="22"/>
          <w:lang w:val="en-CA"/>
        </w:rPr>
        <w:t>In 2012</w:t>
      </w:r>
      <w:r w:rsidR="00791CFA" w:rsidRPr="00C44B3A">
        <w:rPr>
          <w:sz w:val="22"/>
          <w:szCs w:val="22"/>
          <w:lang w:val="en-CA"/>
        </w:rPr>
        <w:t>,</w:t>
      </w:r>
      <w:r w:rsidRPr="00C44B3A">
        <w:rPr>
          <w:sz w:val="22"/>
          <w:szCs w:val="22"/>
          <w:lang w:val="en-CA"/>
        </w:rPr>
        <w:t xml:space="preserve"> NFI began a series of joint ventures and acquisitions that would re</w:t>
      </w:r>
      <w:r w:rsidR="00614E8C" w:rsidRPr="00C44B3A">
        <w:rPr>
          <w:sz w:val="22"/>
          <w:szCs w:val="22"/>
          <w:lang w:val="en-CA"/>
        </w:rPr>
        <w:t>-</w:t>
      </w:r>
      <w:r w:rsidRPr="00C44B3A">
        <w:rPr>
          <w:sz w:val="22"/>
          <w:szCs w:val="22"/>
          <w:lang w:val="en-CA"/>
        </w:rPr>
        <w:t xml:space="preserve">shape the transit and </w:t>
      </w:r>
      <w:r w:rsidR="00791CFA" w:rsidRPr="00C44B3A">
        <w:rPr>
          <w:sz w:val="22"/>
          <w:szCs w:val="22"/>
          <w:lang w:val="en-CA"/>
        </w:rPr>
        <w:t>long-</w:t>
      </w:r>
      <w:r w:rsidRPr="00C44B3A">
        <w:rPr>
          <w:sz w:val="22"/>
          <w:szCs w:val="22"/>
          <w:lang w:val="en-CA"/>
        </w:rPr>
        <w:t xml:space="preserve">distance bus </w:t>
      </w:r>
      <w:r w:rsidR="00A33804" w:rsidRPr="00C44B3A">
        <w:rPr>
          <w:sz w:val="22"/>
          <w:szCs w:val="22"/>
          <w:lang w:val="en-CA"/>
        </w:rPr>
        <w:t>industries</w:t>
      </w:r>
      <w:r w:rsidRPr="00C44B3A">
        <w:rPr>
          <w:sz w:val="22"/>
          <w:szCs w:val="22"/>
          <w:lang w:val="en-CA"/>
        </w:rPr>
        <w:t>. Th</w:t>
      </w:r>
      <w:r w:rsidR="00A33804" w:rsidRPr="00C44B3A">
        <w:rPr>
          <w:sz w:val="22"/>
          <w:szCs w:val="22"/>
          <w:lang w:val="en-CA"/>
        </w:rPr>
        <w:t>at year, th</w:t>
      </w:r>
      <w:r w:rsidRPr="00C44B3A">
        <w:rPr>
          <w:sz w:val="22"/>
          <w:szCs w:val="22"/>
          <w:lang w:val="en-CA"/>
        </w:rPr>
        <w:t>e company announced a joint venture with Alexander Dennis</w:t>
      </w:r>
      <w:r w:rsidR="007D4606" w:rsidRPr="00C44B3A">
        <w:rPr>
          <w:sz w:val="22"/>
          <w:szCs w:val="22"/>
          <w:lang w:val="en-CA"/>
        </w:rPr>
        <w:t xml:space="preserve"> Limited, the largest manufacturer of buses in the United Kingdom, </w:t>
      </w:r>
      <w:r w:rsidRPr="00C44B3A">
        <w:rPr>
          <w:sz w:val="22"/>
          <w:szCs w:val="22"/>
          <w:lang w:val="en-CA"/>
        </w:rPr>
        <w:t xml:space="preserve">to introduce the </w:t>
      </w:r>
      <w:proofErr w:type="spellStart"/>
      <w:r w:rsidRPr="00C44B3A">
        <w:rPr>
          <w:sz w:val="22"/>
          <w:szCs w:val="22"/>
          <w:lang w:val="en-CA"/>
        </w:rPr>
        <w:t>MiDi</w:t>
      </w:r>
      <w:proofErr w:type="spellEnd"/>
      <w:r w:rsidR="00614E8C" w:rsidRPr="00C44B3A">
        <w:rPr>
          <w:sz w:val="22"/>
          <w:szCs w:val="22"/>
          <w:lang w:val="en-CA"/>
        </w:rPr>
        <w:t>—</w:t>
      </w:r>
      <w:r w:rsidRPr="00C44B3A">
        <w:rPr>
          <w:sz w:val="22"/>
          <w:szCs w:val="22"/>
          <w:lang w:val="en-CA"/>
        </w:rPr>
        <w:t xml:space="preserve">a mid-sized, </w:t>
      </w:r>
      <w:r w:rsidR="00A33804" w:rsidRPr="00C44B3A">
        <w:rPr>
          <w:sz w:val="22"/>
          <w:szCs w:val="22"/>
          <w:lang w:val="en-CA"/>
        </w:rPr>
        <w:t>low-</w:t>
      </w:r>
      <w:r w:rsidRPr="00C44B3A">
        <w:rPr>
          <w:sz w:val="22"/>
          <w:szCs w:val="22"/>
          <w:lang w:val="en-CA"/>
        </w:rPr>
        <w:t xml:space="preserve">floor transit bus with an extended useful life. It was also in 2012 that the company delivered its first all-electric transit bus to the Chicago Transit Authority. </w:t>
      </w:r>
      <w:r w:rsidR="00A33804" w:rsidRPr="00C44B3A">
        <w:rPr>
          <w:sz w:val="22"/>
          <w:szCs w:val="22"/>
          <w:lang w:val="en-CA"/>
        </w:rPr>
        <w:t xml:space="preserve">In </w:t>
      </w:r>
      <w:r w:rsidRPr="00C44B3A">
        <w:rPr>
          <w:sz w:val="22"/>
          <w:szCs w:val="22"/>
          <w:lang w:val="en-CA"/>
        </w:rPr>
        <w:t>2013</w:t>
      </w:r>
      <w:r w:rsidR="00A33804" w:rsidRPr="00C44B3A">
        <w:rPr>
          <w:sz w:val="22"/>
          <w:szCs w:val="22"/>
          <w:lang w:val="en-CA"/>
        </w:rPr>
        <w:t>,</w:t>
      </w:r>
      <w:r w:rsidRPr="00C44B3A">
        <w:rPr>
          <w:sz w:val="22"/>
          <w:szCs w:val="22"/>
          <w:lang w:val="en-CA"/>
        </w:rPr>
        <w:t xml:space="preserve"> </w:t>
      </w:r>
      <w:r w:rsidR="00A20344" w:rsidRPr="00C44B3A">
        <w:rPr>
          <w:sz w:val="22"/>
          <w:szCs w:val="22"/>
          <w:lang w:val="en-CA"/>
        </w:rPr>
        <w:t>the firm publicize</w:t>
      </w:r>
      <w:r w:rsidR="00A33804" w:rsidRPr="00C44B3A">
        <w:rPr>
          <w:sz w:val="22"/>
          <w:szCs w:val="22"/>
          <w:lang w:val="en-CA"/>
        </w:rPr>
        <w:t>d</w:t>
      </w:r>
      <w:r w:rsidR="00A20344" w:rsidRPr="00C44B3A">
        <w:rPr>
          <w:sz w:val="22"/>
          <w:szCs w:val="22"/>
          <w:lang w:val="en-CA"/>
        </w:rPr>
        <w:t xml:space="preserve"> a </w:t>
      </w:r>
      <w:r w:rsidRPr="00C44B3A">
        <w:rPr>
          <w:sz w:val="22"/>
          <w:szCs w:val="22"/>
          <w:lang w:val="en-CA"/>
        </w:rPr>
        <w:t>$116</w:t>
      </w:r>
      <w:r w:rsidR="00316169" w:rsidRPr="00C44B3A">
        <w:rPr>
          <w:sz w:val="22"/>
          <w:szCs w:val="22"/>
          <w:lang w:val="en-CA"/>
        </w:rPr>
        <w:t xml:space="preserve"> </w:t>
      </w:r>
      <w:r w:rsidRPr="00C44B3A">
        <w:rPr>
          <w:sz w:val="22"/>
          <w:szCs w:val="22"/>
          <w:lang w:val="en-CA"/>
        </w:rPr>
        <w:t xml:space="preserve">million strategic investment in </w:t>
      </w:r>
      <w:r w:rsidR="004C52AA" w:rsidRPr="00C44B3A">
        <w:rPr>
          <w:sz w:val="22"/>
          <w:szCs w:val="22"/>
          <w:lang w:val="en-CA"/>
        </w:rPr>
        <w:t>NFI</w:t>
      </w:r>
      <w:r w:rsidRPr="00C44B3A">
        <w:rPr>
          <w:sz w:val="22"/>
          <w:szCs w:val="22"/>
          <w:lang w:val="en-CA"/>
        </w:rPr>
        <w:t xml:space="preserve"> by </w:t>
      </w:r>
      <w:proofErr w:type="spellStart"/>
      <w:r w:rsidRPr="00C44B3A">
        <w:rPr>
          <w:sz w:val="22"/>
          <w:szCs w:val="22"/>
          <w:lang w:val="en-CA"/>
        </w:rPr>
        <w:t>Marcopolo</w:t>
      </w:r>
      <w:proofErr w:type="spellEnd"/>
      <w:r w:rsidRPr="00C44B3A">
        <w:rPr>
          <w:sz w:val="22"/>
          <w:szCs w:val="22"/>
          <w:lang w:val="en-CA"/>
        </w:rPr>
        <w:t xml:space="preserve"> SA. </w:t>
      </w:r>
      <w:r w:rsidR="00A33804" w:rsidRPr="00C44B3A">
        <w:rPr>
          <w:sz w:val="22"/>
          <w:szCs w:val="22"/>
          <w:lang w:val="en-CA"/>
        </w:rPr>
        <w:t>T</w:t>
      </w:r>
      <w:r w:rsidRPr="00C44B3A">
        <w:rPr>
          <w:sz w:val="22"/>
          <w:szCs w:val="22"/>
          <w:lang w:val="en-CA"/>
        </w:rPr>
        <w:t xml:space="preserve">he modern firm began to take shape </w:t>
      </w:r>
      <w:r w:rsidR="00A33804" w:rsidRPr="00C44B3A">
        <w:rPr>
          <w:sz w:val="22"/>
          <w:szCs w:val="22"/>
          <w:lang w:val="en-CA"/>
        </w:rPr>
        <w:t xml:space="preserve">in 2013 </w:t>
      </w:r>
      <w:r w:rsidRPr="00C44B3A">
        <w:rPr>
          <w:sz w:val="22"/>
          <w:szCs w:val="22"/>
          <w:lang w:val="en-CA"/>
        </w:rPr>
        <w:t xml:space="preserve">with the acquisition of </w:t>
      </w:r>
      <w:r w:rsidR="00A33804" w:rsidRPr="00C44B3A">
        <w:rPr>
          <w:sz w:val="22"/>
          <w:szCs w:val="22"/>
          <w:lang w:val="en-CA"/>
        </w:rPr>
        <w:t xml:space="preserve">the </w:t>
      </w:r>
      <w:r w:rsidRPr="00C44B3A">
        <w:rPr>
          <w:sz w:val="22"/>
          <w:szCs w:val="22"/>
          <w:lang w:val="en-CA"/>
        </w:rPr>
        <w:t xml:space="preserve">Orion aftermarket parts assets </w:t>
      </w:r>
      <w:r w:rsidR="00A33804" w:rsidRPr="00C44B3A">
        <w:rPr>
          <w:sz w:val="22"/>
          <w:szCs w:val="22"/>
          <w:lang w:val="en-CA"/>
        </w:rPr>
        <w:t xml:space="preserve">of </w:t>
      </w:r>
      <w:r w:rsidRPr="00C44B3A">
        <w:rPr>
          <w:sz w:val="22"/>
          <w:szCs w:val="22"/>
          <w:lang w:val="en-CA"/>
        </w:rPr>
        <w:t xml:space="preserve">Daimler Buses North America </w:t>
      </w:r>
      <w:r w:rsidR="00A33804" w:rsidRPr="00C44B3A">
        <w:rPr>
          <w:sz w:val="22"/>
          <w:szCs w:val="22"/>
          <w:lang w:val="en-CA"/>
        </w:rPr>
        <w:t>Inc.</w:t>
      </w:r>
      <w:r w:rsidR="00316169" w:rsidRPr="00C44B3A">
        <w:rPr>
          <w:sz w:val="22"/>
          <w:szCs w:val="22"/>
          <w:lang w:val="en-CA"/>
        </w:rPr>
        <w:t>,</w:t>
      </w:r>
      <w:r w:rsidR="00A33804" w:rsidRPr="00C44B3A">
        <w:rPr>
          <w:sz w:val="22"/>
          <w:szCs w:val="22"/>
          <w:lang w:val="en-CA"/>
        </w:rPr>
        <w:t xml:space="preserve"> </w:t>
      </w:r>
      <w:r w:rsidRPr="00C44B3A">
        <w:rPr>
          <w:sz w:val="22"/>
          <w:szCs w:val="22"/>
          <w:lang w:val="en-CA"/>
        </w:rPr>
        <w:t xml:space="preserve">and the acquisition of competing firm North American Bus Industries </w:t>
      </w:r>
      <w:r w:rsidR="00A33804" w:rsidRPr="00C44B3A">
        <w:rPr>
          <w:sz w:val="22"/>
          <w:szCs w:val="22"/>
          <w:lang w:val="en-CA"/>
        </w:rPr>
        <w:t xml:space="preserve">Inc. </w:t>
      </w:r>
      <w:r w:rsidRPr="00C44B3A">
        <w:rPr>
          <w:sz w:val="22"/>
          <w:szCs w:val="22"/>
          <w:lang w:val="en-CA"/>
        </w:rPr>
        <w:t xml:space="preserve">(NABI). The acquisition of NABI paved the way for </w:t>
      </w:r>
      <w:r w:rsidR="00521046" w:rsidRPr="00C44B3A">
        <w:rPr>
          <w:sz w:val="22"/>
          <w:szCs w:val="22"/>
          <w:lang w:val="en-CA"/>
        </w:rPr>
        <w:t xml:space="preserve">NFI to introduce </w:t>
      </w:r>
      <w:r w:rsidRPr="00C44B3A">
        <w:rPr>
          <w:sz w:val="22"/>
          <w:szCs w:val="22"/>
          <w:lang w:val="en-CA"/>
        </w:rPr>
        <w:t xml:space="preserve">the New Flyer </w:t>
      </w:r>
      <w:proofErr w:type="spellStart"/>
      <w:r w:rsidR="002863CD" w:rsidRPr="00C44B3A">
        <w:rPr>
          <w:sz w:val="22"/>
          <w:szCs w:val="22"/>
          <w:lang w:val="en-CA"/>
        </w:rPr>
        <w:t>MiDi</w:t>
      </w:r>
      <w:proofErr w:type="spellEnd"/>
      <w:r w:rsidRPr="00C44B3A">
        <w:rPr>
          <w:sz w:val="22"/>
          <w:szCs w:val="22"/>
          <w:lang w:val="en-CA"/>
        </w:rPr>
        <w:t>, North America’s first mid-sized transit bus</w:t>
      </w:r>
      <w:r w:rsidR="00521046" w:rsidRPr="00C44B3A">
        <w:rPr>
          <w:sz w:val="22"/>
          <w:szCs w:val="22"/>
          <w:lang w:val="en-CA"/>
        </w:rPr>
        <w:t>,</w:t>
      </w:r>
      <w:r w:rsidRPr="00C44B3A">
        <w:rPr>
          <w:sz w:val="22"/>
          <w:szCs w:val="22"/>
          <w:lang w:val="en-CA"/>
        </w:rPr>
        <w:t xml:space="preserve"> and further fortified the firm’s aftermarket parts network.</w:t>
      </w:r>
      <w:r w:rsidRPr="00C44B3A">
        <w:rPr>
          <w:sz w:val="22"/>
          <w:szCs w:val="22"/>
          <w:vertAlign w:val="superscript"/>
          <w:lang w:val="en-CA"/>
        </w:rPr>
        <w:endnoteReference w:id="10"/>
      </w:r>
      <w:r w:rsidRPr="00C44B3A">
        <w:rPr>
          <w:sz w:val="22"/>
          <w:szCs w:val="22"/>
          <w:lang w:val="en-CA"/>
        </w:rPr>
        <w:t xml:space="preserve"> </w:t>
      </w:r>
    </w:p>
    <w:p w14:paraId="2F2A3F90" w14:textId="77777777" w:rsidR="00BE15C5" w:rsidRPr="00C44B3A" w:rsidRDefault="00BE15C5" w:rsidP="00BE15C5">
      <w:pPr>
        <w:jc w:val="both"/>
        <w:rPr>
          <w:sz w:val="22"/>
          <w:szCs w:val="22"/>
          <w:lang w:val="en-CA"/>
        </w:rPr>
      </w:pPr>
    </w:p>
    <w:p w14:paraId="02D53F3F" w14:textId="7B994645" w:rsidR="00BE15C5" w:rsidRPr="00C44B3A" w:rsidRDefault="00521046" w:rsidP="00BE15C5">
      <w:pPr>
        <w:jc w:val="both"/>
        <w:rPr>
          <w:spacing w:val="-2"/>
          <w:kern w:val="22"/>
          <w:sz w:val="22"/>
          <w:szCs w:val="22"/>
          <w:lang w:val="en-CA"/>
        </w:rPr>
      </w:pPr>
      <w:r w:rsidRPr="00C44B3A">
        <w:rPr>
          <w:spacing w:val="-2"/>
          <w:kern w:val="22"/>
          <w:sz w:val="22"/>
          <w:szCs w:val="22"/>
          <w:lang w:val="en-CA"/>
        </w:rPr>
        <w:t>NFI later</w:t>
      </w:r>
      <w:r w:rsidR="00BE15C5" w:rsidRPr="00C44B3A">
        <w:rPr>
          <w:spacing w:val="-2"/>
          <w:kern w:val="22"/>
          <w:sz w:val="22"/>
          <w:szCs w:val="22"/>
          <w:lang w:val="en-CA"/>
        </w:rPr>
        <w:t xml:space="preserve"> focused on developing zero-emission battery-electric and fuel cell propulsion systems for its bus platforms. The firm also continued its acquisitions with the </w:t>
      </w:r>
      <w:r w:rsidRPr="00C44B3A">
        <w:rPr>
          <w:spacing w:val="-2"/>
          <w:kern w:val="22"/>
          <w:sz w:val="22"/>
          <w:szCs w:val="22"/>
          <w:lang w:val="en-CA"/>
        </w:rPr>
        <w:t xml:space="preserve">2015 </w:t>
      </w:r>
      <w:r w:rsidR="00BE15C5" w:rsidRPr="00C44B3A">
        <w:rPr>
          <w:spacing w:val="-2"/>
          <w:kern w:val="22"/>
          <w:sz w:val="22"/>
          <w:szCs w:val="22"/>
          <w:lang w:val="en-CA"/>
        </w:rPr>
        <w:t>purchase of MCI,</w:t>
      </w:r>
      <w:r w:rsidR="00A20344" w:rsidRPr="00C44B3A">
        <w:rPr>
          <w:spacing w:val="-2"/>
          <w:kern w:val="22"/>
          <w:sz w:val="22"/>
          <w:szCs w:val="22"/>
          <w:vertAlign w:val="superscript"/>
          <w:lang w:val="en-CA"/>
        </w:rPr>
        <w:endnoteReference w:id="11"/>
      </w:r>
      <w:r w:rsidR="00BE15C5" w:rsidRPr="00C44B3A">
        <w:rPr>
          <w:spacing w:val="-2"/>
          <w:kern w:val="22"/>
          <w:sz w:val="22"/>
          <w:szCs w:val="22"/>
          <w:lang w:val="en-CA"/>
        </w:rPr>
        <w:t xml:space="preserve"> North America’s leading </w:t>
      </w:r>
      <w:r w:rsidR="00BF4021" w:rsidRPr="00C44B3A">
        <w:rPr>
          <w:spacing w:val="-2"/>
          <w:kern w:val="22"/>
          <w:sz w:val="22"/>
          <w:szCs w:val="22"/>
          <w:lang w:val="en-CA"/>
        </w:rPr>
        <w:t xml:space="preserve">provider of </w:t>
      </w:r>
      <w:r w:rsidR="00BE15C5" w:rsidRPr="00C44B3A">
        <w:rPr>
          <w:spacing w:val="-2"/>
          <w:kern w:val="22"/>
          <w:sz w:val="22"/>
          <w:szCs w:val="22"/>
          <w:lang w:val="en-CA"/>
        </w:rPr>
        <w:t>motor</w:t>
      </w:r>
      <w:r w:rsidR="00353676" w:rsidRPr="00C44B3A">
        <w:rPr>
          <w:spacing w:val="-2"/>
          <w:kern w:val="22"/>
          <w:sz w:val="22"/>
          <w:szCs w:val="22"/>
          <w:lang w:val="en-CA"/>
        </w:rPr>
        <w:t xml:space="preserve"> </w:t>
      </w:r>
      <w:r w:rsidR="00BE15C5" w:rsidRPr="00C44B3A">
        <w:rPr>
          <w:spacing w:val="-2"/>
          <w:kern w:val="22"/>
          <w:sz w:val="22"/>
          <w:szCs w:val="22"/>
          <w:lang w:val="en-CA"/>
        </w:rPr>
        <w:t xml:space="preserve">coach </w:t>
      </w:r>
      <w:r w:rsidR="00BF4021" w:rsidRPr="00C44B3A">
        <w:rPr>
          <w:spacing w:val="-2"/>
          <w:kern w:val="22"/>
          <w:sz w:val="22"/>
          <w:szCs w:val="22"/>
          <w:lang w:val="en-CA"/>
        </w:rPr>
        <w:t>manufacturing</w:t>
      </w:r>
      <w:r w:rsidR="00BE15C5" w:rsidRPr="00C44B3A">
        <w:rPr>
          <w:spacing w:val="-2"/>
          <w:kern w:val="22"/>
          <w:sz w:val="22"/>
          <w:szCs w:val="22"/>
          <w:lang w:val="en-CA"/>
        </w:rPr>
        <w:t>, parts</w:t>
      </w:r>
      <w:r w:rsidRPr="00C44B3A">
        <w:rPr>
          <w:spacing w:val="-2"/>
          <w:kern w:val="22"/>
          <w:sz w:val="22"/>
          <w:szCs w:val="22"/>
          <w:lang w:val="en-CA"/>
        </w:rPr>
        <w:t>,</w:t>
      </w:r>
      <w:r w:rsidR="00BE15C5" w:rsidRPr="00C44B3A">
        <w:rPr>
          <w:spacing w:val="-2"/>
          <w:kern w:val="22"/>
          <w:sz w:val="22"/>
          <w:szCs w:val="22"/>
          <w:lang w:val="en-CA"/>
        </w:rPr>
        <w:t xml:space="preserve"> and service, </w:t>
      </w:r>
      <w:r w:rsidR="00A20344" w:rsidRPr="00C44B3A">
        <w:rPr>
          <w:spacing w:val="-2"/>
          <w:kern w:val="22"/>
          <w:sz w:val="22"/>
          <w:szCs w:val="22"/>
          <w:lang w:val="en-CA"/>
        </w:rPr>
        <w:t xml:space="preserve">for </w:t>
      </w:r>
      <w:r w:rsidRPr="00C44B3A">
        <w:rPr>
          <w:spacing w:val="-2"/>
          <w:kern w:val="22"/>
          <w:sz w:val="22"/>
          <w:szCs w:val="22"/>
          <w:lang w:val="en-CA"/>
        </w:rPr>
        <w:t>US</w:t>
      </w:r>
      <w:r w:rsidR="00A20344" w:rsidRPr="00C44B3A">
        <w:rPr>
          <w:spacing w:val="-2"/>
          <w:kern w:val="22"/>
          <w:sz w:val="22"/>
          <w:szCs w:val="22"/>
          <w:lang w:val="en-CA"/>
        </w:rPr>
        <w:t>$455</w:t>
      </w:r>
      <w:r w:rsidRPr="00C44B3A">
        <w:rPr>
          <w:spacing w:val="-2"/>
          <w:kern w:val="22"/>
          <w:sz w:val="22"/>
          <w:szCs w:val="22"/>
          <w:lang w:val="en-CA"/>
        </w:rPr>
        <w:t xml:space="preserve"> million</w:t>
      </w:r>
      <w:r w:rsidR="00BE15C5" w:rsidRPr="00C44B3A">
        <w:rPr>
          <w:spacing w:val="-2"/>
          <w:kern w:val="22"/>
          <w:sz w:val="22"/>
          <w:szCs w:val="22"/>
          <w:lang w:val="en-CA"/>
        </w:rPr>
        <w:t>.</w:t>
      </w:r>
      <w:r w:rsidR="00BE15C5" w:rsidRPr="00C44B3A">
        <w:rPr>
          <w:spacing w:val="-2"/>
          <w:kern w:val="22"/>
          <w:sz w:val="22"/>
          <w:szCs w:val="22"/>
          <w:vertAlign w:val="superscript"/>
          <w:lang w:val="en-CA"/>
        </w:rPr>
        <w:endnoteReference w:id="12"/>
      </w:r>
    </w:p>
    <w:p w14:paraId="49E815C0" w14:textId="77777777" w:rsidR="00BE15C5" w:rsidRPr="00C44B3A" w:rsidRDefault="00BE15C5" w:rsidP="00F9210D">
      <w:pPr>
        <w:pStyle w:val="BodyTextMain"/>
        <w:rPr>
          <w:lang w:val="en-CA"/>
        </w:rPr>
      </w:pPr>
    </w:p>
    <w:p w14:paraId="679733A0" w14:textId="77777777" w:rsidR="00BE15C5" w:rsidRPr="00C44B3A" w:rsidRDefault="00BE15C5" w:rsidP="00F9210D">
      <w:pPr>
        <w:pStyle w:val="BodyTextMain"/>
        <w:rPr>
          <w:lang w:val="en-CA"/>
        </w:rPr>
      </w:pPr>
    </w:p>
    <w:p w14:paraId="2EA47FE8" w14:textId="77777777" w:rsidR="00BE15C5" w:rsidRPr="00C44B3A" w:rsidRDefault="00BE15C5" w:rsidP="00BE15C5">
      <w:pPr>
        <w:jc w:val="both"/>
        <w:rPr>
          <w:rFonts w:ascii="Arial" w:hAnsi="Arial" w:cs="Arial"/>
          <w:b/>
          <w:caps/>
          <w:lang w:val="en-CA"/>
        </w:rPr>
      </w:pPr>
      <w:r w:rsidRPr="00C44B3A">
        <w:rPr>
          <w:rFonts w:ascii="Arial" w:hAnsi="Arial" w:cs="Arial"/>
          <w:b/>
          <w:caps/>
          <w:lang w:val="en-CA"/>
        </w:rPr>
        <w:t>THE wheels on the bus</w:t>
      </w:r>
    </w:p>
    <w:p w14:paraId="77CBA7A4" w14:textId="77777777" w:rsidR="00BE15C5" w:rsidRPr="00C44B3A" w:rsidRDefault="00BE15C5" w:rsidP="00A20344">
      <w:pPr>
        <w:pStyle w:val="BodyTextMain"/>
        <w:rPr>
          <w:lang w:val="en-CA"/>
        </w:rPr>
      </w:pPr>
    </w:p>
    <w:p w14:paraId="5AEB3FE7" w14:textId="42ED9718" w:rsidR="00BE15C5" w:rsidRPr="00C44B3A" w:rsidRDefault="00BE15C5" w:rsidP="00A20344">
      <w:pPr>
        <w:pStyle w:val="BodyTextMain"/>
        <w:rPr>
          <w:rFonts w:eastAsia="Calibri"/>
          <w:szCs w:val="24"/>
          <w:lang w:val="en-CA"/>
        </w:rPr>
      </w:pPr>
      <w:r w:rsidRPr="00C44B3A">
        <w:rPr>
          <w:rFonts w:eastAsia="Calibri"/>
          <w:szCs w:val="24"/>
          <w:lang w:val="en-CA"/>
        </w:rPr>
        <w:t xml:space="preserve">NFI had the broadest and most advanced product offering in the combined </w:t>
      </w:r>
      <w:r w:rsidR="002863CD" w:rsidRPr="00C44B3A">
        <w:rPr>
          <w:rFonts w:eastAsia="Calibri"/>
          <w:szCs w:val="24"/>
          <w:lang w:val="en-CA"/>
        </w:rPr>
        <w:t xml:space="preserve">U.S. </w:t>
      </w:r>
      <w:r w:rsidRPr="00C44B3A">
        <w:rPr>
          <w:rFonts w:eastAsia="Calibri"/>
          <w:szCs w:val="24"/>
          <w:lang w:val="en-CA"/>
        </w:rPr>
        <w:t>and Canad</w:t>
      </w:r>
      <w:r w:rsidR="002863CD" w:rsidRPr="00C44B3A">
        <w:rPr>
          <w:rFonts w:eastAsia="Calibri"/>
          <w:szCs w:val="24"/>
          <w:lang w:val="en-CA"/>
        </w:rPr>
        <w:t>i</w:t>
      </w:r>
      <w:r w:rsidRPr="00C44B3A">
        <w:rPr>
          <w:rFonts w:eastAsia="Calibri"/>
          <w:szCs w:val="24"/>
          <w:lang w:val="en-CA"/>
        </w:rPr>
        <w:t>a</w:t>
      </w:r>
      <w:r w:rsidR="002863CD" w:rsidRPr="00C44B3A">
        <w:rPr>
          <w:rFonts w:eastAsia="Calibri"/>
          <w:szCs w:val="24"/>
          <w:lang w:val="en-CA"/>
        </w:rPr>
        <w:t>n</w:t>
      </w:r>
      <w:r w:rsidRPr="00C44B3A">
        <w:rPr>
          <w:rFonts w:eastAsia="Calibri"/>
          <w:szCs w:val="24"/>
          <w:lang w:val="en-CA"/>
        </w:rPr>
        <w:t xml:space="preserve"> heavy-duty transit bus and coach industries. The company produced four main transit bus and motor</w:t>
      </w:r>
      <w:r w:rsidR="00353676" w:rsidRPr="00C44B3A">
        <w:rPr>
          <w:rFonts w:eastAsia="Calibri"/>
          <w:szCs w:val="24"/>
          <w:lang w:val="en-CA"/>
        </w:rPr>
        <w:t xml:space="preserve"> </w:t>
      </w:r>
      <w:r w:rsidRPr="00C44B3A">
        <w:rPr>
          <w:rFonts w:eastAsia="Calibri"/>
          <w:szCs w:val="24"/>
          <w:lang w:val="en-CA"/>
        </w:rPr>
        <w:t xml:space="preserve">coach models in a variety of body lengths, propulsion systems, and applications. Transit buses were typically used </w:t>
      </w:r>
      <w:r w:rsidR="002863CD" w:rsidRPr="00C44B3A">
        <w:rPr>
          <w:rFonts w:eastAsia="Calibri"/>
          <w:szCs w:val="24"/>
          <w:lang w:val="en-CA"/>
        </w:rPr>
        <w:t>for shorter-</w:t>
      </w:r>
      <w:r w:rsidRPr="00C44B3A">
        <w:rPr>
          <w:rFonts w:eastAsia="Calibri"/>
          <w:szCs w:val="24"/>
          <w:lang w:val="en-CA"/>
        </w:rPr>
        <w:t>distance public transport</w:t>
      </w:r>
      <w:r w:rsidR="002863CD" w:rsidRPr="00C44B3A">
        <w:rPr>
          <w:rFonts w:eastAsia="Calibri"/>
          <w:szCs w:val="24"/>
          <w:lang w:val="en-CA"/>
        </w:rPr>
        <w:t>ation</w:t>
      </w:r>
      <w:r w:rsidRPr="00C44B3A">
        <w:rPr>
          <w:rFonts w:eastAsia="Calibri"/>
          <w:szCs w:val="24"/>
          <w:lang w:val="en-CA"/>
        </w:rPr>
        <w:t xml:space="preserve"> services</w:t>
      </w:r>
      <w:r w:rsidR="002863CD" w:rsidRPr="00C44B3A">
        <w:rPr>
          <w:rFonts w:eastAsia="Calibri"/>
          <w:szCs w:val="24"/>
          <w:lang w:val="en-CA"/>
        </w:rPr>
        <w:t>,</w:t>
      </w:r>
      <w:r w:rsidRPr="00C44B3A">
        <w:rPr>
          <w:rFonts w:eastAsia="Calibri"/>
          <w:szCs w:val="24"/>
          <w:lang w:val="en-CA"/>
        </w:rPr>
        <w:t xml:space="preserve"> while motor</w:t>
      </w:r>
      <w:r w:rsidR="00353676" w:rsidRPr="00C44B3A">
        <w:rPr>
          <w:rFonts w:eastAsia="Calibri"/>
          <w:szCs w:val="24"/>
          <w:lang w:val="en-CA"/>
        </w:rPr>
        <w:t xml:space="preserve"> </w:t>
      </w:r>
      <w:r w:rsidRPr="00C44B3A">
        <w:rPr>
          <w:rFonts w:eastAsia="Calibri"/>
          <w:szCs w:val="24"/>
          <w:lang w:val="en-CA"/>
        </w:rPr>
        <w:t xml:space="preserve">coaches were often purchased by private tour and charter operators for </w:t>
      </w:r>
      <w:r w:rsidR="002863CD" w:rsidRPr="00C44B3A">
        <w:rPr>
          <w:rFonts w:eastAsia="Calibri"/>
          <w:szCs w:val="24"/>
          <w:lang w:val="en-CA"/>
        </w:rPr>
        <w:t>long-</w:t>
      </w:r>
      <w:r w:rsidRPr="00C44B3A">
        <w:rPr>
          <w:rFonts w:eastAsia="Calibri"/>
          <w:szCs w:val="24"/>
          <w:lang w:val="en-CA"/>
        </w:rPr>
        <w:t xml:space="preserve">haul situations </w:t>
      </w:r>
      <w:r w:rsidR="002863CD" w:rsidRPr="00C44B3A">
        <w:rPr>
          <w:rFonts w:eastAsia="Calibri"/>
          <w:szCs w:val="24"/>
          <w:lang w:val="en-CA"/>
        </w:rPr>
        <w:t xml:space="preserve">and </w:t>
      </w:r>
      <w:r w:rsidRPr="00C44B3A">
        <w:rPr>
          <w:rFonts w:eastAsia="Calibri"/>
          <w:szCs w:val="24"/>
          <w:lang w:val="en-CA"/>
        </w:rPr>
        <w:t>highway speeds.</w:t>
      </w:r>
      <w:r w:rsidRPr="00C44B3A">
        <w:rPr>
          <w:rFonts w:eastAsia="Calibri"/>
          <w:szCs w:val="24"/>
          <w:vertAlign w:val="superscript"/>
          <w:lang w:val="en-CA"/>
        </w:rPr>
        <w:endnoteReference w:id="13"/>
      </w:r>
    </w:p>
    <w:p w14:paraId="0DFF6E8B" w14:textId="77777777" w:rsidR="00BE15C5" w:rsidRPr="00C44B3A" w:rsidRDefault="00BE15C5" w:rsidP="00A20344">
      <w:pPr>
        <w:pStyle w:val="BodyTextMain"/>
        <w:rPr>
          <w:rFonts w:eastAsia="Calibri"/>
          <w:lang w:val="en-CA"/>
        </w:rPr>
      </w:pPr>
    </w:p>
    <w:p w14:paraId="1B407402" w14:textId="77777777" w:rsidR="00F9210D" w:rsidRPr="00C44B3A" w:rsidRDefault="00F9210D" w:rsidP="00A20344">
      <w:pPr>
        <w:pStyle w:val="BodyTextMain"/>
        <w:rPr>
          <w:rFonts w:eastAsia="Calibri"/>
          <w:lang w:val="en-CA"/>
        </w:rPr>
      </w:pPr>
    </w:p>
    <w:p w14:paraId="12AF3C55" w14:textId="2FCA5BCC" w:rsidR="00BE15C5" w:rsidRPr="00C44B3A" w:rsidRDefault="00BE15C5" w:rsidP="00BE15C5">
      <w:pPr>
        <w:jc w:val="both"/>
        <w:rPr>
          <w:rFonts w:ascii="Arial" w:hAnsi="Arial" w:cs="Arial"/>
          <w:b/>
          <w:lang w:val="en-CA"/>
        </w:rPr>
      </w:pPr>
      <w:r w:rsidRPr="00C44B3A">
        <w:rPr>
          <w:rFonts w:ascii="Arial" w:hAnsi="Arial" w:cs="Arial"/>
          <w:b/>
          <w:lang w:val="en-CA"/>
        </w:rPr>
        <w:t xml:space="preserve">New Flyer </w:t>
      </w:r>
      <w:proofErr w:type="spellStart"/>
      <w:r w:rsidRPr="00C44B3A">
        <w:rPr>
          <w:rFonts w:ascii="Arial" w:hAnsi="Arial" w:cs="Arial"/>
          <w:b/>
          <w:lang w:val="en-CA"/>
        </w:rPr>
        <w:t>Xcelsior</w:t>
      </w:r>
      <w:proofErr w:type="spellEnd"/>
      <w:r w:rsidRPr="00C44B3A">
        <w:rPr>
          <w:rFonts w:ascii="Arial" w:hAnsi="Arial" w:cs="Arial"/>
          <w:b/>
          <w:lang w:val="en-CA"/>
        </w:rPr>
        <w:t>/</w:t>
      </w:r>
      <w:proofErr w:type="spellStart"/>
      <w:r w:rsidRPr="00C44B3A">
        <w:rPr>
          <w:rFonts w:ascii="Arial" w:hAnsi="Arial" w:cs="Arial"/>
          <w:b/>
          <w:lang w:val="en-CA"/>
        </w:rPr>
        <w:t>Xcelsior</w:t>
      </w:r>
      <w:proofErr w:type="spellEnd"/>
      <w:r w:rsidRPr="00C44B3A">
        <w:rPr>
          <w:rFonts w:ascii="Arial" w:hAnsi="Arial" w:cs="Arial"/>
          <w:b/>
          <w:lang w:val="en-CA"/>
        </w:rPr>
        <w:t xml:space="preserve"> CHARGE</w:t>
      </w:r>
    </w:p>
    <w:p w14:paraId="67AA46EB" w14:textId="77777777" w:rsidR="00F9210D" w:rsidRPr="00C44B3A" w:rsidRDefault="00F9210D" w:rsidP="00F9210D">
      <w:pPr>
        <w:pStyle w:val="BodyTextMain"/>
        <w:rPr>
          <w:lang w:val="en-CA"/>
        </w:rPr>
      </w:pPr>
    </w:p>
    <w:p w14:paraId="0A6F8E80" w14:textId="62445CDE" w:rsidR="00BE15C5" w:rsidRPr="00C44B3A" w:rsidRDefault="00BE15C5" w:rsidP="00BE15C5">
      <w:pPr>
        <w:jc w:val="both"/>
        <w:rPr>
          <w:spacing w:val="-2"/>
          <w:kern w:val="22"/>
          <w:sz w:val="22"/>
          <w:szCs w:val="22"/>
          <w:lang w:val="en-CA"/>
        </w:rPr>
      </w:pPr>
      <w:r w:rsidRPr="00C44B3A">
        <w:rPr>
          <w:spacing w:val="-2"/>
          <w:kern w:val="22"/>
          <w:sz w:val="22"/>
          <w:szCs w:val="22"/>
          <w:lang w:val="en-CA"/>
        </w:rPr>
        <w:t xml:space="preserve">The </w:t>
      </w:r>
      <w:proofErr w:type="spellStart"/>
      <w:r w:rsidRPr="00C44B3A">
        <w:rPr>
          <w:spacing w:val="-2"/>
          <w:kern w:val="22"/>
          <w:sz w:val="22"/>
          <w:szCs w:val="22"/>
          <w:lang w:val="en-CA"/>
        </w:rPr>
        <w:t>Xcelsior</w:t>
      </w:r>
      <w:proofErr w:type="spellEnd"/>
      <w:r w:rsidRPr="00C44B3A">
        <w:rPr>
          <w:spacing w:val="-2"/>
          <w:kern w:val="22"/>
          <w:sz w:val="22"/>
          <w:szCs w:val="22"/>
          <w:lang w:val="en-CA"/>
        </w:rPr>
        <w:t xml:space="preserve"> transit bus</w:t>
      </w:r>
      <w:r w:rsidR="006B1025" w:rsidRPr="00C44B3A">
        <w:rPr>
          <w:spacing w:val="-2"/>
          <w:kern w:val="22"/>
          <w:sz w:val="22"/>
          <w:szCs w:val="22"/>
          <w:lang w:val="en-CA"/>
        </w:rPr>
        <w:t xml:space="preserve"> was a customer-centric </w:t>
      </w:r>
      <w:r w:rsidR="002863CD" w:rsidRPr="00C44B3A">
        <w:rPr>
          <w:spacing w:val="-2"/>
          <w:kern w:val="22"/>
          <w:sz w:val="22"/>
          <w:szCs w:val="22"/>
          <w:lang w:val="en-CA"/>
        </w:rPr>
        <w:t>vehicle that</w:t>
      </w:r>
      <w:r w:rsidRPr="00C44B3A">
        <w:rPr>
          <w:spacing w:val="-2"/>
          <w:kern w:val="22"/>
          <w:sz w:val="22"/>
          <w:szCs w:val="22"/>
          <w:lang w:val="en-CA"/>
        </w:rPr>
        <w:t xml:space="preserve"> </w:t>
      </w:r>
      <w:r w:rsidR="006B1025" w:rsidRPr="00C44B3A">
        <w:rPr>
          <w:spacing w:val="-2"/>
          <w:kern w:val="22"/>
          <w:sz w:val="22"/>
          <w:szCs w:val="22"/>
          <w:lang w:val="en-CA"/>
        </w:rPr>
        <w:t xml:space="preserve">also </w:t>
      </w:r>
      <w:r w:rsidR="002863CD" w:rsidRPr="00C44B3A">
        <w:rPr>
          <w:spacing w:val="-2"/>
          <w:kern w:val="22"/>
          <w:sz w:val="22"/>
          <w:szCs w:val="22"/>
          <w:lang w:val="en-CA"/>
        </w:rPr>
        <w:t xml:space="preserve">reduced </w:t>
      </w:r>
      <w:r w:rsidRPr="00C44B3A">
        <w:rPr>
          <w:spacing w:val="-2"/>
          <w:kern w:val="22"/>
          <w:sz w:val="22"/>
          <w:szCs w:val="22"/>
          <w:lang w:val="en-CA"/>
        </w:rPr>
        <w:t>costs for operators. The bus was available with a wide range of propulsion systems</w:t>
      </w:r>
      <w:r w:rsidR="002863CD" w:rsidRPr="00C44B3A">
        <w:rPr>
          <w:spacing w:val="-2"/>
          <w:kern w:val="22"/>
          <w:sz w:val="22"/>
          <w:szCs w:val="22"/>
          <w:lang w:val="en-CA"/>
        </w:rPr>
        <w:t>,</w:t>
      </w:r>
      <w:r w:rsidRPr="00C44B3A">
        <w:rPr>
          <w:spacing w:val="-2"/>
          <w:kern w:val="22"/>
          <w:sz w:val="22"/>
          <w:szCs w:val="22"/>
          <w:lang w:val="en-CA"/>
        </w:rPr>
        <w:t xml:space="preserve"> </w:t>
      </w:r>
      <w:r w:rsidR="00214F06" w:rsidRPr="00C44B3A">
        <w:rPr>
          <w:spacing w:val="-2"/>
          <w:kern w:val="22"/>
          <w:sz w:val="22"/>
          <w:szCs w:val="22"/>
          <w:lang w:val="en-CA"/>
        </w:rPr>
        <w:t>includ</w:t>
      </w:r>
      <w:r w:rsidR="002863CD" w:rsidRPr="00C44B3A">
        <w:rPr>
          <w:spacing w:val="-2"/>
          <w:kern w:val="22"/>
          <w:sz w:val="22"/>
          <w:szCs w:val="22"/>
          <w:lang w:val="en-CA"/>
        </w:rPr>
        <w:t xml:space="preserve">ing </w:t>
      </w:r>
      <w:r w:rsidR="00214F06" w:rsidRPr="00C44B3A">
        <w:rPr>
          <w:spacing w:val="-2"/>
          <w:kern w:val="22"/>
          <w:sz w:val="22"/>
          <w:szCs w:val="22"/>
          <w:lang w:val="en-CA"/>
        </w:rPr>
        <w:t>clean-diesel, CNG</w:t>
      </w:r>
      <w:r w:rsidRPr="00C44B3A">
        <w:rPr>
          <w:spacing w:val="-2"/>
          <w:kern w:val="22"/>
          <w:sz w:val="22"/>
          <w:szCs w:val="22"/>
          <w:lang w:val="en-CA"/>
        </w:rPr>
        <w:t>, diesel</w:t>
      </w:r>
      <w:r w:rsidR="002863CD" w:rsidRPr="00C44B3A">
        <w:rPr>
          <w:spacing w:val="-2"/>
          <w:kern w:val="22"/>
          <w:sz w:val="22"/>
          <w:szCs w:val="22"/>
          <w:lang w:val="en-CA"/>
        </w:rPr>
        <w:t>–</w:t>
      </w:r>
      <w:r w:rsidRPr="00C44B3A">
        <w:rPr>
          <w:spacing w:val="-2"/>
          <w:kern w:val="22"/>
          <w:sz w:val="22"/>
          <w:szCs w:val="22"/>
          <w:lang w:val="en-CA"/>
        </w:rPr>
        <w:t>electric hybrid, electric trolley</w:t>
      </w:r>
      <w:r w:rsidR="002863CD" w:rsidRPr="00C44B3A">
        <w:rPr>
          <w:spacing w:val="-2"/>
          <w:kern w:val="22"/>
          <w:sz w:val="22"/>
          <w:szCs w:val="22"/>
          <w:lang w:val="en-CA"/>
        </w:rPr>
        <w:t>,</w:t>
      </w:r>
      <w:r w:rsidRPr="00C44B3A">
        <w:rPr>
          <w:spacing w:val="-2"/>
          <w:kern w:val="22"/>
          <w:sz w:val="22"/>
          <w:szCs w:val="22"/>
          <w:lang w:val="en-CA"/>
        </w:rPr>
        <w:t xml:space="preserve"> and battery-electric configurations. </w:t>
      </w:r>
      <w:r w:rsidR="002863CD" w:rsidRPr="00C44B3A">
        <w:rPr>
          <w:spacing w:val="-2"/>
          <w:kern w:val="22"/>
          <w:sz w:val="22"/>
          <w:szCs w:val="22"/>
          <w:lang w:val="en-CA"/>
        </w:rPr>
        <w:t>It had a reduced c</w:t>
      </w:r>
      <w:r w:rsidRPr="00C44B3A">
        <w:rPr>
          <w:spacing w:val="-2"/>
          <w:kern w:val="22"/>
          <w:sz w:val="22"/>
          <w:szCs w:val="22"/>
          <w:lang w:val="en-CA"/>
        </w:rPr>
        <w:t xml:space="preserve">urb weight, </w:t>
      </w:r>
      <w:r w:rsidR="002863CD" w:rsidRPr="00C44B3A">
        <w:rPr>
          <w:spacing w:val="-2"/>
          <w:kern w:val="22"/>
          <w:sz w:val="22"/>
          <w:szCs w:val="22"/>
          <w:lang w:val="en-CA"/>
        </w:rPr>
        <w:t xml:space="preserve">which improved </w:t>
      </w:r>
      <w:r w:rsidRPr="00C44B3A">
        <w:rPr>
          <w:spacing w:val="-2"/>
          <w:kern w:val="22"/>
          <w:sz w:val="22"/>
          <w:szCs w:val="22"/>
          <w:lang w:val="en-CA"/>
        </w:rPr>
        <w:t xml:space="preserve">fuel economy while </w:t>
      </w:r>
      <w:r w:rsidR="002863CD" w:rsidRPr="00C44B3A">
        <w:rPr>
          <w:spacing w:val="-2"/>
          <w:kern w:val="22"/>
          <w:sz w:val="22"/>
          <w:szCs w:val="22"/>
          <w:lang w:val="en-CA"/>
        </w:rPr>
        <w:t>maintaining</w:t>
      </w:r>
      <w:r w:rsidRPr="00C44B3A">
        <w:rPr>
          <w:spacing w:val="-2"/>
          <w:kern w:val="22"/>
          <w:sz w:val="22"/>
          <w:szCs w:val="22"/>
          <w:lang w:val="en-CA"/>
        </w:rPr>
        <w:t xml:space="preserve"> safe</w:t>
      </w:r>
      <w:r w:rsidR="002863CD" w:rsidRPr="00C44B3A">
        <w:rPr>
          <w:spacing w:val="-2"/>
          <w:kern w:val="22"/>
          <w:sz w:val="22"/>
          <w:szCs w:val="22"/>
          <w:lang w:val="en-CA"/>
        </w:rPr>
        <w:t>ty</w:t>
      </w:r>
      <w:r w:rsidRPr="00C44B3A">
        <w:rPr>
          <w:spacing w:val="-2"/>
          <w:kern w:val="22"/>
          <w:sz w:val="22"/>
          <w:szCs w:val="22"/>
          <w:lang w:val="en-CA"/>
        </w:rPr>
        <w:t xml:space="preserve"> and </w:t>
      </w:r>
      <w:r w:rsidR="002863CD" w:rsidRPr="00C44B3A">
        <w:rPr>
          <w:spacing w:val="-2"/>
          <w:kern w:val="22"/>
          <w:sz w:val="22"/>
          <w:szCs w:val="22"/>
          <w:lang w:val="en-CA"/>
        </w:rPr>
        <w:t>durability</w:t>
      </w:r>
      <w:r w:rsidRPr="00C44B3A">
        <w:rPr>
          <w:spacing w:val="-2"/>
          <w:kern w:val="22"/>
          <w:sz w:val="22"/>
          <w:szCs w:val="22"/>
          <w:lang w:val="en-CA"/>
        </w:rPr>
        <w:t xml:space="preserve">. </w:t>
      </w:r>
      <w:r w:rsidR="002863CD" w:rsidRPr="00C44B3A">
        <w:rPr>
          <w:spacing w:val="-2"/>
          <w:kern w:val="22"/>
          <w:sz w:val="22"/>
          <w:szCs w:val="22"/>
          <w:lang w:val="en-CA"/>
        </w:rPr>
        <w:t>Its o</w:t>
      </w:r>
      <w:r w:rsidRPr="00C44B3A">
        <w:rPr>
          <w:spacing w:val="-2"/>
          <w:kern w:val="22"/>
          <w:sz w:val="22"/>
          <w:szCs w:val="22"/>
          <w:lang w:val="en-CA"/>
        </w:rPr>
        <w:t>perating costs were further reduced through</w:t>
      </w:r>
      <w:r w:rsidR="00316169" w:rsidRPr="00C44B3A">
        <w:rPr>
          <w:spacing w:val="-2"/>
          <w:kern w:val="22"/>
          <w:sz w:val="22"/>
          <w:szCs w:val="22"/>
          <w:lang w:val="en-CA"/>
        </w:rPr>
        <w:t>;</w:t>
      </w:r>
      <w:r w:rsidRPr="00C44B3A">
        <w:rPr>
          <w:spacing w:val="-2"/>
          <w:kern w:val="22"/>
          <w:sz w:val="22"/>
          <w:szCs w:val="22"/>
          <w:lang w:val="en-CA"/>
        </w:rPr>
        <w:t xml:space="preserve"> long-l</w:t>
      </w:r>
      <w:r w:rsidR="00A20344" w:rsidRPr="00C44B3A">
        <w:rPr>
          <w:spacing w:val="-2"/>
          <w:kern w:val="22"/>
          <w:sz w:val="22"/>
          <w:szCs w:val="22"/>
          <w:lang w:val="en-CA"/>
        </w:rPr>
        <w:t>asting</w:t>
      </w:r>
      <w:r w:rsidR="002863CD" w:rsidRPr="00C44B3A">
        <w:rPr>
          <w:spacing w:val="-2"/>
          <w:kern w:val="22"/>
          <w:sz w:val="22"/>
          <w:szCs w:val="22"/>
          <w:lang w:val="en-CA"/>
        </w:rPr>
        <w:t>,</w:t>
      </w:r>
      <w:r w:rsidR="00A20344" w:rsidRPr="00C44B3A">
        <w:rPr>
          <w:spacing w:val="-2"/>
          <w:kern w:val="22"/>
          <w:sz w:val="22"/>
          <w:szCs w:val="22"/>
          <w:lang w:val="en-CA"/>
        </w:rPr>
        <w:t xml:space="preserve"> light-emitting diode</w:t>
      </w:r>
      <w:r w:rsidR="002863CD" w:rsidRPr="00C44B3A">
        <w:rPr>
          <w:spacing w:val="-2"/>
          <w:kern w:val="22"/>
          <w:sz w:val="22"/>
          <w:szCs w:val="22"/>
          <w:lang w:val="en-CA"/>
        </w:rPr>
        <w:t xml:space="preserve"> (LED)</w:t>
      </w:r>
      <w:r w:rsidRPr="00C44B3A">
        <w:rPr>
          <w:spacing w:val="-2"/>
          <w:kern w:val="22"/>
          <w:sz w:val="22"/>
          <w:szCs w:val="22"/>
          <w:lang w:val="en-CA"/>
        </w:rPr>
        <w:t xml:space="preserve"> headlights</w:t>
      </w:r>
      <w:r w:rsidR="00A11F7F" w:rsidRPr="00C44B3A">
        <w:rPr>
          <w:spacing w:val="-2"/>
          <w:kern w:val="22"/>
          <w:sz w:val="22"/>
          <w:szCs w:val="22"/>
          <w:lang w:val="en-CA"/>
        </w:rPr>
        <w:t>;</w:t>
      </w:r>
      <w:r w:rsidRPr="00C44B3A">
        <w:rPr>
          <w:spacing w:val="-2"/>
          <w:kern w:val="22"/>
          <w:sz w:val="22"/>
          <w:szCs w:val="22"/>
          <w:lang w:val="en-CA"/>
        </w:rPr>
        <w:t xml:space="preserve"> low-maintenance brakes</w:t>
      </w:r>
      <w:r w:rsidR="00A11F7F" w:rsidRPr="00C44B3A">
        <w:rPr>
          <w:spacing w:val="-2"/>
          <w:kern w:val="22"/>
          <w:sz w:val="22"/>
          <w:szCs w:val="22"/>
          <w:lang w:val="en-CA"/>
        </w:rPr>
        <w:t>;</w:t>
      </w:r>
      <w:r w:rsidRPr="00C44B3A">
        <w:rPr>
          <w:spacing w:val="-2"/>
          <w:kern w:val="22"/>
          <w:sz w:val="22"/>
          <w:szCs w:val="22"/>
          <w:lang w:val="en-CA"/>
        </w:rPr>
        <w:t xml:space="preserve"> easy engine access</w:t>
      </w:r>
      <w:r w:rsidR="00A11F7F" w:rsidRPr="00C44B3A">
        <w:rPr>
          <w:spacing w:val="-2"/>
          <w:kern w:val="22"/>
          <w:sz w:val="22"/>
          <w:szCs w:val="22"/>
          <w:lang w:val="en-CA"/>
        </w:rPr>
        <w:t>;</w:t>
      </w:r>
      <w:r w:rsidRPr="00C44B3A">
        <w:rPr>
          <w:spacing w:val="-2"/>
          <w:kern w:val="22"/>
          <w:sz w:val="22"/>
          <w:szCs w:val="22"/>
          <w:lang w:val="en-CA"/>
        </w:rPr>
        <w:t xml:space="preserve"> and a focus on driver comfort and safety. Passengers benefited from the lowest entrance step-in height of any transit bus as well </w:t>
      </w:r>
      <w:r w:rsidR="002863CD" w:rsidRPr="00C44B3A">
        <w:rPr>
          <w:spacing w:val="-2"/>
          <w:kern w:val="22"/>
          <w:sz w:val="22"/>
          <w:szCs w:val="22"/>
          <w:lang w:val="en-CA"/>
        </w:rPr>
        <w:t>a</w:t>
      </w:r>
      <w:r w:rsidR="00A11F7F" w:rsidRPr="00C44B3A">
        <w:rPr>
          <w:spacing w:val="-2"/>
          <w:kern w:val="22"/>
          <w:sz w:val="22"/>
          <w:szCs w:val="22"/>
          <w:lang w:val="en-CA"/>
        </w:rPr>
        <w:t>s</w:t>
      </w:r>
      <w:r w:rsidR="002863CD" w:rsidRPr="00C44B3A">
        <w:rPr>
          <w:spacing w:val="-2"/>
          <w:kern w:val="22"/>
          <w:sz w:val="22"/>
          <w:szCs w:val="22"/>
          <w:lang w:val="en-CA"/>
        </w:rPr>
        <w:t xml:space="preserve"> </w:t>
      </w:r>
      <w:r w:rsidRPr="00C44B3A">
        <w:rPr>
          <w:spacing w:val="-2"/>
          <w:kern w:val="22"/>
          <w:sz w:val="22"/>
          <w:szCs w:val="22"/>
          <w:lang w:val="en-CA"/>
        </w:rPr>
        <w:t>improved ride quality, passenger room, visibility</w:t>
      </w:r>
      <w:r w:rsidR="002863CD" w:rsidRPr="00C44B3A">
        <w:rPr>
          <w:spacing w:val="-2"/>
          <w:kern w:val="22"/>
          <w:sz w:val="22"/>
          <w:szCs w:val="22"/>
          <w:lang w:val="en-CA"/>
        </w:rPr>
        <w:t>,</w:t>
      </w:r>
      <w:r w:rsidRPr="00C44B3A">
        <w:rPr>
          <w:spacing w:val="-2"/>
          <w:kern w:val="22"/>
          <w:sz w:val="22"/>
          <w:szCs w:val="22"/>
          <w:lang w:val="en-CA"/>
        </w:rPr>
        <w:t xml:space="preserve"> and noise reduction.</w:t>
      </w:r>
      <w:r w:rsidRPr="00C44B3A">
        <w:rPr>
          <w:b/>
          <w:spacing w:val="-2"/>
          <w:kern w:val="22"/>
          <w:sz w:val="22"/>
          <w:lang w:val="en-CA"/>
        </w:rPr>
        <w:t xml:space="preserve"> </w:t>
      </w:r>
      <w:r w:rsidRPr="00C44B3A">
        <w:rPr>
          <w:spacing w:val="-2"/>
          <w:kern w:val="22"/>
          <w:sz w:val="22"/>
          <w:szCs w:val="22"/>
          <w:lang w:val="en-CA"/>
        </w:rPr>
        <w:t xml:space="preserve">As with all </w:t>
      </w:r>
      <w:r w:rsidR="002863CD" w:rsidRPr="00C44B3A">
        <w:rPr>
          <w:spacing w:val="-2"/>
          <w:kern w:val="22"/>
          <w:sz w:val="22"/>
          <w:szCs w:val="22"/>
          <w:lang w:val="en-CA"/>
        </w:rPr>
        <w:t>NFI</w:t>
      </w:r>
      <w:r w:rsidRPr="00C44B3A">
        <w:rPr>
          <w:spacing w:val="-2"/>
          <w:kern w:val="22"/>
          <w:sz w:val="22"/>
          <w:szCs w:val="22"/>
          <w:lang w:val="en-CA"/>
        </w:rPr>
        <w:t xml:space="preserve"> and MCI products, the buses could be customized and configured to meet a wide range of customer specifications.</w:t>
      </w:r>
      <w:r w:rsidRPr="00C44B3A">
        <w:rPr>
          <w:spacing w:val="-2"/>
          <w:kern w:val="22"/>
          <w:sz w:val="22"/>
          <w:szCs w:val="22"/>
          <w:vertAlign w:val="superscript"/>
          <w:lang w:val="en-CA"/>
        </w:rPr>
        <w:endnoteReference w:id="14"/>
      </w:r>
    </w:p>
    <w:p w14:paraId="74BA71E7" w14:textId="77777777" w:rsidR="00BE15C5" w:rsidRPr="00C44B3A" w:rsidRDefault="00BE15C5" w:rsidP="00BE15C5">
      <w:pPr>
        <w:jc w:val="both"/>
        <w:rPr>
          <w:sz w:val="22"/>
          <w:szCs w:val="22"/>
          <w:lang w:val="en-CA"/>
        </w:rPr>
      </w:pPr>
    </w:p>
    <w:p w14:paraId="25F8AFA7" w14:textId="77777777" w:rsidR="00A11F7F" w:rsidRPr="00C44B3A" w:rsidRDefault="00A11F7F" w:rsidP="00BE15C5">
      <w:pPr>
        <w:jc w:val="both"/>
        <w:rPr>
          <w:sz w:val="22"/>
          <w:szCs w:val="22"/>
          <w:lang w:val="en-CA"/>
        </w:rPr>
      </w:pPr>
    </w:p>
    <w:p w14:paraId="2FB0ADF8" w14:textId="77777777" w:rsidR="00BE15C5" w:rsidRPr="00C44B3A" w:rsidRDefault="00BE15C5" w:rsidP="009519E1">
      <w:pPr>
        <w:jc w:val="both"/>
        <w:rPr>
          <w:rFonts w:ascii="Arial" w:hAnsi="Arial" w:cs="Arial"/>
          <w:b/>
          <w:lang w:val="en-CA"/>
        </w:rPr>
      </w:pPr>
      <w:r w:rsidRPr="00C44B3A">
        <w:rPr>
          <w:rFonts w:ascii="Arial" w:hAnsi="Arial" w:cs="Arial"/>
          <w:b/>
          <w:lang w:val="en-CA"/>
        </w:rPr>
        <w:t xml:space="preserve">New Flyer </w:t>
      </w:r>
      <w:proofErr w:type="spellStart"/>
      <w:r w:rsidRPr="00C44B3A">
        <w:rPr>
          <w:rFonts w:ascii="Arial" w:hAnsi="Arial" w:cs="Arial"/>
          <w:b/>
          <w:lang w:val="en-CA"/>
        </w:rPr>
        <w:t>MiDi</w:t>
      </w:r>
      <w:proofErr w:type="spellEnd"/>
    </w:p>
    <w:p w14:paraId="280ED119" w14:textId="77777777" w:rsidR="00F9210D" w:rsidRPr="00C44B3A" w:rsidRDefault="00F9210D" w:rsidP="009519E1">
      <w:pPr>
        <w:pStyle w:val="BodyTextMain"/>
        <w:rPr>
          <w:lang w:val="en-CA"/>
        </w:rPr>
      </w:pPr>
    </w:p>
    <w:p w14:paraId="5B7862EE" w14:textId="53E85508" w:rsidR="00BE15C5" w:rsidRPr="00C44B3A" w:rsidRDefault="00BE15C5" w:rsidP="009519E1">
      <w:pPr>
        <w:jc w:val="both"/>
        <w:rPr>
          <w:sz w:val="22"/>
          <w:szCs w:val="22"/>
          <w:lang w:val="en-CA"/>
        </w:rPr>
      </w:pPr>
      <w:r w:rsidRPr="00C44B3A">
        <w:rPr>
          <w:sz w:val="22"/>
          <w:szCs w:val="22"/>
          <w:lang w:val="en-CA"/>
        </w:rPr>
        <w:t xml:space="preserve">The New Flyer </w:t>
      </w:r>
      <w:proofErr w:type="spellStart"/>
      <w:r w:rsidRPr="00C44B3A">
        <w:rPr>
          <w:sz w:val="22"/>
          <w:szCs w:val="22"/>
          <w:lang w:val="en-CA"/>
        </w:rPr>
        <w:t>MiDi</w:t>
      </w:r>
      <w:proofErr w:type="spellEnd"/>
      <w:r w:rsidRPr="00C44B3A">
        <w:rPr>
          <w:sz w:val="22"/>
          <w:szCs w:val="22"/>
          <w:lang w:val="en-CA"/>
        </w:rPr>
        <w:t xml:space="preserve"> was </w:t>
      </w:r>
      <w:r w:rsidR="002863CD" w:rsidRPr="00C44B3A">
        <w:rPr>
          <w:sz w:val="22"/>
          <w:szCs w:val="22"/>
          <w:lang w:val="en-CA"/>
        </w:rPr>
        <w:t xml:space="preserve">a </w:t>
      </w:r>
      <w:r w:rsidRPr="00C44B3A">
        <w:rPr>
          <w:sz w:val="22"/>
          <w:szCs w:val="22"/>
          <w:lang w:val="en-CA"/>
        </w:rPr>
        <w:t xml:space="preserve">medium-sized, </w:t>
      </w:r>
      <w:r w:rsidR="002863CD" w:rsidRPr="00C44B3A">
        <w:rPr>
          <w:sz w:val="22"/>
          <w:szCs w:val="22"/>
          <w:lang w:val="en-CA"/>
        </w:rPr>
        <w:t>low-</w:t>
      </w:r>
      <w:r w:rsidRPr="00C44B3A">
        <w:rPr>
          <w:sz w:val="22"/>
          <w:szCs w:val="22"/>
          <w:lang w:val="en-CA"/>
        </w:rPr>
        <w:t>fl</w:t>
      </w:r>
      <w:r w:rsidR="00A20344" w:rsidRPr="00C44B3A">
        <w:rPr>
          <w:sz w:val="22"/>
          <w:szCs w:val="22"/>
          <w:lang w:val="en-CA"/>
        </w:rPr>
        <w:t xml:space="preserve">oor transit bus available in </w:t>
      </w:r>
      <w:r w:rsidR="002863CD" w:rsidRPr="00C44B3A">
        <w:rPr>
          <w:sz w:val="22"/>
          <w:szCs w:val="22"/>
          <w:lang w:val="en-CA"/>
        </w:rPr>
        <w:t>30-</w:t>
      </w:r>
      <w:r w:rsidR="00A20344" w:rsidRPr="00C44B3A">
        <w:rPr>
          <w:sz w:val="22"/>
          <w:szCs w:val="22"/>
          <w:lang w:val="en-CA"/>
        </w:rPr>
        <w:t>foot</w:t>
      </w:r>
      <w:r w:rsidRPr="00C44B3A">
        <w:rPr>
          <w:sz w:val="22"/>
          <w:szCs w:val="22"/>
          <w:lang w:val="en-CA"/>
        </w:rPr>
        <w:t xml:space="preserve"> </w:t>
      </w:r>
      <w:r w:rsidR="00A20344" w:rsidRPr="00C44B3A">
        <w:rPr>
          <w:sz w:val="22"/>
          <w:szCs w:val="22"/>
          <w:lang w:val="en-CA"/>
        </w:rPr>
        <w:t>and 35</w:t>
      </w:r>
      <w:r w:rsidR="002863CD" w:rsidRPr="00C44B3A">
        <w:rPr>
          <w:sz w:val="22"/>
          <w:szCs w:val="22"/>
          <w:lang w:val="en-CA"/>
        </w:rPr>
        <w:t xml:space="preserve">-foot </w:t>
      </w:r>
      <w:r w:rsidRPr="00C44B3A">
        <w:rPr>
          <w:sz w:val="22"/>
          <w:szCs w:val="22"/>
          <w:lang w:val="en-CA"/>
        </w:rPr>
        <w:t>sizes. It was designed for accessibility and durability</w:t>
      </w:r>
      <w:r w:rsidR="002863CD" w:rsidRPr="00C44B3A">
        <w:rPr>
          <w:sz w:val="22"/>
          <w:szCs w:val="22"/>
          <w:lang w:val="en-CA"/>
        </w:rPr>
        <w:t>, with a</w:t>
      </w:r>
      <w:r w:rsidRPr="00C44B3A">
        <w:rPr>
          <w:sz w:val="22"/>
          <w:szCs w:val="22"/>
          <w:lang w:val="en-CA"/>
        </w:rPr>
        <w:t xml:space="preserve"> steel body and aluminum structure. </w:t>
      </w:r>
      <w:r w:rsidR="007D4606" w:rsidRPr="00C44B3A">
        <w:rPr>
          <w:sz w:val="22"/>
          <w:szCs w:val="22"/>
          <w:lang w:val="en-CA"/>
        </w:rPr>
        <w:t xml:space="preserve">Designed by Alexander Dennis Limited, the </w:t>
      </w:r>
      <w:r w:rsidR="00A11F7F" w:rsidRPr="00C44B3A">
        <w:rPr>
          <w:sz w:val="22"/>
          <w:szCs w:val="22"/>
          <w:lang w:val="en-CA"/>
        </w:rPr>
        <w:t xml:space="preserve">New Flyer </w:t>
      </w:r>
      <w:proofErr w:type="spellStart"/>
      <w:r w:rsidR="007D4606" w:rsidRPr="00C44B3A">
        <w:rPr>
          <w:sz w:val="22"/>
          <w:szCs w:val="22"/>
          <w:lang w:val="en-CA"/>
        </w:rPr>
        <w:t>MiDi’s</w:t>
      </w:r>
      <w:proofErr w:type="spellEnd"/>
      <w:r w:rsidR="007D4606" w:rsidRPr="00C44B3A">
        <w:rPr>
          <w:sz w:val="22"/>
          <w:szCs w:val="22"/>
          <w:lang w:val="en-CA"/>
        </w:rPr>
        <w:t xml:space="preserve"> </w:t>
      </w:r>
      <w:r w:rsidRPr="00C44B3A">
        <w:rPr>
          <w:sz w:val="22"/>
          <w:szCs w:val="22"/>
          <w:lang w:val="en-CA"/>
        </w:rPr>
        <w:t xml:space="preserve">focus </w:t>
      </w:r>
      <w:r w:rsidR="002863CD" w:rsidRPr="00C44B3A">
        <w:rPr>
          <w:sz w:val="22"/>
          <w:szCs w:val="22"/>
          <w:lang w:val="en-CA"/>
        </w:rPr>
        <w:t xml:space="preserve">was </w:t>
      </w:r>
      <w:r w:rsidRPr="00C44B3A">
        <w:rPr>
          <w:sz w:val="22"/>
          <w:szCs w:val="22"/>
          <w:lang w:val="en-CA"/>
        </w:rPr>
        <w:t xml:space="preserve">on functional styling and </w:t>
      </w:r>
      <w:r w:rsidR="004C52AA" w:rsidRPr="00C44B3A">
        <w:rPr>
          <w:sz w:val="22"/>
          <w:szCs w:val="22"/>
          <w:lang w:val="en-CA"/>
        </w:rPr>
        <w:t>manoeuvrability</w:t>
      </w:r>
      <w:r w:rsidR="00A11F7F" w:rsidRPr="00C44B3A">
        <w:rPr>
          <w:sz w:val="22"/>
          <w:szCs w:val="22"/>
          <w:lang w:val="en-CA"/>
        </w:rPr>
        <w:t>,</w:t>
      </w:r>
      <w:r w:rsidRPr="00C44B3A">
        <w:rPr>
          <w:sz w:val="22"/>
          <w:szCs w:val="22"/>
          <w:lang w:val="en-CA"/>
        </w:rPr>
        <w:t xml:space="preserve"> as </w:t>
      </w:r>
      <w:r w:rsidRPr="00C44B3A">
        <w:rPr>
          <w:sz w:val="22"/>
          <w:szCs w:val="22"/>
          <w:lang w:val="en-CA"/>
        </w:rPr>
        <w:lastRenderedPageBreak/>
        <w:t>well as driver and passenger comfort.</w:t>
      </w:r>
      <w:r w:rsidR="009519E1" w:rsidRPr="00C44B3A">
        <w:rPr>
          <w:sz w:val="22"/>
          <w:szCs w:val="22"/>
          <w:vertAlign w:val="superscript"/>
          <w:lang w:val="en-CA"/>
        </w:rPr>
        <w:endnoteReference w:id="15"/>
      </w:r>
      <w:r w:rsidRPr="00C44B3A">
        <w:rPr>
          <w:sz w:val="22"/>
          <w:szCs w:val="22"/>
          <w:lang w:val="en-CA"/>
        </w:rPr>
        <w:t xml:space="preserve"> It was produced and sold in North America by NFI through a joint operation agreement.</w:t>
      </w:r>
      <w:r w:rsidR="005803B6" w:rsidRPr="00C44B3A">
        <w:rPr>
          <w:rStyle w:val="EndnoteReference"/>
          <w:sz w:val="22"/>
          <w:szCs w:val="22"/>
          <w:lang w:val="en-CA"/>
        </w:rPr>
        <w:endnoteReference w:id="16"/>
      </w:r>
    </w:p>
    <w:p w14:paraId="739443C9" w14:textId="77777777" w:rsidR="00A11F7F" w:rsidRPr="00C44B3A" w:rsidRDefault="00A11F7F" w:rsidP="009519E1">
      <w:pPr>
        <w:jc w:val="both"/>
        <w:rPr>
          <w:spacing w:val="-2"/>
          <w:kern w:val="22"/>
          <w:sz w:val="22"/>
          <w:szCs w:val="22"/>
          <w:lang w:val="en-CA"/>
        </w:rPr>
      </w:pPr>
    </w:p>
    <w:p w14:paraId="5E22468F" w14:textId="77777777" w:rsidR="00A11F7F" w:rsidRPr="00C44B3A" w:rsidRDefault="00A11F7F" w:rsidP="009519E1">
      <w:pPr>
        <w:jc w:val="both"/>
        <w:rPr>
          <w:spacing w:val="-2"/>
          <w:kern w:val="22"/>
          <w:sz w:val="22"/>
          <w:szCs w:val="22"/>
          <w:lang w:val="en-CA"/>
        </w:rPr>
      </w:pPr>
    </w:p>
    <w:p w14:paraId="3575EA85" w14:textId="77777777" w:rsidR="00BE15C5" w:rsidRPr="00C44B3A" w:rsidRDefault="00BE15C5" w:rsidP="00BE15C5">
      <w:pPr>
        <w:jc w:val="both"/>
        <w:rPr>
          <w:rFonts w:ascii="Arial" w:hAnsi="Arial" w:cs="Arial"/>
          <w:b/>
          <w:lang w:val="en-CA"/>
        </w:rPr>
      </w:pPr>
      <w:r w:rsidRPr="00C44B3A">
        <w:rPr>
          <w:rFonts w:ascii="Arial" w:hAnsi="Arial" w:cs="Arial"/>
          <w:b/>
          <w:lang w:val="en-CA"/>
        </w:rPr>
        <w:t>MCI D-Model and J-Model</w:t>
      </w:r>
    </w:p>
    <w:p w14:paraId="07B2B721" w14:textId="77777777" w:rsidR="00F9210D" w:rsidRPr="00C44B3A" w:rsidRDefault="00F9210D" w:rsidP="00F9210D">
      <w:pPr>
        <w:pStyle w:val="BodyTextMain"/>
        <w:rPr>
          <w:lang w:val="en-CA"/>
        </w:rPr>
      </w:pPr>
    </w:p>
    <w:p w14:paraId="6E28130D" w14:textId="32A9F8A5" w:rsidR="00BE15C5" w:rsidRPr="00C44B3A" w:rsidRDefault="004C52AA" w:rsidP="00BE15C5">
      <w:pPr>
        <w:jc w:val="both"/>
        <w:rPr>
          <w:spacing w:val="-4"/>
          <w:kern w:val="22"/>
          <w:sz w:val="22"/>
          <w:lang w:val="en-CA"/>
        </w:rPr>
      </w:pPr>
      <w:r w:rsidRPr="00C44B3A">
        <w:rPr>
          <w:spacing w:val="-4"/>
          <w:kern w:val="22"/>
          <w:sz w:val="22"/>
          <w:lang w:val="en-CA"/>
        </w:rPr>
        <w:t>NFI</w:t>
      </w:r>
      <w:r w:rsidR="00BE15C5" w:rsidRPr="00C44B3A">
        <w:rPr>
          <w:spacing w:val="-4"/>
          <w:kern w:val="22"/>
          <w:sz w:val="22"/>
          <w:lang w:val="en-CA"/>
        </w:rPr>
        <w:t xml:space="preserve">’s acquisition of MCI in 2015 </w:t>
      </w:r>
      <w:r w:rsidR="007D4606" w:rsidRPr="00C44B3A">
        <w:rPr>
          <w:spacing w:val="-4"/>
          <w:kern w:val="22"/>
          <w:sz w:val="22"/>
          <w:lang w:val="en-CA"/>
        </w:rPr>
        <w:t>enabled it</w:t>
      </w:r>
      <w:r w:rsidR="00BE15C5" w:rsidRPr="00C44B3A">
        <w:rPr>
          <w:spacing w:val="-4"/>
          <w:kern w:val="22"/>
          <w:sz w:val="22"/>
          <w:lang w:val="en-CA"/>
        </w:rPr>
        <w:t xml:space="preserve"> to enter the </w:t>
      </w:r>
      <w:r w:rsidR="007D4606" w:rsidRPr="00C44B3A">
        <w:rPr>
          <w:spacing w:val="-4"/>
          <w:kern w:val="22"/>
          <w:sz w:val="22"/>
          <w:lang w:val="en-CA"/>
        </w:rPr>
        <w:t>long-</w:t>
      </w:r>
      <w:r w:rsidR="00BE15C5" w:rsidRPr="00C44B3A">
        <w:rPr>
          <w:spacing w:val="-4"/>
          <w:kern w:val="22"/>
          <w:sz w:val="22"/>
          <w:lang w:val="en-CA"/>
        </w:rPr>
        <w:t>haul motor</w:t>
      </w:r>
      <w:r w:rsidR="00353676" w:rsidRPr="00C44B3A">
        <w:rPr>
          <w:spacing w:val="-4"/>
          <w:kern w:val="22"/>
          <w:sz w:val="22"/>
          <w:lang w:val="en-CA"/>
        </w:rPr>
        <w:t xml:space="preserve"> </w:t>
      </w:r>
      <w:r w:rsidR="00BE15C5" w:rsidRPr="00C44B3A">
        <w:rPr>
          <w:spacing w:val="-4"/>
          <w:kern w:val="22"/>
          <w:sz w:val="22"/>
          <w:lang w:val="en-CA"/>
        </w:rPr>
        <w:t>coach industry.</w:t>
      </w:r>
      <w:r w:rsidR="00214F06" w:rsidRPr="00C44B3A">
        <w:rPr>
          <w:spacing w:val="-4"/>
          <w:kern w:val="22"/>
          <w:sz w:val="22"/>
          <w:vertAlign w:val="superscript"/>
          <w:lang w:val="en-CA"/>
        </w:rPr>
        <w:endnoteReference w:id="17"/>
      </w:r>
      <w:r w:rsidR="00BE15C5" w:rsidRPr="00C44B3A">
        <w:rPr>
          <w:spacing w:val="-4"/>
          <w:kern w:val="22"/>
          <w:sz w:val="22"/>
          <w:lang w:val="en-CA"/>
        </w:rPr>
        <w:t xml:space="preserve"> </w:t>
      </w:r>
      <w:r w:rsidR="007D4606" w:rsidRPr="00C44B3A">
        <w:rPr>
          <w:spacing w:val="-4"/>
          <w:kern w:val="22"/>
          <w:sz w:val="22"/>
          <w:lang w:val="en-CA"/>
        </w:rPr>
        <w:t xml:space="preserve">MCI’s </w:t>
      </w:r>
      <w:r w:rsidR="00BE15C5" w:rsidRPr="00C44B3A">
        <w:rPr>
          <w:spacing w:val="-4"/>
          <w:kern w:val="22"/>
          <w:sz w:val="22"/>
          <w:lang w:val="en-CA"/>
        </w:rPr>
        <w:t>coaches were offered in various sizes</w:t>
      </w:r>
      <w:r w:rsidR="007D4606" w:rsidRPr="00C44B3A">
        <w:rPr>
          <w:spacing w:val="-4"/>
          <w:kern w:val="22"/>
          <w:sz w:val="22"/>
          <w:lang w:val="en-CA"/>
        </w:rPr>
        <w:t>,</w:t>
      </w:r>
      <w:r w:rsidR="00BE15C5" w:rsidRPr="00C44B3A">
        <w:rPr>
          <w:spacing w:val="-4"/>
          <w:kern w:val="22"/>
          <w:sz w:val="22"/>
          <w:lang w:val="en-CA"/>
        </w:rPr>
        <w:t xml:space="preserve"> from 35</w:t>
      </w:r>
      <w:r w:rsidR="00BF4021" w:rsidRPr="00C44B3A">
        <w:rPr>
          <w:spacing w:val="-4"/>
          <w:kern w:val="22"/>
          <w:sz w:val="22"/>
          <w:lang w:val="en-CA"/>
        </w:rPr>
        <w:t xml:space="preserve"> to </w:t>
      </w:r>
      <w:r w:rsidR="00BE15C5" w:rsidRPr="00C44B3A">
        <w:rPr>
          <w:spacing w:val="-4"/>
          <w:kern w:val="22"/>
          <w:sz w:val="22"/>
          <w:lang w:val="en-CA"/>
        </w:rPr>
        <w:t>45 feet</w:t>
      </w:r>
      <w:r w:rsidR="007D4606" w:rsidRPr="00C44B3A">
        <w:rPr>
          <w:spacing w:val="-4"/>
          <w:kern w:val="22"/>
          <w:sz w:val="22"/>
          <w:lang w:val="en-CA"/>
        </w:rPr>
        <w:t>,</w:t>
      </w:r>
      <w:r w:rsidR="00BE15C5" w:rsidRPr="00C44B3A">
        <w:rPr>
          <w:spacing w:val="-4"/>
          <w:kern w:val="22"/>
          <w:sz w:val="22"/>
          <w:lang w:val="en-CA"/>
        </w:rPr>
        <w:t xml:space="preserve"> with propulsion systems that include</w:t>
      </w:r>
      <w:r w:rsidR="007D4606" w:rsidRPr="00C44B3A">
        <w:rPr>
          <w:spacing w:val="-4"/>
          <w:kern w:val="22"/>
          <w:sz w:val="22"/>
          <w:lang w:val="en-CA"/>
        </w:rPr>
        <w:t>d</w:t>
      </w:r>
      <w:r w:rsidR="00BE15C5" w:rsidRPr="00C44B3A">
        <w:rPr>
          <w:spacing w:val="-4"/>
          <w:kern w:val="22"/>
          <w:sz w:val="22"/>
          <w:lang w:val="en-CA"/>
        </w:rPr>
        <w:t xml:space="preserve"> clean-</w:t>
      </w:r>
      <w:r w:rsidR="00214F06" w:rsidRPr="00C44B3A">
        <w:rPr>
          <w:spacing w:val="-4"/>
          <w:kern w:val="22"/>
          <w:sz w:val="22"/>
          <w:lang w:val="en-CA"/>
        </w:rPr>
        <w:t>diesel, CNG</w:t>
      </w:r>
      <w:r w:rsidR="007D4606" w:rsidRPr="00C44B3A">
        <w:rPr>
          <w:spacing w:val="-4"/>
          <w:kern w:val="22"/>
          <w:sz w:val="22"/>
          <w:lang w:val="en-CA"/>
        </w:rPr>
        <w:t>,</w:t>
      </w:r>
      <w:r w:rsidR="00BE15C5" w:rsidRPr="00C44B3A">
        <w:rPr>
          <w:spacing w:val="-4"/>
          <w:kern w:val="22"/>
          <w:sz w:val="22"/>
          <w:lang w:val="en-CA"/>
        </w:rPr>
        <w:t xml:space="preserve"> and diesel</w:t>
      </w:r>
      <w:r w:rsidR="007D4606" w:rsidRPr="00C44B3A">
        <w:rPr>
          <w:spacing w:val="-4"/>
          <w:kern w:val="22"/>
          <w:sz w:val="22"/>
          <w:lang w:val="en-CA"/>
        </w:rPr>
        <w:t>–</w:t>
      </w:r>
      <w:r w:rsidR="00BE15C5" w:rsidRPr="00C44B3A">
        <w:rPr>
          <w:spacing w:val="-4"/>
          <w:kern w:val="22"/>
          <w:sz w:val="22"/>
          <w:lang w:val="en-CA"/>
        </w:rPr>
        <w:t>electric hybrid. Motor</w:t>
      </w:r>
      <w:r w:rsidR="00353676" w:rsidRPr="00C44B3A">
        <w:rPr>
          <w:spacing w:val="-4"/>
          <w:kern w:val="22"/>
          <w:sz w:val="22"/>
          <w:lang w:val="en-CA"/>
        </w:rPr>
        <w:t xml:space="preserve"> </w:t>
      </w:r>
      <w:r w:rsidR="00BE15C5" w:rsidRPr="00C44B3A">
        <w:rPr>
          <w:spacing w:val="-4"/>
          <w:kern w:val="22"/>
          <w:sz w:val="22"/>
          <w:lang w:val="en-CA"/>
        </w:rPr>
        <w:t>coaches tended to be more standardized than transit buses but could be customized to meet operator needs.</w:t>
      </w:r>
      <w:r w:rsidR="00214F06" w:rsidRPr="00C44B3A">
        <w:rPr>
          <w:spacing w:val="-4"/>
          <w:kern w:val="22"/>
          <w:sz w:val="22"/>
          <w:vertAlign w:val="superscript"/>
          <w:lang w:val="en-CA"/>
        </w:rPr>
        <w:endnoteReference w:id="18"/>
      </w:r>
      <w:r w:rsidR="00BE15C5" w:rsidRPr="00C44B3A">
        <w:rPr>
          <w:spacing w:val="-4"/>
          <w:kern w:val="22"/>
          <w:sz w:val="22"/>
          <w:lang w:val="en-CA"/>
        </w:rPr>
        <w:t xml:space="preserve"> MCI coaches ranged from </w:t>
      </w:r>
      <w:r w:rsidR="00BF4021" w:rsidRPr="00C44B3A">
        <w:rPr>
          <w:spacing w:val="-4"/>
          <w:kern w:val="22"/>
          <w:sz w:val="22"/>
          <w:lang w:val="en-CA"/>
        </w:rPr>
        <w:t>entry-</w:t>
      </w:r>
      <w:r w:rsidR="00BE15C5" w:rsidRPr="00C44B3A">
        <w:rPr>
          <w:spacing w:val="-4"/>
          <w:kern w:val="22"/>
          <w:sz w:val="22"/>
          <w:lang w:val="en-CA"/>
        </w:rPr>
        <w:t xml:space="preserve">level models to those with </w:t>
      </w:r>
      <w:r w:rsidR="007D4606" w:rsidRPr="00C44B3A">
        <w:rPr>
          <w:spacing w:val="-4"/>
          <w:kern w:val="22"/>
          <w:sz w:val="22"/>
          <w:lang w:val="en-CA"/>
        </w:rPr>
        <w:t>top-</w:t>
      </w:r>
      <w:r w:rsidR="00BE15C5" w:rsidRPr="00C44B3A">
        <w:rPr>
          <w:spacing w:val="-4"/>
          <w:kern w:val="22"/>
          <w:sz w:val="22"/>
          <w:lang w:val="en-CA"/>
        </w:rPr>
        <w:t>tier amenities. The D series was the all-time best selling coach in the United States. MCI also offered pre-owned coaches</w:t>
      </w:r>
      <w:r w:rsidR="007D4606" w:rsidRPr="00C44B3A">
        <w:rPr>
          <w:spacing w:val="-4"/>
          <w:kern w:val="22"/>
          <w:sz w:val="22"/>
          <w:lang w:val="en-CA"/>
        </w:rPr>
        <w:t>,</w:t>
      </w:r>
      <w:r w:rsidR="00BE15C5" w:rsidRPr="00C44B3A">
        <w:rPr>
          <w:spacing w:val="-4"/>
          <w:kern w:val="22"/>
          <w:sz w:val="22"/>
          <w:lang w:val="en-CA"/>
        </w:rPr>
        <w:t xml:space="preserve"> </w:t>
      </w:r>
      <w:r w:rsidR="007D4606" w:rsidRPr="00C44B3A">
        <w:rPr>
          <w:spacing w:val="-4"/>
          <w:kern w:val="22"/>
          <w:sz w:val="22"/>
          <w:lang w:val="en-CA"/>
        </w:rPr>
        <w:t xml:space="preserve">which </w:t>
      </w:r>
      <w:r w:rsidR="00BE15C5" w:rsidRPr="00C44B3A">
        <w:rPr>
          <w:spacing w:val="-4"/>
          <w:kern w:val="22"/>
          <w:sz w:val="22"/>
          <w:lang w:val="en-CA"/>
        </w:rPr>
        <w:t xml:space="preserve">could be refurbished to </w:t>
      </w:r>
      <w:r w:rsidR="007D4606" w:rsidRPr="00C44B3A">
        <w:rPr>
          <w:spacing w:val="-4"/>
          <w:kern w:val="22"/>
          <w:sz w:val="22"/>
          <w:lang w:val="en-CA"/>
        </w:rPr>
        <w:t>near-</w:t>
      </w:r>
      <w:r w:rsidR="00BE15C5" w:rsidRPr="00C44B3A">
        <w:rPr>
          <w:spacing w:val="-4"/>
          <w:kern w:val="22"/>
          <w:sz w:val="22"/>
          <w:lang w:val="en-CA"/>
        </w:rPr>
        <w:t>new condition and included a factory warranty</w:t>
      </w:r>
      <w:r w:rsidR="007D4606" w:rsidRPr="00C44B3A">
        <w:rPr>
          <w:spacing w:val="-4"/>
          <w:kern w:val="22"/>
          <w:sz w:val="22"/>
          <w:lang w:val="en-CA"/>
        </w:rPr>
        <w:t>,</w:t>
      </w:r>
      <w:r w:rsidR="00BE15C5" w:rsidRPr="00C44B3A">
        <w:rPr>
          <w:spacing w:val="-4"/>
          <w:kern w:val="22"/>
          <w:sz w:val="22"/>
          <w:lang w:val="en-CA"/>
        </w:rPr>
        <w:t xml:space="preserve"> at a reduced purchase price.</w:t>
      </w:r>
      <w:r w:rsidR="00BE15C5" w:rsidRPr="00C44B3A">
        <w:rPr>
          <w:spacing w:val="-4"/>
          <w:kern w:val="22"/>
          <w:sz w:val="22"/>
          <w:vertAlign w:val="superscript"/>
          <w:lang w:val="en-CA"/>
        </w:rPr>
        <w:endnoteReference w:id="19"/>
      </w:r>
    </w:p>
    <w:p w14:paraId="126FBE0E" w14:textId="77777777" w:rsidR="00BE15C5" w:rsidRPr="00C44B3A" w:rsidRDefault="00BE15C5" w:rsidP="00F9210D">
      <w:pPr>
        <w:pStyle w:val="BodyTextMain"/>
        <w:rPr>
          <w:lang w:val="en-CA"/>
        </w:rPr>
      </w:pPr>
    </w:p>
    <w:p w14:paraId="63DADAF4" w14:textId="77777777" w:rsidR="00F9210D" w:rsidRPr="00C44B3A" w:rsidRDefault="00F9210D" w:rsidP="00F9210D">
      <w:pPr>
        <w:pStyle w:val="BodyTextMain"/>
        <w:rPr>
          <w:lang w:val="en-CA"/>
        </w:rPr>
      </w:pPr>
    </w:p>
    <w:p w14:paraId="5E0EA180" w14:textId="3DB49753" w:rsidR="00BE15C5" w:rsidRPr="00C44B3A" w:rsidRDefault="00BE15C5" w:rsidP="00BE15C5">
      <w:pPr>
        <w:jc w:val="both"/>
        <w:rPr>
          <w:rFonts w:ascii="Arial" w:hAnsi="Arial" w:cs="Arial"/>
          <w:b/>
          <w:lang w:val="en-CA"/>
        </w:rPr>
      </w:pPr>
      <w:proofErr w:type="spellStart"/>
      <w:r w:rsidRPr="00C44B3A">
        <w:rPr>
          <w:rFonts w:ascii="Arial" w:hAnsi="Arial" w:cs="Arial"/>
          <w:b/>
          <w:lang w:val="en-CA"/>
        </w:rPr>
        <w:t>Setra</w:t>
      </w:r>
      <w:proofErr w:type="spellEnd"/>
      <w:r w:rsidRPr="00C44B3A">
        <w:rPr>
          <w:rFonts w:ascii="Arial" w:hAnsi="Arial" w:cs="Arial"/>
          <w:b/>
          <w:lang w:val="en-CA"/>
        </w:rPr>
        <w:t xml:space="preserve"> S407</w:t>
      </w:r>
      <w:r w:rsidR="007D4606" w:rsidRPr="00C44B3A">
        <w:rPr>
          <w:rFonts w:ascii="Arial" w:hAnsi="Arial" w:cs="Arial"/>
          <w:b/>
          <w:lang w:val="en-CA"/>
        </w:rPr>
        <w:t xml:space="preserve"> and </w:t>
      </w:r>
      <w:r w:rsidRPr="00C44B3A">
        <w:rPr>
          <w:rFonts w:ascii="Arial" w:hAnsi="Arial" w:cs="Arial"/>
          <w:b/>
          <w:lang w:val="en-CA"/>
        </w:rPr>
        <w:t>S417</w:t>
      </w:r>
    </w:p>
    <w:p w14:paraId="725683B0" w14:textId="77777777" w:rsidR="00F9210D" w:rsidRPr="00C44B3A" w:rsidRDefault="00F9210D" w:rsidP="00F9210D">
      <w:pPr>
        <w:pStyle w:val="BodyTextMain"/>
        <w:rPr>
          <w:lang w:val="en-CA"/>
        </w:rPr>
      </w:pPr>
    </w:p>
    <w:p w14:paraId="7C06EF1E" w14:textId="225F4F27" w:rsidR="00BE15C5" w:rsidRPr="00C44B3A" w:rsidRDefault="00BE15C5" w:rsidP="00BE15C5">
      <w:pPr>
        <w:jc w:val="both"/>
        <w:rPr>
          <w:sz w:val="22"/>
          <w:szCs w:val="22"/>
          <w:lang w:val="en-CA"/>
        </w:rPr>
      </w:pPr>
      <w:r w:rsidRPr="00C44B3A">
        <w:rPr>
          <w:sz w:val="22"/>
          <w:szCs w:val="22"/>
          <w:lang w:val="en-CA"/>
        </w:rPr>
        <w:t xml:space="preserve">Through MCI, </w:t>
      </w:r>
      <w:r w:rsidR="007D4606" w:rsidRPr="00C44B3A">
        <w:rPr>
          <w:sz w:val="22"/>
          <w:szCs w:val="22"/>
          <w:lang w:val="en-CA"/>
        </w:rPr>
        <w:t>NFI</w:t>
      </w:r>
      <w:r w:rsidRPr="00C44B3A">
        <w:rPr>
          <w:sz w:val="22"/>
          <w:szCs w:val="22"/>
          <w:lang w:val="en-CA"/>
        </w:rPr>
        <w:t xml:space="preserve"> was also the exclusive </w:t>
      </w:r>
      <w:r w:rsidR="007D4606" w:rsidRPr="00C44B3A">
        <w:rPr>
          <w:sz w:val="22"/>
          <w:szCs w:val="22"/>
          <w:lang w:val="en-CA"/>
        </w:rPr>
        <w:t xml:space="preserve">U.S. and Canadian </w:t>
      </w:r>
      <w:r w:rsidRPr="00C44B3A">
        <w:rPr>
          <w:sz w:val="22"/>
          <w:szCs w:val="22"/>
          <w:lang w:val="en-CA"/>
        </w:rPr>
        <w:t>distributor of Daimler</w:t>
      </w:r>
      <w:r w:rsidR="007D4606" w:rsidRPr="00C44B3A">
        <w:rPr>
          <w:sz w:val="22"/>
          <w:szCs w:val="22"/>
          <w:lang w:val="en-CA"/>
        </w:rPr>
        <w:t xml:space="preserve"> AG</w:t>
      </w:r>
      <w:r w:rsidRPr="00C44B3A">
        <w:rPr>
          <w:sz w:val="22"/>
          <w:szCs w:val="22"/>
          <w:lang w:val="en-CA"/>
        </w:rPr>
        <w:t xml:space="preserve">’s </w:t>
      </w:r>
      <w:proofErr w:type="spellStart"/>
      <w:r w:rsidRPr="00C44B3A">
        <w:rPr>
          <w:sz w:val="22"/>
          <w:szCs w:val="22"/>
          <w:lang w:val="en-CA"/>
        </w:rPr>
        <w:t>Setra</w:t>
      </w:r>
      <w:proofErr w:type="spellEnd"/>
      <w:r w:rsidRPr="00C44B3A">
        <w:rPr>
          <w:sz w:val="22"/>
          <w:szCs w:val="22"/>
          <w:lang w:val="en-CA"/>
        </w:rPr>
        <w:t xml:space="preserve"> luxury motor</w:t>
      </w:r>
      <w:r w:rsidR="00353676" w:rsidRPr="00C44B3A">
        <w:rPr>
          <w:sz w:val="22"/>
          <w:szCs w:val="22"/>
          <w:lang w:val="en-CA"/>
        </w:rPr>
        <w:t xml:space="preserve"> </w:t>
      </w:r>
      <w:r w:rsidRPr="00C44B3A">
        <w:rPr>
          <w:sz w:val="22"/>
          <w:szCs w:val="22"/>
          <w:lang w:val="en-CA"/>
        </w:rPr>
        <w:t>coaches.</w:t>
      </w:r>
      <w:r w:rsidR="00214F06" w:rsidRPr="00C44B3A">
        <w:rPr>
          <w:sz w:val="22"/>
          <w:szCs w:val="22"/>
          <w:vertAlign w:val="superscript"/>
          <w:lang w:val="en-CA"/>
        </w:rPr>
        <w:endnoteReference w:id="20"/>
      </w:r>
      <w:r w:rsidR="00214F06" w:rsidRPr="00C44B3A">
        <w:rPr>
          <w:sz w:val="22"/>
          <w:szCs w:val="22"/>
          <w:lang w:val="en-CA"/>
        </w:rPr>
        <w:t xml:space="preserve"> </w:t>
      </w:r>
      <w:proofErr w:type="spellStart"/>
      <w:r w:rsidRPr="00C44B3A">
        <w:rPr>
          <w:sz w:val="22"/>
          <w:szCs w:val="22"/>
          <w:lang w:val="en-CA"/>
        </w:rPr>
        <w:t>Setra</w:t>
      </w:r>
      <w:proofErr w:type="spellEnd"/>
      <w:r w:rsidRPr="00C44B3A">
        <w:rPr>
          <w:sz w:val="22"/>
          <w:szCs w:val="22"/>
          <w:lang w:val="en-CA"/>
        </w:rPr>
        <w:t xml:space="preserve"> models offered quality, comfort</w:t>
      </w:r>
      <w:r w:rsidR="007D4606" w:rsidRPr="00C44B3A">
        <w:rPr>
          <w:sz w:val="22"/>
          <w:szCs w:val="22"/>
          <w:lang w:val="en-CA"/>
        </w:rPr>
        <w:t>,</w:t>
      </w:r>
      <w:r w:rsidRPr="00C44B3A">
        <w:rPr>
          <w:sz w:val="22"/>
          <w:szCs w:val="22"/>
          <w:lang w:val="en-CA"/>
        </w:rPr>
        <w:t xml:space="preserve"> and safety with German engineering and styling.</w:t>
      </w:r>
      <w:r w:rsidRPr="00C44B3A">
        <w:rPr>
          <w:sz w:val="22"/>
          <w:szCs w:val="22"/>
          <w:vertAlign w:val="superscript"/>
          <w:lang w:val="en-CA"/>
        </w:rPr>
        <w:endnoteReference w:id="21"/>
      </w:r>
    </w:p>
    <w:p w14:paraId="31105F97" w14:textId="77777777" w:rsidR="00BE15C5" w:rsidRPr="00C44B3A" w:rsidRDefault="00BE15C5" w:rsidP="00F9210D">
      <w:pPr>
        <w:pStyle w:val="BodyTextMain"/>
        <w:rPr>
          <w:lang w:val="en-CA"/>
        </w:rPr>
      </w:pPr>
    </w:p>
    <w:p w14:paraId="5C2FE9E9" w14:textId="77777777" w:rsidR="00F9210D" w:rsidRPr="00C44B3A" w:rsidRDefault="00F9210D" w:rsidP="00F9210D">
      <w:pPr>
        <w:pStyle w:val="BodyTextMain"/>
        <w:rPr>
          <w:lang w:val="en-CA"/>
        </w:rPr>
      </w:pPr>
    </w:p>
    <w:p w14:paraId="352D897B" w14:textId="751A20E0" w:rsidR="00BE15C5" w:rsidRPr="00C44B3A" w:rsidRDefault="00BE15C5" w:rsidP="00BE15C5">
      <w:pPr>
        <w:jc w:val="both"/>
        <w:rPr>
          <w:rFonts w:ascii="Arial" w:hAnsi="Arial" w:cs="Arial"/>
          <w:b/>
          <w:szCs w:val="22"/>
          <w:lang w:val="en-CA"/>
        </w:rPr>
      </w:pPr>
      <w:r w:rsidRPr="00C44B3A">
        <w:rPr>
          <w:rFonts w:ascii="Arial" w:hAnsi="Arial" w:cs="Arial"/>
          <w:b/>
          <w:szCs w:val="22"/>
          <w:lang w:val="en-CA"/>
        </w:rPr>
        <w:t>Manufacturing, Parts</w:t>
      </w:r>
      <w:r w:rsidR="007D4606" w:rsidRPr="00C44B3A">
        <w:rPr>
          <w:rFonts w:ascii="Arial" w:hAnsi="Arial" w:cs="Arial"/>
          <w:b/>
          <w:szCs w:val="22"/>
          <w:lang w:val="en-CA"/>
        </w:rPr>
        <w:t>,</w:t>
      </w:r>
      <w:r w:rsidRPr="00C44B3A">
        <w:rPr>
          <w:rFonts w:ascii="Arial" w:hAnsi="Arial" w:cs="Arial"/>
          <w:b/>
          <w:szCs w:val="22"/>
          <w:lang w:val="en-CA"/>
        </w:rPr>
        <w:t xml:space="preserve"> and Service </w:t>
      </w:r>
    </w:p>
    <w:p w14:paraId="2EFFF47F" w14:textId="77777777" w:rsidR="00F9210D" w:rsidRPr="00C44B3A" w:rsidRDefault="00F9210D" w:rsidP="00F9210D">
      <w:pPr>
        <w:pStyle w:val="BodyTextMain"/>
        <w:rPr>
          <w:lang w:val="en-CA"/>
        </w:rPr>
      </w:pPr>
    </w:p>
    <w:p w14:paraId="2C538A8C" w14:textId="231289DD" w:rsidR="00BE15C5" w:rsidRPr="00C44B3A" w:rsidRDefault="007D4606" w:rsidP="00BE15C5">
      <w:pPr>
        <w:jc w:val="both"/>
        <w:rPr>
          <w:spacing w:val="-4"/>
          <w:kern w:val="22"/>
          <w:sz w:val="22"/>
          <w:szCs w:val="22"/>
          <w:lang w:val="en-CA"/>
        </w:rPr>
      </w:pPr>
      <w:r w:rsidRPr="00C44B3A">
        <w:rPr>
          <w:spacing w:val="-4"/>
          <w:kern w:val="22"/>
          <w:sz w:val="22"/>
          <w:szCs w:val="22"/>
          <w:lang w:val="en-CA"/>
        </w:rPr>
        <w:t>NFI</w:t>
      </w:r>
      <w:r w:rsidR="00BE15C5" w:rsidRPr="00C44B3A">
        <w:rPr>
          <w:spacing w:val="-4"/>
          <w:kern w:val="22"/>
          <w:sz w:val="22"/>
          <w:szCs w:val="22"/>
          <w:lang w:val="en-CA"/>
        </w:rPr>
        <w:t xml:space="preserve"> had been significantly upgrading its transit bus manufacturing facilities since 2009</w:t>
      </w:r>
      <w:r w:rsidRPr="00C44B3A">
        <w:rPr>
          <w:spacing w:val="-4"/>
          <w:kern w:val="22"/>
          <w:sz w:val="22"/>
          <w:szCs w:val="22"/>
          <w:lang w:val="en-CA"/>
        </w:rPr>
        <w:t>,</w:t>
      </w:r>
      <w:r w:rsidR="00BE15C5" w:rsidRPr="00C44B3A">
        <w:rPr>
          <w:spacing w:val="-4"/>
          <w:kern w:val="22"/>
          <w:sz w:val="22"/>
          <w:szCs w:val="22"/>
          <w:lang w:val="en-CA"/>
        </w:rPr>
        <w:t xml:space="preserve"> </w:t>
      </w:r>
      <w:r w:rsidRPr="00C44B3A">
        <w:rPr>
          <w:spacing w:val="-4"/>
          <w:kern w:val="22"/>
          <w:sz w:val="22"/>
          <w:szCs w:val="22"/>
          <w:lang w:val="en-CA"/>
        </w:rPr>
        <w:t xml:space="preserve">making </w:t>
      </w:r>
      <w:r w:rsidR="00BE15C5" w:rsidRPr="00C44B3A">
        <w:rPr>
          <w:spacing w:val="-4"/>
          <w:kern w:val="22"/>
          <w:sz w:val="22"/>
          <w:szCs w:val="22"/>
          <w:lang w:val="en-CA"/>
        </w:rPr>
        <w:t>improvements to safety systems, paint, lighting</w:t>
      </w:r>
      <w:r w:rsidRPr="00C44B3A">
        <w:rPr>
          <w:spacing w:val="-4"/>
          <w:kern w:val="22"/>
          <w:sz w:val="22"/>
          <w:szCs w:val="22"/>
          <w:lang w:val="en-CA"/>
        </w:rPr>
        <w:t>,</w:t>
      </w:r>
      <w:r w:rsidR="00BE15C5" w:rsidRPr="00C44B3A">
        <w:rPr>
          <w:spacing w:val="-4"/>
          <w:kern w:val="22"/>
          <w:sz w:val="22"/>
          <w:szCs w:val="22"/>
          <w:lang w:val="en-CA"/>
        </w:rPr>
        <w:t xml:space="preserve"> and </w:t>
      </w:r>
      <w:r w:rsidRPr="00C44B3A">
        <w:rPr>
          <w:spacing w:val="-4"/>
          <w:kern w:val="22"/>
          <w:sz w:val="22"/>
          <w:szCs w:val="22"/>
          <w:lang w:val="en-CA"/>
        </w:rPr>
        <w:t xml:space="preserve">waste and scrap </w:t>
      </w:r>
      <w:r w:rsidR="00BE15C5" w:rsidRPr="00C44B3A">
        <w:rPr>
          <w:spacing w:val="-4"/>
          <w:kern w:val="22"/>
          <w:sz w:val="22"/>
          <w:szCs w:val="22"/>
          <w:lang w:val="en-CA"/>
        </w:rPr>
        <w:t>removal. The company continued to upgrade the MCI facilities after the 2015 acquisition.</w:t>
      </w:r>
      <w:r w:rsidR="00BE15C5" w:rsidRPr="00C44B3A">
        <w:rPr>
          <w:spacing w:val="-4"/>
          <w:kern w:val="22"/>
          <w:sz w:val="22"/>
          <w:szCs w:val="22"/>
          <w:vertAlign w:val="superscript"/>
          <w:lang w:val="en-CA"/>
        </w:rPr>
        <w:endnoteReference w:id="22"/>
      </w:r>
      <w:r w:rsidR="00BE15C5" w:rsidRPr="00C44B3A">
        <w:rPr>
          <w:spacing w:val="-4"/>
          <w:kern w:val="22"/>
          <w:sz w:val="22"/>
          <w:szCs w:val="22"/>
          <w:lang w:val="en-CA"/>
        </w:rPr>
        <w:t xml:space="preserve"> </w:t>
      </w:r>
      <w:r w:rsidR="00972F19" w:rsidRPr="00C44B3A">
        <w:rPr>
          <w:spacing w:val="-4"/>
          <w:kern w:val="22"/>
          <w:sz w:val="22"/>
          <w:szCs w:val="22"/>
          <w:lang w:val="en-CA"/>
        </w:rPr>
        <w:t xml:space="preserve">In the annual information form </w:t>
      </w:r>
      <w:r w:rsidR="00BF4021" w:rsidRPr="00C44B3A">
        <w:rPr>
          <w:spacing w:val="-4"/>
          <w:kern w:val="22"/>
          <w:sz w:val="22"/>
          <w:szCs w:val="22"/>
          <w:lang w:val="en-CA"/>
        </w:rPr>
        <w:t>NFI</w:t>
      </w:r>
      <w:r w:rsidR="00972F19" w:rsidRPr="00C44B3A">
        <w:rPr>
          <w:spacing w:val="-4"/>
          <w:kern w:val="22"/>
          <w:sz w:val="22"/>
          <w:szCs w:val="22"/>
          <w:lang w:val="en-CA"/>
        </w:rPr>
        <w:t xml:space="preserve"> filed in 2017, it explained:</w:t>
      </w:r>
    </w:p>
    <w:p w14:paraId="1BF6F19B" w14:textId="77777777" w:rsidR="00BE15C5" w:rsidRPr="00C44B3A" w:rsidRDefault="00BE15C5" w:rsidP="00BE15C5">
      <w:pPr>
        <w:jc w:val="both"/>
        <w:rPr>
          <w:sz w:val="22"/>
          <w:szCs w:val="22"/>
          <w:lang w:val="en-CA"/>
        </w:rPr>
      </w:pPr>
    </w:p>
    <w:p w14:paraId="6B9F8B7E" w14:textId="6585EBCD" w:rsidR="00BE15C5" w:rsidRPr="00C44B3A" w:rsidRDefault="00316169" w:rsidP="00BE15C5">
      <w:pPr>
        <w:ind w:left="720"/>
        <w:jc w:val="both"/>
        <w:rPr>
          <w:sz w:val="22"/>
          <w:szCs w:val="22"/>
          <w:lang w:val="en-CA"/>
        </w:rPr>
      </w:pPr>
      <w:r w:rsidRPr="00C44B3A">
        <w:rPr>
          <w:sz w:val="22"/>
          <w:szCs w:val="22"/>
          <w:lang w:val="en-CA"/>
        </w:rPr>
        <w:t>All of the c</w:t>
      </w:r>
      <w:r w:rsidR="00BE15C5" w:rsidRPr="00C44B3A">
        <w:rPr>
          <w:sz w:val="22"/>
          <w:szCs w:val="22"/>
          <w:lang w:val="en-CA"/>
        </w:rPr>
        <w:t>ompany’s heavy-duty transit bus and motor coach manufacturing facilities have been registered to the ISO 9001 (quality) certification. New Flyer’s heavy-duty transit bus manufacturing facilities have also been registered to ISO 14001 (environmental) and OHSAS 18001 (safety) c</w:t>
      </w:r>
      <w:r w:rsidRPr="00C44B3A">
        <w:rPr>
          <w:sz w:val="22"/>
          <w:szCs w:val="22"/>
          <w:lang w:val="en-CA"/>
        </w:rPr>
        <w:t>ertifications. The c</w:t>
      </w:r>
      <w:r w:rsidR="00BE15C5" w:rsidRPr="00C44B3A">
        <w:rPr>
          <w:sz w:val="22"/>
          <w:szCs w:val="22"/>
          <w:lang w:val="en-CA"/>
        </w:rPr>
        <w:t>ompany has been recognized for outstanding occupational health and safety management.</w:t>
      </w:r>
      <w:r w:rsidR="00BE15C5" w:rsidRPr="00C44B3A">
        <w:rPr>
          <w:sz w:val="22"/>
          <w:szCs w:val="22"/>
          <w:vertAlign w:val="superscript"/>
          <w:lang w:val="en-CA"/>
        </w:rPr>
        <w:endnoteReference w:id="23"/>
      </w:r>
    </w:p>
    <w:p w14:paraId="62B745DA" w14:textId="77777777" w:rsidR="00BE15C5" w:rsidRPr="00C44B3A" w:rsidRDefault="00BE15C5" w:rsidP="00BE15C5">
      <w:pPr>
        <w:jc w:val="both"/>
        <w:rPr>
          <w:sz w:val="22"/>
          <w:szCs w:val="22"/>
          <w:u w:val="single"/>
          <w:lang w:val="en-CA"/>
        </w:rPr>
      </w:pPr>
    </w:p>
    <w:p w14:paraId="2BFF9762" w14:textId="7CED4823" w:rsidR="00BE15C5" w:rsidRPr="00C44B3A" w:rsidRDefault="00BE15C5" w:rsidP="00BE15C5">
      <w:pPr>
        <w:jc w:val="both"/>
        <w:rPr>
          <w:sz w:val="22"/>
          <w:szCs w:val="22"/>
          <w:lang w:val="en-CA"/>
        </w:rPr>
      </w:pPr>
      <w:r w:rsidRPr="00C44B3A">
        <w:rPr>
          <w:sz w:val="22"/>
          <w:szCs w:val="22"/>
          <w:lang w:val="en-CA"/>
        </w:rPr>
        <w:t>The company had four bus manufacturing locations</w:t>
      </w:r>
      <w:r w:rsidR="00972F19" w:rsidRPr="00C44B3A">
        <w:rPr>
          <w:sz w:val="22"/>
          <w:szCs w:val="22"/>
          <w:lang w:val="en-CA"/>
        </w:rPr>
        <w:t>:</w:t>
      </w:r>
      <w:r w:rsidRPr="00C44B3A">
        <w:rPr>
          <w:sz w:val="22"/>
          <w:szCs w:val="22"/>
          <w:lang w:val="en-CA"/>
        </w:rPr>
        <w:t xml:space="preserve"> Winnipeg, Manitoba</w:t>
      </w:r>
      <w:r w:rsidR="00972F19" w:rsidRPr="00C44B3A">
        <w:rPr>
          <w:sz w:val="22"/>
          <w:szCs w:val="22"/>
          <w:lang w:val="en-CA"/>
        </w:rPr>
        <w:t xml:space="preserve">; </w:t>
      </w:r>
      <w:r w:rsidRPr="00C44B3A">
        <w:rPr>
          <w:sz w:val="22"/>
          <w:szCs w:val="22"/>
          <w:lang w:val="en-CA"/>
        </w:rPr>
        <w:t>St. Cloud, Minnesota</w:t>
      </w:r>
      <w:r w:rsidR="00972F19" w:rsidRPr="00C44B3A">
        <w:rPr>
          <w:sz w:val="22"/>
          <w:szCs w:val="22"/>
          <w:lang w:val="en-CA"/>
        </w:rPr>
        <w:t xml:space="preserve">; </w:t>
      </w:r>
      <w:r w:rsidRPr="00C44B3A">
        <w:rPr>
          <w:sz w:val="22"/>
          <w:szCs w:val="22"/>
          <w:lang w:val="en-CA"/>
        </w:rPr>
        <w:t>Anniston, Alabama</w:t>
      </w:r>
      <w:r w:rsidR="00972F19" w:rsidRPr="00C44B3A">
        <w:rPr>
          <w:sz w:val="22"/>
          <w:szCs w:val="22"/>
          <w:lang w:val="en-CA"/>
        </w:rPr>
        <w:t>;</w:t>
      </w:r>
      <w:r w:rsidRPr="00C44B3A">
        <w:rPr>
          <w:sz w:val="22"/>
          <w:szCs w:val="22"/>
          <w:lang w:val="en-CA"/>
        </w:rPr>
        <w:t xml:space="preserve"> and Crookston, Minnesota. </w:t>
      </w:r>
      <w:r w:rsidR="004C52AA" w:rsidRPr="00C44B3A">
        <w:rPr>
          <w:sz w:val="22"/>
          <w:szCs w:val="22"/>
          <w:lang w:val="en-CA"/>
        </w:rPr>
        <w:t>NFI</w:t>
      </w:r>
      <w:r w:rsidRPr="00C44B3A">
        <w:rPr>
          <w:sz w:val="22"/>
          <w:szCs w:val="22"/>
          <w:lang w:val="en-CA"/>
        </w:rPr>
        <w:t xml:space="preserve"> also had two coach manufacturing facilities in Winnipeg, Manitoba</w:t>
      </w:r>
      <w:r w:rsidR="00972F19" w:rsidRPr="00C44B3A">
        <w:rPr>
          <w:sz w:val="22"/>
          <w:szCs w:val="22"/>
          <w:lang w:val="en-CA"/>
        </w:rPr>
        <w:t>,</w:t>
      </w:r>
      <w:r w:rsidRPr="00C44B3A">
        <w:rPr>
          <w:sz w:val="22"/>
          <w:szCs w:val="22"/>
          <w:lang w:val="en-CA"/>
        </w:rPr>
        <w:t xml:space="preserve"> and Pembina, North Dakota.</w:t>
      </w:r>
      <w:r w:rsidRPr="00C44B3A">
        <w:rPr>
          <w:sz w:val="22"/>
          <w:szCs w:val="22"/>
          <w:vertAlign w:val="superscript"/>
          <w:lang w:val="en-CA"/>
        </w:rPr>
        <w:endnoteReference w:id="24"/>
      </w:r>
      <w:r w:rsidRPr="00C44B3A">
        <w:rPr>
          <w:sz w:val="22"/>
          <w:szCs w:val="22"/>
          <w:lang w:val="en-CA"/>
        </w:rPr>
        <w:t xml:space="preserve"> </w:t>
      </w:r>
    </w:p>
    <w:p w14:paraId="075F669E" w14:textId="77777777" w:rsidR="00BE15C5" w:rsidRPr="00C44B3A" w:rsidRDefault="00BE15C5" w:rsidP="00BE15C5">
      <w:pPr>
        <w:jc w:val="both"/>
        <w:rPr>
          <w:sz w:val="22"/>
          <w:szCs w:val="22"/>
          <w:lang w:val="en-CA"/>
        </w:rPr>
      </w:pPr>
    </w:p>
    <w:p w14:paraId="71F070F8" w14:textId="1CC34DEE" w:rsidR="00BE15C5" w:rsidRPr="00C44B3A" w:rsidRDefault="00214F06" w:rsidP="00BE15C5">
      <w:pPr>
        <w:jc w:val="both"/>
        <w:rPr>
          <w:sz w:val="22"/>
          <w:szCs w:val="22"/>
          <w:lang w:val="en-CA"/>
        </w:rPr>
      </w:pPr>
      <w:r w:rsidRPr="00C44B3A">
        <w:rPr>
          <w:sz w:val="22"/>
          <w:szCs w:val="22"/>
          <w:lang w:val="en-CA"/>
        </w:rPr>
        <w:t>While approximately 80 per cent</w:t>
      </w:r>
      <w:r w:rsidR="00BE15C5" w:rsidRPr="00C44B3A">
        <w:rPr>
          <w:sz w:val="22"/>
          <w:szCs w:val="22"/>
          <w:lang w:val="en-CA"/>
        </w:rPr>
        <w:t xml:space="preserve"> of </w:t>
      </w:r>
      <w:r w:rsidR="00972F19" w:rsidRPr="00C44B3A">
        <w:rPr>
          <w:sz w:val="22"/>
          <w:szCs w:val="22"/>
          <w:lang w:val="en-CA"/>
        </w:rPr>
        <w:t>NFI</w:t>
      </w:r>
      <w:r w:rsidR="00BE15C5" w:rsidRPr="00C44B3A">
        <w:rPr>
          <w:sz w:val="22"/>
          <w:szCs w:val="22"/>
          <w:lang w:val="en-CA"/>
        </w:rPr>
        <w:t>’s revenue was derived from the sale of transit buses and motor</w:t>
      </w:r>
      <w:r w:rsidR="00353676" w:rsidRPr="00C44B3A">
        <w:rPr>
          <w:sz w:val="22"/>
          <w:szCs w:val="22"/>
          <w:lang w:val="en-CA"/>
        </w:rPr>
        <w:t xml:space="preserve"> </w:t>
      </w:r>
      <w:r w:rsidR="00BE15C5" w:rsidRPr="00C44B3A">
        <w:rPr>
          <w:sz w:val="22"/>
          <w:szCs w:val="22"/>
          <w:lang w:val="en-CA"/>
        </w:rPr>
        <w:t>coaches</w:t>
      </w:r>
      <w:r w:rsidR="00972F19" w:rsidRPr="00C44B3A">
        <w:rPr>
          <w:sz w:val="22"/>
          <w:szCs w:val="22"/>
          <w:lang w:val="en-CA"/>
        </w:rPr>
        <w:t xml:space="preserve">, its </w:t>
      </w:r>
      <w:r w:rsidR="00BE15C5" w:rsidRPr="00C44B3A">
        <w:rPr>
          <w:sz w:val="22"/>
          <w:szCs w:val="22"/>
          <w:lang w:val="en-CA"/>
        </w:rPr>
        <w:t>post-sale activities</w:t>
      </w:r>
      <w:r w:rsidR="00972F19" w:rsidRPr="00C44B3A">
        <w:rPr>
          <w:sz w:val="22"/>
          <w:szCs w:val="22"/>
          <w:lang w:val="en-CA"/>
        </w:rPr>
        <w:t>—</w:t>
      </w:r>
      <w:r w:rsidR="00BE15C5" w:rsidRPr="00C44B3A">
        <w:rPr>
          <w:sz w:val="22"/>
          <w:szCs w:val="22"/>
          <w:lang w:val="en-CA"/>
        </w:rPr>
        <w:t>including parts distribution, service, and training</w:t>
      </w:r>
      <w:r w:rsidR="00972F19" w:rsidRPr="00C44B3A">
        <w:rPr>
          <w:sz w:val="22"/>
          <w:szCs w:val="22"/>
          <w:lang w:val="en-CA"/>
        </w:rPr>
        <w:t>—</w:t>
      </w:r>
      <w:r w:rsidRPr="00C44B3A">
        <w:rPr>
          <w:sz w:val="22"/>
          <w:szCs w:val="22"/>
          <w:lang w:val="en-CA"/>
        </w:rPr>
        <w:t>accounted for the remaining 20 per cent</w:t>
      </w:r>
      <w:r w:rsidR="00BE15C5" w:rsidRPr="00C44B3A">
        <w:rPr>
          <w:sz w:val="22"/>
          <w:szCs w:val="22"/>
          <w:lang w:val="en-CA"/>
        </w:rPr>
        <w:t xml:space="preserve"> of company revenue.</w:t>
      </w:r>
      <w:r w:rsidR="00BE15C5" w:rsidRPr="00C44B3A">
        <w:rPr>
          <w:sz w:val="22"/>
          <w:szCs w:val="22"/>
          <w:vertAlign w:val="superscript"/>
          <w:lang w:val="en-CA"/>
        </w:rPr>
        <w:endnoteReference w:id="25"/>
      </w:r>
      <w:r w:rsidR="00BE15C5" w:rsidRPr="00C44B3A">
        <w:rPr>
          <w:sz w:val="22"/>
          <w:szCs w:val="22"/>
          <w:lang w:val="en-CA"/>
        </w:rPr>
        <w:t xml:space="preserve"> Aftermarket parts and service </w:t>
      </w:r>
      <w:r w:rsidR="00972F19" w:rsidRPr="00C44B3A">
        <w:rPr>
          <w:sz w:val="22"/>
          <w:szCs w:val="22"/>
          <w:lang w:val="en-CA"/>
        </w:rPr>
        <w:t xml:space="preserve">were expected </w:t>
      </w:r>
      <w:r w:rsidR="00BE15C5" w:rsidRPr="00C44B3A">
        <w:rPr>
          <w:sz w:val="22"/>
          <w:szCs w:val="22"/>
          <w:lang w:val="en-CA"/>
        </w:rPr>
        <w:t>to be a significant source of revenues moving forward</w:t>
      </w:r>
      <w:r w:rsidR="00972F19" w:rsidRPr="00C44B3A">
        <w:rPr>
          <w:sz w:val="22"/>
          <w:szCs w:val="22"/>
          <w:lang w:val="en-CA"/>
        </w:rPr>
        <w:t>,</w:t>
      </w:r>
      <w:r w:rsidR="00BE15C5" w:rsidRPr="00C44B3A">
        <w:rPr>
          <w:sz w:val="22"/>
          <w:szCs w:val="22"/>
          <w:lang w:val="en-CA"/>
        </w:rPr>
        <w:t xml:space="preserve"> given the increasing complexity of technologies</w:t>
      </w:r>
      <w:r w:rsidR="00972F19" w:rsidRPr="00C44B3A">
        <w:rPr>
          <w:sz w:val="22"/>
          <w:szCs w:val="22"/>
          <w:lang w:val="en-CA"/>
        </w:rPr>
        <w:t>,</w:t>
      </w:r>
      <w:r w:rsidR="00BE15C5" w:rsidRPr="00C44B3A">
        <w:rPr>
          <w:sz w:val="22"/>
          <w:szCs w:val="22"/>
          <w:lang w:val="en-CA"/>
        </w:rPr>
        <w:t xml:space="preserve"> operators’ constrained operating budgets</w:t>
      </w:r>
      <w:r w:rsidR="00972F19" w:rsidRPr="00C44B3A">
        <w:rPr>
          <w:sz w:val="22"/>
          <w:szCs w:val="22"/>
          <w:lang w:val="en-CA"/>
        </w:rPr>
        <w:t>,</w:t>
      </w:r>
      <w:r w:rsidR="00BE15C5" w:rsidRPr="00C44B3A">
        <w:rPr>
          <w:sz w:val="22"/>
          <w:szCs w:val="22"/>
          <w:lang w:val="en-CA"/>
        </w:rPr>
        <w:t xml:space="preserve"> and </w:t>
      </w:r>
      <w:r w:rsidR="00972F19" w:rsidRPr="00C44B3A">
        <w:rPr>
          <w:sz w:val="22"/>
          <w:szCs w:val="22"/>
          <w:lang w:val="en-CA"/>
        </w:rPr>
        <w:t xml:space="preserve">the </w:t>
      </w:r>
      <w:r w:rsidR="00BE15C5" w:rsidRPr="00C44B3A">
        <w:rPr>
          <w:sz w:val="22"/>
          <w:szCs w:val="22"/>
          <w:lang w:val="en-CA"/>
        </w:rPr>
        <w:t xml:space="preserve">high </w:t>
      </w:r>
      <w:r w:rsidR="00972F19" w:rsidRPr="00C44B3A">
        <w:rPr>
          <w:sz w:val="22"/>
          <w:szCs w:val="22"/>
          <w:lang w:val="en-CA"/>
        </w:rPr>
        <w:t xml:space="preserve">level of use of </w:t>
      </w:r>
      <w:r w:rsidR="00BE15C5" w:rsidRPr="00C44B3A">
        <w:rPr>
          <w:sz w:val="22"/>
          <w:szCs w:val="22"/>
          <w:lang w:val="en-CA"/>
        </w:rPr>
        <w:t>transit bus</w:t>
      </w:r>
      <w:r w:rsidR="00972F19" w:rsidRPr="00C44B3A">
        <w:rPr>
          <w:sz w:val="22"/>
          <w:szCs w:val="22"/>
          <w:lang w:val="en-CA"/>
        </w:rPr>
        <w:t>es</w:t>
      </w:r>
      <w:r w:rsidR="00BE15C5" w:rsidRPr="00C44B3A">
        <w:rPr>
          <w:sz w:val="22"/>
          <w:szCs w:val="22"/>
          <w:lang w:val="en-CA"/>
        </w:rPr>
        <w:t xml:space="preserve"> and coach</w:t>
      </w:r>
      <w:r w:rsidR="00972F19" w:rsidRPr="00C44B3A">
        <w:rPr>
          <w:sz w:val="22"/>
          <w:szCs w:val="22"/>
          <w:lang w:val="en-CA"/>
        </w:rPr>
        <w:t>es</w:t>
      </w:r>
      <w:r w:rsidR="00BE15C5" w:rsidRPr="00C44B3A">
        <w:rPr>
          <w:sz w:val="22"/>
          <w:szCs w:val="22"/>
          <w:lang w:val="en-CA"/>
        </w:rPr>
        <w:t>.</w:t>
      </w:r>
      <w:r w:rsidR="00BE15C5" w:rsidRPr="00C44B3A">
        <w:rPr>
          <w:sz w:val="22"/>
          <w:szCs w:val="22"/>
          <w:vertAlign w:val="superscript"/>
          <w:lang w:val="en-CA"/>
        </w:rPr>
        <w:endnoteReference w:id="26"/>
      </w:r>
      <w:r w:rsidR="00BE15C5" w:rsidRPr="00C44B3A">
        <w:rPr>
          <w:sz w:val="22"/>
          <w:szCs w:val="22"/>
          <w:lang w:val="en-CA"/>
        </w:rPr>
        <w:t xml:space="preserve"> Parts and service support also </w:t>
      </w:r>
      <w:r w:rsidR="00972F19" w:rsidRPr="00C44B3A">
        <w:rPr>
          <w:sz w:val="22"/>
          <w:szCs w:val="22"/>
          <w:lang w:val="en-CA"/>
        </w:rPr>
        <w:t>strengthened</w:t>
      </w:r>
      <w:r w:rsidR="00BE15C5" w:rsidRPr="00C44B3A">
        <w:rPr>
          <w:sz w:val="22"/>
          <w:szCs w:val="22"/>
          <w:lang w:val="en-CA"/>
        </w:rPr>
        <w:t xml:space="preserve"> </w:t>
      </w:r>
      <w:r w:rsidR="00972F19" w:rsidRPr="00C44B3A">
        <w:rPr>
          <w:sz w:val="22"/>
          <w:szCs w:val="22"/>
          <w:lang w:val="en-CA"/>
        </w:rPr>
        <w:t>NFI</w:t>
      </w:r>
      <w:r w:rsidR="00BE15C5" w:rsidRPr="00C44B3A">
        <w:rPr>
          <w:sz w:val="22"/>
          <w:szCs w:val="22"/>
          <w:lang w:val="en-CA"/>
        </w:rPr>
        <w:t>’s relationship</w:t>
      </w:r>
      <w:r w:rsidR="00972F19" w:rsidRPr="00C44B3A">
        <w:rPr>
          <w:sz w:val="22"/>
          <w:szCs w:val="22"/>
          <w:lang w:val="en-CA"/>
        </w:rPr>
        <w:t>s</w:t>
      </w:r>
      <w:r w:rsidR="00BE15C5" w:rsidRPr="00C44B3A">
        <w:rPr>
          <w:sz w:val="22"/>
          <w:szCs w:val="22"/>
          <w:lang w:val="en-CA"/>
        </w:rPr>
        <w:t xml:space="preserve"> with </w:t>
      </w:r>
      <w:r w:rsidR="00972F19" w:rsidRPr="00C44B3A">
        <w:rPr>
          <w:sz w:val="22"/>
          <w:szCs w:val="22"/>
          <w:lang w:val="en-CA"/>
        </w:rPr>
        <w:t xml:space="preserve">its </w:t>
      </w:r>
      <w:r w:rsidR="00BE15C5" w:rsidRPr="00C44B3A">
        <w:rPr>
          <w:sz w:val="22"/>
          <w:szCs w:val="22"/>
          <w:lang w:val="en-CA"/>
        </w:rPr>
        <w:t xml:space="preserve">customers and </w:t>
      </w:r>
      <w:r w:rsidR="00972F19" w:rsidRPr="00C44B3A">
        <w:rPr>
          <w:sz w:val="22"/>
          <w:szCs w:val="22"/>
          <w:lang w:val="en-CA"/>
        </w:rPr>
        <w:t>helped differentiate the company from its</w:t>
      </w:r>
      <w:r w:rsidR="00BE15C5" w:rsidRPr="00C44B3A">
        <w:rPr>
          <w:sz w:val="22"/>
          <w:szCs w:val="22"/>
          <w:lang w:val="en-CA"/>
        </w:rPr>
        <w:t xml:space="preserve"> competitors. </w:t>
      </w:r>
      <w:r w:rsidR="00BE15C5" w:rsidRPr="00C44B3A">
        <w:rPr>
          <w:rFonts w:eastAsia="Calibri"/>
          <w:sz w:val="22"/>
          <w:szCs w:val="24"/>
          <w:lang w:val="en-CA"/>
        </w:rPr>
        <w:t>NFI’s parts and service network was recognized as the industry leader</w:t>
      </w:r>
      <w:r w:rsidR="00972F19" w:rsidRPr="00C44B3A">
        <w:rPr>
          <w:rFonts w:eastAsia="Calibri"/>
          <w:sz w:val="22"/>
          <w:szCs w:val="24"/>
          <w:lang w:val="en-CA"/>
        </w:rPr>
        <w:t>:</w:t>
      </w:r>
    </w:p>
    <w:p w14:paraId="302AD56D" w14:textId="77777777" w:rsidR="00BE15C5" w:rsidRPr="00C44B3A" w:rsidRDefault="00BE15C5" w:rsidP="00BE15C5">
      <w:pPr>
        <w:jc w:val="both"/>
        <w:rPr>
          <w:sz w:val="22"/>
          <w:szCs w:val="22"/>
          <w:lang w:val="en-CA"/>
        </w:rPr>
      </w:pPr>
    </w:p>
    <w:p w14:paraId="764A8FD6" w14:textId="74F0953A" w:rsidR="00BE15C5" w:rsidRPr="00C44B3A" w:rsidRDefault="00BE15C5" w:rsidP="00BE15C5">
      <w:pPr>
        <w:ind w:left="720"/>
        <w:jc w:val="both"/>
        <w:rPr>
          <w:spacing w:val="-4"/>
          <w:kern w:val="22"/>
          <w:sz w:val="22"/>
          <w:szCs w:val="22"/>
          <w:lang w:val="en-CA"/>
        </w:rPr>
      </w:pPr>
      <w:r w:rsidRPr="00C44B3A">
        <w:rPr>
          <w:spacing w:val="-4"/>
          <w:kern w:val="22"/>
          <w:sz w:val="22"/>
          <w:szCs w:val="22"/>
          <w:lang w:val="en-CA"/>
        </w:rPr>
        <w:t>The aftermarket parts team is recognized as a leader in its area, both in size, variety of parts and service quality. From its many parts dist</w:t>
      </w:r>
      <w:r w:rsidR="00214F06" w:rsidRPr="00C44B3A">
        <w:rPr>
          <w:spacing w:val="-4"/>
          <w:kern w:val="22"/>
          <w:sz w:val="22"/>
          <w:szCs w:val="22"/>
          <w:lang w:val="en-CA"/>
        </w:rPr>
        <w:t>ribution centers, the c</w:t>
      </w:r>
      <w:r w:rsidRPr="00C44B3A">
        <w:rPr>
          <w:spacing w:val="-4"/>
          <w:kern w:val="22"/>
          <w:sz w:val="22"/>
          <w:szCs w:val="22"/>
          <w:lang w:val="en-CA"/>
        </w:rPr>
        <w:t xml:space="preserve">ompany distributes a wide assortment of service parts for a variety of models of heavy-duty transit buses and coaches, including products built by other manufacturers. Competitors in the aftermarket parts business include competing transit bus and coach manufacturers, bus and coach parts distributors and parts divisions of related industries </w:t>
      </w:r>
      <w:r w:rsidR="00214F06" w:rsidRPr="00C44B3A">
        <w:rPr>
          <w:spacing w:val="-4"/>
          <w:kern w:val="22"/>
          <w:sz w:val="22"/>
          <w:szCs w:val="22"/>
          <w:lang w:val="en-CA"/>
        </w:rPr>
        <w:t>(e.g., heavy-duty trucks). The c</w:t>
      </w:r>
      <w:r w:rsidRPr="00C44B3A">
        <w:rPr>
          <w:spacing w:val="-4"/>
          <w:kern w:val="22"/>
          <w:sz w:val="22"/>
          <w:szCs w:val="22"/>
          <w:lang w:val="en-CA"/>
        </w:rPr>
        <w:t xml:space="preserve">ompany provides the following competitive advantages over its competition: widest </w:t>
      </w:r>
      <w:r w:rsidRPr="00C44B3A">
        <w:rPr>
          <w:spacing w:val="-4"/>
          <w:kern w:val="22"/>
          <w:sz w:val="22"/>
          <w:szCs w:val="22"/>
          <w:lang w:val="en-CA"/>
        </w:rPr>
        <w:lastRenderedPageBreak/>
        <w:t>original equipment product assortment, most distribution centers in North America, tremendous industry knowledge and the ability to cross reference products to creat</w:t>
      </w:r>
      <w:r w:rsidR="00214F06" w:rsidRPr="00C44B3A">
        <w:rPr>
          <w:spacing w:val="-4"/>
          <w:kern w:val="22"/>
          <w:sz w:val="22"/>
          <w:szCs w:val="22"/>
          <w:lang w:val="en-CA"/>
        </w:rPr>
        <w:t>e solutions for customers. The c</w:t>
      </w:r>
      <w:r w:rsidRPr="00C44B3A">
        <w:rPr>
          <w:spacing w:val="-4"/>
          <w:kern w:val="22"/>
          <w:sz w:val="22"/>
          <w:szCs w:val="22"/>
          <w:lang w:val="en-CA"/>
        </w:rPr>
        <w:t xml:space="preserve">ompany distributes its own line of service parts under the New Flyer </w:t>
      </w:r>
      <w:r w:rsidR="009519E1" w:rsidRPr="00C44B3A">
        <w:rPr>
          <w:spacing w:val="-4"/>
          <w:kern w:val="22"/>
          <w:sz w:val="22"/>
          <w:szCs w:val="22"/>
          <w:lang w:val="en-CA"/>
        </w:rPr>
        <w:t>“</w:t>
      </w:r>
      <w:proofErr w:type="spellStart"/>
      <w:r w:rsidRPr="00C44B3A">
        <w:rPr>
          <w:spacing w:val="-4"/>
          <w:kern w:val="22"/>
          <w:sz w:val="22"/>
          <w:szCs w:val="22"/>
          <w:lang w:val="en-CA"/>
        </w:rPr>
        <w:t>Kinetik</w:t>
      </w:r>
      <w:proofErr w:type="spellEnd"/>
      <w:r w:rsidRPr="00C44B3A">
        <w:rPr>
          <w:spacing w:val="-4"/>
          <w:kern w:val="22"/>
          <w:sz w:val="22"/>
          <w:szCs w:val="22"/>
          <w:lang w:val="en-CA"/>
        </w:rPr>
        <w:t>” brand for the heavy-duty transit bus industry and the MCI “Coach Guard” brand for the motor coach industry. The cost of aftermarket support is typically included in the customer’s transit bus or motor coach purchase contract, while parts are sold separately when required after the initial purchase.</w:t>
      </w:r>
      <w:r w:rsidRPr="00C44B3A">
        <w:rPr>
          <w:spacing w:val="-4"/>
          <w:kern w:val="22"/>
          <w:sz w:val="22"/>
          <w:szCs w:val="22"/>
          <w:vertAlign w:val="superscript"/>
          <w:lang w:val="en-CA"/>
        </w:rPr>
        <w:endnoteReference w:id="27"/>
      </w:r>
    </w:p>
    <w:p w14:paraId="257CEB65" w14:textId="77777777" w:rsidR="00BE15C5" w:rsidRPr="00C44B3A" w:rsidRDefault="00BE15C5" w:rsidP="00BE15C5">
      <w:pPr>
        <w:jc w:val="both"/>
        <w:rPr>
          <w:sz w:val="22"/>
          <w:szCs w:val="22"/>
          <w:lang w:val="en-CA"/>
        </w:rPr>
      </w:pPr>
    </w:p>
    <w:p w14:paraId="20D762F8" w14:textId="6BF2C02F" w:rsidR="00BE15C5" w:rsidRPr="00C44B3A" w:rsidRDefault="00BE15C5" w:rsidP="00BE15C5">
      <w:pPr>
        <w:jc w:val="both"/>
        <w:rPr>
          <w:sz w:val="22"/>
          <w:szCs w:val="22"/>
          <w:lang w:val="en-CA"/>
        </w:rPr>
      </w:pPr>
      <w:r w:rsidRPr="00C44B3A">
        <w:rPr>
          <w:sz w:val="22"/>
          <w:szCs w:val="22"/>
          <w:lang w:val="en-CA"/>
        </w:rPr>
        <w:t>The company had six bus parts distribution cent</w:t>
      </w:r>
      <w:r w:rsidR="00C0544A" w:rsidRPr="00C44B3A">
        <w:rPr>
          <w:sz w:val="22"/>
          <w:szCs w:val="22"/>
          <w:lang w:val="en-CA"/>
        </w:rPr>
        <w:t>r</w:t>
      </w:r>
      <w:r w:rsidRPr="00C44B3A">
        <w:rPr>
          <w:sz w:val="22"/>
          <w:szCs w:val="22"/>
          <w:lang w:val="en-CA"/>
        </w:rPr>
        <w:t>es</w:t>
      </w:r>
      <w:r w:rsidR="00C0544A" w:rsidRPr="00C44B3A">
        <w:rPr>
          <w:sz w:val="22"/>
          <w:szCs w:val="22"/>
          <w:lang w:val="en-CA"/>
        </w:rPr>
        <w:t>: two</w:t>
      </w:r>
      <w:r w:rsidRPr="00C44B3A">
        <w:rPr>
          <w:sz w:val="22"/>
          <w:szCs w:val="22"/>
          <w:lang w:val="en-CA"/>
        </w:rPr>
        <w:t xml:space="preserve"> in Winnipeg, Manitoba</w:t>
      </w:r>
      <w:r w:rsidR="00C0544A" w:rsidRPr="00C44B3A">
        <w:rPr>
          <w:sz w:val="22"/>
          <w:szCs w:val="22"/>
          <w:lang w:val="en-CA"/>
        </w:rPr>
        <w:t xml:space="preserve">; and one each in </w:t>
      </w:r>
      <w:r w:rsidRPr="00C44B3A">
        <w:rPr>
          <w:sz w:val="22"/>
          <w:szCs w:val="22"/>
          <w:lang w:val="en-CA"/>
        </w:rPr>
        <w:t>Delaware, Ohio</w:t>
      </w:r>
      <w:r w:rsidR="00C0544A" w:rsidRPr="00C44B3A">
        <w:rPr>
          <w:sz w:val="22"/>
          <w:szCs w:val="22"/>
          <w:lang w:val="en-CA"/>
        </w:rPr>
        <w:t>;</w:t>
      </w:r>
      <w:r w:rsidRPr="00C44B3A">
        <w:rPr>
          <w:sz w:val="22"/>
          <w:szCs w:val="22"/>
          <w:lang w:val="en-CA"/>
        </w:rPr>
        <w:t xml:space="preserve"> Fresno, California</w:t>
      </w:r>
      <w:r w:rsidR="00C0544A" w:rsidRPr="00C44B3A">
        <w:rPr>
          <w:sz w:val="22"/>
          <w:szCs w:val="22"/>
          <w:lang w:val="en-CA"/>
        </w:rPr>
        <w:t>;</w:t>
      </w:r>
      <w:r w:rsidRPr="00C44B3A">
        <w:rPr>
          <w:sz w:val="22"/>
          <w:szCs w:val="22"/>
          <w:lang w:val="en-CA"/>
        </w:rPr>
        <w:t xml:space="preserve"> Brampton, Ontario</w:t>
      </w:r>
      <w:r w:rsidR="00C0544A" w:rsidRPr="00C44B3A">
        <w:rPr>
          <w:sz w:val="22"/>
          <w:szCs w:val="22"/>
          <w:lang w:val="en-CA"/>
        </w:rPr>
        <w:t>;</w:t>
      </w:r>
      <w:r w:rsidRPr="00C44B3A">
        <w:rPr>
          <w:sz w:val="22"/>
          <w:szCs w:val="22"/>
          <w:lang w:val="en-CA"/>
        </w:rPr>
        <w:t xml:space="preserve"> and Loui</w:t>
      </w:r>
      <w:r w:rsidR="00C0544A" w:rsidRPr="00C44B3A">
        <w:rPr>
          <w:sz w:val="22"/>
          <w:szCs w:val="22"/>
          <w:lang w:val="en-CA"/>
        </w:rPr>
        <w:t>s</w:t>
      </w:r>
      <w:r w:rsidRPr="00C44B3A">
        <w:rPr>
          <w:sz w:val="22"/>
          <w:szCs w:val="22"/>
          <w:lang w:val="en-CA"/>
        </w:rPr>
        <w:t>ville</w:t>
      </w:r>
      <w:r w:rsidR="00C0544A" w:rsidRPr="00C44B3A">
        <w:rPr>
          <w:sz w:val="22"/>
          <w:szCs w:val="22"/>
          <w:lang w:val="en-CA"/>
        </w:rPr>
        <w:t>,</w:t>
      </w:r>
      <w:r w:rsidRPr="00C44B3A">
        <w:rPr>
          <w:sz w:val="22"/>
          <w:szCs w:val="22"/>
          <w:lang w:val="en-CA"/>
        </w:rPr>
        <w:t xml:space="preserve"> Ohio</w:t>
      </w:r>
      <w:r w:rsidR="00C0544A" w:rsidRPr="00C44B3A">
        <w:rPr>
          <w:sz w:val="22"/>
          <w:szCs w:val="22"/>
          <w:lang w:val="en-CA"/>
        </w:rPr>
        <w:t>. It also had two p</w:t>
      </w:r>
      <w:r w:rsidRPr="00C44B3A">
        <w:rPr>
          <w:sz w:val="22"/>
          <w:szCs w:val="22"/>
          <w:lang w:val="en-CA"/>
        </w:rPr>
        <w:t>arts fabrication facilities in Winnipeg, Manitoba</w:t>
      </w:r>
      <w:r w:rsidR="00BF4021" w:rsidRPr="00C44B3A">
        <w:rPr>
          <w:sz w:val="22"/>
          <w:szCs w:val="22"/>
          <w:lang w:val="en-CA"/>
        </w:rPr>
        <w:t>;</w:t>
      </w:r>
      <w:r w:rsidRPr="00C44B3A">
        <w:rPr>
          <w:sz w:val="22"/>
          <w:szCs w:val="22"/>
          <w:lang w:val="en-CA"/>
        </w:rPr>
        <w:t xml:space="preserve"> </w:t>
      </w:r>
      <w:r w:rsidR="00BF4021" w:rsidRPr="00C44B3A">
        <w:rPr>
          <w:sz w:val="22"/>
          <w:szCs w:val="22"/>
          <w:lang w:val="en-CA"/>
        </w:rPr>
        <w:t>one in Elkhart, Indiana;</w:t>
      </w:r>
      <w:r w:rsidR="00C0544A" w:rsidRPr="00C44B3A">
        <w:rPr>
          <w:sz w:val="22"/>
          <w:szCs w:val="22"/>
          <w:lang w:val="en-CA"/>
        </w:rPr>
        <w:t xml:space="preserve"> and one in </w:t>
      </w:r>
      <w:r w:rsidRPr="00C44B3A">
        <w:rPr>
          <w:sz w:val="22"/>
          <w:szCs w:val="22"/>
          <w:lang w:val="en-CA"/>
        </w:rPr>
        <w:t xml:space="preserve">Jamestown, New York. </w:t>
      </w:r>
      <w:r w:rsidR="00C0544A" w:rsidRPr="00C44B3A">
        <w:rPr>
          <w:sz w:val="22"/>
          <w:szCs w:val="22"/>
          <w:lang w:val="en-CA"/>
        </w:rPr>
        <w:t>Its s</w:t>
      </w:r>
      <w:r w:rsidRPr="00C44B3A">
        <w:rPr>
          <w:sz w:val="22"/>
          <w:szCs w:val="22"/>
          <w:lang w:val="en-CA"/>
        </w:rPr>
        <w:t>ervice centres were also widely dispersed</w:t>
      </w:r>
      <w:r w:rsidR="00BF4021" w:rsidRPr="00C44B3A">
        <w:rPr>
          <w:sz w:val="22"/>
          <w:szCs w:val="22"/>
          <w:lang w:val="en-CA"/>
        </w:rPr>
        <w:t>,</w:t>
      </w:r>
      <w:r w:rsidRPr="00C44B3A">
        <w:rPr>
          <w:sz w:val="22"/>
          <w:szCs w:val="22"/>
          <w:lang w:val="en-CA"/>
        </w:rPr>
        <w:t xml:space="preserve"> in Renton</w:t>
      </w:r>
      <w:r w:rsidR="00C0544A" w:rsidRPr="00C44B3A">
        <w:rPr>
          <w:sz w:val="22"/>
          <w:szCs w:val="22"/>
          <w:lang w:val="en-CA"/>
        </w:rPr>
        <w:t>,</w:t>
      </w:r>
      <w:r w:rsidRPr="00C44B3A">
        <w:rPr>
          <w:sz w:val="22"/>
          <w:szCs w:val="22"/>
          <w:lang w:val="en-CA"/>
        </w:rPr>
        <w:t xml:space="preserve"> Washington</w:t>
      </w:r>
      <w:r w:rsidR="00C0544A" w:rsidRPr="00C44B3A">
        <w:rPr>
          <w:sz w:val="22"/>
          <w:szCs w:val="22"/>
          <w:lang w:val="en-CA"/>
        </w:rPr>
        <w:t xml:space="preserve">; </w:t>
      </w:r>
      <w:r w:rsidRPr="00C44B3A">
        <w:rPr>
          <w:sz w:val="22"/>
          <w:szCs w:val="22"/>
          <w:lang w:val="en-CA"/>
        </w:rPr>
        <w:t>Arnprior, Ontario</w:t>
      </w:r>
      <w:r w:rsidR="00C0544A" w:rsidRPr="00C44B3A">
        <w:rPr>
          <w:sz w:val="22"/>
          <w:szCs w:val="22"/>
          <w:lang w:val="en-CA"/>
        </w:rPr>
        <w:t xml:space="preserve">; </w:t>
      </w:r>
      <w:r w:rsidRPr="00C44B3A">
        <w:rPr>
          <w:sz w:val="22"/>
          <w:szCs w:val="22"/>
          <w:lang w:val="en-CA"/>
        </w:rPr>
        <w:t>Blackwood, New Jersey</w:t>
      </w:r>
      <w:r w:rsidR="00C0544A" w:rsidRPr="00C44B3A">
        <w:rPr>
          <w:sz w:val="22"/>
          <w:szCs w:val="22"/>
          <w:lang w:val="en-CA"/>
        </w:rPr>
        <w:t xml:space="preserve">; </w:t>
      </w:r>
      <w:r w:rsidRPr="00C44B3A">
        <w:rPr>
          <w:sz w:val="22"/>
          <w:szCs w:val="22"/>
          <w:lang w:val="en-CA"/>
        </w:rPr>
        <w:t>Dallas, Texas</w:t>
      </w:r>
      <w:r w:rsidR="00C0544A" w:rsidRPr="00C44B3A">
        <w:rPr>
          <w:sz w:val="22"/>
          <w:szCs w:val="22"/>
          <w:lang w:val="en-CA"/>
        </w:rPr>
        <w:t xml:space="preserve">; </w:t>
      </w:r>
      <w:r w:rsidRPr="00C44B3A">
        <w:rPr>
          <w:sz w:val="22"/>
          <w:szCs w:val="22"/>
          <w:lang w:val="en-CA"/>
        </w:rPr>
        <w:t>Des Plaines, Illinois</w:t>
      </w:r>
      <w:r w:rsidR="00C0544A" w:rsidRPr="00C44B3A">
        <w:rPr>
          <w:sz w:val="22"/>
          <w:szCs w:val="22"/>
          <w:lang w:val="en-CA"/>
        </w:rPr>
        <w:t xml:space="preserve">; </w:t>
      </w:r>
      <w:r w:rsidRPr="00C44B3A">
        <w:rPr>
          <w:sz w:val="22"/>
          <w:szCs w:val="22"/>
          <w:lang w:val="en-CA"/>
        </w:rPr>
        <w:t>Los Alamitos, California</w:t>
      </w:r>
      <w:r w:rsidR="00C0544A" w:rsidRPr="00C44B3A">
        <w:rPr>
          <w:sz w:val="22"/>
          <w:szCs w:val="22"/>
          <w:lang w:val="en-CA"/>
        </w:rPr>
        <w:t xml:space="preserve">; </w:t>
      </w:r>
      <w:r w:rsidRPr="00C44B3A">
        <w:rPr>
          <w:sz w:val="22"/>
          <w:szCs w:val="22"/>
          <w:lang w:val="en-CA"/>
        </w:rPr>
        <w:t>Winter Garden, Florida</w:t>
      </w:r>
      <w:r w:rsidR="00C0544A" w:rsidRPr="00C44B3A">
        <w:rPr>
          <w:sz w:val="22"/>
          <w:szCs w:val="22"/>
          <w:lang w:val="en-CA"/>
        </w:rPr>
        <w:t xml:space="preserve">; </w:t>
      </w:r>
      <w:r w:rsidRPr="00C44B3A">
        <w:rPr>
          <w:sz w:val="22"/>
          <w:szCs w:val="22"/>
          <w:lang w:val="en-CA"/>
        </w:rPr>
        <w:t>Montreal, Quebec</w:t>
      </w:r>
      <w:r w:rsidR="00C0544A" w:rsidRPr="00C44B3A">
        <w:rPr>
          <w:sz w:val="22"/>
          <w:szCs w:val="22"/>
          <w:lang w:val="en-CA"/>
        </w:rPr>
        <w:t>;</w:t>
      </w:r>
      <w:r w:rsidRPr="00C44B3A">
        <w:rPr>
          <w:sz w:val="22"/>
          <w:szCs w:val="22"/>
          <w:lang w:val="en-CA"/>
        </w:rPr>
        <w:t xml:space="preserve"> and Hayward, California. </w:t>
      </w:r>
    </w:p>
    <w:p w14:paraId="01FC75DA" w14:textId="77777777" w:rsidR="00BE15C5" w:rsidRPr="00C44B3A" w:rsidRDefault="00BE15C5" w:rsidP="00214F06">
      <w:pPr>
        <w:pStyle w:val="BodyTextMain"/>
        <w:rPr>
          <w:lang w:val="en-CA"/>
        </w:rPr>
      </w:pPr>
    </w:p>
    <w:p w14:paraId="4D41D0AF" w14:textId="77777777" w:rsidR="00BE15C5" w:rsidRPr="00C44B3A" w:rsidRDefault="00BE15C5" w:rsidP="00214F06">
      <w:pPr>
        <w:pStyle w:val="BodyTextMain"/>
        <w:rPr>
          <w:lang w:val="en-CA"/>
        </w:rPr>
      </w:pPr>
    </w:p>
    <w:p w14:paraId="70EFB505" w14:textId="20DF1CA2" w:rsidR="00BE15C5" w:rsidRPr="00C44B3A" w:rsidRDefault="00BE15C5" w:rsidP="00BE15C5">
      <w:pPr>
        <w:jc w:val="both"/>
        <w:rPr>
          <w:rFonts w:ascii="Arial" w:hAnsi="Arial" w:cs="Arial"/>
          <w:b/>
          <w:caps/>
          <w:lang w:val="en-CA"/>
        </w:rPr>
      </w:pPr>
      <w:r w:rsidRPr="00C44B3A">
        <w:rPr>
          <w:rFonts w:ascii="Arial" w:hAnsi="Arial" w:cs="Arial"/>
          <w:b/>
          <w:caps/>
          <w:lang w:val="en-CA"/>
        </w:rPr>
        <w:t>HOW THE WHEELS GO ROUND AND ROUND</w:t>
      </w:r>
    </w:p>
    <w:p w14:paraId="370083CB" w14:textId="77777777" w:rsidR="00BE15C5" w:rsidRPr="00C44B3A" w:rsidRDefault="00BE15C5" w:rsidP="00F9210D">
      <w:pPr>
        <w:pStyle w:val="BodyTextMain"/>
        <w:rPr>
          <w:lang w:val="en-CA"/>
        </w:rPr>
      </w:pPr>
    </w:p>
    <w:p w14:paraId="29CCC9B4" w14:textId="37F326F4" w:rsidR="00BE15C5" w:rsidRPr="00C44B3A" w:rsidRDefault="00BE15C5" w:rsidP="00BE15C5">
      <w:pPr>
        <w:widowControl w:val="0"/>
        <w:autoSpaceDE w:val="0"/>
        <w:autoSpaceDN w:val="0"/>
        <w:spacing w:before="2"/>
        <w:ind w:right="133"/>
        <w:jc w:val="both"/>
        <w:rPr>
          <w:rFonts w:eastAsia="Calibri"/>
          <w:sz w:val="22"/>
          <w:szCs w:val="22"/>
          <w:lang w:val="en-CA"/>
        </w:rPr>
      </w:pPr>
      <w:r w:rsidRPr="00C44B3A">
        <w:rPr>
          <w:rFonts w:eastAsia="Calibri"/>
          <w:sz w:val="22"/>
          <w:szCs w:val="22"/>
          <w:lang w:val="en-CA"/>
        </w:rPr>
        <w:t xml:space="preserve">NFI was publicly traded on the Toronto Stock Exchange under the symbol NFI and was a constituent of </w:t>
      </w:r>
      <w:r w:rsidR="00214F06" w:rsidRPr="00C44B3A">
        <w:rPr>
          <w:rFonts w:eastAsia="Calibri"/>
          <w:sz w:val="22"/>
          <w:szCs w:val="22"/>
          <w:lang w:val="en-CA"/>
        </w:rPr>
        <w:t>Standard and Poor’s Toronto Stock Exchange (</w:t>
      </w:r>
      <w:r w:rsidRPr="00C44B3A">
        <w:rPr>
          <w:rFonts w:eastAsia="Calibri"/>
          <w:sz w:val="22"/>
          <w:szCs w:val="22"/>
          <w:lang w:val="en-CA"/>
        </w:rPr>
        <w:t>S&amp;P/TSX</w:t>
      </w:r>
      <w:r w:rsidR="00214F06" w:rsidRPr="00C44B3A">
        <w:rPr>
          <w:rFonts w:eastAsia="Calibri"/>
          <w:sz w:val="22"/>
          <w:szCs w:val="22"/>
          <w:lang w:val="en-CA"/>
        </w:rPr>
        <w:t>)</w:t>
      </w:r>
      <w:r w:rsidRPr="00C44B3A">
        <w:rPr>
          <w:rFonts w:eastAsia="Calibri"/>
          <w:sz w:val="22"/>
          <w:szCs w:val="22"/>
          <w:lang w:val="en-CA"/>
        </w:rPr>
        <w:t xml:space="preserve"> </w:t>
      </w:r>
      <w:r w:rsidR="00370437" w:rsidRPr="00C44B3A">
        <w:rPr>
          <w:rFonts w:eastAsia="Calibri"/>
          <w:sz w:val="22"/>
          <w:szCs w:val="22"/>
          <w:lang w:val="en-CA"/>
        </w:rPr>
        <w:t>composite index</w:t>
      </w:r>
      <w:r w:rsidRPr="00C44B3A">
        <w:rPr>
          <w:rFonts w:eastAsia="Calibri"/>
          <w:sz w:val="22"/>
          <w:szCs w:val="22"/>
          <w:lang w:val="en-CA"/>
        </w:rPr>
        <w:t xml:space="preserve">. The firm’s business model was </w:t>
      </w:r>
      <w:r w:rsidR="004C52AA" w:rsidRPr="00C44B3A">
        <w:rPr>
          <w:rFonts w:eastAsia="Calibri"/>
          <w:sz w:val="22"/>
          <w:szCs w:val="22"/>
          <w:lang w:val="en-CA"/>
        </w:rPr>
        <w:t>centred</w:t>
      </w:r>
      <w:r w:rsidRPr="00C44B3A">
        <w:rPr>
          <w:rFonts w:eastAsia="Calibri"/>
          <w:sz w:val="22"/>
          <w:szCs w:val="22"/>
          <w:lang w:val="en-CA"/>
        </w:rPr>
        <w:t xml:space="preserve"> on </w:t>
      </w:r>
      <w:r w:rsidR="00370437" w:rsidRPr="00C44B3A">
        <w:rPr>
          <w:rFonts w:eastAsia="Calibri"/>
          <w:sz w:val="22"/>
          <w:szCs w:val="22"/>
          <w:lang w:val="en-CA"/>
        </w:rPr>
        <w:t xml:space="preserve">its </w:t>
      </w:r>
      <w:r w:rsidRPr="00C44B3A">
        <w:rPr>
          <w:rFonts w:eastAsia="Calibri"/>
          <w:sz w:val="22"/>
          <w:szCs w:val="22"/>
          <w:lang w:val="en-CA"/>
        </w:rPr>
        <w:t>mission statement</w:t>
      </w:r>
      <w:r w:rsidR="00214F06" w:rsidRPr="00C44B3A">
        <w:rPr>
          <w:rFonts w:eastAsia="Calibri"/>
          <w:sz w:val="22"/>
          <w:szCs w:val="22"/>
          <w:lang w:val="en-CA"/>
        </w:rPr>
        <w:t>:</w:t>
      </w:r>
      <w:r w:rsidRPr="00C44B3A">
        <w:rPr>
          <w:rFonts w:eastAsia="Calibri"/>
          <w:sz w:val="22"/>
          <w:szCs w:val="22"/>
          <w:lang w:val="en-CA"/>
        </w:rPr>
        <w:t xml:space="preserve"> “To deliver the best bus and coach value and support for life</w:t>
      </w:r>
      <w:r w:rsidR="00214F06" w:rsidRPr="00C44B3A">
        <w:rPr>
          <w:rFonts w:eastAsia="Calibri"/>
          <w:sz w:val="22"/>
          <w:szCs w:val="22"/>
          <w:lang w:val="en-CA"/>
        </w:rPr>
        <w:t>.</w:t>
      </w:r>
      <w:r w:rsidRPr="00C44B3A">
        <w:rPr>
          <w:rFonts w:eastAsia="Calibri"/>
          <w:sz w:val="22"/>
          <w:szCs w:val="22"/>
          <w:lang w:val="en-CA"/>
        </w:rPr>
        <w:t>”</w:t>
      </w:r>
      <w:r w:rsidRPr="00C44B3A">
        <w:rPr>
          <w:rFonts w:eastAsia="Calibri"/>
          <w:sz w:val="22"/>
          <w:szCs w:val="22"/>
          <w:vertAlign w:val="superscript"/>
          <w:lang w:val="en-CA"/>
        </w:rPr>
        <w:endnoteReference w:id="28"/>
      </w:r>
      <w:r w:rsidR="00214F06" w:rsidRPr="00C44B3A">
        <w:rPr>
          <w:rFonts w:eastAsia="Calibri"/>
          <w:sz w:val="22"/>
          <w:szCs w:val="22"/>
          <w:lang w:val="en-CA"/>
        </w:rPr>
        <w:t xml:space="preserve"> The company was led by president and</w:t>
      </w:r>
      <w:r w:rsidRPr="00C44B3A">
        <w:rPr>
          <w:rFonts w:eastAsia="Calibri"/>
          <w:sz w:val="22"/>
          <w:szCs w:val="22"/>
          <w:lang w:val="en-CA"/>
        </w:rPr>
        <w:t xml:space="preserve"> </w:t>
      </w:r>
      <w:r w:rsidR="00214F06" w:rsidRPr="00C44B3A">
        <w:rPr>
          <w:rFonts w:eastAsia="Calibri"/>
          <w:sz w:val="22"/>
          <w:szCs w:val="22"/>
          <w:lang w:val="en-CA"/>
        </w:rPr>
        <w:t>chief executive officer (</w:t>
      </w:r>
      <w:r w:rsidRPr="00C44B3A">
        <w:rPr>
          <w:rFonts w:eastAsia="Calibri"/>
          <w:sz w:val="22"/>
          <w:szCs w:val="22"/>
          <w:lang w:val="en-CA"/>
        </w:rPr>
        <w:t>CEO</w:t>
      </w:r>
      <w:r w:rsidR="00214F06" w:rsidRPr="00C44B3A">
        <w:rPr>
          <w:rFonts w:eastAsia="Calibri"/>
          <w:sz w:val="22"/>
          <w:szCs w:val="22"/>
          <w:lang w:val="en-CA"/>
        </w:rPr>
        <w:t>)</w:t>
      </w:r>
      <w:r w:rsidRPr="00C44B3A">
        <w:rPr>
          <w:rFonts w:eastAsia="Calibri"/>
          <w:sz w:val="22"/>
          <w:szCs w:val="22"/>
          <w:lang w:val="en-CA"/>
        </w:rPr>
        <w:t xml:space="preserve"> Paul Soubry</w:t>
      </w:r>
      <w:r w:rsidR="00370437" w:rsidRPr="00C44B3A">
        <w:rPr>
          <w:rFonts w:eastAsia="Calibri"/>
          <w:sz w:val="22"/>
          <w:szCs w:val="22"/>
          <w:lang w:val="en-CA"/>
        </w:rPr>
        <w:t>,</w:t>
      </w:r>
      <w:r w:rsidRPr="00C44B3A">
        <w:rPr>
          <w:rFonts w:eastAsia="Calibri"/>
          <w:sz w:val="22"/>
          <w:szCs w:val="22"/>
          <w:lang w:val="en-CA"/>
        </w:rPr>
        <w:t xml:space="preserve"> who joined </w:t>
      </w:r>
      <w:r w:rsidR="00370437" w:rsidRPr="00C44B3A">
        <w:rPr>
          <w:rFonts w:eastAsia="Calibri"/>
          <w:sz w:val="22"/>
          <w:szCs w:val="22"/>
          <w:lang w:val="en-CA"/>
        </w:rPr>
        <w:t>NFI</w:t>
      </w:r>
      <w:r w:rsidRPr="00C44B3A">
        <w:rPr>
          <w:rFonts w:eastAsia="Calibri"/>
          <w:sz w:val="22"/>
          <w:szCs w:val="22"/>
          <w:lang w:val="en-CA"/>
        </w:rPr>
        <w:t xml:space="preserve"> in 2009. Soubry had a strong sales, marketing, business development</w:t>
      </w:r>
      <w:r w:rsidR="00370437" w:rsidRPr="00C44B3A">
        <w:rPr>
          <w:rFonts w:eastAsia="Calibri"/>
          <w:sz w:val="22"/>
          <w:szCs w:val="22"/>
          <w:lang w:val="en-CA"/>
        </w:rPr>
        <w:t>,</w:t>
      </w:r>
      <w:r w:rsidRPr="00C44B3A">
        <w:rPr>
          <w:rFonts w:eastAsia="Calibri"/>
          <w:sz w:val="22"/>
          <w:szCs w:val="22"/>
          <w:lang w:val="en-CA"/>
        </w:rPr>
        <w:t xml:space="preserve"> and operations background </w:t>
      </w:r>
      <w:r w:rsidR="00370437" w:rsidRPr="00C44B3A">
        <w:rPr>
          <w:rFonts w:eastAsia="Calibri"/>
          <w:sz w:val="22"/>
          <w:szCs w:val="22"/>
          <w:lang w:val="en-CA"/>
        </w:rPr>
        <w:t xml:space="preserve">and </w:t>
      </w:r>
      <w:r w:rsidRPr="00C44B3A">
        <w:rPr>
          <w:rFonts w:eastAsia="Calibri"/>
          <w:sz w:val="22"/>
          <w:szCs w:val="22"/>
          <w:lang w:val="en-CA"/>
        </w:rPr>
        <w:t>substantial experience in b</w:t>
      </w:r>
      <w:r w:rsidR="00214F06" w:rsidRPr="00C44B3A">
        <w:rPr>
          <w:rFonts w:eastAsia="Calibri"/>
          <w:sz w:val="22"/>
          <w:szCs w:val="22"/>
          <w:lang w:val="en-CA"/>
        </w:rPr>
        <w:t>usiness transformations and lean</w:t>
      </w:r>
      <w:r w:rsidRPr="00C44B3A">
        <w:rPr>
          <w:rFonts w:eastAsia="Calibri"/>
          <w:sz w:val="22"/>
          <w:szCs w:val="22"/>
          <w:lang w:val="en-CA"/>
        </w:rPr>
        <w:t xml:space="preserve"> operational practices. </w:t>
      </w:r>
      <w:r w:rsidR="00370437" w:rsidRPr="00C44B3A">
        <w:rPr>
          <w:rFonts w:eastAsia="Calibri"/>
          <w:sz w:val="22"/>
          <w:szCs w:val="22"/>
          <w:lang w:val="en-CA"/>
        </w:rPr>
        <w:t>H</w:t>
      </w:r>
      <w:r w:rsidRPr="00C44B3A">
        <w:rPr>
          <w:rFonts w:eastAsia="Calibri"/>
          <w:sz w:val="22"/>
          <w:szCs w:val="22"/>
          <w:lang w:val="en-CA"/>
        </w:rPr>
        <w:t xml:space="preserve">e </w:t>
      </w:r>
      <w:r w:rsidR="00370437" w:rsidRPr="00C44B3A">
        <w:rPr>
          <w:rFonts w:eastAsia="Calibri"/>
          <w:sz w:val="22"/>
          <w:szCs w:val="22"/>
          <w:lang w:val="en-CA"/>
        </w:rPr>
        <w:t xml:space="preserve">had </w:t>
      </w:r>
      <w:r w:rsidRPr="00C44B3A">
        <w:rPr>
          <w:rFonts w:eastAsia="Calibri"/>
          <w:sz w:val="22"/>
          <w:szCs w:val="22"/>
          <w:lang w:val="en-CA"/>
        </w:rPr>
        <w:t>worked for 24 years with Standar</w:t>
      </w:r>
      <w:r w:rsidR="00214F06" w:rsidRPr="00C44B3A">
        <w:rPr>
          <w:rFonts w:eastAsia="Calibri"/>
          <w:sz w:val="22"/>
          <w:szCs w:val="22"/>
          <w:lang w:val="en-CA"/>
        </w:rPr>
        <w:t xml:space="preserve">dAero, </w:t>
      </w:r>
      <w:r w:rsidR="00370437" w:rsidRPr="00C44B3A">
        <w:rPr>
          <w:rFonts w:eastAsia="Calibri"/>
          <w:sz w:val="22"/>
          <w:szCs w:val="22"/>
          <w:lang w:val="en-CA"/>
        </w:rPr>
        <w:t>finally as</w:t>
      </w:r>
      <w:r w:rsidR="00214F06" w:rsidRPr="00C44B3A">
        <w:rPr>
          <w:rFonts w:eastAsia="Calibri"/>
          <w:sz w:val="22"/>
          <w:szCs w:val="22"/>
          <w:lang w:val="en-CA"/>
        </w:rPr>
        <w:t xml:space="preserve"> president and CEO</w:t>
      </w:r>
      <w:r w:rsidR="00370437" w:rsidRPr="00C44B3A">
        <w:rPr>
          <w:rFonts w:eastAsia="Calibri"/>
          <w:sz w:val="22"/>
          <w:szCs w:val="22"/>
          <w:lang w:val="en-CA"/>
        </w:rPr>
        <w:t>, before moving to NFI</w:t>
      </w:r>
      <w:r w:rsidR="00214F06" w:rsidRPr="00C44B3A">
        <w:rPr>
          <w:rFonts w:eastAsia="Calibri"/>
          <w:sz w:val="22"/>
          <w:szCs w:val="22"/>
          <w:lang w:val="en-CA"/>
        </w:rPr>
        <w:t>.</w:t>
      </w:r>
      <w:r w:rsidRPr="00C44B3A">
        <w:rPr>
          <w:rFonts w:eastAsia="Calibri"/>
          <w:sz w:val="22"/>
          <w:szCs w:val="22"/>
          <w:lang w:val="en-CA"/>
        </w:rPr>
        <w:t xml:space="preserve"> Soubry was recognized as Canada’s 2016 CEO of the Year by the </w:t>
      </w:r>
      <w:r w:rsidRPr="00C44B3A">
        <w:rPr>
          <w:rFonts w:eastAsia="Calibri"/>
          <w:i/>
          <w:sz w:val="22"/>
          <w:szCs w:val="22"/>
          <w:lang w:val="en-CA"/>
        </w:rPr>
        <w:t>Financial Post</w:t>
      </w:r>
      <w:r w:rsidRPr="00C44B3A">
        <w:rPr>
          <w:rFonts w:eastAsia="Calibri"/>
          <w:sz w:val="22"/>
          <w:szCs w:val="22"/>
          <w:lang w:val="en-CA"/>
        </w:rPr>
        <w:t>.</w:t>
      </w:r>
      <w:r w:rsidRPr="00C44B3A">
        <w:rPr>
          <w:rFonts w:eastAsia="Calibri"/>
          <w:sz w:val="22"/>
          <w:szCs w:val="22"/>
          <w:vertAlign w:val="superscript"/>
          <w:lang w:val="en-CA"/>
        </w:rPr>
        <w:endnoteReference w:id="29"/>
      </w:r>
    </w:p>
    <w:p w14:paraId="3062D8C1" w14:textId="77777777" w:rsidR="00BE15C5" w:rsidRPr="00C44B3A" w:rsidRDefault="00BE15C5" w:rsidP="00BE15C5">
      <w:pPr>
        <w:jc w:val="both"/>
        <w:rPr>
          <w:sz w:val="22"/>
          <w:szCs w:val="22"/>
          <w:lang w:val="en-CA"/>
        </w:rPr>
      </w:pPr>
    </w:p>
    <w:p w14:paraId="5B224033" w14:textId="062A3710" w:rsidR="00BE15C5" w:rsidRPr="00C44B3A" w:rsidRDefault="00BE15C5" w:rsidP="00CF64AB">
      <w:pPr>
        <w:jc w:val="both"/>
        <w:rPr>
          <w:sz w:val="22"/>
          <w:szCs w:val="22"/>
          <w:lang w:val="en-CA"/>
        </w:rPr>
      </w:pPr>
      <w:r w:rsidRPr="00C44B3A">
        <w:rPr>
          <w:sz w:val="22"/>
          <w:szCs w:val="22"/>
          <w:lang w:val="en-CA"/>
        </w:rPr>
        <w:t xml:space="preserve">The company’s business strategy </w:t>
      </w:r>
      <w:r w:rsidR="00370437" w:rsidRPr="00C44B3A">
        <w:rPr>
          <w:sz w:val="22"/>
          <w:szCs w:val="22"/>
          <w:lang w:val="en-CA"/>
        </w:rPr>
        <w:t>had three main elements</w:t>
      </w:r>
      <w:r w:rsidRPr="00C44B3A">
        <w:rPr>
          <w:sz w:val="22"/>
          <w:szCs w:val="22"/>
          <w:lang w:val="en-CA"/>
        </w:rPr>
        <w:t>:</w:t>
      </w:r>
    </w:p>
    <w:p w14:paraId="4C05C76F" w14:textId="77777777" w:rsidR="00214F06" w:rsidRPr="00C44B3A" w:rsidRDefault="00214F06" w:rsidP="00BE15C5">
      <w:pPr>
        <w:jc w:val="both"/>
        <w:rPr>
          <w:sz w:val="22"/>
          <w:szCs w:val="22"/>
          <w:lang w:val="en-CA"/>
        </w:rPr>
      </w:pPr>
    </w:p>
    <w:p w14:paraId="14C0BE2D" w14:textId="5CD5895E" w:rsidR="00BE15C5" w:rsidRPr="00C44B3A" w:rsidRDefault="00BE15C5" w:rsidP="00BE15C5">
      <w:pPr>
        <w:numPr>
          <w:ilvl w:val="0"/>
          <w:numId w:val="40"/>
        </w:numPr>
        <w:jc w:val="both"/>
        <w:rPr>
          <w:sz w:val="22"/>
          <w:szCs w:val="22"/>
          <w:lang w:val="en-CA"/>
        </w:rPr>
      </w:pPr>
      <w:r w:rsidRPr="00C44B3A">
        <w:rPr>
          <w:sz w:val="22"/>
          <w:szCs w:val="22"/>
          <w:lang w:val="en-CA"/>
        </w:rPr>
        <w:t>to offer the best heavy-duty transit buses, motor coaches and services in Canada and the United States and t</w:t>
      </w:r>
      <w:r w:rsidR="00214F06" w:rsidRPr="00C44B3A">
        <w:rPr>
          <w:sz w:val="22"/>
          <w:szCs w:val="22"/>
          <w:lang w:val="en-CA"/>
        </w:rPr>
        <w:t>o lead the market in innovation</w:t>
      </w:r>
      <w:r w:rsidR="00316169" w:rsidRPr="00C44B3A">
        <w:rPr>
          <w:sz w:val="22"/>
          <w:szCs w:val="22"/>
          <w:lang w:val="en-CA"/>
        </w:rPr>
        <w:t>;</w:t>
      </w:r>
    </w:p>
    <w:p w14:paraId="414C7773" w14:textId="387BEEF5" w:rsidR="00BE15C5" w:rsidRPr="00C44B3A" w:rsidRDefault="00BE15C5" w:rsidP="00BE15C5">
      <w:pPr>
        <w:numPr>
          <w:ilvl w:val="0"/>
          <w:numId w:val="40"/>
        </w:numPr>
        <w:jc w:val="both"/>
        <w:rPr>
          <w:sz w:val="22"/>
          <w:szCs w:val="22"/>
          <w:lang w:val="en-CA"/>
        </w:rPr>
      </w:pPr>
      <w:r w:rsidRPr="00C44B3A">
        <w:rPr>
          <w:sz w:val="22"/>
          <w:szCs w:val="22"/>
          <w:lang w:val="en-CA"/>
        </w:rPr>
        <w:t>to operate as a wo</w:t>
      </w:r>
      <w:r w:rsidR="00214F06" w:rsidRPr="00C44B3A">
        <w:rPr>
          <w:sz w:val="22"/>
          <w:szCs w:val="22"/>
          <w:lang w:val="en-CA"/>
        </w:rPr>
        <w:t xml:space="preserve">rld-class manufacturer using </w:t>
      </w:r>
      <w:r w:rsidR="00CF64AB" w:rsidRPr="00C44B3A">
        <w:rPr>
          <w:sz w:val="22"/>
          <w:szCs w:val="22"/>
          <w:lang w:val="en-CA"/>
        </w:rPr>
        <w:t xml:space="preserve">LEAN </w:t>
      </w:r>
      <w:r w:rsidRPr="00C44B3A">
        <w:rPr>
          <w:sz w:val="22"/>
          <w:szCs w:val="22"/>
          <w:lang w:val="en-CA"/>
        </w:rPr>
        <w:t xml:space="preserve">manufacturing principles </w:t>
      </w:r>
      <w:r w:rsidR="00214F06" w:rsidRPr="00C44B3A">
        <w:rPr>
          <w:sz w:val="22"/>
          <w:szCs w:val="22"/>
          <w:lang w:val="en-CA"/>
        </w:rPr>
        <w:t>and deploying a Quality Roadmap</w:t>
      </w:r>
      <w:r w:rsidR="00316169" w:rsidRPr="00C44B3A">
        <w:rPr>
          <w:sz w:val="22"/>
          <w:szCs w:val="22"/>
          <w:lang w:val="en-CA"/>
        </w:rPr>
        <w:t>;</w:t>
      </w:r>
      <w:r w:rsidR="00CF64AB" w:rsidRPr="00C44B3A">
        <w:rPr>
          <w:sz w:val="22"/>
          <w:szCs w:val="22"/>
          <w:lang w:val="en-CA"/>
        </w:rPr>
        <w:t xml:space="preserve"> </w:t>
      </w:r>
      <w:r w:rsidRPr="00C44B3A">
        <w:rPr>
          <w:sz w:val="22"/>
          <w:szCs w:val="22"/>
          <w:lang w:val="en-CA"/>
        </w:rPr>
        <w:t>and</w:t>
      </w:r>
    </w:p>
    <w:p w14:paraId="2D8F4BF9" w14:textId="46DD7BDF" w:rsidR="00BE15C5" w:rsidRPr="00C44B3A" w:rsidRDefault="00BE15C5" w:rsidP="00BE15C5">
      <w:pPr>
        <w:numPr>
          <w:ilvl w:val="0"/>
          <w:numId w:val="40"/>
        </w:numPr>
        <w:jc w:val="both"/>
        <w:rPr>
          <w:sz w:val="22"/>
          <w:szCs w:val="22"/>
          <w:lang w:val="en-CA"/>
        </w:rPr>
      </w:pPr>
      <w:r w:rsidRPr="00C44B3A">
        <w:rPr>
          <w:sz w:val="22"/>
          <w:szCs w:val="22"/>
          <w:lang w:val="en-CA"/>
        </w:rPr>
        <w:t>to have an appropriate capital structure to diversify and grow the business.</w:t>
      </w:r>
    </w:p>
    <w:p w14:paraId="4B289F0E" w14:textId="77777777" w:rsidR="00CF64AB" w:rsidRPr="00C44B3A" w:rsidRDefault="00CF64AB" w:rsidP="00A26412">
      <w:pPr>
        <w:ind w:left="1170"/>
        <w:jc w:val="both"/>
        <w:rPr>
          <w:sz w:val="22"/>
          <w:szCs w:val="22"/>
          <w:lang w:val="en-CA"/>
        </w:rPr>
      </w:pPr>
    </w:p>
    <w:p w14:paraId="70B3D9B4" w14:textId="76AD224B" w:rsidR="00BE15C5" w:rsidRPr="00C44B3A" w:rsidRDefault="00370437" w:rsidP="00BE15C5">
      <w:pPr>
        <w:jc w:val="both"/>
        <w:rPr>
          <w:sz w:val="22"/>
          <w:szCs w:val="22"/>
          <w:lang w:val="en-CA"/>
        </w:rPr>
      </w:pPr>
      <w:r w:rsidRPr="00C44B3A">
        <w:rPr>
          <w:sz w:val="22"/>
          <w:szCs w:val="22"/>
          <w:lang w:val="en-CA"/>
        </w:rPr>
        <w:t>NFI</w:t>
      </w:r>
      <w:r w:rsidR="00BE15C5" w:rsidRPr="00C44B3A">
        <w:rPr>
          <w:sz w:val="22"/>
          <w:szCs w:val="22"/>
          <w:lang w:val="en-CA"/>
        </w:rPr>
        <w:t xml:space="preserve"> </w:t>
      </w:r>
      <w:r w:rsidRPr="00C44B3A">
        <w:rPr>
          <w:sz w:val="22"/>
          <w:szCs w:val="22"/>
          <w:lang w:val="en-CA"/>
        </w:rPr>
        <w:t>was</w:t>
      </w:r>
      <w:r w:rsidR="00BE15C5" w:rsidRPr="00C44B3A">
        <w:rPr>
          <w:sz w:val="22"/>
          <w:szCs w:val="22"/>
          <w:lang w:val="en-CA"/>
        </w:rPr>
        <w:t xml:space="preserve"> </w:t>
      </w:r>
      <w:r w:rsidRPr="00C44B3A">
        <w:rPr>
          <w:sz w:val="22"/>
          <w:szCs w:val="22"/>
          <w:lang w:val="en-CA"/>
        </w:rPr>
        <w:t xml:space="preserve">competitively </w:t>
      </w:r>
      <w:r w:rsidR="00BE15C5" w:rsidRPr="00C44B3A">
        <w:rPr>
          <w:sz w:val="22"/>
          <w:szCs w:val="22"/>
          <w:lang w:val="en-CA"/>
        </w:rPr>
        <w:t>strong as a result of</w:t>
      </w:r>
      <w:r w:rsidR="00316169" w:rsidRPr="00C44B3A">
        <w:rPr>
          <w:sz w:val="22"/>
          <w:szCs w:val="22"/>
          <w:lang w:val="en-CA"/>
        </w:rPr>
        <w:t>;</w:t>
      </w:r>
      <w:r w:rsidR="00BE15C5" w:rsidRPr="00C44B3A">
        <w:rPr>
          <w:sz w:val="22"/>
          <w:szCs w:val="22"/>
          <w:lang w:val="en-CA"/>
        </w:rPr>
        <w:t xml:space="preserve"> the co</w:t>
      </w:r>
      <w:r w:rsidR="00316169" w:rsidRPr="00C44B3A">
        <w:rPr>
          <w:sz w:val="22"/>
          <w:szCs w:val="22"/>
          <w:lang w:val="en-CA"/>
        </w:rPr>
        <w:t>mpany’s leading market position; broad product portfolio;</w:t>
      </w:r>
      <w:r w:rsidR="00BE15C5" w:rsidRPr="00C44B3A">
        <w:rPr>
          <w:sz w:val="22"/>
          <w:szCs w:val="22"/>
          <w:lang w:val="en-CA"/>
        </w:rPr>
        <w:t xml:space="preserve"> </w:t>
      </w:r>
      <w:r w:rsidRPr="00C44B3A">
        <w:rPr>
          <w:sz w:val="22"/>
          <w:szCs w:val="22"/>
          <w:lang w:val="en-CA"/>
        </w:rPr>
        <w:t xml:space="preserve">innovative </w:t>
      </w:r>
      <w:r w:rsidR="00316169" w:rsidRPr="00C44B3A">
        <w:rPr>
          <w:sz w:val="22"/>
          <w:szCs w:val="22"/>
          <w:lang w:val="en-CA"/>
        </w:rPr>
        <w:t>leadership; employee focus;</w:t>
      </w:r>
      <w:r w:rsidR="00BE15C5" w:rsidRPr="00C44B3A">
        <w:rPr>
          <w:sz w:val="22"/>
          <w:szCs w:val="22"/>
          <w:lang w:val="en-CA"/>
        </w:rPr>
        <w:t xml:space="preserve"> </w:t>
      </w:r>
      <w:r w:rsidRPr="00C44B3A">
        <w:rPr>
          <w:sz w:val="22"/>
          <w:szCs w:val="22"/>
          <w:lang w:val="en-CA"/>
        </w:rPr>
        <w:t>high-</w:t>
      </w:r>
      <w:r w:rsidR="00BE15C5" w:rsidRPr="00C44B3A">
        <w:rPr>
          <w:sz w:val="22"/>
          <w:szCs w:val="22"/>
          <w:lang w:val="en-CA"/>
        </w:rPr>
        <w:t>qualit</w:t>
      </w:r>
      <w:r w:rsidR="00316169" w:rsidRPr="00C44B3A">
        <w:rPr>
          <w:sz w:val="22"/>
          <w:szCs w:val="22"/>
          <w:lang w:val="en-CA"/>
        </w:rPr>
        <w:t>y and diversified customer base;</w:t>
      </w:r>
      <w:r w:rsidR="00BE15C5" w:rsidRPr="00C44B3A">
        <w:rPr>
          <w:sz w:val="22"/>
          <w:szCs w:val="22"/>
          <w:lang w:val="en-CA"/>
        </w:rPr>
        <w:t xml:space="preserve"> aftermark</w:t>
      </w:r>
      <w:r w:rsidR="00316169" w:rsidRPr="00C44B3A">
        <w:rPr>
          <w:sz w:val="22"/>
          <w:szCs w:val="22"/>
          <w:lang w:val="en-CA"/>
        </w:rPr>
        <w:t>et parts and support capability;</w:t>
      </w:r>
      <w:r w:rsidR="00BE15C5" w:rsidRPr="00C44B3A">
        <w:rPr>
          <w:sz w:val="22"/>
          <w:szCs w:val="22"/>
          <w:lang w:val="en-CA"/>
        </w:rPr>
        <w:t xml:space="preserve"> and experienced and committed management team.</w:t>
      </w:r>
      <w:r w:rsidR="00BE15C5" w:rsidRPr="00C44B3A">
        <w:rPr>
          <w:sz w:val="22"/>
          <w:szCs w:val="22"/>
          <w:vertAlign w:val="superscript"/>
          <w:lang w:val="en-CA"/>
        </w:rPr>
        <w:endnoteReference w:id="30"/>
      </w:r>
      <w:r w:rsidR="00BE15C5" w:rsidRPr="00C44B3A">
        <w:rPr>
          <w:sz w:val="22"/>
          <w:szCs w:val="22"/>
          <w:lang w:val="en-CA"/>
        </w:rPr>
        <w:t xml:space="preserve"> The company considered stakeholder perspective</w:t>
      </w:r>
      <w:r w:rsidRPr="00C44B3A">
        <w:rPr>
          <w:sz w:val="22"/>
          <w:szCs w:val="22"/>
          <w:lang w:val="en-CA"/>
        </w:rPr>
        <w:t>s</w:t>
      </w:r>
      <w:r w:rsidR="00BE15C5" w:rsidRPr="00C44B3A">
        <w:rPr>
          <w:sz w:val="22"/>
          <w:szCs w:val="22"/>
          <w:lang w:val="en-CA"/>
        </w:rPr>
        <w:t xml:space="preserve"> when making decisions.</w:t>
      </w:r>
    </w:p>
    <w:p w14:paraId="5DB8F14B" w14:textId="77777777" w:rsidR="00C0544A" w:rsidRPr="00C44B3A" w:rsidRDefault="00C0544A" w:rsidP="00BE15C5">
      <w:pPr>
        <w:jc w:val="both"/>
        <w:rPr>
          <w:sz w:val="22"/>
          <w:szCs w:val="22"/>
          <w:lang w:val="en-CA"/>
        </w:rPr>
      </w:pPr>
    </w:p>
    <w:p w14:paraId="1B0DAA9B" w14:textId="77777777" w:rsidR="00C0544A" w:rsidRPr="00C44B3A" w:rsidRDefault="00C0544A" w:rsidP="00BE15C5">
      <w:pPr>
        <w:jc w:val="both"/>
        <w:rPr>
          <w:sz w:val="22"/>
          <w:szCs w:val="22"/>
          <w:lang w:val="en-CA"/>
        </w:rPr>
      </w:pPr>
    </w:p>
    <w:p w14:paraId="3EB3D231" w14:textId="77777777" w:rsidR="00BE15C5" w:rsidRPr="00C44B3A" w:rsidRDefault="00BE15C5" w:rsidP="00D051E9">
      <w:pPr>
        <w:jc w:val="both"/>
        <w:rPr>
          <w:rFonts w:ascii="Arial" w:hAnsi="Arial" w:cs="Arial"/>
          <w:b/>
          <w:szCs w:val="22"/>
          <w:lang w:val="en-CA"/>
        </w:rPr>
      </w:pPr>
      <w:r w:rsidRPr="00C44B3A">
        <w:rPr>
          <w:rFonts w:ascii="Arial" w:hAnsi="Arial" w:cs="Arial"/>
          <w:b/>
          <w:szCs w:val="22"/>
          <w:lang w:val="en-CA"/>
        </w:rPr>
        <w:t>Innovation</w:t>
      </w:r>
    </w:p>
    <w:p w14:paraId="139368C3" w14:textId="77777777" w:rsidR="00F9210D" w:rsidRPr="00C44B3A" w:rsidRDefault="00F9210D" w:rsidP="00D051E9">
      <w:pPr>
        <w:jc w:val="both"/>
        <w:rPr>
          <w:sz w:val="22"/>
          <w:szCs w:val="22"/>
          <w:lang w:val="en-CA"/>
        </w:rPr>
      </w:pPr>
    </w:p>
    <w:p w14:paraId="1926B4D8" w14:textId="1715B2B4" w:rsidR="00BE15C5" w:rsidRPr="00C44B3A" w:rsidRDefault="00BE15C5" w:rsidP="00D051E9">
      <w:pPr>
        <w:jc w:val="both"/>
        <w:rPr>
          <w:sz w:val="22"/>
          <w:szCs w:val="22"/>
          <w:lang w:val="en-CA"/>
        </w:rPr>
      </w:pPr>
      <w:r w:rsidRPr="00C44B3A">
        <w:rPr>
          <w:sz w:val="22"/>
          <w:szCs w:val="22"/>
          <w:lang w:val="en-CA"/>
        </w:rPr>
        <w:t>NFI viewed quality and innovation improvements as key</w:t>
      </w:r>
      <w:r w:rsidR="00370437" w:rsidRPr="00C44B3A">
        <w:rPr>
          <w:sz w:val="22"/>
          <w:szCs w:val="22"/>
          <w:lang w:val="en-CA"/>
        </w:rPr>
        <w:t>s</w:t>
      </w:r>
      <w:r w:rsidRPr="00C44B3A">
        <w:rPr>
          <w:sz w:val="22"/>
          <w:szCs w:val="22"/>
          <w:lang w:val="en-CA"/>
        </w:rPr>
        <w:t xml:space="preserve"> to keeping the company ahead of </w:t>
      </w:r>
      <w:r w:rsidR="00141F81" w:rsidRPr="00C44B3A">
        <w:rPr>
          <w:sz w:val="22"/>
          <w:szCs w:val="22"/>
          <w:lang w:val="en-CA"/>
        </w:rPr>
        <w:t xml:space="preserve">the </w:t>
      </w:r>
      <w:r w:rsidRPr="00C44B3A">
        <w:rPr>
          <w:sz w:val="22"/>
          <w:szCs w:val="22"/>
          <w:lang w:val="en-CA"/>
        </w:rPr>
        <w:t>competition</w:t>
      </w:r>
      <w:r w:rsidR="00370437" w:rsidRPr="00C44B3A">
        <w:rPr>
          <w:sz w:val="22"/>
          <w:szCs w:val="22"/>
          <w:lang w:val="en-CA"/>
        </w:rPr>
        <w:t>, and it</w:t>
      </w:r>
      <w:r w:rsidRPr="00C44B3A">
        <w:rPr>
          <w:sz w:val="22"/>
          <w:szCs w:val="22"/>
          <w:lang w:val="en-CA"/>
        </w:rPr>
        <w:t xml:space="preserve"> continually sought new solutions to meet the needs of its customers</w:t>
      </w:r>
      <w:r w:rsidR="00505346" w:rsidRPr="00C44B3A">
        <w:rPr>
          <w:sz w:val="22"/>
          <w:szCs w:val="22"/>
          <w:lang w:val="en-CA"/>
        </w:rPr>
        <w:t>. M</w:t>
      </w:r>
      <w:r w:rsidRPr="00C44B3A">
        <w:rPr>
          <w:sz w:val="22"/>
          <w:szCs w:val="22"/>
          <w:lang w:val="en-CA"/>
        </w:rPr>
        <w:t>any of NFI’s innovations became industry standards</w:t>
      </w:r>
      <w:r w:rsidR="00505346" w:rsidRPr="00C44B3A">
        <w:rPr>
          <w:sz w:val="22"/>
          <w:szCs w:val="22"/>
          <w:lang w:val="en-CA"/>
        </w:rPr>
        <w:t>; k</w:t>
      </w:r>
      <w:r w:rsidRPr="00C44B3A">
        <w:rPr>
          <w:sz w:val="22"/>
          <w:szCs w:val="22"/>
          <w:lang w:val="en-CA"/>
        </w:rPr>
        <w:t>nown for breaking new ground with the first low-floor transit bus, on-board electronics, bus styling, hybrid drive systems and articulated transit buses, NFI was an innovation leader.</w:t>
      </w:r>
      <w:r w:rsidRPr="00C44B3A">
        <w:rPr>
          <w:sz w:val="22"/>
          <w:szCs w:val="22"/>
          <w:vertAlign w:val="superscript"/>
          <w:lang w:val="en-CA"/>
        </w:rPr>
        <w:endnoteReference w:id="31"/>
      </w:r>
      <w:r w:rsidRPr="00C44B3A">
        <w:rPr>
          <w:sz w:val="22"/>
          <w:szCs w:val="22"/>
          <w:lang w:val="en-CA"/>
        </w:rPr>
        <w:t xml:space="preserve"> The firm continued </w:t>
      </w:r>
      <w:r w:rsidR="00505346" w:rsidRPr="00C44B3A">
        <w:rPr>
          <w:sz w:val="22"/>
          <w:szCs w:val="22"/>
          <w:lang w:val="en-CA"/>
        </w:rPr>
        <w:t xml:space="preserve">this </w:t>
      </w:r>
      <w:r w:rsidRPr="00C44B3A">
        <w:rPr>
          <w:sz w:val="22"/>
          <w:szCs w:val="22"/>
          <w:lang w:val="en-CA"/>
        </w:rPr>
        <w:t>product and market innovation by offering a zero-emission</w:t>
      </w:r>
      <w:r w:rsidR="00505346" w:rsidRPr="00C44B3A">
        <w:rPr>
          <w:sz w:val="22"/>
          <w:szCs w:val="22"/>
          <w:lang w:val="en-CA"/>
        </w:rPr>
        <w:t>,</w:t>
      </w:r>
      <w:r w:rsidRPr="00C44B3A">
        <w:rPr>
          <w:sz w:val="22"/>
          <w:szCs w:val="22"/>
          <w:lang w:val="en-CA"/>
        </w:rPr>
        <w:t xml:space="preserve"> battery-electric propulsion system based on the </w:t>
      </w:r>
      <w:proofErr w:type="spellStart"/>
      <w:r w:rsidRPr="00C44B3A">
        <w:rPr>
          <w:sz w:val="22"/>
          <w:szCs w:val="22"/>
          <w:lang w:val="en-CA"/>
        </w:rPr>
        <w:t>Xcelsior</w:t>
      </w:r>
      <w:proofErr w:type="spellEnd"/>
      <w:r w:rsidRPr="00C44B3A">
        <w:rPr>
          <w:sz w:val="22"/>
          <w:szCs w:val="22"/>
          <w:lang w:val="en-CA"/>
        </w:rPr>
        <w:t xml:space="preserve"> platform as well as the </w:t>
      </w:r>
      <w:r w:rsidR="00505346" w:rsidRPr="00C44B3A">
        <w:rPr>
          <w:sz w:val="22"/>
          <w:szCs w:val="22"/>
          <w:lang w:val="en-CA"/>
        </w:rPr>
        <w:t>first</w:t>
      </w:r>
      <w:r w:rsidR="00AF65E3" w:rsidRPr="00C44B3A">
        <w:rPr>
          <w:sz w:val="22"/>
          <w:szCs w:val="22"/>
          <w:lang w:val="en-CA"/>
        </w:rPr>
        <w:t xml:space="preserve"> </w:t>
      </w:r>
      <w:r w:rsidRPr="00C44B3A">
        <w:rPr>
          <w:sz w:val="22"/>
          <w:szCs w:val="22"/>
          <w:lang w:val="en-CA"/>
        </w:rPr>
        <w:t>ever zero-emission</w:t>
      </w:r>
      <w:r w:rsidR="00505346" w:rsidRPr="00C44B3A">
        <w:rPr>
          <w:sz w:val="22"/>
          <w:szCs w:val="22"/>
          <w:lang w:val="en-CA"/>
        </w:rPr>
        <w:t>,</w:t>
      </w:r>
      <w:r w:rsidRPr="00C44B3A">
        <w:rPr>
          <w:sz w:val="22"/>
          <w:szCs w:val="22"/>
          <w:lang w:val="en-CA"/>
        </w:rPr>
        <w:t xml:space="preserve"> 60-foot</w:t>
      </w:r>
      <w:r w:rsidR="00505346" w:rsidRPr="00C44B3A">
        <w:rPr>
          <w:sz w:val="22"/>
          <w:szCs w:val="22"/>
          <w:lang w:val="en-CA"/>
        </w:rPr>
        <w:t>,</w:t>
      </w:r>
      <w:r w:rsidRPr="00C44B3A">
        <w:rPr>
          <w:sz w:val="22"/>
          <w:szCs w:val="22"/>
          <w:lang w:val="en-CA"/>
        </w:rPr>
        <w:t xml:space="preserve"> battery-</w:t>
      </w:r>
      <w:r w:rsidRPr="00C44B3A">
        <w:rPr>
          <w:sz w:val="22"/>
          <w:szCs w:val="22"/>
          <w:lang w:val="en-CA"/>
        </w:rPr>
        <w:lastRenderedPageBreak/>
        <w:t>electric</w:t>
      </w:r>
      <w:r w:rsidR="00505346" w:rsidRPr="00C44B3A">
        <w:rPr>
          <w:sz w:val="22"/>
          <w:szCs w:val="22"/>
          <w:lang w:val="en-CA"/>
        </w:rPr>
        <w:t xml:space="preserve"> and </w:t>
      </w:r>
      <w:r w:rsidRPr="00C44B3A">
        <w:rPr>
          <w:sz w:val="22"/>
          <w:szCs w:val="22"/>
          <w:lang w:val="en-CA"/>
        </w:rPr>
        <w:t>fuel cell bus</w:t>
      </w:r>
      <w:r w:rsidR="00505346" w:rsidRPr="00C44B3A">
        <w:rPr>
          <w:sz w:val="22"/>
          <w:szCs w:val="22"/>
          <w:lang w:val="en-CA"/>
        </w:rPr>
        <w:t xml:space="preserve"> designed and built in North America</w:t>
      </w:r>
      <w:r w:rsidRPr="00C44B3A">
        <w:rPr>
          <w:sz w:val="22"/>
          <w:szCs w:val="22"/>
          <w:lang w:val="en-CA"/>
        </w:rPr>
        <w:t>.</w:t>
      </w:r>
      <w:r w:rsidRPr="00C44B3A">
        <w:rPr>
          <w:sz w:val="22"/>
          <w:szCs w:val="22"/>
          <w:vertAlign w:val="superscript"/>
          <w:lang w:val="en-CA"/>
        </w:rPr>
        <w:endnoteReference w:id="32"/>
      </w:r>
      <w:r w:rsidR="00505346" w:rsidRPr="00C44B3A">
        <w:rPr>
          <w:sz w:val="22"/>
          <w:szCs w:val="22"/>
          <w:lang w:val="en-CA"/>
        </w:rPr>
        <w:t xml:space="preserve"> The company described the components </w:t>
      </w:r>
      <w:r w:rsidR="00190EBA" w:rsidRPr="00C44B3A">
        <w:rPr>
          <w:sz w:val="22"/>
          <w:szCs w:val="22"/>
          <w:lang w:val="en-CA"/>
        </w:rPr>
        <w:t>of</w:t>
      </w:r>
      <w:r w:rsidR="00505346" w:rsidRPr="00C44B3A">
        <w:rPr>
          <w:sz w:val="22"/>
          <w:szCs w:val="22"/>
          <w:lang w:val="en-CA"/>
        </w:rPr>
        <w:t xml:space="preserve"> its innovation focus in its 2017 annual information form:</w:t>
      </w:r>
    </w:p>
    <w:p w14:paraId="7CF47830" w14:textId="77777777" w:rsidR="00BE15C5" w:rsidRPr="00C44B3A" w:rsidRDefault="00BE15C5" w:rsidP="00BE15C5">
      <w:pPr>
        <w:jc w:val="both"/>
        <w:rPr>
          <w:sz w:val="22"/>
          <w:szCs w:val="22"/>
          <w:lang w:val="en-CA"/>
        </w:rPr>
      </w:pPr>
    </w:p>
    <w:p w14:paraId="49B3D2B5" w14:textId="40148364" w:rsidR="00BE15C5" w:rsidRPr="00C44B3A" w:rsidRDefault="00316169" w:rsidP="00BE15C5">
      <w:pPr>
        <w:ind w:left="720"/>
        <w:jc w:val="both"/>
        <w:rPr>
          <w:sz w:val="22"/>
          <w:szCs w:val="22"/>
          <w:lang w:val="en-CA"/>
        </w:rPr>
      </w:pPr>
      <w:r w:rsidRPr="00C44B3A">
        <w:rPr>
          <w:sz w:val="22"/>
          <w:szCs w:val="22"/>
          <w:lang w:val="en-CA"/>
        </w:rPr>
        <w:t>The c</w:t>
      </w:r>
      <w:r w:rsidR="00BE15C5" w:rsidRPr="00C44B3A">
        <w:rPr>
          <w:sz w:val="22"/>
          <w:szCs w:val="22"/>
          <w:lang w:val="en-CA"/>
        </w:rPr>
        <w:t>ompany’s leadership in innovation is a result of its extensive in-house engineering capabilities that involve many disciplines, such as structural design, powertrain, hydraulic, el</w:t>
      </w:r>
      <w:r w:rsidRPr="00C44B3A">
        <w:rPr>
          <w:sz w:val="22"/>
          <w:szCs w:val="22"/>
          <w:lang w:val="en-CA"/>
        </w:rPr>
        <w:t>ectrical and HVAC systems. The c</w:t>
      </w:r>
      <w:r w:rsidR="00BE15C5" w:rsidRPr="00C44B3A">
        <w:rPr>
          <w:sz w:val="22"/>
          <w:szCs w:val="22"/>
          <w:lang w:val="en-CA"/>
        </w:rPr>
        <w:t>ompany’s breadth of product offering and its demonstrated product development capability allow it to bid on almost any heavy-duty transit bus and motor coach contract in the United States and Canada.</w:t>
      </w:r>
      <w:r w:rsidR="00BE15C5" w:rsidRPr="00C44B3A">
        <w:rPr>
          <w:sz w:val="22"/>
          <w:szCs w:val="22"/>
          <w:vertAlign w:val="superscript"/>
          <w:lang w:val="en-CA"/>
        </w:rPr>
        <w:endnoteReference w:id="33"/>
      </w:r>
    </w:p>
    <w:p w14:paraId="12A73A9B" w14:textId="77777777" w:rsidR="00BE15C5" w:rsidRPr="00C44B3A" w:rsidRDefault="00BE15C5" w:rsidP="00BE15C5">
      <w:pPr>
        <w:jc w:val="both"/>
        <w:rPr>
          <w:sz w:val="22"/>
          <w:szCs w:val="22"/>
          <w:lang w:val="en-CA"/>
        </w:rPr>
      </w:pPr>
    </w:p>
    <w:p w14:paraId="347FFF69" w14:textId="66EF56FC" w:rsidR="00BE15C5" w:rsidRPr="00C44B3A" w:rsidRDefault="00BE15C5" w:rsidP="00BE15C5">
      <w:pPr>
        <w:jc w:val="both"/>
        <w:rPr>
          <w:sz w:val="22"/>
          <w:szCs w:val="22"/>
          <w:lang w:val="en-CA"/>
        </w:rPr>
      </w:pPr>
      <w:r w:rsidRPr="00C44B3A">
        <w:rPr>
          <w:sz w:val="22"/>
          <w:szCs w:val="22"/>
          <w:lang w:val="en-CA"/>
        </w:rPr>
        <w:t>To ensure designers and engineers at NFI were provided with the best tools to meet and exceed customer requirements, the company had a strong commitment to computer-aided design, manufacturing, and engineering software technologies as well as virtual product design. The firm implemented lean manufacturing methods and was committed to continuous improvement.</w:t>
      </w:r>
      <w:r w:rsidRPr="00C44B3A">
        <w:rPr>
          <w:sz w:val="22"/>
          <w:szCs w:val="22"/>
          <w:vertAlign w:val="superscript"/>
          <w:lang w:val="en-CA"/>
        </w:rPr>
        <w:endnoteReference w:id="34"/>
      </w:r>
      <w:r w:rsidRPr="00C44B3A">
        <w:rPr>
          <w:sz w:val="22"/>
          <w:szCs w:val="22"/>
          <w:lang w:val="en-CA"/>
        </w:rPr>
        <w:t xml:space="preserve"> </w:t>
      </w:r>
      <w:r w:rsidR="00505346" w:rsidRPr="00C44B3A">
        <w:rPr>
          <w:sz w:val="22"/>
          <w:szCs w:val="22"/>
          <w:lang w:val="en-CA"/>
        </w:rPr>
        <w:t>NFI</w:t>
      </w:r>
      <w:r w:rsidRPr="00C44B3A">
        <w:rPr>
          <w:sz w:val="22"/>
          <w:szCs w:val="22"/>
          <w:lang w:val="en-CA"/>
        </w:rPr>
        <w:t xml:space="preserve"> invested heavily in research and development</w:t>
      </w:r>
      <w:r w:rsidR="00505346" w:rsidRPr="00C44B3A">
        <w:rPr>
          <w:sz w:val="22"/>
          <w:szCs w:val="22"/>
          <w:lang w:val="en-CA"/>
        </w:rPr>
        <w:t>, which</w:t>
      </w:r>
      <w:r w:rsidRPr="00C44B3A">
        <w:rPr>
          <w:sz w:val="22"/>
          <w:szCs w:val="22"/>
          <w:lang w:val="en-CA"/>
        </w:rPr>
        <w:t xml:space="preserve"> was backed by a large, dedicated engineering group.</w:t>
      </w:r>
      <w:r w:rsidRPr="00C44B3A">
        <w:rPr>
          <w:sz w:val="22"/>
          <w:szCs w:val="22"/>
          <w:vertAlign w:val="superscript"/>
          <w:lang w:val="en-CA"/>
        </w:rPr>
        <w:endnoteReference w:id="35"/>
      </w:r>
      <w:r w:rsidRPr="00C44B3A">
        <w:rPr>
          <w:sz w:val="22"/>
          <w:szCs w:val="22"/>
          <w:lang w:val="en-CA"/>
        </w:rPr>
        <w:t xml:space="preserve"> </w:t>
      </w:r>
    </w:p>
    <w:p w14:paraId="2D763457" w14:textId="77777777" w:rsidR="00BE15C5" w:rsidRPr="00C44B3A" w:rsidRDefault="00BE15C5" w:rsidP="00BE15C5">
      <w:pPr>
        <w:jc w:val="both"/>
        <w:rPr>
          <w:sz w:val="22"/>
          <w:szCs w:val="22"/>
          <w:lang w:val="en-CA"/>
        </w:rPr>
      </w:pPr>
    </w:p>
    <w:p w14:paraId="2AC2B53D" w14:textId="35F55A1B" w:rsidR="00BE15C5" w:rsidRPr="00C44B3A" w:rsidRDefault="00003EC7" w:rsidP="00BE15C5">
      <w:pPr>
        <w:jc w:val="both"/>
        <w:rPr>
          <w:sz w:val="22"/>
          <w:szCs w:val="22"/>
          <w:lang w:val="en-CA"/>
        </w:rPr>
      </w:pPr>
      <w:r w:rsidRPr="00C44B3A">
        <w:rPr>
          <w:sz w:val="22"/>
          <w:szCs w:val="22"/>
          <w:lang w:val="en-CA"/>
        </w:rPr>
        <w:t>T</w:t>
      </w:r>
      <w:r w:rsidR="00BE15C5" w:rsidRPr="00C44B3A">
        <w:rPr>
          <w:sz w:val="22"/>
          <w:szCs w:val="22"/>
          <w:lang w:val="en-CA"/>
        </w:rPr>
        <w:t xml:space="preserve">he importance of innovation </w:t>
      </w:r>
      <w:r w:rsidRPr="00C44B3A">
        <w:rPr>
          <w:sz w:val="22"/>
          <w:szCs w:val="22"/>
          <w:lang w:val="en-CA"/>
        </w:rPr>
        <w:t>was demonstrated by</w:t>
      </w:r>
      <w:r w:rsidR="00BE15C5" w:rsidRPr="00C44B3A">
        <w:rPr>
          <w:sz w:val="22"/>
          <w:szCs w:val="22"/>
          <w:lang w:val="en-CA"/>
        </w:rPr>
        <w:t xml:space="preserve"> the company</w:t>
      </w:r>
      <w:r w:rsidRPr="00C44B3A">
        <w:rPr>
          <w:sz w:val="22"/>
          <w:szCs w:val="22"/>
          <w:lang w:val="en-CA"/>
        </w:rPr>
        <w:t>’s establishment of a new product development unit</w:t>
      </w:r>
      <w:r w:rsidR="00933F30" w:rsidRPr="00C44B3A">
        <w:rPr>
          <w:sz w:val="22"/>
          <w:szCs w:val="22"/>
          <w:lang w:val="en-CA"/>
        </w:rPr>
        <w:t xml:space="preserve"> for developing and testing prototypes. </w:t>
      </w:r>
      <w:r w:rsidRPr="00C44B3A">
        <w:rPr>
          <w:sz w:val="22"/>
          <w:szCs w:val="22"/>
          <w:lang w:val="en-CA"/>
        </w:rPr>
        <w:t>W</w:t>
      </w:r>
      <w:r w:rsidR="00BE15C5" w:rsidRPr="00C44B3A">
        <w:rPr>
          <w:sz w:val="22"/>
          <w:szCs w:val="22"/>
          <w:lang w:val="en-CA"/>
        </w:rPr>
        <w:t xml:space="preserve">hen a product was successfully test-marketed with customers, the new concept </w:t>
      </w:r>
      <w:r w:rsidR="00933F30" w:rsidRPr="00C44B3A">
        <w:rPr>
          <w:sz w:val="22"/>
          <w:szCs w:val="22"/>
          <w:lang w:val="en-CA"/>
        </w:rPr>
        <w:t xml:space="preserve">was </w:t>
      </w:r>
      <w:r w:rsidR="00BE15C5" w:rsidRPr="00C44B3A">
        <w:rPr>
          <w:sz w:val="22"/>
          <w:szCs w:val="22"/>
          <w:lang w:val="en-CA"/>
        </w:rPr>
        <w:t xml:space="preserve">sent to the </w:t>
      </w:r>
      <w:r w:rsidR="00933F30" w:rsidRPr="00C44B3A">
        <w:rPr>
          <w:sz w:val="22"/>
          <w:szCs w:val="22"/>
          <w:lang w:val="en-CA"/>
        </w:rPr>
        <w:t xml:space="preserve">new product development </w:t>
      </w:r>
      <w:r w:rsidR="00BE15C5" w:rsidRPr="00C44B3A">
        <w:rPr>
          <w:sz w:val="22"/>
          <w:szCs w:val="22"/>
          <w:lang w:val="en-CA"/>
        </w:rPr>
        <w:t>unit</w:t>
      </w:r>
      <w:r w:rsidR="00933F30" w:rsidRPr="00C44B3A">
        <w:rPr>
          <w:sz w:val="22"/>
          <w:szCs w:val="22"/>
          <w:lang w:val="en-CA"/>
        </w:rPr>
        <w:t>, which</w:t>
      </w:r>
      <w:r w:rsidR="00BE15C5" w:rsidRPr="00C44B3A">
        <w:rPr>
          <w:sz w:val="22"/>
          <w:szCs w:val="22"/>
          <w:lang w:val="en-CA"/>
        </w:rPr>
        <w:t xml:space="preserve"> aimed to implement product design concepts</w:t>
      </w:r>
      <w:r w:rsidR="00933F30" w:rsidRPr="00C44B3A">
        <w:rPr>
          <w:sz w:val="22"/>
          <w:szCs w:val="22"/>
          <w:lang w:val="en-CA"/>
        </w:rPr>
        <w:t xml:space="preserve">; </w:t>
      </w:r>
      <w:r w:rsidR="00BE15C5" w:rsidRPr="00C44B3A">
        <w:rPr>
          <w:sz w:val="22"/>
          <w:szCs w:val="22"/>
          <w:lang w:val="en-CA"/>
        </w:rPr>
        <w:t>fabricate, test</w:t>
      </w:r>
      <w:r w:rsidR="00933F30" w:rsidRPr="00C44B3A">
        <w:rPr>
          <w:sz w:val="22"/>
          <w:szCs w:val="22"/>
          <w:lang w:val="en-CA"/>
        </w:rPr>
        <w:t>,</w:t>
      </w:r>
      <w:r w:rsidR="00BE15C5" w:rsidRPr="00C44B3A">
        <w:rPr>
          <w:sz w:val="22"/>
          <w:szCs w:val="22"/>
          <w:lang w:val="en-CA"/>
        </w:rPr>
        <w:t xml:space="preserve"> and certify prototypes</w:t>
      </w:r>
      <w:r w:rsidR="00933F30" w:rsidRPr="00C44B3A">
        <w:rPr>
          <w:sz w:val="22"/>
          <w:szCs w:val="22"/>
          <w:lang w:val="en-CA"/>
        </w:rPr>
        <w:t>;</w:t>
      </w:r>
      <w:r w:rsidR="00BE15C5" w:rsidRPr="00C44B3A">
        <w:rPr>
          <w:sz w:val="22"/>
          <w:szCs w:val="22"/>
          <w:lang w:val="en-CA"/>
        </w:rPr>
        <w:t xml:space="preserve"> and develop solutions to any problems that </w:t>
      </w:r>
      <w:r w:rsidR="00933F30" w:rsidRPr="00C44B3A">
        <w:rPr>
          <w:sz w:val="22"/>
          <w:szCs w:val="22"/>
          <w:lang w:val="en-CA"/>
        </w:rPr>
        <w:t xml:space="preserve">might </w:t>
      </w:r>
      <w:r w:rsidR="00BE15C5" w:rsidRPr="00C44B3A">
        <w:rPr>
          <w:sz w:val="22"/>
          <w:szCs w:val="22"/>
          <w:lang w:val="en-CA"/>
        </w:rPr>
        <w:t>arise</w:t>
      </w:r>
      <w:r w:rsidR="00933F30" w:rsidRPr="00C44B3A">
        <w:rPr>
          <w:sz w:val="22"/>
          <w:szCs w:val="22"/>
          <w:lang w:val="en-CA"/>
        </w:rPr>
        <w:t xml:space="preserve"> in order </w:t>
      </w:r>
      <w:r w:rsidR="00BE15C5" w:rsidRPr="00C44B3A">
        <w:rPr>
          <w:sz w:val="22"/>
          <w:szCs w:val="22"/>
          <w:lang w:val="en-CA"/>
        </w:rPr>
        <w:t xml:space="preserve">to ensure the best possible product </w:t>
      </w:r>
      <w:r w:rsidR="00933F30" w:rsidRPr="00C44B3A">
        <w:rPr>
          <w:sz w:val="22"/>
          <w:szCs w:val="22"/>
          <w:lang w:val="en-CA"/>
        </w:rPr>
        <w:t>was delivered to</w:t>
      </w:r>
      <w:r w:rsidR="00BE15C5" w:rsidRPr="00C44B3A">
        <w:rPr>
          <w:sz w:val="22"/>
          <w:szCs w:val="22"/>
          <w:lang w:val="en-CA"/>
        </w:rPr>
        <w:t xml:space="preserve"> the market.</w:t>
      </w:r>
      <w:r w:rsidR="00BE15C5" w:rsidRPr="00C44B3A">
        <w:rPr>
          <w:sz w:val="22"/>
          <w:szCs w:val="22"/>
          <w:vertAlign w:val="superscript"/>
          <w:lang w:val="en-CA"/>
        </w:rPr>
        <w:endnoteReference w:id="36"/>
      </w:r>
      <w:r w:rsidR="00BE15C5" w:rsidRPr="00C44B3A">
        <w:rPr>
          <w:sz w:val="22"/>
          <w:szCs w:val="22"/>
          <w:lang w:val="en-CA"/>
        </w:rPr>
        <w:t xml:space="preserve"> </w:t>
      </w:r>
      <w:r w:rsidR="00933F30" w:rsidRPr="00C44B3A">
        <w:rPr>
          <w:sz w:val="22"/>
          <w:szCs w:val="22"/>
          <w:lang w:val="en-CA"/>
        </w:rPr>
        <w:t xml:space="preserve">The company further codified its </w:t>
      </w:r>
      <w:r w:rsidR="00BE15C5" w:rsidRPr="00C44B3A">
        <w:rPr>
          <w:sz w:val="22"/>
          <w:szCs w:val="22"/>
          <w:lang w:val="en-CA"/>
        </w:rPr>
        <w:t>commitment to innovation in October of 2017 with the unveiling</w:t>
      </w:r>
      <w:r w:rsidR="007A12E6" w:rsidRPr="00C44B3A">
        <w:rPr>
          <w:sz w:val="22"/>
          <w:szCs w:val="22"/>
          <w:lang w:val="en-CA"/>
        </w:rPr>
        <w:t xml:space="preserve"> of </w:t>
      </w:r>
      <w:r w:rsidR="00933F30" w:rsidRPr="00C44B3A">
        <w:rPr>
          <w:sz w:val="22"/>
          <w:szCs w:val="22"/>
          <w:lang w:val="en-CA"/>
        </w:rPr>
        <w:t>a</w:t>
      </w:r>
      <w:r w:rsidR="007A12E6" w:rsidRPr="00C44B3A">
        <w:rPr>
          <w:sz w:val="22"/>
          <w:szCs w:val="22"/>
          <w:lang w:val="en-CA"/>
        </w:rPr>
        <w:t xml:space="preserve"> </w:t>
      </w:r>
      <w:r w:rsidR="00933F30" w:rsidRPr="00C44B3A">
        <w:rPr>
          <w:sz w:val="22"/>
          <w:szCs w:val="22"/>
          <w:lang w:val="en-CA"/>
        </w:rPr>
        <w:t>US</w:t>
      </w:r>
      <w:r w:rsidR="007A12E6" w:rsidRPr="00C44B3A">
        <w:rPr>
          <w:sz w:val="22"/>
          <w:szCs w:val="22"/>
          <w:lang w:val="en-CA"/>
        </w:rPr>
        <w:t>$4.1</w:t>
      </w:r>
      <w:r w:rsidR="00141F81" w:rsidRPr="00C44B3A">
        <w:rPr>
          <w:sz w:val="22"/>
          <w:szCs w:val="22"/>
          <w:lang w:val="en-CA"/>
        </w:rPr>
        <w:t>-</w:t>
      </w:r>
      <w:r w:rsidR="007A12E6" w:rsidRPr="00C44B3A">
        <w:rPr>
          <w:sz w:val="22"/>
          <w:szCs w:val="22"/>
          <w:lang w:val="en-CA"/>
        </w:rPr>
        <w:t>million</w:t>
      </w:r>
      <w:r w:rsidR="00BE15C5" w:rsidRPr="00C44B3A">
        <w:rPr>
          <w:sz w:val="22"/>
          <w:szCs w:val="22"/>
          <w:lang w:val="en-CA"/>
        </w:rPr>
        <w:t xml:space="preserve"> Vehicle I</w:t>
      </w:r>
      <w:r w:rsidR="007A12E6" w:rsidRPr="00C44B3A">
        <w:rPr>
          <w:sz w:val="22"/>
          <w:szCs w:val="22"/>
          <w:lang w:val="en-CA"/>
        </w:rPr>
        <w:t xml:space="preserve">nnovation </w:t>
      </w:r>
      <w:r w:rsidR="00933F30" w:rsidRPr="00C44B3A">
        <w:rPr>
          <w:sz w:val="22"/>
          <w:szCs w:val="22"/>
          <w:lang w:val="en-CA"/>
        </w:rPr>
        <w:t xml:space="preserve">Center </w:t>
      </w:r>
      <w:r w:rsidR="007A12E6" w:rsidRPr="00C44B3A">
        <w:rPr>
          <w:sz w:val="22"/>
          <w:szCs w:val="22"/>
          <w:lang w:val="en-CA"/>
        </w:rPr>
        <w:t>in Anniston, Alabama</w:t>
      </w:r>
      <w:r w:rsidR="00BE15C5" w:rsidRPr="00C44B3A">
        <w:rPr>
          <w:sz w:val="22"/>
          <w:szCs w:val="22"/>
          <w:lang w:val="en-CA"/>
        </w:rPr>
        <w:t>.</w:t>
      </w:r>
      <w:r w:rsidR="00BE15C5" w:rsidRPr="00C44B3A">
        <w:rPr>
          <w:sz w:val="22"/>
          <w:szCs w:val="22"/>
          <w:vertAlign w:val="superscript"/>
          <w:lang w:val="en-CA"/>
        </w:rPr>
        <w:endnoteReference w:id="37"/>
      </w:r>
      <w:r w:rsidR="00BE15C5" w:rsidRPr="00C44B3A">
        <w:rPr>
          <w:sz w:val="22"/>
          <w:szCs w:val="22"/>
          <w:lang w:val="en-CA"/>
        </w:rPr>
        <w:t xml:space="preserve"> </w:t>
      </w:r>
    </w:p>
    <w:p w14:paraId="0AAFB184" w14:textId="77777777" w:rsidR="00BE15C5" w:rsidRPr="00C44B3A" w:rsidRDefault="00BE15C5" w:rsidP="00BE15C5">
      <w:pPr>
        <w:jc w:val="both"/>
        <w:rPr>
          <w:sz w:val="22"/>
          <w:szCs w:val="22"/>
          <w:u w:val="single"/>
          <w:lang w:val="en-CA"/>
        </w:rPr>
      </w:pPr>
    </w:p>
    <w:p w14:paraId="1139CBF4" w14:textId="77777777" w:rsidR="00F9210D" w:rsidRPr="00C44B3A" w:rsidRDefault="00F9210D" w:rsidP="00BE15C5">
      <w:pPr>
        <w:jc w:val="both"/>
        <w:rPr>
          <w:sz w:val="22"/>
          <w:szCs w:val="22"/>
          <w:u w:val="single"/>
          <w:lang w:val="en-CA"/>
        </w:rPr>
      </w:pPr>
    </w:p>
    <w:p w14:paraId="71520F8D" w14:textId="77777777" w:rsidR="00BE15C5" w:rsidRPr="00C44B3A" w:rsidRDefault="00BE15C5" w:rsidP="00BE15C5">
      <w:pPr>
        <w:jc w:val="both"/>
        <w:rPr>
          <w:rFonts w:ascii="Arial" w:hAnsi="Arial" w:cs="Arial"/>
          <w:b/>
          <w:szCs w:val="22"/>
          <w:lang w:val="en-CA"/>
        </w:rPr>
      </w:pPr>
      <w:r w:rsidRPr="00C44B3A">
        <w:rPr>
          <w:rFonts w:ascii="Arial" w:hAnsi="Arial" w:cs="Arial"/>
          <w:b/>
          <w:szCs w:val="22"/>
          <w:lang w:val="en-CA"/>
        </w:rPr>
        <w:t>Culture</w:t>
      </w:r>
    </w:p>
    <w:p w14:paraId="742B9219" w14:textId="77777777" w:rsidR="00F9210D" w:rsidRPr="00C44B3A" w:rsidRDefault="00F9210D" w:rsidP="00F9210D">
      <w:pPr>
        <w:pStyle w:val="BodyTextMain"/>
        <w:rPr>
          <w:lang w:val="en-CA"/>
        </w:rPr>
      </w:pPr>
    </w:p>
    <w:p w14:paraId="4690CF47" w14:textId="39741DDD" w:rsidR="00BE15C5" w:rsidRPr="00C44B3A" w:rsidRDefault="00BE15C5" w:rsidP="00BE15C5">
      <w:pPr>
        <w:jc w:val="both"/>
        <w:rPr>
          <w:spacing w:val="-2"/>
          <w:kern w:val="22"/>
          <w:sz w:val="22"/>
          <w:szCs w:val="22"/>
          <w:lang w:val="en-CA"/>
        </w:rPr>
      </w:pPr>
      <w:r w:rsidRPr="00C44B3A">
        <w:rPr>
          <w:rFonts w:eastAsia="Calibri"/>
          <w:color w:val="000000" w:themeColor="text1"/>
          <w:spacing w:val="-2"/>
          <w:kern w:val="22"/>
          <w:sz w:val="22"/>
          <w:szCs w:val="24"/>
          <w:lang w:val="en-CA"/>
        </w:rPr>
        <w:t xml:space="preserve">The company maintained an employee focus and </w:t>
      </w:r>
      <w:r w:rsidR="00AF65E3" w:rsidRPr="00C44B3A">
        <w:rPr>
          <w:rFonts w:eastAsia="Calibri"/>
          <w:color w:val="000000" w:themeColor="text1"/>
          <w:spacing w:val="-2"/>
          <w:kern w:val="22"/>
          <w:sz w:val="22"/>
          <w:szCs w:val="24"/>
          <w:lang w:val="en-CA"/>
        </w:rPr>
        <w:t xml:space="preserve">aimed to be </w:t>
      </w:r>
      <w:r w:rsidRPr="00C44B3A">
        <w:rPr>
          <w:rFonts w:eastAsia="Calibri"/>
          <w:color w:val="000000" w:themeColor="text1"/>
          <w:spacing w:val="-2"/>
          <w:kern w:val="22"/>
          <w:sz w:val="22"/>
          <w:szCs w:val="24"/>
          <w:lang w:val="en-CA"/>
        </w:rPr>
        <w:t xml:space="preserve">a </w:t>
      </w:r>
      <w:r w:rsidR="00AF65E3" w:rsidRPr="00C44B3A">
        <w:rPr>
          <w:rFonts w:eastAsia="Calibri"/>
          <w:color w:val="000000" w:themeColor="text1"/>
          <w:spacing w:val="-2"/>
          <w:kern w:val="22"/>
          <w:sz w:val="22"/>
          <w:szCs w:val="24"/>
          <w:lang w:val="en-CA"/>
        </w:rPr>
        <w:t>g</w:t>
      </w:r>
      <w:r w:rsidRPr="00C44B3A">
        <w:rPr>
          <w:rFonts w:eastAsia="Calibri"/>
          <w:color w:val="000000" w:themeColor="text1"/>
          <w:spacing w:val="-2"/>
          <w:kern w:val="22"/>
          <w:sz w:val="22"/>
          <w:szCs w:val="24"/>
          <w:lang w:val="en-CA"/>
        </w:rPr>
        <w:t xml:space="preserve">reat </w:t>
      </w:r>
      <w:r w:rsidR="00AF65E3" w:rsidRPr="00C44B3A">
        <w:rPr>
          <w:rFonts w:eastAsia="Calibri"/>
          <w:color w:val="000000" w:themeColor="text1"/>
          <w:spacing w:val="-2"/>
          <w:kern w:val="22"/>
          <w:sz w:val="22"/>
          <w:szCs w:val="24"/>
          <w:lang w:val="en-CA"/>
        </w:rPr>
        <w:t>place to work;</w:t>
      </w:r>
      <w:r w:rsidR="00AF65E3" w:rsidRPr="00C44B3A">
        <w:rPr>
          <w:rFonts w:eastAsia="Calibri"/>
          <w:i/>
          <w:color w:val="000000" w:themeColor="text1"/>
          <w:spacing w:val="-2"/>
          <w:kern w:val="22"/>
          <w:sz w:val="22"/>
          <w:szCs w:val="24"/>
          <w:lang w:val="en-CA"/>
        </w:rPr>
        <w:t xml:space="preserve"> </w:t>
      </w:r>
      <w:r w:rsidR="00AF65E3" w:rsidRPr="00C44B3A">
        <w:rPr>
          <w:rFonts w:eastAsia="Calibri"/>
          <w:color w:val="000000" w:themeColor="text1"/>
          <w:spacing w:val="-2"/>
          <w:kern w:val="22"/>
          <w:sz w:val="22"/>
          <w:szCs w:val="24"/>
          <w:lang w:val="en-CA"/>
        </w:rPr>
        <w:t xml:space="preserve">it was </w:t>
      </w:r>
      <w:r w:rsidRPr="00C44B3A">
        <w:rPr>
          <w:rFonts w:eastAsia="Calibri"/>
          <w:color w:val="000000" w:themeColor="text1"/>
          <w:spacing w:val="-2"/>
          <w:kern w:val="22"/>
          <w:sz w:val="22"/>
          <w:szCs w:val="24"/>
          <w:lang w:val="en-CA"/>
        </w:rPr>
        <w:t xml:space="preserve">recognized as one of Canada’s Top 100 Employers </w:t>
      </w:r>
      <w:r w:rsidR="00AF65E3" w:rsidRPr="00C44B3A">
        <w:rPr>
          <w:rFonts w:eastAsia="Calibri"/>
          <w:color w:val="000000" w:themeColor="text1"/>
          <w:spacing w:val="-2"/>
          <w:kern w:val="22"/>
          <w:sz w:val="22"/>
          <w:szCs w:val="24"/>
          <w:lang w:val="en-CA"/>
        </w:rPr>
        <w:t xml:space="preserve">for attracting and retaining employees </w:t>
      </w:r>
      <w:r w:rsidRPr="00C44B3A">
        <w:rPr>
          <w:rFonts w:eastAsia="Calibri"/>
          <w:color w:val="000000" w:themeColor="text1"/>
          <w:spacing w:val="-2"/>
          <w:kern w:val="22"/>
          <w:sz w:val="22"/>
          <w:szCs w:val="24"/>
          <w:lang w:val="en-CA"/>
        </w:rPr>
        <w:t xml:space="preserve">from 2006 </w:t>
      </w:r>
      <w:r w:rsidR="00933F30" w:rsidRPr="00C44B3A">
        <w:rPr>
          <w:rFonts w:eastAsia="Calibri"/>
          <w:color w:val="000000" w:themeColor="text1"/>
          <w:spacing w:val="-2"/>
          <w:kern w:val="22"/>
          <w:sz w:val="22"/>
          <w:szCs w:val="24"/>
          <w:lang w:val="en-CA"/>
        </w:rPr>
        <w:t xml:space="preserve">to </w:t>
      </w:r>
      <w:r w:rsidRPr="00C44B3A">
        <w:rPr>
          <w:rFonts w:eastAsia="Calibri"/>
          <w:color w:val="000000" w:themeColor="text1"/>
          <w:spacing w:val="-2"/>
          <w:kern w:val="22"/>
          <w:sz w:val="22"/>
          <w:szCs w:val="24"/>
          <w:lang w:val="en-CA"/>
        </w:rPr>
        <w:t>2011. The company’s industry-leading practices included competitive compensation packages, unique training opportunities, employee involvement, benefit and retirement programs</w:t>
      </w:r>
      <w:r w:rsidR="00AF65E3" w:rsidRPr="00C44B3A">
        <w:rPr>
          <w:rFonts w:eastAsia="Calibri"/>
          <w:color w:val="000000" w:themeColor="text1"/>
          <w:spacing w:val="-2"/>
          <w:kern w:val="22"/>
          <w:sz w:val="22"/>
          <w:szCs w:val="24"/>
          <w:lang w:val="en-CA"/>
        </w:rPr>
        <w:t>,</w:t>
      </w:r>
      <w:r w:rsidRPr="00C44B3A">
        <w:rPr>
          <w:rFonts w:eastAsia="Calibri"/>
          <w:color w:val="000000" w:themeColor="text1"/>
          <w:spacing w:val="-2"/>
          <w:kern w:val="22"/>
          <w:sz w:val="22"/>
          <w:szCs w:val="24"/>
          <w:lang w:val="en-CA"/>
        </w:rPr>
        <w:t xml:space="preserve"> and company events.</w:t>
      </w:r>
      <w:r w:rsidRPr="00C44B3A">
        <w:rPr>
          <w:rFonts w:eastAsia="Calibri"/>
          <w:color w:val="000000" w:themeColor="text1"/>
          <w:spacing w:val="-2"/>
          <w:kern w:val="22"/>
          <w:sz w:val="22"/>
          <w:szCs w:val="24"/>
          <w:vertAlign w:val="superscript"/>
          <w:lang w:val="en-CA"/>
        </w:rPr>
        <w:endnoteReference w:id="38"/>
      </w:r>
      <w:r w:rsidRPr="00C44B3A">
        <w:rPr>
          <w:rFonts w:eastAsia="Calibri"/>
          <w:color w:val="000000" w:themeColor="text1"/>
          <w:spacing w:val="-2"/>
          <w:kern w:val="22"/>
          <w:sz w:val="22"/>
          <w:szCs w:val="24"/>
          <w:lang w:val="en-CA"/>
        </w:rPr>
        <w:t xml:space="preserve"> As of January 1, 2017</w:t>
      </w:r>
      <w:r w:rsidR="00AF65E3" w:rsidRPr="00C44B3A">
        <w:rPr>
          <w:rFonts w:eastAsia="Calibri"/>
          <w:color w:val="000000" w:themeColor="text1"/>
          <w:spacing w:val="-2"/>
          <w:kern w:val="22"/>
          <w:sz w:val="22"/>
          <w:szCs w:val="24"/>
          <w:lang w:val="en-CA"/>
        </w:rPr>
        <w:t>,</w:t>
      </w:r>
      <w:r w:rsidRPr="00C44B3A">
        <w:rPr>
          <w:rFonts w:eastAsia="Calibri"/>
          <w:color w:val="000000" w:themeColor="text1"/>
          <w:spacing w:val="-2"/>
          <w:kern w:val="22"/>
          <w:sz w:val="22"/>
          <w:szCs w:val="24"/>
          <w:lang w:val="en-CA"/>
        </w:rPr>
        <w:t xml:space="preserve"> the company had 5,100 employees with an average age of approximately 45 years and an average tenure with the company of approximately 11 years. Approximately half of the employees were unionized.</w:t>
      </w:r>
      <w:r w:rsidRPr="00C44B3A">
        <w:rPr>
          <w:rFonts w:eastAsia="Calibri"/>
          <w:color w:val="000000" w:themeColor="text1"/>
          <w:spacing w:val="-2"/>
          <w:kern w:val="22"/>
          <w:sz w:val="22"/>
          <w:szCs w:val="24"/>
          <w:vertAlign w:val="superscript"/>
          <w:lang w:val="en-CA"/>
        </w:rPr>
        <w:endnoteReference w:id="39"/>
      </w:r>
      <w:r w:rsidRPr="00C44B3A">
        <w:rPr>
          <w:rFonts w:eastAsia="Calibri"/>
          <w:color w:val="000000" w:themeColor="text1"/>
          <w:spacing w:val="-2"/>
          <w:kern w:val="22"/>
          <w:sz w:val="22"/>
          <w:szCs w:val="24"/>
          <w:lang w:val="en-CA"/>
        </w:rPr>
        <w:t xml:space="preserve"> </w:t>
      </w:r>
    </w:p>
    <w:p w14:paraId="3C6CBCEC" w14:textId="77777777" w:rsidR="00BE15C5" w:rsidRPr="00C44B3A" w:rsidRDefault="00BE15C5" w:rsidP="00BE15C5">
      <w:pPr>
        <w:jc w:val="both"/>
        <w:rPr>
          <w:sz w:val="22"/>
          <w:szCs w:val="22"/>
          <w:lang w:val="en-CA"/>
        </w:rPr>
      </w:pPr>
    </w:p>
    <w:p w14:paraId="32987351" w14:textId="52A59A51" w:rsidR="00BE15C5" w:rsidRPr="00C44B3A" w:rsidRDefault="00AF65E3" w:rsidP="00BE15C5">
      <w:pPr>
        <w:jc w:val="both"/>
        <w:rPr>
          <w:spacing w:val="-4"/>
          <w:kern w:val="22"/>
          <w:sz w:val="22"/>
          <w:szCs w:val="22"/>
          <w:lang w:val="en-CA"/>
        </w:rPr>
      </w:pPr>
      <w:r w:rsidRPr="00C44B3A">
        <w:rPr>
          <w:spacing w:val="-4"/>
          <w:kern w:val="22"/>
          <w:sz w:val="22"/>
          <w:szCs w:val="22"/>
          <w:lang w:val="en-CA"/>
        </w:rPr>
        <w:t>NFI’s</w:t>
      </w:r>
      <w:r w:rsidR="00BE15C5" w:rsidRPr="00C44B3A">
        <w:rPr>
          <w:spacing w:val="-4"/>
          <w:kern w:val="22"/>
          <w:sz w:val="22"/>
          <w:szCs w:val="22"/>
          <w:lang w:val="en-CA"/>
        </w:rPr>
        <w:t xml:space="preserve"> core values were </w:t>
      </w:r>
      <w:r w:rsidRPr="00C44B3A">
        <w:rPr>
          <w:spacing w:val="-4"/>
          <w:kern w:val="22"/>
          <w:sz w:val="22"/>
          <w:szCs w:val="22"/>
          <w:lang w:val="en-CA"/>
        </w:rPr>
        <w:t xml:space="preserve">reflected in </w:t>
      </w:r>
      <w:r w:rsidR="00BE15C5" w:rsidRPr="00C44B3A">
        <w:rPr>
          <w:spacing w:val="-4"/>
          <w:kern w:val="22"/>
          <w:sz w:val="22"/>
          <w:szCs w:val="22"/>
          <w:lang w:val="en-CA"/>
        </w:rPr>
        <w:t>the principles, standards</w:t>
      </w:r>
      <w:r w:rsidRPr="00C44B3A">
        <w:rPr>
          <w:spacing w:val="-4"/>
          <w:kern w:val="22"/>
          <w:sz w:val="22"/>
          <w:szCs w:val="22"/>
          <w:lang w:val="en-CA"/>
        </w:rPr>
        <w:t>,</w:t>
      </w:r>
      <w:r w:rsidR="00BE15C5" w:rsidRPr="00C44B3A">
        <w:rPr>
          <w:spacing w:val="-4"/>
          <w:kern w:val="22"/>
          <w:sz w:val="22"/>
          <w:szCs w:val="22"/>
          <w:lang w:val="en-CA"/>
        </w:rPr>
        <w:t xml:space="preserve"> and qualities that </w:t>
      </w:r>
      <w:r w:rsidRPr="00C44B3A">
        <w:rPr>
          <w:spacing w:val="-4"/>
          <w:kern w:val="22"/>
          <w:sz w:val="22"/>
          <w:szCs w:val="22"/>
          <w:lang w:val="en-CA"/>
        </w:rPr>
        <w:t>were</w:t>
      </w:r>
      <w:r w:rsidR="00BE15C5" w:rsidRPr="00C44B3A">
        <w:rPr>
          <w:spacing w:val="-4"/>
          <w:kern w:val="22"/>
          <w:sz w:val="22"/>
          <w:szCs w:val="22"/>
          <w:lang w:val="en-CA"/>
        </w:rPr>
        <w:t xml:space="preserve"> desired </w:t>
      </w:r>
      <w:r w:rsidRPr="00C44B3A">
        <w:rPr>
          <w:spacing w:val="-4"/>
          <w:kern w:val="22"/>
          <w:sz w:val="22"/>
          <w:szCs w:val="22"/>
          <w:lang w:val="en-CA"/>
        </w:rPr>
        <w:t>in</w:t>
      </w:r>
      <w:r w:rsidR="00BE15C5" w:rsidRPr="00C44B3A">
        <w:rPr>
          <w:spacing w:val="-4"/>
          <w:kern w:val="22"/>
          <w:sz w:val="22"/>
          <w:szCs w:val="22"/>
          <w:lang w:val="en-CA"/>
        </w:rPr>
        <w:t xml:space="preserve"> all employees:</w:t>
      </w:r>
    </w:p>
    <w:p w14:paraId="1D8CAC24" w14:textId="77777777" w:rsidR="00BE15C5" w:rsidRPr="00C44B3A" w:rsidRDefault="00BE15C5" w:rsidP="00BE15C5">
      <w:pPr>
        <w:jc w:val="both"/>
        <w:rPr>
          <w:sz w:val="22"/>
          <w:szCs w:val="22"/>
          <w:lang w:val="en-CA"/>
        </w:rPr>
      </w:pPr>
    </w:p>
    <w:p w14:paraId="38B4A005" w14:textId="77777777" w:rsidR="00BE15C5" w:rsidRPr="00C44B3A" w:rsidRDefault="00BE15C5" w:rsidP="00A26412">
      <w:pPr>
        <w:pStyle w:val="ListParagraph"/>
        <w:numPr>
          <w:ilvl w:val="1"/>
          <w:numId w:val="43"/>
        </w:numPr>
        <w:rPr>
          <w:lang w:val="en-CA"/>
        </w:rPr>
      </w:pPr>
      <w:r w:rsidRPr="00C44B3A">
        <w:rPr>
          <w:bCs/>
          <w:lang w:val="en-CA"/>
        </w:rPr>
        <w:t>Integrity</w:t>
      </w:r>
      <w:r w:rsidRPr="00C44B3A">
        <w:rPr>
          <w:lang w:val="en-CA"/>
        </w:rPr>
        <w:t xml:space="preserve">: Adhere to our values and consistently deliver on our promises. </w:t>
      </w:r>
    </w:p>
    <w:p w14:paraId="046BA97A" w14:textId="77777777" w:rsidR="00BE15C5" w:rsidRPr="00C44B3A" w:rsidRDefault="00BE15C5" w:rsidP="00A26412">
      <w:pPr>
        <w:pStyle w:val="ListParagraph"/>
        <w:numPr>
          <w:ilvl w:val="1"/>
          <w:numId w:val="43"/>
        </w:numPr>
        <w:rPr>
          <w:lang w:val="en-CA"/>
        </w:rPr>
      </w:pPr>
      <w:r w:rsidRPr="00C44B3A">
        <w:rPr>
          <w:bCs/>
          <w:lang w:val="en-CA"/>
        </w:rPr>
        <w:t>Dependability</w:t>
      </w:r>
      <w:r w:rsidRPr="00C44B3A">
        <w:rPr>
          <w:lang w:val="en-CA"/>
        </w:rPr>
        <w:t>: Consistent behavior or performance that is deserving of trust.</w:t>
      </w:r>
    </w:p>
    <w:p w14:paraId="31514FA4" w14:textId="77777777" w:rsidR="00BE15C5" w:rsidRPr="00C44B3A" w:rsidRDefault="00BE15C5" w:rsidP="00A26412">
      <w:pPr>
        <w:pStyle w:val="ListParagraph"/>
        <w:numPr>
          <w:ilvl w:val="1"/>
          <w:numId w:val="43"/>
        </w:numPr>
        <w:rPr>
          <w:lang w:val="en-CA"/>
        </w:rPr>
      </w:pPr>
      <w:r w:rsidRPr="00C44B3A">
        <w:rPr>
          <w:bCs/>
          <w:lang w:val="en-CA"/>
        </w:rPr>
        <w:t>Accountability</w:t>
      </w:r>
      <w:r w:rsidRPr="00C44B3A">
        <w:rPr>
          <w:lang w:val="en-CA"/>
        </w:rPr>
        <w:t xml:space="preserve">: Willingness to accept responsibility and answer for our action. </w:t>
      </w:r>
    </w:p>
    <w:p w14:paraId="17690166" w14:textId="77777777" w:rsidR="00BE15C5" w:rsidRPr="00C44B3A" w:rsidRDefault="00BE15C5" w:rsidP="00A26412">
      <w:pPr>
        <w:pStyle w:val="ListParagraph"/>
        <w:numPr>
          <w:ilvl w:val="1"/>
          <w:numId w:val="43"/>
        </w:numPr>
        <w:rPr>
          <w:lang w:val="en-CA"/>
        </w:rPr>
      </w:pPr>
      <w:r w:rsidRPr="00C44B3A">
        <w:rPr>
          <w:bCs/>
          <w:lang w:val="en-CA"/>
        </w:rPr>
        <w:t>Passionate</w:t>
      </w:r>
      <w:r w:rsidRPr="00C44B3A">
        <w:rPr>
          <w:lang w:val="en-CA"/>
        </w:rPr>
        <w:t xml:space="preserve">: Strong interest and enthusiasm in achieving successful outcomes. </w:t>
      </w:r>
    </w:p>
    <w:p w14:paraId="32677016" w14:textId="77777777" w:rsidR="00BE15C5" w:rsidRPr="00C44B3A" w:rsidRDefault="00BE15C5" w:rsidP="00A26412">
      <w:pPr>
        <w:pStyle w:val="ListParagraph"/>
        <w:numPr>
          <w:ilvl w:val="1"/>
          <w:numId w:val="43"/>
        </w:numPr>
        <w:rPr>
          <w:lang w:val="en-CA"/>
        </w:rPr>
      </w:pPr>
      <w:r w:rsidRPr="00C44B3A">
        <w:rPr>
          <w:bCs/>
          <w:lang w:val="en-CA"/>
        </w:rPr>
        <w:t>Responsive</w:t>
      </w:r>
      <w:r w:rsidRPr="00C44B3A">
        <w:rPr>
          <w:lang w:val="en-CA"/>
        </w:rPr>
        <w:t xml:space="preserve">: Promptly and professionally reply to external and internal inquiries. </w:t>
      </w:r>
    </w:p>
    <w:p w14:paraId="4543C127" w14:textId="7050C6DC" w:rsidR="00BE15C5" w:rsidRPr="00C44B3A" w:rsidRDefault="00BE15C5" w:rsidP="00A26412">
      <w:pPr>
        <w:pStyle w:val="ListParagraph"/>
        <w:numPr>
          <w:ilvl w:val="1"/>
          <w:numId w:val="43"/>
        </w:numPr>
        <w:rPr>
          <w:lang w:val="en-CA"/>
        </w:rPr>
      </w:pPr>
      <w:r w:rsidRPr="00C44B3A">
        <w:rPr>
          <w:bCs/>
          <w:lang w:val="en-CA"/>
        </w:rPr>
        <w:t>Decisive</w:t>
      </w:r>
      <w:r w:rsidRPr="00C44B3A">
        <w:rPr>
          <w:lang w:val="en-CA"/>
        </w:rPr>
        <w:t>: Make</w:t>
      </w:r>
      <w:r w:rsidR="00190EBA" w:rsidRPr="00C44B3A">
        <w:rPr>
          <w:lang w:val="en-CA"/>
        </w:rPr>
        <w:t>s</w:t>
      </w:r>
      <w:r w:rsidRPr="00C44B3A">
        <w:rPr>
          <w:lang w:val="en-CA"/>
        </w:rPr>
        <w:t xml:space="preserve"> decisions supported by appropriate information and takes action. </w:t>
      </w:r>
    </w:p>
    <w:p w14:paraId="5355C1BE" w14:textId="77777777" w:rsidR="00BE15C5" w:rsidRPr="00C44B3A" w:rsidRDefault="00BE15C5" w:rsidP="00A26412">
      <w:pPr>
        <w:pStyle w:val="ListParagraph"/>
        <w:numPr>
          <w:ilvl w:val="1"/>
          <w:numId w:val="43"/>
        </w:numPr>
        <w:rPr>
          <w:lang w:val="en-CA"/>
        </w:rPr>
      </w:pPr>
      <w:r w:rsidRPr="00C44B3A">
        <w:rPr>
          <w:bCs/>
          <w:lang w:val="en-CA"/>
        </w:rPr>
        <w:t>Fair</w:t>
      </w:r>
      <w:r w:rsidRPr="00C44B3A">
        <w:rPr>
          <w:lang w:val="en-CA"/>
        </w:rPr>
        <w:t xml:space="preserve">: Makes unbiased decisions and seeks to balance the interests of all stakeholders. </w:t>
      </w:r>
    </w:p>
    <w:p w14:paraId="1BF6884B" w14:textId="208E8D29" w:rsidR="00BE15C5" w:rsidRPr="00C44B3A" w:rsidRDefault="00BE15C5" w:rsidP="00A26412">
      <w:pPr>
        <w:pStyle w:val="ListParagraph"/>
        <w:numPr>
          <w:ilvl w:val="1"/>
          <w:numId w:val="43"/>
        </w:numPr>
        <w:rPr>
          <w:spacing w:val="-4"/>
          <w:kern w:val="22"/>
          <w:lang w:val="en-CA"/>
        </w:rPr>
      </w:pPr>
      <w:r w:rsidRPr="00C44B3A">
        <w:rPr>
          <w:bCs/>
          <w:spacing w:val="-4"/>
          <w:kern w:val="22"/>
          <w:lang w:val="en-CA"/>
        </w:rPr>
        <w:t>Ethical</w:t>
      </w:r>
      <w:r w:rsidRPr="00C44B3A">
        <w:rPr>
          <w:spacing w:val="-4"/>
          <w:kern w:val="22"/>
          <w:lang w:val="en-CA"/>
        </w:rPr>
        <w:t>: Adhere</w:t>
      </w:r>
      <w:r w:rsidR="00190EBA" w:rsidRPr="00C44B3A">
        <w:rPr>
          <w:spacing w:val="-4"/>
          <w:kern w:val="22"/>
          <w:lang w:val="en-CA"/>
        </w:rPr>
        <w:t>s</w:t>
      </w:r>
      <w:r w:rsidRPr="00C44B3A">
        <w:rPr>
          <w:spacing w:val="-4"/>
          <w:kern w:val="22"/>
          <w:lang w:val="en-CA"/>
        </w:rPr>
        <w:t xml:space="preserve"> to applicable laws and accepted standards of social or professional behavior. </w:t>
      </w:r>
    </w:p>
    <w:p w14:paraId="5BD758CC" w14:textId="77777777" w:rsidR="00BE15C5" w:rsidRPr="00C44B3A" w:rsidRDefault="00BE15C5" w:rsidP="00A26412">
      <w:pPr>
        <w:pStyle w:val="ListParagraph"/>
        <w:numPr>
          <w:ilvl w:val="1"/>
          <w:numId w:val="43"/>
        </w:numPr>
        <w:rPr>
          <w:lang w:val="en-CA"/>
        </w:rPr>
      </w:pPr>
      <w:r w:rsidRPr="00C44B3A">
        <w:rPr>
          <w:bCs/>
          <w:lang w:val="en-CA"/>
        </w:rPr>
        <w:t>Citizenship</w:t>
      </w:r>
      <w:r w:rsidRPr="00C44B3A">
        <w:rPr>
          <w:lang w:val="en-CA"/>
        </w:rPr>
        <w:t>: Socially conscious member and willing participant in appropriate local, reg</w:t>
      </w:r>
      <w:r w:rsidR="00F9210D" w:rsidRPr="00C44B3A">
        <w:rPr>
          <w:lang w:val="en-CA"/>
        </w:rPr>
        <w:t>ional and industry initiatives.</w:t>
      </w:r>
      <w:r w:rsidRPr="00C44B3A">
        <w:rPr>
          <w:vertAlign w:val="superscript"/>
          <w:lang w:val="en-CA"/>
        </w:rPr>
        <w:endnoteReference w:id="40"/>
      </w:r>
    </w:p>
    <w:p w14:paraId="6F7662BF" w14:textId="77777777" w:rsidR="00BE15C5" w:rsidRPr="00C44B3A" w:rsidRDefault="00BE15C5" w:rsidP="00784365">
      <w:pPr>
        <w:pStyle w:val="BodyTextMain"/>
        <w:rPr>
          <w:lang w:val="en-CA"/>
        </w:rPr>
      </w:pPr>
    </w:p>
    <w:p w14:paraId="2BB73505" w14:textId="22F062F4" w:rsidR="00BE15C5" w:rsidRPr="00C44B3A" w:rsidRDefault="00BE15C5" w:rsidP="00BE15C5">
      <w:pPr>
        <w:widowControl w:val="0"/>
        <w:autoSpaceDE w:val="0"/>
        <w:autoSpaceDN w:val="0"/>
        <w:spacing w:before="1"/>
        <w:ind w:left="140" w:right="133"/>
        <w:jc w:val="both"/>
        <w:rPr>
          <w:rFonts w:eastAsia="Calibri"/>
          <w:color w:val="000000" w:themeColor="text1"/>
          <w:sz w:val="22"/>
          <w:szCs w:val="24"/>
          <w:lang w:val="en-CA"/>
        </w:rPr>
      </w:pPr>
      <w:r w:rsidRPr="00C44B3A">
        <w:rPr>
          <w:rFonts w:eastAsia="Calibri"/>
          <w:color w:val="000000" w:themeColor="text1"/>
          <w:sz w:val="22"/>
          <w:szCs w:val="24"/>
          <w:lang w:val="en-CA"/>
        </w:rPr>
        <w:t>The company</w:t>
      </w:r>
      <w:r w:rsidR="006B1025" w:rsidRPr="00C44B3A">
        <w:rPr>
          <w:rFonts w:eastAsia="Calibri"/>
          <w:color w:val="000000" w:themeColor="text1"/>
          <w:sz w:val="22"/>
          <w:szCs w:val="24"/>
          <w:lang w:val="en-CA"/>
        </w:rPr>
        <w:t xml:space="preserve"> promoted</w:t>
      </w:r>
      <w:r w:rsidRPr="00C44B3A">
        <w:rPr>
          <w:rFonts w:eastAsia="Calibri"/>
          <w:color w:val="000000" w:themeColor="text1"/>
          <w:sz w:val="22"/>
          <w:szCs w:val="24"/>
          <w:lang w:val="en-CA"/>
        </w:rPr>
        <w:t xml:space="preserve"> a safe and friendly working environment with a focus on training and communication. The training and education function</w:t>
      </w:r>
      <w:r w:rsidR="009326DE" w:rsidRPr="00C44B3A">
        <w:rPr>
          <w:rFonts w:eastAsia="Calibri"/>
          <w:color w:val="000000" w:themeColor="text1"/>
          <w:sz w:val="22"/>
          <w:szCs w:val="24"/>
          <w:lang w:val="en-CA"/>
        </w:rPr>
        <w:t>—</w:t>
      </w:r>
      <w:r w:rsidRPr="00C44B3A">
        <w:rPr>
          <w:rFonts w:eastAsia="Calibri"/>
          <w:color w:val="000000" w:themeColor="text1"/>
          <w:sz w:val="22"/>
          <w:szCs w:val="24"/>
          <w:lang w:val="en-CA"/>
        </w:rPr>
        <w:t>the New Flyer Institute</w:t>
      </w:r>
      <w:r w:rsidR="009326DE" w:rsidRPr="00C44B3A">
        <w:rPr>
          <w:rFonts w:eastAsia="Calibri"/>
          <w:color w:val="000000" w:themeColor="text1"/>
          <w:sz w:val="22"/>
          <w:szCs w:val="24"/>
          <w:lang w:val="en-CA"/>
        </w:rPr>
        <w:t>—</w:t>
      </w:r>
      <w:r w:rsidRPr="00C44B3A">
        <w:rPr>
          <w:rFonts w:eastAsia="Calibri"/>
          <w:color w:val="000000" w:themeColor="text1"/>
          <w:sz w:val="22"/>
          <w:szCs w:val="24"/>
          <w:lang w:val="en-CA"/>
        </w:rPr>
        <w:t xml:space="preserve">was dedicated to developing and maintaining partnerships with manufacturing programs and educational institutes to </w:t>
      </w:r>
      <w:r w:rsidRPr="00C44B3A">
        <w:rPr>
          <w:rFonts w:eastAsia="Calibri"/>
          <w:color w:val="000000" w:themeColor="text1"/>
          <w:sz w:val="22"/>
          <w:szCs w:val="24"/>
          <w:lang w:val="en-CA"/>
        </w:rPr>
        <w:lastRenderedPageBreak/>
        <w:t xml:space="preserve">recognize and give credit for </w:t>
      </w:r>
      <w:r w:rsidR="009326DE" w:rsidRPr="00C44B3A">
        <w:rPr>
          <w:rFonts w:eastAsia="Calibri"/>
          <w:color w:val="000000" w:themeColor="text1"/>
          <w:sz w:val="22"/>
          <w:szCs w:val="24"/>
          <w:lang w:val="en-CA"/>
        </w:rPr>
        <w:t>NFI</w:t>
      </w:r>
      <w:r w:rsidRPr="00C44B3A">
        <w:rPr>
          <w:rFonts w:eastAsia="Calibri"/>
          <w:color w:val="000000" w:themeColor="text1"/>
          <w:sz w:val="22"/>
          <w:szCs w:val="24"/>
          <w:lang w:val="en-CA"/>
        </w:rPr>
        <w:t xml:space="preserve"> certifications. The electronic employee communication tool</w:t>
      </w:r>
      <w:r w:rsidR="009326DE" w:rsidRPr="00C44B3A">
        <w:rPr>
          <w:rFonts w:eastAsia="Calibri"/>
          <w:color w:val="000000" w:themeColor="text1"/>
          <w:sz w:val="22"/>
          <w:szCs w:val="24"/>
          <w:lang w:val="en-CA"/>
        </w:rPr>
        <w:t>,</w:t>
      </w:r>
      <w:r w:rsidRPr="00C44B3A">
        <w:rPr>
          <w:rFonts w:eastAsia="Calibri"/>
          <w:color w:val="000000" w:themeColor="text1"/>
          <w:sz w:val="22"/>
          <w:szCs w:val="24"/>
          <w:lang w:val="en-CA"/>
        </w:rPr>
        <w:t xml:space="preserve"> called </w:t>
      </w:r>
      <w:proofErr w:type="spellStart"/>
      <w:r w:rsidRPr="00C44B3A">
        <w:rPr>
          <w:rFonts w:eastAsia="Calibri"/>
          <w:color w:val="000000" w:themeColor="text1"/>
          <w:sz w:val="22"/>
          <w:szCs w:val="24"/>
          <w:lang w:val="en-CA"/>
        </w:rPr>
        <w:t>iBus</w:t>
      </w:r>
      <w:proofErr w:type="spellEnd"/>
      <w:r w:rsidR="009326DE" w:rsidRPr="00C44B3A">
        <w:rPr>
          <w:rFonts w:eastAsia="Calibri"/>
          <w:color w:val="000000" w:themeColor="text1"/>
          <w:sz w:val="22"/>
          <w:szCs w:val="24"/>
          <w:lang w:val="en-CA"/>
        </w:rPr>
        <w:t>,</w:t>
      </w:r>
      <w:r w:rsidRPr="00C44B3A">
        <w:rPr>
          <w:rFonts w:eastAsia="Calibri"/>
          <w:color w:val="000000" w:themeColor="text1"/>
          <w:sz w:val="22"/>
          <w:szCs w:val="24"/>
          <w:lang w:val="en-CA"/>
        </w:rPr>
        <w:t xml:space="preserve"> provided employees with one-stop access to essential business links and company information</w:t>
      </w:r>
      <w:r w:rsidR="009326DE" w:rsidRPr="00C44B3A">
        <w:rPr>
          <w:rFonts w:eastAsia="Calibri"/>
          <w:color w:val="000000" w:themeColor="text1"/>
          <w:sz w:val="22"/>
          <w:szCs w:val="24"/>
          <w:lang w:val="en-CA"/>
        </w:rPr>
        <w:t>,</w:t>
      </w:r>
      <w:r w:rsidRPr="00C44B3A">
        <w:rPr>
          <w:rFonts w:eastAsia="Calibri"/>
          <w:color w:val="000000" w:themeColor="text1"/>
          <w:sz w:val="22"/>
          <w:szCs w:val="24"/>
          <w:lang w:val="en-CA"/>
        </w:rPr>
        <w:t xml:space="preserve"> and employees were encouraged to present feedback through comprehensive employee surveys. The CEO and executive team also regularly engaged with company team members.</w:t>
      </w:r>
      <w:r w:rsidRPr="00C44B3A">
        <w:rPr>
          <w:rFonts w:eastAsia="Calibri"/>
          <w:color w:val="000000" w:themeColor="text1"/>
          <w:sz w:val="22"/>
          <w:szCs w:val="24"/>
          <w:vertAlign w:val="superscript"/>
          <w:lang w:val="en-CA"/>
        </w:rPr>
        <w:endnoteReference w:id="41"/>
      </w:r>
    </w:p>
    <w:p w14:paraId="2E79CF91" w14:textId="77777777" w:rsidR="00BE15C5" w:rsidRPr="00C44B3A" w:rsidRDefault="00BE15C5" w:rsidP="00784365">
      <w:pPr>
        <w:pStyle w:val="BodyTextMain"/>
        <w:rPr>
          <w:lang w:val="en-CA"/>
        </w:rPr>
      </w:pPr>
    </w:p>
    <w:p w14:paraId="121CC3D9" w14:textId="77777777" w:rsidR="00BE15C5" w:rsidRPr="00C44B3A" w:rsidRDefault="00BE15C5" w:rsidP="00784365">
      <w:pPr>
        <w:pStyle w:val="BodyTextMain"/>
        <w:rPr>
          <w:lang w:val="en-CA"/>
        </w:rPr>
      </w:pPr>
    </w:p>
    <w:p w14:paraId="74920AF6" w14:textId="77777777" w:rsidR="00BE15C5" w:rsidRPr="00C44B3A" w:rsidRDefault="00BE15C5" w:rsidP="00BE15C5">
      <w:pPr>
        <w:jc w:val="both"/>
        <w:rPr>
          <w:rFonts w:ascii="Arial" w:hAnsi="Arial" w:cs="Arial"/>
          <w:b/>
          <w:caps/>
          <w:lang w:val="en-CA"/>
        </w:rPr>
      </w:pPr>
      <w:r w:rsidRPr="00C44B3A">
        <w:rPr>
          <w:rFonts w:ascii="Arial" w:hAnsi="Arial" w:cs="Arial"/>
          <w:b/>
          <w:caps/>
          <w:lang w:val="en-CA"/>
        </w:rPr>
        <w:t>the</w:t>
      </w:r>
      <w:r w:rsidRPr="00C44B3A">
        <w:rPr>
          <w:rFonts w:ascii="Arial" w:hAnsi="Arial" w:cs="Arial"/>
          <w:b/>
          <w:lang w:val="en-CA"/>
        </w:rPr>
        <w:t xml:space="preserve"> DRIVERS IN THE OTHER LANES</w:t>
      </w:r>
    </w:p>
    <w:p w14:paraId="21BB62E0" w14:textId="77777777" w:rsidR="00BE15C5" w:rsidRPr="00C44B3A" w:rsidRDefault="00BE15C5" w:rsidP="00BE15C5">
      <w:pPr>
        <w:jc w:val="both"/>
        <w:rPr>
          <w:rFonts w:eastAsia="Calibri"/>
          <w:sz w:val="22"/>
          <w:szCs w:val="22"/>
          <w:lang w:val="en-CA"/>
        </w:rPr>
      </w:pPr>
    </w:p>
    <w:p w14:paraId="2CCCE73F" w14:textId="77777777" w:rsidR="00BE15C5" w:rsidRPr="00C44B3A" w:rsidRDefault="00BE15C5" w:rsidP="00BE15C5">
      <w:pPr>
        <w:jc w:val="both"/>
        <w:rPr>
          <w:rFonts w:ascii="Arial" w:eastAsia="Calibri" w:hAnsi="Arial" w:cs="Arial"/>
          <w:b/>
          <w:szCs w:val="22"/>
          <w:lang w:val="en-CA"/>
        </w:rPr>
      </w:pPr>
      <w:r w:rsidRPr="00C44B3A">
        <w:rPr>
          <w:rFonts w:ascii="Arial" w:eastAsia="Calibri" w:hAnsi="Arial" w:cs="Arial"/>
          <w:b/>
          <w:szCs w:val="22"/>
          <w:lang w:val="en-CA"/>
        </w:rPr>
        <w:t>Transit Buses</w:t>
      </w:r>
    </w:p>
    <w:p w14:paraId="4BD01462" w14:textId="77777777" w:rsidR="00784365" w:rsidRPr="00C44B3A" w:rsidRDefault="00784365" w:rsidP="00784365">
      <w:pPr>
        <w:pStyle w:val="BodyTextMain"/>
        <w:rPr>
          <w:rFonts w:eastAsia="Calibri"/>
          <w:lang w:val="en-CA"/>
        </w:rPr>
      </w:pPr>
    </w:p>
    <w:p w14:paraId="08AACBCC" w14:textId="40174384" w:rsidR="00BE15C5" w:rsidRPr="00C44B3A" w:rsidRDefault="00BE15C5" w:rsidP="00BE15C5">
      <w:pPr>
        <w:jc w:val="both"/>
        <w:rPr>
          <w:sz w:val="22"/>
          <w:szCs w:val="22"/>
          <w:lang w:val="en-CA"/>
        </w:rPr>
      </w:pPr>
      <w:r w:rsidRPr="00C44B3A">
        <w:rPr>
          <w:rFonts w:eastAsia="Calibri"/>
          <w:sz w:val="22"/>
          <w:szCs w:val="22"/>
          <w:lang w:val="en-CA"/>
        </w:rPr>
        <w:t>NFI was the leading manufacturer of heavy-duty transit buses in the United States and Canada in 2016</w:t>
      </w:r>
      <w:r w:rsidR="009326DE" w:rsidRPr="00C44B3A">
        <w:rPr>
          <w:rFonts w:eastAsia="Calibri"/>
          <w:sz w:val="22"/>
          <w:szCs w:val="22"/>
          <w:lang w:val="en-CA"/>
        </w:rPr>
        <w:t>;</w:t>
      </w:r>
      <w:r w:rsidRPr="00C44B3A">
        <w:rPr>
          <w:rFonts w:eastAsia="Calibri"/>
          <w:sz w:val="22"/>
          <w:szCs w:val="22"/>
          <w:lang w:val="en-CA"/>
        </w:rPr>
        <w:t xml:space="preserve"> managemen</w:t>
      </w:r>
      <w:r w:rsidR="007A12E6" w:rsidRPr="00C44B3A">
        <w:rPr>
          <w:rFonts w:eastAsia="Calibri"/>
          <w:sz w:val="22"/>
          <w:szCs w:val="22"/>
          <w:lang w:val="en-CA"/>
        </w:rPr>
        <w:t xml:space="preserve">t </w:t>
      </w:r>
      <w:r w:rsidR="009326DE" w:rsidRPr="00C44B3A">
        <w:rPr>
          <w:rFonts w:eastAsia="Calibri"/>
          <w:sz w:val="22"/>
          <w:szCs w:val="22"/>
          <w:lang w:val="en-CA"/>
        </w:rPr>
        <w:t>estimated it had an</w:t>
      </w:r>
      <w:r w:rsidR="007A12E6" w:rsidRPr="00C44B3A">
        <w:rPr>
          <w:rFonts w:eastAsia="Calibri"/>
          <w:sz w:val="22"/>
          <w:szCs w:val="22"/>
          <w:lang w:val="en-CA"/>
        </w:rPr>
        <w:t xml:space="preserve"> approximate 44</w:t>
      </w:r>
      <w:r w:rsidR="00F37465" w:rsidRPr="00C44B3A">
        <w:rPr>
          <w:rFonts w:eastAsia="Calibri"/>
          <w:sz w:val="22"/>
          <w:szCs w:val="22"/>
          <w:lang w:val="en-CA"/>
        </w:rPr>
        <w:t>-</w:t>
      </w:r>
      <w:r w:rsidR="007A12E6" w:rsidRPr="00C44B3A">
        <w:rPr>
          <w:rFonts w:eastAsia="Calibri"/>
          <w:sz w:val="22"/>
          <w:szCs w:val="22"/>
          <w:lang w:val="en-CA"/>
        </w:rPr>
        <w:t>per</w:t>
      </w:r>
      <w:r w:rsidR="00F37465" w:rsidRPr="00C44B3A">
        <w:rPr>
          <w:rFonts w:eastAsia="Calibri"/>
          <w:sz w:val="22"/>
          <w:szCs w:val="22"/>
          <w:lang w:val="en-CA"/>
        </w:rPr>
        <w:t>-</w:t>
      </w:r>
      <w:r w:rsidR="007A12E6" w:rsidRPr="00C44B3A">
        <w:rPr>
          <w:rFonts w:eastAsia="Calibri"/>
          <w:sz w:val="22"/>
          <w:szCs w:val="22"/>
          <w:lang w:val="en-CA"/>
        </w:rPr>
        <w:t>cent</w:t>
      </w:r>
      <w:r w:rsidRPr="00C44B3A">
        <w:rPr>
          <w:rFonts w:eastAsia="Calibri"/>
          <w:sz w:val="22"/>
          <w:szCs w:val="22"/>
          <w:lang w:val="en-CA"/>
        </w:rPr>
        <w:t xml:space="preserve"> market share.</w:t>
      </w:r>
      <w:r w:rsidRPr="00C44B3A">
        <w:rPr>
          <w:rFonts w:eastAsia="Calibri"/>
          <w:sz w:val="22"/>
          <w:szCs w:val="22"/>
          <w:vertAlign w:val="superscript"/>
          <w:lang w:val="en-CA"/>
        </w:rPr>
        <w:endnoteReference w:id="42"/>
      </w:r>
      <w:r w:rsidRPr="00C44B3A">
        <w:rPr>
          <w:sz w:val="22"/>
          <w:szCs w:val="22"/>
          <w:lang w:val="en-CA"/>
        </w:rPr>
        <w:t xml:space="preserve"> The competitive landscape for transit buses in the United States and Canada was dominated by three major competitors: </w:t>
      </w:r>
      <w:r w:rsidR="009326DE" w:rsidRPr="00C44B3A">
        <w:rPr>
          <w:sz w:val="22"/>
          <w:szCs w:val="22"/>
          <w:lang w:val="en-CA"/>
        </w:rPr>
        <w:t>NFI</w:t>
      </w:r>
      <w:r w:rsidRPr="00C44B3A">
        <w:rPr>
          <w:sz w:val="22"/>
          <w:szCs w:val="22"/>
          <w:lang w:val="en-CA"/>
        </w:rPr>
        <w:t xml:space="preserve">, </w:t>
      </w:r>
      <w:proofErr w:type="spellStart"/>
      <w:r w:rsidRPr="00C44B3A">
        <w:rPr>
          <w:sz w:val="22"/>
          <w:szCs w:val="22"/>
          <w:lang w:val="en-CA"/>
        </w:rPr>
        <w:t>Gillig</w:t>
      </w:r>
      <w:proofErr w:type="spellEnd"/>
      <w:r w:rsidRPr="00C44B3A">
        <w:rPr>
          <w:sz w:val="22"/>
          <w:szCs w:val="22"/>
          <w:lang w:val="en-CA"/>
        </w:rPr>
        <w:t xml:space="preserve"> LLC</w:t>
      </w:r>
      <w:r w:rsidR="007A12E6" w:rsidRPr="00C44B3A">
        <w:rPr>
          <w:sz w:val="22"/>
          <w:szCs w:val="22"/>
          <w:lang w:val="en-CA"/>
        </w:rPr>
        <w:t xml:space="preserve"> (</w:t>
      </w:r>
      <w:proofErr w:type="spellStart"/>
      <w:r w:rsidR="007A12E6" w:rsidRPr="00C44B3A">
        <w:rPr>
          <w:sz w:val="22"/>
          <w:szCs w:val="22"/>
          <w:lang w:val="en-CA"/>
        </w:rPr>
        <w:t>Gillig</w:t>
      </w:r>
      <w:proofErr w:type="spellEnd"/>
      <w:r w:rsidR="007A12E6" w:rsidRPr="00C44B3A">
        <w:rPr>
          <w:sz w:val="22"/>
          <w:szCs w:val="22"/>
          <w:lang w:val="en-CA"/>
        </w:rPr>
        <w:t>)</w:t>
      </w:r>
      <w:r w:rsidRPr="00C44B3A">
        <w:rPr>
          <w:sz w:val="22"/>
          <w:szCs w:val="22"/>
          <w:lang w:val="en-CA"/>
        </w:rPr>
        <w:t>, and Nova Bus Inc.</w:t>
      </w:r>
      <w:r w:rsidR="00F37465" w:rsidRPr="00C44B3A">
        <w:rPr>
          <w:sz w:val="22"/>
          <w:szCs w:val="22"/>
          <w:lang w:val="en-CA"/>
        </w:rPr>
        <w:t xml:space="preserve"> (Nova Bus).</w:t>
      </w:r>
      <w:r w:rsidRPr="00C44B3A">
        <w:rPr>
          <w:sz w:val="22"/>
          <w:szCs w:val="22"/>
          <w:vertAlign w:val="superscript"/>
          <w:lang w:val="en-CA"/>
        </w:rPr>
        <w:endnoteReference w:id="43"/>
      </w:r>
      <w:r w:rsidRPr="00C44B3A">
        <w:rPr>
          <w:sz w:val="22"/>
          <w:szCs w:val="22"/>
          <w:lang w:val="en-CA"/>
        </w:rPr>
        <w:t xml:space="preserve"> </w:t>
      </w:r>
    </w:p>
    <w:p w14:paraId="1B58FC92" w14:textId="77777777" w:rsidR="00BE15C5" w:rsidRPr="00C44B3A" w:rsidRDefault="00BE15C5" w:rsidP="00BE15C5">
      <w:pPr>
        <w:jc w:val="both"/>
        <w:rPr>
          <w:sz w:val="22"/>
          <w:szCs w:val="22"/>
          <w:lang w:val="en-CA"/>
        </w:rPr>
      </w:pPr>
    </w:p>
    <w:p w14:paraId="3FDE2E01" w14:textId="4B8C1F90" w:rsidR="00BE15C5" w:rsidRPr="00C44B3A" w:rsidRDefault="00BE15C5" w:rsidP="00BE15C5">
      <w:pPr>
        <w:jc w:val="both"/>
        <w:rPr>
          <w:sz w:val="22"/>
          <w:szCs w:val="22"/>
          <w:lang w:val="en-CA"/>
        </w:rPr>
      </w:pPr>
      <w:proofErr w:type="spellStart"/>
      <w:r w:rsidRPr="00C44B3A">
        <w:rPr>
          <w:sz w:val="22"/>
          <w:szCs w:val="22"/>
          <w:lang w:val="en-CA"/>
        </w:rPr>
        <w:t>Gillig</w:t>
      </w:r>
      <w:proofErr w:type="spellEnd"/>
      <w:r w:rsidRPr="00C44B3A">
        <w:rPr>
          <w:sz w:val="22"/>
          <w:szCs w:val="22"/>
          <w:lang w:val="en-CA"/>
        </w:rPr>
        <w:t xml:space="preserve"> was the </w:t>
      </w:r>
      <w:r w:rsidR="009326DE" w:rsidRPr="00C44B3A">
        <w:rPr>
          <w:sz w:val="22"/>
          <w:szCs w:val="22"/>
          <w:lang w:val="en-CA"/>
        </w:rPr>
        <w:t>second-</w:t>
      </w:r>
      <w:r w:rsidRPr="00C44B3A">
        <w:rPr>
          <w:sz w:val="22"/>
          <w:szCs w:val="22"/>
          <w:lang w:val="en-CA"/>
        </w:rPr>
        <w:t xml:space="preserve">largest producer of transit buses in North America </w:t>
      </w:r>
      <w:r w:rsidR="009326DE" w:rsidRPr="00C44B3A">
        <w:rPr>
          <w:sz w:val="22"/>
          <w:szCs w:val="22"/>
          <w:lang w:val="en-CA"/>
        </w:rPr>
        <w:t xml:space="preserve">and had </w:t>
      </w:r>
      <w:r w:rsidRPr="00C44B3A">
        <w:rPr>
          <w:sz w:val="22"/>
          <w:szCs w:val="22"/>
          <w:lang w:val="en-CA"/>
        </w:rPr>
        <w:t>a 127</w:t>
      </w:r>
      <w:r w:rsidR="009326DE" w:rsidRPr="00C44B3A">
        <w:rPr>
          <w:sz w:val="22"/>
          <w:szCs w:val="22"/>
          <w:lang w:val="en-CA"/>
        </w:rPr>
        <w:t>-</w:t>
      </w:r>
      <w:r w:rsidRPr="00C44B3A">
        <w:rPr>
          <w:sz w:val="22"/>
          <w:szCs w:val="22"/>
          <w:lang w:val="en-CA"/>
        </w:rPr>
        <w:t xml:space="preserve">year history and a focus on service and quality. </w:t>
      </w:r>
      <w:proofErr w:type="spellStart"/>
      <w:r w:rsidRPr="00C44B3A">
        <w:rPr>
          <w:sz w:val="22"/>
          <w:szCs w:val="22"/>
          <w:lang w:val="en-CA"/>
        </w:rPr>
        <w:t>Gillig</w:t>
      </w:r>
      <w:proofErr w:type="spellEnd"/>
      <w:r w:rsidRPr="00C44B3A">
        <w:rPr>
          <w:sz w:val="22"/>
          <w:szCs w:val="22"/>
          <w:lang w:val="en-CA"/>
        </w:rPr>
        <w:t xml:space="preserve"> was privately</w:t>
      </w:r>
      <w:r w:rsidR="009326DE" w:rsidRPr="00C44B3A">
        <w:rPr>
          <w:sz w:val="22"/>
          <w:szCs w:val="22"/>
          <w:lang w:val="en-CA"/>
        </w:rPr>
        <w:t xml:space="preserve"> </w:t>
      </w:r>
      <w:r w:rsidRPr="00C44B3A">
        <w:rPr>
          <w:sz w:val="22"/>
          <w:szCs w:val="22"/>
          <w:lang w:val="en-CA"/>
        </w:rPr>
        <w:t>owned</w:t>
      </w:r>
      <w:r w:rsidR="009326DE" w:rsidRPr="00C44B3A">
        <w:rPr>
          <w:sz w:val="22"/>
          <w:szCs w:val="22"/>
          <w:lang w:val="en-CA"/>
        </w:rPr>
        <w:t>,</w:t>
      </w:r>
      <w:r w:rsidRPr="00C44B3A">
        <w:rPr>
          <w:sz w:val="22"/>
          <w:szCs w:val="22"/>
          <w:lang w:val="en-CA"/>
        </w:rPr>
        <w:t xml:space="preserve"> the company’s buses were highly regarded by the U.S. transit industry for being economical and reliable</w:t>
      </w:r>
      <w:r w:rsidR="009326DE" w:rsidRPr="00C44B3A">
        <w:rPr>
          <w:sz w:val="22"/>
          <w:szCs w:val="22"/>
          <w:lang w:val="en-CA"/>
        </w:rPr>
        <w:t>,</w:t>
      </w:r>
      <w:r w:rsidRPr="00C44B3A">
        <w:rPr>
          <w:sz w:val="22"/>
          <w:szCs w:val="22"/>
          <w:lang w:val="en-CA"/>
        </w:rPr>
        <w:t xml:space="preserve"> and the firm had a solid reputation </w:t>
      </w:r>
      <w:r w:rsidR="009326DE" w:rsidRPr="00C44B3A">
        <w:rPr>
          <w:sz w:val="22"/>
          <w:szCs w:val="22"/>
          <w:lang w:val="en-CA"/>
        </w:rPr>
        <w:t xml:space="preserve">for </w:t>
      </w:r>
      <w:r w:rsidRPr="00C44B3A">
        <w:rPr>
          <w:sz w:val="22"/>
          <w:szCs w:val="22"/>
          <w:lang w:val="en-CA"/>
        </w:rPr>
        <w:t>being stable and financially secure. The company had recently expanded to a new manufacturing facility in Livermore, California.</w:t>
      </w:r>
      <w:r w:rsidRPr="00C44B3A">
        <w:rPr>
          <w:sz w:val="22"/>
          <w:szCs w:val="22"/>
          <w:vertAlign w:val="superscript"/>
          <w:lang w:val="en-CA"/>
        </w:rPr>
        <w:endnoteReference w:id="44"/>
      </w:r>
      <w:r w:rsidRPr="00C44B3A">
        <w:rPr>
          <w:sz w:val="22"/>
          <w:szCs w:val="22"/>
          <w:lang w:val="en-CA"/>
        </w:rPr>
        <w:t xml:space="preserve"> Nova Bus was a Canadian bus manufacturer headquartered in Saint-Eustache, Quebec</w:t>
      </w:r>
      <w:r w:rsidR="00F37465" w:rsidRPr="00C44B3A">
        <w:rPr>
          <w:sz w:val="22"/>
          <w:szCs w:val="22"/>
          <w:lang w:val="en-CA"/>
        </w:rPr>
        <w:t>;</w:t>
      </w:r>
      <w:r w:rsidRPr="00C44B3A">
        <w:rPr>
          <w:sz w:val="22"/>
          <w:szCs w:val="22"/>
          <w:lang w:val="en-CA"/>
        </w:rPr>
        <w:t xml:space="preserve"> </w:t>
      </w:r>
      <w:r w:rsidR="00F37465" w:rsidRPr="00C44B3A">
        <w:rPr>
          <w:sz w:val="22"/>
          <w:szCs w:val="22"/>
          <w:lang w:val="en-CA"/>
        </w:rPr>
        <w:t xml:space="preserve">it </w:t>
      </w:r>
      <w:r w:rsidR="009326DE" w:rsidRPr="00C44B3A">
        <w:rPr>
          <w:sz w:val="22"/>
          <w:szCs w:val="22"/>
          <w:lang w:val="en-CA"/>
        </w:rPr>
        <w:t xml:space="preserve">had been </w:t>
      </w:r>
      <w:r w:rsidRPr="00C44B3A">
        <w:rPr>
          <w:sz w:val="22"/>
          <w:szCs w:val="22"/>
          <w:lang w:val="en-CA"/>
        </w:rPr>
        <w:t xml:space="preserve">owned by </w:t>
      </w:r>
      <w:r w:rsidR="00667F97" w:rsidRPr="00C44B3A">
        <w:rPr>
          <w:sz w:val="22"/>
          <w:szCs w:val="22"/>
          <w:lang w:val="en-CA"/>
        </w:rPr>
        <w:t xml:space="preserve">the </w:t>
      </w:r>
      <w:r w:rsidRPr="00C44B3A">
        <w:rPr>
          <w:sz w:val="22"/>
          <w:szCs w:val="22"/>
          <w:lang w:val="en-CA"/>
        </w:rPr>
        <w:t xml:space="preserve">Volvo </w:t>
      </w:r>
      <w:r w:rsidR="00667F97" w:rsidRPr="00C44B3A">
        <w:rPr>
          <w:sz w:val="22"/>
          <w:szCs w:val="22"/>
          <w:lang w:val="en-CA"/>
        </w:rPr>
        <w:t>Group</w:t>
      </w:r>
      <w:r w:rsidRPr="00C44B3A">
        <w:rPr>
          <w:sz w:val="22"/>
          <w:szCs w:val="22"/>
          <w:lang w:val="en-CA"/>
        </w:rPr>
        <w:t xml:space="preserve"> since 2004. The company had returned to the U.S. market in 2009 with the opening of a new assembly plant in Plattsburgh, New York. Nova Bus had a strong presence in Canada and had secured some </w:t>
      </w:r>
      <w:r w:rsidR="00667F97" w:rsidRPr="00C44B3A">
        <w:rPr>
          <w:sz w:val="22"/>
          <w:szCs w:val="22"/>
          <w:lang w:val="en-CA"/>
        </w:rPr>
        <w:t>high-</w:t>
      </w:r>
      <w:r w:rsidRPr="00C44B3A">
        <w:rPr>
          <w:sz w:val="22"/>
          <w:szCs w:val="22"/>
          <w:lang w:val="en-CA"/>
        </w:rPr>
        <w:t>profile clients in the U</w:t>
      </w:r>
      <w:r w:rsidR="007A12E6" w:rsidRPr="00C44B3A">
        <w:rPr>
          <w:sz w:val="22"/>
          <w:szCs w:val="22"/>
          <w:lang w:val="en-CA"/>
        </w:rPr>
        <w:t xml:space="preserve">nited </w:t>
      </w:r>
      <w:r w:rsidRPr="00C44B3A">
        <w:rPr>
          <w:sz w:val="22"/>
          <w:szCs w:val="22"/>
          <w:lang w:val="en-CA"/>
        </w:rPr>
        <w:t>S</w:t>
      </w:r>
      <w:r w:rsidR="007A12E6" w:rsidRPr="00C44B3A">
        <w:rPr>
          <w:sz w:val="22"/>
          <w:szCs w:val="22"/>
          <w:lang w:val="en-CA"/>
        </w:rPr>
        <w:t>tates</w:t>
      </w:r>
      <w:r w:rsidRPr="00C44B3A">
        <w:rPr>
          <w:sz w:val="22"/>
          <w:szCs w:val="22"/>
          <w:lang w:val="en-CA"/>
        </w:rPr>
        <w:t>.</w:t>
      </w:r>
      <w:r w:rsidRPr="00C44B3A">
        <w:rPr>
          <w:sz w:val="22"/>
          <w:szCs w:val="22"/>
          <w:vertAlign w:val="superscript"/>
          <w:lang w:val="en-CA"/>
        </w:rPr>
        <w:endnoteReference w:id="45"/>
      </w:r>
      <w:r w:rsidRPr="00C44B3A">
        <w:rPr>
          <w:sz w:val="22"/>
          <w:szCs w:val="22"/>
          <w:lang w:val="en-CA"/>
        </w:rPr>
        <w:t xml:space="preserve"> Both Nova Bus and </w:t>
      </w:r>
      <w:proofErr w:type="spellStart"/>
      <w:r w:rsidRPr="00C44B3A">
        <w:rPr>
          <w:sz w:val="22"/>
          <w:szCs w:val="22"/>
          <w:lang w:val="en-CA"/>
        </w:rPr>
        <w:t>Gillig</w:t>
      </w:r>
      <w:proofErr w:type="spellEnd"/>
      <w:r w:rsidRPr="00C44B3A">
        <w:rPr>
          <w:sz w:val="22"/>
          <w:szCs w:val="22"/>
          <w:lang w:val="en-CA"/>
        </w:rPr>
        <w:t xml:space="preserve"> had introduced alternative propulsion systems in recent models. </w:t>
      </w:r>
    </w:p>
    <w:p w14:paraId="4997A259" w14:textId="77777777" w:rsidR="00BE15C5" w:rsidRPr="00C44B3A" w:rsidRDefault="00BE15C5" w:rsidP="00BE15C5">
      <w:pPr>
        <w:jc w:val="both"/>
        <w:rPr>
          <w:sz w:val="22"/>
          <w:szCs w:val="22"/>
          <w:lang w:val="en-CA"/>
        </w:rPr>
      </w:pPr>
    </w:p>
    <w:p w14:paraId="593BFCD5" w14:textId="6E01606D" w:rsidR="00BE15C5" w:rsidRPr="00C44B3A" w:rsidRDefault="00BE15C5" w:rsidP="00BE15C5">
      <w:pPr>
        <w:jc w:val="both"/>
        <w:rPr>
          <w:sz w:val="22"/>
          <w:szCs w:val="22"/>
          <w:lang w:val="en-CA"/>
        </w:rPr>
      </w:pPr>
      <w:r w:rsidRPr="00C44B3A">
        <w:rPr>
          <w:sz w:val="22"/>
          <w:szCs w:val="22"/>
          <w:lang w:val="en-CA"/>
        </w:rPr>
        <w:t xml:space="preserve">Other smaller bus manufacturers </w:t>
      </w:r>
      <w:r w:rsidR="00667F97" w:rsidRPr="00C44B3A">
        <w:rPr>
          <w:sz w:val="22"/>
          <w:szCs w:val="22"/>
          <w:lang w:val="en-CA"/>
        </w:rPr>
        <w:t>also existed; these included</w:t>
      </w:r>
      <w:r w:rsidRPr="00C44B3A">
        <w:rPr>
          <w:sz w:val="22"/>
          <w:szCs w:val="22"/>
          <w:lang w:val="en-CA"/>
        </w:rPr>
        <w:t xml:space="preserve"> </w:t>
      </w:r>
      <w:proofErr w:type="spellStart"/>
      <w:r w:rsidRPr="00C44B3A">
        <w:rPr>
          <w:sz w:val="22"/>
          <w:szCs w:val="22"/>
          <w:lang w:val="en-CA"/>
        </w:rPr>
        <w:t>ElDorado</w:t>
      </w:r>
      <w:proofErr w:type="spellEnd"/>
      <w:r w:rsidRPr="00C44B3A">
        <w:rPr>
          <w:sz w:val="22"/>
          <w:szCs w:val="22"/>
          <w:lang w:val="en-CA"/>
        </w:rPr>
        <w:t xml:space="preserve"> </w:t>
      </w:r>
      <w:r w:rsidR="00316169" w:rsidRPr="00C44B3A">
        <w:rPr>
          <w:sz w:val="22"/>
          <w:szCs w:val="22"/>
          <w:lang w:val="en-CA"/>
        </w:rPr>
        <w:t xml:space="preserve">National </w:t>
      </w:r>
      <w:r w:rsidRPr="00C44B3A">
        <w:rPr>
          <w:sz w:val="22"/>
          <w:szCs w:val="22"/>
          <w:lang w:val="en-CA"/>
        </w:rPr>
        <w:t xml:space="preserve">and Grande West Transportation Group. </w:t>
      </w:r>
      <w:r w:rsidR="00144042" w:rsidRPr="00C44B3A">
        <w:rPr>
          <w:sz w:val="22"/>
          <w:szCs w:val="22"/>
          <w:lang w:val="en-CA"/>
        </w:rPr>
        <w:t>N</w:t>
      </w:r>
      <w:r w:rsidRPr="00C44B3A">
        <w:rPr>
          <w:sz w:val="22"/>
          <w:szCs w:val="22"/>
          <w:lang w:val="en-CA"/>
        </w:rPr>
        <w:t xml:space="preserve">ewer entrants such as Proterra </w:t>
      </w:r>
      <w:r w:rsidR="00144042" w:rsidRPr="00C44B3A">
        <w:rPr>
          <w:sz w:val="22"/>
          <w:szCs w:val="22"/>
          <w:lang w:val="en-CA"/>
        </w:rPr>
        <w:t xml:space="preserve">Inc. </w:t>
      </w:r>
      <w:r w:rsidRPr="00C44B3A">
        <w:rPr>
          <w:sz w:val="22"/>
          <w:szCs w:val="22"/>
          <w:lang w:val="en-CA"/>
        </w:rPr>
        <w:t>and the Chinese manufacturer BYD Company Ltd</w:t>
      </w:r>
      <w:r w:rsidR="00667F97" w:rsidRPr="00C44B3A">
        <w:rPr>
          <w:sz w:val="22"/>
          <w:szCs w:val="22"/>
          <w:lang w:val="en-CA"/>
        </w:rPr>
        <w:t>.</w:t>
      </w:r>
      <w:r w:rsidR="00A542A4" w:rsidRPr="00C44B3A">
        <w:rPr>
          <w:sz w:val="22"/>
          <w:szCs w:val="22"/>
          <w:lang w:val="en-CA"/>
        </w:rPr>
        <w:t xml:space="preserve">, </w:t>
      </w:r>
      <w:r w:rsidRPr="00C44B3A">
        <w:rPr>
          <w:sz w:val="22"/>
          <w:szCs w:val="22"/>
          <w:lang w:val="en-CA"/>
        </w:rPr>
        <w:t>a subsidiary of Berkshire Hathaway</w:t>
      </w:r>
      <w:r w:rsidR="00A542A4" w:rsidRPr="00C44B3A">
        <w:rPr>
          <w:sz w:val="22"/>
          <w:szCs w:val="22"/>
          <w:lang w:val="en-CA"/>
        </w:rPr>
        <w:t xml:space="preserve">, </w:t>
      </w:r>
      <w:r w:rsidRPr="00C44B3A">
        <w:rPr>
          <w:sz w:val="22"/>
          <w:szCs w:val="22"/>
          <w:lang w:val="en-CA"/>
        </w:rPr>
        <w:t xml:space="preserve">were primarily focused on gaining market share with </w:t>
      </w:r>
      <w:r w:rsidR="00144042" w:rsidRPr="00C44B3A">
        <w:rPr>
          <w:sz w:val="22"/>
          <w:szCs w:val="22"/>
          <w:lang w:val="en-CA"/>
        </w:rPr>
        <w:t>zero-</w:t>
      </w:r>
      <w:r w:rsidRPr="00C44B3A">
        <w:rPr>
          <w:sz w:val="22"/>
          <w:szCs w:val="22"/>
          <w:lang w:val="en-CA"/>
        </w:rPr>
        <w:t xml:space="preserve">emissions technology such as </w:t>
      </w:r>
      <w:r w:rsidR="00144042" w:rsidRPr="00C44B3A">
        <w:rPr>
          <w:sz w:val="22"/>
          <w:szCs w:val="22"/>
          <w:lang w:val="en-CA"/>
        </w:rPr>
        <w:t>battery-</w:t>
      </w:r>
      <w:r w:rsidRPr="00C44B3A">
        <w:rPr>
          <w:sz w:val="22"/>
          <w:szCs w:val="22"/>
          <w:lang w:val="en-CA"/>
        </w:rPr>
        <w:t>electric vehicles.</w:t>
      </w:r>
      <w:r w:rsidRPr="00C44B3A">
        <w:rPr>
          <w:sz w:val="22"/>
          <w:szCs w:val="22"/>
          <w:vertAlign w:val="superscript"/>
          <w:lang w:val="en-CA"/>
        </w:rPr>
        <w:endnoteReference w:id="46"/>
      </w:r>
      <w:r w:rsidRPr="00C44B3A">
        <w:rPr>
          <w:sz w:val="22"/>
          <w:szCs w:val="22"/>
          <w:lang w:val="en-CA"/>
        </w:rPr>
        <w:t xml:space="preserve"> </w:t>
      </w:r>
    </w:p>
    <w:p w14:paraId="6D5F62AC" w14:textId="77777777" w:rsidR="00BE15C5" w:rsidRPr="00C44B3A" w:rsidRDefault="00BE15C5" w:rsidP="00BE15C5">
      <w:pPr>
        <w:jc w:val="both"/>
        <w:rPr>
          <w:sz w:val="22"/>
          <w:szCs w:val="22"/>
          <w:u w:val="single"/>
          <w:lang w:val="en-CA"/>
        </w:rPr>
      </w:pPr>
    </w:p>
    <w:p w14:paraId="7F5964E1" w14:textId="77777777" w:rsidR="00784365" w:rsidRPr="00C44B3A" w:rsidRDefault="00784365" w:rsidP="00BE15C5">
      <w:pPr>
        <w:jc w:val="both"/>
        <w:rPr>
          <w:sz w:val="22"/>
          <w:szCs w:val="22"/>
          <w:u w:val="single"/>
          <w:lang w:val="en-CA"/>
        </w:rPr>
      </w:pPr>
    </w:p>
    <w:p w14:paraId="23800A72" w14:textId="77777777" w:rsidR="00BE15C5" w:rsidRPr="00C44B3A" w:rsidRDefault="00BE15C5" w:rsidP="00BE15C5">
      <w:pPr>
        <w:jc w:val="both"/>
        <w:rPr>
          <w:rFonts w:ascii="Arial" w:eastAsia="Calibri" w:hAnsi="Arial" w:cs="Arial"/>
          <w:b/>
          <w:szCs w:val="22"/>
          <w:lang w:val="en-CA"/>
        </w:rPr>
      </w:pPr>
      <w:r w:rsidRPr="00C44B3A">
        <w:rPr>
          <w:rFonts w:ascii="Arial" w:eastAsia="Calibri" w:hAnsi="Arial" w:cs="Arial"/>
          <w:b/>
          <w:szCs w:val="22"/>
          <w:lang w:val="en-CA"/>
        </w:rPr>
        <w:t>Coaches</w:t>
      </w:r>
    </w:p>
    <w:p w14:paraId="021D70E3" w14:textId="77777777" w:rsidR="00784365" w:rsidRPr="00C44B3A" w:rsidRDefault="00784365" w:rsidP="00784365">
      <w:pPr>
        <w:pStyle w:val="BodyTextMain"/>
        <w:rPr>
          <w:rFonts w:eastAsia="Calibri"/>
          <w:lang w:val="en-CA"/>
        </w:rPr>
      </w:pPr>
    </w:p>
    <w:p w14:paraId="3E807428" w14:textId="5E7BB713" w:rsidR="00BE15C5" w:rsidRPr="00C44B3A" w:rsidRDefault="004C52AA" w:rsidP="00BE15C5">
      <w:pPr>
        <w:jc w:val="both"/>
        <w:rPr>
          <w:rFonts w:eastAsia="Calibri"/>
          <w:sz w:val="22"/>
          <w:szCs w:val="22"/>
          <w:u w:val="single"/>
          <w:lang w:val="en-CA"/>
        </w:rPr>
      </w:pPr>
      <w:r w:rsidRPr="00C44B3A">
        <w:rPr>
          <w:rFonts w:eastAsia="Calibri"/>
          <w:sz w:val="22"/>
          <w:szCs w:val="22"/>
          <w:lang w:val="en-CA"/>
        </w:rPr>
        <w:t>NFI</w:t>
      </w:r>
      <w:r w:rsidR="00BE15C5" w:rsidRPr="00C44B3A">
        <w:rPr>
          <w:rFonts w:eastAsia="Calibri"/>
          <w:sz w:val="22"/>
          <w:szCs w:val="22"/>
          <w:lang w:val="en-CA"/>
        </w:rPr>
        <w:t xml:space="preserve"> also maintained a leading market position with the recent acquisition </w:t>
      </w:r>
      <w:r w:rsidR="007A12E6" w:rsidRPr="00C44B3A">
        <w:rPr>
          <w:rFonts w:eastAsia="Calibri"/>
          <w:sz w:val="22"/>
          <w:szCs w:val="22"/>
          <w:lang w:val="en-CA"/>
        </w:rPr>
        <w:t xml:space="preserve">of MCI and held an estimated </w:t>
      </w:r>
      <w:r w:rsidR="00190EBA" w:rsidRPr="00C44B3A">
        <w:rPr>
          <w:rFonts w:eastAsia="Calibri"/>
          <w:sz w:val="22"/>
          <w:szCs w:val="22"/>
          <w:lang w:val="en-CA"/>
        </w:rPr>
        <w:t>38</w:t>
      </w:r>
      <w:r w:rsidR="00316169" w:rsidRPr="00C44B3A">
        <w:rPr>
          <w:rFonts w:eastAsia="Calibri"/>
          <w:sz w:val="22"/>
          <w:szCs w:val="22"/>
          <w:lang w:val="en-CA"/>
        </w:rPr>
        <w:t xml:space="preserve"> </w:t>
      </w:r>
      <w:r w:rsidR="007A12E6" w:rsidRPr="00C44B3A">
        <w:rPr>
          <w:rFonts w:eastAsia="Calibri"/>
          <w:sz w:val="22"/>
          <w:szCs w:val="22"/>
          <w:lang w:val="en-CA"/>
        </w:rPr>
        <w:t>per</w:t>
      </w:r>
      <w:r w:rsidR="00316169" w:rsidRPr="00C44B3A">
        <w:rPr>
          <w:rFonts w:eastAsia="Calibri"/>
          <w:sz w:val="22"/>
          <w:szCs w:val="22"/>
          <w:lang w:val="en-CA"/>
        </w:rPr>
        <w:t xml:space="preserve"> </w:t>
      </w:r>
      <w:r w:rsidR="007A12E6" w:rsidRPr="00C44B3A">
        <w:rPr>
          <w:rFonts w:eastAsia="Calibri"/>
          <w:sz w:val="22"/>
          <w:szCs w:val="22"/>
          <w:lang w:val="en-CA"/>
        </w:rPr>
        <w:t>cent</w:t>
      </w:r>
      <w:r w:rsidR="00BE15C5" w:rsidRPr="00C44B3A">
        <w:rPr>
          <w:rFonts w:eastAsia="Calibri"/>
          <w:sz w:val="22"/>
          <w:szCs w:val="22"/>
          <w:lang w:val="en-CA"/>
        </w:rPr>
        <w:t xml:space="preserve"> mark</w:t>
      </w:r>
      <w:r w:rsidR="007A12E6" w:rsidRPr="00C44B3A">
        <w:rPr>
          <w:rFonts w:eastAsia="Calibri"/>
          <w:sz w:val="22"/>
          <w:szCs w:val="22"/>
          <w:lang w:val="en-CA"/>
        </w:rPr>
        <w:t>et share of the combined U.S</w:t>
      </w:r>
      <w:r w:rsidR="00BE15C5" w:rsidRPr="00C44B3A">
        <w:rPr>
          <w:rFonts w:eastAsia="Calibri"/>
          <w:sz w:val="22"/>
          <w:szCs w:val="22"/>
          <w:lang w:val="en-CA"/>
        </w:rPr>
        <w:t xml:space="preserve"> and Canadian public and private coach market.</w:t>
      </w:r>
      <w:r w:rsidR="00BE15C5" w:rsidRPr="00C44B3A">
        <w:rPr>
          <w:rFonts w:eastAsia="Calibri"/>
          <w:sz w:val="22"/>
          <w:szCs w:val="22"/>
          <w:vertAlign w:val="superscript"/>
          <w:lang w:val="en-CA"/>
        </w:rPr>
        <w:endnoteReference w:id="47"/>
      </w:r>
      <w:r w:rsidR="00BE15C5" w:rsidRPr="00C44B3A">
        <w:rPr>
          <w:rFonts w:eastAsia="Calibri"/>
          <w:sz w:val="22"/>
          <w:szCs w:val="22"/>
          <w:lang w:val="en-CA"/>
        </w:rPr>
        <w:t xml:space="preserve"> MCI had two major competitors for motor coach customers in Prevost and Van </w:t>
      </w:r>
      <w:proofErr w:type="spellStart"/>
      <w:r w:rsidR="00BE15C5" w:rsidRPr="00C44B3A">
        <w:rPr>
          <w:rFonts w:eastAsia="Calibri"/>
          <w:sz w:val="22"/>
          <w:szCs w:val="22"/>
          <w:lang w:val="en-CA"/>
        </w:rPr>
        <w:t>Hool</w:t>
      </w:r>
      <w:proofErr w:type="spellEnd"/>
      <w:r w:rsidR="00BE15C5" w:rsidRPr="00C44B3A">
        <w:rPr>
          <w:rFonts w:eastAsia="Calibri"/>
          <w:sz w:val="22"/>
          <w:szCs w:val="22"/>
          <w:lang w:val="en-CA"/>
        </w:rPr>
        <w:t xml:space="preserve">. Prevost was owned by </w:t>
      </w:r>
      <w:r w:rsidR="00144042" w:rsidRPr="00C44B3A">
        <w:rPr>
          <w:rFonts w:eastAsia="Calibri"/>
          <w:sz w:val="22"/>
          <w:szCs w:val="22"/>
          <w:lang w:val="en-CA"/>
        </w:rPr>
        <w:t>the Volvo Group</w:t>
      </w:r>
      <w:r w:rsidR="00BE15C5" w:rsidRPr="00C44B3A">
        <w:rPr>
          <w:rFonts w:eastAsia="Calibri"/>
          <w:sz w:val="22"/>
          <w:szCs w:val="22"/>
          <w:lang w:val="en-CA"/>
        </w:rPr>
        <w:t xml:space="preserve"> and was based in Quebec, Canada. The company competed directly with MCI in public and private </w:t>
      </w:r>
      <w:r w:rsidR="00144042" w:rsidRPr="00C44B3A">
        <w:rPr>
          <w:rFonts w:eastAsia="Calibri"/>
          <w:sz w:val="22"/>
          <w:szCs w:val="22"/>
          <w:lang w:val="en-CA"/>
        </w:rPr>
        <w:t>motor</w:t>
      </w:r>
      <w:r w:rsidR="00353676" w:rsidRPr="00C44B3A">
        <w:rPr>
          <w:rFonts w:eastAsia="Calibri"/>
          <w:sz w:val="22"/>
          <w:szCs w:val="22"/>
          <w:lang w:val="en-CA"/>
        </w:rPr>
        <w:t xml:space="preserve"> </w:t>
      </w:r>
      <w:r w:rsidR="00BE15C5" w:rsidRPr="00C44B3A">
        <w:rPr>
          <w:rFonts w:eastAsia="Calibri"/>
          <w:sz w:val="22"/>
          <w:szCs w:val="22"/>
          <w:lang w:val="en-CA"/>
        </w:rPr>
        <w:t>coach sales and was a significant competitor</w:t>
      </w:r>
      <w:r w:rsidR="00144042" w:rsidRPr="00C44B3A">
        <w:rPr>
          <w:rFonts w:eastAsia="Calibri"/>
          <w:sz w:val="22"/>
          <w:szCs w:val="22"/>
          <w:lang w:val="en-CA"/>
        </w:rPr>
        <w:t>,</w:t>
      </w:r>
      <w:r w:rsidR="00BE15C5" w:rsidRPr="00C44B3A">
        <w:rPr>
          <w:rFonts w:eastAsia="Calibri"/>
          <w:sz w:val="22"/>
          <w:szCs w:val="22"/>
          <w:lang w:val="en-CA"/>
        </w:rPr>
        <w:t xml:space="preserve"> given its similar service network. Van </w:t>
      </w:r>
      <w:proofErr w:type="spellStart"/>
      <w:r w:rsidR="00BE15C5" w:rsidRPr="00C44B3A">
        <w:rPr>
          <w:rFonts w:eastAsia="Calibri"/>
          <w:sz w:val="22"/>
          <w:szCs w:val="22"/>
          <w:lang w:val="en-CA"/>
        </w:rPr>
        <w:t>Hool</w:t>
      </w:r>
      <w:proofErr w:type="spellEnd"/>
      <w:r w:rsidR="00BE15C5" w:rsidRPr="00C44B3A">
        <w:rPr>
          <w:rFonts w:eastAsia="Calibri"/>
          <w:sz w:val="22"/>
          <w:szCs w:val="22"/>
          <w:lang w:val="en-CA"/>
        </w:rPr>
        <w:t xml:space="preserve"> was based in Belgium and distributed its coaches through </w:t>
      </w:r>
      <w:r w:rsidR="00144042" w:rsidRPr="00C44B3A">
        <w:rPr>
          <w:rFonts w:eastAsia="Calibri"/>
          <w:sz w:val="22"/>
          <w:szCs w:val="22"/>
          <w:lang w:val="en-CA"/>
        </w:rPr>
        <w:t>ABC Bus Companies Inc</w:t>
      </w:r>
      <w:r w:rsidR="00BE15C5" w:rsidRPr="00C44B3A">
        <w:rPr>
          <w:rFonts w:eastAsia="Calibri"/>
          <w:sz w:val="22"/>
          <w:szCs w:val="22"/>
          <w:lang w:val="en-CA"/>
        </w:rPr>
        <w:t xml:space="preserve">. Other smaller competitors included </w:t>
      </w:r>
      <w:proofErr w:type="spellStart"/>
      <w:r w:rsidR="00BE15C5" w:rsidRPr="00C44B3A">
        <w:rPr>
          <w:rFonts w:eastAsia="Calibri"/>
          <w:sz w:val="22"/>
          <w:szCs w:val="22"/>
          <w:lang w:val="en-CA"/>
        </w:rPr>
        <w:t>Temsa</w:t>
      </w:r>
      <w:proofErr w:type="spellEnd"/>
      <w:r w:rsidR="00A542A4" w:rsidRPr="00C44B3A">
        <w:rPr>
          <w:rFonts w:eastAsia="Calibri"/>
          <w:sz w:val="22"/>
          <w:szCs w:val="22"/>
          <w:lang w:val="en-CA"/>
        </w:rPr>
        <w:t xml:space="preserve"> Global,</w:t>
      </w:r>
      <w:r w:rsidR="00BE15C5" w:rsidRPr="00C44B3A">
        <w:rPr>
          <w:rFonts w:eastAsia="Calibri"/>
          <w:sz w:val="22"/>
          <w:szCs w:val="22"/>
          <w:lang w:val="en-CA"/>
        </w:rPr>
        <w:t xml:space="preserve"> of Turkey</w:t>
      </w:r>
      <w:r w:rsidR="00A542A4" w:rsidRPr="00C44B3A">
        <w:rPr>
          <w:rFonts w:eastAsia="Calibri"/>
          <w:sz w:val="22"/>
          <w:szCs w:val="22"/>
          <w:lang w:val="en-CA"/>
        </w:rPr>
        <w:t xml:space="preserve">; </w:t>
      </w:r>
      <w:proofErr w:type="spellStart"/>
      <w:r w:rsidR="00BE15C5" w:rsidRPr="00C44B3A">
        <w:rPr>
          <w:rFonts w:eastAsia="Calibri"/>
          <w:sz w:val="22"/>
          <w:szCs w:val="22"/>
          <w:lang w:val="en-CA"/>
        </w:rPr>
        <w:t>Irizar</w:t>
      </w:r>
      <w:proofErr w:type="spellEnd"/>
      <w:r w:rsidR="00BE15C5" w:rsidRPr="00C44B3A">
        <w:rPr>
          <w:rFonts w:eastAsia="Calibri"/>
          <w:sz w:val="22"/>
          <w:szCs w:val="22"/>
          <w:lang w:val="en-CA"/>
        </w:rPr>
        <w:t xml:space="preserve"> </w:t>
      </w:r>
      <w:r w:rsidR="00A542A4" w:rsidRPr="00C44B3A">
        <w:rPr>
          <w:rFonts w:eastAsia="Calibri"/>
          <w:sz w:val="22"/>
          <w:szCs w:val="22"/>
          <w:lang w:val="en-CA"/>
        </w:rPr>
        <w:t xml:space="preserve">Group, </w:t>
      </w:r>
      <w:r w:rsidR="00BE15C5" w:rsidRPr="00C44B3A">
        <w:rPr>
          <w:rFonts w:eastAsia="Calibri"/>
          <w:sz w:val="22"/>
          <w:szCs w:val="22"/>
          <w:lang w:val="en-CA"/>
        </w:rPr>
        <w:t>of Spain</w:t>
      </w:r>
      <w:r w:rsidR="00A542A4" w:rsidRPr="00C44B3A">
        <w:rPr>
          <w:rFonts w:eastAsia="Calibri"/>
          <w:sz w:val="22"/>
          <w:szCs w:val="22"/>
          <w:lang w:val="en-CA"/>
        </w:rPr>
        <w:t xml:space="preserve">; </w:t>
      </w:r>
      <w:r w:rsidR="00BE15C5" w:rsidRPr="00C44B3A">
        <w:rPr>
          <w:rFonts w:eastAsia="Calibri"/>
          <w:sz w:val="22"/>
          <w:szCs w:val="22"/>
          <w:lang w:val="en-CA"/>
        </w:rPr>
        <w:t>CAIO</w:t>
      </w:r>
      <w:r w:rsidR="00A542A4" w:rsidRPr="00C44B3A">
        <w:rPr>
          <w:rFonts w:eastAsia="Calibri"/>
          <w:sz w:val="22"/>
          <w:szCs w:val="22"/>
          <w:lang w:val="en-CA"/>
        </w:rPr>
        <w:t xml:space="preserve">, </w:t>
      </w:r>
      <w:r w:rsidR="00BE15C5" w:rsidRPr="00C44B3A">
        <w:rPr>
          <w:rFonts w:eastAsia="Calibri"/>
          <w:sz w:val="22"/>
          <w:szCs w:val="22"/>
          <w:lang w:val="en-CA"/>
        </w:rPr>
        <w:t>of Brazil</w:t>
      </w:r>
      <w:r w:rsidR="00A542A4" w:rsidRPr="00C44B3A">
        <w:rPr>
          <w:rFonts w:eastAsia="Calibri"/>
          <w:sz w:val="22"/>
          <w:szCs w:val="22"/>
          <w:lang w:val="en-CA"/>
        </w:rPr>
        <w:t>;</w:t>
      </w:r>
      <w:r w:rsidR="00BE15C5" w:rsidRPr="00C44B3A">
        <w:rPr>
          <w:rFonts w:eastAsia="Calibri"/>
          <w:sz w:val="22"/>
          <w:szCs w:val="22"/>
          <w:lang w:val="en-CA"/>
        </w:rPr>
        <w:t xml:space="preserve"> and BYD</w:t>
      </w:r>
      <w:r w:rsidR="00F37465" w:rsidRPr="00C44B3A">
        <w:rPr>
          <w:rFonts w:eastAsia="Calibri"/>
          <w:sz w:val="22"/>
          <w:szCs w:val="22"/>
          <w:lang w:val="en-CA"/>
        </w:rPr>
        <w:t xml:space="preserve"> Company Ltd.</w:t>
      </w:r>
      <w:r w:rsidR="00BE15C5" w:rsidRPr="00C44B3A">
        <w:rPr>
          <w:rFonts w:eastAsia="Calibri"/>
          <w:sz w:val="22"/>
          <w:szCs w:val="22"/>
          <w:lang w:val="en-CA"/>
        </w:rPr>
        <w:t xml:space="preserve">, </w:t>
      </w:r>
      <w:r w:rsidR="00190EBA" w:rsidRPr="00C44B3A">
        <w:rPr>
          <w:rFonts w:eastAsia="Calibri"/>
          <w:sz w:val="22"/>
          <w:szCs w:val="22"/>
          <w:lang w:val="en-CA"/>
        </w:rPr>
        <w:t xml:space="preserve">but </w:t>
      </w:r>
      <w:r w:rsidR="00BE15C5" w:rsidRPr="00C44B3A">
        <w:rPr>
          <w:rFonts w:eastAsia="Calibri"/>
          <w:sz w:val="22"/>
          <w:szCs w:val="22"/>
          <w:lang w:val="en-CA"/>
        </w:rPr>
        <w:t>none of these competitors currently had significant motor</w:t>
      </w:r>
      <w:r w:rsidR="00353676" w:rsidRPr="00C44B3A">
        <w:rPr>
          <w:rFonts w:eastAsia="Calibri"/>
          <w:sz w:val="22"/>
          <w:szCs w:val="22"/>
          <w:lang w:val="en-CA"/>
        </w:rPr>
        <w:t xml:space="preserve"> </w:t>
      </w:r>
      <w:r w:rsidR="00BE15C5" w:rsidRPr="00C44B3A">
        <w:rPr>
          <w:rFonts w:eastAsia="Calibri"/>
          <w:sz w:val="22"/>
          <w:szCs w:val="22"/>
          <w:lang w:val="en-CA"/>
        </w:rPr>
        <w:t>coach sales.</w:t>
      </w:r>
      <w:r w:rsidR="00BE15C5" w:rsidRPr="00C44B3A">
        <w:rPr>
          <w:rFonts w:eastAsia="Calibri"/>
          <w:sz w:val="22"/>
          <w:szCs w:val="22"/>
          <w:vertAlign w:val="superscript"/>
          <w:lang w:val="en-CA"/>
        </w:rPr>
        <w:endnoteReference w:id="48"/>
      </w:r>
      <w:r w:rsidR="00BE15C5" w:rsidRPr="00C44B3A">
        <w:rPr>
          <w:rFonts w:eastAsia="Calibri"/>
          <w:sz w:val="22"/>
          <w:szCs w:val="22"/>
          <w:lang w:val="en-CA"/>
        </w:rPr>
        <w:t xml:space="preserve"> </w:t>
      </w:r>
    </w:p>
    <w:p w14:paraId="60F4E525" w14:textId="77777777" w:rsidR="00BE15C5" w:rsidRPr="00C44B3A" w:rsidRDefault="00BE15C5" w:rsidP="00BE15C5">
      <w:pPr>
        <w:jc w:val="both"/>
        <w:rPr>
          <w:rFonts w:eastAsia="Calibri"/>
          <w:sz w:val="22"/>
          <w:szCs w:val="22"/>
          <w:u w:val="single"/>
          <w:lang w:val="en-CA"/>
        </w:rPr>
      </w:pPr>
    </w:p>
    <w:p w14:paraId="2E079947" w14:textId="77777777" w:rsidR="00784365" w:rsidRPr="00C44B3A" w:rsidRDefault="00784365" w:rsidP="00BE15C5">
      <w:pPr>
        <w:jc w:val="both"/>
        <w:rPr>
          <w:rFonts w:eastAsia="Calibri"/>
          <w:sz w:val="22"/>
          <w:szCs w:val="22"/>
          <w:u w:val="single"/>
          <w:lang w:val="en-CA"/>
        </w:rPr>
      </w:pPr>
    </w:p>
    <w:p w14:paraId="749014A7" w14:textId="77777777" w:rsidR="00BE15C5" w:rsidRPr="00C44B3A" w:rsidRDefault="00BE15C5" w:rsidP="00BE15C5">
      <w:pPr>
        <w:jc w:val="both"/>
        <w:rPr>
          <w:rFonts w:ascii="Arial" w:eastAsia="Calibri" w:hAnsi="Arial" w:cs="Arial"/>
          <w:b/>
          <w:szCs w:val="22"/>
          <w:lang w:val="en-CA"/>
        </w:rPr>
      </w:pPr>
      <w:r w:rsidRPr="00C44B3A">
        <w:rPr>
          <w:rFonts w:ascii="Arial" w:eastAsia="Calibri" w:hAnsi="Arial" w:cs="Arial"/>
          <w:b/>
          <w:szCs w:val="22"/>
          <w:lang w:val="en-CA"/>
        </w:rPr>
        <w:t>Barriers to Entry</w:t>
      </w:r>
    </w:p>
    <w:p w14:paraId="56753F08" w14:textId="77777777" w:rsidR="00784365" w:rsidRPr="00C44B3A" w:rsidRDefault="00784365" w:rsidP="00784365">
      <w:pPr>
        <w:pStyle w:val="BodyTextMain"/>
        <w:rPr>
          <w:rFonts w:eastAsia="Calibri"/>
          <w:lang w:val="en-CA"/>
        </w:rPr>
      </w:pPr>
    </w:p>
    <w:p w14:paraId="6AFFF331" w14:textId="6CDD2542" w:rsidR="00BE15C5" w:rsidRPr="00C44B3A" w:rsidRDefault="00BE15C5" w:rsidP="00BE15C5">
      <w:pPr>
        <w:jc w:val="both"/>
        <w:rPr>
          <w:sz w:val="22"/>
          <w:szCs w:val="22"/>
          <w:highlight w:val="yellow"/>
          <w:lang w:val="en-CA"/>
        </w:rPr>
      </w:pPr>
      <w:r w:rsidRPr="00C44B3A">
        <w:rPr>
          <w:sz w:val="22"/>
          <w:szCs w:val="22"/>
          <w:lang w:val="en-CA"/>
        </w:rPr>
        <w:t>There were many significant barriers to new entrants, includ</w:t>
      </w:r>
      <w:r w:rsidR="00A542A4" w:rsidRPr="00C44B3A">
        <w:rPr>
          <w:sz w:val="22"/>
          <w:szCs w:val="22"/>
          <w:lang w:val="en-CA"/>
        </w:rPr>
        <w:t>ing</w:t>
      </w:r>
      <w:r w:rsidRPr="00C44B3A">
        <w:rPr>
          <w:sz w:val="22"/>
          <w:szCs w:val="22"/>
          <w:lang w:val="en-CA"/>
        </w:rPr>
        <w:t xml:space="preserve"> the need for an established industry track record</w:t>
      </w:r>
      <w:r w:rsidR="00190EBA" w:rsidRPr="00C44B3A">
        <w:rPr>
          <w:sz w:val="22"/>
          <w:szCs w:val="22"/>
          <w:lang w:val="en-CA"/>
        </w:rPr>
        <w:t xml:space="preserve"> and </w:t>
      </w:r>
      <w:r w:rsidR="00A542A4" w:rsidRPr="00C44B3A">
        <w:rPr>
          <w:sz w:val="22"/>
          <w:szCs w:val="22"/>
          <w:lang w:val="en-CA"/>
        </w:rPr>
        <w:t xml:space="preserve">the </w:t>
      </w:r>
      <w:r w:rsidRPr="00C44B3A">
        <w:rPr>
          <w:sz w:val="22"/>
          <w:szCs w:val="22"/>
          <w:lang w:val="en-CA"/>
        </w:rPr>
        <w:t>limited number of major customers</w:t>
      </w:r>
      <w:r w:rsidR="00A542A4" w:rsidRPr="00C44B3A">
        <w:rPr>
          <w:sz w:val="22"/>
          <w:szCs w:val="22"/>
          <w:lang w:val="en-CA"/>
        </w:rPr>
        <w:t xml:space="preserve">. New entrants also needed to have </w:t>
      </w:r>
      <w:r w:rsidRPr="00C44B3A">
        <w:rPr>
          <w:sz w:val="22"/>
          <w:szCs w:val="22"/>
          <w:lang w:val="en-CA"/>
        </w:rPr>
        <w:t xml:space="preserve">significant capital and financial stability, a sophisticated supply network, a service and aftermarket parts support structure, and </w:t>
      </w:r>
      <w:r w:rsidR="00A542A4" w:rsidRPr="00C44B3A">
        <w:rPr>
          <w:sz w:val="22"/>
          <w:szCs w:val="22"/>
          <w:lang w:val="en-CA"/>
        </w:rPr>
        <w:t xml:space="preserve">the ability to meet </w:t>
      </w:r>
      <w:r w:rsidRPr="00C44B3A">
        <w:rPr>
          <w:sz w:val="22"/>
          <w:szCs w:val="22"/>
          <w:lang w:val="en-CA"/>
        </w:rPr>
        <w:t>other regulatory requirements. In the United States and Canada, government regulation</w:t>
      </w:r>
      <w:r w:rsidR="00A542A4" w:rsidRPr="00C44B3A">
        <w:rPr>
          <w:sz w:val="22"/>
          <w:szCs w:val="22"/>
          <w:lang w:val="en-CA"/>
        </w:rPr>
        <w:t>s</w:t>
      </w:r>
      <w:r w:rsidRPr="00C44B3A">
        <w:rPr>
          <w:sz w:val="22"/>
          <w:szCs w:val="22"/>
          <w:lang w:val="en-CA"/>
        </w:rPr>
        <w:t xml:space="preserve"> </w:t>
      </w:r>
      <w:r w:rsidR="00A810BA" w:rsidRPr="00C44B3A">
        <w:rPr>
          <w:sz w:val="22"/>
          <w:szCs w:val="22"/>
          <w:lang w:val="en-CA"/>
        </w:rPr>
        <w:t>regarding local content, disability access</w:t>
      </w:r>
      <w:r w:rsidR="00A542A4" w:rsidRPr="00C44B3A">
        <w:rPr>
          <w:sz w:val="22"/>
          <w:szCs w:val="22"/>
          <w:lang w:val="en-CA"/>
        </w:rPr>
        <w:t>,</w:t>
      </w:r>
      <w:r w:rsidR="00A810BA" w:rsidRPr="00C44B3A">
        <w:rPr>
          <w:sz w:val="22"/>
          <w:szCs w:val="22"/>
          <w:lang w:val="en-CA"/>
        </w:rPr>
        <w:t xml:space="preserve"> and other </w:t>
      </w:r>
      <w:r w:rsidR="00A542A4" w:rsidRPr="00C44B3A">
        <w:rPr>
          <w:sz w:val="22"/>
          <w:szCs w:val="22"/>
          <w:lang w:val="en-CA"/>
        </w:rPr>
        <w:t xml:space="preserve">factors </w:t>
      </w:r>
      <w:r w:rsidRPr="00C44B3A">
        <w:rPr>
          <w:sz w:val="22"/>
          <w:szCs w:val="22"/>
          <w:lang w:val="en-CA"/>
        </w:rPr>
        <w:t xml:space="preserve">had a significant </w:t>
      </w:r>
      <w:r w:rsidR="00A542A4" w:rsidRPr="00C44B3A">
        <w:rPr>
          <w:sz w:val="22"/>
          <w:szCs w:val="22"/>
          <w:lang w:val="en-CA"/>
        </w:rPr>
        <w:t xml:space="preserve">effect </w:t>
      </w:r>
      <w:r w:rsidRPr="00C44B3A">
        <w:rPr>
          <w:sz w:val="22"/>
          <w:szCs w:val="22"/>
          <w:lang w:val="en-CA"/>
        </w:rPr>
        <w:t xml:space="preserve">on the heavy-duty transit </w:t>
      </w:r>
      <w:r w:rsidRPr="00C44B3A">
        <w:rPr>
          <w:sz w:val="22"/>
          <w:szCs w:val="22"/>
          <w:lang w:val="en-CA"/>
        </w:rPr>
        <w:lastRenderedPageBreak/>
        <w:t xml:space="preserve">bus manufacturing industry. These </w:t>
      </w:r>
      <w:r w:rsidR="00A810BA" w:rsidRPr="00C44B3A">
        <w:rPr>
          <w:sz w:val="22"/>
          <w:szCs w:val="22"/>
          <w:lang w:val="en-CA"/>
        </w:rPr>
        <w:t xml:space="preserve">barriers and regulations </w:t>
      </w:r>
      <w:r w:rsidRPr="00C44B3A">
        <w:rPr>
          <w:sz w:val="22"/>
          <w:szCs w:val="22"/>
          <w:lang w:val="en-CA"/>
        </w:rPr>
        <w:t>continued to affect the structure of the industry, the location of manufacturing facilities, the sourcing of parts and materials</w:t>
      </w:r>
      <w:r w:rsidR="00A542A4" w:rsidRPr="00C44B3A">
        <w:rPr>
          <w:sz w:val="22"/>
          <w:szCs w:val="22"/>
          <w:lang w:val="en-CA"/>
        </w:rPr>
        <w:t>,</w:t>
      </w:r>
      <w:r w:rsidRPr="00C44B3A">
        <w:rPr>
          <w:sz w:val="22"/>
          <w:szCs w:val="22"/>
          <w:lang w:val="en-CA"/>
        </w:rPr>
        <w:t xml:space="preserve"> and the source</w:t>
      </w:r>
      <w:r w:rsidR="00A542A4" w:rsidRPr="00C44B3A">
        <w:rPr>
          <w:sz w:val="22"/>
          <w:szCs w:val="22"/>
          <w:lang w:val="en-CA"/>
        </w:rPr>
        <w:t>s</w:t>
      </w:r>
      <w:r w:rsidRPr="00C44B3A">
        <w:rPr>
          <w:sz w:val="22"/>
          <w:szCs w:val="22"/>
          <w:lang w:val="en-CA"/>
        </w:rPr>
        <w:t xml:space="preserve"> of funding for bus purchases.</w:t>
      </w:r>
      <w:r w:rsidRPr="00C44B3A">
        <w:rPr>
          <w:sz w:val="22"/>
          <w:szCs w:val="22"/>
          <w:vertAlign w:val="superscript"/>
          <w:lang w:val="en-CA"/>
        </w:rPr>
        <w:endnoteReference w:id="49"/>
      </w:r>
      <w:r w:rsidRPr="00C44B3A">
        <w:rPr>
          <w:sz w:val="22"/>
          <w:szCs w:val="22"/>
          <w:lang w:val="en-CA"/>
        </w:rPr>
        <w:t xml:space="preserve"> Existing industry players were also monitoring overall public transportation ridership</w:t>
      </w:r>
      <w:r w:rsidR="00A542A4" w:rsidRPr="00C44B3A">
        <w:rPr>
          <w:sz w:val="22"/>
          <w:szCs w:val="22"/>
          <w:lang w:val="en-CA"/>
        </w:rPr>
        <w:t>, which</w:t>
      </w:r>
      <w:r w:rsidRPr="00C44B3A">
        <w:rPr>
          <w:sz w:val="22"/>
          <w:szCs w:val="22"/>
          <w:lang w:val="en-CA"/>
        </w:rPr>
        <w:t xml:space="preserve"> had grown significantly in certain regions but had declined somewhat in the United States</w:t>
      </w:r>
      <w:r w:rsidR="00A542A4" w:rsidRPr="00C44B3A">
        <w:rPr>
          <w:sz w:val="22"/>
          <w:szCs w:val="22"/>
          <w:lang w:val="en-CA"/>
        </w:rPr>
        <w:t xml:space="preserve"> overall</w:t>
      </w:r>
      <w:r w:rsidRPr="00C44B3A">
        <w:rPr>
          <w:sz w:val="22"/>
          <w:szCs w:val="22"/>
          <w:lang w:val="en-CA"/>
        </w:rPr>
        <w:t>.</w:t>
      </w:r>
      <w:r w:rsidRPr="00C44B3A">
        <w:rPr>
          <w:sz w:val="22"/>
          <w:szCs w:val="22"/>
          <w:vertAlign w:val="superscript"/>
          <w:lang w:val="en-CA"/>
        </w:rPr>
        <w:endnoteReference w:id="50"/>
      </w:r>
      <w:r w:rsidRPr="00C44B3A">
        <w:rPr>
          <w:sz w:val="22"/>
          <w:szCs w:val="22"/>
          <w:lang w:val="en-CA"/>
        </w:rPr>
        <w:t xml:space="preserve"> </w:t>
      </w:r>
    </w:p>
    <w:p w14:paraId="78217E1B" w14:textId="77777777" w:rsidR="00BE15C5" w:rsidRPr="00C44B3A" w:rsidRDefault="00BE15C5" w:rsidP="00784365">
      <w:pPr>
        <w:pStyle w:val="BodyTextMain"/>
        <w:rPr>
          <w:sz w:val="18"/>
          <w:szCs w:val="18"/>
          <w:lang w:val="en-CA"/>
        </w:rPr>
      </w:pPr>
    </w:p>
    <w:p w14:paraId="37EFD3CF" w14:textId="77777777" w:rsidR="00BE15C5" w:rsidRPr="00C44B3A" w:rsidRDefault="00BE15C5" w:rsidP="00784365">
      <w:pPr>
        <w:pStyle w:val="BodyTextMain"/>
        <w:rPr>
          <w:sz w:val="18"/>
          <w:szCs w:val="18"/>
          <w:lang w:val="en-CA"/>
        </w:rPr>
      </w:pPr>
    </w:p>
    <w:p w14:paraId="069D8BBD" w14:textId="77777777" w:rsidR="00BE15C5" w:rsidRPr="00C44B3A" w:rsidRDefault="00BE15C5" w:rsidP="00BE15C5">
      <w:pPr>
        <w:jc w:val="both"/>
        <w:rPr>
          <w:rFonts w:ascii="Arial" w:hAnsi="Arial" w:cs="Arial"/>
          <w:b/>
          <w:caps/>
          <w:lang w:val="en-CA"/>
        </w:rPr>
      </w:pPr>
      <w:r w:rsidRPr="00C44B3A">
        <w:rPr>
          <w:rFonts w:ascii="Arial" w:hAnsi="Arial" w:cs="Arial"/>
          <w:b/>
          <w:caps/>
          <w:lang w:val="en-CA"/>
        </w:rPr>
        <w:t>who Was waitng at the stop?</w:t>
      </w:r>
    </w:p>
    <w:p w14:paraId="65067579" w14:textId="77777777" w:rsidR="00BE15C5" w:rsidRPr="00C44B3A" w:rsidRDefault="00BE15C5" w:rsidP="00BE15C5">
      <w:pPr>
        <w:jc w:val="both"/>
        <w:rPr>
          <w:sz w:val="18"/>
          <w:szCs w:val="18"/>
          <w:lang w:val="en-CA"/>
        </w:rPr>
      </w:pPr>
    </w:p>
    <w:p w14:paraId="43D59C6A" w14:textId="4D9C7BDE" w:rsidR="00BE15C5" w:rsidRPr="00C44B3A" w:rsidRDefault="00BE15C5" w:rsidP="00BE15C5">
      <w:pPr>
        <w:jc w:val="both"/>
        <w:rPr>
          <w:rFonts w:eastAsia="Calibri"/>
          <w:sz w:val="22"/>
          <w:szCs w:val="22"/>
          <w:lang w:val="en-CA"/>
        </w:rPr>
      </w:pPr>
      <w:r w:rsidRPr="00C44B3A">
        <w:rPr>
          <w:sz w:val="22"/>
          <w:szCs w:val="22"/>
          <w:lang w:val="en-CA"/>
        </w:rPr>
        <w:t>Municipal and other local transit authorities were the principal purchasers of heavy-duty transit buses. Well-established U.S. federal funding programs existed to support fleet replacements</w:t>
      </w:r>
      <w:r w:rsidR="00A542A4" w:rsidRPr="00C44B3A">
        <w:rPr>
          <w:sz w:val="22"/>
          <w:szCs w:val="22"/>
          <w:lang w:val="en-CA"/>
        </w:rPr>
        <w:t>,</w:t>
      </w:r>
      <w:r w:rsidRPr="00C44B3A">
        <w:rPr>
          <w:sz w:val="22"/>
          <w:szCs w:val="22"/>
          <w:lang w:val="en-CA"/>
        </w:rPr>
        <w:t xml:space="preserve"> but local funding contributions were expect</w:t>
      </w:r>
      <w:r w:rsidR="007A12E6" w:rsidRPr="00C44B3A">
        <w:rPr>
          <w:sz w:val="22"/>
          <w:szCs w:val="22"/>
          <w:lang w:val="en-CA"/>
        </w:rPr>
        <w:t>ed to comprise approximately 20 per cent</w:t>
      </w:r>
      <w:r w:rsidRPr="00C44B3A">
        <w:rPr>
          <w:sz w:val="22"/>
          <w:szCs w:val="22"/>
          <w:lang w:val="en-CA"/>
        </w:rPr>
        <w:t xml:space="preserve"> of the purchase requirements.</w:t>
      </w:r>
      <w:r w:rsidRPr="00C44B3A">
        <w:rPr>
          <w:sz w:val="22"/>
          <w:szCs w:val="22"/>
          <w:vertAlign w:val="superscript"/>
          <w:lang w:val="en-CA"/>
        </w:rPr>
        <w:endnoteReference w:id="51"/>
      </w:r>
      <w:r w:rsidRPr="00C44B3A">
        <w:rPr>
          <w:sz w:val="22"/>
          <w:szCs w:val="22"/>
          <w:lang w:val="en-CA"/>
        </w:rPr>
        <w:t xml:space="preserve"> Price, engineering to customer specification</w:t>
      </w:r>
      <w:r w:rsidR="00A542A4" w:rsidRPr="00C44B3A">
        <w:rPr>
          <w:sz w:val="22"/>
          <w:szCs w:val="22"/>
          <w:lang w:val="en-CA"/>
        </w:rPr>
        <w:t>s</w:t>
      </w:r>
      <w:r w:rsidRPr="00C44B3A">
        <w:rPr>
          <w:sz w:val="22"/>
          <w:szCs w:val="22"/>
          <w:lang w:val="en-CA"/>
        </w:rPr>
        <w:t>, product quality, on-time delivery, an established track record, strong customer relationships</w:t>
      </w:r>
      <w:r w:rsidR="00A542A4" w:rsidRPr="00C44B3A">
        <w:rPr>
          <w:sz w:val="22"/>
          <w:szCs w:val="22"/>
          <w:lang w:val="en-CA"/>
        </w:rPr>
        <w:t>,</w:t>
      </w:r>
      <w:r w:rsidRPr="00C44B3A">
        <w:rPr>
          <w:sz w:val="22"/>
          <w:szCs w:val="22"/>
          <w:lang w:val="en-CA"/>
        </w:rPr>
        <w:t xml:space="preserve"> and financial strength were key factors </w:t>
      </w:r>
      <w:r w:rsidR="00A542A4" w:rsidRPr="00C44B3A">
        <w:rPr>
          <w:sz w:val="22"/>
          <w:szCs w:val="22"/>
          <w:lang w:val="en-CA"/>
        </w:rPr>
        <w:t xml:space="preserve">in </w:t>
      </w:r>
      <w:r w:rsidRPr="00C44B3A">
        <w:rPr>
          <w:sz w:val="22"/>
          <w:szCs w:val="22"/>
          <w:lang w:val="en-CA"/>
        </w:rPr>
        <w:t>win</w:t>
      </w:r>
      <w:r w:rsidR="00A542A4" w:rsidRPr="00C44B3A">
        <w:rPr>
          <w:sz w:val="22"/>
          <w:szCs w:val="22"/>
          <w:lang w:val="en-CA"/>
        </w:rPr>
        <w:t>ning</w:t>
      </w:r>
      <w:r w:rsidRPr="00C44B3A">
        <w:rPr>
          <w:sz w:val="22"/>
          <w:szCs w:val="22"/>
          <w:lang w:val="en-CA"/>
        </w:rPr>
        <w:t xml:space="preserve"> manufacturing contracts in the heavy-duty transit bus industry. A growing trend based on concern for the environment supported </w:t>
      </w:r>
      <w:r w:rsidR="00FC65C6" w:rsidRPr="00C44B3A">
        <w:rPr>
          <w:sz w:val="22"/>
          <w:szCs w:val="22"/>
          <w:lang w:val="en-CA"/>
        </w:rPr>
        <w:t xml:space="preserve">both </w:t>
      </w:r>
      <w:r w:rsidRPr="00C44B3A">
        <w:rPr>
          <w:sz w:val="22"/>
          <w:szCs w:val="22"/>
          <w:lang w:val="en-CA"/>
        </w:rPr>
        <w:t xml:space="preserve">the expansion of public transit services and the introduction of new technologies </w:t>
      </w:r>
      <w:r w:rsidR="00FC65C6" w:rsidRPr="00C44B3A">
        <w:rPr>
          <w:sz w:val="22"/>
          <w:szCs w:val="22"/>
          <w:lang w:val="en-CA"/>
        </w:rPr>
        <w:t xml:space="preserve">that </w:t>
      </w:r>
      <w:r w:rsidRPr="00C44B3A">
        <w:rPr>
          <w:sz w:val="22"/>
          <w:szCs w:val="22"/>
          <w:lang w:val="en-CA"/>
        </w:rPr>
        <w:t>enhanced transit’s “green” potential. Sales activity throughout 2016 remained promising</w:t>
      </w:r>
      <w:r w:rsidR="00571CB8" w:rsidRPr="00C44B3A">
        <w:rPr>
          <w:sz w:val="22"/>
          <w:szCs w:val="22"/>
          <w:lang w:val="en-CA"/>
        </w:rPr>
        <w:t>,</w:t>
      </w:r>
      <w:r w:rsidRPr="00C44B3A">
        <w:rPr>
          <w:sz w:val="22"/>
          <w:szCs w:val="22"/>
          <w:lang w:val="en-CA"/>
        </w:rPr>
        <w:t xml:space="preserve"> as transit agencies sought to replace aging fleets</w:t>
      </w:r>
      <w:r w:rsidR="00FC65C6" w:rsidRPr="00C44B3A">
        <w:rPr>
          <w:sz w:val="22"/>
          <w:szCs w:val="22"/>
          <w:lang w:val="en-CA"/>
        </w:rPr>
        <w:t>,</w:t>
      </w:r>
      <w:r w:rsidRPr="00C44B3A">
        <w:rPr>
          <w:sz w:val="22"/>
          <w:szCs w:val="22"/>
          <w:lang w:val="en-CA"/>
        </w:rPr>
        <w:t xml:space="preserve"> but competition for orders among bus manufacturers was </w:t>
      </w:r>
      <w:r w:rsidR="00A810BA" w:rsidRPr="00C44B3A">
        <w:rPr>
          <w:sz w:val="22"/>
          <w:szCs w:val="22"/>
          <w:lang w:val="en-CA"/>
        </w:rPr>
        <w:t>significant</w:t>
      </w:r>
      <w:r w:rsidR="00FC65C6" w:rsidRPr="00C44B3A">
        <w:rPr>
          <w:sz w:val="22"/>
          <w:szCs w:val="22"/>
          <w:lang w:val="en-CA"/>
        </w:rPr>
        <w:t>,</w:t>
      </w:r>
      <w:r w:rsidRPr="00C44B3A">
        <w:rPr>
          <w:sz w:val="22"/>
          <w:szCs w:val="22"/>
          <w:lang w:val="en-CA"/>
        </w:rPr>
        <w:t xml:space="preserve"> </w:t>
      </w:r>
      <w:r w:rsidR="00FC65C6" w:rsidRPr="00C44B3A">
        <w:rPr>
          <w:sz w:val="22"/>
          <w:szCs w:val="22"/>
          <w:lang w:val="en-CA"/>
        </w:rPr>
        <w:t xml:space="preserve">and </w:t>
      </w:r>
      <w:r w:rsidRPr="00C44B3A">
        <w:rPr>
          <w:sz w:val="22"/>
          <w:szCs w:val="22"/>
          <w:lang w:val="en-CA"/>
        </w:rPr>
        <w:t xml:space="preserve">pricing </w:t>
      </w:r>
      <w:r w:rsidR="00FC65C6" w:rsidRPr="00C44B3A">
        <w:rPr>
          <w:sz w:val="22"/>
          <w:szCs w:val="22"/>
          <w:lang w:val="en-CA"/>
        </w:rPr>
        <w:t xml:space="preserve">was </w:t>
      </w:r>
      <w:r w:rsidRPr="00C44B3A">
        <w:rPr>
          <w:sz w:val="22"/>
          <w:szCs w:val="22"/>
          <w:lang w:val="en-CA"/>
        </w:rPr>
        <w:t>the dominant evaluation criterion in public purchase agreements.</w:t>
      </w:r>
      <w:r w:rsidRPr="00C44B3A">
        <w:rPr>
          <w:sz w:val="22"/>
          <w:szCs w:val="22"/>
          <w:vertAlign w:val="superscript"/>
          <w:lang w:val="en-CA"/>
        </w:rPr>
        <w:endnoteReference w:id="52"/>
      </w:r>
      <w:r w:rsidRPr="00C44B3A">
        <w:rPr>
          <w:rFonts w:eastAsia="Calibri"/>
          <w:sz w:val="22"/>
          <w:szCs w:val="22"/>
          <w:lang w:val="en-CA"/>
        </w:rPr>
        <w:t xml:space="preserve"> Almost all of the largest transit authorities in the United States and Canada operated either </w:t>
      </w:r>
      <w:r w:rsidR="004C52AA" w:rsidRPr="00C44B3A">
        <w:rPr>
          <w:rFonts w:eastAsia="Calibri"/>
          <w:sz w:val="22"/>
          <w:szCs w:val="22"/>
          <w:lang w:val="en-CA"/>
        </w:rPr>
        <w:t>NFI</w:t>
      </w:r>
      <w:r w:rsidRPr="00C44B3A">
        <w:rPr>
          <w:rFonts w:eastAsia="Calibri"/>
          <w:sz w:val="22"/>
          <w:szCs w:val="22"/>
          <w:lang w:val="en-CA"/>
        </w:rPr>
        <w:t>, Orion</w:t>
      </w:r>
      <w:r w:rsidR="00FC65C6" w:rsidRPr="00C44B3A">
        <w:rPr>
          <w:rFonts w:eastAsia="Calibri"/>
          <w:sz w:val="22"/>
          <w:szCs w:val="22"/>
          <w:lang w:val="en-CA"/>
        </w:rPr>
        <w:t>,</w:t>
      </w:r>
      <w:r w:rsidRPr="00C44B3A">
        <w:rPr>
          <w:rFonts w:eastAsia="Calibri"/>
          <w:sz w:val="22"/>
          <w:szCs w:val="22"/>
          <w:lang w:val="en-CA"/>
        </w:rPr>
        <w:t xml:space="preserve"> or NABI buses. </w:t>
      </w:r>
      <w:r w:rsidR="00FC65C6" w:rsidRPr="00C44B3A">
        <w:rPr>
          <w:rFonts w:eastAsia="Calibri"/>
          <w:sz w:val="22"/>
          <w:szCs w:val="22"/>
          <w:lang w:val="en-CA"/>
        </w:rPr>
        <w:t>NFI</w:t>
      </w:r>
      <w:r w:rsidRPr="00C44B3A">
        <w:rPr>
          <w:rFonts w:eastAsia="Calibri"/>
          <w:sz w:val="22"/>
          <w:szCs w:val="22"/>
          <w:lang w:val="en-CA"/>
        </w:rPr>
        <w:t xml:space="preserve"> had strong business relationships with approximately 400 transit authorities in Canada and the United States</w:t>
      </w:r>
      <w:r w:rsidRPr="00C44B3A">
        <w:rPr>
          <w:rFonts w:eastAsia="Calibri"/>
          <w:sz w:val="22"/>
          <w:szCs w:val="22"/>
          <w:vertAlign w:val="superscript"/>
          <w:lang w:val="en-CA"/>
        </w:rPr>
        <w:endnoteReference w:id="53"/>
      </w:r>
      <w:r w:rsidR="009971F5" w:rsidRPr="00C44B3A">
        <w:rPr>
          <w:rFonts w:eastAsia="Calibri"/>
          <w:sz w:val="22"/>
          <w:szCs w:val="22"/>
          <w:lang w:val="en-CA"/>
        </w:rPr>
        <w:t xml:space="preserve"> </w:t>
      </w:r>
      <w:r w:rsidR="00FC65C6" w:rsidRPr="00C44B3A">
        <w:rPr>
          <w:rFonts w:eastAsia="Calibri"/>
          <w:sz w:val="22"/>
          <w:szCs w:val="22"/>
          <w:lang w:val="en-CA"/>
        </w:rPr>
        <w:t xml:space="preserve">and delivered up to 6,000 heavy-duty buses annually </w:t>
      </w:r>
      <w:r w:rsidRPr="00C44B3A">
        <w:rPr>
          <w:rFonts w:eastAsia="Calibri"/>
          <w:sz w:val="22"/>
          <w:szCs w:val="22"/>
          <w:lang w:val="en-CA"/>
        </w:rPr>
        <w:t>in Canada and the United States</w:t>
      </w:r>
      <w:r w:rsidR="00FC65C6" w:rsidRPr="00C44B3A">
        <w:rPr>
          <w:rFonts w:eastAsia="Calibri"/>
          <w:sz w:val="22"/>
          <w:szCs w:val="22"/>
          <w:lang w:val="en-CA"/>
        </w:rPr>
        <w:t xml:space="preserve"> (see Exhibit 1)</w:t>
      </w:r>
      <w:r w:rsidRPr="00C44B3A">
        <w:rPr>
          <w:rFonts w:eastAsia="Calibri"/>
          <w:sz w:val="22"/>
          <w:szCs w:val="22"/>
          <w:lang w:val="en-CA"/>
        </w:rPr>
        <w:t xml:space="preserve">. </w:t>
      </w:r>
    </w:p>
    <w:p w14:paraId="74DE7934" w14:textId="77777777" w:rsidR="00BE15C5" w:rsidRPr="00C44B3A" w:rsidRDefault="00BE15C5" w:rsidP="00BE15C5">
      <w:pPr>
        <w:jc w:val="both"/>
        <w:rPr>
          <w:rFonts w:eastAsia="Calibri"/>
          <w:sz w:val="18"/>
          <w:szCs w:val="18"/>
          <w:highlight w:val="yellow"/>
          <w:lang w:val="en-CA"/>
        </w:rPr>
      </w:pPr>
    </w:p>
    <w:p w14:paraId="15DCB2E9" w14:textId="77777777" w:rsidR="007A12E6" w:rsidRPr="00C44B3A" w:rsidRDefault="00BE15C5" w:rsidP="00BE15C5">
      <w:pPr>
        <w:jc w:val="both"/>
        <w:rPr>
          <w:sz w:val="22"/>
          <w:szCs w:val="22"/>
          <w:lang w:val="en-CA"/>
        </w:rPr>
      </w:pPr>
      <w:r w:rsidRPr="00C44B3A">
        <w:rPr>
          <w:sz w:val="22"/>
          <w:szCs w:val="22"/>
          <w:lang w:val="en-CA"/>
        </w:rPr>
        <w:t xml:space="preserve">NFI differed from its competitors by having </w:t>
      </w:r>
    </w:p>
    <w:p w14:paraId="4EC8413A" w14:textId="77777777" w:rsidR="007A12E6" w:rsidRPr="00C44B3A" w:rsidRDefault="007A12E6" w:rsidP="00BE15C5">
      <w:pPr>
        <w:jc w:val="both"/>
        <w:rPr>
          <w:sz w:val="18"/>
          <w:szCs w:val="18"/>
          <w:lang w:val="en-CA"/>
        </w:rPr>
      </w:pPr>
    </w:p>
    <w:p w14:paraId="737B2AD4" w14:textId="43145AC7" w:rsidR="00BE15C5" w:rsidRPr="00C44B3A" w:rsidRDefault="00BE15C5" w:rsidP="007A12E6">
      <w:pPr>
        <w:ind w:left="810"/>
        <w:jc w:val="both"/>
        <w:rPr>
          <w:rFonts w:eastAsia="Calibri"/>
          <w:sz w:val="22"/>
          <w:szCs w:val="22"/>
          <w:lang w:val="en-CA"/>
        </w:rPr>
      </w:pPr>
      <w:r w:rsidRPr="00C44B3A">
        <w:rPr>
          <w:sz w:val="22"/>
          <w:szCs w:val="22"/>
          <w:lang w:val="en-CA"/>
        </w:rPr>
        <w:t xml:space="preserve">the broadest and most diverse product offering in the industry, a strong reputation for quality and innovation and the largest production capacity and by being a leading provider of aftermarket parts and support. As a result, management </w:t>
      </w:r>
      <w:r w:rsidR="00BD33BB" w:rsidRPr="00C44B3A">
        <w:rPr>
          <w:sz w:val="22"/>
          <w:szCs w:val="22"/>
          <w:lang w:val="en-CA"/>
        </w:rPr>
        <w:t xml:space="preserve">believes </w:t>
      </w:r>
      <w:r w:rsidRPr="00C44B3A">
        <w:rPr>
          <w:sz w:val="22"/>
          <w:szCs w:val="22"/>
          <w:lang w:val="en-CA"/>
        </w:rPr>
        <w:t xml:space="preserve">that </w:t>
      </w:r>
      <w:r w:rsidR="00BD33BB" w:rsidRPr="00C44B3A">
        <w:rPr>
          <w:sz w:val="22"/>
          <w:szCs w:val="22"/>
          <w:lang w:val="en-CA"/>
        </w:rPr>
        <w:t>New Flyer is</w:t>
      </w:r>
      <w:r w:rsidRPr="00C44B3A">
        <w:rPr>
          <w:sz w:val="22"/>
          <w:szCs w:val="22"/>
          <w:lang w:val="en-CA"/>
        </w:rPr>
        <w:t xml:space="preserve"> well positioned to continue to compete successfully and maintain its leading market share in the industry.</w:t>
      </w:r>
      <w:r w:rsidRPr="00C44B3A">
        <w:rPr>
          <w:sz w:val="22"/>
          <w:szCs w:val="22"/>
          <w:vertAlign w:val="superscript"/>
          <w:lang w:val="en-CA"/>
        </w:rPr>
        <w:endnoteReference w:id="54"/>
      </w:r>
    </w:p>
    <w:p w14:paraId="57270246" w14:textId="77777777" w:rsidR="00BE15C5" w:rsidRPr="00C44B3A" w:rsidRDefault="00BE15C5" w:rsidP="00BE15C5">
      <w:pPr>
        <w:jc w:val="both"/>
        <w:rPr>
          <w:sz w:val="18"/>
          <w:szCs w:val="18"/>
          <w:lang w:val="en-CA"/>
        </w:rPr>
      </w:pPr>
    </w:p>
    <w:p w14:paraId="7ED8932E" w14:textId="1E545425" w:rsidR="006616A5" w:rsidRPr="00C44B3A" w:rsidRDefault="00BE15C5" w:rsidP="00FA0FD9">
      <w:pPr>
        <w:jc w:val="both"/>
        <w:rPr>
          <w:kern w:val="22"/>
          <w:sz w:val="22"/>
          <w:szCs w:val="22"/>
          <w:lang w:val="en-CA"/>
        </w:rPr>
      </w:pPr>
      <w:r w:rsidRPr="00C44B3A">
        <w:rPr>
          <w:rFonts w:eastAsia="Calibri"/>
          <w:sz w:val="22"/>
          <w:szCs w:val="22"/>
          <w:lang w:val="en-CA"/>
        </w:rPr>
        <w:t>The principal purchasers of motor</w:t>
      </w:r>
      <w:r w:rsidR="00353676" w:rsidRPr="00C44B3A">
        <w:rPr>
          <w:rFonts w:eastAsia="Calibri"/>
          <w:sz w:val="22"/>
          <w:szCs w:val="22"/>
          <w:lang w:val="en-CA"/>
        </w:rPr>
        <w:t xml:space="preserve"> </w:t>
      </w:r>
      <w:r w:rsidRPr="00C44B3A">
        <w:rPr>
          <w:rFonts w:eastAsia="Calibri"/>
          <w:sz w:val="22"/>
          <w:szCs w:val="22"/>
          <w:lang w:val="en-CA"/>
        </w:rPr>
        <w:t>coaches were private tour and charter operators, intercity line-haul operators, private and public fleet operators</w:t>
      </w:r>
      <w:r w:rsidR="006616A5" w:rsidRPr="00C44B3A">
        <w:rPr>
          <w:rFonts w:eastAsia="Calibri"/>
          <w:sz w:val="22"/>
          <w:szCs w:val="22"/>
          <w:lang w:val="en-CA"/>
        </w:rPr>
        <w:t>,</w:t>
      </w:r>
      <w:r w:rsidRPr="00C44B3A">
        <w:rPr>
          <w:rFonts w:eastAsia="Calibri"/>
          <w:sz w:val="22"/>
          <w:szCs w:val="22"/>
          <w:lang w:val="en-CA"/>
        </w:rPr>
        <w:t xml:space="preserve"> and municipal and other local transit agencies.</w:t>
      </w:r>
      <w:r w:rsidRPr="00C44B3A">
        <w:rPr>
          <w:rFonts w:eastAsiaTheme="minorHAnsi"/>
          <w:color w:val="000000"/>
          <w:sz w:val="22"/>
          <w:szCs w:val="22"/>
          <w:lang w:val="en-CA"/>
        </w:rPr>
        <w:t xml:space="preserve"> </w:t>
      </w:r>
      <w:r w:rsidRPr="00C44B3A">
        <w:rPr>
          <w:rFonts w:eastAsia="Calibri"/>
          <w:sz w:val="22"/>
          <w:szCs w:val="22"/>
          <w:lang w:val="en-CA"/>
        </w:rPr>
        <w:t>Funding for public fleet operators followed the same pattern as for transit buses. New coach funding for private fleet operators was provided from the operators and funded by their cash flow and capital sources. A significant portion of private fleet operators chose to finance new coach purchases.</w:t>
      </w:r>
      <w:r w:rsidRPr="00C44B3A">
        <w:rPr>
          <w:rFonts w:eastAsia="Calibri"/>
          <w:sz w:val="22"/>
          <w:szCs w:val="22"/>
          <w:vertAlign w:val="superscript"/>
          <w:lang w:val="en-CA"/>
        </w:rPr>
        <w:endnoteReference w:id="55"/>
      </w:r>
      <w:r w:rsidRPr="00C44B3A">
        <w:rPr>
          <w:rFonts w:eastAsia="Calibri"/>
          <w:sz w:val="22"/>
          <w:szCs w:val="22"/>
          <w:lang w:val="en-CA"/>
        </w:rPr>
        <w:t xml:space="preserve"> </w:t>
      </w:r>
      <w:r w:rsidR="006616A5" w:rsidRPr="00C44B3A">
        <w:rPr>
          <w:rFonts w:eastAsia="Calibri"/>
          <w:sz w:val="22"/>
          <w:szCs w:val="22"/>
          <w:lang w:val="en-CA"/>
        </w:rPr>
        <w:t xml:space="preserve">They made their </w:t>
      </w:r>
      <w:r w:rsidRPr="00C44B3A">
        <w:rPr>
          <w:rFonts w:eastAsia="Calibri"/>
          <w:sz w:val="22"/>
          <w:szCs w:val="22"/>
          <w:lang w:val="en-CA"/>
        </w:rPr>
        <w:t>purchasing decision</w:t>
      </w:r>
      <w:r w:rsidR="006616A5" w:rsidRPr="00C44B3A">
        <w:rPr>
          <w:rFonts w:eastAsia="Calibri"/>
          <w:sz w:val="22"/>
          <w:szCs w:val="22"/>
          <w:lang w:val="en-CA"/>
        </w:rPr>
        <w:t xml:space="preserve">s based primarily on </w:t>
      </w:r>
      <w:r w:rsidRPr="00C44B3A">
        <w:rPr>
          <w:rFonts w:eastAsia="Calibri"/>
          <w:sz w:val="22"/>
          <w:szCs w:val="22"/>
          <w:lang w:val="en-CA"/>
        </w:rPr>
        <w:t xml:space="preserve">a strong service network and </w:t>
      </w:r>
      <w:r w:rsidR="006616A5" w:rsidRPr="00C44B3A">
        <w:rPr>
          <w:rFonts w:eastAsia="Calibri"/>
          <w:sz w:val="22"/>
          <w:szCs w:val="22"/>
          <w:lang w:val="en-CA"/>
        </w:rPr>
        <w:t xml:space="preserve">the </w:t>
      </w:r>
      <w:r w:rsidRPr="00C44B3A">
        <w:rPr>
          <w:rFonts w:eastAsia="Calibri"/>
          <w:sz w:val="22"/>
          <w:szCs w:val="22"/>
          <w:lang w:val="en-CA"/>
        </w:rPr>
        <w:t>product</w:t>
      </w:r>
      <w:r w:rsidR="006616A5" w:rsidRPr="00C44B3A">
        <w:rPr>
          <w:rFonts w:eastAsia="Calibri"/>
          <w:sz w:val="22"/>
          <w:szCs w:val="22"/>
          <w:lang w:val="en-CA"/>
        </w:rPr>
        <w:t>s’</w:t>
      </w:r>
      <w:r w:rsidRPr="00C44B3A">
        <w:rPr>
          <w:rFonts w:eastAsia="Calibri"/>
          <w:sz w:val="22"/>
          <w:szCs w:val="22"/>
          <w:lang w:val="en-CA"/>
        </w:rPr>
        <w:t xml:space="preserve"> residual value. </w:t>
      </w:r>
      <w:r w:rsidR="006616A5" w:rsidRPr="00C44B3A">
        <w:rPr>
          <w:rFonts w:eastAsia="Calibri"/>
          <w:sz w:val="22"/>
          <w:szCs w:val="22"/>
          <w:lang w:val="en-CA"/>
        </w:rPr>
        <w:t>While</w:t>
      </w:r>
      <w:r w:rsidR="006616A5" w:rsidRPr="00C44B3A" w:rsidDel="006616A5">
        <w:rPr>
          <w:rFonts w:eastAsia="Calibri"/>
          <w:sz w:val="22"/>
          <w:szCs w:val="22"/>
          <w:lang w:val="en-CA"/>
        </w:rPr>
        <w:t xml:space="preserve"> </w:t>
      </w:r>
      <w:r w:rsidRPr="00C44B3A">
        <w:rPr>
          <w:rFonts w:eastAsia="Calibri"/>
          <w:sz w:val="22"/>
          <w:szCs w:val="22"/>
          <w:lang w:val="en-CA"/>
        </w:rPr>
        <w:t xml:space="preserve">public transit authorities purchased coaches in a </w:t>
      </w:r>
      <w:r w:rsidR="006616A5" w:rsidRPr="00C44B3A">
        <w:rPr>
          <w:rFonts w:eastAsia="Calibri"/>
          <w:sz w:val="22"/>
          <w:szCs w:val="22"/>
          <w:lang w:val="en-CA"/>
        </w:rPr>
        <w:t xml:space="preserve">manner </w:t>
      </w:r>
      <w:r w:rsidRPr="00C44B3A">
        <w:rPr>
          <w:rFonts w:eastAsia="Calibri"/>
          <w:sz w:val="22"/>
          <w:szCs w:val="22"/>
          <w:lang w:val="en-CA"/>
        </w:rPr>
        <w:t xml:space="preserve">very similar to </w:t>
      </w:r>
      <w:r w:rsidR="006616A5" w:rsidRPr="00C44B3A">
        <w:rPr>
          <w:rFonts w:eastAsia="Calibri"/>
          <w:sz w:val="22"/>
          <w:szCs w:val="22"/>
          <w:lang w:val="en-CA"/>
        </w:rPr>
        <w:t xml:space="preserve">that applying to </w:t>
      </w:r>
      <w:r w:rsidRPr="00C44B3A">
        <w:rPr>
          <w:rFonts w:eastAsia="Calibri"/>
          <w:sz w:val="22"/>
          <w:szCs w:val="22"/>
          <w:lang w:val="en-CA"/>
        </w:rPr>
        <w:t>transit buses</w:t>
      </w:r>
      <w:r w:rsidR="006616A5" w:rsidRPr="00C44B3A">
        <w:rPr>
          <w:rFonts w:eastAsia="Calibri"/>
          <w:sz w:val="22"/>
          <w:szCs w:val="22"/>
          <w:lang w:val="en-CA"/>
        </w:rPr>
        <w:t>, private customers had needs</w:t>
      </w:r>
      <w:r w:rsidR="00571CB8" w:rsidRPr="00C44B3A">
        <w:rPr>
          <w:rFonts w:eastAsia="Calibri"/>
          <w:sz w:val="22"/>
          <w:szCs w:val="22"/>
          <w:lang w:val="en-CA"/>
        </w:rPr>
        <w:t xml:space="preserve"> that were more diverse</w:t>
      </w:r>
      <w:r w:rsidRPr="00C44B3A">
        <w:rPr>
          <w:rFonts w:eastAsia="Calibri"/>
          <w:sz w:val="22"/>
          <w:szCs w:val="22"/>
          <w:lang w:val="en-CA"/>
        </w:rPr>
        <w:t xml:space="preserve">. </w:t>
      </w:r>
      <w:r w:rsidR="00E255F5" w:rsidRPr="00C44B3A">
        <w:rPr>
          <w:sz w:val="22"/>
          <w:szCs w:val="22"/>
          <w:lang w:val="en-CA"/>
        </w:rPr>
        <w:t xml:space="preserve">MCI </w:t>
      </w:r>
      <w:r w:rsidRPr="00C44B3A">
        <w:rPr>
          <w:sz w:val="22"/>
          <w:szCs w:val="22"/>
          <w:lang w:val="en-CA"/>
        </w:rPr>
        <w:t xml:space="preserve">distinguished itself from </w:t>
      </w:r>
      <w:r w:rsidR="006616A5" w:rsidRPr="00C44B3A">
        <w:rPr>
          <w:sz w:val="22"/>
          <w:szCs w:val="22"/>
          <w:lang w:val="en-CA"/>
        </w:rPr>
        <w:t xml:space="preserve">the competition </w:t>
      </w:r>
      <w:r w:rsidR="00571CB8" w:rsidRPr="00C44B3A">
        <w:rPr>
          <w:spacing w:val="-4"/>
          <w:kern w:val="22"/>
          <w:sz w:val="22"/>
          <w:szCs w:val="22"/>
          <w:lang w:val="en-CA"/>
        </w:rPr>
        <w:t>“</w:t>
      </w:r>
      <w:r w:rsidRPr="00C44B3A">
        <w:rPr>
          <w:kern w:val="22"/>
          <w:sz w:val="22"/>
          <w:szCs w:val="22"/>
          <w:lang w:val="en-CA"/>
        </w:rPr>
        <w:t xml:space="preserve">primarily through its products and history of supporting customers and its products on the road. MCI products </w:t>
      </w:r>
      <w:r w:rsidR="00BD33BB" w:rsidRPr="00C44B3A">
        <w:rPr>
          <w:kern w:val="22"/>
          <w:sz w:val="22"/>
          <w:szCs w:val="22"/>
          <w:lang w:val="en-CA"/>
        </w:rPr>
        <w:t xml:space="preserve">are </w:t>
      </w:r>
      <w:r w:rsidRPr="00C44B3A">
        <w:rPr>
          <w:kern w:val="22"/>
          <w:sz w:val="22"/>
          <w:szCs w:val="22"/>
          <w:lang w:val="en-CA"/>
        </w:rPr>
        <w:t xml:space="preserve">known as reliable coaches with well-established residual values. Management </w:t>
      </w:r>
      <w:r w:rsidR="00BD33BB" w:rsidRPr="00C44B3A">
        <w:rPr>
          <w:kern w:val="22"/>
          <w:sz w:val="22"/>
          <w:szCs w:val="22"/>
          <w:lang w:val="en-CA"/>
        </w:rPr>
        <w:t xml:space="preserve">believes </w:t>
      </w:r>
      <w:r w:rsidRPr="00C44B3A">
        <w:rPr>
          <w:kern w:val="22"/>
          <w:sz w:val="22"/>
          <w:szCs w:val="22"/>
          <w:lang w:val="en-CA"/>
        </w:rPr>
        <w:t xml:space="preserve">that New Flyer’s ownership of MCI and its values and processes </w:t>
      </w:r>
      <w:r w:rsidR="00BD33BB" w:rsidRPr="00C44B3A">
        <w:rPr>
          <w:kern w:val="22"/>
          <w:sz w:val="22"/>
          <w:szCs w:val="22"/>
          <w:lang w:val="en-CA"/>
        </w:rPr>
        <w:t xml:space="preserve">adds </w:t>
      </w:r>
      <w:r w:rsidRPr="00C44B3A">
        <w:rPr>
          <w:kern w:val="22"/>
          <w:sz w:val="22"/>
          <w:szCs w:val="22"/>
          <w:lang w:val="en-CA"/>
        </w:rPr>
        <w:t>to the reliability of MCI’s products</w:t>
      </w:r>
      <w:r w:rsidR="007A6314" w:rsidRPr="00C44B3A">
        <w:rPr>
          <w:kern w:val="22"/>
          <w:sz w:val="22"/>
          <w:szCs w:val="22"/>
          <w:lang w:val="en-CA"/>
        </w:rPr>
        <w:t>.</w:t>
      </w:r>
      <w:r w:rsidR="00571CB8" w:rsidRPr="00C44B3A">
        <w:rPr>
          <w:kern w:val="22"/>
          <w:sz w:val="22"/>
          <w:szCs w:val="22"/>
          <w:lang w:val="en-CA"/>
        </w:rPr>
        <w:t>”</w:t>
      </w:r>
      <w:r w:rsidRPr="00C44B3A">
        <w:rPr>
          <w:kern w:val="22"/>
          <w:sz w:val="22"/>
          <w:szCs w:val="22"/>
          <w:vertAlign w:val="superscript"/>
          <w:lang w:val="en-CA"/>
        </w:rPr>
        <w:endnoteReference w:id="56"/>
      </w:r>
    </w:p>
    <w:p w14:paraId="4BD0DED3" w14:textId="77777777" w:rsidR="00D051E9" w:rsidRPr="00C44B3A" w:rsidRDefault="00D051E9" w:rsidP="00FA0FD9">
      <w:pPr>
        <w:jc w:val="both"/>
        <w:rPr>
          <w:kern w:val="22"/>
          <w:sz w:val="22"/>
          <w:szCs w:val="22"/>
          <w:lang w:val="en-CA"/>
        </w:rPr>
      </w:pPr>
    </w:p>
    <w:p w14:paraId="0E8F09A1" w14:textId="675AF851" w:rsidR="00BE15C5" w:rsidRPr="00C44B3A" w:rsidRDefault="00BE15C5" w:rsidP="00BE15C5">
      <w:pPr>
        <w:jc w:val="both"/>
        <w:rPr>
          <w:rFonts w:eastAsia="Calibri"/>
          <w:sz w:val="22"/>
          <w:szCs w:val="22"/>
          <w:lang w:val="en-CA"/>
        </w:rPr>
      </w:pPr>
      <w:r w:rsidRPr="00C44B3A">
        <w:rPr>
          <w:rFonts w:eastAsia="Calibri"/>
          <w:sz w:val="22"/>
          <w:szCs w:val="22"/>
          <w:lang w:val="en-CA"/>
        </w:rPr>
        <w:t>In 2016, MCI delivered coaches to 14 of the top 25 motor coach operators in the industry.</w:t>
      </w:r>
      <w:r w:rsidRPr="00C44B3A">
        <w:rPr>
          <w:rFonts w:eastAsia="Calibri"/>
          <w:sz w:val="22"/>
          <w:szCs w:val="22"/>
          <w:vertAlign w:val="superscript"/>
          <w:lang w:val="en-CA"/>
        </w:rPr>
        <w:endnoteReference w:id="57"/>
      </w:r>
      <w:r w:rsidR="005F56DF" w:rsidRPr="00C44B3A">
        <w:rPr>
          <w:rFonts w:eastAsia="Calibri"/>
          <w:sz w:val="22"/>
          <w:szCs w:val="22"/>
          <w:lang w:val="en-CA"/>
        </w:rPr>
        <w:t xml:space="preserve"> </w:t>
      </w:r>
    </w:p>
    <w:p w14:paraId="207122EF" w14:textId="77777777" w:rsidR="00BE15C5" w:rsidRPr="00C44B3A" w:rsidRDefault="00BE15C5" w:rsidP="00784365">
      <w:pPr>
        <w:pStyle w:val="BodyTextMain"/>
        <w:rPr>
          <w:sz w:val="18"/>
          <w:szCs w:val="18"/>
          <w:lang w:val="en-CA"/>
        </w:rPr>
      </w:pPr>
    </w:p>
    <w:p w14:paraId="2F55DC34" w14:textId="77777777" w:rsidR="00BE15C5" w:rsidRPr="00C44B3A" w:rsidRDefault="00BE15C5" w:rsidP="00784365">
      <w:pPr>
        <w:pStyle w:val="BodyTextMain"/>
        <w:rPr>
          <w:sz w:val="18"/>
          <w:szCs w:val="18"/>
          <w:lang w:val="en-CA"/>
        </w:rPr>
      </w:pPr>
    </w:p>
    <w:p w14:paraId="0BED8545" w14:textId="77777777" w:rsidR="00BE15C5" w:rsidRPr="00C44B3A" w:rsidRDefault="00BE15C5" w:rsidP="00BE15C5">
      <w:pPr>
        <w:jc w:val="both"/>
        <w:rPr>
          <w:rFonts w:ascii="Arial" w:hAnsi="Arial" w:cs="Arial"/>
          <w:b/>
          <w:caps/>
          <w:lang w:val="en-CA"/>
        </w:rPr>
      </w:pPr>
      <w:r w:rsidRPr="00C44B3A">
        <w:rPr>
          <w:rFonts w:ascii="Arial" w:hAnsi="Arial" w:cs="Arial"/>
          <w:b/>
          <w:caps/>
          <w:lang w:val="en-CA"/>
        </w:rPr>
        <w:t>exact change Please</w:t>
      </w:r>
    </w:p>
    <w:p w14:paraId="321E5B65" w14:textId="77777777" w:rsidR="00BE15C5" w:rsidRPr="00C44B3A" w:rsidRDefault="00BE15C5" w:rsidP="00BE15C5">
      <w:pPr>
        <w:jc w:val="both"/>
        <w:rPr>
          <w:sz w:val="18"/>
          <w:szCs w:val="18"/>
          <w:lang w:val="en-CA"/>
        </w:rPr>
      </w:pPr>
    </w:p>
    <w:p w14:paraId="51A4F56D" w14:textId="242CC923" w:rsidR="00BE15C5" w:rsidRPr="00C44B3A" w:rsidRDefault="007A12E6" w:rsidP="00BE15C5">
      <w:pPr>
        <w:jc w:val="both"/>
        <w:rPr>
          <w:sz w:val="22"/>
          <w:szCs w:val="22"/>
          <w:lang w:val="en-CA"/>
        </w:rPr>
      </w:pPr>
      <w:r w:rsidRPr="00C44B3A">
        <w:rPr>
          <w:sz w:val="22"/>
          <w:szCs w:val="22"/>
          <w:lang w:val="en-CA"/>
        </w:rPr>
        <w:t xml:space="preserve">The </w:t>
      </w:r>
      <w:r w:rsidR="006616A5" w:rsidRPr="00C44B3A">
        <w:rPr>
          <w:sz w:val="22"/>
          <w:szCs w:val="22"/>
          <w:lang w:val="en-CA"/>
        </w:rPr>
        <w:t>five-</w:t>
      </w:r>
      <w:r w:rsidR="00BE15C5" w:rsidRPr="00C44B3A">
        <w:rPr>
          <w:sz w:val="22"/>
          <w:szCs w:val="22"/>
          <w:lang w:val="en-CA"/>
        </w:rPr>
        <w:t xml:space="preserve">year financial trend for NFI had been very positive in a number of </w:t>
      </w:r>
      <w:r w:rsidR="006616A5" w:rsidRPr="00C44B3A">
        <w:rPr>
          <w:sz w:val="22"/>
          <w:szCs w:val="22"/>
          <w:lang w:val="en-CA"/>
        </w:rPr>
        <w:t>ways</w:t>
      </w:r>
      <w:r w:rsidR="00BE15C5" w:rsidRPr="00C44B3A">
        <w:rPr>
          <w:sz w:val="22"/>
          <w:szCs w:val="22"/>
          <w:lang w:val="en-CA"/>
        </w:rPr>
        <w:t xml:space="preserve">. Recent increases in both revenues and net income were linked to the 2015 acquisition of MCI. After its first full year of ownership of MCI, </w:t>
      </w:r>
      <w:r w:rsidR="006E2C4D" w:rsidRPr="00C44B3A">
        <w:rPr>
          <w:sz w:val="22"/>
          <w:szCs w:val="22"/>
          <w:lang w:val="en-CA"/>
        </w:rPr>
        <w:t>NFI</w:t>
      </w:r>
      <w:r w:rsidR="00BE15C5" w:rsidRPr="00C44B3A">
        <w:rPr>
          <w:sz w:val="22"/>
          <w:szCs w:val="22"/>
          <w:lang w:val="en-CA"/>
        </w:rPr>
        <w:t xml:space="preserve"> had beat most analysts’ estimates</w:t>
      </w:r>
      <w:r w:rsidR="006E2C4D" w:rsidRPr="00C44B3A">
        <w:rPr>
          <w:sz w:val="22"/>
          <w:szCs w:val="22"/>
          <w:lang w:val="en-CA"/>
        </w:rPr>
        <w:t>, and</w:t>
      </w:r>
      <w:r w:rsidR="00BE15C5" w:rsidRPr="00C44B3A">
        <w:rPr>
          <w:sz w:val="22"/>
          <w:szCs w:val="22"/>
          <w:lang w:val="en-CA"/>
        </w:rPr>
        <w:t xml:space="preserve"> early returns </w:t>
      </w:r>
      <w:r w:rsidR="006E2C4D" w:rsidRPr="00C44B3A">
        <w:rPr>
          <w:sz w:val="22"/>
          <w:szCs w:val="22"/>
          <w:lang w:val="en-CA"/>
        </w:rPr>
        <w:t xml:space="preserve">had been </w:t>
      </w:r>
      <w:r w:rsidR="00BE15C5" w:rsidRPr="00C44B3A">
        <w:rPr>
          <w:sz w:val="22"/>
          <w:szCs w:val="22"/>
          <w:lang w:val="en-CA"/>
        </w:rPr>
        <w:t xml:space="preserve">very positive. Cost synergies between the two companies were apparent but perhaps not yet fully exploited. The firm was also selling more higher-priced, lower-emission models and had completed some aftermarket overhaul work for large </w:t>
      </w:r>
      <w:r w:rsidR="00BE15C5" w:rsidRPr="00C44B3A">
        <w:rPr>
          <w:sz w:val="22"/>
          <w:szCs w:val="22"/>
          <w:lang w:val="en-CA"/>
        </w:rPr>
        <w:lastRenderedPageBreak/>
        <w:t>transit authorities. However, management was forecasting a lower growth rate in the aftermarket segment for 201</w:t>
      </w:r>
      <w:r w:rsidRPr="00C44B3A">
        <w:rPr>
          <w:sz w:val="22"/>
          <w:szCs w:val="22"/>
          <w:lang w:val="en-CA"/>
        </w:rPr>
        <w:t xml:space="preserve">7 </w:t>
      </w:r>
      <w:r w:rsidR="006E2C4D" w:rsidRPr="00C44B3A">
        <w:rPr>
          <w:sz w:val="22"/>
          <w:szCs w:val="22"/>
          <w:lang w:val="en-CA"/>
        </w:rPr>
        <w:t>since</w:t>
      </w:r>
      <w:r w:rsidRPr="00C44B3A">
        <w:rPr>
          <w:sz w:val="22"/>
          <w:szCs w:val="22"/>
          <w:lang w:val="en-CA"/>
        </w:rPr>
        <w:t xml:space="preserve"> there had</w:t>
      </w:r>
      <w:r w:rsidR="00BE15C5" w:rsidRPr="00C44B3A">
        <w:rPr>
          <w:sz w:val="22"/>
          <w:szCs w:val="22"/>
          <w:lang w:val="en-CA"/>
        </w:rPr>
        <w:t xml:space="preserve"> </w:t>
      </w:r>
      <w:r w:rsidR="006E2C4D" w:rsidRPr="00C44B3A">
        <w:rPr>
          <w:sz w:val="22"/>
          <w:szCs w:val="22"/>
          <w:lang w:val="en-CA"/>
        </w:rPr>
        <w:t xml:space="preserve">already </w:t>
      </w:r>
      <w:r w:rsidR="00BE15C5" w:rsidRPr="00C44B3A">
        <w:rPr>
          <w:sz w:val="22"/>
          <w:szCs w:val="22"/>
          <w:lang w:val="en-CA"/>
        </w:rPr>
        <w:t xml:space="preserve">been </w:t>
      </w:r>
      <w:r w:rsidR="006E2C4D" w:rsidRPr="00C44B3A">
        <w:rPr>
          <w:sz w:val="22"/>
          <w:szCs w:val="22"/>
          <w:lang w:val="en-CA"/>
        </w:rPr>
        <w:t>significant</w:t>
      </w:r>
      <w:r w:rsidR="00BE15C5" w:rsidRPr="00C44B3A">
        <w:rPr>
          <w:sz w:val="22"/>
          <w:szCs w:val="22"/>
          <w:lang w:val="en-CA"/>
        </w:rPr>
        <w:t xml:space="preserve"> fleet replacements in </w:t>
      </w:r>
      <w:r w:rsidR="006E2C4D" w:rsidRPr="00C44B3A">
        <w:rPr>
          <w:sz w:val="22"/>
          <w:szCs w:val="22"/>
          <w:lang w:val="en-CA"/>
        </w:rPr>
        <w:t xml:space="preserve">recent </w:t>
      </w:r>
      <w:r w:rsidR="00BE15C5" w:rsidRPr="00C44B3A">
        <w:rPr>
          <w:sz w:val="22"/>
          <w:szCs w:val="22"/>
          <w:lang w:val="en-CA"/>
        </w:rPr>
        <w:t>years.</w:t>
      </w:r>
      <w:r w:rsidR="00BE15C5" w:rsidRPr="00C44B3A">
        <w:rPr>
          <w:sz w:val="22"/>
          <w:szCs w:val="22"/>
          <w:vertAlign w:val="superscript"/>
          <w:lang w:val="en-CA"/>
        </w:rPr>
        <w:endnoteReference w:id="58"/>
      </w:r>
      <w:r w:rsidR="00BE15C5" w:rsidRPr="00C44B3A">
        <w:rPr>
          <w:sz w:val="22"/>
          <w:szCs w:val="22"/>
          <w:lang w:val="en-CA"/>
        </w:rPr>
        <w:t xml:space="preserve"> </w:t>
      </w:r>
      <w:r w:rsidR="006E2C4D" w:rsidRPr="00C44B3A">
        <w:rPr>
          <w:sz w:val="22"/>
          <w:szCs w:val="22"/>
          <w:lang w:val="en-CA"/>
        </w:rPr>
        <w:t>NFI</w:t>
      </w:r>
      <w:r w:rsidR="00BE15C5" w:rsidRPr="00C44B3A">
        <w:rPr>
          <w:sz w:val="22"/>
          <w:szCs w:val="22"/>
          <w:lang w:val="en-CA"/>
        </w:rPr>
        <w:t>’s debt load was also minimal</w:t>
      </w:r>
      <w:r w:rsidR="00571CB8" w:rsidRPr="00C44B3A">
        <w:rPr>
          <w:sz w:val="22"/>
          <w:szCs w:val="22"/>
          <w:lang w:val="en-CA"/>
        </w:rPr>
        <w:t>;</w:t>
      </w:r>
      <w:r w:rsidR="00BE15C5" w:rsidRPr="00C44B3A">
        <w:rPr>
          <w:sz w:val="22"/>
          <w:szCs w:val="22"/>
          <w:lang w:val="en-CA"/>
        </w:rPr>
        <w:t xml:space="preserve"> </w:t>
      </w:r>
      <w:r w:rsidR="00571CB8" w:rsidRPr="00C44B3A">
        <w:rPr>
          <w:sz w:val="22"/>
          <w:szCs w:val="22"/>
          <w:lang w:val="en-CA"/>
        </w:rPr>
        <w:t>it</w:t>
      </w:r>
      <w:r w:rsidR="00BE15C5" w:rsidRPr="00C44B3A">
        <w:rPr>
          <w:sz w:val="22"/>
          <w:szCs w:val="22"/>
          <w:lang w:val="en-CA"/>
        </w:rPr>
        <w:t xml:space="preserve"> had been in decline as a result </w:t>
      </w:r>
      <w:r w:rsidR="00571CB8" w:rsidRPr="00C44B3A">
        <w:rPr>
          <w:sz w:val="22"/>
          <w:szCs w:val="22"/>
          <w:lang w:val="en-CA"/>
        </w:rPr>
        <w:t xml:space="preserve">of </w:t>
      </w:r>
      <w:r w:rsidR="00BE15C5" w:rsidRPr="00C44B3A">
        <w:rPr>
          <w:sz w:val="22"/>
          <w:szCs w:val="22"/>
          <w:lang w:val="en-CA"/>
        </w:rPr>
        <w:t>strong cash f</w:t>
      </w:r>
      <w:r w:rsidR="005F56DF" w:rsidRPr="00C44B3A">
        <w:rPr>
          <w:sz w:val="22"/>
          <w:szCs w:val="22"/>
          <w:lang w:val="en-CA"/>
        </w:rPr>
        <w:t>low generation (see Exhibits 2</w:t>
      </w:r>
      <w:r w:rsidRPr="00C44B3A">
        <w:rPr>
          <w:sz w:val="22"/>
          <w:szCs w:val="22"/>
          <w:lang w:val="en-CA"/>
        </w:rPr>
        <w:t xml:space="preserve"> and</w:t>
      </w:r>
      <w:r w:rsidR="005F56DF" w:rsidRPr="00C44B3A">
        <w:rPr>
          <w:sz w:val="22"/>
          <w:szCs w:val="22"/>
          <w:lang w:val="en-CA"/>
        </w:rPr>
        <w:t xml:space="preserve"> 3</w:t>
      </w:r>
      <w:r w:rsidR="00BE15C5" w:rsidRPr="00C44B3A">
        <w:rPr>
          <w:sz w:val="22"/>
          <w:szCs w:val="22"/>
          <w:lang w:val="en-CA"/>
        </w:rPr>
        <w:t xml:space="preserve">). </w:t>
      </w:r>
    </w:p>
    <w:p w14:paraId="4068383B" w14:textId="77777777" w:rsidR="00BE15C5" w:rsidRPr="00C44B3A" w:rsidRDefault="00BE15C5" w:rsidP="00BE15C5">
      <w:pPr>
        <w:jc w:val="both"/>
        <w:rPr>
          <w:sz w:val="18"/>
          <w:szCs w:val="18"/>
          <w:lang w:val="en-CA"/>
        </w:rPr>
      </w:pPr>
    </w:p>
    <w:p w14:paraId="7941FCE8" w14:textId="40C3A305" w:rsidR="00BE15C5" w:rsidRPr="00C44B3A" w:rsidRDefault="006E2C4D" w:rsidP="00BE15C5">
      <w:pPr>
        <w:jc w:val="both"/>
        <w:rPr>
          <w:sz w:val="22"/>
          <w:szCs w:val="22"/>
          <w:lang w:val="en-CA"/>
        </w:rPr>
      </w:pPr>
      <w:r w:rsidRPr="00C44B3A">
        <w:rPr>
          <w:sz w:val="22"/>
          <w:szCs w:val="22"/>
          <w:lang w:val="en-CA"/>
        </w:rPr>
        <w:t>NFI</w:t>
      </w:r>
      <w:r w:rsidR="00EF2CEA" w:rsidRPr="00C44B3A">
        <w:rPr>
          <w:sz w:val="22"/>
          <w:szCs w:val="22"/>
          <w:lang w:val="en-CA"/>
        </w:rPr>
        <w:t xml:space="preserve"> had become “a best-in-class manufacturer</w:t>
      </w:r>
      <w:r w:rsidRPr="00C44B3A">
        <w:rPr>
          <w:sz w:val="22"/>
          <w:szCs w:val="22"/>
          <w:lang w:val="en-CA"/>
        </w:rPr>
        <w:t>,</w:t>
      </w:r>
      <w:r w:rsidR="00EF2CEA" w:rsidRPr="00C44B3A">
        <w:rPr>
          <w:sz w:val="22"/>
          <w:szCs w:val="22"/>
          <w:lang w:val="en-CA"/>
        </w:rPr>
        <w:t xml:space="preserve">” </w:t>
      </w:r>
      <w:r w:rsidR="00571CB8" w:rsidRPr="00C44B3A">
        <w:rPr>
          <w:sz w:val="22"/>
          <w:szCs w:val="22"/>
          <w:lang w:val="en-CA"/>
        </w:rPr>
        <w:t>which was reflected in</w:t>
      </w:r>
      <w:r w:rsidR="00EF2CEA" w:rsidRPr="00C44B3A">
        <w:rPr>
          <w:sz w:val="22"/>
          <w:szCs w:val="22"/>
          <w:lang w:val="en-CA"/>
        </w:rPr>
        <w:t xml:space="preserve"> the</w:t>
      </w:r>
      <w:r w:rsidR="00BE15C5" w:rsidRPr="00C44B3A">
        <w:rPr>
          <w:sz w:val="22"/>
          <w:szCs w:val="22"/>
          <w:lang w:val="en-CA"/>
        </w:rPr>
        <w:t xml:space="preserve"> stock price</w:t>
      </w:r>
      <w:r w:rsidR="00571CB8" w:rsidRPr="00C44B3A">
        <w:rPr>
          <w:sz w:val="22"/>
          <w:szCs w:val="22"/>
          <w:lang w:val="en-CA"/>
        </w:rPr>
        <w:t>,</w:t>
      </w:r>
      <w:r w:rsidRPr="00C44B3A">
        <w:rPr>
          <w:sz w:val="22"/>
          <w:szCs w:val="22"/>
          <w:lang w:val="en-CA"/>
        </w:rPr>
        <w:t xml:space="preserve"> and had </w:t>
      </w:r>
      <w:r w:rsidR="00D2407D" w:rsidRPr="00C44B3A">
        <w:rPr>
          <w:sz w:val="22"/>
          <w:szCs w:val="22"/>
          <w:lang w:val="en-CA"/>
        </w:rPr>
        <w:t>made</w:t>
      </w:r>
      <w:r w:rsidR="00BE15C5" w:rsidRPr="00C44B3A">
        <w:rPr>
          <w:sz w:val="22"/>
          <w:szCs w:val="22"/>
          <w:lang w:val="en-CA"/>
        </w:rPr>
        <w:t xml:space="preserve"> rapid gains since mid-2015.</w:t>
      </w:r>
      <w:r w:rsidR="00EF2CEA" w:rsidRPr="00C44B3A">
        <w:rPr>
          <w:rStyle w:val="EndnoteReference"/>
          <w:sz w:val="22"/>
          <w:szCs w:val="22"/>
          <w:lang w:val="en-CA"/>
        </w:rPr>
        <w:endnoteReference w:id="59"/>
      </w:r>
      <w:r w:rsidR="00BE15C5" w:rsidRPr="00C44B3A">
        <w:rPr>
          <w:sz w:val="22"/>
          <w:szCs w:val="22"/>
          <w:lang w:val="en-CA"/>
        </w:rPr>
        <w:t xml:space="preserve"> </w:t>
      </w:r>
      <w:r w:rsidRPr="00C44B3A">
        <w:rPr>
          <w:sz w:val="22"/>
          <w:szCs w:val="22"/>
          <w:lang w:val="en-CA"/>
        </w:rPr>
        <w:t xml:space="preserve">However, </w:t>
      </w:r>
      <w:r w:rsidR="00BE15C5" w:rsidRPr="00C44B3A">
        <w:rPr>
          <w:sz w:val="22"/>
          <w:szCs w:val="22"/>
          <w:lang w:val="en-CA"/>
        </w:rPr>
        <w:t>after a strong run of market growth, the stock price had recently become somewhat stagnant</w:t>
      </w:r>
      <w:r w:rsidRPr="00C44B3A">
        <w:rPr>
          <w:sz w:val="22"/>
          <w:szCs w:val="22"/>
          <w:lang w:val="en-CA"/>
        </w:rPr>
        <w:t>,</w:t>
      </w:r>
      <w:r w:rsidR="00BE15C5" w:rsidRPr="00C44B3A">
        <w:rPr>
          <w:sz w:val="22"/>
          <w:szCs w:val="22"/>
          <w:lang w:val="en-CA"/>
        </w:rPr>
        <w:t xml:space="preserve"> level</w:t>
      </w:r>
      <w:r w:rsidRPr="00C44B3A">
        <w:rPr>
          <w:sz w:val="22"/>
          <w:szCs w:val="22"/>
          <w:lang w:val="en-CA"/>
        </w:rPr>
        <w:t>ling</w:t>
      </w:r>
      <w:r w:rsidR="00BE15C5" w:rsidRPr="00C44B3A">
        <w:rPr>
          <w:sz w:val="22"/>
          <w:szCs w:val="22"/>
          <w:lang w:val="en-CA"/>
        </w:rPr>
        <w:t xml:space="preserve"> out just ab</w:t>
      </w:r>
      <w:r w:rsidR="005F56DF" w:rsidRPr="00C44B3A">
        <w:rPr>
          <w:sz w:val="22"/>
          <w:szCs w:val="22"/>
          <w:lang w:val="en-CA"/>
        </w:rPr>
        <w:t>ove $50 per share (see Exhibit 4</w:t>
      </w:r>
      <w:r w:rsidR="00BE15C5" w:rsidRPr="00C44B3A">
        <w:rPr>
          <w:sz w:val="22"/>
          <w:szCs w:val="22"/>
          <w:lang w:val="en-CA"/>
        </w:rPr>
        <w:t>).</w:t>
      </w:r>
      <w:r w:rsidR="007A12E6" w:rsidRPr="00C44B3A">
        <w:rPr>
          <w:sz w:val="22"/>
          <w:szCs w:val="22"/>
          <w:vertAlign w:val="superscript"/>
          <w:lang w:val="en-CA"/>
        </w:rPr>
        <w:endnoteReference w:id="60"/>
      </w:r>
      <w:r w:rsidR="00BE15C5" w:rsidRPr="00C44B3A">
        <w:rPr>
          <w:sz w:val="22"/>
          <w:szCs w:val="22"/>
          <w:lang w:val="en-CA"/>
        </w:rPr>
        <w:t xml:space="preserve"> To further complicate the financial picture, equities markets had been on a bullish ru</w:t>
      </w:r>
      <w:r w:rsidRPr="00C44B3A">
        <w:rPr>
          <w:sz w:val="22"/>
          <w:szCs w:val="22"/>
          <w:lang w:val="en-CA"/>
        </w:rPr>
        <w:t>n,</w:t>
      </w:r>
      <w:r w:rsidR="00BE15C5" w:rsidRPr="00C44B3A">
        <w:rPr>
          <w:sz w:val="22"/>
          <w:szCs w:val="22"/>
          <w:lang w:val="en-CA"/>
        </w:rPr>
        <w:t xml:space="preserve"> reach</w:t>
      </w:r>
      <w:r w:rsidRPr="00C44B3A">
        <w:rPr>
          <w:sz w:val="22"/>
          <w:szCs w:val="22"/>
          <w:lang w:val="en-CA"/>
        </w:rPr>
        <w:t>ing</w:t>
      </w:r>
      <w:r w:rsidR="00BE15C5" w:rsidRPr="00C44B3A">
        <w:rPr>
          <w:sz w:val="22"/>
          <w:szCs w:val="22"/>
          <w:lang w:val="en-CA"/>
        </w:rPr>
        <w:t xml:space="preserve"> unprecedented market highs</w:t>
      </w:r>
      <w:r w:rsidRPr="00C44B3A">
        <w:rPr>
          <w:sz w:val="22"/>
          <w:szCs w:val="22"/>
          <w:lang w:val="en-CA"/>
        </w:rPr>
        <w:t xml:space="preserve"> that were</w:t>
      </w:r>
      <w:r w:rsidR="00BE15C5" w:rsidRPr="00C44B3A">
        <w:rPr>
          <w:sz w:val="22"/>
          <w:szCs w:val="22"/>
          <w:lang w:val="en-CA"/>
        </w:rPr>
        <w:t xml:space="preserve"> driven in part by low interest rates, low bond yields, corporate stock repurchasing, favo</w:t>
      </w:r>
      <w:r w:rsidRPr="00C44B3A">
        <w:rPr>
          <w:sz w:val="22"/>
          <w:szCs w:val="22"/>
          <w:lang w:val="en-CA"/>
        </w:rPr>
        <w:t>u</w:t>
      </w:r>
      <w:r w:rsidR="00BE15C5" w:rsidRPr="00C44B3A">
        <w:rPr>
          <w:sz w:val="22"/>
          <w:szCs w:val="22"/>
          <w:lang w:val="en-CA"/>
        </w:rPr>
        <w:t>rable exchange rates</w:t>
      </w:r>
      <w:r w:rsidRPr="00C44B3A">
        <w:rPr>
          <w:sz w:val="22"/>
          <w:szCs w:val="22"/>
          <w:lang w:val="en-CA"/>
        </w:rPr>
        <w:t>,</w:t>
      </w:r>
      <w:r w:rsidR="00BE15C5" w:rsidRPr="00C44B3A">
        <w:rPr>
          <w:sz w:val="22"/>
          <w:szCs w:val="22"/>
          <w:lang w:val="en-CA"/>
        </w:rPr>
        <w:t xml:space="preserve"> and a strengtheni</w:t>
      </w:r>
      <w:r w:rsidR="005F56DF" w:rsidRPr="00C44B3A">
        <w:rPr>
          <w:sz w:val="22"/>
          <w:szCs w:val="22"/>
          <w:lang w:val="en-CA"/>
        </w:rPr>
        <w:t>ng global economy (see Exhibit 5</w:t>
      </w:r>
      <w:r w:rsidR="00BE15C5" w:rsidRPr="00C44B3A">
        <w:rPr>
          <w:sz w:val="22"/>
          <w:szCs w:val="22"/>
          <w:lang w:val="en-CA"/>
        </w:rPr>
        <w:t>).</w:t>
      </w:r>
      <w:r w:rsidR="00BE15C5" w:rsidRPr="00C44B3A">
        <w:rPr>
          <w:sz w:val="22"/>
          <w:szCs w:val="22"/>
          <w:vertAlign w:val="superscript"/>
          <w:lang w:val="en-CA"/>
        </w:rPr>
        <w:endnoteReference w:id="61"/>
      </w:r>
    </w:p>
    <w:p w14:paraId="73904970" w14:textId="77777777" w:rsidR="00BE15C5" w:rsidRPr="00C44B3A" w:rsidRDefault="00BE15C5" w:rsidP="00784365">
      <w:pPr>
        <w:pStyle w:val="BodyTextMain"/>
        <w:rPr>
          <w:sz w:val="18"/>
          <w:szCs w:val="18"/>
          <w:lang w:val="en-CA"/>
        </w:rPr>
      </w:pPr>
    </w:p>
    <w:p w14:paraId="015E42F4" w14:textId="77777777" w:rsidR="00784365" w:rsidRPr="00C44B3A" w:rsidRDefault="00784365" w:rsidP="00784365">
      <w:pPr>
        <w:pStyle w:val="BodyTextMain"/>
        <w:rPr>
          <w:sz w:val="18"/>
          <w:szCs w:val="18"/>
          <w:lang w:val="en-CA"/>
        </w:rPr>
      </w:pPr>
    </w:p>
    <w:p w14:paraId="183B4876" w14:textId="77777777" w:rsidR="00BE15C5" w:rsidRPr="00C44B3A" w:rsidRDefault="00BE15C5" w:rsidP="00BE15C5">
      <w:pPr>
        <w:jc w:val="both"/>
        <w:rPr>
          <w:rFonts w:ascii="Arial" w:hAnsi="Arial" w:cs="Arial"/>
          <w:b/>
          <w:caps/>
          <w:lang w:val="en-CA"/>
        </w:rPr>
      </w:pPr>
      <w:r w:rsidRPr="00C44B3A">
        <w:rPr>
          <w:rFonts w:ascii="Arial" w:hAnsi="Arial" w:cs="Arial"/>
          <w:b/>
          <w:caps/>
          <w:lang w:val="en-CA"/>
        </w:rPr>
        <w:t>The Road Ahead</w:t>
      </w:r>
    </w:p>
    <w:p w14:paraId="355784BA" w14:textId="77777777" w:rsidR="00BE15C5" w:rsidRPr="00C44B3A" w:rsidRDefault="00BE15C5" w:rsidP="00784365">
      <w:pPr>
        <w:pStyle w:val="BodyTextMain"/>
        <w:rPr>
          <w:sz w:val="18"/>
          <w:szCs w:val="18"/>
          <w:lang w:val="en-CA"/>
        </w:rPr>
      </w:pPr>
    </w:p>
    <w:p w14:paraId="798B98D7" w14:textId="4AB54868" w:rsidR="00BE15C5" w:rsidRPr="00C44B3A" w:rsidRDefault="00BE15C5" w:rsidP="00BE15C5">
      <w:pPr>
        <w:jc w:val="both"/>
        <w:rPr>
          <w:sz w:val="22"/>
          <w:szCs w:val="22"/>
          <w:lang w:val="en-CA"/>
        </w:rPr>
      </w:pPr>
      <w:r w:rsidRPr="00C44B3A">
        <w:rPr>
          <w:sz w:val="22"/>
          <w:szCs w:val="22"/>
          <w:lang w:val="en-CA"/>
        </w:rPr>
        <w:t xml:space="preserve">The road ahead for </w:t>
      </w:r>
      <w:r w:rsidR="006E2C4D" w:rsidRPr="00C44B3A">
        <w:rPr>
          <w:sz w:val="22"/>
          <w:szCs w:val="22"/>
          <w:lang w:val="en-CA"/>
        </w:rPr>
        <w:t>NFI</w:t>
      </w:r>
      <w:r w:rsidRPr="00C44B3A">
        <w:rPr>
          <w:sz w:val="22"/>
          <w:szCs w:val="22"/>
          <w:lang w:val="en-CA"/>
        </w:rPr>
        <w:t xml:space="preserve"> was open, if a bit uncertain. The company had been very successful and </w:t>
      </w:r>
      <w:r w:rsidR="006E2C4D" w:rsidRPr="00C44B3A">
        <w:rPr>
          <w:sz w:val="22"/>
          <w:szCs w:val="22"/>
          <w:lang w:val="en-CA"/>
        </w:rPr>
        <w:t>had become</w:t>
      </w:r>
      <w:r w:rsidRPr="00C44B3A">
        <w:rPr>
          <w:sz w:val="22"/>
          <w:szCs w:val="22"/>
          <w:lang w:val="en-CA"/>
        </w:rPr>
        <w:t xml:space="preserve"> a market leader. </w:t>
      </w:r>
      <w:r w:rsidR="006E2C4D" w:rsidRPr="00C44B3A">
        <w:rPr>
          <w:sz w:val="22"/>
          <w:szCs w:val="22"/>
          <w:lang w:val="en-CA"/>
        </w:rPr>
        <w:t xml:space="preserve">It </w:t>
      </w:r>
      <w:r w:rsidRPr="00C44B3A">
        <w:rPr>
          <w:sz w:val="22"/>
          <w:szCs w:val="22"/>
          <w:lang w:val="en-CA"/>
        </w:rPr>
        <w:t>was both vertically integrated and diversified</w:t>
      </w:r>
      <w:r w:rsidR="006E2C4D" w:rsidRPr="00C44B3A">
        <w:rPr>
          <w:sz w:val="22"/>
          <w:szCs w:val="22"/>
          <w:lang w:val="en-CA"/>
        </w:rPr>
        <w:t>,</w:t>
      </w:r>
      <w:r w:rsidRPr="00C44B3A">
        <w:rPr>
          <w:sz w:val="22"/>
          <w:szCs w:val="22"/>
          <w:lang w:val="en-CA"/>
        </w:rPr>
        <w:t xml:space="preserve"> and </w:t>
      </w:r>
      <w:r w:rsidR="006E2C4D" w:rsidRPr="00C44B3A">
        <w:rPr>
          <w:sz w:val="22"/>
          <w:szCs w:val="22"/>
          <w:lang w:val="en-CA"/>
        </w:rPr>
        <w:t xml:space="preserve">it </w:t>
      </w:r>
      <w:r w:rsidRPr="00C44B3A">
        <w:rPr>
          <w:sz w:val="22"/>
          <w:szCs w:val="22"/>
          <w:lang w:val="en-CA"/>
        </w:rPr>
        <w:t xml:space="preserve">maintained </w:t>
      </w:r>
      <w:r w:rsidR="006E2C4D" w:rsidRPr="00C44B3A">
        <w:rPr>
          <w:sz w:val="22"/>
          <w:szCs w:val="22"/>
          <w:lang w:val="en-CA"/>
        </w:rPr>
        <w:t>an industry-</w:t>
      </w:r>
      <w:r w:rsidRPr="00C44B3A">
        <w:rPr>
          <w:sz w:val="22"/>
          <w:szCs w:val="22"/>
          <w:lang w:val="en-CA"/>
        </w:rPr>
        <w:t xml:space="preserve">leading market share. </w:t>
      </w:r>
      <w:r w:rsidR="006E2C4D" w:rsidRPr="00C44B3A">
        <w:rPr>
          <w:sz w:val="22"/>
          <w:szCs w:val="22"/>
          <w:lang w:val="en-CA"/>
        </w:rPr>
        <w:t xml:space="preserve">Its </w:t>
      </w:r>
      <w:r w:rsidRPr="00C44B3A">
        <w:rPr>
          <w:sz w:val="22"/>
          <w:szCs w:val="22"/>
          <w:lang w:val="en-CA"/>
        </w:rPr>
        <w:t xml:space="preserve">acquisition of NABI in 2013 had </w:t>
      </w:r>
      <w:r w:rsidR="006E2C4D" w:rsidRPr="00C44B3A">
        <w:rPr>
          <w:sz w:val="22"/>
          <w:szCs w:val="22"/>
          <w:lang w:val="en-CA"/>
        </w:rPr>
        <w:t xml:space="preserve">transformed </w:t>
      </w:r>
      <w:r w:rsidRPr="00C44B3A">
        <w:rPr>
          <w:sz w:val="22"/>
          <w:szCs w:val="22"/>
          <w:lang w:val="en-CA"/>
        </w:rPr>
        <w:t xml:space="preserve">the North American transit bus industry </w:t>
      </w:r>
      <w:r w:rsidR="006E2C4D" w:rsidRPr="00C44B3A">
        <w:rPr>
          <w:sz w:val="22"/>
          <w:szCs w:val="22"/>
          <w:lang w:val="en-CA"/>
        </w:rPr>
        <w:t>in</w:t>
      </w:r>
      <w:r w:rsidRPr="00C44B3A">
        <w:rPr>
          <w:sz w:val="22"/>
          <w:szCs w:val="22"/>
          <w:lang w:val="en-CA"/>
        </w:rPr>
        <w:t>to an oligopoly dominated by three main competitors.</w:t>
      </w:r>
      <w:r w:rsidRPr="00C44B3A">
        <w:rPr>
          <w:sz w:val="22"/>
          <w:szCs w:val="22"/>
          <w:vertAlign w:val="superscript"/>
          <w:lang w:val="en-CA"/>
        </w:rPr>
        <w:endnoteReference w:id="62"/>
      </w:r>
      <w:r w:rsidRPr="00C44B3A">
        <w:rPr>
          <w:sz w:val="22"/>
          <w:szCs w:val="22"/>
          <w:lang w:val="en-CA"/>
        </w:rPr>
        <w:t xml:space="preserve"> Further acquisitions were possible</w:t>
      </w:r>
      <w:r w:rsidR="006E2C4D" w:rsidRPr="00C44B3A">
        <w:rPr>
          <w:sz w:val="22"/>
          <w:szCs w:val="22"/>
          <w:lang w:val="en-CA"/>
        </w:rPr>
        <w:t>,</w:t>
      </w:r>
      <w:r w:rsidRPr="00C44B3A">
        <w:rPr>
          <w:sz w:val="22"/>
          <w:szCs w:val="22"/>
          <w:lang w:val="en-CA"/>
        </w:rPr>
        <w:t xml:space="preserve"> </w:t>
      </w:r>
      <w:r w:rsidR="006E2C4D" w:rsidRPr="00C44B3A">
        <w:rPr>
          <w:sz w:val="22"/>
          <w:szCs w:val="22"/>
          <w:lang w:val="en-CA"/>
        </w:rPr>
        <w:t>al</w:t>
      </w:r>
      <w:r w:rsidRPr="00C44B3A">
        <w:rPr>
          <w:sz w:val="22"/>
          <w:szCs w:val="22"/>
          <w:lang w:val="en-CA"/>
        </w:rPr>
        <w:t xml:space="preserve">though additional consolidation might </w:t>
      </w:r>
      <w:r w:rsidR="006E2C4D" w:rsidRPr="00C44B3A">
        <w:rPr>
          <w:sz w:val="22"/>
          <w:szCs w:val="22"/>
          <w:lang w:val="en-CA"/>
        </w:rPr>
        <w:t xml:space="preserve">attract </w:t>
      </w:r>
      <w:r w:rsidRPr="00C44B3A">
        <w:rPr>
          <w:sz w:val="22"/>
          <w:szCs w:val="22"/>
          <w:lang w:val="en-CA"/>
        </w:rPr>
        <w:t xml:space="preserve">regulatory scrutiny. </w:t>
      </w:r>
    </w:p>
    <w:p w14:paraId="7B735A50" w14:textId="77777777" w:rsidR="00BE15C5" w:rsidRPr="00C44B3A" w:rsidRDefault="00BE15C5" w:rsidP="00BE15C5">
      <w:pPr>
        <w:jc w:val="both"/>
        <w:rPr>
          <w:sz w:val="18"/>
          <w:szCs w:val="18"/>
          <w:lang w:val="en-CA"/>
        </w:rPr>
      </w:pPr>
    </w:p>
    <w:p w14:paraId="135CAE5E" w14:textId="11CBEA93" w:rsidR="00BE15C5" w:rsidRPr="00C44B3A" w:rsidRDefault="006E2C4D" w:rsidP="00BE15C5">
      <w:pPr>
        <w:jc w:val="both"/>
        <w:rPr>
          <w:sz w:val="22"/>
          <w:szCs w:val="22"/>
          <w:lang w:val="en-CA"/>
        </w:rPr>
      </w:pPr>
      <w:r w:rsidRPr="00C44B3A">
        <w:rPr>
          <w:sz w:val="22"/>
          <w:szCs w:val="22"/>
          <w:lang w:val="en-CA"/>
        </w:rPr>
        <w:t>NFI</w:t>
      </w:r>
      <w:r w:rsidR="00BE15C5" w:rsidRPr="00C44B3A">
        <w:rPr>
          <w:sz w:val="22"/>
          <w:szCs w:val="22"/>
          <w:lang w:val="en-CA"/>
        </w:rPr>
        <w:t>’s most recent acquisition</w:t>
      </w:r>
      <w:r w:rsidRPr="00C44B3A">
        <w:rPr>
          <w:sz w:val="22"/>
          <w:szCs w:val="22"/>
          <w:lang w:val="en-CA"/>
        </w:rPr>
        <w:t>,</w:t>
      </w:r>
      <w:r w:rsidR="00BE15C5" w:rsidRPr="00C44B3A">
        <w:rPr>
          <w:sz w:val="22"/>
          <w:szCs w:val="22"/>
          <w:lang w:val="en-CA"/>
        </w:rPr>
        <w:t xml:space="preserve"> of MCI</w:t>
      </w:r>
      <w:r w:rsidRPr="00C44B3A">
        <w:rPr>
          <w:sz w:val="22"/>
          <w:szCs w:val="22"/>
          <w:lang w:val="en-CA"/>
        </w:rPr>
        <w:t>,</w:t>
      </w:r>
      <w:r w:rsidR="00BE15C5" w:rsidRPr="00C44B3A">
        <w:rPr>
          <w:sz w:val="22"/>
          <w:szCs w:val="22"/>
          <w:lang w:val="en-CA"/>
        </w:rPr>
        <w:t xml:space="preserve"> had diversified the company. The motor</w:t>
      </w:r>
      <w:r w:rsidR="00353676" w:rsidRPr="00C44B3A">
        <w:rPr>
          <w:sz w:val="22"/>
          <w:szCs w:val="22"/>
          <w:lang w:val="en-CA"/>
        </w:rPr>
        <w:t xml:space="preserve"> </w:t>
      </w:r>
      <w:r w:rsidR="00BE15C5" w:rsidRPr="00C44B3A">
        <w:rPr>
          <w:sz w:val="22"/>
          <w:szCs w:val="22"/>
          <w:lang w:val="en-CA"/>
        </w:rPr>
        <w:t xml:space="preserve">coach industry was similar in </w:t>
      </w:r>
      <w:r w:rsidRPr="00C44B3A">
        <w:rPr>
          <w:sz w:val="22"/>
          <w:szCs w:val="22"/>
          <w:lang w:val="en-CA"/>
        </w:rPr>
        <w:t>that there were</w:t>
      </w:r>
      <w:r w:rsidR="00BE15C5" w:rsidRPr="00C44B3A">
        <w:rPr>
          <w:sz w:val="22"/>
          <w:szCs w:val="22"/>
          <w:lang w:val="en-CA"/>
        </w:rPr>
        <w:t xml:space="preserve"> three large competitors</w:t>
      </w:r>
      <w:r w:rsidRPr="00C44B3A">
        <w:rPr>
          <w:sz w:val="22"/>
          <w:szCs w:val="22"/>
          <w:lang w:val="en-CA"/>
        </w:rPr>
        <w:t>, but</w:t>
      </w:r>
      <w:r w:rsidR="00BE15C5" w:rsidRPr="00C44B3A">
        <w:rPr>
          <w:sz w:val="22"/>
          <w:szCs w:val="22"/>
          <w:lang w:val="en-CA"/>
        </w:rPr>
        <w:t xml:space="preserve"> some smaller firms existed and might be ripe for acquisition. Diversification into other related industries</w:t>
      </w:r>
      <w:r w:rsidRPr="00C44B3A">
        <w:rPr>
          <w:sz w:val="22"/>
          <w:szCs w:val="22"/>
          <w:lang w:val="en-CA"/>
        </w:rPr>
        <w:t>,</w:t>
      </w:r>
      <w:r w:rsidR="00BE15C5" w:rsidRPr="00C44B3A">
        <w:rPr>
          <w:sz w:val="22"/>
          <w:szCs w:val="22"/>
          <w:lang w:val="en-CA"/>
        </w:rPr>
        <w:t xml:space="preserve"> such as school or shuttle buses, for example, offered another potential opportunity moving forward</w:t>
      </w:r>
      <w:r w:rsidRPr="00C44B3A">
        <w:rPr>
          <w:sz w:val="22"/>
          <w:szCs w:val="22"/>
          <w:lang w:val="en-CA"/>
        </w:rPr>
        <w:t>,</w:t>
      </w:r>
      <w:r w:rsidR="00BE15C5" w:rsidRPr="00C44B3A">
        <w:rPr>
          <w:sz w:val="22"/>
          <w:szCs w:val="22"/>
          <w:lang w:val="en-CA"/>
        </w:rPr>
        <w:t xml:space="preserve"> but </w:t>
      </w:r>
      <w:r w:rsidRPr="00C44B3A">
        <w:rPr>
          <w:sz w:val="22"/>
          <w:szCs w:val="22"/>
          <w:lang w:val="en-CA"/>
        </w:rPr>
        <w:t xml:space="preserve">this </w:t>
      </w:r>
      <w:r w:rsidR="00BE15C5" w:rsidRPr="00C44B3A">
        <w:rPr>
          <w:sz w:val="22"/>
          <w:szCs w:val="22"/>
          <w:lang w:val="en-CA"/>
        </w:rPr>
        <w:t xml:space="preserve">would move the company further away from its core. Global expansion beyond North America was also an ever-present option for the firm. </w:t>
      </w:r>
    </w:p>
    <w:p w14:paraId="659A1700" w14:textId="77777777" w:rsidR="00BE15C5" w:rsidRPr="00C44B3A" w:rsidRDefault="00BE15C5" w:rsidP="00BE15C5">
      <w:pPr>
        <w:jc w:val="both"/>
        <w:rPr>
          <w:sz w:val="18"/>
          <w:szCs w:val="18"/>
          <w:lang w:val="en-CA"/>
        </w:rPr>
      </w:pPr>
    </w:p>
    <w:p w14:paraId="63714672" w14:textId="2C51D12E" w:rsidR="00BE15C5" w:rsidRPr="00C44B3A" w:rsidRDefault="00BE15C5" w:rsidP="00BE15C5">
      <w:pPr>
        <w:jc w:val="both"/>
        <w:rPr>
          <w:sz w:val="22"/>
          <w:szCs w:val="22"/>
          <w:lang w:val="en-CA"/>
        </w:rPr>
      </w:pPr>
      <w:r w:rsidRPr="00C44B3A">
        <w:rPr>
          <w:sz w:val="22"/>
          <w:szCs w:val="22"/>
          <w:lang w:val="en-CA"/>
        </w:rPr>
        <w:t>Oligopoly markets typically saw more price stability and higher margins</w:t>
      </w:r>
      <w:r w:rsidR="006E2C4D" w:rsidRPr="00C44B3A">
        <w:rPr>
          <w:sz w:val="22"/>
          <w:szCs w:val="22"/>
          <w:lang w:val="en-CA"/>
        </w:rPr>
        <w:t>,</w:t>
      </w:r>
      <w:r w:rsidRPr="00C44B3A">
        <w:rPr>
          <w:sz w:val="22"/>
          <w:szCs w:val="22"/>
          <w:lang w:val="en-CA"/>
        </w:rPr>
        <w:t xml:space="preserve"> so perhaps the company could look internally</w:t>
      </w:r>
      <w:r w:rsidR="006E2C4D" w:rsidRPr="00C44B3A">
        <w:rPr>
          <w:sz w:val="22"/>
          <w:szCs w:val="22"/>
          <w:lang w:val="en-CA"/>
        </w:rPr>
        <w:t>,</w:t>
      </w:r>
      <w:r w:rsidRPr="00C44B3A">
        <w:rPr>
          <w:sz w:val="22"/>
          <w:szCs w:val="22"/>
          <w:lang w:val="en-CA"/>
        </w:rPr>
        <w:t xml:space="preserve"> to refine its operations and focus on margins.</w:t>
      </w:r>
      <w:r w:rsidRPr="00C44B3A">
        <w:rPr>
          <w:sz w:val="22"/>
          <w:szCs w:val="22"/>
          <w:vertAlign w:val="superscript"/>
          <w:lang w:val="en-CA"/>
        </w:rPr>
        <w:endnoteReference w:id="63"/>
      </w:r>
      <w:r w:rsidRPr="00C44B3A">
        <w:rPr>
          <w:sz w:val="22"/>
          <w:szCs w:val="22"/>
          <w:lang w:val="en-CA"/>
        </w:rPr>
        <w:t xml:space="preserve"> After a series of acquisitions</w:t>
      </w:r>
      <w:r w:rsidR="006E2C4D" w:rsidRPr="00C44B3A">
        <w:rPr>
          <w:sz w:val="22"/>
          <w:szCs w:val="22"/>
          <w:lang w:val="en-CA"/>
        </w:rPr>
        <w:t>,</w:t>
      </w:r>
      <w:r w:rsidRPr="00C44B3A">
        <w:rPr>
          <w:sz w:val="22"/>
          <w:szCs w:val="22"/>
          <w:lang w:val="en-CA"/>
        </w:rPr>
        <w:t xml:space="preserve"> the firm could attempt to capitalize on the company-wide synergies that exist</w:t>
      </w:r>
      <w:r w:rsidR="00571CB8" w:rsidRPr="00C44B3A">
        <w:rPr>
          <w:sz w:val="22"/>
          <w:szCs w:val="22"/>
          <w:lang w:val="en-CA"/>
        </w:rPr>
        <w:t>ed</w:t>
      </w:r>
      <w:r w:rsidRPr="00C44B3A">
        <w:rPr>
          <w:sz w:val="22"/>
          <w:szCs w:val="22"/>
          <w:lang w:val="en-CA"/>
        </w:rPr>
        <w:t xml:space="preserve"> but </w:t>
      </w:r>
      <w:r w:rsidR="00DC758F" w:rsidRPr="00C44B3A">
        <w:rPr>
          <w:sz w:val="22"/>
          <w:szCs w:val="22"/>
          <w:lang w:val="en-CA"/>
        </w:rPr>
        <w:t xml:space="preserve">that </w:t>
      </w:r>
      <w:r w:rsidRPr="00C44B3A">
        <w:rPr>
          <w:sz w:val="22"/>
          <w:szCs w:val="22"/>
          <w:lang w:val="en-CA"/>
        </w:rPr>
        <w:t xml:space="preserve">had not yet been exploited. </w:t>
      </w:r>
    </w:p>
    <w:p w14:paraId="0BA86F64" w14:textId="77777777" w:rsidR="00BE15C5" w:rsidRPr="00C44B3A" w:rsidRDefault="00BE15C5" w:rsidP="00BE15C5">
      <w:pPr>
        <w:jc w:val="both"/>
        <w:rPr>
          <w:sz w:val="18"/>
          <w:szCs w:val="18"/>
          <w:lang w:val="en-CA"/>
        </w:rPr>
      </w:pPr>
    </w:p>
    <w:p w14:paraId="57C5F8FD" w14:textId="0E85EC00" w:rsidR="00BE15C5" w:rsidRPr="00C44B3A" w:rsidRDefault="00BE15C5" w:rsidP="00BE15C5">
      <w:pPr>
        <w:jc w:val="both"/>
        <w:rPr>
          <w:spacing w:val="-2"/>
          <w:kern w:val="22"/>
          <w:sz w:val="22"/>
          <w:szCs w:val="22"/>
          <w:lang w:val="en-CA"/>
        </w:rPr>
      </w:pPr>
      <w:r w:rsidRPr="00C44B3A">
        <w:rPr>
          <w:spacing w:val="-2"/>
          <w:kern w:val="22"/>
          <w:sz w:val="22"/>
          <w:szCs w:val="22"/>
          <w:lang w:val="en-CA"/>
        </w:rPr>
        <w:t xml:space="preserve">Aftermarket parts sales and service comprised a significant and profitable share of business revenues. By further investing in this part of the business, </w:t>
      </w:r>
      <w:r w:rsidR="006E2C4D" w:rsidRPr="00C44B3A">
        <w:rPr>
          <w:spacing w:val="-2"/>
          <w:kern w:val="22"/>
          <w:sz w:val="22"/>
          <w:szCs w:val="22"/>
          <w:lang w:val="en-CA"/>
        </w:rPr>
        <w:t>NFI</w:t>
      </w:r>
      <w:r w:rsidRPr="00C44B3A">
        <w:rPr>
          <w:spacing w:val="-2"/>
          <w:kern w:val="22"/>
          <w:sz w:val="22"/>
          <w:szCs w:val="22"/>
          <w:lang w:val="en-CA"/>
        </w:rPr>
        <w:t xml:space="preserve"> might better serve its customers. Furthermore, integration into parts manufacturing could help to control supply chain concerns such as cost, time</w:t>
      </w:r>
      <w:r w:rsidR="006E2C4D" w:rsidRPr="00C44B3A">
        <w:rPr>
          <w:spacing w:val="-2"/>
          <w:kern w:val="22"/>
          <w:sz w:val="22"/>
          <w:szCs w:val="22"/>
          <w:lang w:val="en-CA"/>
        </w:rPr>
        <w:t>,</w:t>
      </w:r>
      <w:r w:rsidRPr="00C44B3A">
        <w:rPr>
          <w:spacing w:val="-2"/>
          <w:kern w:val="22"/>
          <w:sz w:val="22"/>
          <w:szCs w:val="22"/>
          <w:lang w:val="en-CA"/>
        </w:rPr>
        <w:t xml:space="preserve"> and delivery. A recent investment in a parts fabrication facility in Shepherdsville, Kentucky</w:t>
      </w:r>
      <w:r w:rsidR="006E2C4D" w:rsidRPr="00C44B3A">
        <w:rPr>
          <w:spacing w:val="-2"/>
          <w:kern w:val="22"/>
          <w:sz w:val="22"/>
          <w:szCs w:val="22"/>
          <w:lang w:val="en-CA"/>
        </w:rPr>
        <w:t>,</w:t>
      </w:r>
      <w:r w:rsidRPr="00C44B3A">
        <w:rPr>
          <w:spacing w:val="-2"/>
          <w:kern w:val="22"/>
          <w:sz w:val="22"/>
          <w:szCs w:val="22"/>
          <w:lang w:val="en-CA"/>
        </w:rPr>
        <w:t xml:space="preserve"> </w:t>
      </w:r>
      <w:r w:rsidR="006E2C4D" w:rsidRPr="00C44B3A">
        <w:rPr>
          <w:spacing w:val="-2"/>
          <w:kern w:val="22"/>
          <w:sz w:val="22"/>
          <w:szCs w:val="22"/>
          <w:lang w:val="en-CA"/>
        </w:rPr>
        <w:t xml:space="preserve">indicated the </w:t>
      </w:r>
      <w:r w:rsidRPr="00C44B3A">
        <w:rPr>
          <w:spacing w:val="-2"/>
          <w:kern w:val="22"/>
          <w:sz w:val="22"/>
          <w:szCs w:val="22"/>
          <w:lang w:val="en-CA"/>
        </w:rPr>
        <w:t xml:space="preserve">relevance </w:t>
      </w:r>
      <w:r w:rsidR="006E2C4D" w:rsidRPr="00C44B3A">
        <w:rPr>
          <w:spacing w:val="-2"/>
          <w:kern w:val="22"/>
          <w:sz w:val="22"/>
          <w:szCs w:val="22"/>
          <w:lang w:val="en-CA"/>
        </w:rPr>
        <w:t xml:space="preserve">of </w:t>
      </w:r>
      <w:r w:rsidRPr="00C44B3A">
        <w:rPr>
          <w:spacing w:val="-2"/>
          <w:kern w:val="22"/>
          <w:sz w:val="22"/>
          <w:szCs w:val="22"/>
          <w:lang w:val="en-CA"/>
        </w:rPr>
        <w:t>this strategy.</w:t>
      </w:r>
      <w:r w:rsidRPr="00C44B3A">
        <w:rPr>
          <w:spacing w:val="-2"/>
          <w:kern w:val="22"/>
          <w:sz w:val="22"/>
          <w:szCs w:val="22"/>
          <w:vertAlign w:val="superscript"/>
          <w:lang w:val="en-CA"/>
        </w:rPr>
        <w:endnoteReference w:id="64"/>
      </w:r>
    </w:p>
    <w:p w14:paraId="60EDDB73" w14:textId="77777777" w:rsidR="00BE15C5" w:rsidRPr="00C44B3A" w:rsidRDefault="00BE15C5" w:rsidP="00BE15C5">
      <w:pPr>
        <w:jc w:val="both"/>
        <w:rPr>
          <w:sz w:val="18"/>
          <w:szCs w:val="18"/>
          <w:lang w:val="en-CA"/>
        </w:rPr>
      </w:pPr>
    </w:p>
    <w:p w14:paraId="2008A6F1" w14:textId="53A7DEE2" w:rsidR="00BE15C5" w:rsidRPr="00C44B3A" w:rsidRDefault="00BE15C5" w:rsidP="00BE15C5">
      <w:pPr>
        <w:jc w:val="both"/>
        <w:rPr>
          <w:spacing w:val="-4"/>
          <w:kern w:val="22"/>
          <w:sz w:val="22"/>
          <w:szCs w:val="22"/>
          <w:lang w:val="en-CA"/>
        </w:rPr>
      </w:pPr>
      <w:r w:rsidRPr="00C44B3A">
        <w:rPr>
          <w:spacing w:val="-4"/>
          <w:kern w:val="22"/>
          <w:sz w:val="22"/>
          <w:szCs w:val="22"/>
          <w:lang w:val="en-CA"/>
        </w:rPr>
        <w:t>Finally, the firm had a long history of innovation</w:t>
      </w:r>
      <w:r w:rsidR="00A06E31" w:rsidRPr="00C44B3A">
        <w:rPr>
          <w:spacing w:val="-4"/>
          <w:kern w:val="22"/>
          <w:sz w:val="22"/>
          <w:szCs w:val="22"/>
          <w:lang w:val="en-CA"/>
        </w:rPr>
        <w:t>,</w:t>
      </w:r>
      <w:r w:rsidRPr="00C44B3A">
        <w:rPr>
          <w:spacing w:val="-4"/>
          <w:kern w:val="22"/>
          <w:sz w:val="22"/>
          <w:szCs w:val="22"/>
          <w:lang w:val="en-CA"/>
        </w:rPr>
        <w:t xml:space="preserve"> and </w:t>
      </w:r>
      <w:r w:rsidR="00A06E31" w:rsidRPr="00C44B3A">
        <w:rPr>
          <w:spacing w:val="-4"/>
          <w:kern w:val="22"/>
          <w:sz w:val="22"/>
          <w:szCs w:val="22"/>
          <w:lang w:val="en-CA"/>
        </w:rPr>
        <w:t>it</w:t>
      </w:r>
      <w:r w:rsidRPr="00C44B3A">
        <w:rPr>
          <w:spacing w:val="-4"/>
          <w:kern w:val="22"/>
          <w:sz w:val="22"/>
          <w:szCs w:val="22"/>
          <w:lang w:val="en-CA"/>
        </w:rPr>
        <w:t xml:space="preserve"> could embrace future-oriented transit technologies such as autonomous driving, electric vehicles</w:t>
      </w:r>
      <w:r w:rsidR="00A06E31" w:rsidRPr="00C44B3A">
        <w:rPr>
          <w:spacing w:val="-4"/>
          <w:kern w:val="22"/>
          <w:sz w:val="22"/>
          <w:szCs w:val="22"/>
          <w:lang w:val="en-CA"/>
        </w:rPr>
        <w:t>,</w:t>
      </w:r>
      <w:r w:rsidRPr="00C44B3A">
        <w:rPr>
          <w:spacing w:val="-4"/>
          <w:kern w:val="22"/>
          <w:sz w:val="22"/>
          <w:szCs w:val="22"/>
          <w:lang w:val="en-CA"/>
        </w:rPr>
        <w:t xml:space="preserve"> and artificial intelligence</w:t>
      </w:r>
      <w:r w:rsidR="00DC758F" w:rsidRPr="00C44B3A">
        <w:rPr>
          <w:spacing w:val="-4"/>
          <w:kern w:val="22"/>
          <w:sz w:val="22"/>
          <w:szCs w:val="22"/>
          <w:lang w:val="en-CA"/>
        </w:rPr>
        <w:t>,</w:t>
      </w:r>
      <w:r w:rsidRPr="00C44B3A">
        <w:rPr>
          <w:spacing w:val="-4"/>
          <w:kern w:val="22"/>
          <w:sz w:val="22"/>
          <w:szCs w:val="22"/>
          <w:lang w:val="en-CA"/>
        </w:rPr>
        <w:t xml:space="preserve"> among others</w:t>
      </w:r>
      <w:r w:rsidR="00DC758F" w:rsidRPr="00C44B3A">
        <w:rPr>
          <w:spacing w:val="-4"/>
          <w:kern w:val="22"/>
          <w:sz w:val="22"/>
          <w:szCs w:val="22"/>
          <w:lang w:val="en-CA"/>
        </w:rPr>
        <w:t>,</w:t>
      </w:r>
      <w:r w:rsidR="00A06E31" w:rsidRPr="00C44B3A">
        <w:rPr>
          <w:spacing w:val="-4"/>
          <w:kern w:val="22"/>
          <w:sz w:val="22"/>
          <w:szCs w:val="22"/>
          <w:lang w:val="en-CA"/>
        </w:rPr>
        <w:t xml:space="preserve"> as it moved forward</w:t>
      </w:r>
      <w:r w:rsidRPr="00C44B3A">
        <w:rPr>
          <w:spacing w:val="-4"/>
          <w:kern w:val="22"/>
          <w:sz w:val="22"/>
          <w:szCs w:val="22"/>
          <w:lang w:val="en-CA"/>
        </w:rPr>
        <w:t xml:space="preserve">. President and CEO Soubry was quoted </w:t>
      </w:r>
      <w:r w:rsidR="00A06E31" w:rsidRPr="00C44B3A">
        <w:rPr>
          <w:spacing w:val="-4"/>
          <w:kern w:val="22"/>
          <w:sz w:val="22"/>
          <w:szCs w:val="22"/>
          <w:lang w:val="en-CA"/>
        </w:rPr>
        <w:t xml:space="preserve">as </w:t>
      </w:r>
      <w:r w:rsidRPr="00C44B3A">
        <w:rPr>
          <w:spacing w:val="-4"/>
          <w:kern w:val="22"/>
          <w:sz w:val="22"/>
          <w:szCs w:val="22"/>
          <w:lang w:val="en-CA"/>
        </w:rPr>
        <w:t>saying</w:t>
      </w:r>
      <w:r w:rsidR="006616A5" w:rsidRPr="00C44B3A">
        <w:rPr>
          <w:spacing w:val="-4"/>
          <w:kern w:val="22"/>
          <w:sz w:val="22"/>
          <w:szCs w:val="22"/>
          <w:lang w:val="en-CA"/>
        </w:rPr>
        <w:t>,</w:t>
      </w:r>
      <w:r w:rsidRPr="00C44B3A">
        <w:rPr>
          <w:spacing w:val="-4"/>
          <w:kern w:val="22"/>
          <w:sz w:val="22"/>
          <w:szCs w:val="22"/>
          <w:lang w:val="en-CA"/>
        </w:rPr>
        <w:t xml:space="preserve"> “We’re not waiting for the future to happen, we’re making it happen.”</w:t>
      </w:r>
      <w:r w:rsidRPr="00C44B3A">
        <w:rPr>
          <w:spacing w:val="-4"/>
          <w:kern w:val="22"/>
          <w:sz w:val="22"/>
          <w:szCs w:val="22"/>
          <w:vertAlign w:val="superscript"/>
          <w:lang w:val="en-CA"/>
        </w:rPr>
        <w:endnoteReference w:id="65"/>
      </w:r>
    </w:p>
    <w:p w14:paraId="5286A373" w14:textId="77777777" w:rsidR="00571CB8" w:rsidRPr="00C44B3A" w:rsidRDefault="00571CB8" w:rsidP="00784365">
      <w:pPr>
        <w:pStyle w:val="BodyTextMain"/>
        <w:rPr>
          <w:sz w:val="18"/>
          <w:szCs w:val="18"/>
          <w:lang w:val="en-CA"/>
        </w:rPr>
      </w:pPr>
    </w:p>
    <w:p w14:paraId="3C1D50FC" w14:textId="77777777" w:rsidR="00571CB8" w:rsidRPr="00C44B3A" w:rsidRDefault="00571CB8" w:rsidP="00784365">
      <w:pPr>
        <w:pStyle w:val="BodyTextMain"/>
        <w:rPr>
          <w:sz w:val="18"/>
          <w:szCs w:val="18"/>
          <w:lang w:val="en-CA"/>
        </w:rPr>
      </w:pPr>
    </w:p>
    <w:p w14:paraId="336B98F9" w14:textId="77777777" w:rsidR="00BE15C5" w:rsidRPr="00C44B3A" w:rsidRDefault="00BE15C5" w:rsidP="00BE15C5">
      <w:pPr>
        <w:jc w:val="both"/>
        <w:rPr>
          <w:rFonts w:ascii="Arial" w:hAnsi="Arial" w:cs="Arial"/>
          <w:b/>
          <w:caps/>
          <w:lang w:val="en-CA"/>
        </w:rPr>
      </w:pPr>
      <w:r w:rsidRPr="00C44B3A">
        <w:rPr>
          <w:rFonts w:ascii="Arial" w:hAnsi="Arial" w:cs="Arial"/>
          <w:b/>
          <w:caps/>
          <w:lang w:val="en-CA"/>
        </w:rPr>
        <w:t>which way to turn?</w:t>
      </w:r>
    </w:p>
    <w:p w14:paraId="41D85A21" w14:textId="43C05F91" w:rsidR="00BE15C5" w:rsidRPr="00C44B3A" w:rsidRDefault="00BE15C5" w:rsidP="00784365">
      <w:pPr>
        <w:pStyle w:val="BodyTextMain"/>
        <w:rPr>
          <w:sz w:val="18"/>
          <w:szCs w:val="18"/>
          <w:lang w:val="en-CA"/>
        </w:rPr>
      </w:pPr>
    </w:p>
    <w:p w14:paraId="595860FB" w14:textId="02624E05" w:rsidR="00BE15C5" w:rsidRPr="00C44B3A" w:rsidRDefault="009519E1" w:rsidP="009519E1">
      <w:pPr>
        <w:jc w:val="both"/>
        <w:rPr>
          <w:spacing w:val="-2"/>
          <w:kern w:val="22"/>
          <w:sz w:val="22"/>
          <w:szCs w:val="22"/>
          <w:lang w:val="en-CA"/>
        </w:rPr>
      </w:pPr>
      <w:r w:rsidRPr="00C44B3A">
        <w:rPr>
          <w:noProof/>
          <w:sz w:val="22"/>
          <w:szCs w:val="22"/>
          <w:lang w:val="en-CA"/>
        </w:rPr>
        <mc:AlternateContent>
          <mc:Choice Requires="wps">
            <w:drawing>
              <wp:anchor distT="45720" distB="45720" distL="114300" distR="114300" simplePos="0" relativeHeight="251658240" behindDoc="0" locked="0" layoutInCell="1" allowOverlap="1" wp14:anchorId="44A91168" wp14:editId="13446731">
                <wp:simplePos x="0" y="0"/>
                <wp:positionH relativeFrom="column">
                  <wp:posOffset>430530</wp:posOffset>
                </wp:positionH>
                <wp:positionV relativeFrom="paragraph">
                  <wp:posOffset>999998</wp:posOffset>
                </wp:positionV>
                <wp:extent cx="5040630" cy="511810"/>
                <wp:effectExtent l="0" t="0" r="266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511810"/>
                        </a:xfrm>
                        <a:prstGeom prst="rect">
                          <a:avLst/>
                        </a:prstGeom>
                        <a:solidFill>
                          <a:srgbClr val="FFFFFF"/>
                        </a:solidFill>
                        <a:ln w="9525">
                          <a:solidFill>
                            <a:srgbClr val="000000"/>
                          </a:solidFill>
                          <a:miter lim="800000"/>
                          <a:headEnd/>
                          <a:tailEnd/>
                        </a:ln>
                      </wps:spPr>
                      <wps:txbx>
                        <w:txbxContent>
                          <w:p w14:paraId="7EFCB983" w14:textId="77777777" w:rsidR="00FA0FD9" w:rsidRPr="00784365" w:rsidRDefault="00FA0FD9" w:rsidP="00784365">
                            <w:pPr>
                              <w:pStyle w:val="Footnote"/>
                              <w:jc w:val="center"/>
                              <w:rPr>
                                <w:i w:val="0"/>
                              </w:rPr>
                            </w:pPr>
                            <w:r w:rsidRPr="00784365">
                              <w:rPr>
                                <w:i w:val="0"/>
                                <w:lang w:val="en"/>
                              </w:rPr>
                              <w:t>The authors would like to recognize the contributions of the following Edwards School of Business MBA students: Konrad Andres, Gina Diab, Christina Dolan, Michelle Glab, Josh Glew, Adam Grey, Rilla Johnson, Rob Kennedy, Cour</w:t>
                            </w:r>
                            <w:r>
                              <w:rPr>
                                <w:i w:val="0"/>
                                <w:lang w:val="en"/>
                              </w:rPr>
                              <w:t>tney Schroeder, and Joel Weiss.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91168" id="_x0000_t202" coordsize="21600,21600" o:spt="202" path="m,l,21600r21600,l21600,xe">
                <v:stroke joinstyle="miter"/>
                <v:path gradientshapeok="t" o:connecttype="rect"/>
              </v:shapetype>
              <v:shape id="Text Box 2" o:spid="_x0000_s1026" type="#_x0000_t202" style="position:absolute;left:0;text-align:left;margin-left:33.9pt;margin-top:78.75pt;width:396.9pt;height:40.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XMIwIAAEY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">
                <v:textbox>
                  <w:txbxContent>
                    <w:p w14:paraId="7EFCB983" w14:textId="77777777" w:rsidR="00FA0FD9" w:rsidRPr="00784365" w:rsidRDefault="00FA0FD9" w:rsidP="00784365">
                      <w:pPr>
                        <w:pStyle w:val="Footnote"/>
                        <w:jc w:val="center"/>
                        <w:rPr>
                          <w:i w:val="0"/>
                        </w:rPr>
                      </w:pPr>
                      <w:r w:rsidRPr="00784365">
                        <w:rPr>
                          <w:i w:val="0"/>
                          <w:lang w:val="en"/>
                        </w:rPr>
                        <w:t xml:space="preserve">The authors would like to recognize the contributions of the following Edwards School of Business MBA students: Konrad Andres, Gina </w:t>
                      </w:r>
                      <w:proofErr w:type="spellStart"/>
                      <w:r w:rsidRPr="00784365">
                        <w:rPr>
                          <w:i w:val="0"/>
                          <w:lang w:val="en"/>
                        </w:rPr>
                        <w:t>Diab</w:t>
                      </w:r>
                      <w:proofErr w:type="spellEnd"/>
                      <w:r w:rsidRPr="00784365">
                        <w:rPr>
                          <w:i w:val="0"/>
                          <w:lang w:val="en"/>
                        </w:rPr>
                        <w:t xml:space="preserve">, Christina Dolan, Michelle </w:t>
                      </w:r>
                      <w:proofErr w:type="spellStart"/>
                      <w:r w:rsidRPr="00784365">
                        <w:rPr>
                          <w:i w:val="0"/>
                          <w:lang w:val="en"/>
                        </w:rPr>
                        <w:t>Glab</w:t>
                      </w:r>
                      <w:proofErr w:type="spellEnd"/>
                      <w:r w:rsidRPr="00784365">
                        <w:rPr>
                          <w:i w:val="0"/>
                          <w:lang w:val="en"/>
                        </w:rPr>
                        <w:t xml:space="preserve">, Josh </w:t>
                      </w:r>
                      <w:proofErr w:type="spellStart"/>
                      <w:r w:rsidRPr="00784365">
                        <w:rPr>
                          <w:i w:val="0"/>
                          <w:lang w:val="en"/>
                        </w:rPr>
                        <w:t>Glew</w:t>
                      </w:r>
                      <w:proofErr w:type="spellEnd"/>
                      <w:r w:rsidRPr="00784365">
                        <w:rPr>
                          <w:i w:val="0"/>
                          <w:lang w:val="en"/>
                        </w:rPr>
                        <w:t>, Adam Grey, Rilla Johnson, Rob Kennedy, Cour</w:t>
                      </w:r>
                      <w:r>
                        <w:rPr>
                          <w:i w:val="0"/>
                          <w:lang w:val="en"/>
                        </w:rPr>
                        <w:t>tney Schroeder, and Joel Weiss.</w:t>
                      </w:r>
                    </w:p>
                  </w:txbxContent>
                </v:textbox>
                <w10:wrap type="square"/>
              </v:shape>
            </w:pict>
          </mc:Fallback>
        </mc:AlternateContent>
      </w:r>
      <w:r w:rsidR="006616A5" w:rsidRPr="00C44B3A">
        <w:rPr>
          <w:spacing w:val="-2"/>
          <w:kern w:val="22"/>
          <w:sz w:val="22"/>
          <w:szCs w:val="22"/>
          <w:lang w:val="en-CA"/>
        </w:rPr>
        <w:t>NFI</w:t>
      </w:r>
      <w:r w:rsidR="0012393A" w:rsidRPr="00C44B3A">
        <w:rPr>
          <w:spacing w:val="-2"/>
          <w:kern w:val="22"/>
          <w:sz w:val="22"/>
          <w:szCs w:val="22"/>
          <w:lang w:val="en-CA"/>
        </w:rPr>
        <w:t xml:space="preserve"> had a long history of success but was at a pivotal point moving forward. </w:t>
      </w:r>
      <w:r w:rsidR="00BE15C5" w:rsidRPr="00C44B3A">
        <w:rPr>
          <w:spacing w:val="-2"/>
          <w:kern w:val="22"/>
          <w:sz w:val="22"/>
          <w:szCs w:val="22"/>
          <w:lang w:val="en-CA"/>
        </w:rPr>
        <w:t xml:space="preserve">What critical strengths did the company maintain that were the key contributors to its success? What risks existed in the marketplace that could potentially </w:t>
      </w:r>
      <w:r w:rsidR="006616A5" w:rsidRPr="00C44B3A">
        <w:rPr>
          <w:spacing w:val="-2"/>
          <w:kern w:val="22"/>
          <w:sz w:val="22"/>
          <w:szCs w:val="22"/>
          <w:lang w:val="en-CA"/>
        </w:rPr>
        <w:t xml:space="preserve">affect </w:t>
      </w:r>
      <w:r w:rsidR="00BE15C5" w:rsidRPr="00C44B3A">
        <w:rPr>
          <w:spacing w:val="-2"/>
          <w:kern w:val="22"/>
          <w:sz w:val="22"/>
          <w:szCs w:val="22"/>
          <w:lang w:val="en-CA"/>
        </w:rPr>
        <w:t xml:space="preserve">the company </w:t>
      </w:r>
      <w:r w:rsidR="00DC758F" w:rsidRPr="00C44B3A">
        <w:rPr>
          <w:spacing w:val="-2"/>
          <w:kern w:val="22"/>
          <w:sz w:val="22"/>
          <w:szCs w:val="22"/>
          <w:lang w:val="en-CA"/>
        </w:rPr>
        <w:t>going</w:t>
      </w:r>
      <w:r w:rsidR="00BE15C5" w:rsidRPr="00C44B3A">
        <w:rPr>
          <w:spacing w:val="-2"/>
          <w:kern w:val="22"/>
          <w:sz w:val="22"/>
          <w:szCs w:val="22"/>
          <w:lang w:val="en-CA"/>
        </w:rPr>
        <w:t xml:space="preserve"> forward? Why had the stock price recently become stagnant? How could the company continue to grow </w:t>
      </w:r>
      <w:r w:rsidR="006616A5" w:rsidRPr="00C44B3A">
        <w:rPr>
          <w:spacing w:val="-2"/>
          <w:kern w:val="22"/>
          <w:sz w:val="22"/>
          <w:szCs w:val="22"/>
          <w:lang w:val="en-CA"/>
        </w:rPr>
        <w:t>in future</w:t>
      </w:r>
      <w:r w:rsidR="00BE15C5" w:rsidRPr="00C44B3A">
        <w:rPr>
          <w:spacing w:val="-2"/>
          <w:kern w:val="22"/>
          <w:sz w:val="22"/>
          <w:szCs w:val="22"/>
          <w:lang w:val="en-CA"/>
        </w:rPr>
        <w:t>? These were tough questions that would require thorough internal and external analysis</w:t>
      </w:r>
      <w:r w:rsidR="006616A5" w:rsidRPr="00C44B3A">
        <w:rPr>
          <w:spacing w:val="-2"/>
          <w:kern w:val="22"/>
          <w:sz w:val="22"/>
          <w:szCs w:val="22"/>
          <w:lang w:val="en-CA"/>
        </w:rPr>
        <w:t>, and th</w:t>
      </w:r>
      <w:r w:rsidR="00BE15C5" w:rsidRPr="00C44B3A">
        <w:rPr>
          <w:spacing w:val="-2"/>
          <w:kern w:val="22"/>
          <w:sz w:val="22"/>
          <w:szCs w:val="22"/>
          <w:lang w:val="en-CA"/>
        </w:rPr>
        <w:t>e fast pace of the modern economy left little time for reflection.</w:t>
      </w:r>
      <w:r w:rsidR="00BE15C5" w:rsidRPr="00C44B3A">
        <w:rPr>
          <w:sz w:val="22"/>
          <w:szCs w:val="22"/>
          <w:lang w:val="en-CA"/>
        </w:rPr>
        <w:br w:type="page"/>
      </w:r>
    </w:p>
    <w:p w14:paraId="2E8D6F87" w14:textId="40E13DCE" w:rsidR="00BE15C5" w:rsidRPr="00C44B3A" w:rsidRDefault="00BE15C5" w:rsidP="00BE15C5">
      <w:pPr>
        <w:jc w:val="center"/>
        <w:rPr>
          <w:rFonts w:ascii="Arial" w:hAnsi="Arial" w:cs="Arial"/>
          <w:b/>
          <w:caps/>
          <w:lang w:val="en-CA"/>
        </w:rPr>
      </w:pPr>
      <w:r w:rsidRPr="00C44B3A">
        <w:rPr>
          <w:rFonts w:ascii="Arial" w:hAnsi="Arial" w:cs="Arial"/>
          <w:b/>
          <w:caps/>
          <w:lang w:val="en-CA"/>
        </w:rPr>
        <w:lastRenderedPageBreak/>
        <w:t>E</w:t>
      </w:r>
      <w:r w:rsidR="009971F5" w:rsidRPr="00C44B3A">
        <w:rPr>
          <w:rFonts w:ascii="Arial" w:hAnsi="Arial" w:cs="Arial"/>
          <w:b/>
          <w:caps/>
          <w:lang w:val="en-CA"/>
        </w:rPr>
        <w:t>XHIBIT 1: Annual Heavy Bus</w:t>
      </w:r>
      <w:r w:rsidR="003B3604" w:rsidRPr="00C44B3A">
        <w:rPr>
          <w:rFonts w:ascii="Arial" w:hAnsi="Arial" w:cs="Arial"/>
          <w:b/>
          <w:caps/>
          <w:lang w:val="en-CA"/>
        </w:rPr>
        <w:t xml:space="preserve"> and Motor</w:t>
      </w:r>
      <w:r w:rsidR="00353676" w:rsidRPr="00C44B3A">
        <w:rPr>
          <w:rFonts w:ascii="Arial" w:hAnsi="Arial" w:cs="Arial"/>
          <w:b/>
          <w:caps/>
          <w:lang w:val="en-CA"/>
        </w:rPr>
        <w:t xml:space="preserve"> </w:t>
      </w:r>
      <w:r w:rsidR="003B3604" w:rsidRPr="00C44B3A">
        <w:rPr>
          <w:rFonts w:ascii="Arial" w:hAnsi="Arial" w:cs="Arial"/>
          <w:b/>
          <w:caps/>
          <w:lang w:val="en-CA"/>
        </w:rPr>
        <w:t xml:space="preserve">coach </w:t>
      </w:r>
      <w:r w:rsidRPr="00C44B3A">
        <w:rPr>
          <w:rFonts w:ascii="Arial" w:hAnsi="Arial" w:cs="Arial"/>
          <w:b/>
          <w:caps/>
          <w:lang w:val="en-CA"/>
        </w:rPr>
        <w:t>deliveries in Canada and the United states, 2005</w:t>
      </w:r>
      <w:r w:rsidR="00EF31AF" w:rsidRPr="00C44B3A">
        <w:rPr>
          <w:rFonts w:ascii="Arial" w:hAnsi="Arial" w:cs="Arial"/>
          <w:b/>
          <w:caps/>
          <w:lang w:val="en-CA"/>
        </w:rPr>
        <w:t>–</w:t>
      </w:r>
      <w:r w:rsidRPr="00C44B3A">
        <w:rPr>
          <w:rFonts w:ascii="Arial" w:hAnsi="Arial" w:cs="Arial"/>
          <w:b/>
          <w:caps/>
          <w:lang w:val="en-CA"/>
        </w:rPr>
        <w:t>2016</w:t>
      </w:r>
    </w:p>
    <w:p w14:paraId="0C62A80A" w14:textId="1A12D179" w:rsidR="003B3604" w:rsidRPr="00C44B3A" w:rsidRDefault="003B3604" w:rsidP="00BE15C5">
      <w:pPr>
        <w:jc w:val="center"/>
        <w:rPr>
          <w:rFonts w:ascii="Arial" w:hAnsi="Arial" w:cs="Arial"/>
          <w:b/>
          <w:caps/>
          <w:lang w:val="en-CA"/>
        </w:rPr>
      </w:pPr>
    </w:p>
    <w:p w14:paraId="02FC4891" w14:textId="195E4112" w:rsidR="00BE15C5" w:rsidRPr="00C44B3A" w:rsidRDefault="00BE15C5" w:rsidP="003B3604">
      <w:pPr>
        <w:pStyle w:val="ExhibitText"/>
        <w:jc w:val="center"/>
        <w:rPr>
          <w:lang w:val="en-CA"/>
        </w:rPr>
      </w:pPr>
    </w:p>
    <w:p w14:paraId="286AC118" w14:textId="7DC1A779" w:rsidR="009971F5" w:rsidRPr="00C44B3A" w:rsidRDefault="00934D78" w:rsidP="003B3604">
      <w:pPr>
        <w:pStyle w:val="ExhibitText"/>
        <w:jc w:val="center"/>
        <w:rPr>
          <w:lang w:val="en-CA"/>
        </w:rPr>
      </w:pPr>
      <w:r w:rsidRPr="00C44B3A">
        <w:rPr>
          <w:noProof/>
          <w:lang w:val="en-CA"/>
        </w:rPr>
        <w:drawing>
          <wp:inline distT="0" distB="0" distL="0" distR="0" wp14:anchorId="0942C6DE" wp14:editId="77FDEA7D">
            <wp:extent cx="5934075" cy="3876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B022E2" w14:textId="77777777" w:rsidR="00B93369" w:rsidRPr="00C44B3A" w:rsidRDefault="00B93369" w:rsidP="00B93369">
      <w:pPr>
        <w:pStyle w:val="ExhibitText"/>
        <w:rPr>
          <w:lang w:val="en-CA"/>
        </w:rPr>
      </w:pPr>
    </w:p>
    <w:p w14:paraId="6AEEF542" w14:textId="3A6AC113" w:rsidR="00BE15C5" w:rsidRPr="00C44B3A" w:rsidRDefault="00BE15C5" w:rsidP="00BE15C5">
      <w:pPr>
        <w:jc w:val="both"/>
        <w:rPr>
          <w:rFonts w:ascii="Arial" w:hAnsi="Arial" w:cs="Arial"/>
          <w:sz w:val="17"/>
          <w:szCs w:val="17"/>
          <w:lang w:val="en-CA"/>
        </w:rPr>
      </w:pPr>
      <w:r w:rsidRPr="00C44B3A">
        <w:rPr>
          <w:rFonts w:ascii="Arial" w:hAnsi="Arial" w:cs="Arial"/>
          <w:sz w:val="17"/>
          <w:szCs w:val="17"/>
          <w:lang w:val="en-CA"/>
        </w:rPr>
        <w:t xml:space="preserve">Source: Created by the authors using New Flyer Industries Inc. </w:t>
      </w:r>
      <w:r w:rsidRPr="00C44B3A">
        <w:rPr>
          <w:rFonts w:ascii="Arial" w:hAnsi="Arial" w:cs="Arial"/>
          <w:i/>
          <w:sz w:val="17"/>
          <w:szCs w:val="17"/>
          <w:lang w:val="en-CA"/>
        </w:rPr>
        <w:t>Annual Information Form</w:t>
      </w:r>
      <w:r w:rsidRPr="00C44B3A">
        <w:rPr>
          <w:rFonts w:ascii="Arial" w:hAnsi="Arial" w:cs="Arial"/>
          <w:sz w:val="17"/>
          <w:szCs w:val="17"/>
          <w:lang w:val="en-CA"/>
        </w:rPr>
        <w:t>, March 24, 2017, accessed July 28, 2017, https://www.newflyer.com/site-content/uploads/2017/09/2017-aif.pdf.</w:t>
      </w:r>
    </w:p>
    <w:p w14:paraId="0265D6C7" w14:textId="712ED595" w:rsidR="00BE15C5" w:rsidRPr="00C44B3A" w:rsidRDefault="00BE15C5" w:rsidP="00BE15C5">
      <w:pPr>
        <w:rPr>
          <w:rFonts w:ascii="Arial" w:hAnsi="Arial" w:cs="Arial"/>
          <w:b/>
          <w:caps/>
          <w:lang w:val="en-CA"/>
        </w:rPr>
      </w:pPr>
    </w:p>
    <w:p w14:paraId="03003D3F" w14:textId="77777777" w:rsidR="00BE15C5" w:rsidRPr="00C44B3A" w:rsidRDefault="00BE15C5" w:rsidP="003B3604">
      <w:pPr>
        <w:rPr>
          <w:rFonts w:ascii="Arial" w:hAnsi="Arial" w:cs="Arial"/>
          <w:b/>
          <w:caps/>
          <w:lang w:val="en-CA"/>
        </w:rPr>
      </w:pPr>
    </w:p>
    <w:p w14:paraId="004EB3C9" w14:textId="1057C04E" w:rsidR="00BE15C5" w:rsidRPr="00C44B3A" w:rsidRDefault="009971F5" w:rsidP="003B3604">
      <w:pPr>
        <w:jc w:val="center"/>
        <w:rPr>
          <w:rFonts w:ascii="Arial" w:hAnsi="Arial" w:cs="Arial"/>
          <w:b/>
          <w:caps/>
          <w:lang w:val="en-CA"/>
        </w:rPr>
      </w:pPr>
      <w:r w:rsidRPr="00C44B3A">
        <w:rPr>
          <w:rFonts w:ascii="Arial" w:hAnsi="Arial" w:cs="Arial"/>
          <w:b/>
          <w:caps/>
          <w:lang w:val="en-CA"/>
        </w:rPr>
        <w:t>EXHIBIT 2</w:t>
      </w:r>
      <w:r w:rsidR="00BE15C5" w:rsidRPr="00C44B3A">
        <w:rPr>
          <w:rFonts w:ascii="Arial" w:hAnsi="Arial" w:cs="Arial"/>
          <w:b/>
          <w:caps/>
          <w:lang w:val="en-CA"/>
        </w:rPr>
        <w:t>: Summary of Key Items from the Income Statement, 2012</w:t>
      </w:r>
      <w:r w:rsidR="00EF31AF" w:rsidRPr="00C44B3A">
        <w:rPr>
          <w:rFonts w:ascii="Arial" w:hAnsi="Arial" w:cs="Arial"/>
          <w:b/>
          <w:caps/>
          <w:lang w:val="en-CA"/>
        </w:rPr>
        <w:t>–</w:t>
      </w:r>
      <w:r w:rsidR="00BE15C5" w:rsidRPr="00C44B3A">
        <w:rPr>
          <w:rFonts w:ascii="Arial" w:hAnsi="Arial" w:cs="Arial"/>
          <w:b/>
          <w:caps/>
          <w:lang w:val="en-CA"/>
        </w:rPr>
        <w:t>2016</w:t>
      </w:r>
      <w:r w:rsidR="00784365" w:rsidRPr="00C44B3A">
        <w:rPr>
          <w:rFonts w:ascii="Arial" w:hAnsi="Arial" w:cs="Arial"/>
          <w:b/>
          <w:caps/>
          <w:lang w:val="en-CA"/>
        </w:rPr>
        <w:t xml:space="preserve"> (in CA</w:t>
      </w:r>
      <w:r w:rsidR="00DC758F" w:rsidRPr="00C44B3A">
        <w:rPr>
          <w:rFonts w:ascii="Arial" w:hAnsi="Arial" w:cs="Arial"/>
          <w:b/>
          <w:caps/>
          <w:lang w:val="en-CA"/>
        </w:rPr>
        <w:t>$</w:t>
      </w:r>
      <w:r w:rsidR="00784365" w:rsidRPr="00C44B3A">
        <w:rPr>
          <w:rFonts w:ascii="Arial" w:hAnsi="Arial" w:cs="Arial"/>
          <w:b/>
          <w:caps/>
          <w:lang w:val="en-CA"/>
        </w:rPr>
        <w:t xml:space="preserve"> Millions)</w:t>
      </w:r>
    </w:p>
    <w:p w14:paraId="6653E748" w14:textId="77777777" w:rsidR="00BE15C5" w:rsidRPr="00C44B3A" w:rsidRDefault="00BE15C5" w:rsidP="00BE15C5">
      <w:pPr>
        <w:jc w:val="center"/>
        <w:rPr>
          <w:rFonts w:ascii="Arial" w:hAnsi="Arial" w:cs="Arial"/>
          <w:b/>
          <w:caps/>
          <w:lang w:val="en-CA"/>
        </w:rPr>
      </w:pPr>
    </w:p>
    <w:tbl>
      <w:tblPr>
        <w:tblStyle w:val="TableGrid11"/>
        <w:tblW w:w="0" w:type="auto"/>
        <w:jc w:val="center"/>
        <w:tblLook w:val="04A0" w:firstRow="1" w:lastRow="0" w:firstColumn="1" w:lastColumn="0" w:noHBand="0" w:noVBand="1"/>
      </w:tblPr>
      <w:tblGrid>
        <w:gridCol w:w="3965"/>
        <w:gridCol w:w="720"/>
        <w:gridCol w:w="884"/>
        <w:gridCol w:w="884"/>
        <w:gridCol w:w="884"/>
        <w:gridCol w:w="884"/>
      </w:tblGrid>
      <w:tr w:rsidR="00FA0FD9" w:rsidRPr="00C44B3A" w14:paraId="6F8D3F8E" w14:textId="77777777" w:rsidTr="00FA0FD9">
        <w:trPr>
          <w:jc w:val="center"/>
        </w:trPr>
        <w:tc>
          <w:tcPr>
            <w:tcW w:w="3965" w:type="dxa"/>
          </w:tcPr>
          <w:p w14:paraId="1844DA77" w14:textId="77777777" w:rsidR="00FA0FD9" w:rsidRPr="00C44B3A" w:rsidRDefault="00FA0FD9" w:rsidP="00FA0FD9">
            <w:pPr>
              <w:jc w:val="both"/>
              <w:rPr>
                <w:rFonts w:ascii="Arial" w:hAnsi="Arial" w:cs="Arial"/>
                <w:b/>
                <w:lang w:val="en-CA" w:eastAsia="en-US"/>
              </w:rPr>
            </w:pPr>
          </w:p>
        </w:tc>
        <w:tc>
          <w:tcPr>
            <w:tcW w:w="720" w:type="dxa"/>
            <w:vAlign w:val="center"/>
          </w:tcPr>
          <w:p w14:paraId="247DCE57" w14:textId="77777777" w:rsidR="00FA0FD9" w:rsidRPr="00C44B3A" w:rsidRDefault="00FA0FD9" w:rsidP="00FA0FD9">
            <w:pPr>
              <w:jc w:val="center"/>
              <w:rPr>
                <w:rFonts w:ascii="Arial" w:hAnsi="Arial" w:cs="Arial"/>
                <w:b/>
                <w:lang w:val="en-CA" w:eastAsia="en-US"/>
              </w:rPr>
            </w:pPr>
            <w:r w:rsidRPr="00C44B3A">
              <w:rPr>
                <w:rFonts w:ascii="Arial" w:hAnsi="Arial" w:cs="Arial"/>
                <w:b/>
                <w:lang w:val="en-CA" w:eastAsia="en-US"/>
              </w:rPr>
              <w:t>2012</w:t>
            </w:r>
          </w:p>
        </w:tc>
        <w:tc>
          <w:tcPr>
            <w:tcW w:w="864" w:type="dxa"/>
            <w:vAlign w:val="center"/>
          </w:tcPr>
          <w:p w14:paraId="0961A18C" w14:textId="77777777" w:rsidR="00FA0FD9" w:rsidRPr="00C44B3A" w:rsidRDefault="00FA0FD9" w:rsidP="00FA0FD9">
            <w:pPr>
              <w:jc w:val="center"/>
              <w:rPr>
                <w:rFonts w:ascii="Arial" w:hAnsi="Arial" w:cs="Arial"/>
                <w:b/>
                <w:lang w:val="en-CA" w:eastAsia="en-US"/>
              </w:rPr>
            </w:pPr>
            <w:r w:rsidRPr="00C44B3A">
              <w:rPr>
                <w:rFonts w:ascii="Arial" w:hAnsi="Arial" w:cs="Arial"/>
                <w:b/>
                <w:lang w:val="en-CA" w:eastAsia="en-US"/>
              </w:rPr>
              <w:t>2013</w:t>
            </w:r>
          </w:p>
        </w:tc>
        <w:tc>
          <w:tcPr>
            <w:tcW w:w="828" w:type="dxa"/>
            <w:vAlign w:val="center"/>
          </w:tcPr>
          <w:p w14:paraId="017F2558" w14:textId="77777777" w:rsidR="00FA0FD9" w:rsidRPr="00C44B3A" w:rsidRDefault="00FA0FD9" w:rsidP="00FA0FD9">
            <w:pPr>
              <w:jc w:val="center"/>
              <w:rPr>
                <w:rFonts w:ascii="Arial" w:hAnsi="Arial" w:cs="Arial"/>
                <w:b/>
                <w:lang w:val="en-CA" w:eastAsia="en-US"/>
              </w:rPr>
            </w:pPr>
            <w:r w:rsidRPr="00C44B3A">
              <w:rPr>
                <w:rFonts w:ascii="Arial" w:hAnsi="Arial" w:cs="Arial"/>
                <w:b/>
                <w:lang w:val="en-CA" w:eastAsia="en-US"/>
              </w:rPr>
              <w:t>2014</w:t>
            </w:r>
          </w:p>
        </w:tc>
        <w:tc>
          <w:tcPr>
            <w:tcW w:w="828" w:type="dxa"/>
            <w:vAlign w:val="center"/>
          </w:tcPr>
          <w:p w14:paraId="05C85E44" w14:textId="77777777" w:rsidR="00FA0FD9" w:rsidRPr="00C44B3A" w:rsidRDefault="00FA0FD9" w:rsidP="00FA0FD9">
            <w:pPr>
              <w:jc w:val="center"/>
              <w:rPr>
                <w:rFonts w:ascii="Arial" w:hAnsi="Arial" w:cs="Arial"/>
                <w:b/>
                <w:lang w:val="en-CA" w:eastAsia="en-US"/>
              </w:rPr>
            </w:pPr>
            <w:r w:rsidRPr="00C44B3A">
              <w:rPr>
                <w:rFonts w:ascii="Arial" w:hAnsi="Arial" w:cs="Arial"/>
                <w:b/>
                <w:lang w:val="en-CA" w:eastAsia="en-US"/>
              </w:rPr>
              <w:t>2015</w:t>
            </w:r>
          </w:p>
        </w:tc>
        <w:tc>
          <w:tcPr>
            <w:tcW w:w="828" w:type="dxa"/>
            <w:vAlign w:val="center"/>
          </w:tcPr>
          <w:p w14:paraId="72D4FA25" w14:textId="77777777" w:rsidR="00FA0FD9" w:rsidRPr="00C44B3A" w:rsidRDefault="00FA0FD9" w:rsidP="00FA0FD9">
            <w:pPr>
              <w:jc w:val="center"/>
              <w:rPr>
                <w:rFonts w:ascii="Arial" w:hAnsi="Arial" w:cs="Arial"/>
                <w:b/>
                <w:lang w:val="en-CA" w:eastAsia="en-US"/>
              </w:rPr>
            </w:pPr>
            <w:r w:rsidRPr="00C44B3A">
              <w:rPr>
                <w:rFonts w:ascii="Arial" w:hAnsi="Arial" w:cs="Arial"/>
                <w:b/>
                <w:lang w:val="en-CA" w:eastAsia="en-US"/>
              </w:rPr>
              <w:t>2016</w:t>
            </w:r>
          </w:p>
        </w:tc>
      </w:tr>
      <w:tr w:rsidR="00FA0FD9" w:rsidRPr="00C44B3A" w14:paraId="390A9634" w14:textId="77777777" w:rsidTr="00FA0FD9">
        <w:trPr>
          <w:jc w:val="center"/>
        </w:trPr>
        <w:tc>
          <w:tcPr>
            <w:tcW w:w="3965" w:type="dxa"/>
            <w:vAlign w:val="center"/>
          </w:tcPr>
          <w:p w14:paraId="18CC0A92"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Total Revenues</w:t>
            </w:r>
          </w:p>
        </w:tc>
        <w:tc>
          <w:tcPr>
            <w:tcW w:w="720" w:type="dxa"/>
            <w:vAlign w:val="center"/>
          </w:tcPr>
          <w:p w14:paraId="66BE50BD"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865.0</w:t>
            </w:r>
          </w:p>
        </w:tc>
        <w:tc>
          <w:tcPr>
            <w:tcW w:w="864" w:type="dxa"/>
            <w:vAlign w:val="center"/>
          </w:tcPr>
          <w:p w14:paraId="2E2C4A5D"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1,240.0</w:t>
            </w:r>
          </w:p>
        </w:tc>
        <w:tc>
          <w:tcPr>
            <w:tcW w:w="828" w:type="dxa"/>
            <w:vAlign w:val="center"/>
          </w:tcPr>
          <w:p w14:paraId="742D943E"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1,600.0</w:t>
            </w:r>
          </w:p>
        </w:tc>
        <w:tc>
          <w:tcPr>
            <w:tcW w:w="828" w:type="dxa"/>
            <w:vAlign w:val="center"/>
          </w:tcPr>
          <w:p w14:paraId="139D1326"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1,970.0</w:t>
            </w:r>
          </w:p>
        </w:tc>
        <w:tc>
          <w:tcPr>
            <w:tcW w:w="828" w:type="dxa"/>
            <w:vAlign w:val="center"/>
          </w:tcPr>
          <w:p w14:paraId="0BF45FC4"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3,010.0</w:t>
            </w:r>
          </w:p>
        </w:tc>
      </w:tr>
      <w:tr w:rsidR="00FA0FD9" w:rsidRPr="00C44B3A" w14:paraId="0E6FC104" w14:textId="77777777" w:rsidTr="00FA0FD9">
        <w:trPr>
          <w:jc w:val="center"/>
        </w:trPr>
        <w:tc>
          <w:tcPr>
            <w:tcW w:w="3965" w:type="dxa"/>
            <w:vAlign w:val="center"/>
          </w:tcPr>
          <w:p w14:paraId="663124FA"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Cost Of Goods Sold</w:t>
            </w:r>
          </w:p>
        </w:tc>
        <w:tc>
          <w:tcPr>
            <w:tcW w:w="720" w:type="dxa"/>
            <w:vAlign w:val="center"/>
          </w:tcPr>
          <w:p w14:paraId="06646DBB"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791.2</w:t>
            </w:r>
          </w:p>
        </w:tc>
        <w:tc>
          <w:tcPr>
            <w:tcW w:w="864" w:type="dxa"/>
            <w:vAlign w:val="center"/>
          </w:tcPr>
          <w:p w14:paraId="55D2496B"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1,110.0</w:t>
            </w:r>
          </w:p>
        </w:tc>
        <w:tc>
          <w:tcPr>
            <w:tcW w:w="828" w:type="dxa"/>
            <w:vAlign w:val="center"/>
          </w:tcPr>
          <w:p w14:paraId="7F576755"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1,450.0</w:t>
            </w:r>
          </w:p>
        </w:tc>
        <w:tc>
          <w:tcPr>
            <w:tcW w:w="828" w:type="dxa"/>
            <w:vAlign w:val="center"/>
          </w:tcPr>
          <w:p w14:paraId="5724236F"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1,720.0</w:t>
            </w:r>
          </w:p>
        </w:tc>
        <w:tc>
          <w:tcPr>
            <w:tcW w:w="828" w:type="dxa"/>
            <w:vAlign w:val="center"/>
          </w:tcPr>
          <w:p w14:paraId="20704765"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2,480.0</w:t>
            </w:r>
          </w:p>
        </w:tc>
      </w:tr>
      <w:tr w:rsidR="00FA0FD9" w:rsidRPr="00C44B3A" w14:paraId="1E9C6DFE" w14:textId="77777777" w:rsidTr="00FA0FD9">
        <w:trPr>
          <w:jc w:val="center"/>
        </w:trPr>
        <w:tc>
          <w:tcPr>
            <w:tcW w:w="3965" w:type="dxa"/>
            <w:vAlign w:val="center"/>
          </w:tcPr>
          <w:p w14:paraId="704C6954"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Gross Profit</w:t>
            </w:r>
          </w:p>
        </w:tc>
        <w:tc>
          <w:tcPr>
            <w:tcW w:w="720" w:type="dxa"/>
            <w:vAlign w:val="center"/>
          </w:tcPr>
          <w:p w14:paraId="3E71A22B"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73.7</w:t>
            </w:r>
          </w:p>
        </w:tc>
        <w:tc>
          <w:tcPr>
            <w:tcW w:w="864" w:type="dxa"/>
            <w:vAlign w:val="center"/>
          </w:tcPr>
          <w:p w14:paraId="28671FC4"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124.4</w:t>
            </w:r>
          </w:p>
        </w:tc>
        <w:tc>
          <w:tcPr>
            <w:tcW w:w="828" w:type="dxa"/>
            <w:vAlign w:val="center"/>
          </w:tcPr>
          <w:p w14:paraId="173A7B5F"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152.7</w:t>
            </w:r>
          </w:p>
        </w:tc>
        <w:tc>
          <w:tcPr>
            <w:tcW w:w="828" w:type="dxa"/>
            <w:vAlign w:val="center"/>
          </w:tcPr>
          <w:p w14:paraId="399BA4D5"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252.6</w:t>
            </w:r>
          </w:p>
        </w:tc>
        <w:tc>
          <w:tcPr>
            <w:tcW w:w="828" w:type="dxa"/>
            <w:vAlign w:val="center"/>
          </w:tcPr>
          <w:p w14:paraId="230F577F"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529.1</w:t>
            </w:r>
          </w:p>
        </w:tc>
      </w:tr>
      <w:tr w:rsidR="00FA0FD9" w:rsidRPr="00C44B3A" w14:paraId="10BC3289" w14:textId="77777777" w:rsidTr="00FA0FD9">
        <w:trPr>
          <w:jc w:val="center"/>
        </w:trPr>
        <w:tc>
          <w:tcPr>
            <w:tcW w:w="3965" w:type="dxa"/>
            <w:vAlign w:val="center"/>
          </w:tcPr>
          <w:p w14:paraId="72346E5B"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Selling, General, &amp; Administrative Expenses, Total</w:t>
            </w:r>
          </w:p>
        </w:tc>
        <w:tc>
          <w:tcPr>
            <w:tcW w:w="720" w:type="dxa"/>
            <w:vAlign w:val="center"/>
          </w:tcPr>
          <w:p w14:paraId="607A8507"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43.1</w:t>
            </w:r>
          </w:p>
        </w:tc>
        <w:tc>
          <w:tcPr>
            <w:tcW w:w="864" w:type="dxa"/>
            <w:vAlign w:val="center"/>
          </w:tcPr>
          <w:p w14:paraId="574E5401"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70.4</w:t>
            </w:r>
          </w:p>
        </w:tc>
        <w:tc>
          <w:tcPr>
            <w:tcW w:w="828" w:type="dxa"/>
            <w:vAlign w:val="center"/>
          </w:tcPr>
          <w:p w14:paraId="72F98ADE"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89.8</w:t>
            </w:r>
          </w:p>
        </w:tc>
        <w:tc>
          <w:tcPr>
            <w:tcW w:w="828" w:type="dxa"/>
            <w:vAlign w:val="center"/>
          </w:tcPr>
          <w:p w14:paraId="6A51650D"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123.7</w:t>
            </w:r>
          </w:p>
        </w:tc>
        <w:tc>
          <w:tcPr>
            <w:tcW w:w="828" w:type="dxa"/>
            <w:vAlign w:val="center"/>
          </w:tcPr>
          <w:p w14:paraId="4F9E8E0C"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247.0</w:t>
            </w:r>
          </w:p>
        </w:tc>
      </w:tr>
      <w:tr w:rsidR="00FA0FD9" w:rsidRPr="00C44B3A" w14:paraId="418EB782" w14:textId="77777777" w:rsidTr="00FA0FD9">
        <w:trPr>
          <w:jc w:val="center"/>
        </w:trPr>
        <w:tc>
          <w:tcPr>
            <w:tcW w:w="3965" w:type="dxa"/>
            <w:vAlign w:val="center"/>
          </w:tcPr>
          <w:p w14:paraId="1EEB72E2"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Operating Income</w:t>
            </w:r>
          </w:p>
        </w:tc>
        <w:tc>
          <w:tcPr>
            <w:tcW w:w="720" w:type="dxa"/>
            <w:vAlign w:val="center"/>
          </w:tcPr>
          <w:p w14:paraId="49A31C05"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31.4</w:t>
            </w:r>
          </w:p>
        </w:tc>
        <w:tc>
          <w:tcPr>
            <w:tcW w:w="864" w:type="dxa"/>
            <w:vAlign w:val="center"/>
          </w:tcPr>
          <w:p w14:paraId="1176D671"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54.0</w:t>
            </w:r>
          </w:p>
        </w:tc>
        <w:tc>
          <w:tcPr>
            <w:tcW w:w="828" w:type="dxa"/>
            <w:vAlign w:val="center"/>
          </w:tcPr>
          <w:p w14:paraId="170D72BD"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62.9</w:t>
            </w:r>
          </w:p>
        </w:tc>
        <w:tc>
          <w:tcPr>
            <w:tcW w:w="828" w:type="dxa"/>
            <w:vAlign w:val="center"/>
          </w:tcPr>
          <w:p w14:paraId="79F76D49"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128.9</w:t>
            </w:r>
          </w:p>
        </w:tc>
        <w:tc>
          <w:tcPr>
            <w:tcW w:w="828" w:type="dxa"/>
            <w:vAlign w:val="center"/>
          </w:tcPr>
          <w:p w14:paraId="2428854E"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282.1</w:t>
            </w:r>
          </w:p>
        </w:tc>
      </w:tr>
      <w:tr w:rsidR="00FA0FD9" w:rsidRPr="00C44B3A" w14:paraId="0AA58F2B" w14:textId="77777777" w:rsidTr="00FA0FD9">
        <w:trPr>
          <w:jc w:val="center"/>
        </w:trPr>
        <w:tc>
          <w:tcPr>
            <w:tcW w:w="3965" w:type="dxa"/>
            <w:vAlign w:val="center"/>
          </w:tcPr>
          <w:p w14:paraId="1B22DC95"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Interest Expense</w:t>
            </w:r>
          </w:p>
        </w:tc>
        <w:tc>
          <w:tcPr>
            <w:tcW w:w="720" w:type="dxa"/>
            <w:vAlign w:val="center"/>
          </w:tcPr>
          <w:p w14:paraId="2374F841"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16.0</w:t>
            </w:r>
          </w:p>
        </w:tc>
        <w:tc>
          <w:tcPr>
            <w:tcW w:w="864" w:type="dxa"/>
            <w:vAlign w:val="center"/>
          </w:tcPr>
          <w:p w14:paraId="59648AF6"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14.2</w:t>
            </w:r>
          </w:p>
        </w:tc>
        <w:tc>
          <w:tcPr>
            <w:tcW w:w="828" w:type="dxa"/>
            <w:vAlign w:val="center"/>
          </w:tcPr>
          <w:p w14:paraId="0133E5CC"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16.2</w:t>
            </w:r>
          </w:p>
        </w:tc>
        <w:tc>
          <w:tcPr>
            <w:tcW w:w="828" w:type="dxa"/>
            <w:vAlign w:val="center"/>
          </w:tcPr>
          <w:p w14:paraId="3F038233"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18.7</w:t>
            </w:r>
          </w:p>
        </w:tc>
        <w:tc>
          <w:tcPr>
            <w:tcW w:w="828" w:type="dxa"/>
            <w:vAlign w:val="center"/>
          </w:tcPr>
          <w:p w14:paraId="04A6B620"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35.6</w:t>
            </w:r>
          </w:p>
        </w:tc>
      </w:tr>
      <w:tr w:rsidR="00FA0FD9" w:rsidRPr="00C44B3A" w14:paraId="029D72D8" w14:textId="77777777" w:rsidTr="00FA0FD9">
        <w:trPr>
          <w:jc w:val="center"/>
        </w:trPr>
        <w:tc>
          <w:tcPr>
            <w:tcW w:w="3965" w:type="dxa"/>
            <w:vAlign w:val="center"/>
          </w:tcPr>
          <w:p w14:paraId="0C72182D"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EBIT, Including Unusual Items</w:t>
            </w:r>
          </w:p>
        </w:tc>
        <w:tc>
          <w:tcPr>
            <w:tcW w:w="720" w:type="dxa"/>
            <w:vAlign w:val="center"/>
          </w:tcPr>
          <w:p w14:paraId="101628A1"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10.0</w:t>
            </w:r>
          </w:p>
        </w:tc>
        <w:tc>
          <w:tcPr>
            <w:tcW w:w="864" w:type="dxa"/>
            <w:vAlign w:val="center"/>
          </w:tcPr>
          <w:p w14:paraId="3D215765"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35.7</w:t>
            </w:r>
          </w:p>
        </w:tc>
        <w:tc>
          <w:tcPr>
            <w:tcW w:w="828" w:type="dxa"/>
            <w:vAlign w:val="center"/>
          </w:tcPr>
          <w:p w14:paraId="43228C4B"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41.5</w:t>
            </w:r>
          </w:p>
        </w:tc>
        <w:tc>
          <w:tcPr>
            <w:tcW w:w="828" w:type="dxa"/>
            <w:vAlign w:val="center"/>
          </w:tcPr>
          <w:p w14:paraId="1F6CE17B"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96.9</w:t>
            </w:r>
          </w:p>
        </w:tc>
        <w:tc>
          <w:tcPr>
            <w:tcW w:w="828" w:type="dxa"/>
            <w:vAlign w:val="center"/>
          </w:tcPr>
          <w:p w14:paraId="2F12E30F"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256.8</w:t>
            </w:r>
          </w:p>
        </w:tc>
      </w:tr>
      <w:tr w:rsidR="00FA0FD9" w:rsidRPr="00C44B3A" w14:paraId="6DD68058" w14:textId="77777777" w:rsidTr="00FA0FD9">
        <w:trPr>
          <w:jc w:val="center"/>
        </w:trPr>
        <w:tc>
          <w:tcPr>
            <w:tcW w:w="3965" w:type="dxa"/>
            <w:vAlign w:val="center"/>
          </w:tcPr>
          <w:p w14:paraId="6D4B8B61" w14:textId="77777777" w:rsidR="00FA0FD9" w:rsidRPr="00C44B3A" w:rsidRDefault="00FA0FD9" w:rsidP="00FA0FD9">
            <w:pPr>
              <w:rPr>
                <w:rFonts w:ascii="Arial" w:hAnsi="Arial" w:cs="Arial"/>
                <w:lang w:val="en-CA" w:eastAsia="en-US"/>
              </w:rPr>
            </w:pPr>
            <w:r w:rsidRPr="00C44B3A">
              <w:rPr>
                <w:rFonts w:ascii="Arial" w:hAnsi="Arial" w:cs="Arial"/>
                <w:lang w:val="en-CA" w:eastAsia="en-US"/>
              </w:rPr>
              <w:t>Net Income</w:t>
            </w:r>
          </w:p>
        </w:tc>
        <w:tc>
          <w:tcPr>
            <w:tcW w:w="720" w:type="dxa"/>
            <w:vAlign w:val="center"/>
          </w:tcPr>
          <w:p w14:paraId="062EE9F3"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9.3</w:t>
            </w:r>
          </w:p>
        </w:tc>
        <w:tc>
          <w:tcPr>
            <w:tcW w:w="864" w:type="dxa"/>
            <w:vAlign w:val="center"/>
          </w:tcPr>
          <w:p w14:paraId="50D1D46F"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27.6</w:t>
            </w:r>
          </w:p>
        </w:tc>
        <w:tc>
          <w:tcPr>
            <w:tcW w:w="828" w:type="dxa"/>
            <w:vAlign w:val="center"/>
          </w:tcPr>
          <w:p w14:paraId="1CCF9944"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29.5</w:t>
            </w:r>
          </w:p>
        </w:tc>
        <w:tc>
          <w:tcPr>
            <w:tcW w:w="828" w:type="dxa"/>
            <w:vAlign w:val="center"/>
          </w:tcPr>
          <w:p w14:paraId="6337919B"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69.0</w:t>
            </w:r>
          </w:p>
        </w:tc>
        <w:tc>
          <w:tcPr>
            <w:tcW w:w="828" w:type="dxa"/>
            <w:vAlign w:val="center"/>
          </w:tcPr>
          <w:p w14:paraId="65D9C138" w14:textId="77777777" w:rsidR="00FA0FD9" w:rsidRPr="00C44B3A" w:rsidRDefault="00FA0FD9" w:rsidP="00FA0FD9">
            <w:pPr>
              <w:jc w:val="right"/>
              <w:rPr>
                <w:rFonts w:ascii="Arial" w:hAnsi="Arial" w:cs="Arial"/>
                <w:lang w:val="en-CA" w:eastAsia="en-US"/>
              </w:rPr>
            </w:pPr>
            <w:r w:rsidRPr="00C44B3A">
              <w:rPr>
                <w:rFonts w:ascii="Arial" w:hAnsi="Arial" w:cs="Arial"/>
                <w:lang w:val="en-CA" w:eastAsia="en-US"/>
              </w:rPr>
              <w:t>165.5</w:t>
            </w:r>
          </w:p>
        </w:tc>
      </w:tr>
    </w:tbl>
    <w:p w14:paraId="52C0DB59" w14:textId="77777777" w:rsidR="00BE15C5" w:rsidRPr="00C44B3A" w:rsidRDefault="00BE15C5" w:rsidP="00D051E9">
      <w:pPr>
        <w:pStyle w:val="ExhibitText"/>
        <w:rPr>
          <w:lang w:val="en-CA"/>
        </w:rPr>
      </w:pPr>
    </w:p>
    <w:p w14:paraId="6229755D" w14:textId="74D24497" w:rsidR="00DC758F" w:rsidRPr="00C44B3A" w:rsidRDefault="00DC758F" w:rsidP="00BE15C5">
      <w:pPr>
        <w:rPr>
          <w:rFonts w:ascii="Arial" w:hAnsi="Arial" w:cs="Arial"/>
          <w:sz w:val="17"/>
          <w:szCs w:val="17"/>
          <w:lang w:val="en-CA"/>
        </w:rPr>
      </w:pPr>
      <w:r w:rsidRPr="00C44B3A">
        <w:rPr>
          <w:rFonts w:ascii="Arial" w:hAnsi="Arial" w:cs="Arial"/>
          <w:sz w:val="17"/>
          <w:szCs w:val="17"/>
          <w:lang w:val="en-CA"/>
        </w:rPr>
        <w:t>Note: EBIT = earnings before interest and taxes</w:t>
      </w:r>
    </w:p>
    <w:p w14:paraId="4BABBAE6" w14:textId="255622E6" w:rsidR="00BE15C5" w:rsidRPr="00C44B3A" w:rsidRDefault="00BE15C5" w:rsidP="00FA0FD9">
      <w:pPr>
        <w:jc w:val="both"/>
        <w:rPr>
          <w:lang w:val="en-CA"/>
        </w:rPr>
      </w:pPr>
      <w:r w:rsidRPr="00C44B3A">
        <w:rPr>
          <w:rFonts w:ascii="Arial" w:hAnsi="Arial" w:cs="Arial"/>
          <w:sz w:val="17"/>
          <w:szCs w:val="17"/>
          <w:lang w:val="en-CA"/>
        </w:rPr>
        <w:t>Source: Created by the authors using MarketWatch, “New Flyer Industries Inc.</w:t>
      </w:r>
      <w:r w:rsidR="00EF31AF" w:rsidRPr="00C44B3A">
        <w:rPr>
          <w:rFonts w:ascii="Arial" w:hAnsi="Arial" w:cs="Arial"/>
          <w:sz w:val="17"/>
          <w:szCs w:val="17"/>
          <w:lang w:val="en-CA"/>
        </w:rPr>
        <w:t>,</w:t>
      </w:r>
      <w:r w:rsidRPr="00C44B3A">
        <w:rPr>
          <w:rFonts w:ascii="Arial" w:hAnsi="Arial" w:cs="Arial"/>
          <w:sz w:val="17"/>
          <w:szCs w:val="17"/>
          <w:lang w:val="en-CA"/>
        </w:rPr>
        <w:t>” accessed September 22, 2017, www.marketwatch.com/investing/stock/nfi/financials.</w:t>
      </w:r>
    </w:p>
    <w:p w14:paraId="7BF78EA6" w14:textId="2E36F5D8" w:rsidR="00B93369" w:rsidRPr="00C44B3A" w:rsidRDefault="00B93369">
      <w:pPr>
        <w:spacing w:after="200" w:line="276" w:lineRule="auto"/>
        <w:rPr>
          <w:rFonts w:ascii="Arial" w:hAnsi="Arial" w:cs="Arial"/>
          <w:caps/>
          <w:lang w:val="en-CA"/>
        </w:rPr>
      </w:pPr>
      <w:r w:rsidRPr="00C44B3A">
        <w:rPr>
          <w:caps/>
          <w:lang w:val="en-CA"/>
        </w:rPr>
        <w:br w:type="page"/>
      </w:r>
    </w:p>
    <w:p w14:paraId="63287BE6" w14:textId="11792371" w:rsidR="00BE15C5" w:rsidRPr="00C44B3A" w:rsidRDefault="00BE15C5" w:rsidP="00BE15C5">
      <w:pPr>
        <w:jc w:val="center"/>
        <w:rPr>
          <w:rFonts w:ascii="Arial" w:hAnsi="Arial" w:cs="Arial"/>
          <w:b/>
          <w:caps/>
          <w:lang w:val="en-CA"/>
        </w:rPr>
      </w:pPr>
      <w:r w:rsidRPr="00C44B3A">
        <w:rPr>
          <w:rFonts w:ascii="Arial" w:hAnsi="Arial" w:cs="Arial"/>
          <w:b/>
          <w:caps/>
          <w:lang w:val="en-CA"/>
        </w:rPr>
        <w:lastRenderedPageBreak/>
        <w:t>EXHI</w:t>
      </w:r>
      <w:r w:rsidR="009971F5" w:rsidRPr="00C44B3A">
        <w:rPr>
          <w:rFonts w:ascii="Arial" w:hAnsi="Arial" w:cs="Arial"/>
          <w:b/>
          <w:caps/>
          <w:lang w:val="en-CA"/>
        </w:rPr>
        <w:t>BIT 3</w:t>
      </w:r>
      <w:r w:rsidRPr="00C44B3A">
        <w:rPr>
          <w:rFonts w:ascii="Arial" w:hAnsi="Arial" w:cs="Arial"/>
          <w:b/>
          <w:caps/>
          <w:lang w:val="en-CA"/>
        </w:rPr>
        <w:t>: Summary of Key Items from the balance sheet, 2012</w:t>
      </w:r>
      <w:r w:rsidR="00EF31AF" w:rsidRPr="00C44B3A">
        <w:rPr>
          <w:rFonts w:ascii="Arial" w:hAnsi="Arial" w:cs="Arial"/>
          <w:b/>
          <w:caps/>
          <w:lang w:val="en-CA"/>
        </w:rPr>
        <w:t>–</w:t>
      </w:r>
      <w:r w:rsidRPr="00C44B3A">
        <w:rPr>
          <w:rFonts w:ascii="Arial" w:hAnsi="Arial" w:cs="Arial"/>
          <w:b/>
          <w:caps/>
          <w:lang w:val="en-CA"/>
        </w:rPr>
        <w:t>2016</w:t>
      </w:r>
      <w:r w:rsidR="00784365" w:rsidRPr="00C44B3A">
        <w:rPr>
          <w:rFonts w:ascii="Arial" w:hAnsi="Arial" w:cs="Arial"/>
          <w:b/>
          <w:caps/>
          <w:lang w:val="en-CA"/>
        </w:rPr>
        <w:t xml:space="preserve"> (in CA</w:t>
      </w:r>
      <w:r w:rsidR="00DC758F" w:rsidRPr="00C44B3A">
        <w:rPr>
          <w:rFonts w:ascii="Arial" w:hAnsi="Arial" w:cs="Arial"/>
          <w:b/>
          <w:caps/>
          <w:lang w:val="en-CA"/>
        </w:rPr>
        <w:t>$</w:t>
      </w:r>
      <w:r w:rsidR="00784365" w:rsidRPr="00C44B3A">
        <w:rPr>
          <w:rFonts w:ascii="Arial" w:hAnsi="Arial" w:cs="Arial"/>
          <w:b/>
          <w:caps/>
          <w:lang w:val="en-CA"/>
        </w:rPr>
        <w:t xml:space="preserve"> Millions)</w:t>
      </w:r>
    </w:p>
    <w:p w14:paraId="232621AA" w14:textId="05495654" w:rsidR="00BE15C5" w:rsidRPr="00C44B3A" w:rsidRDefault="00BE15C5" w:rsidP="00784365">
      <w:pPr>
        <w:pStyle w:val="ExhibitText"/>
        <w:rPr>
          <w:sz w:val="16"/>
          <w:szCs w:val="16"/>
          <w:lang w:val="en-CA"/>
        </w:rPr>
      </w:pPr>
    </w:p>
    <w:tbl>
      <w:tblPr>
        <w:tblStyle w:val="TableGrid1"/>
        <w:tblW w:w="8010" w:type="dxa"/>
        <w:jc w:val="center"/>
        <w:tblCellMar>
          <w:left w:w="58" w:type="dxa"/>
          <w:right w:w="58" w:type="dxa"/>
        </w:tblCellMar>
        <w:tblLook w:val="04A0" w:firstRow="1" w:lastRow="0" w:firstColumn="1" w:lastColumn="0" w:noHBand="0" w:noVBand="1"/>
      </w:tblPr>
      <w:tblGrid>
        <w:gridCol w:w="3684"/>
        <w:gridCol w:w="896"/>
        <w:gridCol w:w="858"/>
        <w:gridCol w:w="858"/>
        <w:gridCol w:w="858"/>
        <w:gridCol w:w="856"/>
      </w:tblGrid>
      <w:tr w:rsidR="00BE15C5" w:rsidRPr="00C44B3A" w14:paraId="7323B470" w14:textId="77777777" w:rsidTr="00072A46">
        <w:trPr>
          <w:jc w:val="center"/>
        </w:trPr>
        <w:tc>
          <w:tcPr>
            <w:tcW w:w="3697" w:type="dxa"/>
          </w:tcPr>
          <w:p w14:paraId="08E63AF2" w14:textId="77777777" w:rsidR="00BE15C5" w:rsidRPr="00C44B3A" w:rsidRDefault="00BE15C5" w:rsidP="00784365">
            <w:pPr>
              <w:pStyle w:val="ExhibitText"/>
              <w:rPr>
                <w:sz w:val="19"/>
                <w:szCs w:val="19"/>
                <w:lang w:val="en-CA"/>
              </w:rPr>
            </w:pPr>
          </w:p>
        </w:tc>
        <w:tc>
          <w:tcPr>
            <w:tcW w:w="896" w:type="dxa"/>
            <w:vAlign w:val="center"/>
          </w:tcPr>
          <w:p w14:paraId="037014A2" w14:textId="77777777" w:rsidR="00BE15C5" w:rsidRPr="00C44B3A" w:rsidRDefault="00BE15C5" w:rsidP="00784365">
            <w:pPr>
              <w:pStyle w:val="ExhibitText"/>
              <w:jc w:val="center"/>
              <w:rPr>
                <w:b/>
                <w:sz w:val="19"/>
                <w:szCs w:val="19"/>
                <w:lang w:val="en-CA"/>
              </w:rPr>
            </w:pPr>
            <w:r w:rsidRPr="00C44B3A">
              <w:rPr>
                <w:b/>
                <w:sz w:val="19"/>
                <w:szCs w:val="19"/>
                <w:lang w:val="en-CA"/>
              </w:rPr>
              <w:t>2012</w:t>
            </w:r>
          </w:p>
        </w:tc>
        <w:tc>
          <w:tcPr>
            <w:tcW w:w="858" w:type="dxa"/>
            <w:vAlign w:val="center"/>
          </w:tcPr>
          <w:p w14:paraId="7DD43F99" w14:textId="77777777" w:rsidR="00BE15C5" w:rsidRPr="00C44B3A" w:rsidRDefault="00BE15C5" w:rsidP="00784365">
            <w:pPr>
              <w:pStyle w:val="ExhibitText"/>
              <w:jc w:val="center"/>
              <w:rPr>
                <w:b/>
                <w:sz w:val="19"/>
                <w:szCs w:val="19"/>
                <w:lang w:val="en-CA"/>
              </w:rPr>
            </w:pPr>
            <w:r w:rsidRPr="00C44B3A">
              <w:rPr>
                <w:b/>
                <w:sz w:val="19"/>
                <w:szCs w:val="19"/>
                <w:lang w:val="en-CA"/>
              </w:rPr>
              <w:t>2013</w:t>
            </w:r>
          </w:p>
        </w:tc>
        <w:tc>
          <w:tcPr>
            <w:tcW w:w="858" w:type="dxa"/>
            <w:vAlign w:val="center"/>
          </w:tcPr>
          <w:p w14:paraId="5298CBFD" w14:textId="77777777" w:rsidR="00BE15C5" w:rsidRPr="00C44B3A" w:rsidRDefault="00BE15C5" w:rsidP="00784365">
            <w:pPr>
              <w:pStyle w:val="ExhibitText"/>
              <w:jc w:val="center"/>
              <w:rPr>
                <w:b/>
                <w:sz w:val="19"/>
                <w:szCs w:val="19"/>
                <w:lang w:val="en-CA"/>
              </w:rPr>
            </w:pPr>
            <w:r w:rsidRPr="00C44B3A">
              <w:rPr>
                <w:b/>
                <w:sz w:val="19"/>
                <w:szCs w:val="19"/>
                <w:lang w:val="en-CA"/>
              </w:rPr>
              <w:t>2014</w:t>
            </w:r>
          </w:p>
        </w:tc>
        <w:tc>
          <w:tcPr>
            <w:tcW w:w="858" w:type="dxa"/>
            <w:vAlign w:val="center"/>
          </w:tcPr>
          <w:p w14:paraId="4AD6890B" w14:textId="77777777" w:rsidR="00BE15C5" w:rsidRPr="00C44B3A" w:rsidRDefault="00BE15C5" w:rsidP="00784365">
            <w:pPr>
              <w:pStyle w:val="ExhibitText"/>
              <w:jc w:val="center"/>
              <w:rPr>
                <w:b/>
                <w:sz w:val="19"/>
                <w:szCs w:val="19"/>
                <w:lang w:val="en-CA"/>
              </w:rPr>
            </w:pPr>
            <w:r w:rsidRPr="00C44B3A">
              <w:rPr>
                <w:b/>
                <w:sz w:val="19"/>
                <w:szCs w:val="19"/>
                <w:lang w:val="en-CA"/>
              </w:rPr>
              <w:t>2015</w:t>
            </w:r>
          </w:p>
        </w:tc>
        <w:tc>
          <w:tcPr>
            <w:tcW w:w="843" w:type="dxa"/>
            <w:vAlign w:val="center"/>
          </w:tcPr>
          <w:p w14:paraId="2354468F" w14:textId="77777777" w:rsidR="00BE15C5" w:rsidRPr="00C44B3A" w:rsidRDefault="00BE15C5" w:rsidP="00784365">
            <w:pPr>
              <w:pStyle w:val="ExhibitText"/>
              <w:jc w:val="center"/>
              <w:rPr>
                <w:b/>
                <w:sz w:val="19"/>
                <w:szCs w:val="19"/>
                <w:lang w:val="en-CA"/>
              </w:rPr>
            </w:pPr>
            <w:r w:rsidRPr="00C44B3A">
              <w:rPr>
                <w:b/>
                <w:sz w:val="19"/>
                <w:szCs w:val="19"/>
                <w:lang w:val="en-CA"/>
              </w:rPr>
              <w:t>2016</w:t>
            </w:r>
          </w:p>
        </w:tc>
      </w:tr>
      <w:tr w:rsidR="00784365" w:rsidRPr="00C44B3A" w14:paraId="6CD6F871" w14:textId="77777777" w:rsidTr="00072A46">
        <w:trPr>
          <w:jc w:val="center"/>
        </w:trPr>
        <w:tc>
          <w:tcPr>
            <w:tcW w:w="8010" w:type="dxa"/>
            <w:gridSpan w:val="6"/>
            <w:vAlign w:val="center"/>
          </w:tcPr>
          <w:p w14:paraId="3BCE1A62" w14:textId="77777777" w:rsidR="00784365" w:rsidRPr="00C44B3A" w:rsidRDefault="00784365" w:rsidP="00784365">
            <w:pPr>
              <w:pStyle w:val="ExhibitText"/>
              <w:rPr>
                <w:b/>
                <w:sz w:val="19"/>
                <w:szCs w:val="19"/>
                <w:lang w:val="en-CA"/>
              </w:rPr>
            </w:pPr>
            <w:r w:rsidRPr="00C44B3A">
              <w:rPr>
                <w:b/>
                <w:sz w:val="19"/>
                <w:szCs w:val="19"/>
                <w:lang w:val="en-CA"/>
              </w:rPr>
              <w:t>Assets</w:t>
            </w:r>
          </w:p>
        </w:tc>
      </w:tr>
      <w:tr w:rsidR="00BE15C5" w:rsidRPr="00C44B3A" w14:paraId="354A9775" w14:textId="77777777" w:rsidTr="00072A46">
        <w:trPr>
          <w:jc w:val="center"/>
        </w:trPr>
        <w:tc>
          <w:tcPr>
            <w:tcW w:w="3697" w:type="dxa"/>
            <w:vAlign w:val="center"/>
          </w:tcPr>
          <w:p w14:paraId="0E05F4E6" w14:textId="6F516BE2" w:rsidR="00BE15C5" w:rsidRPr="00C44B3A" w:rsidRDefault="00784365" w:rsidP="00D45E9A">
            <w:pPr>
              <w:pStyle w:val="ExhibitText"/>
              <w:jc w:val="left"/>
              <w:rPr>
                <w:sz w:val="19"/>
                <w:szCs w:val="19"/>
                <w:lang w:val="en-CA"/>
              </w:rPr>
            </w:pPr>
            <w:r w:rsidRPr="00C44B3A">
              <w:rPr>
                <w:sz w:val="19"/>
                <w:szCs w:val="19"/>
                <w:lang w:val="en-CA"/>
              </w:rPr>
              <w:t xml:space="preserve">Total Cash &amp; </w:t>
            </w:r>
            <w:r w:rsidR="00EF31AF" w:rsidRPr="00C44B3A">
              <w:rPr>
                <w:sz w:val="19"/>
                <w:szCs w:val="19"/>
                <w:lang w:val="en-CA"/>
              </w:rPr>
              <w:t>Short-</w:t>
            </w:r>
            <w:r w:rsidR="00D45E9A" w:rsidRPr="00C44B3A">
              <w:rPr>
                <w:sz w:val="19"/>
                <w:szCs w:val="19"/>
                <w:lang w:val="en-CA"/>
              </w:rPr>
              <w:t>t</w:t>
            </w:r>
            <w:r w:rsidRPr="00C44B3A">
              <w:rPr>
                <w:sz w:val="19"/>
                <w:szCs w:val="19"/>
                <w:lang w:val="en-CA"/>
              </w:rPr>
              <w:t>erm Investments</w:t>
            </w:r>
          </w:p>
        </w:tc>
        <w:tc>
          <w:tcPr>
            <w:tcW w:w="896" w:type="dxa"/>
            <w:vAlign w:val="center"/>
          </w:tcPr>
          <w:p w14:paraId="1590DA1F" w14:textId="4A6DB4E0" w:rsidR="00BE15C5" w:rsidRPr="00C44B3A" w:rsidRDefault="00BE15C5" w:rsidP="00784365">
            <w:pPr>
              <w:pStyle w:val="ExhibitText"/>
              <w:jc w:val="right"/>
              <w:rPr>
                <w:sz w:val="19"/>
                <w:szCs w:val="19"/>
                <w:lang w:val="en-CA"/>
              </w:rPr>
            </w:pPr>
            <w:r w:rsidRPr="00C44B3A">
              <w:rPr>
                <w:sz w:val="19"/>
                <w:szCs w:val="19"/>
                <w:lang w:val="en-CA"/>
              </w:rPr>
              <w:t>11.1</w:t>
            </w:r>
            <w:r w:rsidR="0061596A" w:rsidRPr="00C44B3A">
              <w:rPr>
                <w:sz w:val="19"/>
                <w:szCs w:val="19"/>
                <w:lang w:val="en-CA"/>
              </w:rPr>
              <w:t>0</w:t>
            </w:r>
          </w:p>
        </w:tc>
        <w:tc>
          <w:tcPr>
            <w:tcW w:w="858" w:type="dxa"/>
            <w:vAlign w:val="center"/>
          </w:tcPr>
          <w:p w14:paraId="710CA46F" w14:textId="0A4F1DB9" w:rsidR="00BE15C5" w:rsidRPr="00C44B3A" w:rsidRDefault="00BE15C5" w:rsidP="00784365">
            <w:pPr>
              <w:pStyle w:val="ExhibitText"/>
              <w:jc w:val="right"/>
              <w:rPr>
                <w:sz w:val="19"/>
                <w:szCs w:val="19"/>
                <w:lang w:val="en-CA"/>
              </w:rPr>
            </w:pPr>
            <w:r w:rsidRPr="00C44B3A">
              <w:rPr>
                <w:sz w:val="19"/>
                <w:szCs w:val="19"/>
                <w:lang w:val="en-CA"/>
              </w:rPr>
              <w:t>12.6</w:t>
            </w:r>
            <w:r w:rsidR="0061596A" w:rsidRPr="00C44B3A">
              <w:rPr>
                <w:sz w:val="19"/>
                <w:szCs w:val="19"/>
                <w:lang w:val="en-CA"/>
              </w:rPr>
              <w:t>0</w:t>
            </w:r>
          </w:p>
        </w:tc>
        <w:tc>
          <w:tcPr>
            <w:tcW w:w="858" w:type="dxa"/>
            <w:vAlign w:val="center"/>
          </w:tcPr>
          <w:p w14:paraId="0D0D39FA" w14:textId="183405DF" w:rsidR="00BE15C5" w:rsidRPr="00C44B3A" w:rsidRDefault="00BE15C5" w:rsidP="00784365">
            <w:pPr>
              <w:pStyle w:val="ExhibitText"/>
              <w:jc w:val="right"/>
              <w:rPr>
                <w:sz w:val="19"/>
                <w:szCs w:val="19"/>
                <w:lang w:val="en-CA"/>
              </w:rPr>
            </w:pPr>
            <w:r w:rsidRPr="00C44B3A">
              <w:rPr>
                <w:sz w:val="19"/>
                <w:szCs w:val="19"/>
                <w:lang w:val="en-CA"/>
              </w:rPr>
              <w:t>21</w:t>
            </w:r>
            <w:r w:rsidR="00784365" w:rsidRPr="00C44B3A">
              <w:rPr>
                <w:sz w:val="19"/>
                <w:szCs w:val="19"/>
                <w:lang w:val="en-CA"/>
              </w:rPr>
              <w:t>.0</w:t>
            </w:r>
            <w:r w:rsidR="0061596A" w:rsidRPr="00C44B3A">
              <w:rPr>
                <w:sz w:val="19"/>
                <w:szCs w:val="19"/>
                <w:lang w:val="en-CA"/>
              </w:rPr>
              <w:t>0</w:t>
            </w:r>
          </w:p>
        </w:tc>
        <w:tc>
          <w:tcPr>
            <w:tcW w:w="858" w:type="dxa"/>
            <w:vAlign w:val="center"/>
          </w:tcPr>
          <w:p w14:paraId="4F75E4D7" w14:textId="1ED1F050" w:rsidR="00BE15C5" w:rsidRPr="00C44B3A" w:rsidRDefault="00BE15C5" w:rsidP="00784365">
            <w:pPr>
              <w:pStyle w:val="ExhibitText"/>
              <w:jc w:val="right"/>
              <w:rPr>
                <w:sz w:val="19"/>
                <w:szCs w:val="19"/>
                <w:lang w:val="en-CA"/>
              </w:rPr>
            </w:pPr>
            <w:r w:rsidRPr="00C44B3A">
              <w:rPr>
                <w:sz w:val="19"/>
                <w:szCs w:val="19"/>
                <w:lang w:val="en-CA"/>
              </w:rPr>
              <w:t>34.6</w:t>
            </w:r>
            <w:r w:rsidR="0061596A" w:rsidRPr="00C44B3A">
              <w:rPr>
                <w:sz w:val="19"/>
                <w:szCs w:val="19"/>
                <w:lang w:val="en-CA"/>
              </w:rPr>
              <w:t>0</w:t>
            </w:r>
          </w:p>
        </w:tc>
        <w:tc>
          <w:tcPr>
            <w:tcW w:w="843" w:type="dxa"/>
            <w:vAlign w:val="center"/>
          </w:tcPr>
          <w:p w14:paraId="78D8EEB5" w14:textId="76FCFEA8" w:rsidR="00BE15C5" w:rsidRPr="00C44B3A" w:rsidRDefault="00BE15C5" w:rsidP="00784365">
            <w:pPr>
              <w:pStyle w:val="ExhibitText"/>
              <w:jc w:val="right"/>
              <w:rPr>
                <w:sz w:val="19"/>
                <w:szCs w:val="19"/>
                <w:lang w:val="en-CA"/>
              </w:rPr>
            </w:pPr>
            <w:r w:rsidRPr="00C44B3A">
              <w:rPr>
                <w:sz w:val="19"/>
                <w:szCs w:val="19"/>
                <w:lang w:val="en-CA"/>
              </w:rPr>
              <w:t>19.9</w:t>
            </w:r>
            <w:r w:rsidR="0061596A" w:rsidRPr="00C44B3A">
              <w:rPr>
                <w:sz w:val="19"/>
                <w:szCs w:val="19"/>
                <w:lang w:val="en-CA"/>
              </w:rPr>
              <w:t>0</w:t>
            </w:r>
          </w:p>
        </w:tc>
      </w:tr>
      <w:tr w:rsidR="00BE15C5" w:rsidRPr="00C44B3A" w14:paraId="4D23581F" w14:textId="77777777" w:rsidTr="00072A46">
        <w:trPr>
          <w:jc w:val="center"/>
        </w:trPr>
        <w:tc>
          <w:tcPr>
            <w:tcW w:w="3697" w:type="dxa"/>
            <w:vAlign w:val="center"/>
          </w:tcPr>
          <w:p w14:paraId="09A1272B" w14:textId="77777777" w:rsidR="00BE15C5" w:rsidRPr="00C44B3A" w:rsidRDefault="00784365" w:rsidP="00784365">
            <w:pPr>
              <w:pStyle w:val="ExhibitText"/>
              <w:jc w:val="left"/>
              <w:rPr>
                <w:sz w:val="19"/>
                <w:szCs w:val="19"/>
                <w:lang w:val="en-CA"/>
              </w:rPr>
            </w:pPr>
            <w:r w:rsidRPr="00C44B3A">
              <w:rPr>
                <w:sz w:val="19"/>
                <w:szCs w:val="19"/>
                <w:lang w:val="en-CA"/>
              </w:rPr>
              <w:t>Total Accounts Receivable</w:t>
            </w:r>
          </w:p>
        </w:tc>
        <w:tc>
          <w:tcPr>
            <w:tcW w:w="896" w:type="dxa"/>
            <w:vAlign w:val="center"/>
          </w:tcPr>
          <w:p w14:paraId="066850ED" w14:textId="6DC0D0DC" w:rsidR="00BE15C5" w:rsidRPr="00C44B3A" w:rsidRDefault="00BE15C5" w:rsidP="00784365">
            <w:pPr>
              <w:pStyle w:val="ExhibitText"/>
              <w:jc w:val="right"/>
              <w:rPr>
                <w:sz w:val="19"/>
                <w:szCs w:val="19"/>
                <w:lang w:val="en-CA"/>
              </w:rPr>
            </w:pPr>
            <w:r w:rsidRPr="00C44B3A">
              <w:rPr>
                <w:sz w:val="19"/>
                <w:szCs w:val="19"/>
                <w:lang w:val="en-CA"/>
              </w:rPr>
              <w:t>113</w:t>
            </w:r>
            <w:r w:rsidR="00784365" w:rsidRPr="00C44B3A">
              <w:rPr>
                <w:sz w:val="19"/>
                <w:szCs w:val="19"/>
                <w:lang w:val="en-CA"/>
              </w:rPr>
              <w:t>.0</w:t>
            </w:r>
            <w:r w:rsidR="0061596A" w:rsidRPr="00C44B3A">
              <w:rPr>
                <w:sz w:val="19"/>
                <w:szCs w:val="19"/>
                <w:lang w:val="en-CA"/>
              </w:rPr>
              <w:t>0</w:t>
            </w:r>
          </w:p>
        </w:tc>
        <w:tc>
          <w:tcPr>
            <w:tcW w:w="858" w:type="dxa"/>
            <w:vAlign w:val="center"/>
          </w:tcPr>
          <w:p w14:paraId="6AF53F54" w14:textId="701D5FCE" w:rsidR="00BE15C5" w:rsidRPr="00C44B3A" w:rsidRDefault="00BE15C5" w:rsidP="00784365">
            <w:pPr>
              <w:pStyle w:val="ExhibitText"/>
              <w:jc w:val="right"/>
              <w:rPr>
                <w:sz w:val="19"/>
                <w:szCs w:val="19"/>
                <w:lang w:val="en-CA"/>
              </w:rPr>
            </w:pPr>
            <w:r w:rsidRPr="00C44B3A">
              <w:rPr>
                <w:sz w:val="19"/>
                <w:szCs w:val="19"/>
                <w:lang w:val="en-CA"/>
              </w:rPr>
              <w:t>244.7</w:t>
            </w:r>
            <w:r w:rsidR="0061596A" w:rsidRPr="00C44B3A">
              <w:rPr>
                <w:sz w:val="19"/>
                <w:szCs w:val="19"/>
                <w:lang w:val="en-CA"/>
              </w:rPr>
              <w:t>0</w:t>
            </w:r>
          </w:p>
        </w:tc>
        <w:tc>
          <w:tcPr>
            <w:tcW w:w="858" w:type="dxa"/>
            <w:vAlign w:val="center"/>
          </w:tcPr>
          <w:p w14:paraId="5D8B724C" w14:textId="0A1FD68C" w:rsidR="00BE15C5" w:rsidRPr="00C44B3A" w:rsidRDefault="00BE15C5" w:rsidP="00784365">
            <w:pPr>
              <w:pStyle w:val="ExhibitText"/>
              <w:jc w:val="right"/>
              <w:rPr>
                <w:sz w:val="19"/>
                <w:szCs w:val="19"/>
                <w:lang w:val="en-CA"/>
              </w:rPr>
            </w:pPr>
            <w:r w:rsidRPr="00C44B3A">
              <w:rPr>
                <w:sz w:val="19"/>
                <w:szCs w:val="19"/>
                <w:lang w:val="en-CA"/>
              </w:rPr>
              <w:t>246.6</w:t>
            </w:r>
            <w:r w:rsidR="0061596A" w:rsidRPr="00C44B3A">
              <w:rPr>
                <w:sz w:val="19"/>
                <w:szCs w:val="19"/>
                <w:lang w:val="en-CA"/>
              </w:rPr>
              <w:t>0</w:t>
            </w:r>
          </w:p>
        </w:tc>
        <w:tc>
          <w:tcPr>
            <w:tcW w:w="858" w:type="dxa"/>
            <w:vAlign w:val="center"/>
          </w:tcPr>
          <w:p w14:paraId="49ACC652" w14:textId="08AC1C75" w:rsidR="00BE15C5" w:rsidRPr="00C44B3A" w:rsidRDefault="00BE15C5" w:rsidP="00784365">
            <w:pPr>
              <w:pStyle w:val="ExhibitText"/>
              <w:jc w:val="right"/>
              <w:rPr>
                <w:sz w:val="19"/>
                <w:szCs w:val="19"/>
                <w:lang w:val="en-CA"/>
              </w:rPr>
            </w:pPr>
            <w:r w:rsidRPr="00C44B3A">
              <w:rPr>
                <w:sz w:val="19"/>
                <w:szCs w:val="19"/>
                <w:lang w:val="en-CA"/>
              </w:rPr>
              <w:t>447</w:t>
            </w:r>
            <w:r w:rsidR="00784365" w:rsidRPr="00C44B3A">
              <w:rPr>
                <w:sz w:val="19"/>
                <w:szCs w:val="19"/>
                <w:lang w:val="en-CA"/>
              </w:rPr>
              <w:t>.0</w:t>
            </w:r>
            <w:r w:rsidR="0061596A" w:rsidRPr="00C44B3A">
              <w:rPr>
                <w:sz w:val="19"/>
                <w:szCs w:val="19"/>
                <w:lang w:val="en-CA"/>
              </w:rPr>
              <w:t>0</w:t>
            </w:r>
          </w:p>
        </w:tc>
        <w:tc>
          <w:tcPr>
            <w:tcW w:w="843" w:type="dxa"/>
            <w:vAlign w:val="center"/>
          </w:tcPr>
          <w:p w14:paraId="0441032C" w14:textId="006363CE" w:rsidR="00BE15C5" w:rsidRPr="00C44B3A" w:rsidRDefault="00BE15C5" w:rsidP="00784365">
            <w:pPr>
              <w:pStyle w:val="ExhibitText"/>
              <w:jc w:val="right"/>
              <w:rPr>
                <w:sz w:val="19"/>
                <w:szCs w:val="19"/>
                <w:lang w:val="en-CA"/>
              </w:rPr>
            </w:pPr>
            <w:r w:rsidRPr="00C44B3A">
              <w:rPr>
                <w:sz w:val="19"/>
                <w:szCs w:val="19"/>
                <w:lang w:val="en-CA"/>
              </w:rPr>
              <w:t>504.8</w:t>
            </w:r>
            <w:r w:rsidR="0061596A" w:rsidRPr="00C44B3A">
              <w:rPr>
                <w:sz w:val="19"/>
                <w:szCs w:val="19"/>
                <w:lang w:val="en-CA"/>
              </w:rPr>
              <w:t>0</w:t>
            </w:r>
          </w:p>
        </w:tc>
      </w:tr>
      <w:tr w:rsidR="00BE15C5" w:rsidRPr="00C44B3A" w14:paraId="43C673B3" w14:textId="77777777" w:rsidTr="00072A46">
        <w:trPr>
          <w:jc w:val="center"/>
        </w:trPr>
        <w:tc>
          <w:tcPr>
            <w:tcW w:w="3697" w:type="dxa"/>
            <w:vAlign w:val="center"/>
          </w:tcPr>
          <w:p w14:paraId="5FF86C62" w14:textId="77777777" w:rsidR="00BE15C5" w:rsidRPr="00C44B3A" w:rsidRDefault="00BE15C5" w:rsidP="00784365">
            <w:pPr>
              <w:pStyle w:val="ExhibitText"/>
              <w:jc w:val="left"/>
              <w:rPr>
                <w:sz w:val="19"/>
                <w:szCs w:val="19"/>
                <w:lang w:val="en-CA"/>
              </w:rPr>
            </w:pPr>
            <w:r w:rsidRPr="00C44B3A">
              <w:rPr>
                <w:sz w:val="19"/>
                <w:szCs w:val="19"/>
                <w:lang w:val="en-CA"/>
              </w:rPr>
              <w:t>Inventories</w:t>
            </w:r>
          </w:p>
        </w:tc>
        <w:tc>
          <w:tcPr>
            <w:tcW w:w="896" w:type="dxa"/>
            <w:vAlign w:val="center"/>
          </w:tcPr>
          <w:p w14:paraId="5862E49C" w14:textId="19197FCF" w:rsidR="00BE15C5" w:rsidRPr="00C44B3A" w:rsidRDefault="00BE15C5" w:rsidP="00784365">
            <w:pPr>
              <w:pStyle w:val="ExhibitText"/>
              <w:jc w:val="right"/>
              <w:rPr>
                <w:sz w:val="19"/>
                <w:szCs w:val="19"/>
                <w:lang w:val="en-CA"/>
              </w:rPr>
            </w:pPr>
            <w:r w:rsidRPr="00C44B3A">
              <w:rPr>
                <w:sz w:val="19"/>
                <w:szCs w:val="19"/>
                <w:lang w:val="en-CA"/>
              </w:rPr>
              <w:t>124.2</w:t>
            </w:r>
            <w:r w:rsidR="0061596A" w:rsidRPr="00C44B3A">
              <w:rPr>
                <w:sz w:val="19"/>
                <w:szCs w:val="19"/>
                <w:lang w:val="en-CA"/>
              </w:rPr>
              <w:t>0</w:t>
            </w:r>
          </w:p>
        </w:tc>
        <w:tc>
          <w:tcPr>
            <w:tcW w:w="858" w:type="dxa"/>
            <w:vAlign w:val="center"/>
          </w:tcPr>
          <w:p w14:paraId="64E91BEC" w14:textId="31F157B3" w:rsidR="00BE15C5" w:rsidRPr="00C44B3A" w:rsidRDefault="00BE15C5" w:rsidP="00784365">
            <w:pPr>
              <w:pStyle w:val="ExhibitText"/>
              <w:jc w:val="right"/>
              <w:rPr>
                <w:sz w:val="19"/>
                <w:szCs w:val="19"/>
                <w:lang w:val="en-CA"/>
              </w:rPr>
            </w:pPr>
            <w:r w:rsidRPr="00C44B3A">
              <w:rPr>
                <w:sz w:val="19"/>
                <w:szCs w:val="19"/>
                <w:lang w:val="en-CA"/>
              </w:rPr>
              <w:t>194.8</w:t>
            </w:r>
            <w:r w:rsidR="0061596A" w:rsidRPr="00C44B3A">
              <w:rPr>
                <w:sz w:val="19"/>
                <w:szCs w:val="19"/>
                <w:lang w:val="en-CA"/>
              </w:rPr>
              <w:t>0</w:t>
            </w:r>
          </w:p>
        </w:tc>
        <w:tc>
          <w:tcPr>
            <w:tcW w:w="858" w:type="dxa"/>
            <w:vAlign w:val="center"/>
          </w:tcPr>
          <w:p w14:paraId="5DE1121C" w14:textId="027668D1" w:rsidR="00BE15C5" w:rsidRPr="00C44B3A" w:rsidRDefault="00BE15C5" w:rsidP="00784365">
            <w:pPr>
              <w:pStyle w:val="ExhibitText"/>
              <w:jc w:val="right"/>
              <w:rPr>
                <w:sz w:val="19"/>
                <w:szCs w:val="19"/>
                <w:lang w:val="en-CA"/>
              </w:rPr>
            </w:pPr>
            <w:r w:rsidRPr="00C44B3A">
              <w:rPr>
                <w:sz w:val="19"/>
                <w:szCs w:val="19"/>
                <w:lang w:val="en-CA"/>
              </w:rPr>
              <w:t>266.4</w:t>
            </w:r>
            <w:r w:rsidR="0061596A" w:rsidRPr="00C44B3A">
              <w:rPr>
                <w:sz w:val="19"/>
                <w:szCs w:val="19"/>
                <w:lang w:val="en-CA"/>
              </w:rPr>
              <w:t>0</w:t>
            </w:r>
          </w:p>
        </w:tc>
        <w:tc>
          <w:tcPr>
            <w:tcW w:w="858" w:type="dxa"/>
            <w:vAlign w:val="center"/>
          </w:tcPr>
          <w:p w14:paraId="1E80B329" w14:textId="4DCC63A2" w:rsidR="00BE15C5" w:rsidRPr="00C44B3A" w:rsidRDefault="00BE15C5" w:rsidP="00784365">
            <w:pPr>
              <w:pStyle w:val="ExhibitText"/>
              <w:jc w:val="right"/>
              <w:rPr>
                <w:sz w:val="19"/>
                <w:szCs w:val="19"/>
                <w:lang w:val="en-CA"/>
              </w:rPr>
            </w:pPr>
            <w:r w:rsidRPr="00C44B3A">
              <w:rPr>
                <w:sz w:val="19"/>
                <w:szCs w:val="19"/>
                <w:lang w:val="en-CA"/>
              </w:rPr>
              <w:t>491.4</w:t>
            </w:r>
            <w:r w:rsidR="0061596A" w:rsidRPr="00C44B3A">
              <w:rPr>
                <w:sz w:val="19"/>
                <w:szCs w:val="19"/>
                <w:lang w:val="en-CA"/>
              </w:rPr>
              <w:t>0</w:t>
            </w:r>
          </w:p>
        </w:tc>
        <w:tc>
          <w:tcPr>
            <w:tcW w:w="843" w:type="dxa"/>
            <w:vAlign w:val="center"/>
          </w:tcPr>
          <w:p w14:paraId="4A65F074" w14:textId="7FF896CC" w:rsidR="00BE15C5" w:rsidRPr="00C44B3A" w:rsidRDefault="00BE15C5" w:rsidP="00784365">
            <w:pPr>
              <w:pStyle w:val="ExhibitText"/>
              <w:jc w:val="right"/>
              <w:rPr>
                <w:sz w:val="19"/>
                <w:szCs w:val="19"/>
                <w:lang w:val="en-CA"/>
              </w:rPr>
            </w:pPr>
            <w:r w:rsidRPr="00C44B3A">
              <w:rPr>
                <w:sz w:val="19"/>
                <w:szCs w:val="19"/>
                <w:lang w:val="en-CA"/>
              </w:rPr>
              <w:t>489</w:t>
            </w:r>
            <w:r w:rsidR="00784365" w:rsidRPr="00C44B3A">
              <w:rPr>
                <w:sz w:val="19"/>
                <w:szCs w:val="19"/>
                <w:lang w:val="en-CA"/>
              </w:rPr>
              <w:t>.0</w:t>
            </w:r>
            <w:r w:rsidR="0061596A" w:rsidRPr="00C44B3A">
              <w:rPr>
                <w:sz w:val="19"/>
                <w:szCs w:val="19"/>
                <w:lang w:val="en-CA"/>
              </w:rPr>
              <w:t>0</w:t>
            </w:r>
          </w:p>
        </w:tc>
      </w:tr>
      <w:tr w:rsidR="00BE15C5" w:rsidRPr="00C44B3A" w14:paraId="085AF0F3" w14:textId="77777777" w:rsidTr="00072A46">
        <w:trPr>
          <w:jc w:val="center"/>
        </w:trPr>
        <w:tc>
          <w:tcPr>
            <w:tcW w:w="3697" w:type="dxa"/>
            <w:vAlign w:val="center"/>
          </w:tcPr>
          <w:p w14:paraId="2F516089" w14:textId="77777777" w:rsidR="00BE15C5" w:rsidRPr="00C44B3A" w:rsidRDefault="00784365" w:rsidP="00784365">
            <w:pPr>
              <w:pStyle w:val="ExhibitText"/>
              <w:jc w:val="left"/>
              <w:rPr>
                <w:sz w:val="19"/>
                <w:szCs w:val="19"/>
                <w:lang w:val="en-CA"/>
              </w:rPr>
            </w:pPr>
            <w:r w:rsidRPr="00C44B3A">
              <w:rPr>
                <w:sz w:val="19"/>
                <w:szCs w:val="19"/>
                <w:lang w:val="en-CA"/>
              </w:rPr>
              <w:t>Total Current Assets</w:t>
            </w:r>
          </w:p>
        </w:tc>
        <w:tc>
          <w:tcPr>
            <w:tcW w:w="896" w:type="dxa"/>
            <w:vAlign w:val="center"/>
          </w:tcPr>
          <w:p w14:paraId="5FF13EAF" w14:textId="0248F3A8" w:rsidR="00BE15C5" w:rsidRPr="00C44B3A" w:rsidRDefault="00BE15C5" w:rsidP="00784365">
            <w:pPr>
              <w:pStyle w:val="ExhibitText"/>
              <w:jc w:val="right"/>
              <w:rPr>
                <w:sz w:val="19"/>
                <w:szCs w:val="19"/>
                <w:lang w:val="en-CA"/>
              </w:rPr>
            </w:pPr>
            <w:r w:rsidRPr="00C44B3A">
              <w:rPr>
                <w:sz w:val="19"/>
                <w:szCs w:val="19"/>
                <w:lang w:val="en-CA"/>
              </w:rPr>
              <w:t>253</w:t>
            </w:r>
            <w:r w:rsidR="00784365" w:rsidRPr="00C44B3A">
              <w:rPr>
                <w:sz w:val="19"/>
                <w:szCs w:val="19"/>
                <w:lang w:val="en-CA"/>
              </w:rPr>
              <w:t>.0</w:t>
            </w:r>
            <w:r w:rsidR="0061596A" w:rsidRPr="00C44B3A">
              <w:rPr>
                <w:sz w:val="19"/>
                <w:szCs w:val="19"/>
                <w:lang w:val="en-CA"/>
              </w:rPr>
              <w:t>0</w:t>
            </w:r>
          </w:p>
        </w:tc>
        <w:tc>
          <w:tcPr>
            <w:tcW w:w="858" w:type="dxa"/>
            <w:vAlign w:val="center"/>
          </w:tcPr>
          <w:p w14:paraId="44FEB463" w14:textId="12BE3D3B" w:rsidR="00BE15C5" w:rsidRPr="00C44B3A" w:rsidRDefault="00BE15C5" w:rsidP="00784365">
            <w:pPr>
              <w:pStyle w:val="ExhibitText"/>
              <w:jc w:val="right"/>
              <w:rPr>
                <w:sz w:val="19"/>
                <w:szCs w:val="19"/>
                <w:lang w:val="en-CA"/>
              </w:rPr>
            </w:pPr>
            <w:r w:rsidRPr="00C44B3A">
              <w:rPr>
                <w:sz w:val="19"/>
                <w:szCs w:val="19"/>
                <w:lang w:val="en-CA"/>
              </w:rPr>
              <w:t>460.1</w:t>
            </w:r>
            <w:r w:rsidR="0061596A" w:rsidRPr="00C44B3A">
              <w:rPr>
                <w:sz w:val="19"/>
                <w:szCs w:val="19"/>
                <w:lang w:val="en-CA"/>
              </w:rPr>
              <w:t>0</w:t>
            </w:r>
          </w:p>
        </w:tc>
        <w:tc>
          <w:tcPr>
            <w:tcW w:w="858" w:type="dxa"/>
            <w:vAlign w:val="center"/>
          </w:tcPr>
          <w:p w14:paraId="7A5B1A9E" w14:textId="139FD6FF" w:rsidR="00BE15C5" w:rsidRPr="00C44B3A" w:rsidRDefault="00BE15C5" w:rsidP="00784365">
            <w:pPr>
              <w:pStyle w:val="ExhibitText"/>
              <w:jc w:val="right"/>
              <w:rPr>
                <w:sz w:val="19"/>
                <w:szCs w:val="19"/>
                <w:lang w:val="en-CA"/>
              </w:rPr>
            </w:pPr>
            <w:r w:rsidRPr="00C44B3A">
              <w:rPr>
                <w:sz w:val="19"/>
                <w:szCs w:val="19"/>
                <w:lang w:val="en-CA"/>
              </w:rPr>
              <w:t>565</w:t>
            </w:r>
            <w:r w:rsidR="00784365" w:rsidRPr="00C44B3A">
              <w:rPr>
                <w:sz w:val="19"/>
                <w:szCs w:val="19"/>
                <w:lang w:val="en-CA"/>
              </w:rPr>
              <w:t>.0</w:t>
            </w:r>
            <w:r w:rsidR="0061596A" w:rsidRPr="00C44B3A">
              <w:rPr>
                <w:sz w:val="19"/>
                <w:szCs w:val="19"/>
                <w:lang w:val="en-CA"/>
              </w:rPr>
              <w:t>0</w:t>
            </w:r>
          </w:p>
        </w:tc>
        <w:tc>
          <w:tcPr>
            <w:tcW w:w="858" w:type="dxa"/>
            <w:vAlign w:val="center"/>
          </w:tcPr>
          <w:p w14:paraId="14192BBE" w14:textId="3517215B" w:rsidR="00BE15C5" w:rsidRPr="00C44B3A" w:rsidRDefault="00BE15C5" w:rsidP="00784365">
            <w:pPr>
              <w:pStyle w:val="ExhibitText"/>
              <w:jc w:val="right"/>
              <w:rPr>
                <w:sz w:val="19"/>
                <w:szCs w:val="19"/>
                <w:lang w:val="en-CA"/>
              </w:rPr>
            </w:pPr>
            <w:r w:rsidRPr="00C44B3A">
              <w:rPr>
                <w:sz w:val="19"/>
                <w:szCs w:val="19"/>
                <w:lang w:val="en-CA"/>
              </w:rPr>
              <w:t>982.1</w:t>
            </w:r>
            <w:r w:rsidR="0061596A" w:rsidRPr="00C44B3A">
              <w:rPr>
                <w:sz w:val="19"/>
                <w:szCs w:val="19"/>
                <w:lang w:val="en-CA"/>
              </w:rPr>
              <w:t>0</w:t>
            </w:r>
          </w:p>
        </w:tc>
        <w:tc>
          <w:tcPr>
            <w:tcW w:w="843" w:type="dxa"/>
            <w:vAlign w:val="center"/>
          </w:tcPr>
          <w:p w14:paraId="24AFD3BE" w14:textId="7EBDFC74" w:rsidR="00BE15C5" w:rsidRPr="00C44B3A" w:rsidRDefault="00BE15C5" w:rsidP="00784365">
            <w:pPr>
              <w:pStyle w:val="ExhibitText"/>
              <w:jc w:val="right"/>
              <w:rPr>
                <w:sz w:val="19"/>
                <w:szCs w:val="19"/>
                <w:lang w:val="en-CA"/>
              </w:rPr>
            </w:pPr>
            <w:r w:rsidRPr="00C44B3A">
              <w:rPr>
                <w:sz w:val="19"/>
                <w:szCs w:val="19"/>
                <w:lang w:val="en-CA"/>
              </w:rPr>
              <w:t>1</w:t>
            </w:r>
            <w:r w:rsidR="0061596A" w:rsidRPr="00C44B3A">
              <w:rPr>
                <w:sz w:val="19"/>
                <w:szCs w:val="19"/>
                <w:lang w:val="en-CA"/>
              </w:rPr>
              <w:t>,</w:t>
            </w:r>
            <w:r w:rsidRPr="00C44B3A">
              <w:rPr>
                <w:sz w:val="19"/>
                <w:szCs w:val="19"/>
                <w:lang w:val="en-CA"/>
              </w:rPr>
              <w:t>030</w:t>
            </w:r>
            <w:r w:rsidR="00784365" w:rsidRPr="00C44B3A">
              <w:rPr>
                <w:sz w:val="19"/>
                <w:szCs w:val="19"/>
                <w:lang w:val="en-CA"/>
              </w:rPr>
              <w:t>.0</w:t>
            </w:r>
            <w:r w:rsidR="0061596A" w:rsidRPr="00C44B3A">
              <w:rPr>
                <w:sz w:val="19"/>
                <w:szCs w:val="19"/>
                <w:lang w:val="en-CA"/>
              </w:rPr>
              <w:t>0</w:t>
            </w:r>
          </w:p>
        </w:tc>
      </w:tr>
      <w:tr w:rsidR="00BE15C5" w:rsidRPr="00C44B3A" w14:paraId="0BB87DB0" w14:textId="77777777" w:rsidTr="00072A46">
        <w:trPr>
          <w:jc w:val="center"/>
        </w:trPr>
        <w:tc>
          <w:tcPr>
            <w:tcW w:w="3697" w:type="dxa"/>
            <w:vAlign w:val="center"/>
          </w:tcPr>
          <w:p w14:paraId="23DA5459" w14:textId="7594BDE2" w:rsidR="00BE15C5" w:rsidRPr="00C44B3A" w:rsidRDefault="00784365" w:rsidP="00784365">
            <w:pPr>
              <w:pStyle w:val="ExhibitText"/>
              <w:jc w:val="left"/>
              <w:rPr>
                <w:sz w:val="19"/>
                <w:szCs w:val="19"/>
                <w:lang w:val="en-CA"/>
              </w:rPr>
            </w:pPr>
            <w:r w:rsidRPr="00C44B3A">
              <w:rPr>
                <w:sz w:val="19"/>
                <w:szCs w:val="19"/>
                <w:lang w:val="en-CA"/>
              </w:rPr>
              <w:t>Net Property, Plant</w:t>
            </w:r>
            <w:r w:rsidR="00D45E9A" w:rsidRPr="00C44B3A">
              <w:rPr>
                <w:sz w:val="19"/>
                <w:szCs w:val="19"/>
                <w:lang w:val="en-CA"/>
              </w:rPr>
              <w:t>,</w:t>
            </w:r>
            <w:r w:rsidRPr="00C44B3A">
              <w:rPr>
                <w:sz w:val="19"/>
                <w:szCs w:val="19"/>
                <w:lang w:val="en-CA"/>
              </w:rPr>
              <w:t xml:space="preserve"> &amp; Equipment</w:t>
            </w:r>
          </w:p>
        </w:tc>
        <w:tc>
          <w:tcPr>
            <w:tcW w:w="896" w:type="dxa"/>
            <w:vAlign w:val="center"/>
          </w:tcPr>
          <w:p w14:paraId="09E2AB68" w14:textId="43B82423" w:rsidR="00BE15C5" w:rsidRPr="00C44B3A" w:rsidRDefault="00BE15C5" w:rsidP="00784365">
            <w:pPr>
              <w:pStyle w:val="ExhibitText"/>
              <w:jc w:val="right"/>
              <w:rPr>
                <w:sz w:val="19"/>
                <w:szCs w:val="19"/>
                <w:lang w:val="en-CA"/>
              </w:rPr>
            </w:pPr>
            <w:r w:rsidRPr="00C44B3A">
              <w:rPr>
                <w:sz w:val="19"/>
                <w:szCs w:val="19"/>
                <w:lang w:val="en-CA"/>
              </w:rPr>
              <w:t>41.8</w:t>
            </w:r>
            <w:r w:rsidR="0061596A" w:rsidRPr="00C44B3A">
              <w:rPr>
                <w:sz w:val="19"/>
                <w:szCs w:val="19"/>
                <w:lang w:val="en-CA"/>
              </w:rPr>
              <w:t>0</w:t>
            </w:r>
          </w:p>
        </w:tc>
        <w:tc>
          <w:tcPr>
            <w:tcW w:w="858" w:type="dxa"/>
            <w:vAlign w:val="center"/>
          </w:tcPr>
          <w:p w14:paraId="57D67CC9" w14:textId="273FB3B0" w:rsidR="00BE15C5" w:rsidRPr="00C44B3A" w:rsidRDefault="00BE15C5" w:rsidP="00784365">
            <w:pPr>
              <w:pStyle w:val="ExhibitText"/>
              <w:jc w:val="right"/>
              <w:rPr>
                <w:sz w:val="19"/>
                <w:szCs w:val="19"/>
                <w:lang w:val="en-CA"/>
              </w:rPr>
            </w:pPr>
            <w:r w:rsidRPr="00C44B3A">
              <w:rPr>
                <w:sz w:val="19"/>
                <w:szCs w:val="19"/>
                <w:lang w:val="en-CA"/>
              </w:rPr>
              <w:t>68.9</w:t>
            </w:r>
            <w:r w:rsidR="0061596A" w:rsidRPr="00C44B3A">
              <w:rPr>
                <w:sz w:val="19"/>
                <w:szCs w:val="19"/>
                <w:lang w:val="en-CA"/>
              </w:rPr>
              <w:t>0</w:t>
            </w:r>
          </w:p>
        </w:tc>
        <w:tc>
          <w:tcPr>
            <w:tcW w:w="858" w:type="dxa"/>
            <w:vAlign w:val="center"/>
          </w:tcPr>
          <w:p w14:paraId="5A7E1A36" w14:textId="7607A989" w:rsidR="00BE15C5" w:rsidRPr="00C44B3A" w:rsidRDefault="00BE15C5" w:rsidP="00784365">
            <w:pPr>
              <w:pStyle w:val="ExhibitText"/>
              <w:jc w:val="right"/>
              <w:rPr>
                <w:sz w:val="19"/>
                <w:szCs w:val="19"/>
                <w:lang w:val="en-CA"/>
              </w:rPr>
            </w:pPr>
            <w:r w:rsidRPr="00C44B3A">
              <w:rPr>
                <w:sz w:val="19"/>
                <w:szCs w:val="19"/>
                <w:lang w:val="en-CA"/>
              </w:rPr>
              <w:t>73.9</w:t>
            </w:r>
            <w:r w:rsidR="0061596A" w:rsidRPr="00C44B3A">
              <w:rPr>
                <w:sz w:val="19"/>
                <w:szCs w:val="19"/>
                <w:lang w:val="en-CA"/>
              </w:rPr>
              <w:t>0</w:t>
            </w:r>
          </w:p>
        </w:tc>
        <w:tc>
          <w:tcPr>
            <w:tcW w:w="858" w:type="dxa"/>
            <w:vAlign w:val="center"/>
          </w:tcPr>
          <w:p w14:paraId="32C078BD" w14:textId="5367824A" w:rsidR="00BE15C5" w:rsidRPr="00C44B3A" w:rsidRDefault="00BE15C5" w:rsidP="00784365">
            <w:pPr>
              <w:pStyle w:val="ExhibitText"/>
              <w:jc w:val="right"/>
              <w:rPr>
                <w:sz w:val="19"/>
                <w:szCs w:val="19"/>
                <w:lang w:val="en-CA"/>
              </w:rPr>
            </w:pPr>
            <w:r w:rsidRPr="00C44B3A">
              <w:rPr>
                <w:sz w:val="19"/>
                <w:szCs w:val="19"/>
                <w:lang w:val="en-CA"/>
              </w:rPr>
              <w:t>183.9</w:t>
            </w:r>
            <w:r w:rsidR="0061596A" w:rsidRPr="00C44B3A">
              <w:rPr>
                <w:sz w:val="19"/>
                <w:szCs w:val="19"/>
                <w:lang w:val="en-CA"/>
              </w:rPr>
              <w:t>0</w:t>
            </w:r>
          </w:p>
        </w:tc>
        <w:tc>
          <w:tcPr>
            <w:tcW w:w="843" w:type="dxa"/>
            <w:vAlign w:val="center"/>
          </w:tcPr>
          <w:p w14:paraId="1CE4AC73" w14:textId="598AEF64" w:rsidR="00BE15C5" w:rsidRPr="00C44B3A" w:rsidRDefault="00BE15C5" w:rsidP="00784365">
            <w:pPr>
              <w:pStyle w:val="ExhibitText"/>
              <w:jc w:val="right"/>
              <w:rPr>
                <w:sz w:val="19"/>
                <w:szCs w:val="19"/>
                <w:lang w:val="en-CA"/>
              </w:rPr>
            </w:pPr>
            <w:r w:rsidRPr="00C44B3A">
              <w:rPr>
                <w:sz w:val="19"/>
                <w:szCs w:val="19"/>
                <w:lang w:val="en-CA"/>
              </w:rPr>
              <w:t>176.5</w:t>
            </w:r>
            <w:r w:rsidR="0061596A" w:rsidRPr="00C44B3A">
              <w:rPr>
                <w:sz w:val="19"/>
                <w:szCs w:val="19"/>
                <w:lang w:val="en-CA"/>
              </w:rPr>
              <w:t>0</w:t>
            </w:r>
          </w:p>
        </w:tc>
      </w:tr>
      <w:tr w:rsidR="00BE15C5" w:rsidRPr="00C44B3A" w14:paraId="6A52D439" w14:textId="77777777" w:rsidTr="00072A46">
        <w:trPr>
          <w:jc w:val="center"/>
        </w:trPr>
        <w:tc>
          <w:tcPr>
            <w:tcW w:w="3697" w:type="dxa"/>
            <w:vAlign w:val="center"/>
          </w:tcPr>
          <w:p w14:paraId="3FBA8E79" w14:textId="77777777" w:rsidR="00BE15C5" w:rsidRPr="00C44B3A" w:rsidRDefault="00784365" w:rsidP="00784365">
            <w:pPr>
              <w:pStyle w:val="ExhibitText"/>
              <w:jc w:val="left"/>
              <w:rPr>
                <w:sz w:val="19"/>
                <w:szCs w:val="19"/>
                <w:lang w:val="en-CA"/>
              </w:rPr>
            </w:pPr>
            <w:r w:rsidRPr="00C44B3A">
              <w:rPr>
                <w:sz w:val="19"/>
                <w:szCs w:val="19"/>
                <w:lang w:val="en-CA"/>
              </w:rPr>
              <w:t>Intangible Assets</w:t>
            </w:r>
          </w:p>
        </w:tc>
        <w:tc>
          <w:tcPr>
            <w:tcW w:w="896" w:type="dxa"/>
            <w:vAlign w:val="center"/>
          </w:tcPr>
          <w:p w14:paraId="72F88102" w14:textId="62C26BD0" w:rsidR="00BE15C5" w:rsidRPr="00C44B3A" w:rsidRDefault="00BE15C5" w:rsidP="00784365">
            <w:pPr>
              <w:pStyle w:val="ExhibitText"/>
              <w:jc w:val="right"/>
              <w:rPr>
                <w:sz w:val="19"/>
                <w:szCs w:val="19"/>
                <w:lang w:val="en-CA"/>
              </w:rPr>
            </w:pPr>
            <w:r w:rsidRPr="00C44B3A">
              <w:rPr>
                <w:sz w:val="19"/>
                <w:szCs w:val="19"/>
                <w:lang w:val="en-CA"/>
              </w:rPr>
              <w:t>526.3</w:t>
            </w:r>
            <w:r w:rsidR="0061596A" w:rsidRPr="00C44B3A">
              <w:rPr>
                <w:sz w:val="19"/>
                <w:szCs w:val="19"/>
                <w:lang w:val="en-CA"/>
              </w:rPr>
              <w:t>0</w:t>
            </w:r>
          </w:p>
        </w:tc>
        <w:tc>
          <w:tcPr>
            <w:tcW w:w="858" w:type="dxa"/>
            <w:vAlign w:val="center"/>
          </w:tcPr>
          <w:p w14:paraId="427A2DC0" w14:textId="51DD23B4" w:rsidR="00BE15C5" w:rsidRPr="00C44B3A" w:rsidRDefault="00BE15C5" w:rsidP="00784365">
            <w:pPr>
              <w:pStyle w:val="ExhibitText"/>
              <w:jc w:val="right"/>
              <w:rPr>
                <w:sz w:val="19"/>
                <w:szCs w:val="19"/>
                <w:lang w:val="en-CA"/>
              </w:rPr>
            </w:pPr>
            <w:r w:rsidRPr="00C44B3A">
              <w:rPr>
                <w:sz w:val="19"/>
                <w:szCs w:val="19"/>
                <w:lang w:val="en-CA"/>
              </w:rPr>
              <w:t>604.4</w:t>
            </w:r>
            <w:r w:rsidR="0061596A" w:rsidRPr="00C44B3A">
              <w:rPr>
                <w:sz w:val="19"/>
                <w:szCs w:val="19"/>
                <w:lang w:val="en-CA"/>
              </w:rPr>
              <w:t>0</w:t>
            </w:r>
          </w:p>
        </w:tc>
        <w:tc>
          <w:tcPr>
            <w:tcW w:w="858" w:type="dxa"/>
            <w:vAlign w:val="center"/>
          </w:tcPr>
          <w:p w14:paraId="6439FAAF" w14:textId="1EFFE6C1" w:rsidR="00BE15C5" w:rsidRPr="00C44B3A" w:rsidRDefault="00BE15C5" w:rsidP="00784365">
            <w:pPr>
              <w:pStyle w:val="ExhibitText"/>
              <w:jc w:val="right"/>
              <w:rPr>
                <w:sz w:val="19"/>
                <w:szCs w:val="19"/>
                <w:lang w:val="en-CA"/>
              </w:rPr>
            </w:pPr>
            <w:r w:rsidRPr="00C44B3A">
              <w:rPr>
                <w:sz w:val="19"/>
                <w:szCs w:val="19"/>
                <w:lang w:val="en-CA"/>
              </w:rPr>
              <w:t>630.6</w:t>
            </w:r>
            <w:r w:rsidR="0061596A" w:rsidRPr="00C44B3A">
              <w:rPr>
                <w:sz w:val="19"/>
                <w:szCs w:val="19"/>
                <w:lang w:val="en-CA"/>
              </w:rPr>
              <w:t>0</w:t>
            </w:r>
          </w:p>
        </w:tc>
        <w:tc>
          <w:tcPr>
            <w:tcW w:w="858" w:type="dxa"/>
            <w:vAlign w:val="center"/>
          </w:tcPr>
          <w:p w14:paraId="1F5306E9" w14:textId="44FE2FBE" w:rsidR="00BE15C5" w:rsidRPr="00C44B3A" w:rsidRDefault="00BE15C5" w:rsidP="00784365">
            <w:pPr>
              <w:pStyle w:val="ExhibitText"/>
              <w:jc w:val="right"/>
              <w:rPr>
                <w:sz w:val="19"/>
                <w:szCs w:val="19"/>
                <w:lang w:val="en-CA"/>
              </w:rPr>
            </w:pPr>
            <w:r w:rsidRPr="00C44B3A">
              <w:rPr>
                <w:sz w:val="19"/>
                <w:szCs w:val="19"/>
                <w:lang w:val="en-CA"/>
              </w:rPr>
              <w:t>1</w:t>
            </w:r>
            <w:r w:rsidR="0061596A" w:rsidRPr="00C44B3A">
              <w:rPr>
                <w:sz w:val="19"/>
                <w:szCs w:val="19"/>
                <w:lang w:val="en-CA"/>
              </w:rPr>
              <w:t>,</w:t>
            </w:r>
            <w:r w:rsidRPr="00C44B3A">
              <w:rPr>
                <w:sz w:val="19"/>
                <w:szCs w:val="19"/>
                <w:lang w:val="en-CA"/>
              </w:rPr>
              <w:t>280</w:t>
            </w:r>
            <w:r w:rsidR="00784365" w:rsidRPr="00C44B3A">
              <w:rPr>
                <w:sz w:val="19"/>
                <w:szCs w:val="19"/>
                <w:lang w:val="en-CA"/>
              </w:rPr>
              <w:t>.0</w:t>
            </w:r>
            <w:r w:rsidR="0061596A" w:rsidRPr="00C44B3A">
              <w:rPr>
                <w:sz w:val="19"/>
                <w:szCs w:val="19"/>
                <w:lang w:val="en-CA"/>
              </w:rPr>
              <w:t>0</w:t>
            </w:r>
          </w:p>
        </w:tc>
        <w:tc>
          <w:tcPr>
            <w:tcW w:w="843" w:type="dxa"/>
            <w:vAlign w:val="center"/>
          </w:tcPr>
          <w:p w14:paraId="4F3CCB5F" w14:textId="420EB5E8" w:rsidR="00BE15C5" w:rsidRPr="00C44B3A" w:rsidRDefault="00BE15C5" w:rsidP="00784365">
            <w:pPr>
              <w:pStyle w:val="ExhibitText"/>
              <w:jc w:val="right"/>
              <w:rPr>
                <w:sz w:val="19"/>
                <w:szCs w:val="19"/>
                <w:lang w:val="en-CA"/>
              </w:rPr>
            </w:pPr>
            <w:r w:rsidRPr="00C44B3A">
              <w:rPr>
                <w:sz w:val="19"/>
                <w:szCs w:val="19"/>
                <w:lang w:val="en-CA"/>
              </w:rPr>
              <w:t>1</w:t>
            </w:r>
            <w:r w:rsidR="0061596A" w:rsidRPr="00C44B3A">
              <w:rPr>
                <w:sz w:val="19"/>
                <w:szCs w:val="19"/>
                <w:lang w:val="en-CA"/>
              </w:rPr>
              <w:t>,</w:t>
            </w:r>
            <w:r w:rsidRPr="00C44B3A">
              <w:rPr>
                <w:sz w:val="19"/>
                <w:szCs w:val="19"/>
                <w:lang w:val="en-CA"/>
              </w:rPr>
              <w:t>200</w:t>
            </w:r>
            <w:r w:rsidR="00784365" w:rsidRPr="00C44B3A">
              <w:rPr>
                <w:sz w:val="19"/>
                <w:szCs w:val="19"/>
                <w:lang w:val="en-CA"/>
              </w:rPr>
              <w:t>.0</w:t>
            </w:r>
            <w:r w:rsidR="0061596A" w:rsidRPr="00C44B3A">
              <w:rPr>
                <w:sz w:val="19"/>
                <w:szCs w:val="19"/>
                <w:lang w:val="en-CA"/>
              </w:rPr>
              <w:t>0</w:t>
            </w:r>
          </w:p>
        </w:tc>
      </w:tr>
      <w:tr w:rsidR="00BE15C5" w:rsidRPr="00C44B3A" w14:paraId="591B8950" w14:textId="77777777" w:rsidTr="00072A46">
        <w:trPr>
          <w:jc w:val="center"/>
        </w:trPr>
        <w:tc>
          <w:tcPr>
            <w:tcW w:w="3697" w:type="dxa"/>
            <w:vAlign w:val="center"/>
          </w:tcPr>
          <w:p w14:paraId="06A49150" w14:textId="77777777" w:rsidR="00BE15C5" w:rsidRPr="00C44B3A" w:rsidRDefault="00784365" w:rsidP="00784365">
            <w:pPr>
              <w:pStyle w:val="ExhibitText"/>
              <w:jc w:val="left"/>
              <w:rPr>
                <w:sz w:val="19"/>
                <w:szCs w:val="19"/>
                <w:lang w:val="en-CA"/>
              </w:rPr>
            </w:pPr>
            <w:r w:rsidRPr="00C44B3A">
              <w:rPr>
                <w:sz w:val="19"/>
                <w:szCs w:val="19"/>
                <w:lang w:val="en-CA"/>
              </w:rPr>
              <w:t>Total Assets</w:t>
            </w:r>
          </w:p>
        </w:tc>
        <w:tc>
          <w:tcPr>
            <w:tcW w:w="896" w:type="dxa"/>
            <w:vAlign w:val="center"/>
          </w:tcPr>
          <w:p w14:paraId="72674E2D" w14:textId="57AF0345" w:rsidR="00BE15C5" w:rsidRPr="00C44B3A" w:rsidRDefault="00BE15C5" w:rsidP="00784365">
            <w:pPr>
              <w:pStyle w:val="ExhibitText"/>
              <w:jc w:val="right"/>
              <w:rPr>
                <w:sz w:val="19"/>
                <w:szCs w:val="19"/>
                <w:lang w:val="en-CA"/>
              </w:rPr>
            </w:pPr>
            <w:r w:rsidRPr="00C44B3A">
              <w:rPr>
                <w:sz w:val="19"/>
                <w:szCs w:val="19"/>
                <w:lang w:val="en-CA"/>
              </w:rPr>
              <w:t>893.4</w:t>
            </w:r>
            <w:r w:rsidR="0061596A" w:rsidRPr="00C44B3A">
              <w:rPr>
                <w:sz w:val="19"/>
                <w:szCs w:val="19"/>
                <w:lang w:val="en-CA"/>
              </w:rPr>
              <w:t>0</w:t>
            </w:r>
          </w:p>
        </w:tc>
        <w:tc>
          <w:tcPr>
            <w:tcW w:w="858" w:type="dxa"/>
            <w:vAlign w:val="center"/>
          </w:tcPr>
          <w:p w14:paraId="002F0352" w14:textId="2BAF9625" w:rsidR="00BE15C5" w:rsidRPr="00C44B3A" w:rsidRDefault="00BE15C5" w:rsidP="00784365">
            <w:pPr>
              <w:pStyle w:val="ExhibitText"/>
              <w:jc w:val="right"/>
              <w:rPr>
                <w:sz w:val="19"/>
                <w:szCs w:val="19"/>
                <w:lang w:val="en-CA"/>
              </w:rPr>
            </w:pPr>
            <w:r w:rsidRPr="00C44B3A">
              <w:rPr>
                <w:sz w:val="19"/>
                <w:szCs w:val="19"/>
                <w:lang w:val="en-CA"/>
              </w:rPr>
              <w:t>1</w:t>
            </w:r>
            <w:r w:rsidR="00EF31AF" w:rsidRPr="00C44B3A">
              <w:rPr>
                <w:sz w:val="19"/>
                <w:szCs w:val="19"/>
                <w:lang w:val="en-CA"/>
              </w:rPr>
              <w:t>,</w:t>
            </w:r>
            <w:r w:rsidRPr="00C44B3A">
              <w:rPr>
                <w:sz w:val="19"/>
                <w:szCs w:val="19"/>
                <w:lang w:val="en-CA"/>
              </w:rPr>
              <w:t>210</w:t>
            </w:r>
            <w:r w:rsidR="00784365" w:rsidRPr="00C44B3A">
              <w:rPr>
                <w:sz w:val="19"/>
                <w:szCs w:val="19"/>
                <w:lang w:val="en-CA"/>
              </w:rPr>
              <w:t>.0</w:t>
            </w:r>
            <w:r w:rsidR="0061596A" w:rsidRPr="00C44B3A">
              <w:rPr>
                <w:sz w:val="19"/>
                <w:szCs w:val="19"/>
                <w:lang w:val="en-CA"/>
              </w:rPr>
              <w:t>0</w:t>
            </w:r>
          </w:p>
        </w:tc>
        <w:tc>
          <w:tcPr>
            <w:tcW w:w="858" w:type="dxa"/>
            <w:vAlign w:val="center"/>
          </w:tcPr>
          <w:p w14:paraId="269F14B7" w14:textId="5A4448DD" w:rsidR="00BE15C5" w:rsidRPr="00C44B3A" w:rsidRDefault="00BE15C5" w:rsidP="00784365">
            <w:pPr>
              <w:pStyle w:val="ExhibitText"/>
              <w:jc w:val="right"/>
              <w:rPr>
                <w:sz w:val="19"/>
                <w:szCs w:val="19"/>
                <w:lang w:val="en-CA"/>
              </w:rPr>
            </w:pPr>
            <w:r w:rsidRPr="00C44B3A">
              <w:rPr>
                <w:sz w:val="19"/>
                <w:szCs w:val="19"/>
                <w:lang w:val="en-CA"/>
              </w:rPr>
              <w:t>1</w:t>
            </w:r>
            <w:r w:rsidR="00EF31AF" w:rsidRPr="00C44B3A">
              <w:rPr>
                <w:sz w:val="19"/>
                <w:szCs w:val="19"/>
                <w:lang w:val="en-CA"/>
              </w:rPr>
              <w:t>,</w:t>
            </w:r>
            <w:r w:rsidRPr="00C44B3A">
              <w:rPr>
                <w:sz w:val="19"/>
                <w:szCs w:val="19"/>
                <w:lang w:val="en-CA"/>
              </w:rPr>
              <w:t>320</w:t>
            </w:r>
            <w:r w:rsidR="00784365" w:rsidRPr="00C44B3A">
              <w:rPr>
                <w:sz w:val="19"/>
                <w:szCs w:val="19"/>
                <w:lang w:val="en-CA"/>
              </w:rPr>
              <w:t>.0</w:t>
            </w:r>
            <w:r w:rsidR="0061596A" w:rsidRPr="00C44B3A">
              <w:rPr>
                <w:sz w:val="19"/>
                <w:szCs w:val="19"/>
                <w:lang w:val="en-CA"/>
              </w:rPr>
              <w:t>0</w:t>
            </w:r>
          </w:p>
        </w:tc>
        <w:tc>
          <w:tcPr>
            <w:tcW w:w="858" w:type="dxa"/>
            <w:vAlign w:val="center"/>
          </w:tcPr>
          <w:p w14:paraId="3FEA859A" w14:textId="667A6436" w:rsidR="00BE15C5" w:rsidRPr="00C44B3A" w:rsidRDefault="00BE15C5" w:rsidP="00784365">
            <w:pPr>
              <w:pStyle w:val="ExhibitText"/>
              <w:jc w:val="right"/>
              <w:rPr>
                <w:sz w:val="19"/>
                <w:szCs w:val="19"/>
                <w:lang w:val="en-CA"/>
              </w:rPr>
            </w:pPr>
            <w:r w:rsidRPr="00C44B3A">
              <w:rPr>
                <w:sz w:val="19"/>
                <w:szCs w:val="19"/>
                <w:lang w:val="en-CA"/>
              </w:rPr>
              <w:t>2</w:t>
            </w:r>
            <w:r w:rsidR="00EF31AF" w:rsidRPr="00C44B3A">
              <w:rPr>
                <w:sz w:val="19"/>
                <w:szCs w:val="19"/>
                <w:lang w:val="en-CA"/>
              </w:rPr>
              <w:t>,</w:t>
            </w:r>
            <w:r w:rsidRPr="00C44B3A">
              <w:rPr>
                <w:sz w:val="19"/>
                <w:szCs w:val="19"/>
                <w:lang w:val="en-CA"/>
              </w:rPr>
              <w:t>460</w:t>
            </w:r>
            <w:r w:rsidR="00784365" w:rsidRPr="00C44B3A">
              <w:rPr>
                <w:sz w:val="19"/>
                <w:szCs w:val="19"/>
                <w:lang w:val="en-CA"/>
              </w:rPr>
              <w:t>.0</w:t>
            </w:r>
            <w:r w:rsidR="0061596A" w:rsidRPr="00C44B3A">
              <w:rPr>
                <w:sz w:val="19"/>
                <w:szCs w:val="19"/>
                <w:lang w:val="en-CA"/>
              </w:rPr>
              <w:t>0</w:t>
            </w:r>
          </w:p>
        </w:tc>
        <w:tc>
          <w:tcPr>
            <w:tcW w:w="843" w:type="dxa"/>
            <w:vAlign w:val="center"/>
          </w:tcPr>
          <w:p w14:paraId="231433FF" w14:textId="4965524F" w:rsidR="00BE15C5" w:rsidRPr="00C44B3A" w:rsidRDefault="00BE15C5" w:rsidP="00784365">
            <w:pPr>
              <w:pStyle w:val="ExhibitText"/>
              <w:jc w:val="right"/>
              <w:rPr>
                <w:sz w:val="19"/>
                <w:szCs w:val="19"/>
                <w:lang w:val="en-CA"/>
              </w:rPr>
            </w:pPr>
            <w:r w:rsidRPr="00C44B3A">
              <w:rPr>
                <w:sz w:val="19"/>
                <w:szCs w:val="19"/>
                <w:lang w:val="en-CA"/>
              </w:rPr>
              <w:t>2</w:t>
            </w:r>
            <w:r w:rsidR="00EF31AF" w:rsidRPr="00C44B3A">
              <w:rPr>
                <w:sz w:val="19"/>
                <w:szCs w:val="19"/>
                <w:lang w:val="en-CA"/>
              </w:rPr>
              <w:t>,</w:t>
            </w:r>
            <w:r w:rsidRPr="00C44B3A">
              <w:rPr>
                <w:sz w:val="19"/>
                <w:szCs w:val="19"/>
                <w:lang w:val="en-CA"/>
              </w:rPr>
              <w:t>440</w:t>
            </w:r>
            <w:r w:rsidR="00784365" w:rsidRPr="00C44B3A">
              <w:rPr>
                <w:sz w:val="19"/>
                <w:szCs w:val="19"/>
                <w:lang w:val="en-CA"/>
              </w:rPr>
              <w:t>.0</w:t>
            </w:r>
            <w:r w:rsidR="0061596A" w:rsidRPr="00C44B3A">
              <w:rPr>
                <w:sz w:val="19"/>
                <w:szCs w:val="19"/>
                <w:lang w:val="en-CA"/>
              </w:rPr>
              <w:t>0</w:t>
            </w:r>
          </w:p>
        </w:tc>
      </w:tr>
      <w:tr w:rsidR="00784365" w:rsidRPr="00C44B3A" w14:paraId="275D6054" w14:textId="77777777" w:rsidTr="00072A46">
        <w:trPr>
          <w:jc w:val="center"/>
        </w:trPr>
        <w:tc>
          <w:tcPr>
            <w:tcW w:w="8010" w:type="dxa"/>
            <w:gridSpan w:val="6"/>
            <w:vAlign w:val="center"/>
          </w:tcPr>
          <w:p w14:paraId="106FAD70" w14:textId="77777777" w:rsidR="00784365" w:rsidRPr="00C44B3A" w:rsidRDefault="00784365" w:rsidP="00784365">
            <w:pPr>
              <w:pStyle w:val="ExhibitText"/>
              <w:jc w:val="left"/>
              <w:rPr>
                <w:b/>
                <w:sz w:val="19"/>
                <w:szCs w:val="19"/>
                <w:lang w:val="en-CA"/>
              </w:rPr>
            </w:pPr>
            <w:r w:rsidRPr="00C44B3A">
              <w:rPr>
                <w:b/>
                <w:sz w:val="19"/>
                <w:szCs w:val="19"/>
                <w:lang w:val="en-CA"/>
              </w:rPr>
              <w:t>Liabilities &amp; Equity</w:t>
            </w:r>
          </w:p>
        </w:tc>
      </w:tr>
      <w:tr w:rsidR="00BE15C5" w:rsidRPr="00C44B3A" w14:paraId="60FFC564" w14:textId="77777777" w:rsidTr="00072A46">
        <w:trPr>
          <w:jc w:val="center"/>
        </w:trPr>
        <w:tc>
          <w:tcPr>
            <w:tcW w:w="3697" w:type="dxa"/>
            <w:vAlign w:val="center"/>
          </w:tcPr>
          <w:p w14:paraId="44454AA9" w14:textId="77777777" w:rsidR="00BE15C5" w:rsidRPr="00C44B3A" w:rsidRDefault="00784365" w:rsidP="00784365">
            <w:pPr>
              <w:pStyle w:val="ExhibitText"/>
              <w:jc w:val="left"/>
              <w:rPr>
                <w:sz w:val="19"/>
                <w:szCs w:val="19"/>
                <w:lang w:val="en-CA"/>
              </w:rPr>
            </w:pPr>
            <w:r w:rsidRPr="00C44B3A">
              <w:rPr>
                <w:sz w:val="19"/>
                <w:szCs w:val="19"/>
                <w:lang w:val="en-CA"/>
              </w:rPr>
              <w:t>Accounts Payable</w:t>
            </w:r>
          </w:p>
        </w:tc>
        <w:tc>
          <w:tcPr>
            <w:tcW w:w="896" w:type="dxa"/>
            <w:vAlign w:val="center"/>
          </w:tcPr>
          <w:p w14:paraId="314E0E8F" w14:textId="6BD317B3" w:rsidR="00BE15C5" w:rsidRPr="00C44B3A" w:rsidRDefault="00BE15C5" w:rsidP="00784365">
            <w:pPr>
              <w:pStyle w:val="ExhibitText"/>
              <w:jc w:val="right"/>
              <w:rPr>
                <w:sz w:val="19"/>
                <w:szCs w:val="19"/>
                <w:lang w:val="en-CA"/>
              </w:rPr>
            </w:pPr>
            <w:r w:rsidRPr="00C44B3A">
              <w:rPr>
                <w:sz w:val="19"/>
                <w:szCs w:val="19"/>
                <w:lang w:val="en-CA"/>
              </w:rPr>
              <w:t>149.4</w:t>
            </w:r>
            <w:r w:rsidR="0061596A" w:rsidRPr="00C44B3A">
              <w:rPr>
                <w:sz w:val="19"/>
                <w:szCs w:val="19"/>
                <w:lang w:val="en-CA"/>
              </w:rPr>
              <w:t>0</w:t>
            </w:r>
          </w:p>
        </w:tc>
        <w:tc>
          <w:tcPr>
            <w:tcW w:w="858" w:type="dxa"/>
            <w:vAlign w:val="center"/>
          </w:tcPr>
          <w:p w14:paraId="1A9163A3" w14:textId="434C93E9" w:rsidR="00BE15C5" w:rsidRPr="00C44B3A" w:rsidRDefault="00BE15C5" w:rsidP="00784365">
            <w:pPr>
              <w:pStyle w:val="ExhibitText"/>
              <w:jc w:val="right"/>
              <w:rPr>
                <w:sz w:val="19"/>
                <w:szCs w:val="19"/>
                <w:lang w:val="en-CA"/>
              </w:rPr>
            </w:pPr>
            <w:r w:rsidRPr="00C44B3A">
              <w:rPr>
                <w:sz w:val="19"/>
                <w:szCs w:val="19"/>
                <w:lang w:val="en-CA"/>
              </w:rPr>
              <w:t>226.1</w:t>
            </w:r>
            <w:r w:rsidR="0061596A" w:rsidRPr="00C44B3A">
              <w:rPr>
                <w:sz w:val="19"/>
                <w:szCs w:val="19"/>
                <w:lang w:val="en-CA"/>
              </w:rPr>
              <w:t>0</w:t>
            </w:r>
          </w:p>
        </w:tc>
        <w:tc>
          <w:tcPr>
            <w:tcW w:w="858" w:type="dxa"/>
            <w:vAlign w:val="center"/>
          </w:tcPr>
          <w:p w14:paraId="56A815F7" w14:textId="1E0BBC89" w:rsidR="00BE15C5" w:rsidRPr="00C44B3A" w:rsidRDefault="00BE15C5" w:rsidP="00784365">
            <w:pPr>
              <w:pStyle w:val="ExhibitText"/>
              <w:jc w:val="right"/>
              <w:rPr>
                <w:sz w:val="19"/>
                <w:szCs w:val="19"/>
                <w:lang w:val="en-CA"/>
              </w:rPr>
            </w:pPr>
            <w:r w:rsidRPr="00C44B3A">
              <w:rPr>
                <w:sz w:val="19"/>
                <w:szCs w:val="19"/>
                <w:lang w:val="en-CA"/>
              </w:rPr>
              <w:t>269.8</w:t>
            </w:r>
            <w:r w:rsidR="0061596A" w:rsidRPr="00C44B3A">
              <w:rPr>
                <w:sz w:val="19"/>
                <w:szCs w:val="19"/>
                <w:lang w:val="en-CA"/>
              </w:rPr>
              <w:t>0</w:t>
            </w:r>
          </w:p>
        </w:tc>
        <w:tc>
          <w:tcPr>
            <w:tcW w:w="858" w:type="dxa"/>
            <w:vAlign w:val="center"/>
          </w:tcPr>
          <w:p w14:paraId="095F95F3" w14:textId="37BE63E9" w:rsidR="00BE15C5" w:rsidRPr="00C44B3A" w:rsidRDefault="00BE15C5" w:rsidP="00784365">
            <w:pPr>
              <w:pStyle w:val="ExhibitText"/>
              <w:jc w:val="right"/>
              <w:rPr>
                <w:sz w:val="19"/>
                <w:szCs w:val="19"/>
                <w:lang w:val="en-CA"/>
              </w:rPr>
            </w:pPr>
            <w:r w:rsidRPr="00C44B3A">
              <w:rPr>
                <w:sz w:val="19"/>
                <w:szCs w:val="19"/>
                <w:lang w:val="en-CA"/>
              </w:rPr>
              <w:t>379.1</w:t>
            </w:r>
            <w:r w:rsidR="0061596A" w:rsidRPr="00C44B3A">
              <w:rPr>
                <w:sz w:val="19"/>
                <w:szCs w:val="19"/>
                <w:lang w:val="en-CA"/>
              </w:rPr>
              <w:t>0</w:t>
            </w:r>
          </w:p>
        </w:tc>
        <w:tc>
          <w:tcPr>
            <w:tcW w:w="843" w:type="dxa"/>
            <w:vAlign w:val="center"/>
          </w:tcPr>
          <w:p w14:paraId="3308505D" w14:textId="4F13700C" w:rsidR="00BE15C5" w:rsidRPr="00C44B3A" w:rsidRDefault="00BE15C5" w:rsidP="00784365">
            <w:pPr>
              <w:pStyle w:val="ExhibitText"/>
              <w:jc w:val="right"/>
              <w:rPr>
                <w:sz w:val="19"/>
                <w:szCs w:val="19"/>
                <w:lang w:val="en-CA"/>
              </w:rPr>
            </w:pPr>
            <w:r w:rsidRPr="00C44B3A">
              <w:rPr>
                <w:sz w:val="19"/>
                <w:szCs w:val="19"/>
                <w:lang w:val="en-CA"/>
              </w:rPr>
              <w:t>431</w:t>
            </w:r>
            <w:r w:rsidR="00784365" w:rsidRPr="00C44B3A">
              <w:rPr>
                <w:sz w:val="19"/>
                <w:szCs w:val="19"/>
                <w:lang w:val="en-CA"/>
              </w:rPr>
              <w:t>.0</w:t>
            </w:r>
            <w:r w:rsidR="0061596A" w:rsidRPr="00C44B3A">
              <w:rPr>
                <w:sz w:val="19"/>
                <w:szCs w:val="19"/>
                <w:lang w:val="en-CA"/>
              </w:rPr>
              <w:t>0</w:t>
            </w:r>
          </w:p>
        </w:tc>
      </w:tr>
      <w:tr w:rsidR="00BE15C5" w:rsidRPr="00C44B3A" w14:paraId="0A44D282" w14:textId="77777777" w:rsidTr="00072A46">
        <w:trPr>
          <w:jc w:val="center"/>
        </w:trPr>
        <w:tc>
          <w:tcPr>
            <w:tcW w:w="3697" w:type="dxa"/>
            <w:vAlign w:val="center"/>
          </w:tcPr>
          <w:p w14:paraId="4F4483B7" w14:textId="43E8DA28" w:rsidR="00BE15C5" w:rsidRPr="00C44B3A" w:rsidRDefault="00BE15C5" w:rsidP="00595DAA">
            <w:pPr>
              <w:pStyle w:val="ExhibitText"/>
              <w:jc w:val="left"/>
              <w:rPr>
                <w:sz w:val="19"/>
                <w:szCs w:val="19"/>
                <w:lang w:val="en-CA"/>
              </w:rPr>
            </w:pPr>
            <w:r w:rsidRPr="00C44B3A">
              <w:rPr>
                <w:sz w:val="19"/>
                <w:szCs w:val="19"/>
                <w:lang w:val="en-CA"/>
              </w:rPr>
              <w:t xml:space="preserve">Current Portion </w:t>
            </w:r>
            <w:r w:rsidR="00D45E9A" w:rsidRPr="00C44B3A">
              <w:rPr>
                <w:sz w:val="19"/>
                <w:szCs w:val="19"/>
                <w:lang w:val="en-CA"/>
              </w:rPr>
              <w:t>o</w:t>
            </w:r>
            <w:r w:rsidR="00784365" w:rsidRPr="00C44B3A">
              <w:rPr>
                <w:sz w:val="19"/>
                <w:szCs w:val="19"/>
                <w:lang w:val="en-CA"/>
              </w:rPr>
              <w:t xml:space="preserve">f </w:t>
            </w:r>
            <w:r w:rsidRPr="00C44B3A">
              <w:rPr>
                <w:sz w:val="19"/>
                <w:szCs w:val="19"/>
                <w:lang w:val="en-CA"/>
              </w:rPr>
              <w:t>Long</w:t>
            </w:r>
            <w:r w:rsidR="00784365" w:rsidRPr="00C44B3A">
              <w:rPr>
                <w:sz w:val="19"/>
                <w:szCs w:val="19"/>
                <w:lang w:val="en-CA"/>
              </w:rPr>
              <w:t>-</w:t>
            </w:r>
            <w:r w:rsidR="00595DAA" w:rsidRPr="00C44B3A">
              <w:rPr>
                <w:sz w:val="19"/>
                <w:szCs w:val="19"/>
                <w:lang w:val="en-CA"/>
              </w:rPr>
              <w:t>t</w:t>
            </w:r>
            <w:r w:rsidRPr="00C44B3A">
              <w:rPr>
                <w:sz w:val="19"/>
                <w:szCs w:val="19"/>
                <w:lang w:val="en-CA"/>
              </w:rPr>
              <w:t>erm Debt</w:t>
            </w:r>
          </w:p>
        </w:tc>
        <w:tc>
          <w:tcPr>
            <w:tcW w:w="896" w:type="dxa"/>
            <w:vAlign w:val="center"/>
          </w:tcPr>
          <w:p w14:paraId="127DDD06" w14:textId="1C4127DD" w:rsidR="00BE15C5" w:rsidRPr="00C44B3A" w:rsidRDefault="00BE15C5" w:rsidP="00784365">
            <w:pPr>
              <w:pStyle w:val="ExhibitText"/>
              <w:jc w:val="right"/>
              <w:rPr>
                <w:sz w:val="19"/>
                <w:szCs w:val="19"/>
                <w:lang w:val="en-CA"/>
              </w:rPr>
            </w:pPr>
            <w:r w:rsidRPr="00C44B3A">
              <w:rPr>
                <w:sz w:val="19"/>
                <w:szCs w:val="19"/>
                <w:lang w:val="en-CA"/>
              </w:rPr>
              <w:t>41.7</w:t>
            </w:r>
            <w:r w:rsidR="0061596A" w:rsidRPr="00C44B3A">
              <w:rPr>
                <w:sz w:val="19"/>
                <w:szCs w:val="19"/>
                <w:lang w:val="en-CA"/>
              </w:rPr>
              <w:t>0</w:t>
            </w:r>
          </w:p>
        </w:tc>
        <w:tc>
          <w:tcPr>
            <w:tcW w:w="858" w:type="dxa"/>
            <w:vAlign w:val="center"/>
          </w:tcPr>
          <w:p w14:paraId="0194E4FB" w14:textId="0AA30A40" w:rsidR="00BE15C5" w:rsidRPr="00C44B3A" w:rsidRDefault="00BE15C5" w:rsidP="00784365">
            <w:pPr>
              <w:pStyle w:val="ExhibitText"/>
              <w:jc w:val="right"/>
              <w:rPr>
                <w:sz w:val="19"/>
                <w:szCs w:val="19"/>
                <w:lang w:val="en-CA"/>
              </w:rPr>
            </w:pPr>
            <w:r w:rsidRPr="00C44B3A">
              <w:rPr>
                <w:sz w:val="19"/>
                <w:szCs w:val="19"/>
                <w:lang w:val="en-CA"/>
              </w:rPr>
              <w:t>38.6</w:t>
            </w:r>
            <w:r w:rsidR="0061596A" w:rsidRPr="00C44B3A">
              <w:rPr>
                <w:sz w:val="19"/>
                <w:szCs w:val="19"/>
                <w:lang w:val="en-CA"/>
              </w:rPr>
              <w:t>0</w:t>
            </w:r>
          </w:p>
        </w:tc>
        <w:tc>
          <w:tcPr>
            <w:tcW w:w="858" w:type="dxa"/>
            <w:vAlign w:val="center"/>
          </w:tcPr>
          <w:p w14:paraId="482134B2" w14:textId="2BCCFF3C" w:rsidR="00BE15C5" w:rsidRPr="00C44B3A" w:rsidRDefault="00BE15C5" w:rsidP="00784365">
            <w:pPr>
              <w:pStyle w:val="ExhibitText"/>
              <w:jc w:val="right"/>
              <w:rPr>
                <w:sz w:val="19"/>
                <w:szCs w:val="19"/>
                <w:lang w:val="en-CA"/>
              </w:rPr>
            </w:pPr>
            <w:r w:rsidRPr="00C44B3A">
              <w:rPr>
                <w:sz w:val="19"/>
                <w:szCs w:val="19"/>
                <w:lang w:val="en-CA"/>
              </w:rPr>
              <w:t>48.1</w:t>
            </w:r>
            <w:r w:rsidR="0061596A" w:rsidRPr="00C44B3A">
              <w:rPr>
                <w:sz w:val="19"/>
                <w:szCs w:val="19"/>
                <w:lang w:val="en-CA"/>
              </w:rPr>
              <w:t>0</w:t>
            </w:r>
          </w:p>
        </w:tc>
        <w:tc>
          <w:tcPr>
            <w:tcW w:w="858" w:type="dxa"/>
            <w:vAlign w:val="center"/>
          </w:tcPr>
          <w:p w14:paraId="3CEF5D64" w14:textId="72686D4C" w:rsidR="00BE15C5" w:rsidRPr="00C44B3A" w:rsidRDefault="00BE15C5" w:rsidP="00784365">
            <w:pPr>
              <w:pStyle w:val="ExhibitText"/>
              <w:jc w:val="right"/>
              <w:rPr>
                <w:sz w:val="19"/>
                <w:szCs w:val="19"/>
                <w:lang w:val="en-CA"/>
              </w:rPr>
            </w:pPr>
            <w:r w:rsidRPr="00C44B3A">
              <w:rPr>
                <w:sz w:val="19"/>
                <w:szCs w:val="19"/>
                <w:lang w:val="en-CA"/>
              </w:rPr>
              <w:t>254.6</w:t>
            </w:r>
            <w:r w:rsidR="0061596A" w:rsidRPr="00C44B3A">
              <w:rPr>
                <w:sz w:val="19"/>
                <w:szCs w:val="19"/>
                <w:lang w:val="en-CA"/>
              </w:rPr>
              <w:t>0</w:t>
            </w:r>
          </w:p>
        </w:tc>
        <w:tc>
          <w:tcPr>
            <w:tcW w:w="843" w:type="dxa"/>
            <w:vAlign w:val="center"/>
          </w:tcPr>
          <w:p w14:paraId="45DEAAA2" w14:textId="2B35E7E9" w:rsidR="00BE15C5" w:rsidRPr="00C44B3A" w:rsidRDefault="00BE15C5" w:rsidP="00784365">
            <w:pPr>
              <w:pStyle w:val="ExhibitText"/>
              <w:jc w:val="right"/>
              <w:rPr>
                <w:sz w:val="19"/>
                <w:szCs w:val="19"/>
                <w:lang w:val="en-CA"/>
              </w:rPr>
            </w:pPr>
            <w:r w:rsidRPr="00C44B3A">
              <w:rPr>
                <w:sz w:val="19"/>
                <w:szCs w:val="19"/>
                <w:lang w:val="en-CA"/>
              </w:rPr>
              <w:t>119.3</w:t>
            </w:r>
            <w:r w:rsidR="0061596A" w:rsidRPr="00C44B3A">
              <w:rPr>
                <w:sz w:val="19"/>
                <w:szCs w:val="19"/>
                <w:lang w:val="en-CA"/>
              </w:rPr>
              <w:t>0</w:t>
            </w:r>
          </w:p>
        </w:tc>
      </w:tr>
      <w:tr w:rsidR="00BE15C5" w:rsidRPr="00C44B3A" w14:paraId="4FD17D89" w14:textId="77777777" w:rsidTr="00072A46">
        <w:trPr>
          <w:jc w:val="center"/>
        </w:trPr>
        <w:tc>
          <w:tcPr>
            <w:tcW w:w="3697" w:type="dxa"/>
            <w:vAlign w:val="center"/>
          </w:tcPr>
          <w:p w14:paraId="0D4C8DE9" w14:textId="77777777" w:rsidR="00BE15C5" w:rsidRPr="00C44B3A" w:rsidRDefault="00784365" w:rsidP="00784365">
            <w:pPr>
              <w:pStyle w:val="ExhibitText"/>
              <w:jc w:val="left"/>
              <w:rPr>
                <w:sz w:val="19"/>
                <w:szCs w:val="19"/>
                <w:lang w:val="en-CA"/>
              </w:rPr>
            </w:pPr>
            <w:r w:rsidRPr="00C44B3A">
              <w:rPr>
                <w:sz w:val="19"/>
                <w:szCs w:val="19"/>
                <w:lang w:val="en-CA"/>
              </w:rPr>
              <w:t>Other Current Liabilities, Total</w:t>
            </w:r>
          </w:p>
        </w:tc>
        <w:tc>
          <w:tcPr>
            <w:tcW w:w="896" w:type="dxa"/>
            <w:vAlign w:val="center"/>
          </w:tcPr>
          <w:p w14:paraId="4CECDE76" w14:textId="77777777" w:rsidR="00BE15C5" w:rsidRPr="00C44B3A" w:rsidRDefault="00BE15C5" w:rsidP="00784365">
            <w:pPr>
              <w:pStyle w:val="ExhibitText"/>
              <w:jc w:val="right"/>
              <w:rPr>
                <w:sz w:val="19"/>
                <w:szCs w:val="19"/>
                <w:lang w:val="en-CA"/>
              </w:rPr>
            </w:pPr>
            <w:r w:rsidRPr="00C44B3A">
              <w:rPr>
                <w:sz w:val="19"/>
                <w:szCs w:val="19"/>
                <w:lang w:val="en-CA"/>
              </w:rPr>
              <w:t>31.61</w:t>
            </w:r>
          </w:p>
        </w:tc>
        <w:tc>
          <w:tcPr>
            <w:tcW w:w="858" w:type="dxa"/>
            <w:vAlign w:val="center"/>
          </w:tcPr>
          <w:p w14:paraId="361F4543" w14:textId="77777777" w:rsidR="00BE15C5" w:rsidRPr="00C44B3A" w:rsidRDefault="00BE15C5" w:rsidP="00784365">
            <w:pPr>
              <w:pStyle w:val="ExhibitText"/>
              <w:jc w:val="right"/>
              <w:rPr>
                <w:sz w:val="19"/>
                <w:szCs w:val="19"/>
                <w:lang w:val="en-CA"/>
              </w:rPr>
            </w:pPr>
            <w:r w:rsidRPr="00C44B3A">
              <w:rPr>
                <w:sz w:val="19"/>
                <w:szCs w:val="19"/>
                <w:lang w:val="en-CA"/>
              </w:rPr>
              <w:t>90.17</w:t>
            </w:r>
          </w:p>
        </w:tc>
        <w:tc>
          <w:tcPr>
            <w:tcW w:w="858" w:type="dxa"/>
            <w:vAlign w:val="center"/>
          </w:tcPr>
          <w:p w14:paraId="68B0E07F" w14:textId="77777777" w:rsidR="00BE15C5" w:rsidRPr="00C44B3A" w:rsidRDefault="00BE15C5" w:rsidP="00784365">
            <w:pPr>
              <w:pStyle w:val="ExhibitText"/>
              <w:jc w:val="right"/>
              <w:rPr>
                <w:sz w:val="19"/>
                <w:szCs w:val="19"/>
                <w:lang w:val="en-CA"/>
              </w:rPr>
            </w:pPr>
            <w:r w:rsidRPr="00C44B3A">
              <w:rPr>
                <w:sz w:val="19"/>
                <w:szCs w:val="19"/>
                <w:lang w:val="en-CA"/>
              </w:rPr>
              <w:t>91.9</w:t>
            </w:r>
            <w:r w:rsidR="00784365" w:rsidRPr="00C44B3A">
              <w:rPr>
                <w:sz w:val="19"/>
                <w:szCs w:val="19"/>
                <w:lang w:val="en-CA"/>
              </w:rPr>
              <w:t>0</w:t>
            </w:r>
          </w:p>
        </w:tc>
        <w:tc>
          <w:tcPr>
            <w:tcW w:w="858" w:type="dxa"/>
            <w:vAlign w:val="center"/>
          </w:tcPr>
          <w:p w14:paraId="64A15B13" w14:textId="77777777" w:rsidR="00BE15C5" w:rsidRPr="00C44B3A" w:rsidRDefault="00BE15C5" w:rsidP="00784365">
            <w:pPr>
              <w:pStyle w:val="ExhibitText"/>
              <w:jc w:val="right"/>
              <w:rPr>
                <w:sz w:val="19"/>
                <w:szCs w:val="19"/>
                <w:lang w:val="en-CA"/>
              </w:rPr>
            </w:pPr>
            <w:r w:rsidRPr="00C44B3A">
              <w:rPr>
                <w:sz w:val="19"/>
                <w:szCs w:val="19"/>
                <w:lang w:val="en-CA"/>
              </w:rPr>
              <w:t>89</w:t>
            </w:r>
            <w:r w:rsidR="00784365" w:rsidRPr="00C44B3A">
              <w:rPr>
                <w:sz w:val="19"/>
                <w:szCs w:val="19"/>
                <w:lang w:val="en-CA"/>
              </w:rPr>
              <w:t>.00</w:t>
            </w:r>
          </w:p>
        </w:tc>
        <w:tc>
          <w:tcPr>
            <w:tcW w:w="843" w:type="dxa"/>
            <w:vAlign w:val="center"/>
          </w:tcPr>
          <w:p w14:paraId="1D2FDA2C" w14:textId="77777777" w:rsidR="00BE15C5" w:rsidRPr="00C44B3A" w:rsidRDefault="00BE15C5" w:rsidP="00784365">
            <w:pPr>
              <w:pStyle w:val="ExhibitText"/>
              <w:jc w:val="right"/>
              <w:rPr>
                <w:sz w:val="19"/>
                <w:szCs w:val="19"/>
                <w:lang w:val="en-CA"/>
              </w:rPr>
            </w:pPr>
            <w:r w:rsidRPr="00C44B3A">
              <w:rPr>
                <w:sz w:val="19"/>
                <w:szCs w:val="19"/>
                <w:lang w:val="en-CA"/>
              </w:rPr>
              <w:t>110.7</w:t>
            </w:r>
            <w:r w:rsidR="00784365" w:rsidRPr="00C44B3A">
              <w:rPr>
                <w:sz w:val="19"/>
                <w:szCs w:val="19"/>
                <w:lang w:val="en-CA"/>
              </w:rPr>
              <w:t>0</w:t>
            </w:r>
          </w:p>
        </w:tc>
      </w:tr>
      <w:tr w:rsidR="00BE15C5" w:rsidRPr="00C44B3A" w14:paraId="2F7352CC" w14:textId="77777777" w:rsidTr="00072A46">
        <w:trPr>
          <w:jc w:val="center"/>
        </w:trPr>
        <w:tc>
          <w:tcPr>
            <w:tcW w:w="3697" w:type="dxa"/>
            <w:vAlign w:val="center"/>
          </w:tcPr>
          <w:p w14:paraId="32C9C969" w14:textId="77777777" w:rsidR="00BE15C5" w:rsidRPr="00C44B3A" w:rsidRDefault="00784365" w:rsidP="00784365">
            <w:pPr>
              <w:pStyle w:val="ExhibitText"/>
              <w:jc w:val="left"/>
              <w:rPr>
                <w:sz w:val="19"/>
                <w:szCs w:val="19"/>
                <w:lang w:val="en-CA"/>
              </w:rPr>
            </w:pPr>
            <w:r w:rsidRPr="00C44B3A">
              <w:rPr>
                <w:sz w:val="19"/>
                <w:szCs w:val="19"/>
                <w:lang w:val="en-CA"/>
              </w:rPr>
              <w:t>Total Current Liabilities</w:t>
            </w:r>
          </w:p>
        </w:tc>
        <w:tc>
          <w:tcPr>
            <w:tcW w:w="896" w:type="dxa"/>
            <w:vAlign w:val="center"/>
          </w:tcPr>
          <w:p w14:paraId="0240966B" w14:textId="31162FCF" w:rsidR="00BE15C5" w:rsidRPr="00C44B3A" w:rsidRDefault="00BE15C5" w:rsidP="00784365">
            <w:pPr>
              <w:pStyle w:val="ExhibitText"/>
              <w:jc w:val="right"/>
              <w:rPr>
                <w:sz w:val="19"/>
                <w:szCs w:val="19"/>
                <w:lang w:val="en-CA"/>
              </w:rPr>
            </w:pPr>
            <w:r w:rsidRPr="00C44B3A">
              <w:rPr>
                <w:sz w:val="19"/>
                <w:szCs w:val="19"/>
                <w:lang w:val="en-CA"/>
              </w:rPr>
              <w:t>229.4</w:t>
            </w:r>
            <w:r w:rsidR="0061596A" w:rsidRPr="00C44B3A">
              <w:rPr>
                <w:sz w:val="19"/>
                <w:szCs w:val="19"/>
                <w:lang w:val="en-CA"/>
              </w:rPr>
              <w:t>0</w:t>
            </w:r>
          </w:p>
        </w:tc>
        <w:tc>
          <w:tcPr>
            <w:tcW w:w="858" w:type="dxa"/>
            <w:vAlign w:val="center"/>
          </w:tcPr>
          <w:p w14:paraId="02D72F1D" w14:textId="5949698F" w:rsidR="00BE15C5" w:rsidRPr="00C44B3A" w:rsidRDefault="00BE15C5" w:rsidP="00784365">
            <w:pPr>
              <w:pStyle w:val="ExhibitText"/>
              <w:jc w:val="right"/>
              <w:rPr>
                <w:sz w:val="19"/>
                <w:szCs w:val="19"/>
                <w:lang w:val="en-CA"/>
              </w:rPr>
            </w:pPr>
            <w:r w:rsidRPr="00C44B3A">
              <w:rPr>
                <w:sz w:val="19"/>
                <w:szCs w:val="19"/>
                <w:lang w:val="en-CA"/>
              </w:rPr>
              <w:t>355.3</w:t>
            </w:r>
            <w:r w:rsidR="0061596A" w:rsidRPr="00C44B3A">
              <w:rPr>
                <w:sz w:val="19"/>
                <w:szCs w:val="19"/>
                <w:lang w:val="en-CA"/>
              </w:rPr>
              <w:t>0</w:t>
            </w:r>
          </w:p>
        </w:tc>
        <w:tc>
          <w:tcPr>
            <w:tcW w:w="858" w:type="dxa"/>
            <w:vAlign w:val="center"/>
          </w:tcPr>
          <w:p w14:paraId="14370D68" w14:textId="48114323" w:rsidR="00BE15C5" w:rsidRPr="00C44B3A" w:rsidRDefault="00BE15C5" w:rsidP="00784365">
            <w:pPr>
              <w:pStyle w:val="ExhibitText"/>
              <w:jc w:val="right"/>
              <w:rPr>
                <w:sz w:val="19"/>
                <w:szCs w:val="19"/>
                <w:lang w:val="en-CA"/>
              </w:rPr>
            </w:pPr>
            <w:r w:rsidRPr="00C44B3A">
              <w:rPr>
                <w:sz w:val="19"/>
                <w:szCs w:val="19"/>
                <w:lang w:val="en-CA"/>
              </w:rPr>
              <w:t>416.9</w:t>
            </w:r>
            <w:r w:rsidR="0061596A" w:rsidRPr="00C44B3A">
              <w:rPr>
                <w:sz w:val="19"/>
                <w:szCs w:val="19"/>
                <w:lang w:val="en-CA"/>
              </w:rPr>
              <w:t>0</w:t>
            </w:r>
          </w:p>
        </w:tc>
        <w:tc>
          <w:tcPr>
            <w:tcW w:w="858" w:type="dxa"/>
            <w:vAlign w:val="center"/>
          </w:tcPr>
          <w:p w14:paraId="1F0A1D27" w14:textId="09FA6D9A" w:rsidR="00BE15C5" w:rsidRPr="00C44B3A" w:rsidRDefault="00BE15C5" w:rsidP="00784365">
            <w:pPr>
              <w:pStyle w:val="ExhibitText"/>
              <w:jc w:val="right"/>
              <w:rPr>
                <w:sz w:val="19"/>
                <w:szCs w:val="19"/>
                <w:lang w:val="en-CA"/>
              </w:rPr>
            </w:pPr>
            <w:r w:rsidRPr="00C44B3A">
              <w:rPr>
                <w:sz w:val="19"/>
                <w:szCs w:val="19"/>
                <w:lang w:val="en-CA"/>
              </w:rPr>
              <w:t>752.5</w:t>
            </w:r>
            <w:r w:rsidR="0061596A" w:rsidRPr="00C44B3A">
              <w:rPr>
                <w:sz w:val="19"/>
                <w:szCs w:val="19"/>
                <w:lang w:val="en-CA"/>
              </w:rPr>
              <w:t>0</w:t>
            </w:r>
          </w:p>
        </w:tc>
        <w:tc>
          <w:tcPr>
            <w:tcW w:w="843" w:type="dxa"/>
            <w:vAlign w:val="center"/>
          </w:tcPr>
          <w:p w14:paraId="620D333B" w14:textId="4E0E8D51" w:rsidR="00BE15C5" w:rsidRPr="00C44B3A" w:rsidRDefault="00BE15C5" w:rsidP="00784365">
            <w:pPr>
              <w:pStyle w:val="ExhibitText"/>
              <w:jc w:val="right"/>
              <w:rPr>
                <w:sz w:val="19"/>
                <w:szCs w:val="19"/>
                <w:lang w:val="en-CA"/>
              </w:rPr>
            </w:pPr>
            <w:r w:rsidRPr="00C44B3A">
              <w:rPr>
                <w:sz w:val="19"/>
                <w:szCs w:val="19"/>
                <w:lang w:val="en-CA"/>
              </w:rPr>
              <w:t>666</w:t>
            </w:r>
            <w:r w:rsidR="00784365" w:rsidRPr="00C44B3A">
              <w:rPr>
                <w:sz w:val="19"/>
                <w:szCs w:val="19"/>
                <w:lang w:val="en-CA"/>
              </w:rPr>
              <w:t>.0</w:t>
            </w:r>
            <w:r w:rsidR="0061596A" w:rsidRPr="00C44B3A">
              <w:rPr>
                <w:sz w:val="19"/>
                <w:szCs w:val="19"/>
                <w:lang w:val="en-CA"/>
              </w:rPr>
              <w:t>0</w:t>
            </w:r>
          </w:p>
        </w:tc>
      </w:tr>
      <w:tr w:rsidR="00BE15C5" w:rsidRPr="00C44B3A" w14:paraId="7D14E7C1" w14:textId="77777777" w:rsidTr="00072A46">
        <w:trPr>
          <w:jc w:val="center"/>
        </w:trPr>
        <w:tc>
          <w:tcPr>
            <w:tcW w:w="3697" w:type="dxa"/>
            <w:vAlign w:val="center"/>
          </w:tcPr>
          <w:p w14:paraId="763C3951" w14:textId="570614C9" w:rsidR="00BE15C5" w:rsidRPr="00C44B3A" w:rsidRDefault="00784365" w:rsidP="00D45E9A">
            <w:pPr>
              <w:pStyle w:val="ExhibitText"/>
              <w:jc w:val="left"/>
              <w:rPr>
                <w:sz w:val="19"/>
                <w:szCs w:val="19"/>
                <w:lang w:val="en-CA"/>
              </w:rPr>
            </w:pPr>
            <w:r w:rsidRPr="00C44B3A">
              <w:rPr>
                <w:sz w:val="19"/>
                <w:szCs w:val="19"/>
                <w:lang w:val="en-CA"/>
              </w:rPr>
              <w:t>Long-</w:t>
            </w:r>
            <w:r w:rsidR="00D45E9A" w:rsidRPr="00C44B3A">
              <w:rPr>
                <w:sz w:val="19"/>
                <w:szCs w:val="19"/>
                <w:lang w:val="en-CA"/>
              </w:rPr>
              <w:t>t</w:t>
            </w:r>
            <w:r w:rsidRPr="00C44B3A">
              <w:rPr>
                <w:sz w:val="19"/>
                <w:szCs w:val="19"/>
                <w:lang w:val="en-CA"/>
              </w:rPr>
              <w:t>erm Debt</w:t>
            </w:r>
          </w:p>
        </w:tc>
        <w:tc>
          <w:tcPr>
            <w:tcW w:w="896" w:type="dxa"/>
            <w:vAlign w:val="center"/>
          </w:tcPr>
          <w:p w14:paraId="7F6FD720" w14:textId="3B34F722" w:rsidR="00BE15C5" w:rsidRPr="00C44B3A" w:rsidRDefault="00BE15C5" w:rsidP="00784365">
            <w:pPr>
              <w:pStyle w:val="ExhibitText"/>
              <w:jc w:val="right"/>
              <w:rPr>
                <w:sz w:val="19"/>
                <w:szCs w:val="19"/>
                <w:lang w:val="en-CA"/>
              </w:rPr>
            </w:pPr>
            <w:r w:rsidRPr="00C44B3A">
              <w:rPr>
                <w:sz w:val="19"/>
                <w:szCs w:val="19"/>
                <w:lang w:val="en-CA"/>
              </w:rPr>
              <w:t>183.1</w:t>
            </w:r>
            <w:r w:rsidR="0061596A" w:rsidRPr="00C44B3A">
              <w:rPr>
                <w:sz w:val="19"/>
                <w:szCs w:val="19"/>
                <w:lang w:val="en-CA"/>
              </w:rPr>
              <w:t>0</w:t>
            </w:r>
          </w:p>
        </w:tc>
        <w:tc>
          <w:tcPr>
            <w:tcW w:w="858" w:type="dxa"/>
            <w:vAlign w:val="center"/>
          </w:tcPr>
          <w:p w14:paraId="009CECD3" w14:textId="7063769A" w:rsidR="00BE15C5" w:rsidRPr="00C44B3A" w:rsidRDefault="00BE15C5" w:rsidP="00784365">
            <w:pPr>
              <w:pStyle w:val="ExhibitText"/>
              <w:jc w:val="right"/>
              <w:rPr>
                <w:sz w:val="19"/>
                <w:szCs w:val="19"/>
                <w:lang w:val="en-CA"/>
              </w:rPr>
            </w:pPr>
            <w:r w:rsidRPr="00C44B3A">
              <w:rPr>
                <w:sz w:val="19"/>
                <w:szCs w:val="19"/>
                <w:lang w:val="en-CA"/>
              </w:rPr>
              <w:t>216.9</w:t>
            </w:r>
            <w:r w:rsidR="0061596A" w:rsidRPr="00C44B3A">
              <w:rPr>
                <w:sz w:val="19"/>
                <w:szCs w:val="19"/>
                <w:lang w:val="en-CA"/>
              </w:rPr>
              <w:t>0</w:t>
            </w:r>
          </w:p>
        </w:tc>
        <w:tc>
          <w:tcPr>
            <w:tcW w:w="858" w:type="dxa"/>
            <w:vAlign w:val="center"/>
          </w:tcPr>
          <w:p w14:paraId="1F361A6B" w14:textId="6C81BBDF" w:rsidR="00BE15C5" w:rsidRPr="00C44B3A" w:rsidRDefault="00BE15C5" w:rsidP="00784365">
            <w:pPr>
              <w:pStyle w:val="ExhibitText"/>
              <w:jc w:val="right"/>
              <w:rPr>
                <w:sz w:val="19"/>
                <w:szCs w:val="19"/>
                <w:lang w:val="en-CA"/>
              </w:rPr>
            </w:pPr>
            <w:r w:rsidRPr="00C44B3A">
              <w:rPr>
                <w:sz w:val="19"/>
                <w:szCs w:val="19"/>
                <w:lang w:val="en-CA"/>
              </w:rPr>
              <w:t>240.3</w:t>
            </w:r>
            <w:r w:rsidR="0061596A" w:rsidRPr="00C44B3A">
              <w:rPr>
                <w:sz w:val="19"/>
                <w:szCs w:val="19"/>
                <w:lang w:val="en-CA"/>
              </w:rPr>
              <w:t>0</w:t>
            </w:r>
          </w:p>
        </w:tc>
        <w:tc>
          <w:tcPr>
            <w:tcW w:w="858" w:type="dxa"/>
            <w:vAlign w:val="center"/>
          </w:tcPr>
          <w:p w14:paraId="79A04473" w14:textId="674B6B6F" w:rsidR="00BE15C5" w:rsidRPr="00C44B3A" w:rsidRDefault="00BE15C5" w:rsidP="00784365">
            <w:pPr>
              <w:pStyle w:val="ExhibitText"/>
              <w:jc w:val="right"/>
              <w:rPr>
                <w:sz w:val="19"/>
                <w:szCs w:val="19"/>
                <w:lang w:val="en-CA"/>
              </w:rPr>
            </w:pPr>
            <w:r w:rsidRPr="00C44B3A">
              <w:rPr>
                <w:sz w:val="19"/>
                <w:szCs w:val="19"/>
                <w:lang w:val="en-CA"/>
              </w:rPr>
              <w:t>760.3</w:t>
            </w:r>
            <w:r w:rsidR="0061596A" w:rsidRPr="00C44B3A">
              <w:rPr>
                <w:sz w:val="19"/>
                <w:szCs w:val="19"/>
                <w:lang w:val="en-CA"/>
              </w:rPr>
              <w:t>0</w:t>
            </w:r>
          </w:p>
        </w:tc>
        <w:tc>
          <w:tcPr>
            <w:tcW w:w="843" w:type="dxa"/>
            <w:vAlign w:val="center"/>
          </w:tcPr>
          <w:p w14:paraId="146EE35B" w14:textId="1F5034B2" w:rsidR="00BE15C5" w:rsidRPr="00C44B3A" w:rsidRDefault="00BE15C5" w:rsidP="00784365">
            <w:pPr>
              <w:pStyle w:val="ExhibitText"/>
              <w:jc w:val="right"/>
              <w:rPr>
                <w:sz w:val="19"/>
                <w:szCs w:val="19"/>
                <w:lang w:val="en-CA"/>
              </w:rPr>
            </w:pPr>
            <w:r w:rsidRPr="00C44B3A">
              <w:rPr>
                <w:sz w:val="19"/>
                <w:szCs w:val="19"/>
                <w:lang w:val="en-CA"/>
              </w:rPr>
              <w:t>651.3</w:t>
            </w:r>
            <w:r w:rsidR="0061596A" w:rsidRPr="00C44B3A">
              <w:rPr>
                <w:sz w:val="19"/>
                <w:szCs w:val="19"/>
                <w:lang w:val="en-CA"/>
              </w:rPr>
              <w:t>0</w:t>
            </w:r>
          </w:p>
        </w:tc>
      </w:tr>
      <w:tr w:rsidR="00BE15C5" w:rsidRPr="00C44B3A" w14:paraId="5D00BBBB" w14:textId="77777777" w:rsidTr="00072A46">
        <w:trPr>
          <w:jc w:val="center"/>
        </w:trPr>
        <w:tc>
          <w:tcPr>
            <w:tcW w:w="3697" w:type="dxa"/>
            <w:vAlign w:val="center"/>
          </w:tcPr>
          <w:p w14:paraId="260BE52E" w14:textId="77777777" w:rsidR="00BE15C5" w:rsidRPr="00C44B3A" w:rsidRDefault="00784365" w:rsidP="00784365">
            <w:pPr>
              <w:pStyle w:val="ExhibitText"/>
              <w:jc w:val="left"/>
              <w:rPr>
                <w:sz w:val="19"/>
                <w:szCs w:val="19"/>
                <w:lang w:val="en-CA"/>
              </w:rPr>
            </w:pPr>
            <w:r w:rsidRPr="00C44B3A">
              <w:rPr>
                <w:sz w:val="19"/>
                <w:szCs w:val="19"/>
                <w:lang w:val="en-CA"/>
              </w:rPr>
              <w:t>Deferred Taxes</w:t>
            </w:r>
          </w:p>
        </w:tc>
        <w:tc>
          <w:tcPr>
            <w:tcW w:w="896" w:type="dxa"/>
            <w:vAlign w:val="center"/>
          </w:tcPr>
          <w:p w14:paraId="3163D82C" w14:textId="79F9B282" w:rsidR="00BE15C5" w:rsidRPr="00C44B3A" w:rsidRDefault="00BE15C5" w:rsidP="00784365">
            <w:pPr>
              <w:pStyle w:val="ExhibitText"/>
              <w:jc w:val="right"/>
              <w:rPr>
                <w:sz w:val="19"/>
                <w:szCs w:val="19"/>
                <w:lang w:val="en-CA"/>
              </w:rPr>
            </w:pPr>
            <w:r w:rsidRPr="00C44B3A">
              <w:rPr>
                <w:sz w:val="19"/>
                <w:szCs w:val="19"/>
                <w:lang w:val="en-CA"/>
              </w:rPr>
              <w:t>72.6</w:t>
            </w:r>
            <w:r w:rsidR="0061596A" w:rsidRPr="00C44B3A">
              <w:rPr>
                <w:sz w:val="19"/>
                <w:szCs w:val="19"/>
                <w:lang w:val="en-CA"/>
              </w:rPr>
              <w:t>0</w:t>
            </w:r>
          </w:p>
        </w:tc>
        <w:tc>
          <w:tcPr>
            <w:tcW w:w="858" w:type="dxa"/>
            <w:vAlign w:val="center"/>
          </w:tcPr>
          <w:p w14:paraId="5E68EE3E" w14:textId="32C9E21D" w:rsidR="00BE15C5" w:rsidRPr="00C44B3A" w:rsidRDefault="00BE15C5" w:rsidP="00784365">
            <w:pPr>
              <w:pStyle w:val="ExhibitText"/>
              <w:jc w:val="right"/>
              <w:rPr>
                <w:sz w:val="19"/>
                <w:szCs w:val="19"/>
                <w:lang w:val="en-CA"/>
              </w:rPr>
            </w:pPr>
            <w:r w:rsidRPr="00C44B3A">
              <w:rPr>
                <w:sz w:val="19"/>
                <w:szCs w:val="19"/>
                <w:lang w:val="en-CA"/>
              </w:rPr>
              <w:t>63.3</w:t>
            </w:r>
            <w:r w:rsidR="0061596A" w:rsidRPr="00C44B3A">
              <w:rPr>
                <w:sz w:val="19"/>
                <w:szCs w:val="19"/>
                <w:lang w:val="en-CA"/>
              </w:rPr>
              <w:t>0</w:t>
            </w:r>
          </w:p>
        </w:tc>
        <w:tc>
          <w:tcPr>
            <w:tcW w:w="858" w:type="dxa"/>
            <w:vAlign w:val="center"/>
          </w:tcPr>
          <w:p w14:paraId="7A88ADB1" w14:textId="1B4CCDD9" w:rsidR="00BE15C5" w:rsidRPr="00C44B3A" w:rsidRDefault="00BE15C5" w:rsidP="00784365">
            <w:pPr>
              <w:pStyle w:val="ExhibitText"/>
              <w:jc w:val="right"/>
              <w:rPr>
                <w:sz w:val="19"/>
                <w:szCs w:val="19"/>
                <w:lang w:val="en-CA"/>
              </w:rPr>
            </w:pPr>
            <w:r w:rsidRPr="00C44B3A">
              <w:rPr>
                <w:sz w:val="19"/>
                <w:szCs w:val="19"/>
                <w:lang w:val="en-CA"/>
              </w:rPr>
              <w:t>72.4</w:t>
            </w:r>
            <w:r w:rsidR="0061596A" w:rsidRPr="00C44B3A">
              <w:rPr>
                <w:sz w:val="19"/>
                <w:szCs w:val="19"/>
                <w:lang w:val="en-CA"/>
              </w:rPr>
              <w:t>0</w:t>
            </w:r>
          </w:p>
        </w:tc>
        <w:tc>
          <w:tcPr>
            <w:tcW w:w="858" w:type="dxa"/>
            <w:vAlign w:val="center"/>
          </w:tcPr>
          <w:p w14:paraId="687C5217" w14:textId="53656DE5" w:rsidR="00BE15C5" w:rsidRPr="00C44B3A" w:rsidRDefault="00BE15C5" w:rsidP="00784365">
            <w:pPr>
              <w:pStyle w:val="ExhibitText"/>
              <w:jc w:val="right"/>
              <w:rPr>
                <w:sz w:val="19"/>
                <w:szCs w:val="19"/>
                <w:lang w:val="en-CA"/>
              </w:rPr>
            </w:pPr>
            <w:r w:rsidRPr="00C44B3A">
              <w:rPr>
                <w:sz w:val="19"/>
                <w:szCs w:val="19"/>
                <w:lang w:val="en-CA"/>
              </w:rPr>
              <w:t>137.7</w:t>
            </w:r>
            <w:r w:rsidR="0061596A" w:rsidRPr="00C44B3A">
              <w:rPr>
                <w:sz w:val="19"/>
                <w:szCs w:val="19"/>
                <w:lang w:val="en-CA"/>
              </w:rPr>
              <w:t>0</w:t>
            </w:r>
          </w:p>
        </w:tc>
        <w:tc>
          <w:tcPr>
            <w:tcW w:w="843" w:type="dxa"/>
            <w:vAlign w:val="center"/>
          </w:tcPr>
          <w:p w14:paraId="046620B0" w14:textId="63024317" w:rsidR="00BE15C5" w:rsidRPr="00C44B3A" w:rsidRDefault="00BE15C5" w:rsidP="00784365">
            <w:pPr>
              <w:pStyle w:val="ExhibitText"/>
              <w:jc w:val="right"/>
              <w:rPr>
                <w:sz w:val="19"/>
                <w:szCs w:val="19"/>
                <w:lang w:val="en-CA"/>
              </w:rPr>
            </w:pPr>
            <w:r w:rsidRPr="00C44B3A">
              <w:rPr>
                <w:sz w:val="19"/>
                <w:szCs w:val="19"/>
                <w:lang w:val="en-CA"/>
              </w:rPr>
              <w:t>126.5</w:t>
            </w:r>
            <w:r w:rsidR="0061596A" w:rsidRPr="00C44B3A">
              <w:rPr>
                <w:sz w:val="19"/>
                <w:szCs w:val="19"/>
                <w:lang w:val="en-CA"/>
              </w:rPr>
              <w:t>0</w:t>
            </w:r>
          </w:p>
        </w:tc>
      </w:tr>
      <w:tr w:rsidR="00BE15C5" w:rsidRPr="00C44B3A" w14:paraId="42F19047" w14:textId="77777777" w:rsidTr="00072A46">
        <w:trPr>
          <w:jc w:val="center"/>
        </w:trPr>
        <w:tc>
          <w:tcPr>
            <w:tcW w:w="3697" w:type="dxa"/>
            <w:vAlign w:val="center"/>
          </w:tcPr>
          <w:p w14:paraId="002ECCD4" w14:textId="77777777" w:rsidR="00BE15C5" w:rsidRPr="00C44B3A" w:rsidRDefault="00784365" w:rsidP="00784365">
            <w:pPr>
              <w:pStyle w:val="ExhibitText"/>
              <w:jc w:val="left"/>
              <w:rPr>
                <w:sz w:val="19"/>
                <w:szCs w:val="19"/>
                <w:lang w:val="en-CA"/>
              </w:rPr>
            </w:pPr>
            <w:r w:rsidRPr="00C44B3A">
              <w:rPr>
                <w:sz w:val="19"/>
                <w:szCs w:val="19"/>
                <w:lang w:val="en-CA"/>
              </w:rPr>
              <w:t>Total Liabilities</w:t>
            </w:r>
          </w:p>
        </w:tc>
        <w:tc>
          <w:tcPr>
            <w:tcW w:w="896" w:type="dxa"/>
            <w:vAlign w:val="center"/>
          </w:tcPr>
          <w:p w14:paraId="1E7496F7" w14:textId="7B42194A" w:rsidR="00BE15C5" w:rsidRPr="00C44B3A" w:rsidRDefault="00BE15C5" w:rsidP="00784365">
            <w:pPr>
              <w:pStyle w:val="ExhibitText"/>
              <w:jc w:val="right"/>
              <w:rPr>
                <w:sz w:val="19"/>
                <w:szCs w:val="19"/>
                <w:lang w:val="en-CA"/>
              </w:rPr>
            </w:pPr>
            <w:r w:rsidRPr="00C44B3A">
              <w:rPr>
                <w:sz w:val="19"/>
                <w:szCs w:val="19"/>
                <w:lang w:val="en-CA"/>
              </w:rPr>
              <w:t>554.7</w:t>
            </w:r>
            <w:r w:rsidR="0061596A" w:rsidRPr="00C44B3A">
              <w:rPr>
                <w:sz w:val="19"/>
                <w:szCs w:val="19"/>
                <w:lang w:val="en-CA"/>
              </w:rPr>
              <w:t>0</w:t>
            </w:r>
          </w:p>
        </w:tc>
        <w:tc>
          <w:tcPr>
            <w:tcW w:w="858" w:type="dxa"/>
            <w:vAlign w:val="center"/>
          </w:tcPr>
          <w:p w14:paraId="79D0532D" w14:textId="05F4493B" w:rsidR="00BE15C5" w:rsidRPr="00C44B3A" w:rsidRDefault="00BE15C5" w:rsidP="00784365">
            <w:pPr>
              <w:pStyle w:val="ExhibitText"/>
              <w:jc w:val="right"/>
              <w:rPr>
                <w:sz w:val="19"/>
                <w:szCs w:val="19"/>
                <w:lang w:val="en-CA"/>
              </w:rPr>
            </w:pPr>
            <w:r w:rsidRPr="00C44B3A">
              <w:rPr>
                <w:sz w:val="19"/>
                <w:szCs w:val="19"/>
                <w:lang w:val="en-CA"/>
              </w:rPr>
              <w:t>727.3</w:t>
            </w:r>
            <w:r w:rsidR="0061596A" w:rsidRPr="00C44B3A">
              <w:rPr>
                <w:sz w:val="19"/>
                <w:szCs w:val="19"/>
                <w:lang w:val="en-CA"/>
              </w:rPr>
              <w:t>0</w:t>
            </w:r>
          </w:p>
        </w:tc>
        <w:tc>
          <w:tcPr>
            <w:tcW w:w="858" w:type="dxa"/>
            <w:vAlign w:val="center"/>
          </w:tcPr>
          <w:p w14:paraId="4813DE95" w14:textId="11AFAB56" w:rsidR="00BE15C5" w:rsidRPr="00C44B3A" w:rsidRDefault="00BE15C5" w:rsidP="00784365">
            <w:pPr>
              <w:pStyle w:val="ExhibitText"/>
              <w:jc w:val="right"/>
              <w:rPr>
                <w:sz w:val="19"/>
                <w:szCs w:val="19"/>
                <w:lang w:val="en-CA"/>
              </w:rPr>
            </w:pPr>
            <w:r w:rsidRPr="00C44B3A">
              <w:rPr>
                <w:sz w:val="19"/>
                <w:szCs w:val="19"/>
                <w:lang w:val="en-CA"/>
              </w:rPr>
              <w:t>796.1</w:t>
            </w:r>
            <w:r w:rsidR="0061596A" w:rsidRPr="00C44B3A">
              <w:rPr>
                <w:sz w:val="19"/>
                <w:szCs w:val="19"/>
                <w:lang w:val="en-CA"/>
              </w:rPr>
              <w:t>0</w:t>
            </w:r>
          </w:p>
        </w:tc>
        <w:tc>
          <w:tcPr>
            <w:tcW w:w="858" w:type="dxa"/>
            <w:vAlign w:val="center"/>
          </w:tcPr>
          <w:p w14:paraId="3D4ED012" w14:textId="7535CB98" w:rsidR="00BE15C5" w:rsidRPr="00C44B3A" w:rsidRDefault="00BE15C5" w:rsidP="00784365">
            <w:pPr>
              <w:pStyle w:val="ExhibitText"/>
              <w:jc w:val="right"/>
              <w:rPr>
                <w:sz w:val="19"/>
                <w:szCs w:val="19"/>
                <w:lang w:val="en-CA"/>
              </w:rPr>
            </w:pPr>
            <w:r w:rsidRPr="00C44B3A">
              <w:rPr>
                <w:sz w:val="19"/>
                <w:szCs w:val="19"/>
                <w:lang w:val="en-CA"/>
              </w:rPr>
              <w:t>1</w:t>
            </w:r>
            <w:r w:rsidR="00EF31AF" w:rsidRPr="00C44B3A">
              <w:rPr>
                <w:sz w:val="19"/>
                <w:szCs w:val="19"/>
                <w:lang w:val="en-CA"/>
              </w:rPr>
              <w:t>,</w:t>
            </w:r>
            <w:r w:rsidRPr="00C44B3A">
              <w:rPr>
                <w:sz w:val="19"/>
                <w:szCs w:val="19"/>
                <w:lang w:val="en-CA"/>
              </w:rPr>
              <w:t>790</w:t>
            </w:r>
            <w:r w:rsidR="00784365" w:rsidRPr="00C44B3A">
              <w:rPr>
                <w:sz w:val="19"/>
                <w:szCs w:val="19"/>
                <w:lang w:val="en-CA"/>
              </w:rPr>
              <w:t>.0</w:t>
            </w:r>
            <w:r w:rsidR="0061596A" w:rsidRPr="00C44B3A">
              <w:rPr>
                <w:sz w:val="19"/>
                <w:szCs w:val="19"/>
                <w:lang w:val="en-CA"/>
              </w:rPr>
              <w:t>0</w:t>
            </w:r>
          </w:p>
        </w:tc>
        <w:tc>
          <w:tcPr>
            <w:tcW w:w="843" w:type="dxa"/>
            <w:vAlign w:val="center"/>
          </w:tcPr>
          <w:p w14:paraId="1391297E" w14:textId="68D4AC8F" w:rsidR="00BE15C5" w:rsidRPr="00C44B3A" w:rsidRDefault="00BE15C5" w:rsidP="00784365">
            <w:pPr>
              <w:pStyle w:val="ExhibitText"/>
              <w:jc w:val="right"/>
              <w:rPr>
                <w:sz w:val="19"/>
                <w:szCs w:val="19"/>
                <w:lang w:val="en-CA"/>
              </w:rPr>
            </w:pPr>
            <w:r w:rsidRPr="00C44B3A">
              <w:rPr>
                <w:sz w:val="19"/>
                <w:szCs w:val="19"/>
                <w:lang w:val="en-CA"/>
              </w:rPr>
              <w:t>1</w:t>
            </w:r>
            <w:r w:rsidR="00EF31AF" w:rsidRPr="00C44B3A">
              <w:rPr>
                <w:sz w:val="19"/>
                <w:szCs w:val="19"/>
                <w:lang w:val="en-CA"/>
              </w:rPr>
              <w:t>,</w:t>
            </w:r>
            <w:r w:rsidRPr="00C44B3A">
              <w:rPr>
                <w:sz w:val="19"/>
                <w:szCs w:val="19"/>
                <w:lang w:val="en-CA"/>
              </w:rPr>
              <w:t>600</w:t>
            </w:r>
            <w:r w:rsidR="00784365" w:rsidRPr="00C44B3A">
              <w:rPr>
                <w:sz w:val="19"/>
                <w:szCs w:val="19"/>
                <w:lang w:val="en-CA"/>
              </w:rPr>
              <w:t>.0</w:t>
            </w:r>
            <w:r w:rsidR="0061596A" w:rsidRPr="00C44B3A">
              <w:rPr>
                <w:sz w:val="19"/>
                <w:szCs w:val="19"/>
                <w:lang w:val="en-CA"/>
              </w:rPr>
              <w:t>0</w:t>
            </w:r>
          </w:p>
        </w:tc>
      </w:tr>
      <w:tr w:rsidR="00BE15C5" w:rsidRPr="00C44B3A" w14:paraId="70798C0C" w14:textId="77777777" w:rsidTr="00072A46">
        <w:trPr>
          <w:jc w:val="center"/>
        </w:trPr>
        <w:tc>
          <w:tcPr>
            <w:tcW w:w="3697" w:type="dxa"/>
            <w:vAlign w:val="center"/>
          </w:tcPr>
          <w:p w14:paraId="4838D4E6" w14:textId="77777777" w:rsidR="00BE15C5" w:rsidRPr="00C44B3A" w:rsidRDefault="00784365" w:rsidP="00784365">
            <w:pPr>
              <w:pStyle w:val="ExhibitText"/>
              <w:jc w:val="left"/>
              <w:rPr>
                <w:sz w:val="19"/>
                <w:szCs w:val="19"/>
                <w:lang w:val="en-CA"/>
              </w:rPr>
            </w:pPr>
            <w:r w:rsidRPr="00C44B3A">
              <w:rPr>
                <w:sz w:val="19"/>
                <w:szCs w:val="19"/>
                <w:lang w:val="en-CA"/>
              </w:rPr>
              <w:t>Common Stock Par Value</w:t>
            </w:r>
          </w:p>
        </w:tc>
        <w:tc>
          <w:tcPr>
            <w:tcW w:w="896" w:type="dxa"/>
            <w:vAlign w:val="center"/>
          </w:tcPr>
          <w:p w14:paraId="474C64FB" w14:textId="31D113A9" w:rsidR="00BE15C5" w:rsidRPr="00C44B3A" w:rsidRDefault="00BE15C5" w:rsidP="00784365">
            <w:pPr>
              <w:pStyle w:val="ExhibitText"/>
              <w:jc w:val="right"/>
              <w:rPr>
                <w:sz w:val="19"/>
                <w:szCs w:val="19"/>
                <w:lang w:val="en-CA"/>
              </w:rPr>
            </w:pPr>
            <w:r w:rsidRPr="00C44B3A">
              <w:rPr>
                <w:sz w:val="19"/>
                <w:szCs w:val="19"/>
                <w:lang w:val="en-CA"/>
              </w:rPr>
              <w:t>474.9</w:t>
            </w:r>
            <w:r w:rsidR="0061596A" w:rsidRPr="00C44B3A">
              <w:rPr>
                <w:sz w:val="19"/>
                <w:szCs w:val="19"/>
                <w:lang w:val="en-CA"/>
              </w:rPr>
              <w:t>0</w:t>
            </w:r>
          </w:p>
        </w:tc>
        <w:tc>
          <w:tcPr>
            <w:tcW w:w="858" w:type="dxa"/>
            <w:vAlign w:val="center"/>
          </w:tcPr>
          <w:p w14:paraId="58CABA76" w14:textId="07AA15FB" w:rsidR="00BE15C5" w:rsidRPr="00C44B3A" w:rsidRDefault="00BE15C5" w:rsidP="00784365">
            <w:pPr>
              <w:pStyle w:val="ExhibitText"/>
              <w:jc w:val="right"/>
              <w:rPr>
                <w:sz w:val="19"/>
                <w:szCs w:val="19"/>
                <w:lang w:val="en-CA"/>
              </w:rPr>
            </w:pPr>
            <w:r w:rsidRPr="00C44B3A">
              <w:rPr>
                <w:sz w:val="19"/>
                <w:szCs w:val="19"/>
                <w:lang w:val="en-CA"/>
              </w:rPr>
              <w:t>626</w:t>
            </w:r>
            <w:r w:rsidR="00784365" w:rsidRPr="00C44B3A">
              <w:rPr>
                <w:sz w:val="19"/>
                <w:szCs w:val="19"/>
                <w:lang w:val="en-CA"/>
              </w:rPr>
              <w:t>.0</w:t>
            </w:r>
            <w:r w:rsidR="0061596A" w:rsidRPr="00C44B3A">
              <w:rPr>
                <w:sz w:val="19"/>
                <w:szCs w:val="19"/>
                <w:lang w:val="en-CA"/>
              </w:rPr>
              <w:t>0</w:t>
            </w:r>
          </w:p>
        </w:tc>
        <w:tc>
          <w:tcPr>
            <w:tcW w:w="858" w:type="dxa"/>
            <w:vAlign w:val="center"/>
          </w:tcPr>
          <w:p w14:paraId="7460336E" w14:textId="4606E5EE" w:rsidR="00BE15C5" w:rsidRPr="00C44B3A" w:rsidRDefault="00BE15C5" w:rsidP="00784365">
            <w:pPr>
              <w:pStyle w:val="ExhibitText"/>
              <w:jc w:val="right"/>
              <w:rPr>
                <w:sz w:val="19"/>
                <w:szCs w:val="19"/>
                <w:lang w:val="en-CA"/>
              </w:rPr>
            </w:pPr>
            <w:r w:rsidRPr="00C44B3A">
              <w:rPr>
                <w:sz w:val="19"/>
                <w:szCs w:val="19"/>
                <w:lang w:val="en-CA"/>
              </w:rPr>
              <w:t>682.9</w:t>
            </w:r>
            <w:r w:rsidR="0061596A" w:rsidRPr="00C44B3A">
              <w:rPr>
                <w:sz w:val="19"/>
                <w:szCs w:val="19"/>
                <w:lang w:val="en-CA"/>
              </w:rPr>
              <w:t>0</w:t>
            </w:r>
          </w:p>
        </w:tc>
        <w:tc>
          <w:tcPr>
            <w:tcW w:w="858" w:type="dxa"/>
            <w:vAlign w:val="center"/>
          </w:tcPr>
          <w:p w14:paraId="29A1F8C0" w14:textId="2BD08B85" w:rsidR="00BE15C5" w:rsidRPr="00C44B3A" w:rsidRDefault="00BE15C5" w:rsidP="00784365">
            <w:pPr>
              <w:pStyle w:val="ExhibitText"/>
              <w:jc w:val="right"/>
              <w:rPr>
                <w:sz w:val="19"/>
                <w:szCs w:val="19"/>
                <w:lang w:val="en-CA"/>
              </w:rPr>
            </w:pPr>
            <w:r w:rsidRPr="00C44B3A">
              <w:rPr>
                <w:sz w:val="19"/>
                <w:szCs w:val="19"/>
                <w:lang w:val="en-CA"/>
              </w:rPr>
              <w:t>822</w:t>
            </w:r>
            <w:r w:rsidR="00784365" w:rsidRPr="00C44B3A">
              <w:rPr>
                <w:sz w:val="19"/>
                <w:szCs w:val="19"/>
                <w:lang w:val="en-CA"/>
              </w:rPr>
              <w:t>.0</w:t>
            </w:r>
            <w:r w:rsidR="0061596A" w:rsidRPr="00C44B3A">
              <w:rPr>
                <w:sz w:val="19"/>
                <w:szCs w:val="19"/>
                <w:lang w:val="en-CA"/>
              </w:rPr>
              <w:t>0</w:t>
            </w:r>
          </w:p>
        </w:tc>
        <w:tc>
          <w:tcPr>
            <w:tcW w:w="843" w:type="dxa"/>
            <w:vAlign w:val="center"/>
          </w:tcPr>
          <w:p w14:paraId="45D0A5E8" w14:textId="41ECD6AC" w:rsidR="00BE15C5" w:rsidRPr="00C44B3A" w:rsidRDefault="00BE15C5" w:rsidP="00784365">
            <w:pPr>
              <w:pStyle w:val="ExhibitText"/>
              <w:jc w:val="right"/>
              <w:rPr>
                <w:sz w:val="19"/>
                <w:szCs w:val="19"/>
                <w:lang w:val="en-CA"/>
              </w:rPr>
            </w:pPr>
            <w:r w:rsidRPr="00C44B3A">
              <w:rPr>
                <w:sz w:val="19"/>
                <w:szCs w:val="19"/>
                <w:lang w:val="en-CA"/>
              </w:rPr>
              <w:t>876.6</w:t>
            </w:r>
            <w:r w:rsidR="0061596A" w:rsidRPr="00C44B3A">
              <w:rPr>
                <w:sz w:val="19"/>
                <w:szCs w:val="19"/>
                <w:lang w:val="en-CA"/>
              </w:rPr>
              <w:t>0</w:t>
            </w:r>
          </w:p>
        </w:tc>
      </w:tr>
      <w:tr w:rsidR="00BE15C5" w:rsidRPr="00C44B3A" w14:paraId="54FB3B42" w14:textId="77777777" w:rsidTr="00072A46">
        <w:trPr>
          <w:jc w:val="center"/>
        </w:trPr>
        <w:tc>
          <w:tcPr>
            <w:tcW w:w="3697" w:type="dxa"/>
            <w:vAlign w:val="center"/>
          </w:tcPr>
          <w:p w14:paraId="01FE8F3D" w14:textId="77777777" w:rsidR="00BE15C5" w:rsidRPr="00C44B3A" w:rsidRDefault="00784365" w:rsidP="00784365">
            <w:pPr>
              <w:pStyle w:val="ExhibitText"/>
              <w:jc w:val="left"/>
              <w:rPr>
                <w:sz w:val="19"/>
                <w:szCs w:val="19"/>
                <w:lang w:val="en-CA"/>
              </w:rPr>
            </w:pPr>
            <w:r w:rsidRPr="00C44B3A">
              <w:rPr>
                <w:sz w:val="19"/>
                <w:szCs w:val="19"/>
                <w:lang w:val="en-CA"/>
              </w:rPr>
              <w:t>Retained Earnings</w:t>
            </w:r>
          </w:p>
        </w:tc>
        <w:tc>
          <w:tcPr>
            <w:tcW w:w="896" w:type="dxa"/>
            <w:vAlign w:val="center"/>
          </w:tcPr>
          <w:p w14:paraId="1DC9D9C6" w14:textId="681692B1" w:rsidR="00BE15C5" w:rsidRPr="00C44B3A" w:rsidRDefault="00EF31AF" w:rsidP="00EF31AF">
            <w:pPr>
              <w:pStyle w:val="ExhibitText"/>
              <w:jc w:val="right"/>
              <w:rPr>
                <w:sz w:val="19"/>
                <w:szCs w:val="19"/>
                <w:lang w:val="en-CA"/>
              </w:rPr>
            </w:pPr>
            <w:r w:rsidRPr="00C44B3A">
              <w:rPr>
                <w:sz w:val="19"/>
                <w:szCs w:val="19"/>
                <w:lang w:val="en-CA"/>
              </w:rPr>
              <w:t>−</w:t>
            </w:r>
            <w:r w:rsidR="00BE15C5" w:rsidRPr="00C44B3A">
              <w:rPr>
                <w:sz w:val="19"/>
                <w:szCs w:val="19"/>
                <w:lang w:val="en-CA"/>
              </w:rPr>
              <w:t>129.7</w:t>
            </w:r>
            <w:r w:rsidR="0061596A" w:rsidRPr="00C44B3A">
              <w:rPr>
                <w:sz w:val="19"/>
                <w:szCs w:val="19"/>
                <w:lang w:val="en-CA"/>
              </w:rPr>
              <w:t>0</w:t>
            </w:r>
          </w:p>
        </w:tc>
        <w:tc>
          <w:tcPr>
            <w:tcW w:w="858" w:type="dxa"/>
            <w:vAlign w:val="center"/>
          </w:tcPr>
          <w:p w14:paraId="63B446C3" w14:textId="2330EC98" w:rsidR="00BE15C5" w:rsidRPr="00C44B3A" w:rsidRDefault="00EF31AF" w:rsidP="00EF31AF">
            <w:pPr>
              <w:pStyle w:val="ExhibitText"/>
              <w:jc w:val="right"/>
              <w:rPr>
                <w:sz w:val="19"/>
                <w:szCs w:val="19"/>
                <w:lang w:val="en-CA"/>
              </w:rPr>
            </w:pPr>
            <w:r w:rsidRPr="00C44B3A">
              <w:rPr>
                <w:sz w:val="19"/>
                <w:szCs w:val="19"/>
                <w:lang w:val="en-CA"/>
              </w:rPr>
              <w:t>−</w:t>
            </w:r>
            <w:r w:rsidR="00BE15C5" w:rsidRPr="00C44B3A">
              <w:rPr>
                <w:sz w:val="19"/>
                <w:szCs w:val="19"/>
                <w:lang w:val="en-CA"/>
              </w:rPr>
              <w:t>141.5</w:t>
            </w:r>
            <w:r w:rsidR="0061596A" w:rsidRPr="00C44B3A">
              <w:rPr>
                <w:sz w:val="19"/>
                <w:szCs w:val="19"/>
                <w:lang w:val="en-CA"/>
              </w:rPr>
              <w:t>0</w:t>
            </w:r>
          </w:p>
        </w:tc>
        <w:tc>
          <w:tcPr>
            <w:tcW w:w="858" w:type="dxa"/>
            <w:vAlign w:val="center"/>
          </w:tcPr>
          <w:p w14:paraId="160BA2C6" w14:textId="13EAE15E" w:rsidR="00BE15C5" w:rsidRPr="00C44B3A" w:rsidRDefault="00EF31AF" w:rsidP="00EF31AF">
            <w:pPr>
              <w:pStyle w:val="ExhibitText"/>
              <w:jc w:val="right"/>
              <w:rPr>
                <w:sz w:val="19"/>
                <w:szCs w:val="19"/>
                <w:lang w:val="en-CA"/>
              </w:rPr>
            </w:pPr>
            <w:r w:rsidRPr="00C44B3A">
              <w:rPr>
                <w:sz w:val="19"/>
                <w:szCs w:val="19"/>
                <w:lang w:val="en-CA"/>
              </w:rPr>
              <w:t>−</w:t>
            </w:r>
            <w:r w:rsidR="00BE15C5" w:rsidRPr="00C44B3A">
              <w:rPr>
                <w:sz w:val="19"/>
                <w:szCs w:val="19"/>
                <w:lang w:val="en-CA"/>
              </w:rPr>
              <w:t>157.3</w:t>
            </w:r>
            <w:r w:rsidR="0061596A" w:rsidRPr="00C44B3A">
              <w:rPr>
                <w:sz w:val="19"/>
                <w:szCs w:val="19"/>
                <w:lang w:val="en-CA"/>
              </w:rPr>
              <w:t>0</w:t>
            </w:r>
          </w:p>
        </w:tc>
        <w:tc>
          <w:tcPr>
            <w:tcW w:w="858" w:type="dxa"/>
            <w:vAlign w:val="center"/>
          </w:tcPr>
          <w:p w14:paraId="57704A0A" w14:textId="58433989" w:rsidR="00BE15C5" w:rsidRPr="00C44B3A" w:rsidRDefault="00EF31AF" w:rsidP="00EF31AF">
            <w:pPr>
              <w:pStyle w:val="ExhibitText"/>
              <w:jc w:val="right"/>
              <w:rPr>
                <w:sz w:val="19"/>
                <w:szCs w:val="19"/>
                <w:lang w:val="en-CA"/>
              </w:rPr>
            </w:pPr>
            <w:r w:rsidRPr="00C44B3A">
              <w:rPr>
                <w:sz w:val="19"/>
                <w:szCs w:val="19"/>
                <w:lang w:val="en-CA"/>
              </w:rPr>
              <w:t>−</w:t>
            </w:r>
            <w:r w:rsidR="00BE15C5" w:rsidRPr="00C44B3A">
              <w:rPr>
                <w:sz w:val="19"/>
                <w:szCs w:val="19"/>
                <w:lang w:val="en-CA"/>
              </w:rPr>
              <w:t>150.3</w:t>
            </w:r>
            <w:r w:rsidR="0061596A" w:rsidRPr="00C44B3A">
              <w:rPr>
                <w:sz w:val="19"/>
                <w:szCs w:val="19"/>
                <w:lang w:val="en-CA"/>
              </w:rPr>
              <w:t>0</w:t>
            </w:r>
          </w:p>
        </w:tc>
        <w:tc>
          <w:tcPr>
            <w:tcW w:w="843" w:type="dxa"/>
            <w:vAlign w:val="center"/>
          </w:tcPr>
          <w:p w14:paraId="09D53FBF" w14:textId="63F97D21" w:rsidR="00BE15C5" w:rsidRPr="00C44B3A" w:rsidRDefault="00EF31AF" w:rsidP="00EF31AF">
            <w:pPr>
              <w:pStyle w:val="ExhibitText"/>
              <w:jc w:val="right"/>
              <w:rPr>
                <w:sz w:val="19"/>
                <w:szCs w:val="19"/>
                <w:lang w:val="en-CA"/>
              </w:rPr>
            </w:pPr>
            <w:r w:rsidRPr="00C44B3A">
              <w:rPr>
                <w:sz w:val="19"/>
                <w:szCs w:val="19"/>
                <w:lang w:val="en-CA"/>
              </w:rPr>
              <w:t>−</w:t>
            </w:r>
            <w:r w:rsidR="00BE15C5" w:rsidRPr="00C44B3A">
              <w:rPr>
                <w:sz w:val="19"/>
                <w:szCs w:val="19"/>
                <w:lang w:val="en-CA"/>
              </w:rPr>
              <w:t>32.8</w:t>
            </w:r>
            <w:r w:rsidR="0061596A" w:rsidRPr="00C44B3A">
              <w:rPr>
                <w:sz w:val="19"/>
                <w:szCs w:val="19"/>
                <w:lang w:val="en-CA"/>
              </w:rPr>
              <w:t>0</w:t>
            </w:r>
          </w:p>
        </w:tc>
      </w:tr>
      <w:tr w:rsidR="00BE15C5" w:rsidRPr="00C44B3A" w14:paraId="3659D7E4" w14:textId="77777777" w:rsidTr="00072A46">
        <w:trPr>
          <w:jc w:val="center"/>
        </w:trPr>
        <w:tc>
          <w:tcPr>
            <w:tcW w:w="3697" w:type="dxa"/>
            <w:vAlign w:val="center"/>
          </w:tcPr>
          <w:p w14:paraId="451D27A5" w14:textId="77777777" w:rsidR="00BE15C5" w:rsidRPr="00C44B3A" w:rsidRDefault="00784365" w:rsidP="00784365">
            <w:pPr>
              <w:pStyle w:val="ExhibitText"/>
              <w:jc w:val="left"/>
              <w:rPr>
                <w:sz w:val="19"/>
                <w:szCs w:val="19"/>
                <w:lang w:val="en-CA"/>
              </w:rPr>
            </w:pPr>
            <w:r w:rsidRPr="00C44B3A">
              <w:rPr>
                <w:sz w:val="19"/>
                <w:szCs w:val="19"/>
                <w:lang w:val="en-CA"/>
              </w:rPr>
              <w:t>Total Equity</w:t>
            </w:r>
          </w:p>
        </w:tc>
        <w:tc>
          <w:tcPr>
            <w:tcW w:w="896" w:type="dxa"/>
            <w:vAlign w:val="center"/>
          </w:tcPr>
          <w:p w14:paraId="0A86C886" w14:textId="455E6FA9" w:rsidR="00BE15C5" w:rsidRPr="00C44B3A" w:rsidRDefault="00BE15C5" w:rsidP="00784365">
            <w:pPr>
              <w:pStyle w:val="ExhibitText"/>
              <w:jc w:val="right"/>
              <w:rPr>
                <w:sz w:val="19"/>
                <w:szCs w:val="19"/>
                <w:lang w:val="en-CA"/>
              </w:rPr>
            </w:pPr>
            <w:r w:rsidRPr="00C44B3A">
              <w:rPr>
                <w:sz w:val="19"/>
                <w:szCs w:val="19"/>
                <w:lang w:val="en-CA"/>
              </w:rPr>
              <w:t>338.7</w:t>
            </w:r>
            <w:r w:rsidR="0061596A" w:rsidRPr="00C44B3A">
              <w:rPr>
                <w:sz w:val="19"/>
                <w:szCs w:val="19"/>
                <w:lang w:val="en-CA"/>
              </w:rPr>
              <w:t>0</w:t>
            </w:r>
          </w:p>
        </w:tc>
        <w:tc>
          <w:tcPr>
            <w:tcW w:w="858" w:type="dxa"/>
            <w:vAlign w:val="center"/>
          </w:tcPr>
          <w:p w14:paraId="6FC77F83" w14:textId="383890F6" w:rsidR="00BE15C5" w:rsidRPr="00C44B3A" w:rsidRDefault="00BE15C5" w:rsidP="00784365">
            <w:pPr>
              <w:pStyle w:val="ExhibitText"/>
              <w:jc w:val="right"/>
              <w:rPr>
                <w:sz w:val="19"/>
                <w:szCs w:val="19"/>
                <w:lang w:val="en-CA"/>
              </w:rPr>
            </w:pPr>
            <w:r w:rsidRPr="00C44B3A">
              <w:rPr>
                <w:sz w:val="19"/>
                <w:szCs w:val="19"/>
                <w:lang w:val="en-CA"/>
              </w:rPr>
              <w:t>479.6</w:t>
            </w:r>
            <w:r w:rsidR="0061596A" w:rsidRPr="00C44B3A">
              <w:rPr>
                <w:sz w:val="19"/>
                <w:szCs w:val="19"/>
                <w:lang w:val="en-CA"/>
              </w:rPr>
              <w:t>0</w:t>
            </w:r>
          </w:p>
        </w:tc>
        <w:tc>
          <w:tcPr>
            <w:tcW w:w="858" w:type="dxa"/>
            <w:vAlign w:val="center"/>
          </w:tcPr>
          <w:p w14:paraId="5373C5B1" w14:textId="77DF27C6" w:rsidR="00BE15C5" w:rsidRPr="00C44B3A" w:rsidRDefault="00BE15C5" w:rsidP="00784365">
            <w:pPr>
              <w:pStyle w:val="ExhibitText"/>
              <w:jc w:val="right"/>
              <w:rPr>
                <w:sz w:val="19"/>
                <w:szCs w:val="19"/>
                <w:lang w:val="en-CA"/>
              </w:rPr>
            </w:pPr>
            <w:r w:rsidRPr="00C44B3A">
              <w:rPr>
                <w:sz w:val="19"/>
                <w:szCs w:val="19"/>
                <w:lang w:val="en-CA"/>
              </w:rPr>
              <w:t>519.8</w:t>
            </w:r>
            <w:r w:rsidR="0061596A" w:rsidRPr="00C44B3A">
              <w:rPr>
                <w:sz w:val="19"/>
                <w:szCs w:val="19"/>
                <w:lang w:val="en-CA"/>
              </w:rPr>
              <w:t>0</w:t>
            </w:r>
          </w:p>
        </w:tc>
        <w:tc>
          <w:tcPr>
            <w:tcW w:w="858" w:type="dxa"/>
            <w:vAlign w:val="center"/>
          </w:tcPr>
          <w:p w14:paraId="1B73EFF2" w14:textId="6116D41B" w:rsidR="00BE15C5" w:rsidRPr="00C44B3A" w:rsidRDefault="00BE15C5" w:rsidP="00784365">
            <w:pPr>
              <w:pStyle w:val="ExhibitText"/>
              <w:jc w:val="right"/>
              <w:rPr>
                <w:sz w:val="19"/>
                <w:szCs w:val="19"/>
                <w:lang w:val="en-CA"/>
              </w:rPr>
            </w:pPr>
            <w:r w:rsidRPr="00C44B3A">
              <w:rPr>
                <w:sz w:val="19"/>
                <w:szCs w:val="19"/>
                <w:lang w:val="en-CA"/>
              </w:rPr>
              <w:t>666.9</w:t>
            </w:r>
            <w:r w:rsidR="0061596A" w:rsidRPr="00C44B3A">
              <w:rPr>
                <w:sz w:val="19"/>
                <w:szCs w:val="19"/>
                <w:lang w:val="en-CA"/>
              </w:rPr>
              <w:t>0</w:t>
            </w:r>
          </w:p>
        </w:tc>
        <w:tc>
          <w:tcPr>
            <w:tcW w:w="843" w:type="dxa"/>
            <w:vAlign w:val="center"/>
          </w:tcPr>
          <w:p w14:paraId="49C8C5D2" w14:textId="784CA4EB" w:rsidR="00BE15C5" w:rsidRPr="00C44B3A" w:rsidRDefault="00BE15C5" w:rsidP="00784365">
            <w:pPr>
              <w:pStyle w:val="ExhibitText"/>
              <w:jc w:val="right"/>
              <w:rPr>
                <w:sz w:val="19"/>
                <w:szCs w:val="19"/>
                <w:lang w:val="en-CA"/>
              </w:rPr>
            </w:pPr>
            <w:r w:rsidRPr="00C44B3A">
              <w:rPr>
                <w:sz w:val="19"/>
                <w:szCs w:val="19"/>
                <w:lang w:val="en-CA"/>
              </w:rPr>
              <w:t>844.4</w:t>
            </w:r>
            <w:r w:rsidR="0061596A" w:rsidRPr="00C44B3A">
              <w:rPr>
                <w:sz w:val="19"/>
                <w:szCs w:val="19"/>
                <w:lang w:val="en-CA"/>
              </w:rPr>
              <w:t>0</w:t>
            </w:r>
          </w:p>
        </w:tc>
      </w:tr>
      <w:tr w:rsidR="00BE15C5" w:rsidRPr="00C44B3A" w14:paraId="58FE1589" w14:textId="77777777" w:rsidTr="00072A46">
        <w:trPr>
          <w:jc w:val="center"/>
        </w:trPr>
        <w:tc>
          <w:tcPr>
            <w:tcW w:w="3697" w:type="dxa"/>
            <w:vAlign w:val="center"/>
          </w:tcPr>
          <w:p w14:paraId="2FBC0E0F" w14:textId="1F583E36" w:rsidR="00BE15C5" w:rsidRPr="00C44B3A" w:rsidRDefault="00784365" w:rsidP="00D45E9A">
            <w:pPr>
              <w:pStyle w:val="ExhibitText"/>
              <w:jc w:val="left"/>
              <w:rPr>
                <w:sz w:val="19"/>
                <w:szCs w:val="19"/>
                <w:lang w:val="en-CA"/>
              </w:rPr>
            </w:pPr>
            <w:r w:rsidRPr="00C44B3A">
              <w:rPr>
                <w:sz w:val="19"/>
                <w:szCs w:val="19"/>
                <w:lang w:val="en-CA"/>
              </w:rPr>
              <w:t xml:space="preserve">Total Liabilities </w:t>
            </w:r>
            <w:r w:rsidR="00D45E9A" w:rsidRPr="00C44B3A">
              <w:rPr>
                <w:sz w:val="19"/>
                <w:szCs w:val="19"/>
                <w:lang w:val="en-CA"/>
              </w:rPr>
              <w:t>a</w:t>
            </w:r>
            <w:r w:rsidRPr="00C44B3A">
              <w:rPr>
                <w:sz w:val="19"/>
                <w:szCs w:val="19"/>
                <w:lang w:val="en-CA"/>
              </w:rPr>
              <w:t>nd Equity</w:t>
            </w:r>
          </w:p>
        </w:tc>
        <w:tc>
          <w:tcPr>
            <w:tcW w:w="896" w:type="dxa"/>
            <w:vAlign w:val="center"/>
          </w:tcPr>
          <w:p w14:paraId="5C74332F" w14:textId="52EE8FD1" w:rsidR="00BE15C5" w:rsidRPr="00C44B3A" w:rsidRDefault="00BE15C5" w:rsidP="00784365">
            <w:pPr>
              <w:pStyle w:val="ExhibitText"/>
              <w:jc w:val="right"/>
              <w:rPr>
                <w:sz w:val="19"/>
                <w:szCs w:val="19"/>
                <w:lang w:val="en-CA"/>
              </w:rPr>
            </w:pPr>
            <w:r w:rsidRPr="00C44B3A">
              <w:rPr>
                <w:sz w:val="19"/>
                <w:szCs w:val="19"/>
                <w:lang w:val="en-CA"/>
              </w:rPr>
              <w:t>393.4</w:t>
            </w:r>
            <w:r w:rsidR="0061596A" w:rsidRPr="00C44B3A">
              <w:rPr>
                <w:sz w:val="19"/>
                <w:szCs w:val="19"/>
                <w:lang w:val="en-CA"/>
              </w:rPr>
              <w:t>0</w:t>
            </w:r>
          </w:p>
        </w:tc>
        <w:tc>
          <w:tcPr>
            <w:tcW w:w="858" w:type="dxa"/>
            <w:vAlign w:val="center"/>
          </w:tcPr>
          <w:p w14:paraId="70DC74D4" w14:textId="6D1DF393" w:rsidR="00BE15C5" w:rsidRPr="00C44B3A" w:rsidRDefault="00BE15C5" w:rsidP="00784365">
            <w:pPr>
              <w:pStyle w:val="ExhibitText"/>
              <w:jc w:val="right"/>
              <w:rPr>
                <w:sz w:val="19"/>
                <w:szCs w:val="19"/>
                <w:lang w:val="en-CA"/>
              </w:rPr>
            </w:pPr>
            <w:r w:rsidRPr="00C44B3A">
              <w:rPr>
                <w:sz w:val="19"/>
                <w:szCs w:val="19"/>
                <w:lang w:val="en-CA"/>
              </w:rPr>
              <w:t>1</w:t>
            </w:r>
            <w:r w:rsidR="00EF31AF" w:rsidRPr="00C44B3A">
              <w:rPr>
                <w:sz w:val="19"/>
                <w:szCs w:val="19"/>
                <w:lang w:val="en-CA"/>
              </w:rPr>
              <w:t>,</w:t>
            </w:r>
            <w:r w:rsidRPr="00C44B3A">
              <w:rPr>
                <w:sz w:val="19"/>
                <w:szCs w:val="19"/>
                <w:lang w:val="en-CA"/>
              </w:rPr>
              <w:t>210</w:t>
            </w:r>
            <w:r w:rsidR="00784365" w:rsidRPr="00C44B3A">
              <w:rPr>
                <w:sz w:val="19"/>
                <w:szCs w:val="19"/>
                <w:lang w:val="en-CA"/>
              </w:rPr>
              <w:t>.0</w:t>
            </w:r>
            <w:r w:rsidR="0061596A" w:rsidRPr="00C44B3A">
              <w:rPr>
                <w:sz w:val="19"/>
                <w:szCs w:val="19"/>
                <w:lang w:val="en-CA"/>
              </w:rPr>
              <w:t>0</w:t>
            </w:r>
          </w:p>
        </w:tc>
        <w:tc>
          <w:tcPr>
            <w:tcW w:w="858" w:type="dxa"/>
            <w:vAlign w:val="center"/>
          </w:tcPr>
          <w:p w14:paraId="547AD24A" w14:textId="3532C5E8" w:rsidR="00BE15C5" w:rsidRPr="00C44B3A" w:rsidRDefault="00BE15C5" w:rsidP="00784365">
            <w:pPr>
              <w:pStyle w:val="ExhibitText"/>
              <w:jc w:val="right"/>
              <w:rPr>
                <w:sz w:val="19"/>
                <w:szCs w:val="19"/>
                <w:lang w:val="en-CA"/>
              </w:rPr>
            </w:pPr>
            <w:r w:rsidRPr="00C44B3A">
              <w:rPr>
                <w:sz w:val="19"/>
                <w:szCs w:val="19"/>
                <w:lang w:val="en-CA"/>
              </w:rPr>
              <w:t>1</w:t>
            </w:r>
            <w:r w:rsidR="00EF31AF" w:rsidRPr="00C44B3A">
              <w:rPr>
                <w:sz w:val="19"/>
                <w:szCs w:val="19"/>
                <w:lang w:val="en-CA"/>
              </w:rPr>
              <w:t>,</w:t>
            </w:r>
            <w:r w:rsidRPr="00C44B3A">
              <w:rPr>
                <w:sz w:val="19"/>
                <w:szCs w:val="19"/>
                <w:lang w:val="en-CA"/>
              </w:rPr>
              <w:t>320</w:t>
            </w:r>
            <w:r w:rsidR="00784365" w:rsidRPr="00C44B3A">
              <w:rPr>
                <w:sz w:val="19"/>
                <w:szCs w:val="19"/>
                <w:lang w:val="en-CA"/>
              </w:rPr>
              <w:t>.0</w:t>
            </w:r>
            <w:r w:rsidR="0061596A" w:rsidRPr="00C44B3A">
              <w:rPr>
                <w:sz w:val="19"/>
                <w:szCs w:val="19"/>
                <w:lang w:val="en-CA"/>
              </w:rPr>
              <w:t>0</w:t>
            </w:r>
          </w:p>
        </w:tc>
        <w:tc>
          <w:tcPr>
            <w:tcW w:w="858" w:type="dxa"/>
            <w:vAlign w:val="center"/>
          </w:tcPr>
          <w:p w14:paraId="06E242AB" w14:textId="43D3F38A" w:rsidR="00BE15C5" w:rsidRPr="00C44B3A" w:rsidRDefault="00BE15C5" w:rsidP="00784365">
            <w:pPr>
              <w:pStyle w:val="ExhibitText"/>
              <w:jc w:val="right"/>
              <w:rPr>
                <w:sz w:val="19"/>
                <w:szCs w:val="19"/>
                <w:lang w:val="en-CA"/>
              </w:rPr>
            </w:pPr>
            <w:r w:rsidRPr="00C44B3A">
              <w:rPr>
                <w:sz w:val="19"/>
                <w:szCs w:val="19"/>
                <w:lang w:val="en-CA"/>
              </w:rPr>
              <w:t>2</w:t>
            </w:r>
            <w:r w:rsidR="00EF31AF" w:rsidRPr="00C44B3A">
              <w:rPr>
                <w:sz w:val="19"/>
                <w:szCs w:val="19"/>
                <w:lang w:val="en-CA"/>
              </w:rPr>
              <w:t>,</w:t>
            </w:r>
            <w:r w:rsidRPr="00C44B3A">
              <w:rPr>
                <w:sz w:val="19"/>
                <w:szCs w:val="19"/>
                <w:lang w:val="en-CA"/>
              </w:rPr>
              <w:t>460</w:t>
            </w:r>
            <w:r w:rsidR="00784365" w:rsidRPr="00C44B3A">
              <w:rPr>
                <w:sz w:val="19"/>
                <w:szCs w:val="19"/>
                <w:lang w:val="en-CA"/>
              </w:rPr>
              <w:t>.0</w:t>
            </w:r>
            <w:r w:rsidR="0061596A" w:rsidRPr="00C44B3A">
              <w:rPr>
                <w:sz w:val="19"/>
                <w:szCs w:val="19"/>
                <w:lang w:val="en-CA"/>
              </w:rPr>
              <w:t>0</w:t>
            </w:r>
          </w:p>
        </w:tc>
        <w:tc>
          <w:tcPr>
            <w:tcW w:w="843" w:type="dxa"/>
            <w:vAlign w:val="center"/>
          </w:tcPr>
          <w:p w14:paraId="31244F2C" w14:textId="2F5FD1A5" w:rsidR="00BE15C5" w:rsidRPr="00C44B3A" w:rsidRDefault="00BE15C5" w:rsidP="00784365">
            <w:pPr>
              <w:pStyle w:val="ExhibitText"/>
              <w:jc w:val="right"/>
              <w:rPr>
                <w:sz w:val="19"/>
                <w:szCs w:val="19"/>
                <w:lang w:val="en-CA"/>
              </w:rPr>
            </w:pPr>
            <w:r w:rsidRPr="00C44B3A">
              <w:rPr>
                <w:sz w:val="19"/>
                <w:szCs w:val="19"/>
                <w:lang w:val="en-CA"/>
              </w:rPr>
              <w:t>2</w:t>
            </w:r>
            <w:r w:rsidR="00EF31AF" w:rsidRPr="00C44B3A">
              <w:rPr>
                <w:sz w:val="19"/>
                <w:szCs w:val="19"/>
                <w:lang w:val="en-CA"/>
              </w:rPr>
              <w:t>,</w:t>
            </w:r>
            <w:r w:rsidRPr="00C44B3A">
              <w:rPr>
                <w:sz w:val="19"/>
                <w:szCs w:val="19"/>
                <w:lang w:val="en-CA"/>
              </w:rPr>
              <w:t>440</w:t>
            </w:r>
            <w:r w:rsidR="00784365" w:rsidRPr="00C44B3A">
              <w:rPr>
                <w:sz w:val="19"/>
                <w:szCs w:val="19"/>
                <w:lang w:val="en-CA"/>
              </w:rPr>
              <w:t>.0</w:t>
            </w:r>
            <w:r w:rsidR="0061596A" w:rsidRPr="00C44B3A">
              <w:rPr>
                <w:sz w:val="19"/>
                <w:szCs w:val="19"/>
                <w:lang w:val="en-CA"/>
              </w:rPr>
              <w:t>0</w:t>
            </w:r>
          </w:p>
        </w:tc>
      </w:tr>
    </w:tbl>
    <w:p w14:paraId="268D1EB5" w14:textId="55FA7319" w:rsidR="00BE15C5" w:rsidRPr="00C44B3A" w:rsidRDefault="00BE15C5" w:rsidP="00BE15C5">
      <w:pPr>
        <w:rPr>
          <w:rFonts w:ascii="Arial" w:hAnsi="Arial" w:cs="Arial"/>
          <w:b/>
          <w:caps/>
          <w:lang w:val="en-CA"/>
        </w:rPr>
      </w:pPr>
    </w:p>
    <w:p w14:paraId="233DA6CC" w14:textId="17575345" w:rsidR="00BE15C5" w:rsidRPr="00C44B3A" w:rsidRDefault="00BE15C5" w:rsidP="00BE15C5">
      <w:pPr>
        <w:jc w:val="both"/>
        <w:rPr>
          <w:rFonts w:ascii="Arial" w:hAnsi="Arial" w:cs="Arial"/>
          <w:sz w:val="17"/>
          <w:szCs w:val="17"/>
          <w:lang w:val="en-CA"/>
        </w:rPr>
      </w:pPr>
      <w:r w:rsidRPr="00C44B3A">
        <w:rPr>
          <w:rFonts w:ascii="Arial" w:hAnsi="Arial" w:cs="Arial"/>
          <w:sz w:val="17"/>
          <w:szCs w:val="17"/>
          <w:lang w:val="en-CA"/>
        </w:rPr>
        <w:t xml:space="preserve">Source: Created by the authors using MarketWatch, </w:t>
      </w:r>
      <w:r w:rsidR="00DC758F" w:rsidRPr="00C44B3A">
        <w:rPr>
          <w:rFonts w:ascii="Arial" w:hAnsi="Arial" w:cs="Arial"/>
          <w:sz w:val="17"/>
          <w:szCs w:val="17"/>
          <w:lang w:val="en-CA"/>
        </w:rPr>
        <w:t>“</w:t>
      </w:r>
      <w:r w:rsidRPr="00C44B3A">
        <w:rPr>
          <w:rFonts w:ascii="Arial" w:hAnsi="Arial" w:cs="Arial"/>
          <w:sz w:val="17"/>
          <w:szCs w:val="17"/>
          <w:lang w:val="en-CA"/>
        </w:rPr>
        <w:t>New Flyer Industries Inc.</w:t>
      </w:r>
      <w:r w:rsidR="00EF31AF" w:rsidRPr="00C44B3A">
        <w:rPr>
          <w:rFonts w:ascii="Arial" w:hAnsi="Arial" w:cs="Arial"/>
          <w:sz w:val="17"/>
          <w:szCs w:val="17"/>
          <w:lang w:val="en-CA"/>
        </w:rPr>
        <w:t>,</w:t>
      </w:r>
      <w:r w:rsidRPr="00C44B3A">
        <w:rPr>
          <w:rFonts w:ascii="Arial" w:hAnsi="Arial" w:cs="Arial"/>
          <w:sz w:val="17"/>
          <w:szCs w:val="17"/>
          <w:lang w:val="en-CA"/>
        </w:rPr>
        <w:t>” accessed September 22, 2017, www.marketwatch.com/investing/stock/nfi/financials.</w:t>
      </w:r>
    </w:p>
    <w:p w14:paraId="71113C03" w14:textId="447A8AEE" w:rsidR="00BE15C5" w:rsidRPr="00C44B3A" w:rsidRDefault="00BE15C5" w:rsidP="00BE15C5">
      <w:pPr>
        <w:jc w:val="both"/>
        <w:rPr>
          <w:rFonts w:ascii="Arial" w:hAnsi="Arial" w:cs="Arial"/>
          <w:sz w:val="17"/>
          <w:szCs w:val="17"/>
          <w:lang w:val="en-CA"/>
        </w:rPr>
      </w:pPr>
    </w:p>
    <w:p w14:paraId="547681FC" w14:textId="77777777" w:rsidR="00DC758F" w:rsidRPr="00C44B3A" w:rsidRDefault="00DC758F" w:rsidP="00BE15C5">
      <w:pPr>
        <w:jc w:val="both"/>
        <w:rPr>
          <w:rFonts w:ascii="Arial" w:hAnsi="Arial" w:cs="Arial"/>
          <w:sz w:val="17"/>
          <w:szCs w:val="17"/>
          <w:lang w:val="en-CA"/>
        </w:rPr>
      </w:pPr>
    </w:p>
    <w:p w14:paraId="3D383614" w14:textId="0A869CF2" w:rsidR="00BE15C5" w:rsidRPr="00C44B3A" w:rsidRDefault="00BE15C5" w:rsidP="00B93369">
      <w:pPr>
        <w:jc w:val="center"/>
        <w:rPr>
          <w:rFonts w:ascii="Arial" w:hAnsi="Arial" w:cs="Arial"/>
          <w:b/>
          <w:caps/>
          <w:lang w:val="en-CA"/>
        </w:rPr>
      </w:pPr>
      <w:r w:rsidRPr="00C44B3A">
        <w:rPr>
          <w:rFonts w:ascii="Arial" w:hAnsi="Arial" w:cs="Arial"/>
          <w:b/>
          <w:caps/>
          <w:lang w:val="en-CA"/>
        </w:rPr>
        <w:t>EXHIB</w:t>
      </w:r>
      <w:r w:rsidR="009971F5" w:rsidRPr="00C44B3A">
        <w:rPr>
          <w:rFonts w:ascii="Arial" w:hAnsi="Arial" w:cs="Arial"/>
          <w:b/>
          <w:caps/>
          <w:lang w:val="en-CA"/>
        </w:rPr>
        <w:t>IT 4</w:t>
      </w:r>
      <w:r w:rsidRPr="00C44B3A">
        <w:rPr>
          <w:rFonts w:ascii="Arial" w:hAnsi="Arial" w:cs="Arial"/>
          <w:b/>
          <w:caps/>
          <w:lang w:val="en-CA"/>
        </w:rPr>
        <w:t xml:space="preserve">: </w:t>
      </w:r>
      <w:r w:rsidR="00EF31AF" w:rsidRPr="00C44B3A">
        <w:rPr>
          <w:rFonts w:ascii="Arial" w:hAnsi="Arial" w:cs="Arial"/>
          <w:b/>
          <w:caps/>
          <w:lang w:val="en-CA"/>
        </w:rPr>
        <w:t xml:space="preserve">New Flyer Industries Inc. </w:t>
      </w:r>
      <w:r w:rsidRPr="00C44B3A">
        <w:rPr>
          <w:rFonts w:ascii="Arial" w:hAnsi="Arial" w:cs="Arial"/>
          <w:b/>
          <w:caps/>
          <w:lang w:val="en-CA"/>
        </w:rPr>
        <w:t xml:space="preserve">Stock PRICE, 2013–2018 </w:t>
      </w:r>
    </w:p>
    <w:p w14:paraId="307F61D4" w14:textId="77777777" w:rsidR="00EB4A09" w:rsidRPr="00C44B3A" w:rsidRDefault="00EB4A09" w:rsidP="00B93369">
      <w:pPr>
        <w:pStyle w:val="ExhibitText"/>
        <w:rPr>
          <w:lang w:val="en-CA"/>
        </w:rPr>
      </w:pPr>
    </w:p>
    <w:p w14:paraId="21D8BD36" w14:textId="77777777" w:rsidR="00BE15C5" w:rsidRPr="00C44B3A" w:rsidRDefault="00BE15C5" w:rsidP="00B93369">
      <w:pPr>
        <w:jc w:val="center"/>
        <w:rPr>
          <w:rFonts w:ascii="Arial" w:hAnsi="Arial" w:cs="Arial"/>
          <w:b/>
          <w:caps/>
          <w:lang w:val="en-CA"/>
        </w:rPr>
      </w:pPr>
      <w:r w:rsidRPr="00C44B3A">
        <w:rPr>
          <w:rFonts w:ascii="Arial" w:hAnsi="Arial" w:cs="Arial"/>
          <w:b/>
          <w:caps/>
          <w:noProof/>
          <w:lang w:val="en-CA"/>
        </w:rPr>
        <w:drawing>
          <wp:inline distT="0" distB="0" distL="0" distR="0" wp14:anchorId="2AB23E40" wp14:editId="3572500D">
            <wp:extent cx="5654354" cy="314553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718350" cy="3181137"/>
                    </a:xfrm>
                    <a:prstGeom prst="rect">
                      <a:avLst/>
                    </a:prstGeom>
                  </pic:spPr>
                </pic:pic>
              </a:graphicData>
            </a:graphic>
          </wp:inline>
        </w:drawing>
      </w:r>
    </w:p>
    <w:p w14:paraId="12DF8721" w14:textId="77777777" w:rsidR="00BE15C5" w:rsidRPr="00C44B3A" w:rsidRDefault="00BE15C5" w:rsidP="00B93369">
      <w:pPr>
        <w:jc w:val="both"/>
        <w:rPr>
          <w:rFonts w:ascii="Arial" w:hAnsi="Arial" w:cs="Arial"/>
          <w:sz w:val="17"/>
          <w:szCs w:val="17"/>
          <w:lang w:val="en-CA"/>
        </w:rPr>
      </w:pPr>
    </w:p>
    <w:p w14:paraId="5CBCD392" w14:textId="65A1756F" w:rsidR="00BE15C5" w:rsidRPr="00C44B3A" w:rsidRDefault="00BE15C5" w:rsidP="00B93369">
      <w:pPr>
        <w:jc w:val="both"/>
        <w:rPr>
          <w:rFonts w:ascii="Arial" w:hAnsi="Arial" w:cs="Arial"/>
          <w:sz w:val="17"/>
          <w:szCs w:val="17"/>
          <w:lang w:val="en-CA"/>
        </w:rPr>
      </w:pPr>
      <w:r w:rsidRPr="00C44B3A">
        <w:rPr>
          <w:rFonts w:ascii="Arial" w:hAnsi="Arial" w:cs="Arial"/>
          <w:sz w:val="17"/>
          <w:szCs w:val="17"/>
          <w:lang w:val="en-CA"/>
        </w:rPr>
        <w:t xml:space="preserve">Source: </w:t>
      </w:r>
      <w:r w:rsidR="00EF31AF" w:rsidRPr="00C44B3A">
        <w:rPr>
          <w:rFonts w:ascii="Arial" w:hAnsi="Arial" w:cs="Arial"/>
          <w:sz w:val="17"/>
          <w:szCs w:val="17"/>
          <w:lang w:val="en-CA"/>
        </w:rPr>
        <w:t xml:space="preserve">“New Flyer Industries Inc. (NFI.TO),” </w:t>
      </w:r>
      <w:r w:rsidRPr="00C44B3A">
        <w:rPr>
          <w:rFonts w:ascii="Arial" w:hAnsi="Arial" w:cs="Arial"/>
          <w:sz w:val="17"/>
          <w:szCs w:val="17"/>
          <w:lang w:val="en-CA"/>
        </w:rPr>
        <w:t>Yahoo! Finance, accessed January 17, 2018, https://ca.finance</w:t>
      </w:r>
      <w:r w:rsidR="009971F5" w:rsidRPr="00C44B3A">
        <w:rPr>
          <w:rFonts w:ascii="Arial" w:hAnsi="Arial" w:cs="Arial"/>
          <w:sz w:val="17"/>
          <w:szCs w:val="17"/>
          <w:lang w:val="en-CA"/>
        </w:rPr>
        <w:t>.yahoo.com/quote/NFI.TO?p=NFI.T</w:t>
      </w:r>
      <w:r w:rsidR="00EF31AF" w:rsidRPr="00C44B3A">
        <w:rPr>
          <w:rFonts w:ascii="Arial" w:hAnsi="Arial" w:cs="Arial"/>
          <w:sz w:val="17"/>
          <w:szCs w:val="17"/>
          <w:lang w:val="en-CA"/>
        </w:rPr>
        <w:t>.</w:t>
      </w:r>
    </w:p>
    <w:p w14:paraId="530D6E04" w14:textId="07EEFC42" w:rsidR="00BE15C5" w:rsidRPr="00C44B3A" w:rsidRDefault="00BE15C5" w:rsidP="00BE15C5">
      <w:pPr>
        <w:jc w:val="center"/>
        <w:rPr>
          <w:rFonts w:ascii="Arial" w:hAnsi="Arial" w:cs="Arial"/>
          <w:b/>
          <w:caps/>
          <w:lang w:val="en-CA"/>
        </w:rPr>
      </w:pPr>
      <w:r w:rsidRPr="00C44B3A">
        <w:rPr>
          <w:rFonts w:ascii="Arial" w:hAnsi="Arial" w:cs="Arial"/>
          <w:b/>
          <w:caps/>
          <w:lang w:val="en-CA"/>
        </w:rPr>
        <w:lastRenderedPageBreak/>
        <w:t>E</w:t>
      </w:r>
      <w:r w:rsidR="009971F5" w:rsidRPr="00C44B3A">
        <w:rPr>
          <w:rFonts w:ascii="Arial" w:hAnsi="Arial" w:cs="Arial"/>
          <w:b/>
          <w:caps/>
          <w:lang w:val="en-CA"/>
        </w:rPr>
        <w:t>XHIBIT 5</w:t>
      </w:r>
      <w:r w:rsidRPr="00C44B3A">
        <w:rPr>
          <w:rFonts w:ascii="Arial" w:hAnsi="Arial" w:cs="Arial"/>
          <w:b/>
          <w:caps/>
          <w:lang w:val="en-CA"/>
        </w:rPr>
        <w:t xml:space="preserve">: S&amp;P/TSX Composite index, 1979–2018 </w:t>
      </w:r>
    </w:p>
    <w:p w14:paraId="45427176" w14:textId="77777777" w:rsidR="00BE15C5" w:rsidRPr="00C44B3A" w:rsidRDefault="00BE15C5" w:rsidP="00BE15C5">
      <w:pPr>
        <w:jc w:val="center"/>
        <w:rPr>
          <w:rFonts w:ascii="Arial" w:hAnsi="Arial" w:cs="Arial"/>
          <w:b/>
          <w:caps/>
          <w:lang w:val="en-CA"/>
        </w:rPr>
      </w:pPr>
    </w:p>
    <w:p w14:paraId="210785D3" w14:textId="77777777" w:rsidR="00BE15C5" w:rsidRPr="00C44B3A" w:rsidRDefault="00BE15C5" w:rsidP="00BE15C5">
      <w:pPr>
        <w:jc w:val="center"/>
        <w:rPr>
          <w:rFonts w:ascii="Arial" w:hAnsi="Arial" w:cs="Arial"/>
          <w:b/>
          <w:caps/>
          <w:lang w:val="en-CA"/>
        </w:rPr>
      </w:pPr>
      <w:bookmarkStart w:id="0" w:name="_GoBack"/>
      <w:r w:rsidRPr="00C44B3A">
        <w:rPr>
          <w:rFonts w:ascii="Arial" w:hAnsi="Arial" w:cs="Arial"/>
          <w:b/>
          <w:caps/>
          <w:noProof/>
          <w:lang w:val="en-CA"/>
        </w:rPr>
        <w:drawing>
          <wp:inline distT="0" distB="0" distL="0" distR="0" wp14:anchorId="269F0010" wp14:editId="43FE6807">
            <wp:extent cx="5734431" cy="2961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743847" cy="2966427"/>
                    </a:xfrm>
                    <a:prstGeom prst="rect">
                      <a:avLst/>
                    </a:prstGeom>
                  </pic:spPr>
                </pic:pic>
              </a:graphicData>
            </a:graphic>
          </wp:inline>
        </w:drawing>
      </w:r>
      <w:bookmarkEnd w:id="0"/>
    </w:p>
    <w:p w14:paraId="38A5ADD8" w14:textId="77777777" w:rsidR="00BE15C5" w:rsidRPr="00C44B3A" w:rsidRDefault="00BE15C5" w:rsidP="00BE15C5">
      <w:pPr>
        <w:jc w:val="center"/>
        <w:rPr>
          <w:rFonts w:ascii="Arial" w:hAnsi="Arial" w:cs="Arial"/>
          <w:sz w:val="17"/>
          <w:szCs w:val="17"/>
          <w:lang w:val="en-CA"/>
        </w:rPr>
      </w:pPr>
    </w:p>
    <w:p w14:paraId="470B082B" w14:textId="48EE2F63" w:rsidR="00072A46" w:rsidRPr="00C44B3A" w:rsidRDefault="00BE15C5" w:rsidP="00BE15C5">
      <w:pPr>
        <w:jc w:val="both"/>
        <w:rPr>
          <w:rFonts w:ascii="Arial" w:hAnsi="Arial" w:cs="Arial"/>
          <w:sz w:val="17"/>
          <w:szCs w:val="17"/>
          <w:lang w:val="en-CA"/>
        </w:rPr>
      </w:pPr>
      <w:r w:rsidRPr="00C44B3A">
        <w:rPr>
          <w:rFonts w:ascii="Arial" w:hAnsi="Arial" w:cs="Arial"/>
          <w:sz w:val="17"/>
          <w:szCs w:val="17"/>
          <w:lang w:val="en-CA"/>
        </w:rPr>
        <w:t xml:space="preserve">Source: </w:t>
      </w:r>
      <w:r w:rsidR="00EF31AF" w:rsidRPr="00C44B3A">
        <w:rPr>
          <w:rFonts w:ascii="Arial" w:hAnsi="Arial" w:cs="Arial"/>
          <w:sz w:val="17"/>
          <w:szCs w:val="17"/>
          <w:lang w:val="en-CA"/>
        </w:rPr>
        <w:t xml:space="preserve">“S&amp;P/TSX Composite </w:t>
      </w:r>
      <w:r w:rsidR="0061596A" w:rsidRPr="00C44B3A">
        <w:rPr>
          <w:rFonts w:ascii="Arial" w:hAnsi="Arial" w:cs="Arial"/>
          <w:sz w:val="17"/>
          <w:szCs w:val="17"/>
          <w:lang w:val="en-CA"/>
        </w:rPr>
        <w:t>I</w:t>
      </w:r>
      <w:r w:rsidR="00EF31AF" w:rsidRPr="00C44B3A">
        <w:rPr>
          <w:rFonts w:ascii="Arial" w:hAnsi="Arial" w:cs="Arial"/>
          <w:sz w:val="17"/>
          <w:szCs w:val="17"/>
          <w:lang w:val="en-CA"/>
        </w:rPr>
        <w:t xml:space="preserve">ndex (^GSPTSE),” </w:t>
      </w:r>
      <w:r w:rsidRPr="00C44B3A">
        <w:rPr>
          <w:rFonts w:ascii="Arial" w:hAnsi="Arial" w:cs="Arial"/>
          <w:sz w:val="17"/>
          <w:szCs w:val="17"/>
          <w:lang w:val="en-CA"/>
        </w:rPr>
        <w:t>Yahoo! Finance, accessed January 17, 2018, https://ca.finance.yahoo.com/quote/%5EGSPTSE?p=^GSPTSE.</w:t>
      </w:r>
    </w:p>
    <w:p w14:paraId="749CD3CF" w14:textId="77777777" w:rsidR="00072A46" w:rsidRPr="00C44B3A" w:rsidRDefault="00072A46">
      <w:pPr>
        <w:spacing w:after="200" w:line="276" w:lineRule="auto"/>
        <w:rPr>
          <w:rFonts w:ascii="Arial" w:hAnsi="Arial" w:cs="Arial"/>
          <w:sz w:val="17"/>
          <w:szCs w:val="17"/>
          <w:lang w:val="en-CA"/>
        </w:rPr>
      </w:pPr>
      <w:r w:rsidRPr="00C44B3A">
        <w:rPr>
          <w:rFonts w:ascii="Arial" w:hAnsi="Arial" w:cs="Arial"/>
          <w:sz w:val="17"/>
          <w:szCs w:val="17"/>
          <w:lang w:val="en-CA"/>
        </w:rPr>
        <w:br w:type="page"/>
      </w:r>
    </w:p>
    <w:p w14:paraId="30AF003E" w14:textId="0D6B850E" w:rsidR="00465348" w:rsidRPr="00C44B3A" w:rsidRDefault="00EB4A09" w:rsidP="00EB4A09">
      <w:pPr>
        <w:pStyle w:val="ExhibitHeading"/>
        <w:jc w:val="left"/>
        <w:rPr>
          <w:lang w:val="en-CA"/>
        </w:rPr>
      </w:pPr>
      <w:r w:rsidRPr="00C44B3A">
        <w:rPr>
          <w:lang w:val="en-CA"/>
        </w:rPr>
        <w:lastRenderedPageBreak/>
        <w:t>ENDNOTES</w:t>
      </w:r>
    </w:p>
    <w:sectPr w:rsidR="00465348" w:rsidRPr="00C44B3A" w:rsidSect="00F9210D">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F0379" w14:textId="77777777" w:rsidR="00FA0FD9" w:rsidRDefault="00FA0FD9" w:rsidP="00D75295">
      <w:r>
        <w:separator/>
      </w:r>
    </w:p>
  </w:endnote>
  <w:endnote w:type="continuationSeparator" w:id="0">
    <w:p w14:paraId="59C20FDE" w14:textId="77777777" w:rsidR="00FA0FD9" w:rsidRDefault="00FA0FD9" w:rsidP="00D75295">
      <w:r>
        <w:continuationSeparator/>
      </w:r>
    </w:p>
  </w:endnote>
  <w:endnote w:id="1">
    <w:p w14:paraId="208B2E09" w14:textId="77777777" w:rsidR="00FA0FD9" w:rsidRPr="00C20C28" w:rsidRDefault="00FA0FD9" w:rsidP="00FA0FD9">
      <w:pPr>
        <w:pStyle w:val="EndnoteText"/>
        <w:jc w:val="both"/>
        <w:rPr>
          <w:rFonts w:ascii="Arial" w:hAnsi="Arial" w:cs="Arial"/>
          <w:i/>
          <w:sz w:val="17"/>
          <w:szCs w:val="17"/>
          <w:lang w:val="en-US"/>
        </w:rPr>
      </w:pPr>
      <w:r w:rsidRPr="00C20C28">
        <w:rPr>
          <w:rStyle w:val="EndnoteReference"/>
          <w:rFonts w:ascii="Arial" w:hAnsi="Arial" w:cs="Arial"/>
          <w:sz w:val="17"/>
          <w:szCs w:val="17"/>
        </w:rPr>
        <w:endnoteRef/>
      </w:r>
      <w:r w:rsidRPr="00C20C28">
        <w:rPr>
          <w:rFonts w:ascii="Arial" w:hAnsi="Arial" w:cs="Arial"/>
          <w:sz w:val="17"/>
          <w:szCs w:val="17"/>
        </w:rPr>
        <w:t xml:space="preserve"> </w:t>
      </w:r>
      <w:r w:rsidRPr="00C20C28">
        <w:rPr>
          <w:rStyle w:val="FootnoteChar"/>
          <w:rFonts w:eastAsia="Calibri"/>
          <w:i w:val="0"/>
        </w:rPr>
        <w:t xml:space="preserve">This case has been written on the basis of published sources only. Consequently, the interpretation and perspectives presented in this case are not necessarily those of New Flyer Industries </w:t>
      </w:r>
      <w:r w:rsidRPr="00C20C28">
        <w:rPr>
          <w:rStyle w:val="FootnoteChar"/>
          <w:rFonts w:eastAsia="Calibri"/>
          <w:i w:val="0"/>
          <w:lang w:val="en-US"/>
        </w:rPr>
        <w:t>Inc.</w:t>
      </w:r>
      <w:r w:rsidRPr="00C20C28">
        <w:rPr>
          <w:rStyle w:val="FootnoteChar"/>
          <w:rFonts w:eastAsia="Calibri"/>
          <w:i w:val="0"/>
        </w:rPr>
        <w:t xml:space="preserve"> or any of its employees.</w:t>
      </w:r>
    </w:p>
  </w:endnote>
  <w:endnote w:id="2">
    <w:p w14:paraId="4608004E" w14:textId="60FF1479" w:rsidR="00FA0FD9" w:rsidRPr="00C20C28" w:rsidRDefault="00FA0FD9" w:rsidP="00FA0FD9">
      <w:pPr>
        <w:pStyle w:val="EndnoteText"/>
        <w:jc w:val="both"/>
        <w:rPr>
          <w:rFonts w:ascii="Arial" w:hAnsi="Arial" w:cs="Arial"/>
          <w:sz w:val="17"/>
          <w:szCs w:val="17"/>
          <w:lang w:val="en-US"/>
        </w:rPr>
      </w:pPr>
      <w:r w:rsidRPr="00C20C28">
        <w:rPr>
          <w:rStyle w:val="EndnoteReference"/>
          <w:rFonts w:ascii="Arial" w:hAnsi="Arial" w:cs="Arial"/>
          <w:sz w:val="17"/>
          <w:szCs w:val="17"/>
        </w:rPr>
        <w:endnoteRef/>
      </w:r>
      <w:r w:rsidRPr="00C20C28">
        <w:rPr>
          <w:rFonts w:ascii="Arial" w:hAnsi="Arial" w:cs="Arial"/>
          <w:sz w:val="17"/>
          <w:szCs w:val="17"/>
        </w:rPr>
        <w:t xml:space="preserve"> </w:t>
      </w:r>
      <w:r w:rsidRPr="00C20C28">
        <w:rPr>
          <w:rFonts w:ascii="Arial" w:hAnsi="Arial" w:cs="Arial"/>
          <w:sz w:val="17"/>
          <w:szCs w:val="17"/>
          <w:lang w:val="en-US"/>
        </w:rPr>
        <w:t xml:space="preserve">Bryan </w:t>
      </w:r>
      <w:r w:rsidRPr="00C20C28">
        <w:rPr>
          <w:rFonts w:ascii="Arial" w:hAnsi="Arial" w:cs="Arial"/>
          <w:sz w:val="17"/>
          <w:szCs w:val="17"/>
          <w:lang w:val="en-US"/>
        </w:rPr>
        <w:t xml:space="preserve">Borzykowski, “New Flyer: A </w:t>
      </w:r>
      <w:r>
        <w:rPr>
          <w:rFonts w:ascii="Arial" w:hAnsi="Arial" w:cs="Arial"/>
          <w:sz w:val="17"/>
          <w:szCs w:val="17"/>
          <w:lang w:val="en-US"/>
        </w:rPr>
        <w:t>L</w:t>
      </w:r>
      <w:r w:rsidRPr="00C20C28">
        <w:rPr>
          <w:rFonts w:ascii="Arial" w:hAnsi="Arial" w:cs="Arial"/>
          <w:sz w:val="17"/>
          <w:szCs w:val="17"/>
          <w:lang w:val="en-US"/>
        </w:rPr>
        <w:t xml:space="preserve">ook at </w:t>
      </w:r>
      <w:r>
        <w:rPr>
          <w:rFonts w:ascii="Arial" w:hAnsi="Arial" w:cs="Arial"/>
          <w:sz w:val="17"/>
          <w:szCs w:val="17"/>
          <w:lang w:val="en-US"/>
        </w:rPr>
        <w:t>O</w:t>
      </w:r>
      <w:r w:rsidRPr="00C20C28">
        <w:rPr>
          <w:rFonts w:ascii="Arial" w:hAnsi="Arial" w:cs="Arial"/>
          <w:sz w:val="17"/>
          <w:szCs w:val="17"/>
          <w:lang w:val="en-US"/>
        </w:rPr>
        <w:t>ne of Canada’s Biggest Stock Market Success Stories</w:t>
      </w:r>
      <w:r>
        <w:rPr>
          <w:rFonts w:ascii="Arial" w:hAnsi="Arial" w:cs="Arial"/>
          <w:sz w:val="17"/>
          <w:szCs w:val="17"/>
          <w:lang w:val="en-US"/>
        </w:rPr>
        <w:t>,</w:t>
      </w:r>
      <w:r w:rsidRPr="00C20C28">
        <w:rPr>
          <w:rFonts w:ascii="Arial" w:hAnsi="Arial" w:cs="Arial"/>
          <w:sz w:val="17"/>
          <w:szCs w:val="17"/>
          <w:lang w:val="en-US"/>
        </w:rPr>
        <w:t xml:space="preserve">” </w:t>
      </w:r>
      <w:r w:rsidRPr="00A26412">
        <w:rPr>
          <w:rFonts w:ascii="Arial" w:hAnsi="Arial" w:cs="Arial"/>
          <w:i/>
          <w:sz w:val="17"/>
          <w:szCs w:val="17"/>
          <w:lang w:val="en-US"/>
        </w:rPr>
        <w:t>Globe and Mail</w:t>
      </w:r>
      <w:r w:rsidRPr="00C20C28">
        <w:rPr>
          <w:rFonts w:ascii="Arial" w:hAnsi="Arial" w:cs="Arial"/>
          <w:sz w:val="17"/>
          <w:szCs w:val="17"/>
          <w:lang w:val="en-US"/>
        </w:rPr>
        <w:t>, June 19, 2017, accessed January 26, 2018, https://www.theglobeandmail.com/report-on-business/rob-magazine/new-flyer-expands-and-modernizes-to-stay-ahead-of-demand/article34866007/.</w:t>
      </w:r>
    </w:p>
  </w:endnote>
  <w:endnote w:id="3">
    <w:p w14:paraId="1671CE83" w14:textId="0E65B58A" w:rsidR="00FA0FD9" w:rsidRPr="00072A46" w:rsidRDefault="00FA0FD9" w:rsidP="00234D19">
      <w:pPr>
        <w:pStyle w:val="Footnote"/>
        <w:rPr>
          <w:i w:val="0"/>
          <w:spacing w:val="-2"/>
          <w:kern w:val="17"/>
        </w:rPr>
      </w:pPr>
      <w:r w:rsidRPr="00072A46">
        <w:rPr>
          <w:rStyle w:val="EndnoteReference"/>
          <w:i w:val="0"/>
          <w:spacing w:val="-2"/>
          <w:kern w:val="17"/>
        </w:rPr>
        <w:endnoteRef/>
      </w:r>
      <w:r w:rsidRPr="00072A46">
        <w:rPr>
          <w:spacing w:val="-2"/>
          <w:kern w:val="17"/>
        </w:rPr>
        <w:t xml:space="preserve"> </w:t>
      </w:r>
      <w:r w:rsidRPr="00072A46">
        <w:rPr>
          <w:i w:val="0"/>
          <w:spacing w:val="-2"/>
          <w:kern w:val="17"/>
        </w:rPr>
        <w:t xml:space="preserve">New Flyer Industries Inc., “New Flyer Announces Acquisition of MCI, North America's Leading Motor Coach Manufacturer, Parts and Service Company,” </w:t>
      </w:r>
      <w:r w:rsidRPr="00072A46">
        <w:rPr>
          <w:i w:val="0"/>
          <w:spacing w:val="-2"/>
          <w:kern w:val="17"/>
        </w:rPr>
        <w:t>MarketWatch, November 10, 2015, accessed July 25, 2017, www.marketwatch.com/story/new-flyer-announces-acquisition-of-mci-north-americas-leading-motor-coach-manufacturer-parts-and-service-company-2015-11-10.</w:t>
      </w:r>
    </w:p>
  </w:endnote>
  <w:endnote w:id="4">
    <w:p w14:paraId="270C36C2" w14:textId="6EF22933" w:rsidR="00FA0FD9" w:rsidRPr="00C20C28" w:rsidRDefault="00FA0FD9">
      <w:pPr>
        <w:pStyle w:val="Footnote"/>
        <w:rPr>
          <w:i w:val="0"/>
        </w:rPr>
      </w:pPr>
      <w:r w:rsidRPr="00C20C28">
        <w:rPr>
          <w:rStyle w:val="EndnoteReference"/>
          <w:i w:val="0"/>
        </w:rPr>
        <w:endnoteRef/>
      </w:r>
      <w:r w:rsidRPr="00C20C28">
        <w:rPr>
          <w:i w:val="0"/>
        </w:rPr>
        <w:t xml:space="preserve"> Karen Thomas, “</w:t>
      </w:r>
      <w:r w:rsidRPr="00C20C28">
        <w:rPr>
          <w:i w:val="0"/>
          <w:lang w:val="en-CA"/>
        </w:rPr>
        <w:t>New Flyer Industries Inc. Is Down 6.6% From May High: Time to Buy?</w:t>
      </w:r>
      <w:r>
        <w:rPr>
          <w:i w:val="0"/>
          <w:lang w:val="en-CA"/>
        </w:rPr>
        <w:t>,</w:t>
      </w:r>
      <w:r w:rsidRPr="00C20C28">
        <w:rPr>
          <w:i w:val="0"/>
          <w:lang w:val="en-CA"/>
        </w:rPr>
        <w:t>” The Motley Fool, July 19, 2017, accessed July 25, 2017, https://www.fool.ca/2017/07/19/new-flyer-industries-inc-is-down-6-6-from-may-high-time-to-buy/.</w:t>
      </w:r>
    </w:p>
  </w:endnote>
  <w:endnote w:id="5">
    <w:p w14:paraId="1A9D68AD" w14:textId="5B2380F6" w:rsidR="00FA0FD9" w:rsidRPr="00C20C28" w:rsidRDefault="00FA0FD9" w:rsidP="00FA0FD9">
      <w:pPr>
        <w:pStyle w:val="EndnoteText"/>
        <w:jc w:val="both"/>
        <w:rPr>
          <w:rFonts w:ascii="Arial" w:hAnsi="Arial" w:cs="Arial"/>
          <w:sz w:val="17"/>
          <w:szCs w:val="17"/>
          <w:lang w:val="en-US"/>
        </w:rPr>
      </w:pPr>
      <w:r w:rsidRPr="00C20C28">
        <w:rPr>
          <w:rStyle w:val="EndnoteReference"/>
          <w:rFonts w:ascii="Arial" w:hAnsi="Arial" w:cs="Arial"/>
          <w:sz w:val="17"/>
          <w:szCs w:val="17"/>
        </w:rPr>
        <w:endnoteRef/>
      </w:r>
      <w:r w:rsidRPr="00C20C28">
        <w:rPr>
          <w:rFonts w:ascii="Arial" w:hAnsi="Arial" w:cs="Arial"/>
          <w:sz w:val="17"/>
          <w:szCs w:val="17"/>
        </w:rPr>
        <w:t xml:space="preserve"> </w:t>
      </w:r>
      <w:r w:rsidRPr="00C20C28">
        <w:rPr>
          <w:rStyle w:val="FootnoteChar"/>
          <w:rFonts w:eastAsia="Calibri"/>
          <w:i w:val="0"/>
        </w:rPr>
        <w:t>All currency amounts are in CA</w:t>
      </w:r>
      <w:r>
        <w:rPr>
          <w:rStyle w:val="FootnoteChar"/>
          <w:rFonts w:eastAsia="Calibri"/>
          <w:i w:val="0"/>
          <w:lang w:val="en-CA"/>
        </w:rPr>
        <w:t>$</w:t>
      </w:r>
      <w:r w:rsidRPr="00C20C28">
        <w:rPr>
          <w:rStyle w:val="FootnoteChar"/>
          <w:rFonts w:eastAsia="Calibri"/>
          <w:i w:val="0"/>
        </w:rPr>
        <w:t xml:space="preserve"> unless otherwise specified.</w:t>
      </w:r>
      <w:r w:rsidRPr="00C20C28">
        <w:rPr>
          <w:rFonts w:ascii="Arial" w:hAnsi="Arial" w:cs="Arial"/>
          <w:sz w:val="17"/>
          <w:szCs w:val="17"/>
          <w:lang w:val="en-US"/>
        </w:rPr>
        <w:t xml:space="preserve"> </w:t>
      </w:r>
    </w:p>
  </w:endnote>
  <w:endnote w:id="6">
    <w:p w14:paraId="68933A90" w14:textId="511F35A9" w:rsidR="00FA0FD9" w:rsidRPr="00C20C28" w:rsidRDefault="00FA0FD9" w:rsidP="00234D19">
      <w:pPr>
        <w:pStyle w:val="Footnote"/>
        <w:rPr>
          <w:i w:val="0"/>
        </w:rPr>
      </w:pPr>
      <w:r w:rsidRPr="00C20C28">
        <w:rPr>
          <w:rStyle w:val="EndnoteReference"/>
          <w:i w:val="0"/>
        </w:rPr>
        <w:endnoteRef/>
      </w:r>
      <w:r w:rsidRPr="00C20C28">
        <w:rPr>
          <w:i w:val="0"/>
        </w:rPr>
        <w:t xml:space="preserve"> “</w:t>
      </w:r>
      <w:r>
        <w:rPr>
          <w:i w:val="0"/>
        </w:rPr>
        <w:t xml:space="preserve">About </w:t>
      </w:r>
      <w:r w:rsidRPr="00C20C28">
        <w:rPr>
          <w:i w:val="0"/>
        </w:rPr>
        <w:t>New Flyer</w:t>
      </w:r>
      <w:r>
        <w:rPr>
          <w:i w:val="0"/>
        </w:rPr>
        <w:t>,</w:t>
      </w:r>
      <w:r w:rsidRPr="00C20C28">
        <w:rPr>
          <w:i w:val="0"/>
        </w:rPr>
        <w:t xml:space="preserve">” New Flyer </w:t>
      </w:r>
      <w:r>
        <w:rPr>
          <w:i w:val="0"/>
        </w:rPr>
        <w:t>of America</w:t>
      </w:r>
      <w:r w:rsidRPr="00C20C28">
        <w:rPr>
          <w:i w:val="0"/>
        </w:rPr>
        <w:t>, accessed July 26, 2017, https://www.newflyer.com/about/.</w:t>
      </w:r>
    </w:p>
  </w:endnote>
  <w:endnote w:id="7">
    <w:p w14:paraId="733A8C23" w14:textId="328442C6" w:rsidR="00FA0FD9" w:rsidRPr="00C20C28" w:rsidRDefault="00FA0FD9">
      <w:pPr>
        <w:pStyle w:val="Footnote"/>
        <w:rPr>
          <w:i w:val="0"/>
        </w:rPr>
      </w:pPr>
      <w:r w:rsidRPr="00C20C28">
        <w:rPr>
          <w:rStyle w:val="EndnoteReference"/>
          <w:i w:val="0"/>
        </w:rPr>
        <w:endnoteRef/>
      </w:r>
      <w:r w:rsidRPr="00C20C28">
        <w:rPr>
          <w:i w:val="0"/>
        </w:rPr>
        <w:t xml:space="preserve"> “New Flyer Industries </w:t>
      </w:r>
      <w:r>
        <w:rPr>
          <w:i w:val="0"/>
        </w:rPr>
        <w:t>C</w:t>
      </w:r>
      <w:r w:rsidRPr="00C20C28">
        <w:rPr>
          <w:i w:val="0"/>
        </w:rPr>
        <w:t xml:space="preserve">ompletes C$200 Million Initial Public Offering </w:t>
      </w:r>
      <w:r>
        <w:rPr>
          <w:i w:val="0"/>
        </w:rPr>
        <w:t>o</w:t>
      </w:r>
      <w:r w:rsidRPr="00C20C28">
        <w:rPr>
          <w:i w:val="0"/>
        </w:rPr>
        <w:t>f Income Deposit Securities</w:t>
      </w:r>
      <w:r>
        <w:rPr>
          <w:i w:val="0"/>
        </w:rPr>
        <w:t>,</w:t>
      </w:r>
      <w:r w:rsidRPr="00C20C28">
        <w:rPr>
          <w:i w:val="0"/>
        </w:rPr>
        <w:t xml:space="preserve">” </w:t>
      </w:r>
      <w:r w:rsidRPr="00C20C28">
        <w:rPr>
          <w:i w:val="0"/>
        </w:rPr>
        <w:t>Torys LLP, August 19, 2005, accessed September 15, 2017, https://www.torys.com/work/2005/08/new-flyer-industries-completes-c$200-million-initial-public-offering-of-income-deposit-securities</w:t>
      </w:r>
      <w:r>
        <w:rPr>
          <w:i w:val="0"/>
        </w:rPr>
        <w:t>.</w:t>
      </w:r>
    </w:p>
  </w:endnote>
  <w:endnote w:id="8">
    <w:p w14:paraId="281F1526" w14:textId="53D0128D" w:rsidR="00FA0FD9" w:rsidRPr="00C20C28" w:rsidRDefault="00FA0FD9">
      <w:pPr>
        <w:pStyle w:val="Footnote"/>
        <w:rPr>
          <w:i w:val="0"/>
        </w:rPr>
      </w:pPr>
      <w:r w:rsidRPr="00C20C28">
        <w:rPr>
          <w:rStyle w:val="EndnoteReference"/>
          <w:i w:val="0"/>
        </w:rPr>
        <w:endnoteRef/>
      </w:r>
      <w:r>
        <w:rPr>
          <w:i w:val="0"/>
        </w:rPr>
        <w:t xml:space="preserve"> </w:t>
      </w:r>
      <w:r w:rsidRPr="00C20C28">
        <w:rPr>
          <w:i w:val="0"/>
        </w:rPr>
        <w:t>Haris Anwar, “New Flyer IPO Could Raise $350-Million</w:t>
      </w:r>
      <w:r>
        <w:rPr>
          <w:i w:val="0"/>
        </w:rPr>
        <w:t>,</w:t>
      </w:r>
      <w:r w:rsidRPr="00C20C28">
        <w:rPr>
          <w:i w:val="0"/>
        </w:rPr>
        <w:t xml:space="preserve">” </w:t>
      </w:r>
      <w:r w:rsidRPr="00A26412">
        <w:t>Globe and Mail</w:t>
      </w:r>
      <w:r w:rsidRPr="00C20C28">
        <w:rPr>
          <w:i w:val="0"/>
        </w:rPr>
        <w:t>, July 6, 2005, accessed September 15, 2017, https://www.theglobeandmail.com/report-on-business/new-flyer-ipo-could-raise-350-million/article18240238/</w:t>
      </w:r>
      <w:r>
        <w:rPr>
          <w:i w:val="0"/>
        </w:rPr>
        <w:t>.</w:t>
      </w:r>
    </w:p>
  </w:endnote>
  <w:endnote w:id="9">
    <w:p w14:paraId="4B7B2527" w14:textId="58A9A6F3" w:rsidR="00FA0FD9" w:rsidRPr="00C20C28" w:rsidRDefault="00FA0FD9">
      <w:pPr>
        <w:pStyle w:val="Footnote"/>
        <w:rPr>
          <w:i w:val="0"/>
        </w:rPr>
      </w:pPr>
      <w:r w:rsidRPr="00C20C28">
        <w:rPr>
          <w:rStyle w:val="EndnoteReference"/>
          <w:i w:val="0"/>
        </w:rPr>
        <w:endnoteRef/>
      </w:r>
      <w:r w:rsidRPr="00C20C28">
        <w:rPr>
          <w:i w:val="0"/>
        </w:rPr>
        <w:t xml:space="preserve"> </w:t>
      </w:r>
      <w:r>
        <w:rPr>
          <w:i w:val="0"/>
        </w:rPr>
        <w:t xml:space="preserve">“About New Flyer,” New Flyer of America, op. cit. </w:t>
      </w:r>
    </w:p>
  </w:endnote>
  <w:endnote w:id="10">
    <w:p w14:paraId="7E1A0E5B" w14:textId="61083C2A" w:rsidR="00FA0FD9" w:rsidRPr="00C20C28" w:rsidRDefault="00FA0FD9">
      <w:pPr>
        <w:pStyle w:val="Footnote"/>
        <w:rPr>
          <w:i w:val="0"/>
        </w:rPr>
      </w:pPr>
      <w:r w:rsidRPr="00C20C28">
        <w:rPr>
          <w:rStyle w:val="EndnoteReference"/>
          <w:i w:val="0"/>
        </w:rPr>
        <w:endnoteRef/>
      </w:r>
      <w:r w:rsidRPr="00C20C28">
        <w:rPr>
          <w:i w:val="0"/>
        </w:rPr>
        <w:t xml:space="preserve"> Ibid.</w:t>
      </w:r>
    </w:p>
  </w:endnote>
  <w:endnote w:id="11">
    <w:p w14:paraId="48A5AE8C" w14:textId="13F9028F" w:rsidR="00FA0FD9" w:rsidRPr="00C20C28" w:rsidRDefault="00FA0FD9">
      <w:pPr>
        <w:pStyle w:val="Footnote"/>
        <w:rPr>
          <w:i w:val="0"/>
        </w:rPr>
      </w:pPr>
      <w:r w:rsidRPr="00C20C28">
        <w:rPr>
          <w:rStyle w:val="EndnoteReference"/>
          <w:i w:val="0"/>
        </w:rPr>
        <w:endnoteRef/>
      </w:r>
      <w:r w:rsidRPr="00C20C28">
        <w:rPr>
          <w:i w:val="0"/>
        </w:rPr>
        <w:t xml:space="preserve"> Ibid.</w:t>
      </w:r>
    </w:p>
  </w:endnote>
  <w:endnote w:id="12">
    <w:p w14:paraId="17260382" w14:textId="67759C43" w:rsidR="00FA0FD9" w:rsidRPr="00C20C28" w:rsidRDefault="00FA0FD9">
      <w:pPr>
        <w:pStyle w:val="Footnote"/>
        <w:rPr>
          <w:i w:val="0"/>
        </w:rPr>
      </w:pPr>
      <w:r w:rsidRPr="00C20C28">
        <w:rPr>
          <w:rStyle w:val="EndnoteReference"/>
          <w:i w:val="0"/>
        </w:rPr>
        <w:endnoteRef/>
      </w:r>
      <w:r w:rsidRPr="00C20C28">
        <w:rPr>
          <w:i w:val="0"/>
        </w:rPr>
        <w:t xml:space="preserve"> </w:t>
      </w:r>
      <w:r>
        <w:rPr>
          <w:i w:val="0"/>
        </w:rPr>
        <w:t>US$1 = CA$1.2477 on October 1, 2017. New Flyer Industries Inc.</w:t>
      </w:r>
      <w:r w:rsidRPr="00C20C28">
        <w:rPr>
          <w:i w:val="0"/>
        </w:rPr>
        <w:t>, “</w:t>
      </w:r>
      <w:r w:rsidRPr="00293A64">
        <w:rPr>
          <w:i w:val="0"/>
        </w:rPr>
        <w:t>New Flyer Announces Acquisition of MCI, North America’s Leading Motor Coach Manufacturer, Parts and Service Company</w:t>
      </w:r>
      <w:r>
        <w:rPr>
          <w:i w:val="0"/>
        </w:rPr>
        <w:t>,</w:t>
      </w:r>
      <w:r w:rsidRPr="00C20C28">
        <w:rPr>
          <w:i w:val="0"/>
        </w:rPr>
        <w:t xml:space="preserve">” </w:t>
      </w:r>
      <w:r w:rsidRPr="00293A64">
        <w:rPr>
          <w:i w:val="0"/>
        </w:rPr>
        <w:t>New Flyer Industries Inc</w:t>
      </w:r>
      <w:r>
        <w:t>.</w:t>
      </w:r>
      <w:r>
        <w:rPr>
          <w:i w:val="0"/>
        </w:rPr>
        <w:t>, November 10</w:t>
      </w:r>
      <w:r w:rsidRPr="00C20C28">
        <w:rPr>
          <w:i w:val="0"/>
        </w:rPr>
        <w:t xml:space="preserve">, 2015, accessed </w:t>
      </w:r>
      <w:r>
        <w:rPr>
          <w:i w:val="0"/>
        </w:rPr>
        <w:t>March 15</w:t>
      </w:r>
      <w:r w:rsidRPr="00C20C28">
        <w:rPr>
          <w:i w:val="0"/>
        </w:rPr>
        <w:t xml:space="preserve">, 2017, </w:t>
      </w:r>
      <w:r w:rsidRPr="00293A64">
        <w:rPr>
          <w:i w:val="0"/>
        </w:rPr>
        <w:t>https://www.newflyer.com/2015/11/new-flyer-announces-acquisition-of-mci-north-americas-leading-motor-coach-manufacturer-parts-and-service-company/.</w:t>
      </w:r>
    </w:p>
  </w:endnote>
  <w:endnote w:id="13">
    <w:p w14:paraId="2861531E" w14:textId="528F7606" w:rsidR="00FA0FD9" w:rsidRPr="00C20C28" w:rsidRDefault="00FA0FD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6</w:t>
      </w:r>
      <w:r>
        <w:rPr>
          <w:i w:val="0"/>
        </w:rPr>
        <w:t>–</w:t>
      </w:r>
      <w:r w:rsidRPr="00C20C28">
        <w:rPr>
          <w:i w:val="0"/>
        </w:rPr>
        <w:t xml:space="preserve">8, March 24, 2017, </w:t>
      </w:r>
      <w:r>
        <w:rPr>
          <w:i w:val="0"/>
        </w:rPr>
        <w:t xml:space="preserve">accessed </w:t>
      </w:r>
      <w:r w:rsidRPr="00C20C28">
        <w:rPr>
          <w:i w:val="0"/>
        </w:rPr>
        <w:t xml:space="preserve">July 28, 2017, </w:t>
      </w:r>
      <w:r w:rsidRPr="00544640">
        <w:rPr>
          <w:i w:val="0"/>
        </w:rPr>
        <w:t>https://www.newflyer.com/site-content/uploads/2017/09/2017-aif.pdf</w:t>
      </w:r>
      <w:r w:rsidRPr="00C20C28">
        <w:rPr>
          <w:i w:val="0"/>
        </w:rPr>
        <w:t>.</w:t>
      </w:r>
    </w:p>
  </w:endnote>
  <w:endnote w:id="14">
    <w:p w14:paraId="38BE64EA" w14:textId="3686BCFA" w:rsidR="00FA0FD9" w:rsidRPr="00C20C28" w:rsidRDefault="00FA0FD9">
      <w:pPr>
        <w:pStyle w:val="Footnote"/>
        <w:rPr>
          <w:i w:val="0"/>
        </w:rPr>
      </w:pPr>
      <w:r w:rsidRPr="00C20C28">
        <w:rPr>
          <w:rStyle w:val="EndnoteReference"/>
          <w:i w:val="0"/>
        </w:rPr>
        <w:endnoteRef/>
      </w:r>
      <w:r w:rsidRPr="00C20C28">
        <w:rPr>
          <w:i w:val="0"/>
        </w:rPr>
        <w:t xml:space="preserve"> “</w:t>
      </w:r>
      <w:r w:rsidRPr="00C20C28">
        <w:rPr>
          <w:i w:val="0"/>
        </w:rPr>
        <w:t xml:space="preserve">Xcelsior </w:t>
      </w:r>
      <w:r>
        <w:rPr>
          <w:i w:val="0"/>
        </w:rPr>
        <w:t>Family,</w:t>
      </w:r>
      <w:r w:rsidRPr="00C20C28">
        <w:rPr>
          <w:i w:val="0"/>
        </w:rPr>
        <w:t xml:space="preserve">” New Flyer </w:t>
      </w:r>
      <w:r>
        <w:rPr>
          <w:i w:val="0"/>
        </w:rPr>
        <w:t>of America</w:t>
      </w:r>
      <w:r w:rsidRPr="00C20C28">
        <w:rPr>
          <w:i w:val="0"/>
        </w:rPr>
        <w:t>, accessed July 26, 2017, https://www.newflyer.com/buses/xcelsior-2.</w:t>
      </w:r>
    </w:p>
  </w:endnote>
  <w:endnote w:id="15">
    <w:p w14:paraId="43383786" w14:textId="02A53C84" w:rsidR="00FA0FD9" w:rsidRPr="00C20C28" w:rsidRDefault="00FA0FD9" w:rsidP="00214AC4">
      <w:pPr>
        <w:pStyle w:val="Footnote"/>
        <w:rPr>
          <w:i w:val="0"/>
        </w:rPr>
      </w:pPr>
      <w:r w:rsidRPr="00C20C28">
        <w:rPr>
          <w:rStyle w:val="EndnoteReference"/>
          <w:i w:val="0"/>
        </w:rPr>
        <w:endnoteRef/>
      </w:r>
      <w:r w:rsidRPr="00C20C28">
        <w:rPr>
          <w:i w:val="0"/>
        </w:rPr>
        <w:t xml:space="preserve"> </w:t>
      </w:r>
      <w:r>
        <w:rPr>
          <w:i w:val="0"/>
        </w:rPr>
        <w:t>Metro Magazine</w:t>
      </w:r>
      <w:r w:rsidRPr="00C20C28">
        <w:rPr>
          <w:i w:val="0"/>
        </w:rPr>
        <w:t>, “</w:t>
      </w:r>
      <w:r>
        <w:rPr>
          <w:i w:val="0"/>
        </w:rPr>
        <w:t>New Flyer,</w:t>
      </w:r>
      <w:r w:rsidRPr="00C20C28">
        <w:rPr>
          <w:i w:val="0"/>
        </w:rPr>
        <w:t>”</w:t>
      </w:r>
      <w:r>
        <w:rPr>
          <w:i w:val="0"/>
        </w:rPr>
        <w:t xml:space="preserve"> </w:t>
      </w:r>
      <w:r w:rsidRPr="00C20C28">
        <w:rPr>
          <w:i w:val="0"/>
        </w:rPr>
        <w:t xml:space="preserve">accessed </w:t>
      </w:r>
      <w:r>
        <w:rPr>
          <w:i w:val="0"/>
        </w:rPr>
        <w:t>March 15, 2018</w:t>
      </w:r>
      <w:r w:rsidRPr="00C20C28">
        <w:rPr>
          <w:i w:val="0"/>
        </w:rPr>
        <w:t xml:space="preserve">, </w:t>
      </w:r>
      <w:r w:rsidRPr="005803B6">
        <w:rPr>
          <w:i w:val="0"/>
        </w:rPr>
        <w:t>http://edirect.metro-magazine.com/_House/bushowcase/default2.htm?v=201309251654#</w:t>
      </w:r>
      <w:r>
        <w:rPr>
          <w:i w:val="0"/>
        </w:rPr>
        <w:t>.</w:t>
      </w:r>
    </w:p>
  </w:endnote>
  <w:endnote w:id="16">
    <w:p w14:paraId="0361AA7B" w14:textId="2AC43718" w:rsidR="00FA0FD9" w:rsidRPr="005803B6" w:rsidRDefault="00FA0FD9" w:rsidP="00FA0FD9">
      <w:pPr>
        <w:pStyle w:val="EndnoteText"/>
        <w:jc w:val="both"/>
        <w:rPr>
          <w:lang w:val="en-US"/>
        </w:rPr>
      </w:pPr>
      <w:r>
        <w:rPr>
          <w:rStyle w:val="EndnoteReference"/>
        </w:rPr>
        <w:endnoteRef/>
      </w:r>
      <w:r>
        <w:t xml:space="preserve"> </w:t>
      </w:r>
      <w:r w:rsidRPr="005803B6">
        <w:rPr>
          <w:rFonts w:ascii="Arial" w:hAnsi="Arial" w:cs="Arial"/>
          <w:sz w:val="17"/>
          <w:szCs w:val="17"/>
        </w:rPr>
        <w:t xml:space="preserve">New Flyer Industries, Inc., </w:t>
      </w:r>
      <w:r w:rsidRPr="005803B6">
        <w:rPr>
          <w:rFonts w:ascii="Arial" w:hAnsi="Arial" w:cs="Arial"/>
          <w:i/>
          <w:sz w:val="17"/>
          <w:szCs w:val="17"/>
        </w:rPr>
        <w:t>Annual Information Form</w:t>
      </w:r>
      <w:r w:rsidRPr="005803B6">
        <w:rPr>
          <w:rFonts w:ascii="Arial" w:hAnsi="Arial" w:cs="Arial"/>
          <w:sz w:val="17"/>
          <w:szCs w:val="17"/>
        </w:rPr>
        <w:t xml:space="preserve">, op. cit., </w:t>
      </w:r>
      <w:r>
        <w:rPr>
          <w:rFonts w:ascii="Arial" w:hAnsi="Arial" w:cs="Arial"/>
          <w:sz w:val="17"/>
          <w:szCs w:val="17"/>
        </w:rPr>
        <w:t>14</w:t>
      </w:r>
      <w:r w:rsidRPr="005803B6">
        <w:t>.</w:t>
      </w:r>
    </w:p>
  </w:endnote>
  <w:endnote w:id="17">
    <w:p w14:paraId="50404C69" w14:textId="487D0458" w:rsidR="00FA0FD9" w:rsidRPr="00C20C28" w:rsidRDefault="00FA0FD9" w:rsidP="00234D19">
      <w:pPr>
        <w:pStyle w:val="Footnote"/>
        <w:rPr>
          <w:i w:val="0"/>
        </w:rPr>
      </w:pPr>
      <w:r w:rsidRPr="00C20C28">
        <w:rPr>
          <w:rStyle w:val="EndnoteReference"/>
          <w:i w:val="0"/>
        </w:rPr>
        <w:endnoteRef/>
      </w:r>
      <w:r w:rsidRPr="00C20C28">
        <w:rPr>
          <w:i w:val="0"/>
        </w:rPr>
        <w:t xml:space="preserve"> “MCI All Products</w:t>
      </w:r>
      <w:r>
        <w:rPr>
          <w:i w:val="0"/>
        </w:rPr>
        <w:t>,</w:t>
      </w:r>
      <w:r w:rsidRPr="00C20C28">
        <w:rPr>
          <w:i w:val="0"/>
        </w:rPr>
        <w:t>” Motor Coach Industries International, accessed July 26, 2017, www.mcicoach.com/all-products/all-products.htm.</w:t>
      </w:r>
    </w:p>
  </w:endnote>
  <w:endnote w:id="18">
    <w:p w14:paraId="4DC039C7" w14:textId="3C8BFF2D" w:rsidR="00FA0FD9" w:rsidRPr="00C20C28" w:rsidRDefault="00FA0FD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xml:space="preserve">, </w:t>
      </w:r>
      <w:r>
        <w:rPr>
          <w:i w:val="0"/>
        </w:rPr>
        <w:t xml:space="preserve">op. cit., </w:t>
      </w:r>
      <w:r w:rsidRPr="00C20C28">
        <w:rPr>
          <w:i w:val="0"/>
        </w:rPr>
        <w:t>15</w:t>
      </w:r>
      <w:r>
        <w:rPr>
          <w:i w:val="0"/>
        </w:rPr>
        <w:t>.</w:t>
      </w:r>
    </w:p>
  </w:endnote>
  <w:endnote w:id="19">
    <w:p w14:paraId="627554C4" w14:textId="6B76C26F" w:rsidR="00FA0FD9" w:rsidRPr="00C20C28" w:rsidRDefault="00FA0FD9">
      <w:pPr>
        <w:pStyle w:val="Footnote"/>
        <w:rPr>
          <w:i w:val="0"/>
        </w:rPr>
      </w:pPr>
      <w:r w:rsidRPr="00C20C28">
        <w:rPr>
          <w:rStyle w:val="EndnoteReference"/>
          <w:i w:val="0"/>
        </w:rPr>
        <w:endnoteRef/>
      </w:r>
      <w:r w:rsidRPr="00C20C28">
        <w:rPr>
          <w:i w:val="0"/>
        </w:rPr>
        <w:t xml:space="preserve"> “MCI Pre-Owned</w:t>
      </w:r>
      <w:r>
        <w:rPr>
          <w:i w:val="0"/>
        </w:rPr>
        <w:t xml:space="preserve"> Coaches by Category,</w:t>
      </w:r>
      <w:r w:rsidRPr="00C20C28">
        <w:rPr>
          <w:i w:val="0"/>
        </w:rPr>
        <w:t>” Motor Coach Industries International, accessed July 26, 2017, http://sales.mcicoach.com/preowned/pcoach.nsf/Landing?openform.</w:t>
      </w:r>
    </w:p>
  </w:endnote>
  <w:endnote w:id="20">
    <w:p w14:paraId="4A41DC5D" w14:textId="61C943BA" w:rsidR="00FA0FD9" w:rsidRPr="00C20C28" w:rsidRDefault="00FA0FD9">
      <w:pPr>
        <w:pStyle w:val="Footnote"/>
        <w:rPr>
          <w:i w:val="0"/>
        </w:rPr>
      </w:pPr>
      <w:r w:rsidRPr="00C20C28">
        <w:rPr>
          <w:rStyle w:val="EndnoteReference"/>
          <w:i w:val="0"/>
        </w:rPr>
        <w:endnoteRef/>
      </w:r>
      <w:r w:rsidRPr="00C20C28">
        <w:rPr>
          <w:i w:val="0"/>
        </w:rPr>
        <w:t xml:space="preserve"> </w:t>
      </w:r>
      <w:r>
        <w:rPr>
          <w:i w:val="0"/>
        </w:rPr>
        <w:t>New Flyer of America, Inc.</w:t>
      </w:r>
      <w:r w:rsidRPr="00C20C28">
        <w:rPr>
          <w:i w:val="0"/>
        </w:rPr>
        <w:t>, “New Flyer Advances Second Year Production of Diesel-Electric Hybrids for SEPTA</w:t>
      </w:r>
      <w:r>
        <w:rPr>
          <w:i w:val="0"/>
        </w:rPr>
        <w:t>,</w:t>
      </w:r>
      <w:r w:rsidRPr="00C20C28">
        <w:rPr>
          <w:i w:val="0"/>
        </w:rPr>
        <w:t>”</w:t>
      </w:r>
      <w:r>
        <w:rPr>
          <w:i w:val="0"/>
        </w:rPr>
        <w:t xml:space="preserve"> news release,</w:t>
      </w:r>
      <w:r w:rsidRPr="00C20C28">
        <w:rPr>
          <w:i w:val="0"/>
        </w:rPr>
        <w:t xml:space="preserve"> </w:t>
      </w:r>
      <w:r>
        <w:rPr>
          <w:i w:val="0"/>
        </w:rPr>
        <w:t>Cision</w:t>
      </w:r>
      <w:r w:rsidRPr="00C20C28">
        <w:rPr>
          <w:i w:val="0"/>
        </w:rPr>
        <w:t xml:space="preserve">, August </w:t>
      </w:r>
      <w:r>
        <w:rPr>
          <w:i w:val="0"/>
        </w:rPr>
        <w:t>1</w:t>
      </w:r>
      <w:r w:rsidRPr="00C20C28">
        <w:rPr>
          <w:i w:val="0"/>
        </w:rPr>
        <w:t xml:space="preserve">4, 2017, </w:t>
      </w:r>
      <w:r>
        <w:rPr>
          <w:i w:val="0"/>
        </w:rPr>
        <w:t xml:space="preserve">accessed </w:t>
      </w:r>
      <w:r w:rsidRPr="00C20C28">
        <w:rPr>
          <w:i w:val="0"/>
        </w:rPr>
        <w:t>September 15, 2017, www.newswire.ca/news-releases/new-flyer-advances-second-year-production-of-diesel-electric-hybrids-for-septa-640396313.html.</w:t>
      </w:r>
    </w:p>
  </w:endnote>
  <w:endnote w:id="21">
    <w:p w14:paraId="5BAFAA9C" w14:textId="3890FA2E" w:rsidR="00FA0FD9" w:rsidRPr="00C20C28" w:rsidRDefault="00FA0FD9" w:rsidP="00214AC4">
      <w:pPr>
        <w:pStyle w:val="Footnote"/>
        <w:rPr>
          <w:i w:val="0"/>
        </w:rPr>
      </w:pPr>
      <w:r w:rsidRPr="00C20C28">
        <w:rPr>
          <w:rStyle w:val="EndnoteReference"/>
          <w:i w:val="0"/>
        </w:rPr>
        <w:endnoteRef/>
      </w:r>
      <w:r w:rsidRPr="00C20C28">
        <w:rPr>
          <w:i w:val="0"/>
        </w:rPr>
        <w:t xml:space="preserve"> </w:t>
      </w:r>
      <w:r w:rsidRPr="00C20C28">
        <w:rPr>
          <w:i w:val="0"/>
        </w:rPr>
        <w:t>Se</w:t>
      </w:r>
      <w:r>
        <w:rPr>
          <w:i w:val="0"/>
        </w:rPr>
        <w:t>tr</w:t>
      </w:r>
      <w:r w:rsidRPr="00C20C28">
        <w:rPr>
          <w:i w:val="0"/>
        </w:rPr>
        <w:t xml:space="preserve">a </w:t>
      </w:r>
      <w:r>
        <w:rPr>
          <w:i w:val="0"/>
        </w:rPr>
        <w:t>home page</w:t>
      </w:r>
      <w:r w:rsidRPr="00C20C28">
        <w:rPr>
          <w:i w:val="0"/>
        </w:rPr>
        <w:t xml:space="preserve">, </w:t>
      </w:r>
      <w:r>
        <w:rPr>
          <w:i w:val="0"/>
        </w:rPr>
        <w:t xml:space="preserve">Setra REV Group, </w:t>
      </w:r>
      <w:r w:rsidRPr="00C20C28">
        <w:rPr>
          <w:i w:val="0"/>
        </w:rPr>
        <w:t>accessed July 26, 2017, http://setra-coaches.com/.</w:t>
      </w:r>
    </w:p>
  </w:endnote>
  <w:endnote w:id="22">
    <w:p w14:paraId="7D30FFCE" w14:textId="33BDF98E"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xml:space="preserve">, </w:t>
      </w:r>
      <w:r>
        <w:rPr>
          <w:i w:val="0"/>
        </w:rPr>
        <w:t xml:space="preserve">op. cit., </w:t>
      </w:r>
      <w:r w:rsidRPr="00C20C28">
        <w:rPr>
          <w:i w:val="0"/>
        </w:rPr>
        <w:t>22</w:t>
      </w:r>
      <w:r>
        <w:rPr>
          <w:i w:val="0"/>
        </w:rPr>
        <w:t>.</w:t>
      </w:r>
      <w:r w:rsidRPr="00C20C28">
        <w:rPr>
          <w:i w:val="0"/>
        </w:rPr>
        <w:t xml:space="preserve"> </w:t>
      </w:r>
    </w:p>
  </w:endnote>
  <w:endnote w:id="23">
    <w:p w14:paraId="5BD27992" w14:textId="77777777" w:rsidR="00FA0FD9" w:rsidRPr="00C20C28" w:rsidRDefault="00FA0FD9" w:rsidP="00EB4A09">
      <w:pPr>
        <w:pStyle w:val="Footnote"/>
        <w:rPr>
          <w:i w:val="0"/>
        </w:rPr>
      </w:pPr>
      <w:r w:rsidRPr="00C20C28">
        <w:rPr>
          <w:rStyle w:val="EndnoteReference"/>
          <w:i w:val="0"/>
        </w:rPr>
        <w:endnoteRef/>
      </w:r>
      <w:r w:rsidRPr="00C20C28">
        <w:rPr>
          <w:i w:val="0"/>
        </w:rPr>
        <w:t xml:space="preserve"> Ibid.</w:t>
      </w:r>
    </w:p>
  </w:endnote>
  <w:endnote w:id="24">
    <w:p w14:paraId="348EBA12" w14:textId="13F6CA3B"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23</w:t>
      </w:r>
      <w:r>
        <w:rPr>
          <w:i w:val="0"/>
        </w:rPr>
        <w:t>.</w:t>
      </w:r>
      <w:r w:rsidRPr="00C20C28">
        <w:rPr>
          <w:i w:val="0"/>
        </w:rPr>
        <w:t xml:space="preserve"> </w:t>
      </w:r>
    </w:p>
  </w:endnote>
  <w:endnote w:id="25">
    <w:p w14:paraId="62850AD2" w14:textId="3A2EDAC6"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12</w:t>
      </w:r>
      <w:r>
        <w:rPr>
          <w:i w:val="0"/>
        </w:rPr>
        <w:t>.</w:t>
      </w:r>
      <w:r w:rsidRPr="00C20C28">
        <w:rPr>
          <w:i w:val="0"/>
        </w:rPr>
        <w:t xml:space="preserve"> </w:t>
      </w:r>
    </w:p>
  </w:endnote>
  <w:endnote w:id="26">
    <w:p w14:paraId="24FD02AB" w14:textId="3543D02C"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15</w:t>
      </w:r>
      <w:r>
        <w:rPr>
          <w:i w:val="0"/>
        </w:rPr>
        <w:t>.</w:t>
      </w:r>
      <w:r w:rsidRPr="00C20C28">
        <w:rPr>
          <w:i w:val="0"/>
        </w:rPr>
        <w:t xml:space="preserve"> </w:t>
      </w:r>
    </w:p>
  </w:endnote>
  <w:endnote w:id="27">
    <w:p w14:paraId="195C0E93" w14:textId="629DBDB1"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16</w:t>
      </w:r>
      <w:r>
        <w:rPr>
          <w:i w:val="0"/>
        </w:rPr>
        <w:t>.</w:t>
      </w:r>
      <w:r w:rsidRPr="00C20C28">
        <w:rPr>
          <w:i w:val="0"/>
        </w:rPr>
        <w:t xml:space="preserve"> </w:t>
      </w:r>
    </w:p>
  </w:endnote>
  <w:endnote w:id="28">
    <w:p w14:paraId="7BA7D692" w14:textId="36F3F0E3"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12</w:t>
      </w:r>
      <w:r>
        <w:rPr>
          <w:i w:val="0"/>
        </w:rPr>
        <w:t>.</w:t>
      </w:r>
      <w:r w:rsidRPr="00C20C28">
        <w:rPr>
          <w:i w:val="0"/>
        </w:rPr>
        <w:t xml:space="preserve"> </w:t>
      </w:r>
    </w:p>
  </w:endnote>
  <w:endnote w:id="29">
    <w:p w14:paraId="70DF8F94" w14:textId="2567CF7A" w:rsidR="00FA0FD9" w:rsidRPr="00C20C28" w:rsidRDefault="00FA0FD9" w:rsidP="00EB4A09">
      <w:pPr>
        <w:pStyle w:val="Footnote"/>
        <w:rPr>
          <w:i w:val="0"/>
        </w:rPr>
      </w:pPr>
      <w:r w:rsidRPr="00C20C28">
        <w:rPr>
          <w:rStyle w:val="EndnoteReference"/>
          <w:i w:val="0"/>
        </w:rPr>
        <w:endnoteRef/>
      </w:r>
      <w:r w:rsidRPr="00C20C28">
        <w:rPr>
          <w:i w:val="0"/>
        </w:rPr>
        <w:t xml:space="preserve"> “Corporate Governance</w:t>
      </w:r>
      <w:r>
        <w:rPr>
          <w:i w:val="0"/>
        </w:rPr>
        <w:t>,</w:t>
      </w:r>
      <w:r w:rsidRPr="00C20C28">
        <w:rPr>
          <w:i w:val="0"/>
        </w:rPr>
        <w:t>” New Flyer, accessed September 15, 2017, https://www.newflyer.com/investor-relations/corporate-governance.</w:t>
      </w:r>
    </w:p>
  </w:endnote>
  <w:endnote w:id="30">
    <w:p w14:paraId="0BC4A73A" w14:textId="181096FE"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w:t>
      </w:r>
      <w:r>
        <w:rPr>
          <w:i w:val="0"/>
        </w:rPr>
        <w:t xml:space="preserve"> </w:t>
      </w:r>
      <w:r w:rsidRPr="00C20C28">
        <w:rPr>
          <w:i w:val="0"/>
        </w:rPr>
        <w:t>cit.</w:t>
      </w:r>
      <w:r>
        <w:rPr>
          <w:i w:val="0"/>
        </w:rPr>
        <w:t>,</w:t>
      </w:r>
      <w:r w:rsidRPr="00A10355">
        <w:rPr>
          <w:i w:val="0"/>
        </w:rPr>
        <w:t xml:space="preserve"> </w:t>
      </w:r>
      <w:r w:rsidRPr="00C20C28">
        <w:rPr>
          <w:i w:val="0"/>
        </w:rPr>
        <w:t>9</w:t>
      </w:r>
      <w:r>
        <w:rPr>
          <w:i w:val="0"/>
        </w:rPr>
        <w:t>–</w:t>
      </w:r>
      <w:r w:rsidRPr="00C20C28">
        <w:rPr>
          <w:i w:val="0"/>
        </w:rPr>
        <w:t>11</w:t>
      </w:r>
      <w:r>
        <w:rPr>
          <w:i w:val="0"/>
        </w:rPr>
        <w:t>.</w:t>
      </w:r>
    </w:p>
  </w:endnote>
  <w:endnote w:id="31">
    <w:p w14:paraId="12500117" w14:textId="4F7D4113"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w:t>
      </w:r>
      <w:r w:rsidRPr="00A10355">
        <w:rPr>
          <w:i w:val="0"/>
        </w:rPr>
        <w:t xml:space="preserve"> </w:t>
      </w:r>
      <w:r w:rsidRPr="00C20C28">
        <w:rPr>
          <w:i w:val="0"/>
        </w:rPr>
        <w:t>10</w:t>
      </w:r>
      <w:r>
        <w:rPr>
          <w:i w:val="0"/>
        </w:rPr>
        <w:t>.</w:t>
      </w:r>
    </w:p>
  </w:endnote>
  <w:endnote w:id="32">
    <w:p w14:paraId="2246787E" w14:textId="3B07D886" w:rsidR="00FA0FD9" w:rsidRPr="00C20C28" w:rsidRDefault="00FA0FD9" w:rsidP="00EB4A09">
      <w:pPr>
        <w:pStyle w:val="Footnote"/>
        <w:rPr>
          <w:i w:val="0"/>
        </w:rPr>
      </w:pPr>
      <w:r w:rsidRPr="00C20C28">
        <w:rPr>
          <w:rStyle w:val="EndnoteReference"/>
          <w:i w:val="0"/>
        </w:rPr>
        <w:endnoteRef/>
      </w:r>
      <w:r w:rsidRPr="00C20C28">
        <w:rPr>
          <w:i w:val="0"/>
        </w:rPr>
        <w:t xml:space="preserve"> </w:t>
      </w:r>
      <w:r w:rsidRPr="004D0856">
        <w:rPr>
          <w:i w:val="0"/>
        </w:rPr>
        <w:t xml:space="preserve">“About New Flyer,” New Flyer of America, </w:t>
      </w:r>
      <w:r>
        <w:rPr>
          <w:i w:val="0"/>
        </w:rPr>
        <w:t xml:space="preserve">op. cit. </w:t>
      </w:r>
    </w:p>
  </w:endnote>
  <w:endnote w:id="33">
    <w:p w14:paraId="048948E7" w14:textId="528EB286"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10</w:t>
      </w:r>
      <w:r>
        <w:rPr>
          <w:i w:val="0"/>
        </w:rPr>
        <w:t>.</w:t>
      </w:r>
      <w:r w:rsidRPr="00C20C28">
        <w:rPr>
          <w:i w:val="0"/>
        </w:rPr>
        <w:t xml:space="preserve"> </w:t>
      </w:r>
    </w:p>
  </w:endnote>
  <w:endnote w:id="34">
    <w:p w14:paraId="21BE7234" w14:textId="2ADA1BCC" w:rsidR="00FA0FD9" w:rsidRPr="00C20C28" w:rsidRDefault="00FA0FD9" w:rsidP="00EB4A09">
      <w:pPr>
        <w:pStyle w:val="Footnote"/>
        <w:rPr>
          <w:i w:val="0"/>
        </w:rPr>
      </w:pPr>
      <w:r w:rsidRPr="00C20C28">
        <w:rPr>
          <w:rStyle w:val="EndnoteReference"/>
          <w:i w:val="0"/>
        </w:rPr>
        <w:endnoteRef/>
      </w:r>
      <w:r w:rsidRPr="00C20C28">
        <w:rPr>
          <w:i w:val="0"/>
        </w:rPr>
        <w:t xml:space="preserve"> </w:t>
      </w:r>
      <w:r>
        <w:rPr>
          <w:i w:val="0"/>
        </w:rPr>
        <w:t xml:space="preserve">Borzykowski, op. cit. </w:t>
      </w:r>
    </w:p>
  </w:endnote>
  <w:endnote w:id="35">
    <w:p w14:paraId="222FF5C8" w14:textId="2FDE92C8" w:rsidR="00FA0FD9" w:rsidRPr="00C20C28" w:rsidRDefault="00FA0FD9" w:rsidP="00EB4A09">
      <w:pPr>
        <w:pStyle w:val="Footnote"/>
        <w:rPr>
          <w:i w:val="0"/>
        </w:rPr>
      </w:pPr>
      <w:r w:rsidRPr="00C20C28">
        <w:rPr>
          <w:rStyle w:val="EndnoteReference"/>
          <w:i w:val="0"/>
        </w:rPr>
        <w:endnoteRef/>
      </w:r>
      <w:r w:rsidRPr="00C20C28">
        <w:rPr>
          <w:i w:val="0"/>
        </w:rPr>
        <w:t xml:space="preserve"> Government of Canada, </w:t>
      </w:r>
      <w:r>
        <w:rPr>
          <w:i w:val="0"/>
        </w:rPr>
        <w:t>Directories of Canadian Companies, “</w:t>
      </w:r>
      <w:r w:rsidRPr="00C20C28">
        <w:rPr>
          <w:i w:val="0"/>
        </w:rPr>
        <w:t>New Flyer Industries Canada ULC</w:t>
      </w:r>
      <w:r>
        <w:rPr>
          <w:i w:val="0"/>
        </w:rPr>
        <w:t>,” Government of Canada, June 27, 2017, accessed September 22, 2017, </w:t>
      </w:r>
      <w:r w:rsidRPr="00C20C28">
        <w:rPr>
          <w:i w:val="0"/>
        </w:rPr>
        <w:t>www.ic.gc.ca/app/ccc/srch/nvgt.do?lang=eng&amp;prtl=1&amp;estblmntNo=124125080000&amp;profile=cmpltPrfl&amp;profileId=501&amp;app=sold.</w:t>
      </w:r>
    </w:p>
  </w:endnote>
  <w:endnote w:id="36">
    <w:p w14:paraId="24F4B8AC" w14:textId="1955B6DE"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13</w:t>
      </w:r>
      <w:r>
        <w:rPr>
          <w:i w:val="0"/>
        </w:rPr>
        <w:t>.</w:t>
      </w:r>
      <w:r w:rsidRPr="00C20C28">
        <w:rPr>
          <w:i w:val="0"/>
        </w:rPr>
        <w:t xml:space="preserve"> </w:t>
      </w:r>
    </w:p>
  </w:endnote>
  <w:endnote w:id="37">
    <w:p w14:paraId="2A7C49BC" w14:textId="7B57BA8E" w:rsidR="00FA0FD9" w:rsidRPr="00C20C28" w:rsidRDefault="00FA0FD9" w:rsidP="00EB4A09">
      <w:pPr>
        <w:pStyle w:val="Footnote"/>
        <w:rPr>
          <w:i w:val="0"/>
        </w:rPr>
      </w:pPr>
      <w:r w:rsidRPr="00C20C28">
        <w:rPr>
          <w:rStyle w:val="EndnoteReference"/>
          <w:i w:val="0"/>
        </w:rPr>
        <w:endnoteRef/>
      </w:r>
      <w:r w:rsidRPr="00C20C28">
        <w:rPr>
          <w:i w:val="0"/>
        </w:rPr>
        <w:t xml:space="preserve"> The Anniston Star, “</w:t>
      </w:r>
      <w:r w:rsidRPr="00C20C28">
        <w:rPr>
          <w:i w:val="0"/>
          <w:color w:val="000000"/>
          <w:lang w:val="en"/>
        </w:rPr>
        <w:t xml:space="preserve">New Flyer's Research Center Can Be Start </w:t>
      </w:r>
      <w:r>
        <w:rPr>
          <w:i w:val="0"/>
          <w:color w:val="000000"/>
          <w:lang w:val="en"/>
        </w:rPr>
        <w:t>o</w:t>
      </w:r>
      <w:r w:rsidRPr="00C20C28">
        <w:rPr>
          <w:i w:val="0"/>
          <w:color w:val="000000"/>
          <w:lang w:val="en"/>
        </w:rPr>
        <w:t>f Something Big for Anniston</w:t>
      </w:r>
      <w:r>
        <w:rPr>
          <w:i w:val="0"/>
          <w:color w:val="000000"/>
          <w:lang w:val="en"/>
        </w:rPr>
        <w:t>,</w:t>
      </w:r>
      <w:r w:rsidRPr="00C20C28">
        <w:rPr>
          <w:i w:val="0"/>
          <w:color w:val="000000"/>
          <w:lang w:val="en"/>
        </w:rPr>
        <w:t xml:space="preserve">” </w:t>
      </w:r>
      <w:r w:rsidRPr="00A26412">
        <w:rPr>
          <w:color w:val="000000"/>
          <w:lang w:val="en"/>
        </w:rPr>
        <w:t>The Anniston Star</w:t>
      </w:r>
      <w:r w:rsidRPr="00C20C28">
        <w:rPr>
          <w:i w:val="0"/>
          <w:color w:val="000000"/>
          <w:lang w:val="en"/>
        </w:rPr>
        <w:t>, October 16, 2017, accessed December 1, 2017, https://www.annistonstar.com/opinion/editorials/new-flyer-s-research-center-can-be-start-of-something/article_f18931c8-b2c1-11e7-87da-b7a67736a3ab.html#utm_campaign=blox&amp;utm_source=twitter&amp;utm_medium=social.</w:t>
      </w:r>
    </w:p>
  </w:endnote>
  <w:endnote w:id="38">
    <w:p w14:paraId="7D256C7D" w14:textId="43E2080C"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“New Flyer Named One of Canada’s Top 100 Employers for the Sixth Consecutive Year</w:t>
      </w:r>
      <w:r>
        <w:rPr>
          <w:i w:val="0"/>
        </w:rPr>
        <w:t>,</w:t>
      </w:r>
      <w:r w:rsidRPr="00C20C28">
        <w:rPr>
          <w:i w:val="0"/>
        </w:rPr>
        <w:t>”</w:t>
      </w:r>
      <w:r>
        <w:rPr>
          <w:i w:val="0"/>
        </w:rPr>
        <w:t xml:space="preserve"> News release,</w:t>
      </w:r>
      <w:r w:rsidRPr="00C20C28">
        <w:rPr>
          <w:i w:val="0"/>
        </w:rPr>
        <w:t xml:space="preserve"> New Flyer, October 15, 2010, accessed September 20, 2017, </w:t>
      </w:r>
      <w:r w:rsidRPr="004756A5">
        <w:rPr>
          <w:i w:val="0"/>
        </w:rPr>
        <w:t>https://www.newflyer.com/2010/10/new-flyer-named-one-of-canadas-top-100-employers-for-the-sixth-consecutive-year/</w:t>
      </w:r>
      <w:r>
        <w:rPr>
          <w:i w:val="0"/>
        </w:rPr>
        <w:t>.</w:t>
      </w:r>
    </w:p>
  </w:endnote>
  <w:endnote w:id="39">
    <w:p w14:paraId="1FBFE449" w14:textId="12965D5A"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28</w:t>
      </w:r>
      <w:r>
        <w:rPr>
          <w:i w:val="0"/>
        </w:rPr>
        <w:t>–</w:t>
      </w:r>
      <w:r w:rsidRPr="00C20C28">
        <w:rPr>
          <w:i w:val="0"/>
        </w:rPr>
        <w:t>30</w:t>
      </w:r>
      <w:r>
        <w:rPr>
          <w:i w:val="0"/>
        </w:rPr>
        <w:t>.</w:t>
      </w:r>
      <w:r w:rsidRPr="00C20C28">
        <w:rPr>
          <w:i w:val="0"/>
        </w:rPr>
        <w:t xml:space="preserve"> </w:t>
      </w:r>
    </w:p>
  </w:endnote>
  <w:endnote w:id="40">
    <w:p w14:paraId="1FA57526" w14:textId="15835B60" w:rsidR="00FA0FD9" w:rsidRPr="00C20C28" w:rsidRDefault="00FA0FD9" w:rsidP="00EB4A09">
      <w:pPr>
        <w:pStyle w:val="Footnote"/>
        <w:rPr>
          <w:i w:val="0"/>
        </w:rPr>
      </w:pPr>
      <w:r w:rsidRPr="00C20C28">
        <w:rPr>
          <w:rStyle w:val="EndnoteReference"/>
          <w:i w:val="0"/>
        </w:rPr>
        <w:endnoteRef/>
      </w:r>
      <w:r w:rsidRPr="00C20C28">
        <w:rPr>
          <w:i w:val="0"/>
        </w:rPr>
        <w:t xml:space="preserve"> “Our </w:t>
      </w:r>
      <w:r>
        <w:rPr>
          <w:i w:val="0"/>
        </w:rPr>
        <w:t xml:space="preserve">Core </w:t>
      </w:r>
      <w:r w:rsidRPr="00C20C28">
        <w:rPr>
          <w:i w:val="0"/>
        </w:rPr>
        <w:t>Values</w:t>
      </w:r>
      <w:r>
        <w:rPr>
          <w:i w:val="0"/>
        </w:rPr>
        <w:t>,</w:t>
      </w:r>
      <w:r w:rsidRPr="00C20C28">
        <w:rPr>
          <w:i w:val="0"/>
        </w:rPr>
        <w:t xml:space="preserve">” New Flyer, accessed </w:t>
      </w:r>
      <w:r>
        <w:rPr>
          <w:i w:val="0"/>
        </w:rPr>
        <w:t>February 19, 2018</w:t>
      </w:r>
      <w:r w:rsidRPr="00C20C28">
        <w:rPr>
          <w:i w:val="0"/>
        </w:rPr>
        <w:t xml:space="preserve">, </w:t>
      </w:r>
      <w:r w:rsidRPr="009326DE">
        <w:rPr>
          <w:i w:val="0"/>
        </w:rPr>
        <w:t>https://www.newflyer.com/company/about/</w:t>
      </w:r>
      <w:r w:rsidRPr="00C20C28">
        <w:rPr>
          <w:i w:val="0"/>
        </w:rPr>
        <w:t>.</w:t>
      </w:r>
    </w:p>
  </w:endnote>
  <w:endnote w:id="41">
    <w:p w14:paraId="298C083A" w14:textId="2C27E9D2"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28</w:t>
      </w:r>
      <w:r>
        <w:rPr>
          <w:i w:val="0"/>
        </w:rPr>
        <w:t>–</w:t>
      </w:r>
      <w:r w:rsidRPr="00C20C28">
        <w:rPr>
          <w:i w:val="0"/>
        </w:rPr>
        <w:t>29</w:t>
      </w:r>
      <w:r>
        <w:rPr>
          <w:i w:val="0"/>
        </w:rPr>
        <w:t>.</w:t>
      </w:r>
      <w:r w:rsidRPr="00C20C28">
        <w:rPr>
          <w:i w:val="0"/>
        </w:rPr>
        <w:t xml:space="preserve"> </w:t>
      </w:r>
    </w:p>
  </w:endnote>
  <w:endnote w:id="42">
    <w:p w14:paraId="7C244F3D" w14:textId="0445C61C"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9</w:t>
      </w:r>
      <w:r>
        <w:rPr>
          <w:i w:val="0"/>
        </w:rPr>
        <w:t>.</w:t>
      </w:r>
      <w:r w:rsidRPr="00C20C28">
        <w:rPr>
          <w:i w:val="0"/>
        </w:rPr>
        <w:t xml:space="preserve"> </w:t>
      </w:r>
    </w:p>
  </w:endnote>
  <w:endnote w:id="43">
    <w:p w14:paraId="1800E3E1" w14:textId="08D04968"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30</w:t>
      </w:r>
      <w:r>
        <w:rPr>
          <w:i w:val="0"/>
        </w:rPr>
        <w:t>.</w:t>
      </w:r>
      <w:r w:rsidRPr="00C20C28">
        <w:rPr>
          <w:i w:val="0"/>
        </w:rPr>
        <w:t xml:space="preserve"> </w:t>
      </w:r>
    </w:p>
  </w:endnote>
  <w:endnote w:id="44">
    <w:p w14:paraId="7532E702" w14:textId="197B0B5D" w:rsidR="00FA0FD9" w:rsidRPr="00C20C28" w:rsidRDefault="00FA0FD9" w:rsidP="00EB4A09">
      <w:pPr>
        <w:pStyle w:val="Footnote"/>
        <w:rPr>
          <w:i w:val="0"/>
        </w:rPr>
      </w:pPr>
      <w:r w:rsidRPr="00C20C28">
        <w:rPr>
          <w:rStyle w:val="EndnoteReference"/>
          <w:i w:val="0"/>
        </w:rPr>
        <w:endnoteRef/>
      </w:r>
      <w:r w:rsidRPr="00C20C28">
        <w:rPr>
          <w:i w:val="0"/>
        </w:rPr>
        <w:t xml:space="preserve"> “About </w:t>
      </w:r>
      <w:r w:rsidRPr="00C20C28">
        <w:rPr>
          <w:i w:val="0"/>
        </w:rPr>
        <w:t>Gillig</w:t>
      </w:r>
      <w:r>
        <w:rPr>
          <w:i w:val="0"/>
        </w:rPr>
        <w:t>,</w:t>
      </w:r>
      <w:r w:rsidRPr="00C20C28">
        <w:rPr>
          <w:i w:val="0"/>
        </w:rPr>
        <w:t xml:space="preserve">” Gillig, accessed September 20, 2017, https://www.gillig.com/company. </w:t>
      </w:r>
    </w:p>
  </w:endnote>
  <w:endnote w:id="45">
    <w:p w14:paraId="3CD52160" w14:textId="3FE3AC39" w:rsidR="00FA0FD9" w:rsidRPr="00C20C28" w:rsidRDefault="00FA0FD9" w:rsidP="00EB4A09">
      <w:pPr>
        <w:pStyle w:val="Footnote"/>
        <w:rPr>
          <w:i w:val="0"/>
        </w:rPr>
      </w:pPr>
      <w:r w:rsidRPr="00C20C28">
        <w:rPr>
          <w:rStyle w:val="EndnoteReference"/>
          <w:i w:val="0"/>
        </w:rPr>
        <w:endnoteRef/>
      </w:r>
      <w:r w:rsidRPr="00C20C28">
        <w:rPr>
          <w:i w:val="0"/>
        </w:rPr>
        <w:t xml:space="preserve"> “About Nova Bus</w:t>
      </w:r>
      <w:r>
        <w:rPr>
          <w:i w:val="0"/>
        </w:rPr>
        <w:t>,</w:t>
      </w:r>
      <w:r w:rsidRPr="00C20C28">
        <w:rPr>
          <w:i w:val="0"/>
        </w:rPr>
        <w:t>” Nova Bus, accessed September 20, 2017, www.novabus.com/about-us/about-nova-bus.html.</w:t>
      </w:r>
    </w:p>
  </w:endnote>
  <w:endnote w:id="46">
    <w:p w14:paraId="576E3E35" w14:textId="10A4AB1E"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30</w:t>
      </w:r>
      <w:r>
        <w:rPr>
          <w:i w:val="0"/>
        </w:rPr>
        <w:t>–</w:t>
      </w:r>
      <w:r w:rsidRPr="00C20C28">
        <w:rPr>
          <w:i w:val="0"/>
        </w:rPr>
        <w:t>31</w:t>
      </w:r>
      <w:r>
        <w:rPr>
          <w:i w:val="0"/>
        </w:rPr>
        <w:t>.</w:t>
      </w:r>
      <w:r w:rsidRPr="00C20C28">
        <w:rPr>
          <w:i w:val="0"/>
        </w:rPr>
        <w:t xml:space="preserve"> </w:t>
      </w:r>
    </w:p>
  </w:endnote>
  <w:endnote w:id="47">
    <w:p w14:paraId="3B556B65" w14:textId="38ED636A"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9</w:t>
      </w:r>
      <w:r>
        <w:rPr>
          <w:i w:val="0"/>
        </w:rPr>
        <w:t>.</w:t>
      </w:r>
      <w:r w:rsidRPr="00C20C28">
        <w:rPr>
          <w:i w:val="0"/>
        </w:rPr>
        <w:t xml:space="preserve"> </w:t>
      </w:r>
    </w:p>
  </w:endnote>
  <w:endnote w:id="48">
    <w:p w14:paraId="5705C9FF" w14:textId="390D630D"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31</w:t>
      </w:r>
      <w:r>
        <w:rPr>
          <w:i w:val="0"/>
        </w:rPr>
        <w:t>–</w:t>
      </w:r>
      <w:r w:rsidRPr="00C20C28">
        <w:rPr>
          <w:i w:val="0"/>
        </w:rPr>
        <w:t>32</w:t>
      </w:r>
      <w:r>
        <w:rPr>
          <w:i w:val="0"/>
        </w:rPr>
        <w:t>.</w:t>
      </w:r>
      <w:r w:rsidRPr="00C20C28">
        <w:rPr>
          <w:i w:val="0"/>
        </w:rPr>
        <w:t xml:space="preserve"> </w:t>
      </w:r>
    </w:p>
  </w:endnote>
  <w:endnote w:id="49">
    <w:p w14:paraId="14232058" w14:textId="77777777" w:rsidR="00FA0FD9" w:rsidRPr="00C20C28" w:rsidRDefault="00FA0FD9" w:rsidP="00EB4A09">
      <w:pPr>
        <w:pStyle w:val="Footnote"/>
        <w:rPr>
          <w:i w:val="0"/>
        </w:rPr>
      </w:pPr>
      <w:r w:rsidRPr="00C20C28">
        <w:rPr>
          <w:rStyle w:val="EndnoteReference"/>
          <w:i w:val="0"/>
        </w:rPr>
        <w:endnoteRef/>
      </w:r>
      <w:r w:rsidRPr="00C20C28">
        <w:rPr>
          <w:i w:val="0"/>
        </w:rPr>
        <w:t xml:space="preserve"> Ibid.</w:t>
      </w:r>
    </w:p>
  </w:endnote>
  <w:endnote w:id="50">
    <w:p w14:paraId="229C883E" w14:textId="453918B2" w:rsidR="00FA0FD9" w:rsidRPr="00C20C28" w:rsidRDefault="00FA0FD9" w:rsidP="00EB4A09">
      <w:pPr>
        <w:pStyle w:val="Footnote"/>
        <w:rPr>
          <w:i w:val="0"/>
        </w:rPr>
      </w:pPr>
      <w:r w:rsidRPr="00C20C28">
        <w:rPr>
          <w:rStyle w:val="EndnoteReference"/>
          <w:i w:val="0"/>
        </w:rPr>
        <w:endnoteRef/>
      </w:r>
      <w:r w:rsidRPr="00C20C28">
        <w:rPr>
          <w:i w:val="0"/>
        </w:rPr>
        <w:t xml:space="preserve"> “Americans Took 10.6 Billion Trips on Public Transportation in 2015</w:t>
      </w:r>
      <w:r>
        <w:rPr>
          <w:i w:val="0"/>
        </w:rPr>
        <w:t>,</w:t>
      </w:r>
      <w:r w:rsidRPr="00C20C28">
        <w:rPr>
          <w:i w:val="0"/>
        </w:rPr>
        <w:t>” American Public Transport Association, March 31, 2016, accessed December 5, 2017, www.apta.com/mediacenter/pressreleases/2016/Pages/160331_Ridership.aspx</w:t>
      </w:r>
      <w:r>
        <w:rPr>
          <w:i w:val="0"/>
        </w:rPr>
        <w:t>.</w:t>
      </w:r>
    </w:p>
  </w:endnote>
  <w:endnote w:id="51">
    <w:p w14:paraId="6A2375CF" w14:textId="3C0BCDA5"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7</w:t>
      </w:r>
      <w:r>
        <w:rPr>
          <w:i w:val="0"/>
        </w:rPr>
        <w:t>.</w:t>
      </w:r>
      <w:r w:rsidRPr="00C20C28">
        <w:rPr>
          <w:i w:val="0"/>
        </w:rPr>
        <w:t xml:space="preserve"> </w:t>
      </w:r>
    </w:p>
  </w:endnote>
  <w:endnote w:id="52">
    <w:p w14:paraId="6D6B6462" w14:textId="574F0836"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30</w:t>
      </w:r>
      <w:r>
        <w:rPr>
          <w:i w:val="0"/>
        </w:rPr>
        <w:t>.</w:t>
      </w:r>
      <w:r w:rsidRPr="00C20C28">
        <w:rPr>
          <w:i w:val="0"/>
        </w:rPr>
        <w:t xml:space="preserve"> </w:t>
      </w:r>
    </w:p>
  </w:endnote>
  <w:endnote w:id="53">
    <w:p w14:paraId="4BF6E9CE" w14:textId="6C38A661"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10</w:t>
      </w:r>
      <w:r>
        <w:rPr>
          <w:i w:val="0"/>
        </w:rPr>
        <w:t>.</w:t>
      </w:r>
      <w:r w:rsidRPr="00C20C28">
        <w:rPr>
          <w:i w:val="0"/>
        </w:rPr>
        <w:t xml:space="preserve"> </w:t>
      </w:r>
    </w:p>
  </w:endnote>
  <w:endnote w:id="54">
    <w:p w14:paraId="5A745462" w14:textId="1B79FF2F"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30</w:t>
      </w:r>
      <w:r>
        <w:rPr>
          <w:i w:val="0"/>
        </w:rPr>
        <w:t>–</w:t>
      </w:r>
      <w:r w:rsidRPr="00C20C28">
        <w:rPr>
          <w:i w:val="0"/>
        </w:rPr>
        <w:t>31</w:t>
      </w:r>
      <w:r>
        <w:rPr>
          <w:i w:val="0"/>
        </w:rPr>
        <w:t>.</w:t>
      </w:r>
      <w:r w:rsidRPr="00C20C28">
        <w:rPr>
          <w:i w:val="0"/>
        </w:rPr>
        <w:t xml:space="preserve"> </w:t>
      </w:r>
    </w:p>
  </w:endnote>
  <w:endnote w:id="55">
    <w:p w14:paraId="3BD6178E" w14:textId="4499AF61"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8</w:t>
      </w:r>
      <w:r>
        <w:rPr>
          <w:i w:val="0"/>
        </w:rPr>
        <w:t>.</w:t>
      </w:r>
      <w:r w:rsidRPr="00C20C28">
        <w:rPr>
          <w:i w:val="0"/>
        </w:rPr>
        <w:t xml:space="preserve"> </w:t>
      </w:r>
    </w:p>
  </w:endnote>
  <w:endnote w:id="56">
    <w:p w14:paraId="1F528844" w14:textId="70F60B49"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31</w:t>
      </w:r>
      <w:r>
        <w:rPr>
          <w:i w:val="0"/>
        </w:rPr>
        <w:t>–</w:t>
      </w:r>
      <w:r w:rsidRPr="00C20C28">
        <w:rPr>
          <w:i w:val="0"/>
        </w:rPr>
        <w:t>32</w:t>
      </w:r>
      <w:r>
        <w:rPr>
          <w:i w:val="0"/>
        </w:rPr>
        <w:t>.</w:t>
      </w:r>
      <w:r w:rsidRPr="00C20C28">
        <w:rPr>
          <w:i w:val="0"/>
        </w:rPr>
        <w:t xml:space="preserve"> </w:t>
      </w:r>
    </w:p>
  </w:endnote>
  <w:endnote w:id="57">
    <w:p w14:paraId="3C425ED6" w14:textId="09DA1FC9" w:rsidR="00FA0FD9" w:rsidRPr="00C20C28" w:rsidRDefault="00FA0FD9" w:rsidP="00EB4A09">
      <w:pPr>
        <w:pStyle w:val="Footnote"/>
        <w:rPr>
          <w:i w:val="0"/>
        </w:rPr>
      </w:pPr>
      <w:r w:rsidRPr="00C20C28">
        <w:rPr>
          <w:rStyle w:val="EndnoteReference"/>
          <w:i w:val="0"/>
        </w:rPr>
        <w:endnoteRef/>
      </w:r>
      <w:r w:rsidRPr="00C20C28">
        <w:rPr>
          <w:i w:val="0"/>
        </w:rPr>
        <w:t xml:space="preserve"> New Flyer Industries, Inc., </w:t>
      </w:r>
      <w:r w:rsidRPr="00A26412">
        <w:t>Annual Information Form</w:t>
      </w:r>
      <w:r w:rsidRPr="00C20C28">
        <w:rPr>
          <w:i w:val="0"/>
        </w:rPr>
        <w:t>, op. cit.</w:t>
      </w:r>
      <w:r>
        <w:rPr>
          <w:i w:val="0"/>
        </w:rPr>
        <w:t xml:space="preserve">, </w:t>
      </w:r>
      <w:r w:rsidRPr="00C20C28">
        <w:rPr>
          <w:i w:val="0"/>
        </w:rPr>
        <w:t>10</w:t>
      </w:r>
      <w:r>
        <w:rPr>
          <w:i w:val="0"/>
        </w:rPr>
        <w:t>.</w:t>
      </w:r>
      <w:r w:rsidRPr="00C20C28">
        <w:rPr>
          <w:i w:val="0"/>
        </w:rPr>
        <w:t xml:space="preserve"> </w:t>
      </w:r>
    </w:p>
  </w:endnote>
  <w:endnote w:id="58">
    <w:p w14:paraId="593D122E" w14:textId="3D3B8113" w:rsidR="00FA0FD9" w:rsidRPr="00C20C28" w:rsidRDefault="00FA0FD9" w:rsidP="00EB4A09">
      <w:pPr>
        <w:pStyle w:val="Footnote"/>
        <w:rPr>
          <w:i w:val="0"/>
        </w:rPr>
      </w:pPr>
      <w:r w:rsidRPr="00C20C28">
        <w:rPr>
          <w:rStyle w:val="EndnoteReference"/>
          <w:i w:val="0"/>
        </w:rPr>
        <w:endnoteRef/>
      </w:r>
      <w:r>
        <w:rPr>
          <w:i w:val="0"/>
        </w:rPr>
        <w:t xml:space="preserve"> </w:t>
      </w:r>
      <w:r w:rsidRPr="00C20C28">
        <w:rPr>
          <w:i w:val="0"/>
        </w:rPr>
        <w:t xml:space="preserve">Martin Cash, “New Flyer Soars Past $2B </w:t>
      </w:r>
      <w:r>
        <w:rPr>
          <w:i w:val="0"/>
        </w:rPr>
        <w:t>i</w:t>
      </w:r>
      <w:r w:rsidRPr="00C20C28">
        <w:rPr>
          <w:i w:val="0"/>
        </w:rPr>
        <w:t>n Revenue</w:t>
      </w:r>
      <w:r>
        <w:rPr>
          <w:i w:val="0"/>
        </w:rPr>
        <w:t>,</w:t>
      </w:r>
      <w:r w:rsidRPr="00C20C28">
        <w:rPr>
          <w:i w:val="0"/>
        </w:rPr>
        <w:t xml:space="preserve">” </w:t>
      </w:r>
      <w:r w:rsidRPr="00A26412">
        <w:t>Winnipeg Free Press</w:t>
      </w:r>
      <w:r w:rsidRPr="00C20C28">
        <w:rPr>
          <w:i w:val="0"/>
        </w:rPr>
        <w:t>, March 23, 2017, accessed Sept 22, 2017, https://www.winnipegfreepress.com/business/new-flyer-soars-past-2b-in-revenue-416953974.html.</w:t>
      </w:r>
    </w:p>
  </w:endnote>
  <w:endnote w:id="59">
    <w:p w14:paraId="3134E979" w14:textId="152BA24C" w:rsidR="00FA0FD9" w:rsidRPr="00C20C28" w:rsidRDefault="00FA0FD9">
      <w:pPr>
        <w:pStyle w:val="EndnoteText"/>
        <w:rPr>
          <w:rFonts w:ascii="Arial" w:hAnsi="Arial" w:cs="Arial"/>
          <w:sz w:val="17"/>
          <w:szCs w:val="17"/>
          <w:lang w:val="en-US"/>
        </w:rPr>
      </w:pPr>
      <w:r w:rsidRPr="00C20C28">
        <w:rPr>
          <w:rStyle w:val="EndnoteReference"/>
          <w:rFonts w:ascii="Arial" w:hAnsi="Arial" w:cs="Arial"/>
          <w:sz w:val="17"/>
          <w:szCs w:val="17"/>
        </w:rPr>
        <w:endnoteRef/>
      </w:r>
      <w:r w:rsidRPr="00C20C28">
        <w:rPr>
          <w:rFonts w:ascii="Arial" w:hAnsi="Arial" w:cs="Arial"/>
          <w:sz w:val="17"/>
          <w:szCs w:val="17"/>
        </w:rPr>
        <w:t xml:space="preserve"> </w:t>
      </w:r>
      <w:r w:rsidRPr="00BC084D">
        <w:rPr>
          <w:rFonts w:ascii="Arial" w:hAnsi="Arial" w:cs="Arial"/>
          <w:sz w:val="17"/>
          <w:szCs w:val="17"/>
        </w:rPr>
        <w:t>Borzykowski</w:t>
      </w:r>
      <w:r>
        <w:rPr>
          <w:rFonts w:ascii="Arial" w:hAnsi="Arial" w:cs="Arial"/>
          <w:sz w:val="17"/>
          <w:szCs w:val="17"/>
        </w:rPr>
        <w:t>, op. cit.</w:t>
      </w:r>
    </w:p>
  </w:endnote>
  <w:endnote w:id="60">
    <w:p w14:paraId="16EF51C5" w14:textId="45FDF761" w:rsidR="00FA0FD9" w:rsidRPr="00C20C28" w:rsidRDefault="00FA0FD9" w:rsidP="007A12E6">
      <w:pPr>
        <w:pStyle w:val="Footnote"/>
        <w:rPr>
          <w:i w:val="0"/>
        </w:rPr>
      </w:pPr>
      <w:r w:rsidRPr="00C20C28">
        <w:rPr>
          <w:rStyle w:val="EndnoteReference"/>
          <w:i w:val="0"/>
        </w:rPr>
        <w:endnoteRef/>
      </w:r>
      <w:r w:rsidRPr="00C20C28">
        <w:rPr>
          <w:i w:val="0"/>
        </w:rPr>
        <w:t xml:space="preserve"> </w:t>
      </w:r>
      <w:r>
        <w:rPr>
          <w:i w:val="0"/>
        </w:rPr>
        <w:t xml:space="preserve">Stash, </w:t>
      </w:r>
      <w:r w:rsidRPr="00C20C28">
        <w:rPr>
          <w:i w:val="0"/>
        </w:rPr>
        <w:t>“3 Reasons the Stock Market Is So High Right Now</w:t>
      </w:r>
      <w:r>
        <w:rPr>
          <w:i w:val="0"/>
        </w:rPr>
        <w:t>,</w:t>
      </w:r>
      <w:r w:rsidRPr="00C20C28">
        <w:rPr>
          <w:i w:val="0"/>
        </w:rPr>
        <w:t xml:space="preserve">” Investopedia, August 28, 2016, </w:t>
      </w:r>
      <w:r w:rsidRPr="00C20C28">
        <w:rPr>
          <w:i w:val="0"/>
          <w:lang w:val="en-CA"/>
        </w:rPr>
        <w:t>accessed November 30, 2017, https://www.investopedia.com/stock-analysis/082916/3-reasons-stock-market-so-high-right-now.aspx.</w:t>
      </w:r>
    </w:p>
  </w:endnote>
  <w:endnote w:id="61">
    <w:p w14:paraId="7620AAFC" w14:textId="41DFA9CE" w:rsidR="00FA0FD9" w:rsidRPr="00072A46" w:rsidRDefault="00FA0FD9" w:rsidP="00EB4A09">
      <w:pPr>
        <w:pStyle w:val="Footnote"/>
        <w:rPr>
          <w:i w:val="0"/>
          <w:spacing w:val="-4"/>
          <w:kern w:val="17"/>
        </w:rPr>
      </w:pPr>
      <w:r w:rsidRPr="00072A46">
        <w:rPr>
          <w:rStyle w:val="EndnoteReference"/>
          <w:i w:val="0"/>
          <w:spacing w:val="-4"/>
          <w:kern w:val="17"/>
        </w:rPr>
        <w:endnoteRef/>
      </w:r>
      <w:r w:rsidRPr="00072A46">
        <w:rPr>
          <w:i w:val="0"/>
          <w:spacing w:val="-4"/>
          <w:kern w:val="17"/>
        </w:rPr>
        <w:t xml:space="preserve"> Jeff Sommer, “</w:t>
      </w:r>
      <w:r w:rsidRPr="00072A46">
        <w:rPr>
          <w:i w:val="0"/>
          <w:spacing w:val="-4"/>
          <w:kern w:val="17"/>
          <w:lang w:val="en"/>
        </w:rPr>
        <w:t xml:space="preserve">Why Is the Stock Market So High? Ask the Bond Market,” </w:t>
      </w:r>
      <w:r w:rsidRPr="00072A46">
        <w:rPr>
          <w:spacing w:val="-4"/>
          <w:kern w:val="17"/>
          <w:lang w:val="en"/>
        </w:rPr>
        <w:t>New York Times</w:t>
      </w:r>
      <w:r w:rsidRPr="00072A46">
        <w:rPr>
          <w:i w:val="0"/>
          <w:spacing w:val="-4"/>
          <w:kern w:val="17"/>
          <w:lang w:val="en"/>
        </w:rPr>
        <w:t xml:space="preserve">, July 30, 2016, </w:t>
      </w:r>
      <w:r w:rsidRPr="00072A46">
        <w:rPr>
          <w:i w:val="0"/>
          <w:spacing w:val="-4"/>
          <w:kern w:val="17"/>
          <w:lang w:val="en-CA"/>
        </w:rPr>
        <w:t>accessed November 30, 2017, https://www.nytimes.com/2016/07/31/your-money/why-is-the-stock-market-so-high-ask-the-bond-market.html.</w:t>
      </w:r>
    </w:p>
  </w:endnote>
  <w:endnote w:id="62">
    <w:p w14:paraId="5E4C7D22" w14:textId="3C822E76" w:rsidR="00FA0FD9" w:rsidRPr="00C20C28" w:rsidRDefault="00FA0FD9" w:rsidP="00EB4A09">
      <w:pPr>
        <w:pStyle w:val="Footnote"/>
        <w:rPr>
          <w:i w:val="0"/>
        </w:rPr>
      </w:pPr>
      <w:r w:rsidRPr="00C20C28">
        <w:rPr>
          <w:rStyle w:val="EndnoteReference"/>
          <w:i w:val="0"/>
        </w:rPr>
        <w:endnoteRef/>
      </w:r>
      <w:r w:rsidRPr="00C20C28">
        <w:rPr>
          <w:i w:val="0"/>
        </w:rPr>
        <w:t xml:space="preserve"> Ryan </w:t>
      </w:r>
      <w:r w:rsidRPr="00C20C28">
        <w:rPr>
          <w:i w:val="0"/>
        </w:rPr>
        <w:t>Vanzo, “</w:t>
      </w:r>
      <w:r w:rsidRPr="00C20C28">
        <w:rPr>
          <w:i w:val="0"/>
          <w:lang w:val="en-CA"/>
        </w:rPr>
        <w:t>New Flyer Industries Inc. Is Set to Dominate its Industry</w:t>
      </w:r>
      <w:r>
        <w:rPr>
          <w:i w:val="0"/>
          <w:lang w:val="en-CA"/>
        </w:rPr>
        <w:t>,</w:t>
      </w:r>
      <w:r w:rsidRPr="00C20C28">
        <w:rPr>
          <w:i w:val="0"/>
          <w:lang w:val="en-CA"/>
        </w:rPr>
        <w:t>” The Motley Fool, June 29, 2015, accessed November 30, 2017, https://www.fool.ca/2015/06/29/new-flyer-industries-inc-is-set-to-dominate-its-industry/.</w:t>
      </w:r>
    </w:p>
  </w:endnote>
  <w:endnote w:id="63">
    <w:p w14:paraId="3769574C" w14:textId="77777777" w:rsidR="00FA0FD9" w:rsidRPr="00C20C28" w:rsidRDefault="00FA0FD9" w:rsidP="00EB4A09">
      <w:pPr>
        <w:pStyle w:val="Footnote"/>
        <w:rPr>
          <w:i w:val="0"/>
        </w:rPr>
      </w:pPr>
      <w:r w:rsidRPr="00C20C28">
        <w:rPr>
          <w:rStyle w:val="EndnoteReference"/>
          <w:i w:val="0"/>
        </w:rPr>
        <w:endnoteRef/>
      </w:r>
      <w:r w:rsidRPr="00C20C28">
        <w:rPr>
          <w:i w:val="0"/>
        </w:rPr>
        <w:t xml:space="preserve"> Ibid.</w:t>
      </w:r>
    </w:p>
  </w:endnote>
  <w:endnote w:id="64">
    <w:p w14:paraId="5F46BF32" w14:textId="31020E1D" w:rsidR="00FA0FD9" w:rsidRPr="00C20C28" w:rsidRDefault="00FA0FD9" w:rsidP="00EB4A09">
      <w:pPr>
        <w:pStyle w:val="Footnote"/>
        <w:rPr>
          <w:i w:val="0"/>
        </w:rPr>
      </w:pPr>
      <w:r w:rsidRPr="00C20C28">
        <w:rPr>
          <w:rStyle w:val="EndnoteReference"/>
          <w:i w:val="0"/>
        </w:rPr>
        <w:endnoteRef/>
      </w:r>
      <w:r w:rsidRPr="00C20C28">
        <w:rPr>
          <w:i w:val="0"/>
        </w:rPr>
        <w:t xml:space="preserve"> “New Flyer to Invest $28M to Establish a Bus and Coach Parts Fabrication Facility in Kentucky</w:t>
      </w:r>
      <w:r>
        <w:rPr>
          <w:i w:val="0"/>
        </w:rPr>
        <w:t>,</w:t>
      </w:r>
      <w:r w:rsidRPr="00C20C28">
        <w:rPr>
          <w:i w:val="0"/>
        </w:rPr>
        <w:t>” Mass Transit</w:t>
      </w:r>
      <w:r>
        <w:rPr>
          <w:i w:val="0"/>
        </w:rPr>
        <w:t>,</w:t>
      </w:r>
      <w:r w:rsidRPr="00C20C28">
        <w:rPr>
          <w:i w:val="0"/>
        </w:rPr>
        <w:t xml:space="preserve"> November 20, 2017</w:t>
      </w:r>
      <w:r>
        <w:rPr>
          <w:i w:val="0"/>
        </w:rPr>
        <w:t>,</w:t>
      </w:r>
      <w:r w:rsidRPr="00C20C28">
        <w:rPr>
          <w:i w:val="0"/>
        </w:rPr>
        <w:t xml:space="preserve"> </w:t>
      </w:r>
      <w:r>
        <w:rPr>
          <w:i w:val="0"/>
        </w:rPr>
        <w:t>a</w:t>
      </w:r>
      <w:r w:rsidRPr="00C20C28">
        <w:rPr>
          <w:i w:val="0"/>
        </w:rPr>
        <w:t>cce</w:t>
      </w:r>
      <w:r>
        <w:rPr>
          <w:i w:val="0"/>
        </w:rPr>
        <w:t>ss</w:t>
      </w:r>
      <w:r w:rsidRPr="00C20C28">
        <w:rPr>
          <w:i w:val="0"/>
        </w:rPr>
        <w:t>ed December 1, 2017, www.masstransitmag.com/press_release/12382549/new-flyer-to-invest-28m-to-establish-a-bus-and-coach-parts-fabrication-facility-in-kentucky.</w:t>
      </w:r>
    </w:p>
  </w:endnote>
  <w:endnote w:id="65">
    <w:p w14:paraId="3821D108" w14:textId="51641387" w:rsidR="00FA0FD9" w:rsidRPr="00C20C28" w:rsidRDefault="00FA0FD9" w:rsidP="00EB4A09">
      <w:pPr>
        <w:pStyle w:val="Footnote"/>
        <w:rPr>
          <w:i w:val="0"/>
        </w:rPr>
      </w:pPr>
      <w:r w:rsidRPr="00C20C28">
        <w:rPr>
          <w:rStyle w:val="EndnoteReference"/>
          <w:i w:val="0"/>
        </w:rPr>
        <w:endnoteRef/>
      </w:r>
      <w:r w:rsidRPr="00C20C28">
        <w:rPr>
          <w:i w:val="0"/>
        </w:rPr>
        <w:t xml:space="preserve"> </w:t>
      </w:r>
      <w:r w:rsidRPr="00EF31AF">
        <w:rPr>
          <w:i w:val="0"/>
        </w:rPr>
        <w:t>The Anniston Star</w:t>
      </w:r>
      <w:r>
        <w:rPr>
          <w:i w:val="0"/>
        </w:rP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C2334" w14:textId="77777777" w:rsidR="00FA0FD9" w:rsidRDefault="00FA0FD9" w:rsidP="00D75295">
      <w:r>
        <w:separator/>
      </w:r>
    </w:p>
  </w:footnote>
  <w:footnote w:type="continuationSeparator" w:id="0">
    <w:p w14:paraId="34E061E5" w14:textId="77777777" w:rsidR="00FA0FD9" w:rsidRDefault="00FA0FD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78E0" w14:textId="2DBE16FB" w:rsidR="00FA0FD9" w:rsidRPr="00C92CC4" w:rsidRDefault="00FA0FD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6169">
      <w:rPr>
        <w:rFonts w:ascii="Arial" w:hAnsi="Arial"/>
        <w:b/>
        <w:noProof/>
      </w:rPr>
      <w:t>13</w:t>
    </w:r>
    <w:r>
      <w:rPr>
        <w:rFonts w:ascii="Arial" w:hAnsi="Arial"/>
        <w:b/>
      </w:rPr>
      <w:fldChar w:fldCharType="end"/>
    </w:r>
    <w:r>
      <w:rPr>
        <w:rFonts w:ascii="Arial" w:hAnsi="Arial"/>
        <w:b/>
      </w:rPr>
      <w:tab/>
      <w:t>9B18M</w:t>
    </w:r>
    <w:r w:rsidR="00D051E9">
      <w:rPr>
        <w:rFonts w:ascii="Arial" w:hAnsi="Arial"/>
        <w:b/>
      </w:rPr>
      <w:t>061</w:t>
    </w:r>
  </w:p>
  <w:p w14:paraId="4DD6DB80" w14:textId="77777777" w:rsidR="00FA0FD9" w:rsidRDefault="00FA0FD9" w:rsidP="00D13667">
    <w:pPr>
      <w:pStyle w:val="Header"/>
      <w:tabs>
        <w:tab w:val="clear" w:pos="4680"/>
      </w:tabs>
      <w:rPr>
        <w:sz w:val="18"/>
        <w:szCs w:val="18"/>
      </w:rPr>
    </w:pPr>
  </w:p>
  <w:p w14:paraId="46AFAB32" w14:textId="77777777" w:rsidR="00FA0FD9" w:rsidRPr="00C92CC4" w:rsidRDefault="00FA0FD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86803"/>
    <w:multiLevelType w:val="hybridMultilevel"/>
    <w:tmpl w:val="15220D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D79F9"/>
    <w:multiLevelType w:val="hybridMultilevel"/>
    <w:tmpl w:val="367C7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C11180"/>
    <w:multiLevelType w:val="multilevel"/>
    <w:tmpl w:val="21F07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F2D6B"/>
    <w:multiLevelType w:val="hybridMultilevel"/>
    <w:tmpl w:val="42564656"/>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E6467"/>
    <w:multiLevelType w:val="hybridMultilevel"/>
    <w:tmpl w:val="1B3C4E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3"/>
  </w:num>
  <w:num w:numId="4">
    <w:abstractNumId w:val="14"/>
  </w:num>
  <w:num w:numId="5">
    <w:abstractNumId w:val="27"/>
  </w:num>
  <w:num w:numId="6">
    <w:abstractNumId w:val="31"/>
  </w:num>
  <w:num w:numId="7">
    <w:abstractNumId w:val="23"/>
  </w:num>
  <w:num w:numId="8">
    <w:abstractNumId w:val="32"/>
  </w:num>
  <w:num w:numId="9">
    <w:abstractNumId w:val="11"/>
  </w:num>
  <w:num w:numId="10">
    <w:abstractNumId w:val="18"/>
  </w:num>
  <w:num w:numId="11">
    <w:abstractNumId w:val="12"/>
  </w:num>
  <w:num w:numId="12">
    <w:abstractNumId w:val="39"/>
  </w:num>
  <w:num w:numId="13">
    <w:abstractNumId w:val="15"/>
  </w:num>
  <w:num w:numId="14">
    <w:abstractNumId w:val="30"/>
  </w:num>
  <w:num w:numId="15">
    <w:abstractNumId w:val="40"/>
  </w:num>
  <w:num w:numId="16">
    <w:abstractNumId w:val="17"/>
  </w:num>
  <w:num w:numId="17">
    <w:abstractNumId w:val="25"/>
  </w:num>
  <w:num w:numId="18">
    <w:abstractNumId w:val="16"/>
  </w:num>
  <w:num w:numId="19">
    <w:abstractNumId w:val="20"/>
  </w:num>
  <w:num w:numId="20">
    <w:abstractNumId w:val="37"/>
  </w:num>
  <w:num w:numId="21">
    <w:abstractNumId w:val="28"/>
  </w:num>
  <w:num w:numId="22">
    <w:abstractNumId w:val="29"/>
  </w:num>
  <w:num w:numId="23">
    <w:abstractNumId w:val="10"/>
  </w:num>
  <w:num w:numId="24">
    <w:abstractNumId w:val="13"/>
  </w:num>
  <w:num w:numId="25">
    <w:abstractNumId w:val="42"/>
  </w:num>
  <w:num w:numId="26">
    <w:abstractNumId w:val="43"/>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4"/>
  </w:num>
  <w:num w:numId="40">
    <w:abstractNumId w:val="41"/>
  </w:num>
  <w:num w:numId="41">
    <w:abstractNumId w:val="36"/>
  </w:num>
  <w:num w:numId="42">
    <w:abstractNumId w:val="26"/>
  </w:num>
  <w:num w:numId="43">
    <w:abstractNumId w:val="21"/>
  </w:num>
  <w:num w:numId="44">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EC7"/>
    <w:rsid w:val="00013360"/>
    <w:rsid w:val="00016759"/>
    <w:rsid w:val="000216CE"/>
    <w:rsid w:val="00024ED4"/>
    <w:rsid w:val="00025DC7"/>
    <w:rsid w:val="00035F09"/>
    <w:rsid w:val="00035F89"/>
    <w:rsid w:val="00037F11"/>
    <w:rsid w:val="00044ECC"/>
    <w:rsid w:val="000531D3"/>
    <w:rsid w:val="0005646B"/>
    <w:rsid w:val="00072A46"/>
    <w:rsid w:val="0008102D"/>
    <w:rsid w:val="00085C0E"/>
    <w:rsid w:val="0008651D"/>
    <w:rsid w:val="00094C0E"/>
    <w:rsid w:val="000D7020"/>
    <w:rsid w:val="000D7091"/>
    <w:rsid w:val="000F0C22"/>
    <w:rsid w:val="000F6B09"/>
    <w:rsid w:val="000F6FDC"/>
    <w:rsid w:val="00104567"/>
    <w:rsid w:val="00104916"/>
    <w:rsid w:val="00104AA7"/>
    <w:rsid w:val="0012393A"/>
    <w:rsid w:val="0012640E"/>
    <w:rsid w:val="0012732D"/>
    <w:rsid w:val="00141F81"/>
    <w:rsid w:val="00143F25"/>
    <w:rsid w:val="00144042"/>
    <w:rsid w:val="00151DCF"/>
    <w:rsid w:val="00152682"/>
    <w:rsid w:val="00154FC9"/>
    <w:rsid w:val="00181DF5"/>
    <w:rsid w:val="00190EBA"/>
    <w:rsid w:val="0019241A"/>
    <w:rsid w:val="001A22D1"/>
    <w:rsid w:val="001A752D"/>
    <w:rsid w:val="001A757E"/>
    <w:rsid w:val="001B11F1"/>
    <w:rsid w:val="001B5032"/>
    <w:rsid w:val="001C7777"/>
    <w:rsid w:val="001D7E70"/>
    <w:rsid w:val="001E364F"/>
    <w:rsid w:val="001E720A"/>
    <w:rsid w:val="00203AA1"/>
    <w:rsid w:val="0021309B"/>
    <w:rsid w:val="00213E98"/>
    <w:rsid w:val="00214AC4"/>
    <w:rsid w:val="00214F06"/>
    <w:rsid w:val="0023081A"/>
    <w:rsid w:val="00234D19"/>
    <w:rsid w:val="002863CD"/>
    <w:rsid w:val="00293A64"/>
    <w:rsid w:val="002D2832"/>
    <w:rsid w:val="002D65BF"/>
    <w:rsid w:val="002E3DEC"/>
    <w:rsid w:val="002F460C"/>
    <w:rsid w:val="002F48D6"/>
    <w:rsid w:val="003103F2"/>
    <w:rsid w:val="00316169"/>
    <w:rsid w:val="00317391"/>
    <w:rsid w:val="00326216"/>
    <w:rsid w:val="00336580"/>
    <w:rsid w:val="00353676"/>
    <w:rsid w:val="00354899"/>
    <w:rsid w:val="00355FD6"/>
    <w:rsid w:val="00364A5C"/>
    <w:rsid w:val="00367D23"/>
    <w:rsid w:val="00370437"/>
    <w:rsid w:val="00373FB1"/>
    <w:rsid w:val="003803A3"/>
    <w:rsid w:val="00385868"/>
    <w:rsid w:val="00396C76"/>
    <w:rsid w:val="003A0EC2"/>
    <w:rsid w:val="003A58EF"/>
    <w:rsid w:val="003B30D8"/>
    <w:rsid w:val="003B3604"/>
    <w:rsid w:val="003B7EF2"/>
    <w:rsid w:val="003C3FA4"/>
    <w:rsid w:val="003E503A"/>
    <w:rsid w:val="003F2B0C"/>
    <w:rsid w:val="004105B2"/>
    <w:rsid w:val="004221E4"/>
    <w:rsid w:val="004273F8"/>
    <w:rsid w:val="004355A3"/>
    <w:rsid w:val="004368AB"/>
    <w:rsid w:val="00446546"/>
    <w:rsid w:val="00452769"/>
    <w:rsid w:val="004576B3"/>
    <w:rsid w:val="00465348"/>
    <w:rsid w:val="004756A5"/>
    <w:rsid w:val="004A0E50"/>
    <w:rsid w:val="004A17E6"/>
    <w:rsid w:val="004B1CCB"/>
    <w:rsid w:val="004B632F"/>
    <w:rsid w:val="004C52AA"/>
    <w:rsid w:val="004D0856"/>
    <w:rsid w:val="004D3FB1"/>
    <w:rsid w:val="004D6F21"/>
    <w:rsid w:val="004D73A5"/>
    <w:rsid w:val="00505346"/>
    <w:rsid w:val="005160F1"/>
    <w:rsid w:val="005176D7"/>
    <w:rsid w:val="00521046"/>
    <w:rsid w:val="00524F2F"/>
    <w:rsid w:val="00526E47"/>
    <w:rsid w:val="00527E5C"/>
    <w:rsid w:val="00532CF5"/>
    <w:rsid w:val="00544640"/>
    <w:rsid w:val="005528CB"/>
    <w:rsid w:val="00566394"/>
    <w:rsid w:val="00566771"/>
    <w:rsid w:val="00571CB8"/>
    <w:rsid w:val="005803B6"/>
    <w:rsid w:val="00581E2E"/>
    <w:rsid w:val="00584F15"/>
    <w:rsid w:val="0059514B"/>
    <w:rsid w:val="00595DAA"/>
    <w:rsid w:val="005A1B0F"/>
    <w:rsid w:val="005A20A8"/>
    <w:rsid w:val="005F56DF"/>
    <w:rsid w:val="00603F52"/>
    <w:rsid w:val="00614E8C"/>
    <w:rsid w:val="0061596A"/>
    <w:rsid w:val="006163F7"/>
    <w:rsid w:val="00627C63"/>
    <w:rsid w:val="0063350B"/>
    <w:rsid w:val="00652606"/>
    <w:rsid w:val="006616A5"/>
    <w:rsid w:val="00667F97"/>
    <w:rsid w:val="00684CFC"/>
    <w:rsid w:val="006946EE"/>
    <w:rsid w:val="006A5805"/>
    <w:rsid w:val="006A58A9"/>
    <w:rsid w:val="006A606D"/>
    <w:rsid w:val="006B1025"/>
    <w:rsid w:val="006C0371"/>
    <w:rsid w:val="006C08B6"/>
    <w:rsid w:val="006C0B1A"/>
    <w:rsid w:val="006C6065"/>
    <w:rsid w:val="006C7F9F"/>
    <w:rsid w:val="006D7A95"/>
    <w:rsid w:val="006E2C4D"/>
    <w:rsid w:val="006E2F6D"/>
    <w:rsid w:val="006E58F6"/>
    <w:rsid w:val="006E77E1"/>
    <w:rsid w:val="006F131D"/>
    <w:rsid w:val="006F1E03"/>
    <w:rsid w:val="00711642"/>
    <w:rsid w:val="007504EA"/>
    <w:rsid w:val="007507C6"/>
    <w:rsid w:val="00751E0B"/>
    <w:rsid w:val="00752BCD"/>
    <w:rsid w:val="00764DA2"/>
    <w:rsid w:val="00766DA1"/>
    <w:rsid w:val="00780D94"/>
    <w:rsid w:val="00784365"/>
    <w:rsid w:val="007866A6"/>
    <w:rsid w:val="00791CFA"/>
    <w:rsid w:val="007A12E6"/>
    <w:rsid w:val="007A130D"/>
    <w:rsid w:val="007A6314"/>
    <w:rsid w:val="007B6F88"/>
    <w:rsid w:val="007C150D"/>
    <w:rsid w:val="007C6D25"/>
    <w:rsid w:val="007D1A2D"/>
    <w:rsid w:val="007D4102"/>
    <w:rsid w:val="007D4606"/>
    <w:rsid w:val="007D5D7D"/>
    <w:rsid w:val="007F43B7"/>
    <w:rsid w:val="00821FFC"/>
    <w:rsid w:val="00823767"/>
    <w:rsid w:val="008271CA"/>
    <w:rsid w:val="0084566F"/>
    <w:rsid w:val="008467D5"/>
    <w:rsid w:val="0085449C"/>
    <w:rsid w:val="008A4DC4"/>
    <w:rsid w:val="008B438C"/>
    <w:rsid w:val="008C7E46"/>
    <w:rsid w:val="008D06CA"/>
    <w:rsid w:val="008D3A46"/>
    <w:rsid w:val="0090636E"/>
    <w:rsid w:val="009067A4"/>
    <w:rsid w:val="00927173"/>
    <w:rsid w:val="009326DE"/>
    <w:rsid w:val="00933D68"/>
    <w:rsid w:val="00933F30"/>
    <w:rsid w:val="009340DB"/>
    <w:rsid w:val="00934D78"/>
    <w:rsid w:val="0094618C"/>
    <w:rsid w:val="009519E1"/>
    <w:rsid w:val="0095684B"/>
    <w:rsid w:val="00972498"/>
    <w:rsid w:val="00972F19"/>
    <w:rsid w:val="0097481F"/>
    <w:rsid w:val="00974CC6"/>
    <w:rsid w:val="00976AD4"/>
    <w:rsid w:val="00995547"/>
    <w:rsid w:val="009971F5"/>
    <w:rsid w:val="009A312F"/>
    <w:rsid w:val="009A37DF"/>
    <w:rsid w:val="009A5348"/>
    <w:rsid w:val="009B0AB7"/>
    <w:rsid w:val="009C76D5"/>
    <w:rsid w:val="009F7AA4"/>
    <w:rsid w:val="00A06E31"/>
    <w:rsid w:val="00A10355"/>
    <w:rsid w:val="00A10AD7"/>
    <w:rsid w:val="00A11F7F"/>
    <w:rsid w:val="00A20344"/>
    <w:rsid w:val="00A26412"/>
    <w:rsid w:val="00A32019"/>
    <w:rsid w:val="00A33804"/>
    <w:rsid w:val="00A542A4"/>
    <w:rsid w:val="00A559DB"/>
    <w:rsid w:val="00A569EA"/>
    <w:rsid w:val="00A810BA"/>
    <w:rsid w:val="00AA0F3C"/>
    <w:rsid w:val="00AD5938"/>
    <w:rsid w:val="00AF35FC"/>
    <w:rsid w:val="00AF5556"/>
    <w:rsid w:val="00AF65E3"/>
    <w:rsid w:val="00B03639"/>
    <w:rsid w:val="00B0558C"/>
    <w:rsid w:val="00B0652A"/>
    <w:rsid w:val="00B40937"/>
    <w:rsid w:val="00B423EF"/>
    <w:rsid w:val="00B453DE"/>
    <w:rsid w:val="00B47FC4"/>
    <w:rsid w:val="00B72597"/>
    <w:rsid w:val="00B901F9"/>
    <w:rsid w:val="00B93369"/>
    <w:rsid w:val="00BC0750"/>
    <w:rsid w:val="00BC084D"/>
    <w:rsid w:val="00BD33BB"/>
    <w:rsid w:val="00BD6EFB"/>
    <w:rsid w:val="00BE15C5"/>
    <w:rsid w:val="00BF4021"/>
    <w:rsid w:val="00C0544A"/>
    <w:rsid w:val="00C1584D"/>
    <w:rsid w:val="00C15BE2"/>
    <w:rsid w:val="00C20C28"/>
    <w:rsid w:val="00C3447F"/>
    <w:rsid w:val="00C44B3A"/>
    <w:rsid w:val="00C67102"/>
    <w:rsid w:val="00C81491"/>
    <w:rsid w:val="00C81676"/>
    <w:rsid w:val="00C85C5D"/>
    <w:rsid w:val="00C92CC4"/>
    <w:rsid w:val="00C9350A"/>
    <w:rsid w:val="00CA0AFB"/>
    <w:rsid w:val="00CA2CE1"/>
    <w:rsid w:val="00CA3976"/>
    <w:rsid w:val="00CA50E3"/>
    <w:rsid w:val="00CA757B"/>
    <w:rsid w:val="00CC1787"/>
    <w:rsid w:val="00CC182C"/>
    <w:rsid w:val="00CD0824"/>
    <w:rsid w:val="00CD2908"/>
    <w:rsid w:val="00CF2593"/>
    <w:rsid w:val="00CF64AB"/>
    <w:rsid w:val="00D03A82"/>
    <w:rsid w:val="00D051E9"/>
    <w:rsid w:val="00D13667"/>
    <w:rsid w:val="00D15344"/>
    <w:rsid w:val="00D23F57"/>
    <w:rsid w:val="00D2407D"/>
    <w:rsid w:val="00D2726D"/>
    <w:rsid w:val="00D31BEC"/>
    <w:rsid w:val="00D45E9A"/>
    <w:rsid w:val="00D63150"/>
    <w:rsid w:val="00D636BA"/>
    <w:rsid w:val="00D64A32"/>
    <w:rsid w:val="00D64EFC"/>
    <w:rsid w:val="00D75295"/>
    <w:rsid w:val="00D76CE9"/>
    <w:rsid w:val="00D97F12"/>
    <w:rsid w:val="00DA334A"/>
    <w:rsid w:val="00DA6095"/>
    <w:rsid w:val="00DB07D0"/>
    <w:rsid w:val="00DB42E7"/>
    <w:rsid w:val="00DC758F"/>
    <w:rsid w:val="00DD5B28"/>
    <w:rsid w:val="00DE01A6"/>
    <w:rsid w:val="00DE7A98"/>
    <w:rsid w:val="00DF32C2"/>
    <w:rsid w:val="00E039E2"/>
    <w:rsid w:val="00E10DA1"/>
    <w:rsid w:val="00E255F5"/>
    <w:rsid w:val="00E4649C"/>
    <w:rsid w:val="00E471A7"/>
    <w:rsid w:val="00E635CF"/>
    <w:rsid w:val="00E769FB"/>
    <w:rsid w:val="00EB4A09"/>
    <w:rsid w:val="00EC6E0A"/>
    <w:rsid w:val="00ED4E18"/>
    <w:rsid w:val="00EE1F37"/>
    <w:rsid w:val="00EF252E"/>
    <w:rsid w:val="00EF2CEA"/>
    <w:rsid w:val="00EF31AF"/>
    <w:rsid w:val="00F0159C"/>
    <w:rsid w:val="00F105B7"/>
    <w:rsid w:val="00F13220"/>
    <w:rsid w:val="00F15383"/>
    <w:rsid w:val="00F17A21"/>
    <w:rsid w:val="00F25B49"/>
    <w:rsid w:val="00F37465"/>
    <w:rsid w:val="00F37B27"/>
    <w:rsid w:val="00F46556"/>
    <w:rsid w:val="00F50E91"/>
    <w:rsid w:val="00F57D29"/>
    <w:rsid w:val="00F8663E"/>
    <w:rsid w:val="00F9210D"/>
    <w:rsid w:val="00F96201"/>
    <w:rsid w:val="00FA0FD9"/>
    <w:rsid w:val="00FB1374"/>
    <w:rsid w:val="00FB793F"/>
    <w:rsid w:val="00FC65C6"/>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F59C89"/>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99"/>
    <w:rsid w:val="00BE15C5"/>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99"/>
    <w:rsid w:val="00FA0FD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Sheet1!$B$37</c:f>
              <c:strCache>
                <c:ptCount val="1"/>
                <c:pt idx="0">
                  <c:v>Heavy Bus</c:v>
                </c:pt>
              </c:strCache>
            </c:strRef>
          </c:tx>
          <c:spPr>
            <a:solidFill>
              <a:schemeClr val="dk1">
                <a:tint val="88500"/>
              </a:schemeClr>
            </a:solidFill>
            <a:ln>
              <a:noFill/>
            </a:ln>
            <a:effectLst/>
          </c:spPr>
          <c:invertIfNegative val="0"/>
          <c:cat>
            <c:numRef>
              <c:f>Sheet1!$A$38:$A$49</c:f>
              <c:numCache>
                <c:formatCode>General</c:formatCode>
                <c:ptCount val="12"/>
                <c:pt idx="0">
                  <c:v>2005</c:v>
                </c:pt>
                <c:pt idx="1">
                  <c:v>2006</c:v>
                </c:pt>
                <c:pt idx="2">
                  <c:v>2007</c:v>
                </c:pt>
                <c:pt idx="3">
                  <c:v>2008</c:v>
                </c:pt>
                <c:pt idx="4">
                  <c:v>2009</c:v>
                </c:pt>
                <c:pt idx="5">
                  <c:v>2010</c:v>
                </c:pt>
                <c:pt idx="6">
                  <c:v>2011</c:v>
                </c:pt>
                <c:pt idx="7">
                  <c:v>2012</c:v>
                </c:pt>
                <c:pt idx="8">
                  <c:v>2013</c:v>
                </c:pt>
                <c:pt idx="9">
                  <c:v>2014</c:v>
                </c:pt>
                <c:pt idx="10">
                  <c:v>2015</c:v>
                </c:pt>
                <c:pt idx="11">
                  <c:v>2016</c:v>
                </c:pt>
              </c:numCache>
            </c:numRef>
          </c:cat>
          <c:val>
            <c:numRef>
              <c:f>Sheet1!$B$38:$B$49</c:f>
              <c:numCache>
                <c:formatCode>_(* #,##0_);_(* \(#,##0\);_(* "-"??_);_(@_)</c:formatCode>
                <c:ptCount val="12"/>
                <c:pt idx="0">
                  <c:v>4333</c:v>
                </c:pt>
                <c:pt idx="1">
                  <c:v>4047</c:v>
                </c:pt>
                <c:pt idx="2">
                  <c:v>5065</c:v>
                </c:pt>
                <c:pt idx="3">
                  <c:v>5284</c:v>
                </c:pt>
                <c:pt idx="4">
                  <c:v>6032</c:v>
                </c:pt>
                <c:pt idx="5">
                  <c:v>5933</c:v>
                </c:pt>
                <c:pt idx="6">
                  <c:v>5154</c:v>
                </c:pt>
                <c:pt idx="7">
                  <c:v>5109</c:v>
                </c:pt>
                <c:pt idx="8">
                  <c:v>5010</c:v>
                </c:pt>
                <c:pt idx="9">
                  <c:v>5128</c:v>
                </c:pt>
                <c:pt idx="10">
                  <c:v>5373</c:v>
                </c:pt>
                <c:pt idx="11">
                  <c:v>5795</c:v>
                </c:pt>
              </c:numCache>
            </c:numRef>
          </c:val>
          <c:extLst>
            <c:ext xmlns:c16="http://schemas.microsoft.com/office/drawing/2014/chart" uri="{C3380CC4-5D6E-409C-BE32-E72D297353CC}">
              <c16:uniqueId val="{00000000-D354-4680-B1C8-488608790F3D}"/>
            </c:ext>
          </c:extLst>
        </c:ser>
        <c:ser>
          <c:idx val="1"/>
          <c:order val="1"/>
          <c:tx>
            <c:strRef>
              <c:f>Sheet1!$C$37</c:f>
              <c:strCache>
                <c:ptCount val="1"/>
                <c:pt idx="0">
                  <c:v>Motor Coach </c:v>
                </c:pt>
              </c:strCache>
            </c:strRef>
          </c:tx>
          <c:spPr>
            <a:solidFill>
              <a:schemeClr val="dk1">
                <a:tint val="55000"/>
              </a:schemeClr>
            </a:solidFill>
            <a:ln>
              <a:noFill/>
            </a:ln>
            <a:effectLst/>
          </c:spPr>
          <c:invertIfNegative val="0"/>
          <c:cat>
            <c:numRef>
              <c:f>Sheet1!$A$38:$A$49</c:f>
              <c:numCache>
                <c:formatCode>General</c:formatCode>
                <c:ptCount val="12"/>
                <c:pt idx="0">
                  <c:v>2005</c:v>
                </c:pt>
                <c:pt idx="1">
                  <c:v>2006</c:v>
                </c:pt>
                <c:pt idx="2">
                  <c:v>2007</c:v>
                </c:pt>
                <c:pt idx="3">
                  <c:v>2008</c:v>
                </c:pt>
                <c:pt idx="4">
                  <c:v>2009</c:v>
                </c:pt>
                <c:pt idx="5">
                  <c:v>2010</c:v>
                </c:pt>
                <c:pt idx="6">
                  <c:v>2011</c:v>
                </c:pt>
                <c:pt idx="7">
                  <c:v>2012</c:v>
                </c:pt>
                <c:pt idx="8">
                  <c:v>2013</c:v>
                </c:pt>
                <c:pt idx="9">
                  <c:v>2014</c:v>
                </c:pt>
                <c:pt idx="10">
                  <c:v>2015</c:v>
                </c:pt>
                <c:pt idx="11">
                  <c:v>2016</c:v>
                </c:pt>
              </c:numCache>
            </c:numRef>
          </c:cat>
          <c:val>
            <c:numRef>
              <c:f>Sheet1!$C$38:$C$49</c:f>
              <c:numCache>
                <c:formatCode>_(* #,##0_);_(* \(#,##0\);_(* "-"??_);_(@_)</c:formatCode>
                <c:ptCount val="12"/>
                <c:pt idx="0">
                  <c:v>1747</c:v>
                </c:pt>
                <c:pt idx="1">
                  <c:v>2048</c:v>
                </c:pt>
                <c:pt idx="2">
                  <c:v>1862</c:v>
                </c:pt>
                <c:pt idx="3">
                  <c:v>1822</c:v>
                </c:pt>
                <c:pt idx="4">
                  <c:v>1579</c:v>
                </c:pt>
                <c:pt idx="5">
                  <c:v>1211</c:v>
                </c:pt>
                <c:pt idx="6">
                  <c:v>1542</c:v>
                </c:pt>
                <c:pt idx="7">
                  <c:v>1565</c:v>
                </c:pt>
                <c:pt idx="8">
                  <c:v>1772</c:v>
                </c:pt>
                <c:pt idx="9">
                  <c:v>1926</c:v>
                </c:pt>
                <c:pt idx="10">
                  <c:v>2311</c:v>
                </c:pt>
                <c:pt idx="11">
                  <c:v>2399</c:v>
                </c:pt>
              </c:numCache>
            </c:numRef>
          </c:val>
          <c:extLst>
            <c:ext xmlns:c16="http://schemas.microsoft.com/office/drawing/2014/chart" uri="{C3380CC4-5D6E-409C-BE32-E72D297353CC}">
              <c16:uniqueId val="{00000001-D354-4680-B1C8-488608790F3D}"/>
            </c:ext>
          </c:extLst>
        </c:ser>
        <c:dLbls>
          <c:showLegendKey val="0"/>
          <c:showVal val="0"/>
          <c:showCatName val="0"/>
          <c:showSerName val="0"/>
          <c:showPercent val="0"/>
          <c:showBubbleSize val="0"/>
        </c:dLbls>
        <c:gapWidth val="219"/>
        <c:overlap val="-27"/>
        <c:axId val="172037648"/>
        <c:axId val="172038040"/>
      </c:barChart>
      <c:catAx>
        <c:axId val="17203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38040"/>
        <c:crosses val="autoZero"/>
        <c:auto val="1"/>
        <c:lblAlgn val="ctr"/>
        <c:lblOffset val="100"/>
        <c:noMultiLvlLbl val="0"/>
      </c:catAx>
      <c:valAx>
        <c:axId val="17203804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20376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E37B04-31CA-43C9-8482-318D045E131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FA615C6-82A1-4496-9E4C-88A5CA70501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144CE-7E45-4727-89FB-C8280327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Nathan Spence</cp:lastModifiedBy>
  <cp:revision>4</cp:revision>
  <cp:lastPrinted>2015-03-04T20:34:00Z</cp:lastPrinted>
  <dcterms:created xsi:type="dcterms:W3CDTF">2018-04-03T17:33:00Z</dcterms:created>
  <dcterms:modified xsi:type="dcterms:W3CDTF">2020-04-30T16:52:00Z</dcterms:modified>
</cp:coreProperties>
</file>