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EC4CD" w14:textId="77777777" w:rsidR="003D3D90" w:rsidRDefault="003D3D90" w:rsidP="003D3D9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2F62910E" wp14:editId="7363A0F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6B09576" w14:textId="0A4C45C7" w:rsidR="003D3D90" w:rsidRDefault="006C6364" w:rsidP="003D3D90">
      <w:pPr>
        <w:pStyle w:val="ProductNumber"/>
      </w:pPr>
      <w:r>
        <w:rPr>
          <w:lang w:val="en-GB"/>
        </w:rPr>
        <w:t>9B18M062</w:t>
      </w:r>
    </w:p>
    <w:p w14:paraId="0D3C9D72" w14:textId="77777777" w:rsidR="00D75295" w:rsidRDefault="00D75295" w:rsidP="00D75295">
      <w:pPr>
        <w:jc w:val="right"/>
        <w:rPr>
          <w:rFonts w:ascii="Arial" w:hAnsi="Arial"/>
          <w:b/>
          <w:sz w:val="28"/>
          <w:szCs w:val="28"/>
        </w:rPr>
      </w:pPr>
    </w:p>
    <w:p w14:paraId="6970DBEE" w14:textId="77777777" w:rsidR="00866F6D" w:rsidRDefault="00866F6D" w:rsidP="00D75295">
      <w:pPr>
        <w:jc w:val="right"/>
        <w:rPr>
          <w:rFonts w:ascii="Arial" w:hAnsi="Arial"/>
          <w:b/>
          <w:sz w:val="28"/>
          <w:szCs w:val="28"/>
        </w:rPr>
      </w:pPr>
    </w:p>
    <w:p w14:paraId="29B2182C" w14:textId="563A0C19" w:rsidR="00013360" w:rsidRPr="00361C8E" w:rsidRDefault="00A81B5F" w:rsidP="00013360">
      <w:pPr>
        <w:pStyle w:val="CaseTitle"/>
        <w:spacing w:after="0" w:line="240" w:lineRule="auto"/>
      </w:pPr>
      <w:r w:rsidRPr="0078317A">
        <w:t xml:space="preserve">Nestlé </w:t>
      </w:r>
      <w:r w:rsidR="00304378" w:rsidRPr="0078317A">
        <w:t xml:space="preserve">INDIA: CREATING A </w:t>
      </w:r>
      <w:r w:rsidR="002251A3">
        <w:t xml:space="preserve">new </w:t>
      </w:r>
      <w:r w:rsidR="00304378" w:rsidRPr="0078317A">
        <w:t>CSR STRATEGY</w:t>
      </w:r>
    </w:p>
    <w:p w14:paraId="30561A3D" w14:textId="77777777" w:rsidR="00013360" w:rsidRDefault="00013360" w:rsidP="00013360">
      <w:pPr>
        <w:pStyle w:val="CaseTitle"/>
        <w:spacing w:after="0" w:line="240" w:lineRule="auto"/>
        <w:rPr>
          <w:sz w:val="20"/>
          <w:szCs w:val="20"/>
        </w:rPr>
      </w:pPr>
    </w:p>
    <w:p w14:paraId="20932149" w14:textId="77777777" w:rsidR="00013360" w:rsidRPr="00013360" w:rsidRDefault="00013360" w:rsidP="00013360">
      <w:pPr>
        <w:pStyle w:val="CaseTitle"/>
        <w:spacing w:after="0" w:line="240" w:lineRule="auto"/>
        <w:rPr>
          <w:sz w:val="20"/>
          <w:szCs w:val="20"/>
        </w:rPr>
      </w:pPr>
    </w:p>
    <w:p w14:paraId="4770BA9F" w14:textId="77777777" w:rsidR="00013360" w:rsidRDefault="00A81B5F" w:rsidP="00104567">
      <w:pPr>
        <w:pStyle w:val="StyleCopyrightStatementAfter0ptBottomSinglesolidline1"/>
      </w:pPr>
      <w:r w:rsidRPr="00A81B5F">
        <w:rPr>
          <w:lang w:val="en-GB"/>
        </w:rPr>
        <w:t>Namrata Rana and Utkarsh Majmudar</w:t>
      </w:r>
      <w:r w:rsidR="007E5921">
        <w:t xml:space="preserve"> 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4AB43C14" w14:textId="77777777" w:rsidR="00013360" w:rsidRDefault="00013360" w:rsidP="00104567">
      <w:pPr>
        <w:pStyle w:val="StyleCopyrightStatementAfter0ptBottomSinglesolidline1"/>
      </w:pPr>
    </w:p>
    <w:p w14:paraId="1C7043EC" w14:textId="77777777" w:rsidR="003D3D90" w:rsidRPr="000F1507" w:rsidRDefault="003D3D90" w:rsidP="003D3D90">
      <w:pPr>
        <w:pStyle w:val="StyleStyleCopyrightStatementAfter0ptBottomSinglesolid"/>
      </w:pPr>
      <w:r w:rsidRPr="000F1507">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19EA6451" w14:textId="77777777" w:rsidR="003D3D90" w:rsidRPr="000F1507" w:rsidRDefault="003D3D90" w:rsidP="003D3D90">
      <w:pPr>
        <w:pStyle w:val="StyleStyleCopyrightStatementAfter0ptBottomSinglesolid"/>
      </w:pPr>
    </w:p>
    <w:p w14:paraId="1BE5B76F" w14:textId="05B5DA7B" w:rsidR="003B7EF2" w:rsidRDefault="003D3D90" w:rsidP="003D3D90">
      <w:pPr>
        <w:pStyle w:val="StyleStyleCopyrightStatementAfter0ptBottomSinglesolid"/>
      </w:pPr>
      <w:r w:rsidRPr="000F1507">
        <w:t>Copyright © 20</w:t>
      </w:r>
      <w:r>
        <w:t>18</w:t>
      </w:r>
      <w:r w:rsidRPr="000F1507">
        <w:t xml:space="preserve">, </w:t>
      </w:r>
      <w:r w:rsidRPr="000F1507">
        <w:rPr>
          <w:lang w:val="en-CA"/>
        </w:rPr>
        <w:t>Ivey Business School Foundation</w:t>
      </w:r>
      <w:r w:rsidRPr="000F1507">
        <w:rPr>
          <w:lang w:val="en-CA"/>
        </w:rPr>
        <w:tab/>
      </w:r>
      <w:r w:rsidRPr="000F1507">
        <w:t xml:space="preserve">Version: </w:t>
      </w:r>
      <w:r w:rsidR="0084792A">
        <w:t>2020-11-17</w:t>
      </w:r>
      <w:bookmarkStart w:id="0" w:name="_GoBack"/>
      <w:bookmarkEnd w:id="0"/>
    </w:p>
    <w:p w14:paraId="56BADA64" w14:textId="77777777" w:rsidR="003B7EF2" w:rsidRPr="003B7EF2" w:rsidRDefault="003B7EF2" w:rsidP="00104567">
      <w:pPr>
        <w:pStyle w:val="StyleCopyrightStatementAfter0ptBottomSinglesolidline1"/>
        <w:rPr>
          <w:rFonts w:ascii="Times New Roman" w:hAnsi="Times New Roman"/>
          <w:sz w:val="20"/>
        </w:rPr>
      </w:pPr>
    </w:p>
    <w:p w14:paraId="59590997" w14:textId="77777777" w:rsidR="003B7EF2" w:rsidRPr="00383AD7" w:rsidRDefault="003B7EF2" w:rsidP="006B7F7A">
      <w:pPr>
        <w:pStyle w:val="BodyTextMain"/>
        <w:rPr>
          <w:sz w:val="20"/>
        </w:rPr>
      </w:pPr>
    </w:p>
    <w:p w14:paraId="47D1C8D6" w14:textId="40C770E3" w:rsidR="00A81B5F" w:rsidRPr="004255DC" w:rsidRDefault="00A81B5F" w:rsidP="00A81B5F">
      <w:pPr>
        <w:pStyle w:val="BodyTextMain"/>
        <w:rPr>
          <w:lang w:val="en-GB"/>
        </w:rPr>
      </w:pPr>
      <w:r w:rsidRPr="004255DC">
        <w:rPr>
          <w:lang w:val="en-GB"/>
        </w:rPr>
        <w:t>In December 2013</w:t>
      </w:r>
      <w:r w:rsidR="007B55D7">
        <w:rPr>
          <w:lang w:val="en-GB"/>
        </w:rPr>
        <w:t>,</w:t>
      </w:r>
      <w:r w:rsidRPr="004255DC">
        <w:rPr>
          <w:lang w:val="en-GB"/>
        </w:rPr>
        <w:t xml:space="preserve"> Sanjay Khajuria, </w:t>
      </w:r>
      <w:r w:rsidR="007B55D7">
        <w:rPr>
          <w:lang w:val="en-GB"/>
        </w:rPr>
        <w:t>s</w:t>
      </w:r>
      <w:r w:rsidRPr="004255DC">
        <w:rPr>
          <w:lang w:val="en-GB"/>
        </w:rPr>
        <w:t xml:space="preserve">enior </w:t>
      </w:r>
      <w:r w:rsidR="007B55D7">
        <w:rPr>
          <w:lang w:val="en-GB"/>
        </w:rPr>
        <w:t>v</w:t>
      </w:r>
      <w:r w:rsidRPr="004255DC">
        <w:rPr>
          <w:lang w:val="en-GB"/>
        </w:rPr>
        <w:t>ice</w:t>
      </w:r>
      <w:r w:rsidR="007B55D7">
        <w:rPr>
          <w:lang w:val="en-GB"/>
        </w:rPr>
        <w:t>-p</w:t>
      </w:r>
      <w:r w:rsidRPr="004255DC">
        <w:rPr>
          <w:lang w:val="en-GB"/>
        </w:rPr>
        <w:t xml:space="preserve">resident </w:t>
      </w:r>
      <w:r w:rsidR="007B55D7">
        <w:rPr>
          <w:lang w:val="en-GB"/>
        </w:rPr>
        <w:t>of c</w:t>
      </w:r>
      <w:r w:rsidRPr="004255DC">
        <w:rPr>
          <w:lang w:val="en-GB"/>
        </w:rPr>
        <w:t xml:space="preserve">orporate </w:t>
      </w:r>
      <w:r w:rsidR="007B55D7">
        <w:rPr>
          <w:lang w:val="en-GB"/>
        </w:rPr>
        <w:t>a</w:t>
      </w:r>
      <w:r w:rsidRPr="004255DC">
        <w:rPr>
          <w:lang w:val="en-GB"/>
        </w:rPr>
        <w:t>ffairs</w:t>
      </w:r>
      <w:r w:rsidR="007B55D7">
        <w:rPr>
          <w:lang w:val="en-GB"/>
        </w:rPr>
        <w:t xml:space="preserve"> at </w:t>
      </w:r>
      <w:r w:rsidRPr="004255DC">
        <w:rPr>
          <w:lang w:val="en-GB"/>
        </w:rPr>
        <w:t>Nestlé India</w:t>
      </w:r>
      <w:r w:rsidR="00710091">
        <w:rPr>
          <w:lang w:val="en-GB"/>
        </w:rPr>
        <w:t xml:space="preserve"> Limited</w:t>
      </w:r>
      <w:r w:rsidR="006664E5">
        <w:rPr>
          <w:lang w:val="en-GB"/>
        </w:rPr>
        <w:t xml:space="preserve"> (Nestlé)</w:t>
      </w:r>
      <w:r w:rsidR="007B55D7">
        <w:rPr>
          <w:lang w:val="en-GB"/>
        </w:rPr>
        <w:t>,</w:t>
      </w:r>
      <w:r w:rsidRPr="004255DC">
        <w:rPr>
          <w:lang w:val="en-GB"/>
        </w:rPr>
        <w:t xml:space="preserve"> was evaluating </w:t>
      </w:r>
      <w:r w:rsidR="007B55D7">
        <w:rPr>
          <w:lang w:val="en-GB"/>
        </w:rPr>
        <w:t>the company’s</w:t>
      </w:r>
      <w:r w:rsidRPr="004255DC">
        <w:rPr>
          <w:lang w:val="en-GB"/>
        </w:rPr>
        <w:t xml:space="preserve"> social initiatives. He sat in </w:t>
      </w:r>
      <w:r w:rsidR="007B55D7">
        <w:rPr>
          <w:lang w:val="en-GB"/>
        </w:rPr>
        <w:t xml:space="preserve">the </w:t>
      </w:r>
      <w:r w:rsidRPr="004255DC">
        <w:rPr>
          <w:lang w:val="en-GB"/>
        </w:rPr>
        <w:t xml:space="preserve">Indian headquarters in </w:t>
      </w:r>
      <w:r w:rsidR="00E22FF1">
        <w:rPr>
          <w:lang w:val="en-GB"/>
        </w:rPr>
        <w:t>Gurgaon</w:t>
      </w:r>
      <w:r w:rsidRPr="004255DC">
        <w:rPr>
          <w:lang w:val="en-GB"/>
        </w:rPr>
        <w:t xml:space="preserve"> with his trusted team</w:t>
      </w:r>
      <w:r w:rsidR="007B55D7">
        <w:rPr>
          <w:lang w:val="en-GB"/>
        </w:rPr>
        <w:t>,</w:t>
      </w:r>
      <w:r w:rsidRPr="004255DC">
        <w:rPr>
          <w:lang w:val="en-GB"/>
        </w:rPr>
        <w:t xml:space="preserve"> finali</w:t>
      </w:r>
      <w:r w:rsidR="007B55D7">
        <w:rPr>
          <w:lang w:val="en-GB"/>
        </w:rPr>
        <w:t>z</w:t>
      </w:r>
      <w:r w:rsidRPr="004255DC">
        <w:rPr>
          <w:lang w:val="en-GB"/>
        </w:rPr>
        <w:t xml:space="preserve">ing the company’s </w:t>
      </w:r>
      <w:r w:rsidR="002D60D7">
        <w:rPr>
          <w:lang w:val="en-GB"/>
        </w:rPr>
        <w:t xml:space="preserve">corporate </w:t>
      </w:r>
      <w:r w:rsidRPr="004255DC">
        <w:rPr>
          <w:lang w:val="en-GB"/>
        </w:rPr>
        <w:t xml:space="preserve">social responsibility </w:t>
      </w:r>
      <w:r w:rsidR="002D60D7">
        <w:rPr>
          <w:lang w:val="en-GB"/>
        </w:rPr>
        <w:t xml:space="preserve">(CSR) </w:t>
      </w:r>
      <w:r w:rsidRPr="004255DC">
        <w:rPr>
          <w:lang w:val="en-GB"/>
        </w:rPr>
        <w:t xml:space="preserve">report. The report highlighted </w:t>
      </w:r>
      <w:r w:rsidR="00C43D46" w:rsidRPr="004255DC">
        <w:rPr>
          <w:lang w:val="en-GB"/>
        </w:rPr>
        <w:t>Nestlé’s</w:t>
      </w:r>
      <w:r w:rsidR="00C43D46" w:rsidRPr="004255DC" w:rsidDel="00C43D46">
        <w:rPr>
          <w:lang w:val="en-GB"/>
        </w:rPr>
        <w:t xml:space="preserve"> </w:t>
      </w:r>
      <w:r w:rsidRPr="004255DC">
        <w:rPr>
          <w:lang w:val="en-GB"/>
        </w:rPr>
        <w:t>social activities in nutrition, water</w:t>
      </w:r>
      <w:r w:rsidR="007B55D7">
        <w:rPr>
          <w:lang w:val="en-GB"/>
        </w:rPr>
        <w:t>,</w:t>
      </w:r>
      <w:r w:rsidRPr="004255DC">
        <w:rPr>
          <w:lang w:val="en-GB"/>
        </w:rPr>
        <w:t xml:space="preserve"> and rural development</w:t>
      </w:r>
      <w:r w:rsidR="007B55D7">
        <w:rPr>
          <w:lang w:val="en-GB"/>
        </w:rPr>
        <w:t>,</w:t>
      </w:r>
      <w:r w:rsidRPr="004255DC">
        <w:rPr>
          <w:lang w:val="en-GB"/>
        </w:rPr>
        <w:t xml:space="preserve"> which were also core elements of </w:t>
      </w:r>
      <w:r w:rsidR="00C43D46">
        <w:rPr>
          <w:lang w:val="en-GB"/>
        </w:rPr>
        <w:t xml:space="preserve">its </w:t>
      </w:r>
      <w:r w:rsidRPr="004255DC">
        <w:rPr>
          <w:lang w:val="en-GB"/>
        </w:rPr>
        <w:t xml:space="preserve">global shared value program. </w:t>
      </w:r>
      <w:r w:rsidR="002940F2">
        <w:rPr>
          <w:lang w:val="en-GB"/>
        </w:rPr>
        <w:t>Although</w:t>
      </w:r>
      <w:r w:rsidRPr="004255DC">
        <w:rPr>
          <w:lang w:val="en-GB"/>
        </w:rPr>
        <w:t xml:space="preserve"> </w:t>
      </w:r>
      <w:r w:rsidR="002D60D7">
        <w:rPr>
          <w:lang w:val="en-GB"/>
        </w:rPr>
        <w:t xml:space="preserve">Khajuria </w:t>
      </w:r>
      <w:r w:rsidRPr="004255DC">
        <w:rPr>
          <w:lang w:val="en-GB"/>
        </w:rPr>
        <w:t xml:space="preserve">was satisfied with the progress made so far, he was concerned about what more needed to be done </w:t>
      </w:r>
      <w:r w:rsidR="002D60D7">
        <w:rPr>
          <w:lang w:val="en-GB"/>
        </w:rPr>
        <w:t xml:space="preserve">in the </w:t>
      </w:r>
      <w:r w:rsidRPr="004255DC">
        <w:rPr>
          <w:lang w:val="en-GB"/>
        </w:rPr>
        <w:t>next year. The Indian government had passed a</w:t>
      </w:r>
      <w:r w:rsidR="00752D99">
        <w:rPr>
          <w:lang w:val="en-GB"/>
        </w:rPr>
        <w:t xml:space="preserve">n amendment to the </w:t>
      </w:r>
      <w:r w:rsidRPr="00383AD7">
        <w:rPr>
          <w:i/>
          <w:lang w:val="en-GB"/>
        </w:rPr>
        <w:t xml:space="preserve">Companies </w:t>
      </w:r>
      <w:r w:rsidR="00625E7B" w:rsidRPr="00383AD7">
        <w:rPr>
          <w:i/>
          <w:lang w:val="en-GB"/>
        </w:rPr>
        <w:t>Act</w:t>
      </w:r>
      <w:r w:rsidRPr="004255DC">
        <w:rPr>
          <w:lang w:val="en-GB"/>
        </w:rPr>
        <w:t xml:space="preserve"> that mandated a 2 per</w:t>
      </w:r>
      <w:r w:rsidR="007B55D7">
        <w:rPr>
          <w:lang w:val="en-GB"/>
        </w:rPr>
        <w:t xml:space="preserve"> </w:t>
      </w:r>
      <w:r w:rsidRPr="004255DC">
        <w:rPr>
          <w:lang w:val="en-GB"/>
        </w:rPr>
        <w:t>cent spend on CSR. Th</w:t>
      </w:r>
      <w:r w:rsidR="00C43D46">
        <w:rPr>
          <w:lang w:val="en-GB"/>
        </w:rPr>
        <w:t>is</w:t>
      </w:r>
      <w:r w:rsidR="002A71B1">
        <w:rPr>
          <w:lang w:val="en-GB"/>
        </w:rPr>
        <w:t xml:space="preserve"> amount </w:t>
      </w:r>
      <w:r w:rsidRPr="004255DC">
        <w:rPr>
          <w:lang w:val="en-GB"/>
        </w:rPr>
        <w:t xml:space="preserve">needed to be </w:t>
      </w:r>
      <w:r w:rsidR="00C43D46">
        <w:rPr>
          <w:lang w:val="en-GB"/>
        </w:rPr>
        <w:t xml:space="preserve">spent </w:t>
      </w:r>
      <w:r w:rsidRPr="004255DC">
        <w:rPr>
          <w:lang w:val="en-GB"/>
        </w:rPr>
        <w:t xml:space="preserve">on activities over and above the ordinary course of business. </w:t>
      </w:r>
      <w:r w:rsidR="007B55D7">
        <w:rPr>
          <w:lang w:val="en-GB"/>
        </w:rPr>
        <w:t>Khajuria</w:t>
      </w:r>
      <w:r w:rsidRPr="004255DC">
        <w:rPr>
          <w:lang w:val="en-GB"/>
        </w:rPr>
        <w:t xml:space="preserve"> was faced with a complex problem</w:t>
      </w:r>
      <w:r w:rsidR="007B55D7">
        <w:rPr>
          <w:lang w:val="en-GB"/>
        </w:rPr>
        <w:t>:</w:t>
      </w:r>
      <w:r>
        <w:rPr>
          <w:lang w:val="en-GB"/>
        </w:rPr>
        <w:t xml:space="preserve"> he had to</w:t>
      </w:r>
      <w:r w:rsidRPr="004255DC">
        <w:rPr>
          <w:lang w:val="en-GB"/>
        </w:rPr>
        <w:t xml:space="preserve"> re</w:t>
      </w:r>
      <w:r w:rsidR="008A1EEC">
        <w:rPr>
          <w:lang w:val="en-GB"/>
        </w:rPr>
        <w:t>visit</w:t>
      </w:r>
      <w:r w:rsidRPr="004255DC">
        <w:rPr>
          <w:lang w:val="en-GB"/>
        </w:rPr>
        <w:t xml:space="preserve"> all existing programs</w:t>
      </w:r>
      <w:r w:rsidR="002D60D7">
        <w:rPr>
          <w:lang w:val="en-GB"/>
        </w:rPr>
        <w:t>—those that</w:t>
      </w:r>
      <w:r w:rsidRPr="004255DC">
        <w:rPr>
          <w:lang w:val="en-GB"/>
        </w:rPr>
        <w:t xml:space="preserve"> </w:t>
      </w:r>
      <w:r>
        <w:rPr>
          <w:lang w:val="en-GB"/>
        </w:rPr>
        <w:t>would</w:t>
      </w:r>
      <w:r w:rsidRPr="004255DC">
        <w:rPr>
          <w:lang w:val="en-GB"/>
        </w:rPr>
        <w:t xml:space="preserve"> be covered under </w:t>
      </w:r>
      <w:r w:rsidR="002D60D7">
        <w:rPr>
          <w:lang w:val="en-GB"/>
        </w:rPr>
        <w:t xml:space="preserve">the </w:t>
      </w:r>
      <w:r w:rsidRPr="004255DC">
        <w:rPr>
          <w:lang w:val="en-GB"/>
        </w:rPr>
        <w:t xml:space="preserve">ordinary course of business and </w:t>
      </w:r>
      <w:r w:rsidR="002D60D7">
        <w:rPr>
          <w:lang w:val="en-GB"/>
        </w:rPr>
        <w:t>those that had</w:t>
      </w:r>
      <w:r w:rsidRPr="004255DC">
        <w:rPr>
          <w:lang w:val="en-GB"/>
        </w:rPr>
        <w:t xml:space="preserve"> no relationship with </w:t>
      </w:r>
      <w:r w:rsidR="002D60D7">
        <w:rPr>
          <w:lang w:val="en-GB"/>
        </w:rPr>
        <w:t xml:space="preserve">the </w:t>
      </w:r>
      <w:r w:rsidRPr="004255DC">
        <w:rPr>
          <w:lang w:val="en-GB"/>
        </w:rPr>
        <w:t>ordinary course of business</w:t>
      </w:r>
      <w:r w:rsidR="002D60D7">
        <w:rPr>
          <w:lang w:val="en-GB"/>
        </w:rPr>
        <w:t>—</w:t>
      </w:r>
      <w:r w:rsidRPr="004255DC">
        <w:rPr>
          <w:lang w:val="en-GB"/>
        </w:rPr>
        <w:t>and then decide which ones to extend</w:t>
      </w:r>
      <w:r w:rsidR="002D60D7">
        <w:rPr>
          <w:lang w:val="en-GB"/>
        </w:rPr>
        <w:t xml:space="preserve"> </w:t>
      </w:r>
      <w:r w:rsidRPr="004255DC">
        <w:rPr>
          <w:lang w:val="en-GB"/>
        </w:rPr>
        <w:t>further. Any decision to discontinue program</w:t>
      </w:r>
      <w:r w:rsidR="002D60D7">
        <w:rPr>
          <w:lang w:val="en-GB"/>
        </w:rPr>
        <w:t>s</w:t>
      </w:r>
      <w:r w:rsidRPr="00645EDE">
        <w:rPr>
          <w:lang w:val="en-GB"/>
        </w:rPr>
        <w:t xml:space="preserve"> </w:t>
      </w:r>
      <w:r w:rsidR="002D60D7">
        <w:rPr>
          <w:lang w:val="en-GB"/>
        </w:rPr>
        <w:t>would have</w:t>
      </w:r>
      <w:r w:rsidRPr="00645EDE">
        <w:rPr>
          <w:lang w:val="en-GB"/>
        </w:rPr>
        <w:t xml:space="preserve"> </w:t>
      </w:r>
      <w:r w:rsidR="002D60D7">
        <w:rPr>
          <w:lang w:val="en-GB"/>
        </w:rPr>
        <w:t xml:space="preserve">an </w:t>
      </w:r>
      <w:r w:rsidRPr="00645EDE">
        <w:rPr>
          <w:lang w:val="en-GB"/>
        </w:rPr>
        <w:t xml:space="preserve">adverse impact on the company </w:t>
      </w:r>
      <w:r>
        <w:rPr>
          <w:lang w:val="en-GB"/>
        </w:rPr>
        <w:t>and</w:t>
      </w:r>
      <w:r w:rsidRPr="00645EDE">
        <w:rPr>
          <w:lang w:val="en-GB"/>
        </w:rPr>
        <w:t xml:space="preserve"> on </w:t>
      </w:r>
      <w:r w:rsidR="001E4714">
        <w:rPr>
          <w:lang w:val="en-GB"/>
        </w:rPr>
        <w:t>the</w:t>
      </w:r>
      <w:r w:rsidRPr="00335027">
        <w:rPr>
          <w:lang w:val="en-GB"/>
        </w:rPr>
        <w:t xml:space="preserve"> </w:t>
      </w:r>
      <w:r w:rsidR="00F60073">
        <w:rPr>
          <w:lang w:val="en-GB"/>
        </w:rPr>
        <w:t xml:space="preserve">many </w:t>
      </w:r>
      <w:r w:rsidRPr="004255DC">
        <w:rPr>
          <w:lang w:val="en-GB"/>
        </w:rPr>
        <w:t>people who had come to depend on them.</w:t>
      </w:r>
    </w:p>
    <w:p w14:paraId="5612918F" w14:textId="77777777" w:rsidR="00A81B5F" w:rsidRPr="00383AD7" w:rsidRDefault="00A81B5F" w:rsidP="00A81B5F">
      <w:pPr>
        <w:pStyle w:val="BodyTextMain"/>
        <w:rPr>
          <w:sz w:val="20"/>
          <w:lang w:val="en-GB"/>
        </w:rPr>
      </w:pPr>
    </w:p>
    <w:p w14:paraId="2166F04B" w14:textId="77777777" w:rsidR="00A81B5F" w:rsidRPr="00383AD7" w:rsidRDefault="00A81B5F" w:rsidP="00A81B5F">
      <w:pPr>
        <w:pStyle w:val="BodyTextMain"/>
        <w:rPr>
          <w:sz w:val="20"/>
          <w:lang w:val="en-GB"/>
        </w:rPr>
      </w:pPr>
    </w:p>
    <w:p w14:paraId="051D42D1" w14:textId="77777777" w:rsidR="00A81B5F" w:rsidRPr="004255DC" w:rsidRDefault="00A81B5F" w:rsidP="00A81B5F">
      <w:pPr>
        <w:pStyle w:val="Casehead1"/>
        <w:rPr>
          <w:lang w:val="en-GB"/>
        </w:rPr>
      </w:pPr>
      <w:r w:rsidRPr="004255DC">
        <w:rPr>
          <w:lang w:val="en-GB"/>
        </w:rPr>
        <w:t>NESTLÉ S.A SHARED VALUE FOCUS</w:t>
      </w:r>
    </w:p>
    <w:p w14:paraId="4E991009" w14:textId="77777777" w:rsidR="00A81B5F" w:rsidRPr="00383AD7" w:rsidRDefault="00A81B5F" w:rsidP="00A81B5F">
      <w:pPr>
        <w:pStyle w:val="BodyTextMain"/>
        <w:rPr>
          <w:sz w:val="20"/>
          <w:lang w:val="en-GB"/>
        </w:rPr>
      </w:pPr>
    </w:p>
    <w:p w14:paraId="61090761" w14:textId="29E47DB9" w:rsidR="00A81B5F" w:rsidRPr="00383AD7" w:rsidRDefault="00E2307D" w:rsidP="00A81B5F">
      <w:pPr>
        <w:pStyle w:val="BodyTextMain"/>
        <w:rPr>
          <w:spacing w:val="-2"/>
          <w:lang w:val="en-GB"/>
        </w:rPr>
      </w:pPr>
      <w:r w:rsidRPr="00383AD7">
        <w:rPr>
          <w:spacing w:val="-2"/>
          <w:lang w:val="en-GB"/>
        </w:rPr>
        <w:t>By</w:t>
      </w:r>
      <w:r w:rsidR="00A81B5F" w:rsidRPr="00383AD7">
        <w:rPr>
          <w:spacing w:val="-2"/>
          <w:lang w:val="en-GB"/>
        </w:rPr>
        <w:t xml:space="preserve"> 2013, Nestlé S.A.</w:t>
      </w:r>
      <w:r w:rsidR="007B55D7" w:rsidRPr="00383AD7">
        <w:rPr>
          <w:spacing w:val="-2"/>
          <w:lang w:val="en-GB"/>
        </w:rPr>
        <w:t>,</w:t>
      </w:r>
      <w:r w:rsidR="00A81B5F" w:rsidRPr="00383AD7">
        <w:rPr>
          <w:spacing w:val="-2"/>
          <w:lang w:val="en-GB"/>
        </w:rPr>
        <w:t xml:space="preserve"> the Switzerland</w:t>
      </w:r>
      <w:r w:rsidR="006664E5" w:rsidRPr="00383AD7">
        <w:rPr>
          <w:spacing w:val="-2"/>
          <w:lang w:val="en-GB"/>
        </w:rPr>
        <w:t>-</w:t>
      </w:r>
      <w:r w:rsidR="00A81B5F" w:rsidRPr="00383AD7">
        <w:rPr>
          <w:spacing w:val="-2"/>
          <w:lang w:val="en-GB"/>
        </w:rPr>
        <w:t>based food and drinks multinational</w:t>
      </w:r>
      <w:r w:rsidR="007B55D7" w:rsidRPr="00383AD7">
        <w:rPr>
          <w:spacing w:val="-2"/>
          <w:lang w:val="en-GB"/>
        </w:rPr>
        <w:t>,</w:t>
      </w:r>
      <w:r w:rsidR="00A81B5F" w:rsidRPr="00383AD7">
        <w:rPr>
          <w:spacing w:val="-2"/>
          <w:lang w:val="en-GB"/>
        </w:rPr>
        <w:t xml:space="preserve"> </w:t>
      </w:r>
      <w:r w:rsidRPr="00383AD7">
        <w:rPr>
          <w:spacing w:val="-2"/>
          <w:lang w:val="en-GB"/>
        </w:rPr>
        <w:t xml:space="preserve">was </w:t>
      </w:r>
      <w:r w:rsidR="00A81B5F" w:rsidRPr="00383AD7">
        <w:rPr>
          <w:spacing w:val="-2"/>
          <w:lang w:val="en-GB"/>
        </w:rPr>
        <w:t>operat</w:t>
      </w:r>
      <w:r w:rsidRPr="00383AD7">
        <w:rPr>
          <w:spacing w:val="-2"/>
          <w:lang w:val="en-GB"/>
        </w:rPr>
        <w:t>ing</w:t>
      </w:r>
      <w:r w:rsidR="00A81B5F" w:rsidRPr="00383AD7">
        <w:rPr>
          <w:spacing w:val="-2"/>
          <w:lang w:val="en-GB"/>
        </w:rPr>
        <w:t xml:space="preserve"> in 196 countries and sold over a billion food products every day. Nestlé </w:t>
      </w:r>
      <w:r w:rsidR="007666C3" w:rsidRPr="00383AD7">
        <w:rPr>
          <w:spacing w:val="-2"/>
          <w:lang w:val="en-GB"/>
        </w:rPr>
        <w:t xml:space="preserve">S.A. </w:t>
      </w:r>
      <w:r w:rsidR="00A81B5F" w:rsidRPr="00383AD7">
        <w:rPr>
          <w:spacing w:val="-2"/>
          <w:lang w:val="en-GB"/>
        </w:rPr>
        <w:t xml:space="preserve">had pioneered the concept of </w:t>
      </w:r>
      <w:r w:rsidR="007B55D7" w:rsidRPr="00383AD7">
        <w:rPr>
          <w:spacing w:val="-2"/>
          <w:lang w:val="en-GB"/>
        </w:rPr>
        <w:t>c</w:t>
      </w:r>
      <w:r w:rsidR="00A81B5F" w:rsidRPr="00383AD7">
        <w:rPr>
          <w:spacing w:val="-2"/>
          <w:lang w:val="en-GB"/>
        </w:rPr>
        <w:t xml:space="preserve">reating </w:t>
      </w:r>
      <w:r w:rsidR="007B55D7" w:rsidRPr="00383AD7">
        <w:rPr>
          <w:spacing w:val="-2"/>
          <w:lang w:val="en-GB"/>
        </w:rPr>
        <w:t>s</w:t>
      </w:r>
      <w:r w:rsidR="00A81B5F" w:rsidRPr="00383AD7">
        <w:rPr>
          <w:spacing w:val="-2"/>
          <w:lang w:val="en-GB"/>
        </w:rPr>
        <w:t xml:space="preserve">hared </w:t>
      </w:r>
      <w:r w:rsidR="007B55D7" w:rsidRPr="00383AD7">
        <w:rPr>
          <w:spacing w:val="-2"/>
          <w:lang w:val="en-GB"/>
        </w:rPr>
        <w:t>v</w:t>
      </w:r>
      <w:r w:rsidR="00A81B5F" w:rsidRPr="00383AD7">
        <w:rPr>
          <w:spacing w:val="-2"/>
          <w:lang w:val="en-GB"/>
        </w:rPr>
        <w:t xml:space="preserve">alue (CSV), which outlined the areas of intersection between </w:t>
      </w:r>
      <w:r w:rsidR="007666C3" w:rsidRPr="00383AD7">
        <w:rPr>
          <w:spacing w:val="-2"/>
          <w:lang w:val="en-GB"/>
        </w:rPr>
        <w:t>the company’s</w:t>
      </w:r>
      <w:r w:rsidR="00A81B5F" w:rsidRPr="00383AD7">
        <w:rPr>
          <w:spacing w:val="-2"/>
          <w:lang w:val="en-GB"/>
        </w:rPr>
        <w:t xml:space="preserve"> activities and those of society, largely focusing on nutrition, water</w:t>
      </w:r>
      <w:r w:rsidR="007B55D7" w:rsidRPr="00383AD7">
        <w:rPr>
          <w:spacing w:val="-2"/>
          <w:lang w:val="en-GB"/>
        </w:rPr>
        <w:t>,</w:t>
      </w:r>
      <w:r w:rsidR="00A81B5F" w:rsidRPr="00383AD7">
        <w:rPr>
          <w:spacing w:val="-2"/>
          <w:lang w:val="en-GB"/>
        </w:rPr>
        <w:t xml:space="preserve"> and rural development (</w:t>
      </w:r>
      <w:r w:rsidR="007B55D7" w:rsidRPr="00383AD7">
        <w:rPr>
          <w:spacing w:val="-2"/>
          <w:lang w:val="en-GB"/>
        </w:rPr>
        <w:t xml:space="preserve">see </w:t>
      </w:r>
      <w:r w:rsidR="00A81B5F" w:rsidRPr="00383AD7">
        <w:rPr>
          <w:spacing w:val="-2"/>
          <w:lang w:val="en-GB"/>
        </w:rPr>
        <w:t xml:space="preserve">Exhibit 1). In </w:t>
      </w:r>
      <w:r w:rsidR="007B55D7" w:rsidRPr="00383AD7">
        <w:rPr>
          <w:spacing w:val="-2"/>
          <w:lang w:val="en-GB"/>
        </w:rPr>
        <w:t>the company’s</w:t>
      </w:r>
      <w:r w:rsidR="00A81B5F" w:rsidRPr="00383AD7">
        <w:rPr>
          <w:spacing w:val="-2"/>
          <w:lang w:val="en-GB"/>
        </w:rPr>
        <w:t xml:space="preserve"> 2012 </w:t>
      </w:r>
      <w:r w:rsidR="007B55D7" w:rsidRPr="00383AD7">
        <w:rPr>
          <w:spacing w:val="-2"/>
          <w:lang w:val="en-GB"/>
        </w:rPr>
        <w:t>s</w:t>
      </w:r>
      <w:r w:rsidR="00A81B5F" w:rsidRPr="00383AD7">
        <w:rPr>
          <w:spacing w:val="-2"/>
          <w:lang w:val="en-GB"/>
        </w:rPr>
        <w:t xml:space="preserve">hared </w:t>
      </w:r>
      <w:r w:rsidR="007B55D7" w:rsidRPr="00383AD7">
        <w:rPr>
          <w:spacing w:val="-2"/>
          <w:lang w:val="en-GB"/>
        </w:rPr>
        <w:t>v</w:t>
      </w:r>
      <w:r w:rsidR="00A81B5F" w:rsidRPr="00383AD7">
        <w:rPr>
          <w:spacing w:val="-2"/>
          <w:lang w:val="en-GB"/>
        </w:rPr>
        <w:t>alue report</w:t>
      </w:r>
      <w:r w:rsidR="007B55D7" w:rsidRPr="00383AD7">
        <w:rPr>
          <w:spacing w:val="-2"/>
          <w:lang w:val="en-GB"/>
        </w:rPr>
        <w:t>,</w:t>
      </w:r>
      <w:r w:rsidR="00A81B5F" w:rsidRPr="00383AD7">
        <w:rPr>
          <w:spacing w:val="-2"/>
          <w:lang w:val="en-GB"/>
        </w:rPr>
        <w:t xml:space="preserve"> the </w:t>
      </w:r>
      <w:r w:rsidR="007B55D7" w:rsidRPr="00383AD7">
        <w:rPr>
          <w:spacing w:val="-2"/>
          <w:lang w:val="en-GB"/>
        </w:rPr>
        <w:t>chief executive officer (</w:t>
      </w:r>
      <w:r w:rsidR="00A81B5F" w:rsidRPr="00383AD7">
        <w:rPr>
          <w:spacing w:val="-2"/>
          <w:lang w:val="en-GB"/>
        </w:rPr>
        <w:t>CEO</w:t>
      </w:r>
      <w:r w:rsidR="007B55D7" w:rsidRPr="00383AD7">
        <w:rPr>
          <w:spacing w:val="-2"/>
          <w:lang w:val="en-GB"/>
        </w:rPr>
        <w:t>)</w:t>
      </w:r>
      <w:r w:rsidR="00A81B5F" w:rsidRPr="00383AD7">
        <w:rPr>
          <w:spacing w:val="-2"/>
          <w:lang w:val="en-GB"/>
        </w:rPr>
        <w:t xml:space="preserve"> Paul </w:t>
      </w:r>
      <w:proofErr w:type="spellStart"/>
      <w:r w:rsidR="00A81B5F" w:rsidRPr="00383AD7">
        <w:rPr>
          <w:spacing w:val="-2"/>
          <w:lang w:val="en-GB"/>
        </w:rPr>
        <w:t>Bulcke</w:t>
      </w:r>
      <w:proofErr w:type="spellEnd"/>
      <w:r w:rsidR="00A81B5F" w:rsidRPr="00383AD7">
        <w:rPr>
          <w:spacing w:val="-2"/>
          <w:lang w:val="en-GB"/>
        </w:rPr>
        <w:t xml:space="preserve"> said, “We have always believed that in order to prosper we need the communities we serve and in which we operate to prosper as well; and that over the long term, healthy populations, healthy economies</w:t>
      </w:r>
      <w:r w:rsidR="00C43D46" w:rsidRPr="00383AD7">
        <w:rPr>
          <w:spacing w:val="-2"/>
          <w:lang w:val="en-GB"/>
        </w:rPr>
        <w:t>,</w:t>
      </w:r>
      <w:r w:rsidR="00A81B5F" w:rsidRPr="00383AD7">
        <w:rPr>
          <w:spacing w:val="-2"/>
          <w:lang w:val="en-GB"/>
        </w:rPr>
        <w:t xml:space="preserve"> and healthy business performance are mutually reinforcing.”</w:t>
      </w:r>
    </w:p>
    <w:p w14:paraId="326CF379" w14:textId="77777777" w:rsidR="00A81B5F" w:rsidRPr="00383AD7" w:rsidRDefault="00A81B5F" w:rsidP="00A81B5F">
      <w:pPr>
        <w:pStyle w:val="BodyTextMain"/>
        <w:rPr>
          <w:sz w:val="20"/>
          <w:lang w:val="en-GB"/>
        </w:rPr>
      </w:pPr>
    </w:p>
    <w:p w14:paraId="18C53DA1" w14:textId="6DB71341" w:rsidR="00A81B5F" w:rsidRPr="00094A6B" w:rsidRDefault="006664E5" w:rsidP="00A81B5F">
      <w:pPr>
        <w:pStyle w:val="BodyTextMain"/>
        <w:rPr>
          <w:spacing w:val="-2"/>
          <w:lang w:val="en-GB"/>
        </w:rPr>
      </w:pPr>
      <w:r w:rsidRPr="00094A6B">
        <w:rPr>
          <w:spacing w:val="-2"/>
          <w:lang w:val="en-GB"/>
        </w:rPr>
        <w:t xml:space="preserve">The </w:t>
      </w:r>
      <w:r w:rsidR="00A81B5F" w:rsidRPr="00094A6B">
        <w:rPr>
          <w:spacing w:val="-2"/>
          <w:lang w:val="en-GB"/>
        </w:rPr>
        <w:t xml:space="preserve">corporate business principles embodied the basic principles on which </w:t>
      </w:r>
      <w:r w:rsidR="007666C3" w:rsidRPr="00094A6B">
        <w:rPr>
          <w:spacing w:val="-2"/>
          <w:lang w:val="en-GB"/>
        </w:rPr>
        <w:t>Nestlé</w:t>
      </w:r>
      <w:r w:rsidR="00A81B5F" w:rsidRPr="00094A6B">
        <w:rPr>
          <w:spacing w:val="-2"/>
          <w:lang w:val="en-GB"/>
        </w:rPr>
        <w:t xml:space="preserve"> </w:t>
      </w:r>
      <w:r w:rsidR="00E2307D" w:rsidRPr="00094A6B">
        <w:rPr>
          <w:spacing w:val="-2"/>
          <w:lang w:val="en-GB"/>
        </w:rPr>
        <w:t xml:space="preserve">S.A. </w:t>
      </w:r>
      <w:r w:rsidR="00A81B5F" w:rsidRPr="00094A6B">
        <w:rPr>
          <w:spacing w:val="-2"/>
          <w:lang w:val="en-GB"/>
        </w:rPr>
        <w:t>functioned and interacted with society (</w:t>
      </w:r>
      <w:r w:rsidR="007B55D7" w:rsidRPr="00094A6B">
        <w:rPr>
          <w:spacing w:val="-2"/>
          <w:lang w:val="en-GB"/>
        </w:rPr>
        <w:t xml:space="preserve">see </w:t>
      </w:r>
      <w:r w:rsidR="00A81B5F" w:rsidRPr="00094A6B">
        <w:rPr>
          <w:spacing w:val="-2"/>
          <w:lang w:val="en-GB"/>
        </w:rPr>
        <w:t xml:space="preserve">Exhibit 2). </w:t>
      </w:r>
      <w:r w:rsidRPr="00094A6B">
        <w:rPr>
          <w:spacing w:val="-2"/>
          <w:lang w:val="en-GB"/>
        </w:rPr>
        <w:t>F</w:t>
      </w:r>
      <w:r w:rsidR="00A81B5F" w:rsidRPr="00094A6B">
        <w:rPr>
          <w:spacing w:val="-2"/>
          <w:lang w:val="en-GB"/>
        </w:rPr>
        <w:t>oremost</w:t>
      </w:r>
      <w:r w:rsidRPr="00094A6B">
        <w:rPr>
          <w:spacing w:val="-2"/>
          <w:lang w:val="en-GB"/>
        </w:rPr>
        <w:t xml:space="preserve"> </w:t>
      </w:r>
      <w:r w:rsidR="00A81B5F" w:rsidRPr="00094A6B">
        <w:rPr>
          <w:spacing w:val="-2"/>
          <w:lang w:val="en-GB"/>
        </w:rPr>
        <w:t>was nutrition, health</w:t>
      </w:r>
      <w:r w:rsidRPr="00094A6B">
        <w:rPr>
          <w:spacing w:val="-2"/>
          <w:lang w:val="en-GB"/>
        </w:rPr>
        <w:t>,</w:t>
      </w:r>
      <w:r w:rsidR="00A81B5F" w:rsidRPr="00094A6B">
        <w:rPr>
          <w:spacing w:val="-2"/>
          <w:lang w:val="en-GB"/>
        </w:rPr>
        <w:t xml:space="preserve"> and wellness</w:t>
      </w:r>
      <w:r w:rsidRPr="00094A6B">
        <w:rPr>
          <w:spacing w:val="-2"/>
          <w:lang w:val="en-GB"/>
        </w:rPr>
        <w:t>,</w:t>
      </w:r>
      <w:r w:rsidR="00A81B5F" w:rsidRPr="00094A6B">
        <w:rPr>
          <w:spacing w:val="-2"/>
          <w:lang w:val="en-GB"/>
        </w:rPr>
        <w:t xml:space="preserve"> around which the company’s core business was structured. </w:t>
      </w:r>
      <w:r w:rsidR="007666C3" w:rsidRPr="00094A6B">
        <w:rPr>
          <w:spacing w:val="-2"/>
          <w:lang w:val="en-GB"/>
        </w:rPr>
        <w:t xml:space="preserve">It </w:t>
      </w:r>
      <w:r w:rsidR="00A81B5F" w:rsidRPr="00094A6B">
        <w:rPr>
          <w:spacing w:val="-2"/>
          <w:lang w:val="en-GB"/>
        </w:rPr>
        <w:t>aimed to meet several commitments</w:t>
      </w:r>
      <w:r w:rsidR="002A71B1" w:rsidRPr="00094A6B">
        <w:rPr>
          <w:spacing w:val="-2"/>
          <w:lang w:val="en-GB"/>
        </w:rPr>
        <w:t xml:space="preserve"> in the area</w:t>
      </w:r>
      <w:r w:rsidR="00C43D46" w:rsidRPr="00094A6B">
        <w:rPr>
          <w:spacing w:val="-2"/>
          <w:lang w:val="en-GB"/>
        </w:rPr>
        <w:t xml:space="preserve"> of</w:t>
      </w:r>
      <w:r w:rsidR="00A81B5F" w:rsidRPr="00094A6B">
        <w:rPr>
          <w:spacing w:val="-2"/>
          <w:lang w:val="en-GB"/>
        </w:rPr>
        <w:t xml:space="preserve"> nutrition</w:t>
      </w:r>
      <w:r w:rsidR="002A71B1" w:rsidRPr="00094A6B">
        <w:rPr>
          <w:spacing w:val="-2"/>
          <w:lang w:val="en-GB"/>
        </w:rPr>
        <w:t xml:space="preserve">, </w:t>
      </w:r>
      <w:r w:rsidR="00A81B5F" w:rsidRPr="00094A6B">
        <w:rPr>
          <w:spacing w:val="-2"/>
          <w:lang w:val="en-GB"/>
        </w:rPr>
        <w:t>under three basic pillars</w:t>
      </w:r>
      <w:r w:rsidR="007666C3" w:rsidRPr="00094A6B">
        <w:rPr>
          <w:spacing w:val="-2"/>
          <w:lang w:val="en-GB"/>
        </w:rPr>
        <w:t xml:space="preserve">: </w:t>
      </w:r>
      <w:r w:rsidR="00A81B5F" w:rsidRPr="00094A6B">
        <w:rPr>
          <w:spacing w:val="-2"/>
          <w:lang w:val="en-GB"/>
        </w:rPr>
        <w:t>offering tastier and healthier choices through innovation</w:t>
      </w:r>
      <w:r w:rsidR="00C43D46" w:rsidRPr="00094A6B">
        <w:rPr>
          <w:spacing w:val="-2"/>
          <w:lang w:val="en-GB"/>
        </w:rPr>
        <w:t>;</w:t>
      </w:r>
      <w:r w:rsidR="00A81B5F" w:rsidRPr="00094A6B">
        <w:rPr>
          <w:spacing w:val="-2"/>
          <w:lang w:val="en-GB"/>
        </w:rPr>
        <w:t xml:space="preserve"> inspiring people to lead healthier lives</w:t>
      </w:r>
      <w:r w:rsidR="00C43D46" w:rsidRPr="00094A6B">
        <w:rPr>
          <w:spacing w:val="-2"/>
          <w:lang w:val="en-GB"/>
        </w:rPr>
        <w:t>;</w:t>
      </w:r>
      <w:r w:rsidR="00A81B5F" w:rsidRPr="00094A6B">
        <w:rPr>
          <w:spacing w:val="-2"/>
          <w:lang w:val="en-GB"/>
        </w:rPr>
        <w:t xml:space="preserve"> and building</w:t>
      </w:r>
      <w:r w:rsidR="00C43D46" w:rsidRPr="00094A6B">
        <w:rPr>
          <w:spacing w:val="-2"/>
          <w:lang w:val="en-GB"/>
        </w:rPr>
        <w:t>,</w:t>
      </w:r>
      <w:r w:rsidR="00A81B5F" w:rsidRPr="00094A6B">
        <w:rPr>
          <w:spacing w:val="-2"/>
          <w:lang w:val="en-GB"/>
        </w:rPr>
        <w:t xml:space="preserve"> sharing</w:t>
      </w:r>
      <w:r w:rsidR="00C43D46" w:rsidRPr="00094A6B">
        <w:rPr>
          <w:spacing w:val="-2"/>
          <w:lang w:val="en-GB"/>
        </w:rPr>
        <w:t>,</w:t>
      </w:r>
      <w:r w:rsidR="00A81B5F" w:rsidRPr="00094A6B">
        <w:rPr>
          <w:spacing w:val="-2"/>
          <w:lang w:val="en-GB"/>
        </w:rPr>
        <w:t xml:space="preserve"> and applying nutrition knowledge. The</w:t>
      </w:r>
      <w:r w:rsidR="00C43D46" w:rsidRPr="00094A6B">
        <w:rPr>
          <w:spacing w:val="-2"/>
          <w:lang w:val="en-GB"/>
        </w:rPr>
        <w:t xml:space="preserve"> </w:t>
      </w:r>
      <w:r w:rsidR="00A81B5F" w:rsidRPr="00094A6B">
        <w:rPr>
          <w:spacing w:val="-2"/>
          <w:lang w:val="en-GB"/>
        </w:rPr>
        <w:t xml:space="preserve">2012 </w:t>
      </w:r>
      <w:r w:rsidR="007666C3" w:rsidRPr="00094A6B">
        <w:rPr>
          <w:spacing w:val="-2"/>
          <w:lang w:val="en-GB"/>
        </w:rPr>
        <w:t>s</w:t>
      </w:r>
      <w:r w:rsidR="00A81B5F" w:rsidRPr="00094A6B">
        <w:rPr>
          <w:spacing w:val="-2"/>
          <w:lang w:val="en-GB"/>
        </w:rPr>
        <w:t xml:space="preserve">hared </w:t>
      </w:r>
      <w:r w:rsidR="007666C3" w:rsidRPr="00094A6B">
        <w:rPr>
          <w:spacing w:val="-2"/>
          <w:lang w:val="en-GB"/>
        </w:rPr>
        <w:t>v</w:t>
      </w:r>
      <w:r w:rsidR="00A81B5F" w:rsidRPr="00094A6B">
        <w:rPr>
          <w:spacing w:val="-2"/>
          <w:lang w:val="en-GB"/>
        </w:rPr>
        <w:t>alue report put special emphasis on the food and water crisis facing the world</w:t>
      </w:r>
      <w:r w:rsidR="00E2307D" w:rsidRPr="00094A6B">
        <w:rPr>
          <w:spacing w:val="-2"/>
          <w:lang w:val="en-GB"/>
        </w:rPr>
        <w:t>,</w:t>
      </w:r>
      <w:r w:rsidR="00A81B5F" w:rsidRPr="00094A6B">
        <w:rPr>
          <w:spacing w:val="-2"/>
          <w:lang w:val="en-GB"/>
        </w:rPr>
        <w:t xml:space="preserve"> and the need for urgent intervention (</w:t>
      </w:r>
      <w:r w:rsidR="007B55D7" w:rsidRPr="00094A6B">
        <w:rPr>
          <w:spacing w:val="-2"/>
          <w:lang w:val="en-GB"/>
        </w:rPr>
        <w:t xml:space="preserve">see </w:t>
      </w:r>
      <w:r w:rsidR="00A81B5F" w:rsidRPr="00094A6B">
        <w:rPr>
          <w:spacing w:val="-2"/>
          <w:lang w:val="en-GB"/>
        </w:rPr>
        <w:t xml:space="preserve">Exhibit 3). </w:t>
      </w:r>
    </w:p>
    <w:p w14:paraId="04401098" w14:textId="5C27CBAA" w:rsidR="00A81B5F" w:rsidRDefault="006664E5" w:rsidP="00A81B5F">
      <w:pPr>
        <w:pStyle w:val="BodyTextMain"/>
        <w:rPr>
          <w:bCs/>
          <w:lang w:val="en-GB"/>
        </w:rPr>
      </w:pPr>
      <w:r>
        <w:rPr>
          <w:bCs/>
          <w:lang w:val="en-GB"/>
        </w:rPr>
        <w:lastRenderedPageBreak/>
        <w:t xml:space="preserve">The </w:t>
      </w:r>
      <w:r w:rsidR="00A81B5F" w:rsidRPr="004255DC">
        <w:rPr>
          <w:bCs/>
          <w:lang w:val="en-GB"/>
        </w:rPr>
        <w:t>CSV framework was built around three areas</w:t>
      </w:r>
      <w:r>
        <w:rPr>
          <w:bCs/>
          <w:lang w:val="en-GB"/>
        </w:rPr>
        <w:t xml:space="preserve">: </w:t>
      </w:r>
      <w:r w:rsidRPr="004255DC">
        <w:rPr>
          <w:bCs/>
          <w:lang w:val="en-GB"/>
        </w:rPr>
        <w:t>(a) nutrition, (b) water a</w:t>
      </w:r>
      <w:r>
        <w:rPr>
          <w:bCs/>
          <w:lang w:val="en-GB"/>
        </w:rPr>
        <w:t>nd environmental sustainability,</w:t>
      </w:r>
      <w:r w:rsidRPr="004255DC">
        <w:rPr>
          <w:bCs/>
          <w:lang w:val="en-GB"/>
        </w:rPr>
        <w:t xml:space="preserve"> and (c) rural development</w:t>
      </w:r>
      <w:r w:rsidRPr="006664E5">
        <w:rPr>
          <w:rStyle w:val="FootnoteReference"/>
          <w:bCs/>
          <w:vertAlign w:val="baseline"/>
          <w:lang w:val="en-GB"/>
        </w:rPr>
        <w:t>.</w:t>
      </w:r>
      <w:r>
        <w:rPr>
          <w:bCs/>
          <w:lang w:val="en-GB"/>
        </w:rPr>
        <w:t xml:space="preserve"> </w:t>
      </w:r>
      <w:r w:rsidR="00A81B5F" w:rsidRPr="004255DC">
        <w:rPr>
          <w:bCs/>
          <w:lang w:val="en-GB"/>
        </w:rPr>
        <w:t>Through CSV, Nestl</w:t>
      </w:r>
      <w:r w:rsidR="00A81B5F" w:rsidRPr="004255DC">
        <w:rPr>
          <w:lang w:val="en-GB"/>
        </w:rPr>
        <w:t>é</w:t>
      </w:r>
      <w:r w:rsidR="00A81B5F" w:rsidRPr="004255DC">
        <w:rPr>
          <w:bCs/>
          <w:lang w:val="en-GB"/>
        </w:rPr>
        <w:t xml:space="preserve"> </w:t>
      </w:r>
      <w:r w:rsidR="007666C3">
        <w:rPr>
          <w:bCs/>
          <w:lang w:val="en-GB"/>
        </w:rPr>
        <w:t xml:space="preserve">S.A. </w:t>
      </w:r>
      <w:r w:rsidR="00A81B5F" w:rsidRPr="004255DC">
        <w:rPr>
          <w:bCs/>
          <w:lang w:val="en-GB"/>
        </w:rPr>
        <w:t xml:space="preserve">aimed to </w:t>
      </w:r>
      <w:r w:rsidR="00A81B5F" w:rsidRPr="00F52CFA">
        <w:rPr>
          <w:bCs/>
          <w:lang w:val="en-GB"/>
        </w:rPr>
        <w:t>create prosperity and</w:t>
      </w:r>
      <w:r w:rsidR="00A81B5F" w:rsidRPr="004255DC">
        <w:rPr>
          <w:bCs/>
          <w:lang w:val="en-GB"/>
        </w:rPr>
        <w:t xml:space="preserve"> help improve the quality of life for people in an inclusive manner.</w:t>
      </w:r>
    </w:p>
    <w:p w14:paraId="28C94B98" w14:textId="77777777" w:rsidR="00A81B5F" w:rsidRPr="004255DC" w:rsidRDefault="00A81B5F" w:rsidP="00A81B5F">
      <w:pPr>
        <w:pStyle w:val="BodyTextMain"/>
        <w:rPr>
          <w:bCs/>
          <w:lang w:val="en-GB"/>
        </w:rPr>
      </w:pPr>
    </w:p>
    <w:p w14:paraId="4D65DEC9" w14:textId="6819BBEA" w:rsidR="00A81B5F" w:rsidRDefault="00A81B5F" w:rsidP="00A81B5F">
      <w:pPr>
        <w:pStyle w:val="BodyTextMain"/>
      </w:pPr>
      <w:r w:rsidRPr="00A81B5F">
        <w:rPr>
          <w:b/>
        </w:rPr>
        <w:t>Nutrition</w:t>
      </w:r>
      <w:r w:rsidRPr="004255DC">
        <w:rPr>
          <w:bCs/>
          <w:color w:val="000000"/>
          <w:u w:color="000000"/>
          <w:bdr w:val="nil"/>
        </w:rPr>
        <w:t xml:space="preserve">: </w:t>
      </w:r>
      <w:r w:rsidR="002A71B1">
        <w:rPr>
          <w:bCs/>
          <w:color w:val="000000"/>
          <w:u w:color="000000"/>
          <w:bdr w:val="nil"/>
        </w:rPr>
        <w:t xml:space="preserve">The company </w:t>
      </w:r>
      <w:r w:rsidRPr="004255DC">
        <w:rPr>
          <w:bCs/>
          <w:color w:val="000000"/>
          <w:u w:color="000000"/>
          <w:bdr w:val="nil"/>
        </w:rPr>
        <w:t>aimed to provide greater access to safe, high-quality</w:t>
      </w:r>
      <w:r w:rsidR="002A71B1">
        <w:rPr>
          <w:bCs/>
          <w:color w:val="000000"/>
          <w:u w:color="000000"/>
          <w:bdr w:val="nil"/>
        </w:rPr>
        <w:t>,</w:t>
      </w:r>
      <w:r w:rsidRPr="004255DC">
        <w:rPr>
          <w:bCs/>
          <w:color w:val="000000"/>
          <w:u w:color="000000"/>
          <w:bdr w:val="nil"/>
        </w:rPr>
        <w:t xml:space="preserve"> responsibly produced nutritious food</w:t>
      </w:r>
      <w:r w:rsidR="00E2307D">
        <w:rPr>
          <w:bCs/>
          <w:color w:val="000000"/>
          <w:u w:color="000000"/>
          <w:bdr w:val="nil"/>
        </w:rPr>
        <w:t>,</w:t>
      </w:r>
      <w:r w:rsidRPr="004255DC">
        <w:rPr>
          <w:bCs/>
          <w:color w:val="000000"/>
          <w:u w:color="000000"/>
          <w:bdr w:val="nil"/>
        </w:rPr>
        <w:t xml:space="preserve"> and greater knowledge of nutrition and health issues. It believed that </w:t>
      </w:r>
      <w:r w:rsidR="00733DB0">
        <w:rPr>
          <w:bCs/>
          <w:color w:val="000000"/>
          <w:u w:color="000000"/>
          <w:bdr w:val="nil"/>
        </w:rPr>
        <w:t xml:space="preserve">an </w:t>
      </w:r>
      <w:r w:rsidRPr="004255DC">
        <w:rPr>
          <w:bCs/>
          <w:color w:val="000000"/>
          <w:u w:color="000000"/>
          <w:bdr w:val="nil"/>
        </w:rPr>
        <w:t>understanding of nutrition, knowledge of balanced diets</w:t>
      </w:r>
      <w:r w:rsidR="00E2307D">
        <w:rPr>
          <w:bCs/>
          <w:color w:val="000000"/>
          <w:u w:color="000000"/>
          <w:bdr w:val="nil"/>
        </w:rPr>
        <w:t>,</w:t>
      </w:r>
      <w:r w:rsidRPr="004255DC">
        <w:rPr>
          <w:bCs/>
          <w:color w:val="000000"/>
          <w:u w:color="000000"/>
          <w:bdr w:val="nil"/>
        </w:rPr>
        <w:t xml:space="preserve"> and access to good nutrition </w:t>
      </w:r>
      <w:r w:rsidR="00733DB0">
        <w:rPr>
          <w:bCs/>
          <w:color w:val="000000"/>
          <w:u w:color="000000"/>
          <w:bdr w:val="nil"/>
        </w:rPr>
        <w:t>was</w:t>
      </w:r>
      <w:r w:rsidRPr="004255DC">
        <w:rPr>
          <w:bCs/>
          <w:color w:val="000000"/>
          <w:u w:color="000000"/>
          <w:bdr w:val="nil"/>
        </w:rPr>
        <w:t xml:space="preserve"> essential for a good life. Given </w:t>
      </w:r>
      <w:r w:rsidR="00733DB0">
        <w:rPr>
          <w:bCs/>
          <w:color w:val="000000"/>
          <w:u w:color="000000"/>
          <w:bdr w:val="nil"/>
        </w:rPr>
        <w:t>Nestlé S.A.’s</w:t>
      </w:r>
      <w:r w:rsidRPr="004255DC">
        <w:rPr>
          <w:bCs/>
          <w:color w:val="000000"/>
          <w:u w:color="000000"/>
          <w:bdr w:val="nil"/>
        </w:rPr>
        <w:t xml:space="preserve"> strength in nutrition, it aimed to </w:t>
      </w:r>
      <w:r w:rsidR="00733DB0">
        <w:rPr>
          <w:bCs/>
          <w:color w:val="000000"/>
          <w:u w:color="000000"/>
          <w:bdr w:val="nil"/>
        </w:rPr>
        <w:t>instill</w:t>
      </w:r>
      <w:r w:rsidRPr="004255DC">
        <w:rPr>
          <w:bCs/>
          <w:color w:val="000000"/>
          <w:u w:color="000000"/>
          <w:bdr w:val="nil"/>
        </w:rPr>
        <w:t xml:space="preserve"> the </w:t>
      </w:r>
      <w:r w:rsidR="002A71B1">
        <w:rPr>
          <w:bCs/>
          <w:color w:val="000000"/>
          <w:u w:color="000000"/>
          <w:bdr w:val="nil"/>
        </w:rPr>
        <w:t>idea</w:t>
      </w:r>
      <w:r w:rsidRPr="004255DC">
        <w:rPr>
          <w:bCs/>
          <w:color w:val="000000"/>
          <w:u w:color="000000"/>
          <w:bdr w:val="nil"/>
        </w:rPr>
        <w:t xml:space="preserve"> of nutrition </w:t>
      </w:r>
      <w:r w:rsidR="00733DB0">
        <w:rPr>
          <w:bCs/>
          <w:color w:val="000000"/>
          <w:u w:color="000000"/>
          <w:bdr w:val="nil"/>
        </w:rPr>
        <w:t>in</w:t>
      </w:r>
      <w:r w:rsidRPr="004255DC">
        <w:rPr>
          <w:bCs/>
          <w:color w:val="000000"/>
          <w:u w:color="000000"/>
          <w:bdr w:val="nil"/>
        </w:rPr>
        <w:t xml:space="preserve"> every community</w:t>
      </w:r>
      <w:r w:rsidR="00733DB0">
        <w:rPr>
          <w:bCs/>
          <w:color w:val="000000"/>
          <w:u w:color="000000"/>
          <w:bdr w:val="nil"/>
        </w:rPr>
        <w:t xml:space="preserve"> it </w:t>
      </w:r>
      <w:r w:rsidRPr="004255DC">
        <w:rPr>
          <w:bCs/>
          <w:color w:val="000000"/>
          <w:u w:color="000000"/>
          <w:bdr w:val="nil"/>
        </w:rPr>
        <w:t>reached</w:t>
      </w:r>
      <w:r>
        <w:t>.</w:t>
      </w:r>
    </w:p>
    <w:p w14:paraId="58209352" w14:textId="77777777" w:rsidR="00A81B5F" w:rsidRPr="004255DC" w:rsidRDefault="00A81B5F" w:rsidP="00A81B5F">
      <w:pPr>
        <w:pStyle w:val="BodyTextMain"/>
      </w:pPr>
    </w:p>
    <w:p w14:paraId="74C08382" w14:textId="24C51C38" w:rsidR="00A81B5F" w:rsidRPr="00383AD7" w:rsidRDefault="00A81B5F" w:rsidP="00A81B5F">
      <w:pPr>
        <w:pStyle w:val="BodyTextMain"/>
        <w:rPr>
          <w:bCs/>
          <w:color w:val="000000"/>
          <w:spacing w:val="-2"/>
          <w:u w:color="000000"/>
          <w:bdr w:val="nil"/>
        </w:rPr>
      </w:pPr>
      <w:r w:rsidRPr="00383AD7">
        <w:rPr>
          <w:b/>
          <w:bCs/>
          <w:color w:val="000000"/>
          <w:spacing w:val="-2"/>
          <w:u w:color="000000"/>
          <w:bdr w:val="nil"/>
        </w:rPr>
        <w:t>Water and environmental sustainability</w:t>
      </w:r>
      <w:r w:rsidRPr="00383AD7">
        <w:rPr>
          <w:bCs/>
          <w:color w:val="000000"/>
          <w:spacing w:val="-2"/>
          <w:u w:color="000000"/>
          <w:bdr w:val="nil"/>
        </w:rPr>
        <w:t xml:space="preserve">: </w:t>
      </w:r>
      <w:r w:rsidR="006664E5" w:rsidRPr="00383AD7">
        <w:rPr>
          <w:bCs/>
          <w:color w:val="000000"/>
          <w:spacing w:val="-2"/>
          <w:u w:color="000000"/>
          <w:bdr w:val="nil"/>
        </w:rPr>
        <w:t xml:space="preserve">The company </w:t>
      </w:r>
      <w:r w:rsidRPr="00383AD7">
        <w:rPr>
          <w:bCs/>
          <w:color w:val="000000"/>
          <w:spacing w:val="-2"/>
          <w:u w:color="000000"/>
          <w:bdr w:val="nil"/>
        </w:rPr>
        <w:t xml:space="preserve">aimed to produce tasty and nutritious food and beverages that also had the lowest environmental footprint. </w:t>
      </w:r>
      <w:r w:rsidR="002940F2">
        <w:rPr>
          <w:bCs/>
          <w:color w:val="000000"/>
          <w:spacing w:val="-2"/>
          <w:u w:color="000000"/>
          <w:bdr w:val="nil"/>
        </w:rPr>
        <w:t>Therefore</w:t>
      </w:r>
      <w:r w:rsidRPr="00383AD7">
        <w:rPr>
          <w:bCs/>
          <w:color w:val="000000"/>
          <w:spacing w:val="-2"/>
          <w:u w:color="000000"/>
          <w:bdr w:val="nil"/>
        </w:rPr>
        <w:t xml:space="preserve">, </w:t>
      </w:r>
      <w:r w:rsidR="006664E5" w:rsidRPr="00383AD7">
        <w:rPr>
          <w:bCs/>
          <w:color w:val="000000"/>
          <w:spacing w:val="-2"/>
          <w:u w:color="000000"/>
          <w:bdr w:val="nil"/>
        </w:rPr>
        <w:t xml:space="preserve">it </w:t>
      </w:r>
      <w:r w:rsidRPr="00383AD7">
        <w:rPr>
          <w:bCs/>
          <w:color w:val="000000"/>
          <w:spacing w:val="-2"/>
          <w:u w:color="000000"/>
          <w:bdr w:val="nil"/>
        </w:rPr>
        <w:t>strived to continuously improve operational efficiency and environmental performance</w:t>
      </w:r>
      <w:r w:rsidR="00E2307D" w:rsidRPr="00383AD7">
        <w:rPr>
          <w:bCs/>
          <w:color w:val="000000"/>
          <w:spacing w:val="-2"/>
          <w:u w:color="000000"/>
          <w:bdr w:val="nil"/>
        </w:rPr>
        <w:t>,</w:t>
      </w:r>
      <w:r w:rsidRPr="00383AD7">
        <w:rPr>
          <w:bCs/>
          <w:color w:val="000000"/>
          <w:spacing w:val="-2"/>
          <w:u w:color="000000"/>
          <w:bdr w:val="nil"/>
        </w:rPr>
        <w:t xml:space="preserve"> while creating access to drinking water and sanitation. </w:t>
      </w:r>
    </w:p>
    <w:p w14:paraId="18820073" w14:textId="77777777" w:rsidR="00A81B5F" w:rsidRDefault="00A81B5F" w:rsidP="00A81B5F">
      <w:pPr>
        <w:pStyle w:val="BodyTextMain"/>
        <w:rPr>
          <w:b/>
          <w:bCs/>
          <w:color w:val="000000"/>
          <w:u w:color="000000"/>
          <w:bdr w:val="nil"/>
        </w:rPr>
      </w:pPr>
    </w:p>
    <w:p w14:paraId="4E57F6BF" w14:textId="45A4DB6F" w:rsidR="00A81B5F" w:rsidRDefault="00A81B5F" w:rsidP="00A81B5F">
      <w:pPr>
        <w:pStyle w:val="BodyTextMain"/>
        <w:rPr>
          <w:bCs/>
          <w:color w:val="000000"/>
          <w:u w:color="000000"/>
          <w:bdr w:val="nil"/>
        </w:rPr>
      </w:pPr>
      <w:r w:rsidRPr="004255DC">
        <w:rPr>
          <w:b/>
          <w:bCs/>
          <w:color w:val="000000"/>
          <w:u w:color="000000"/>
          <w:bdr w:val="nil"/>
        </w:rPr>
        <w:t>Rural development</w:t>
      </w:r>
      <w:r w:rsidRPr="004255DC">
        <w:rPr>
          <w:bCs/>
          <w:color w:val="000000"/>
          <w:u w:color="000000"/>
          <w:bdr w:val="nil"/>
        </w:rPr>
        <w:t xml:space="preserve">: The company believed that the well-being of the community from where </w:t>
      </w:r>
      <w:r w:rsidR="006664E5">
        <w:rPr>
          <w:bCs/>
          <w:color w:val="000000"/>
          <w:u w:color="000000"/>
          <w:bdr w:val="nil"/>
        </w:rPr>
        <w:t>it</w:t>
      </w:r>
      <w:r w:rsidRPr="004255DC">
        <w:rPr>
          <w:bCs/>
          <w:color w:val="000000"/>
          <w:u w:color="000000"/>
          <w:bdr w:val="nil"/>
        </w:rPr>
        <w:t xml:space="preserve"> got </w:t>
      </w:r>
      <w:r w:rsidR="006664E5">
        <w:rPr>
          <w:bCs/>
          <w:color w:val="000000"/>
          <w:u w:color="000000"/>
          <w:bdr w:val="nil"/>
        </w:rPr>
        <w:t>its</w:t>
      </w:r>
      <w:r w:rsidRPr="004255DC">
        <w:rPr>
          <w:bCs/>
          <w:color w:val="000000"/>
          <w:u w:color="000000"/>
          <w:bdr w:val="nil"/>
        </w:rPr>
        <w:t xml:space="preserve"> raw materials was important. </w:t>
      </w:r>
      <w:r w:rsidR="00E2307D">
        <w:rPr>
          <w:bCs/>
          <w:color w:val="000000"/>
          <w:u w:color="000000"/>
          <w:bdr w:val="nil"/>
        </w:rPr>
        <w:t xml:space="preserve">It </w:t>
      </w:r>
      <w:r w:rsidRPr="004255DC">
        <w:rPr>
          <w:bCs/>
          <w:color w:val="000000"/>
          <w:u w:color="000000"/>
          <w:bdr w:val="nil"/>
        </w:rPr>
        <w:t>focused on training and technical assistance, helped farmers achieve higher yields, improved the quality of milk and crops, increased income,</w:t>
      </w:r>
      <w:r w:rsidR="00E2307D">
        <w:rPr>
          <w:bCs/>
          <w:color w:val="000000"/>
          <w:u w:color="000000"/>
          <w:bdr w:val="nil"/>
        </w:rPr>
        <w:t xml:space="preserve"> and increased</w:t>
      </w:r>
      <w:r w:rsidRPr="004255DC">
        <w:rPr>
          <w:bCs/>
          <w:color w:val="000000"/>
          <w:u w:color="000000"/>
          <w:bdr w:val="nil"/>
        </w:rPr>
        <w:t xml:space="preserve"> employment and econ</w:t>
      </w:r>
      <w:r>
        <w:rPr>
          <w:bCs/>
          <w:color w:val="000000"/>
          <w:u w:color="000000"/>
          <w:bdr w:val="nil"/>
        </w:rPr>
        <w:t>omic development opportunities.</w:t>
      </w:r>
    </w:p>
    <w:p w14:paraId="1FA1D55B" w14:textId="77777777" w:rsidR="00A81B5F" w:rsidRDefault="00A81B5F" w:rsidP="00A81B5F">
      <w:pPr>
        <w:pStyle w:val="BodyTextMain"/>
        <w:rPr>
          <w:bCs/>
          <w:color w:val="000000"/>
          <w:u w:color="000000"/>
          <w:bdr w:val="nil"/>
        </w:rPr>
      </w:pPr>
    </w:p>
    <w:p w14:paraId="1E82C0FA" w14:textId="77777777" w:rsidR="00A81B5F" w:rsidRPr="004255DC" w:rsidRDefault="00A81B5F" w:rsidP="00A81B5F">
      <w:pPr>
        <w:pStyle w:val="BodyTextMain"/>
        <w:rPr>
          <w:bCs/>
          <w:color w:val="000000"/>
          <w:u w:color="000000"/>
          <w:bdr w:val="nil"/>
        </w:rPr>
      </w:pPr>
    </w:p>
    <w:p w14:paraId="19320426" w14:textId="77777777" w:rsidR="00A81B5F" w:rsidRPr="004255DC" w:rsidRDefault="00A81B5F" w:rsidP="00A81B5F">
      <w:pPr>
        <w:pStyle w:val="Casehead1"/>
        <w:rPr>
          <w:lang w:val="en-GB"/>
        </w:rPr>
      </w:pPr>
      <w:r w:rsidRPr="004255DC">
        <w:rPr>
          <w:lang w:val="en-GB"/>
        </w:rPr>
        <w:t xml:space="preserve">NESTLÉ INDIA </w:t>
      </w:r>
    </w:p>
    <w:p w14:paraId="2ED5EAAA" w14:textId="77777777" w:rsidR="00A81B5F" w:rsidRPr="00A81B5F" w:rsidRDefault="00A81B5F" w:rsidP="00A81B5F">
      <w:pPr>
        <w:pStyle w:val="BodyTextMain"/>
      </w:pPr>
    </w:p>
    <w:p w14:paraId="41CF309B" w14:textId="051674EB" w:rsidR="00EA72CA" w:rsidRPr="00094A6B" w:rsidRDefault="00A81B5F" w:rsidP="00A81B5F">
      <w:pPr>
        <w:pStyle w:val="BodyTextMain"/>
        <w:rPr>
          <w:spacing w:val="-2"/>
          <w:lang w:val="en-GB"/>
        </w:rPr>
      </w:pPr>
      <w:r w:rsidRPr="00094A6B">
        <w:rPr>
          <w:spacing w:val="-2"/>
          <w:lang w:val="en-GB"/>
        </w:rPr>
        <w:t>In 2013,</w:t>
      </w:r>
      <w:r w:rsidR="006C0276" w:rsidRPr="00094A6B">
        <w:rPr>
          <w:spacing w:val="-2"/>
          <w:lang w:val="en-GB"/>
        </w:rPr>
        <w:t xml:space="preserve"> Nestlé S.A.’s</w:t>
      </w:r>
      <w:r w:rsidRPr="00094A6B">
        <w:rPr>
          <w:spacing w:val="-2"/>
          <w:lang w:val="en-GB"/>
        </w:rPr>
        <w:t xml:space="preserve"> subsidiary</w:t>
      </w:r>
      <w:r w:rsidR="006C0276" w:rsidRPr="00094A6B">
        <w:rPr>
          <w:spacing w:val="-2"/>
          <w:lang w:val="en-GB"/>
        </w:rPr>
        <w:t>,</w:t>
      </w:r>
      <w:r w:rsidRPr="00094A6B">
        <w:rPr>
          <w:b/>
          <w:bCs/>
          <w:spacing w:val="-2"/>
          <w:lang w:val="en-GB"/>
        </w:rPr>
        <w:t xml:space="preserve"> </w:t>
      </w:r>
      <w:r w:rsidRPr="00094A6B">
        <w:rPr>
          <w:spacing w:val="-2"/>
          <w:lang w:val="en-GB"/>
        </w:rPr>
        <w:t>Nestlé India</w:t>
      </w:r>
      <w:r w:rsidR="006C0276" w:rsidRPr="00094A6B">
        <w:rPr>
          <w:spacing w:val="-2"/>
          <w:lang w:val="en-GB"/>
        </w:rPr>
        <w:t>,</w:t>
      </w:r>
      <w:r w:rsidRPr="00094A6B">
        <w:rPr>
          <w:spacing w:val="-2"/>
          <w:lang w:val="en-GB"/>
        </w:rPr>
        <w:t xml:space="preserve"> celebrated 101 years in the country. The company’s association with India had begun in 1912 when it began trading as </w:t>
      </w:r>
      <w:r w:rsidR="001E4714" w:rsidRPr="00094A6B">
        <w:rPr>
          <w:spacing w:val="-2"/>
          <w:lang w:val="en-GB"/>
        </w:rPr>
        <w:t>t</w:t>
      </w:r>
      <w:r w:rsidRPr="00094A6B">
        <w:rPr>
          <w:spacing w:val="-2"/>
          <w:lang w:val="en-GB"/>
        </w:rPr>
        <w:t>he Nestlé Anglo-Swiss Condensed Milk Company (Export) Limited. Nestlé was one of the largest fast-moving consumer good</w:t>
      </w:r>
      <w:r w:rsidR="006C0276" w:rsidRPr="00094A6B">
        <w:rPr>
          <w:spacing w:val="-2"/>
          <w:lang w:val="en-GB"/>
        </w:rPr>
        <w:t>s</w:t>
      </w:r>
      <w:r w:rsidRPr="00094A6B">
        <w:rPr>
          <w:spacing w:val="-2"/>
          <w:lang w:val="en-GB"/>
        </w:rPr>
        <w:t xml:space="preserve"> companies in </w:t>
      </w:r>
      <w:r w:rsidR="00733DB0" w:rsidRPr="00094A6B">
        <w:rPr>
          <w:spacing w:val="-2"/>
          <w:lang w:val="en-GB"/>
        </w:rPr>
        <w:t>India</w:t>
      </w:r>
      <w:r w:rsidR="00EA72CA" w:rsidRPr="00094A6B">
        <w:rPr>
          <w:spacing w:val="-2"/>
          <w:lang w:val="en-GB"/>
        </w:rPr>
        <w:t xml:space="preserve">. It </w:t>
      </w:r>
      <w:r w:rsidRPr="00094A6B">
        <w:rPr>
          <w:spacing w:val="-2"/>
          <w:lang w:val="en-GB"/>
        </w:rPr>
        <w:t>was known for its chocolates, milk</w:t>
      </w:r>
      <w:r w:rsidR="00EA72CA" w:rsidRPr="00094A6B">
        <w:rPr>
          <w:spacing w:val="-2"/>
          <w:lang w:val="en-GB"/>
        </w:rPr>
        <w:t>-</w:t>
      </w:r>
      <w:r w:rsidRPr="00094A6B">
        <w:rPr>
          <w:spacing w:val="-2"/>
          <w:lang w:val="en-GB"/>
        </w:rPr>
        <w:t>based products, instant noodles</w:t>
      </w:r>
      <w:r w:rsidR="00EA72CA" w:rsidRPr="00094A6B">
        <w:rPr>
          <w:spacing w:val="-2"/>
          <w:lang w:val="en-GB"/>
        </w:rPr>
        <w:t>,</w:t>
      </w:r>
      <w:r w:rsidRPr="00094A6B">
        <w:rPr>
          <w:spacing w:val="-2"/>
          <w:lang w:val="en-GB"/>
        </w:rPr>
        <w:t xml:space="preserve"> and a range of </w:t>
      </w:r>
      <w:r w:rsidR="00EA72CA" w:rsidRPr="00094A6B">
        <w:rPr>
          <w:spacing w:val="-2"/>
          <w:lang w:val="en-GB"/>
        </w:rPr>
        <w:t xml:space="preserve">other </w:t>
      </w:r>
      <w:r w:rsidRPr="00094A6B">
        <w:rPr>
          <w:spacing w:val="-2"/>
          <w:lang w:val="en-GB"/>
        </w:rPr>
        <w:t>food and beverages. In 2013, the company reported</w:t>
      </w:r>
      <w:r w:rsidR="007B55D7" w:rsidRPr="00094A6B">
        <w:rPr>
          <w:spacing w:val="-2"/>
          <w:lang w:val="en-GB"/>
        </w:rPr>
        <w:t xml:space="preserve"> </w:t>
      </w:r>
      <w:r w:rsidR="00C148AA" w:rsidRPr="00094A6B">
        <w:rPr>
          <w:spacing w:val="-2"/>
          <w:lang w:val="en-GB"/>
        </w:rPr>
        <w:t xml:space="preserve">net sales </w:t>
      </w:r>
      <w:r w:rsidRPr="00094A6B">
        <w:rPr>
          <w:spacing w:val="-2"/>
          <w:lang w:val="en-GB"/>
        </w:rPr>
        <w:t xml:space="preserve">of </w:t>
      </w:r>
      <w:r w:rsidRPr="00094A6B">
        <w:rPr>
          <w:rFonts w:ascii="Calibri" w:eastAsia="Calibri" w:hAnsi="Calibri" w:cs="Calibri"/>
          <w:spacing w:val="-2"/>
        </w:rPr>
        <w:t>₹</w:t>
      </w:r>
      <w:r w:rsidR="00752D99" w:rsidRPr="00094A6B">
        <w:rPr>
          <w:spacing w:val="-2"/>
          <w:lang w:val="en-GB"/>
        </w:rPr>
        <w:t>90</w:t>
      </w:r>
      <w:r w:rsidR="006E5226" w:rsidRPr="00094A6B">
        <w:rPr>
          <w:spacing w:val="-2"/>
          <w:lang w:val="en-GB"/>
        </w:rPr>
        <w:t>.</w:t>
      </w:r>
      <w:r w:rsidR="00752D99" w:rsidRPr="00094A6B">
        <w:rPr>
          <w:spacing w:val="-2"/>
          <w:lang w:val="en-GB"/>
        </w:rPr>
        <w:t>62</w:t>
      </w:r>
      <w:r w:rsidR="007B55D7" w:rsidRPr="00094A6B">
        <w:rPr>
          <w:spacing w:val="-2"/>
          <w:lang w:val="en-GB"/>
        </w:rPr>
        <w:t xml:space="preserve"> </w:t>
      </w:r>
      <w:r w:rsidR="006E5226" w:rsidRPr="00094A6B">
        <w:rPr>
          <w:spacing w:val="-2"/>
          <w:lang w:val="en-GB"/>
        </w:rPr>
        <w:t>b</w:t>
      </w:r>
      <w:r w:rsidR="007B55D7" w:rsidRPr="00094A6B">
        <w:rPr>
          <w:spacing w:val="-2"/>
          <w:lang w:val="en-GB"/>
        </w:rPr>
        <w:t>illion</w:t>
      </w:r>
      <w:r w:rsidR="00C42790" w:rsidRPr="00094A6B">
        <w:rPr>
          <w:rStyle w:val="FootnoteReference"/>
          <w:spacing w:val="-2"/>
          <w:lang w:val="en-GB"/>
        </w:rPr>
        <w:footnoteReference w:id="1"/>
      </w:r>
      <w:r w:rsidR="007B55D7" w:rsidRPr="00094A6B">
        <w:rPr>
          <w:spacing w:val="-2"/>
          <w:lang w:val="en-GB"/>
        </w:rPr>
        <w:t xml:space="preserve"> </w:t>
      </w:r>
      <w:r w:rsidRPr="00094A6B">
        <w:rPr>
          <w:spacing w:val="-2"/>
          <w:lang w:val="en-GB"/>
        </w:rPr>
        <w:t xml:space="preserve">and a net profit of </w:t>
      </w:r>
      <w:r w:rsidRPr="00094A6B">
        <w:rPr>
          <w:rFonts w:ascii="Calibri" w:eastAsia="Calibri" w:hAnsi="Calibri" w:cs="Calibri"/>
          <w:spacing w:val="-2"/>
        </w:rPr>
        <w:t>₹</w:t>
      </w:r>
      <w:r w:rsidRPr="00094A6B">
        <w:rPr>
          <w:spacing w:val="-2"/>
          <w:lang w:val="en-GB"/>
        </w:rPr>
        <w:t>11</w:t>
      </w:r>
      <w:r w:rsidR="006E5226" w:rsidRPr="00094A6B">
        <w:rPr>
          <w:spacing w:val="-2"/>
          <w:lang w:val="en-GB"/>
        </w:rPr>
        <w:t>.</w:t>
      </w:r>
      <w:r w:rsidR="00FF4FA1" w:rsidRPr="00094A6B">
        <w:rPr>
          <w:spacing w:val="-2"/>
          <w:lang w:val="en-GB"/>
        </w:rPr>
        <w:t>1</w:t>
      </w:r>
      <w:r w:rsidRPr="00094A6B">
        <w:rPr>
          <w:spacing w:val="-2"/>
          <w:lang w:val="en-GB"/>
        </w:rPr>
        <w:t xml:space="preserve">7 </w:t>
      </w:r>
      <w:r w:rsidR="006E5226" w:rsidRPr="00094A6B">
        <w:rPr>
          <w:spacing w:val="-2"/>
          <w:lang w:val="en-GB"/>
        </w:rPr>
        <w:t>b</w:t>
      </w:r>
      <w:r w:rsidRPr="00094A6B">
        <w:rPr>
          <w:spacing w:val="-2"/>
          <w:lang w:val="en-GB"/>
        </w:rPr>
        <w:t>illion (</w:t>
      </w:r>
      <w:r w:rsidR="007B55D7" w:rsidRPr="00094A6B">
        <w:rPr>
          <w:spacing w:val="-2"/>
          <w:lang w:val="en-GB"/>
        </w:rPr>
        <w:t xml:space="preserve">see </w:t>
      </w:r>
      <w:r w:rsidRPr="00094A6B">
        <w:rPr>
          <w:spacing w:val="-2"/>
          <w:lang w:val="en-GB"/>
        </w:rPr>
        <w:t xml:space="preserve">Exhibit 4). </w:t>
      </w:r>
    </w:p>
    <w:p w14:paraId="0FFD0EBC" w14:textId="77777777" w:rsidR="00EA72CA" w:rsidRPr="00094A6B" w:rsidRDefault="00EA72CA" w:rsidP="00A81B5F">
      <w:pPr>
        <w:pStyle w:val="BodyTextMain"/>
        <w:rPr>
          <w:spacing w:val="-2"/>
          <w:lang w:val="en-GB"/>
        </w:rPr>
      </w:pPr>
    </w:p>
    <w:p w14:paraId="5F9852D3" w14:textId="59234D64" w:rsidR="00A81B5F" w:rsidRPr="00094A6B" w:rsidRDefault="00EA72CA" w:rsidP="00A81B5F">
      <w:pPr>
        <w:pStyle w:val="BodyTextMain"/>
        <w:rPr>
          <w:spacing w:val="-2"/>
          <w:lang w:val="en-GB"/>
        </w:rPr>
      </w:pPr>
      <w:r w:rsidRPr="00094A6B">
        <w:rPr>
          <w:spacing w:val="-2"/>
          <w:lang w:val="en-GB"/>
        </w:rPr>
        <w:t xml:space="preserve">Nestlé </w:t>
      </w:r>
      <w:r w:rsidR="00A81B5F" w:rsidRPr="00094A6B">
        <w:rPr>
          <w:spacing w:val="-2"/>
          <w:lang w:val="en-GB"/>
        </w:rPr>
        <w:t>attributed its success and scale to its constant efforts to get insight into Indian customers</w:t>
      </w:r>
      <w:r w:rsidR="006664E5" w:rsidRPr="00094A6B">
        <w:rPr>
          <w:spacing w:val="-2"/>
          <w:lang w:val="en-GB"/>
        </w:rPr>
        <w:t>’</w:t>
      </w:r>
      <w:r w:rsidR="00A81B5F" w:rsidRPr="00094A6B">
        <w:rPr>
          <w:spacing w:val="-2"/>
          <w:lang w:val="en-GB"/>
        </w:rPr>
        <w:t xml:space="preserve"> tastes, lifestyles</w:t>
      </w:r>
      <w:r w:rsidR="002A71B1" w:rsidRPr="00094A6B">
        <w:rPr>
          <w:spacing w:val="-2"/>
          <w:lang w:val="en-GB"/>
        </w:rPr>
        <w:t>,</w:t>
      </w:r>
      <w:r w:rsidR="00A81B5F" w:rsidRPr="00094A6B">
        <w:rPr>
          <w:spacing w:val="-2"/>
          <w:lang w:val="en-GB"/>
        </w:rPr>
        <w:t xml:space="preserve"> and needs to create new food and beverage products in its eight factories across India. </w:t>
      </w:r>
      <w:r w:rsidRPr="00094A6B">
        <w:rPr>
          <w:spacing w:val="-2"/>
          <w:lang w:val="en-GB"/>
        </w:rPr>
        <w:t>Its</w:t>
      </w:r>
      <w:r w:rsidR="00A81B5F" w:rsidRPr="00094A6B">
        <w:rPr>
          <w:spacing w:val="-2"/>
          <w:lang w:val="en-GB"/>
        </w:rPr>
        <w:t xml:space="preserve"> brand promise of Good Food, Good Life was the cornerstone of all its communication</w:t>
      </w:r>
      <w:r w:rsidRPr="00094A6B">
        <w:rPr>
          <w:spacing w:val="-2"/>
          <w:lang w:val="en-GB"/>
        </w:rPr>
        <w:t>.</w:t>
      </w:r>
      <w:r w:rsidR="00733DB0" w:rsidRPr="00094A6B">
        <w:rPr>
          <w:spacing w:val="-2"/>
          <w:lang w:val="en-GB"/>
        </w:rPr>
        <w:t xml:space="preserve"> Nestlé </w:t>
      </w:r>
      <w:r w:rsidR="00A81B5F" w:rsidRPr="00094A6B">
        <w:rPr>
          <w:spacing w:val="-2"/>
          <w:lang w:val="en-GB"/>
        </w:rPr>
        <w:t xml:space="preserve">defined its goal as </w:t>
      </w:r>
      <w:r w:rsidRPr="00094A6B">
        <w:rPr>
          <w:spacing w:val="-2"/>
          <w:lang w:val="en-GB"/>
        </w:rPr>
        <w:t>“</w:t>
      </w:r>
      <w:r w:rsidR="00A81B5F" w:rsidRPr="00094A6B">
        <w:rPr>
          <w:spacing w:val="-2"/>
          <w:lang w:val="en-GB"/>
        </w:rPr>
        <w:t>to help consumers attain and maintain optimal nutrition, health and wellness</w:t>
      </w:r>
      <w:r w:rsidRPr="00094A6B">
        <w:rPr>
          <w:spacing w:val="-2"/>
          <w:lang w:val="en-GB"/>
        </w:rPr>
        <w:t>.</w:t>
      </w:r>
      <w:r w:rsidR="00A81B5F" w:rsidRPr="00094A6B">
        <w:rPr>
          <w:spacing w:val="-2"/>
          <w:lang w:val="en-GB"/>
        </w:rPr>
        <w:t>”</w:t>
      </w:r>
      <w:r w:rsidR="00E83836" w:rsidRPr="00094A6B">
        <w:rPr>
          <w:rStyle w:val="CommentReference"/>
          <w:spacing w:val="-2"/>
        </w:rPr>
        <w:t xml:space="preserve"> </w:t>
      </w:r>
      <w:r w:rsidRPr="00094A6B">
        <w:rPr>
          <w:spacing w:val="-2"/>
          <w:lang w:val="en-GB"/>
        </w:rPr>
        <w:t xml:space="preserve"> It</w:t>
      </w:r>
      <w:r w:rsidR="00A81B5F" w:rsidRPr="00094A6B">
        <w:rPr>
          <w:spacing w:val="-2"/>
          <w:lang w:val="en-GB"/>
        </w:rPr>
        <w:t xml:space="preserve"> also had a responsible sourcing program and a transparent product labelling program as part of its charter of ethics and responsible behaviour. The company’s marketing activities focused </w:t>
      </w:r>
      <w:r w:rsidRPr="00094A6B">
        <w:rPr>
          <w:spacing w:val="-2"/>
          <w:lang w:val="en-GB"/>
        </w:rPr>
        <w:t>on</w:t>
      </w:r>
      <w:r w:rsidR="00A81B5F" w:rsidRPr="00094A6B">
        <w:rPr>
          <w:spacing w:val="-2"/>
          <w:lang w:val="en-GB"/>
        </w:rPr>
        <w:t xml:space="preserve"> the themes of nutritional education and awareness.</w:t>
      </w:r>
    </w:p>
    <w:p w14:paraId="71AE4509" w14:textId="77777777" w:rsidR="00A81B5F" w:rsidRDefault="00A81B5F" w:rsidP="00A81B5F">
      <w:pPr>
        <w:pStyle w:val="BodyTextMain"/>
        <w:rPr>
          <w:lang w:val="en-GB"/>
        </w:rPr>
      </w:pPr>
    </w:p>
    <w:p w14:paraId="459B690C" w14:textId="0A90CD3E" w:rsidR="00A81B5F" w:rsidRDefault="00A81B5F" w:rsidP="00A81B5F">
      <w:pPr>
        <w:pStyle w:val="BodyTextMain"/>
        <w:rPr>
          <w:lang w:val="en-GB"/>
        </w:rPr>
      </w:pPr>
      <w:r>
        <w:t xml:space="preserve">The </w:t>
      </w:r>
      <w:r w:rsidR="00EA72CA">
        <w:t>r</w:t>
      </w:r>
      <w:r w:rsidRPr="00A81B5F">
        <w:t xml:space="preserve">esponsible </w:t>
      </w:r>
      <w:r w:rsidR="00EA72CA">
        <w:t>s</w:t>
      </w:r>
      <w:r w:rsidRPr="00A81B5F">
        <w:t xml:space="preserve">ourcing </w:t>
      </w:r>
      <w:r w:rsidR="00EA72CA">
        <w:t>p</w:t>
      </w:r>
      <w:r w:rsidRPr="00A81B5F">
        <w:t>rogra</w:t>
      </w:r>
      <w:r w:rsidR="00EA72CA">
        <w:t>m</w:t>
      </w:r>
      <w:r w:rsidRPr="00A81B5F">
        <w:t xml:space="preserve"> outlined stringent regulations around </w:t>
      </w:r>
      <w:r w:rsidR="00EA72CA">
        <w:t>b</w:t>
      </w:r>
      <w:r w:rsidRPr="00A81B5F">
        <w:t xml:space="preserve">usiness integrity, </w:t>
      </w:r>
      <w:r w:rsidR="00EA72CA">
        <w:t>h</w:t>
      </w:r>
      <w:r w:rsidRPr="00A81B5F">
        <w:t>uman</w:t>
      </w:r>
      <w:r w:rsidRPr="00593C41">
        <w:rPr>
          <w:lang w:val="en-GB"/>
        </w:rPr>
        <w:t xml:space="preserve"> rights (labour standards), </w:t>
      </w:r>
      <w:r w:rsidR="00EA72CA">
        <w:rPr>
          <w:lang w:val="en-GB"/>
        </w:rPr>
        <w:t>h</w:t>
      </w:r>
      <w:r w:rsidRPr="00593C41">
        <w:rPr>
          <w:lang w:val="en-GB"/>
        </w:rPr>
        <w:t xml:space="preserve">ealth </w:t>
      </w:r>
      <w:r w:rsidR="00EA72CA">
        <w:rPr>
          <w:lang w:val="en-GB"/>
        </w:rPr>
        <w:t>and</w:t>
      </w:r>
      <w:r w:rsidRPr="00593C41">
        <w:rPr>
          <w:lang w:val="en-GB"/>
        </w:rPr>
        <w:t xml:space="preserve"> safety</w:t>
      </w:r>
      <w:r w:rsidR="00EA72CA">
        <w:rPr>
          <w:lang w:val="en-GB"/>
        </w:rPr>
        <w:t>,</w:t>
      </w:r>
      <w:r w:rsidRPr="00593C41">
        <w:rPr>
          <w:lang w:val="en-GB"/>
        </w:rPr>
        <w:t xml:space="preserve"> and </w:t>
      </w:r>
      <w:r w:rsidR="0002450E">
        <w:rPr>
          <w:lang w:val="en-GB"/>
        </w:rPr>
        <w:t>s</w:t>
      </w:r>
      <w:r w:rsidRPr="00593C41">
        <w:rPr>
          <w:lang w:val="en-GB"/>
        </w:rPr>
        <w:t>ustainable environmental standards</w:t>
      </w:r>
      <w:r>
        <w:rPr>
          <w:lang w:val="en-GB"/>
        </w:rPr>
        <w:t xml:space="preserve"> for </w:t>
      </w:r>
      <w:r w:rsidR="0002450E">
        <w:rPr>
          <w:lang w:val="en-GB"/>
        </w:rPr>
        <w:t xml:space="preserve">Nestlé’s </w:t>
      </w:r>
      <w:r>
        <w:rPr>
          <w:lang w:val="en-GB"/>
        </w:rPr>
        <w:t>suppliers. Responsible sourcing audits were conducted on suppliers to ensure compliance. To reduce the environmental footprint</w:t>
      </w:r>
      <w:r w:rsidR="0002450E">
        <w:rPr>
          <w:lang w:val="en-GB"/>
        </w:rPr>
        <w:t>,</w:t>
      </w:r>
      <w:r>
        <w:rPr>
          <w:lang w:val="en-GB"/>
        </w:rPr>
        <w:t xml:space="preserve"> most raw materials were locally sourced. In 2013, locally sourced material amounted to 92</w:t>
      </w:r>
      <w:r w:rsidR="005A7F51">
        <w:rPr>
          <w:lang w:val="en-GB"/>
        </w:rPr>
        <w:t xml:space="preserve"> per cent</w:t>
      </w:r>
      <w:r>
        <w:rPr>
          <w:lang w:val="en-GB"/>
        </w:rPr>
        <w:t xml:space="preserve"> of the total raw material procurement expenditure. </w:t>
      </w:r>
    </w:p>
    <w:p w14:paraId="7619D815" w14:textId="77777777" w:rsidR="00A81B5F" w:rsidRDefault="00A81B5F" w:rsidP="00A81B5F">
      <w:pPr>
        <w:pStyle w:val="BodyTextMain"/>
        <w:rPr>
          <w:lang w:val="en-GB"/>
        </w:rPr>
      </w:pPr>
    </w:p>
    <w:p w14:paraId="58839EF4" w14:textId="4A8A1B50" w:rsidR="00A81B5F" w:rsidRPr="00E14CCC" w:rsidRDefault="00F92914" w:rsidP="00A81B5F">
      <w:pPr>
        <w:pStyle w:val="BodyTextMain"/>
        <w:rPr>
          <w:lang w:val="en-GB"/>
        </w:rPr>
      </w:pPr>
      <w:r>
        <w:rPr>
          <w:lang w:val="en-GB"/>
        </w:rPr>
        <w:t>Nestlé</w:t>
      </w:r>
      <w:r w:rsidR="00316C81">
        <w:t xml:space="preserve"> followed t</w:t>
      </w:r>
      <w:r w:rsidR="00A81B5F" w:rsidRPr="00A81B5F">
        <w:t xml:space="preserve">ransparent </w:t>
      </w:r>
      <w:r w:rsidR="00316C81">
        <w:t>p</w:t>
      </w:r>
      <w:r w:rsidR="00A81B5F" w:rsidRPr="00A81B5F">
        <w:t xml:space="preserve">roduct </w:t>
      </w:r>
      <w:r w:rsidR="00316C81">
        <w:t>l</w:t>
      </w:r>
      <w:r w:rsidR="00A81B5F" w:rsidRPr="00A81B5F">
        <w:t>abelling standards</w:t>
      </w:r>
      <w:r w:rsidR="00316C81">
        <w:t xml:space="preserve">, </w:t>
      </w:r>
      <w:r w:rsidR="00A81B5F" w:rsidRPr="00A81B5F">
        <w:t>which included instructions on food</w:t>
      </w:r>
      <w:r w:rsidR="00A81B5F">
        <w:rPr>
          <w:lang w:val="en-GB"/>
        </w:rPr>
        <w:t xml:space="preserve"> preparation and safe consumption. </w:t>
      </w:r>
      <w:r w:rsidR="00316C81">
        <w:rPr>
          <w:lang w:val="en-GB"/>
        </w:rPr>
        <w:t>It</w:t>
      </w:r>
      <w:r w:rsidR="00A81B5F">
        <w:rPr>
          <w:lang w:val="en-GB"/>
        </w:rPr>
        <w:t xml:space="preserve"> also created a Nestlé Nutritional Compass</w:t>
      </w:r>
      <w:r>
        <w:rPr>
          <w:lang w:val="en-GB"/>
        </w:rPr>
        <w:t>,</w:t>
      </w:r>
      <w:r w:rsidR="00A81B5F">
        <w:rPr>
          <w:lang w:val="en-GB"/>
        </w:rPr>
        <w:t xml:space="preserve"> which was printed on every product. </w:t>
      </w:r>
      <w:r>
        <w:rPr>
          <w:lang w:val="en-GB"/>
        </w:rPr>
        <w:t xml:space="preserve">The compass </w:t>
      </w:r>
      <w:r w:rsidR="00316C81">
        <w:rPr>
          <w:lang w:val="en-GB"/>
        </w:rPr>
        <w:t>consisted of a</w:t>
      </w:r>
      <w:r w:rsidR="00A81B5F">
        <w:rPr>
          <w:lang w:val="en-GB"/>
        </w:rPr>
        <w:t xml:space="preserve"> simple chart on </w:t>
      </w:r>
      <w:r w:rsidR="00A81B5F" w:rsidRPr="00E14CCC">
        <w:rPr>
          <w:lang w:val="en-GB"/>
        </w:rPr>
        <w:t xml:space="preserve">nutritional information </w:t>
      </w:r>
      <w:r w:rsidR="00A81B5F">
        <w:rPr>
          <w:lang w:val="en-GB"/>
        </w:rPr>
        <w:t>for</w:t>
      </w:r>
      <w:r w:rsidR="00A81B5F" w:rsidRPr="00E14CCC">
        <w:rPr>
          <w:lang w:val="en-GB"/>
        </w:rPr>
        <w:t xml:space="preserve"> consumer</w:t>
      </w:r>
      <w:r w:rsidR="00A81B5F">
        <w:rPr>
          <w:lang w:val="en-GB"/>
        </w:rPr>
        <w:t>s.</w:t>
      </w:r>
    </w:p>
    <w:p w14:paraId="49900781" w14:textId="77777777" w:rsidR="003D3D90" w:rsidRDefault="003D3D90" w:rsidP="00A81B5F">
      <w:pPr>
        <w:pStyle w:val="BodyTextMain"/>
        <w:rPr>
          <w:lang w:val="en-GB"/>
        </w:rPr>
      </w:pPr>
    </w:p>
    <w:p w14:paraId="26A2063F" w14:textId="03367AE2" w:rsidR="00A81B5F" w:rsidRPr="00A81B5F" w:rsidRDefault="00A81B5F" w:rsidP="00A81B5F">
      <w:pPr>
        <w:pStyle w:val="BodyTextMain"/>
      </w:pPr>
      <w:r>
        <w:rPr>
          <w:lang w:val="en-GB"/>
        </w:rPr>
        <w:t>The company had four product categories</w:t>
      </w:r>
      <w:r w:rsidR="00316C81">
        <w:rPr>
          <w:lang w:val="en-GB"/>
        </w:rPr>
        <w:t>: p</w:t>
      </w:r>
      <w:r>
        <w:rPr>
          <w:lang w:val="en-GB"/>
        </w:rPr>
        <w:t xml:space="preserve">repared dishes and cooking aids, chocolates and confectionary, milk products and nutrition, </w:t>
      </w:r>
      <w:r w:rsidR="00316C81">
        <w:rPr>
          <w:lang w:val="en-GB"/>
        </w:rPr>
        <w:t xml:space="preserve">and </w:t>
      </w:r>
      <w:r>
        <w:rPr>
          <w:lang w:val="en-GB"/>
        </w:rPr>
        <w:t xml:space="preserve">coffee and beverages </w:t>
      </w:r>
      <w:r w:rsidRPr="00BC6BE8">
        <w:rPr>
          <w:lang w:val="en-GB"/>
        </w:rPr>
        <w:t>(</w:t>
      </w:r>
      <w:r w:rsidR="007B55D7">
        <w:rPr>
          <w:lang w:val="en-GB"/>
        </w:rPr>
        <w:t xml:space="preserve">see </w:t>
      </w:r>
      <w:r w:rsidRPr="00BC6BE8">
        <w:rPr>
          <w:lang w:val="en-GB"/>
        </w:rPr>
        <w:t>Exhibit</w:t>
      </w:r>
      <w:r w:rsidRPr="001B268A">
        <w:rPr>
          <w:lang w:val="en-GB"/>
        </w:rPr>
        <w:t xml:space="preserve"> </w:t>
      </w:r>
      <w:r>
        <w:rPr>
          <w:lang w:val="en-GB"/>
        </w:rPr>
        <w:t>5</w:t>
      </w:r>
      <w:r w:rsidRPr="001B268A">
        <w:rPr>
          <w:lang w:val="en-GB"/>
        </w:rPr>
        <w:t>)</w:t>
      </w:r>
      <w:r>
        <w:rPr>
          <w:lang w:val="en-GB"/>
        </w:rPr>
        <w:t>.</w:t>
      </w:r>
      <w:r w:rsidR="005621AC">
        <w:t xml:space="preserve"> </w:t>
      </w:r>
      <w:r w:rsidRPr="00A81B5F">
        <w:t xml:space="preserve">Prepared dishes and cooking aids consisted of </w:t>
      </w:r>
      <w:r w:rsidR="00316C81">
        <w:t>the t</w:t>
      </w:r>
      <w:r w:rsidRPr="00A81B5F">
        <w:t xml:space="preserve">op selling Maggi </w:t>
      </w:r>
      <w:r w:rsidR="00925E26">
        <w:t>i</w:t>
      </w:r>
      <w:r w:rsidRPr="00A81B5F">
        <w:t xml:space="preserve">nstant noodles, sauces, </w:t>
      </w:r>
      <w:r w:rsidR="00925E26">
        <w:t xml:space="preserve">and </w:t>
      </w:r>
      <w:r w:rsidRPr="00A81B5F">
        <w:t>soups, as</w:t>
      </w:r>
      <w:r>
        <w:rPr>
          <w:lang w:val="en-GB"/>
        </w:rPr>
        <w:t xml:space="preserve"> well as spice mixes used for making Indian food. </w:t>
      </w:r>
      <w:r w:rsidRPr="00A81B5F">
        <w:t xml:space="preserve">Chocolates and </w:t>
      </w:r>
      <w:r w:rsidR="00316C81">
        <w:t>c</w:t>
      </w:r>
      <w:r w:rsidRPr="00A81B5F">
        <w:t>onfectionary included wafer</w:t>
      </w:r>
      <w:r w:rsidR="00316C81">
        <w:t>-</w:t>
      </w:r>
      <w:r w:rsidRPr="00A81B5F">
        <w:t>based chocolates such as Kit</w:t>
      </w:r>
      <w:r w:rsidR="00925E26">
        <w:t>K</w:t>
      </w:r>
      <w:r w:rsidRPr="00A81B5F">
        <w:t>at, Munch</w:t>
      </w:r>
      <w:r w:rsidR="00316C81">
        <w:t>,</w:t>
      </w:r>
      <w:r w:rsidRPr="00A81B5F">
        <w:t xml:space="preserve"> and </w:t>
      </w:r>
      <w:r w:rsidRPr="00A81B5F">
        <w:lastRenderedPageBreak/>
        <w:t>white chocolate</w:t>
      </w:r>
      <w:r w:rsidR="00925E26">
        <w:t xml:space="preserve"> confection</w:t>
      </w:r>
      <w:r w:rsidRPr="00A81B5F">
        <w:t xml:space="preserve"> </w:t>
      </w:r>
      <w:proofErr w:type="spellStart"/>
      <w:r w:rsidRPr="00A81B5F">
        <w:t>Milkybar</w:t>
      </w:r>
      <w:proofErr w:type="spellEnd"/>
      <w:r w:rsidRPr="00A81B5F">
        <w:t>.</w:t>
      </w:r>
      <w:r w:rsidR="005621AC">
        <w:t xml:space="preserve"> </w:t>
      </w:r>
      <w:r w:rsidRPr="00A81B5F">
        <w:t xml:space="preserve">Milk </w:t>
      </w:r>
      <w:r w:rsidR="00316C81">
        <w:t>p</w:t>
      </w:r>
      <w:r w:rsidRPr="00A81B5F">
        <w:t xml:space="preserve">roducts and </w:t>
      </w:r>
      <w:r w:rsidR="00316C81">
        <w:t>n</w:t>
      </w:r>
      <w:r w:rsidRPr="00A81B5F">
        <w:t xml:space="preserve">utrition had a wide portfolio of products consisting of milk, curd, dairy whitener, </w:t>
      </w:r>
      <w:r w:rsidR="00316C81">
        <w:t xml:space="preserve">and </w:t>
      </w:r>
      <w:r w:rsidRPr="00A81B5F">
        <w:t>infant formula for young children.</w:t>
      </w:r>
      <w:r w:rsidR="005621AC">
        <w:t xml:space="preserve"> </w:t>
      </w:r>
      <w:r w:rsidRPr="00A81B5F">
        <w:t xml:space="preserve">Coffee and </w:t>
      </w:r>
      <w:r w:rsidR="00316C81">
        <w:t>b</w:t>
      </w:r>
      <w:r w:rsidRPr="00A81B5F">
        <w:t>everages had instant coffee brands Nescaf</w:t>
      </w:r>
      <w:r w:rsidR="00925E26">
        <w:t>é</w:t>
      </w:r>
      <w:r w:rsidRPr="00A81B5F">
        <w:t xml:space="preserve"> and Nescaf</w:t>
      </w:r>
      <w:r w:rsidR="00925E26">
        <w:t>é</w:t>
      </w:r>
      <w:r w:rsidRPr="00A81B5F">
        <w:t xml:space="preserve"> Sunrise</w:t>
      </w:r>
      <w:r w:rsidR="00316C81">
        <w:t>,</w:t>
      </w:r>
      <w:r w:rsidRPr="00A81B5F">
        <w:t xml:space="preserve"> as well as iced tea brand Nestea.</w:t>
      </w:r>
    </w:p>
    <w:p w14:paraId="30D6580F" w14:textId="77777777" w:rsidR="00A81B5F" w:rsidRPr="00A81B5F" w:rsidRDefault="00A81B5F" w:rsidP="00A81B5F">
      <w:pPr>
        <w:pStyle w:val="BodyTextMain"/>
      </w:pPr>
    </w:p>
    <w:p w14:paraId="29FD01A1" w14:textId="77777777" w:rsidR="00A81B5F" w:rsidRDefault="00A81B5F" w:rsidP="00A81B5F">
      <w:pPr>
        <w:pStyle w:val="BodyTextMain"/>
        <w:rPr>
          <w:lang w:val="en-GB"/>
        </w:rPr>
      </w:pPr>
    </w:p>
    <w:p w14:paraId="6A345095" w14:textId="77777777" w:rsidR="00A81B5F" w:rsidRPr="004255DC" w:rsidRDefault="00A81B5F" w:rsidP="00A81B5F">
      <w:pPr>
        <w:pStyle w:val="Casehead1"/>
        <w:rPr>
          <w:lang w:val="en-GB"/>
        </w:rPr>
      </w:pPr>
      <w:r w:rsidRPr="004255DC">
        <w:rPr>
          <w:lang w:val="en-GB"/>
        </w:rPr>
        <w:t xml:space="preserve">CREATING SHARED VALUE IN NESTLÉ INDIA </w:t>
      </w:r>
    </w:p>
    <w:p w14:paraId="74044ED3" w14:textId="77777777" w:rsidR="00A81B5F" w:rsidRDefault="00A81B5F" w:rsidP="00A81B5F">
      <w:pPr>
        <w:pStyle w:val="BodyTextMain"/>
        <w:rPr>
          <w:lang w:val="en-GB"/>
        </w:rPr>
      </w:pPr>
    </w:p>
    <w:p w14:paraId="6450E7AA" w14:textId="36A55439" w:rsidR="00A81B5F" w:rsidRPr="000D4CF8" w:rsidRDefault="00A81B5F" w:rsidP="00A81B5F">
      <w:pPr>
        <w:pStyle w:val="BodyTextMain"/>
        <w:rPr>
          <w:lang w:val="en-GB"/>
        </w:rPr>
      </w:pPr>
      <w:r>
        <w:rPr>
          <w:lang w:val="en-GB"/>
        </w:rPr>
        <w:t>Nestl</w:t>
      </w:r>
      <w:r w:rsidR="00D00259">
        <w:rPr>
          <w:lang w:val="en-GB"/>
        </w:rPr>
        <w:t xml:space="preserve">é </w:t>
      </w:r>
      <w:r>
        <w:rPr>
          <w:lang w:val="en-GB"/>
        </w:rPr>
        <w:t>carried forward the global CS</w:t>
      </w:r>
      <w:r w:rsidR="00D00259">
        <w:rPr>
          <w:lang w:val="en-GB"/>
        </w:rPr>
        <w:t xml:space="preserve">V </w:t>
      </w:r>
      <w:r>
        <w:rPr>
          <w:lang w:val="en-GB"/>
        </w:rPr>
        <w:t xml:space="preserve">framework into its functioning in India. The local term given to this approach was </w:t>
      </w:r>
      <w:r w:rsidR="00E31342" w:rsidRPr="00383AD7">
        <w:rPr>
          <w:i/>
          <w:lang w:val="en-GB"/>
        </w:rPr>
        <w:t>s</w:t>
      </w:r>
      <w:r w:rsidRPr="00383AD7">
        <w:rPr>
          <w:i/>
          <w:lang w:val="en-GB"/>
        </w:rPr>
        <w:t>aanjhapan</w:t>
      </w:r>
      <w:r w:rsidR="00CF05D1" w:rsidRPr="00383AD7">
        <w:rPr>
          <w:i/>
          <w:lang w:val="en-GB"/>
        </w:rPr>
        <w:t>.</w:t>
      </w:r>
      <w:r>
        <w:rPr>
          <w:lang w:val="en-GB"/>
        </w:rPr>
        <w:t xml:space="preserve"> The company spent </w:t>
      </w:r>
      <w:r w:rsidR="00D42E02">
        <w:rPr>
          <w:lang w:val="en-GB"/>
        </w:rPr>
        <w:t xml:space="preserve">about </w:t>
      </w:r>
      <w:r w:rsidRPr="00F30D84">
        <w:rPr>
          <w:lang w:val="en-GB"/>
        </w:rPr>
        <w:t>2.14</w:t>
      </w:r>
      <w:r w:rsidR="004D4878">
        <w:rPr>
          <w:lang w:val="en-GB"/>
        </w:rPr>
        <w:t xml:space="preserve"> per cent</w:t>
      </w:r>
      <w:r w:rsidRPr="00F30D84">
        <w:rPr>
          <w:lang w:val="en-GB"/>
        </w:rPr>
        <w:t xml:space="preserve"> of its profit after tax on </w:t>
      </w:r>
      <w:r w:rsidR="00D42E02">
        <w:rPr>
          <w:lang w:val="en-GB"/>
        </w:rPr>
        <w:t>societal</w:t>
      </w:r>
      <w:r w:rsidR="00D42E02" w:rsidRPr="00F30D84">
        <w:rPr>
          <w:lang w:val="en-GB"/>
        </w:rPr>
        <w:t xml:space="preserve"> </w:t>
      </w:r>
      <w:r w:rsidRPr="00F30D84">
        <w:rPr>
          <w:lang w:val="en-GB"/>
        </w:rPr>
        <w:t>activities in 2013</w:t>
      </w:r>
      <w:r>
        <w:rPr>
          <w:lang w:val="en-GB"/>
        </w:rPr>
        <w:t xml:space="preserve"> in the areas of nutrition, water, rural development</w:t>
      </w:r>
      <w:r w:rsidR="00E31342">
        <w:rPr>
          <w:lang w:val="en-GB"/>
        </w:rPr>
        <w:t>,</w:t>
      </w:r>
      <w:r>
        <w:rPr>
          <w:lang w:val="en-GB"/>
        </w:rPr>
        <w:t xml:space="preserve"> and health</w:t>
      </w:r>
      <w:r w:rsidR="00E31342">
        <w:rPr>
          <w:lang w:val="en-GB"/>
        </w:rPr>
        <w:t xml:space="preserve">. It </w:t>
      </w:r>
      <w:r>
        <w:rPr>
          <w:lang w:val="en-GB"/>
        </w:rPr>
        <w:t>engag</w:t>
      </w:r>
      <w:r w:rsidR="00E31342">
        <w:rPr>
          <w:lang w:val="en-GB"/>
        </w:rPr>
        <w:t>ed</w:t>
      </w:r>
      <w:r>
        <w:rPr>
          <w:lang w:val="en-GB"/>
        </w:rPr>
        <w:t xml:space="preserve"> a</w:t>
      </w:r>
      <w:r w:rsidR="00E31342">
        <w:rPr>
          <w:lang w:val="en-GB"/>
        </w:rPr>
        <w:t xml:space="preserve"> </w:t>
      </w:r>
      <w:r>
        <w:rPr>
          <w:lang w:val="en-GB"/>
        </w:rPr>
        <w:t>host of stakeholders such as academia, c</w:t>
      </w:r>
      <w:r w:rsidRPr="000D4CF8">
        <w:rPr>
          <w:lang w:val="en-GB"/>
        </w:rPr>
        <w:t>onsumers</w:t>
      </w:r>
      <w:r w:rsidR="00E31342">
        <w:rPr>
          <w:lang w:val="en-GB"/>
        </w:rPr>
        <w:t>,</w:t>
      </w:r>
      <w:r w:rsidRPr="000D4CF8">
        <w:rPr>
          <w:lang w:val="en-GB"/>
        </w:rPr>
        <w:t xml:space="preserve"> </w:t>
      </w:r>
      <w:r w:rsidR="00E31342">
        <w:rPr>
          <w:lang w:val="en-GB"/>
        </w:rPr>
        <w:t xml:space="preserve">the </w:t>
      </w:r>
      <w:r w:rsidRPr="000D4CF8">
        <w:rPr>
          <w:lang w:val="en-GB"/>
        </w:rPr>
        <w:t>general public</w:t>
      </w:r>
      <w:r>
        <w:rPr>
          <w:lang w:val="en-GB"/>
        </w:rPr>
        <w:t>, employees, government and government bodies,</w:t>
      </w:r>
      <w:r w:rsidR="00E31342">
        <w:rPr>
          <w:lang w:val="en-GB"/>
        </w:rPr>
        <w:t xml:space="preserve"> non-governmental organization</w:t>
      </w:r>
      <w:r>
        <w:rPr>
          <w:lang w:val="en-GB"/>
        </w:rPr>
        <w:t>s, suppliers</w:t>
      </w:r>
      <w:r w:rsidR="00E31342">
        <w:rPr>
          <w:lang w:val="en-GB"/>
        </w:rPr>
        <w:t>,</w:t>
      </w:r>
      <w:r>
        <w:rPr>
          <w:lang w:val="en-GB"/>
        </w:rPr>
        <w:t xml:space="preserve"> and industry associations. </w:t>
      </w:r>
    </w:p>
    <w:p w14:paraId="0ED45E12" w14:textId="77777777" w:rsidR="00A81B5F" w:rsidRDefault="00A81B5F" w:rsidP="00A81B5F">
      <w:pPr>
        <w:pStyle w:val="BodyTextMain"/>
        <w:rPr>
          <w:lang w:val="en-GB"/>
        </w:rPr>
      </w:pPr>
    </w:p>
    <w:p w14:paraId="6446083A" w14:textId="77777777" w:rsidR="00383AD7" w:rsidRPr="004255DC" w:rsidRDefault="00383AD7" w:rsidP="00A81B5F">
      <w:pPr>
        <w:pStyle w:val="BodyTextMain"/>
        <w:rPr>
          <w:lang w:val="en-GB"/>
        </w:rPr>
      </w:pPr>
    </w:p>
    <w:p w14:paraId="7B9A28A1" w14:textId="77777777" w:rsidR="00B1557E" w:rsidRPr="00383AD7" w:rsidRDefault="00B1557E" w:rsidP="00A81B5F">
      <w:pPr>
        <w:pStyle w:val="BodyTextMain"/>
        <w:rPr>
          <w:rFonts w:ascii="Arial" w:hAnsi="Arial" w:cs="Arial"/>
          <w:b/>
          <w:sz w:val="20"/>
          <w:szCs w:val="20"/>
        </w:rPr>
      </w:pPr>
      <w:r w:rsidRPr="00383AD7">
        <w:rPr>
          <w:rFonts w:ascii="Arial" w:hAnsi="Arial" w:cs="Arial"/>
          <w:b/>
          <w:sz w:val="20"/>
          <w:szCs w:val="20"/>
        </w:rPr>
        <w:t>Nutrition</w:t>
      </w:r>
    </w:p>
    <w:p w14:paraId="2ACDA477" w14:textId="77777777" w:rsidR="00B1557E" w:rsidRDefault="00B1557E" w:rsidP="00A81B5F">
      <w:pPr>
        <w:pStyle w:val="BodyTextMain"/>
      </w:pPr>
    </w:p>
    <w:p w14:paraId="04298EF1" w14:textId="1B376E0D" w:rsidR="00A81B5F" w:rsidRPr="004269E9" w:rsidRDefault="00A81B5F" w:rsidP="00A81B5F">
      <w:pPr>
        <w:pStyle w:val="BodyTextMain"/>
        <w:rPr>
          <w:spacing w:val="-2"/>
          <w:lang w:val="en-GB"/>
        </w:rPr>
      </w:pPr>
      <w:r w:rsidRPr="004269E9">
        <w:rPr>
          <w:spacing w:val="-2"/>
        </w:rPr>
        <w:t>Nutrition</w:t>
      </w:r>
      <w:r w:rsidR="00E31342" w:rsidRPr="004269E9">
        <w:rPr>
          <w:spacing w:val="-2"/>
        </w:rPr>
        <w:t>-</w:t>
      </w:r>
      <w:r w:rsidRPr="004269E9">
        <w:rPr>
          <w:spacing w:val="-2"/>
        </w:rPr>
        <w:t>based education was a core element of Nestlé’s social responsibility programs in India. Th</w:t>
      </w:r>
      <w:r w:rsidR="00E31342" w:rsidRPr="004269E9">
        <w:rPr>
          <w:spacing w:val="-2"/>
          <w:lang w:val="en-GB"/>
        </w:rPr>
        <w:t xml:space="preserve">e reason </w:t>
      </w:r>
      <w:r w:rsidRPr="004269E9">
        <w:rPr>
          <w:spacing w:val="-2"/>
          <w:lang w:val="en-GB"/>
        </w:rPr>
        <w:t xml:space="preserve">was </w:t>
      </w:r>
      <w:r w:rsidR="00E31342" w:rsidRPr="004269E9">
        <w:rPr>
          <w:spacing w:val="-2"/>
          <w:lang w:val="en-GB"/>
        </w:rPr>
        <w:t xml:space="preserve">that </w:t>
      </w:r>
      <w:r w:rsidRPr="004269E9">
        <w:rPr>
          <w:spacing w:val="-2"/>
          <w:lang w:val="en-GB"/>
        </w:rPr>
        <w:t xml:space="preserve">India was home to a large population of children who suffered from nutritional deficiencies. </w:t>
      </w:r>
      <w:r w:rsidR="00D42E02" w:rsidRPr="004269E9">
        <w:rPr>
          <w:spacing w:val="-2"/>
          <w:lang w:val="en-GB"/>
        </w:rPr>
        <w:t>The country was faced with a unique situation of the double burden of malnutrition</w:t>
      </w:r>
      <w:r w:rsidR="00912F82" w:rsidRPr="004269E9">
        <w:rPr>
          <w:spacing w:val="-2"/>
          <w:lang w:val="en-GB"/>
        </w:rPr>
        <w:t>—</w:t>
      </w:r>
      <w:r w:rsidR="00D42E02" w:rsidRPr="004269E9">
        <w:rPr>
          <w:spacing w:val="-2"/>
          <w:lang w:val="en-GB"/>
        </w:rPr>
        <w:t xml:space="preserve">extreme undernutrition on the one hand and obesity and other related diseases on the other. </w:t>
      </w:r>
      <w:r w:rsidRPr="004269E9">
        <w:rPr>
          <w:spacing w:val="-2"/>
          <w:lang w:val="en-GB"/>
        </w:rPr>
        <w:t xml:space="preserve">Among Indian children under five years of age, malnutrition </w:t>
      </w:r>
      <w:r w:rsidR="00E31342" w:rsidRPr="004269E9">
        <w:rPr>
          <w:spacing w:val="-2"/>
          <w:lang w:val="en-GB"/>
        </w:rPr>
        <w:t>and</w:t>
      </w:r>
      <w:r w:rsidRPr="004269E9">
        <w:rPr>
          <w:spacing w:val="-2"/>
          <w:lang w:val="en-GB"/>
        </w:rPr>
        <w:t xml:space="preserve"> micronutrient deficiencies of iron, </w:t>
      </w:r>
      <w:r w:rsidR="00E31342" w:rsidRPr="004269E9">
        <w:rPr>
          <w:spacing w:val="-2"/>
          <w:lang w:val="en-GB"/>
        </w:rPr>
        <w:t>V</w:t>
      </w:r>
      <w:r w:rsidRPr="004269E9">
        <w:rPr>
          <w:spacing w:val="-2"/>
          <w:lang w:val="en-GB"/>
        </w:rPr>
        <w:t>itamin A</w:t>
      </w:r>
      <w:r w:rsidR="00E31342" w:rsidRPr="004269E9">
        <w:rPr>
          <w:spacing w:val="-2"/>
          <w:lang w:val="en-GB"/>
        </w:rPr>
        <w:t>,</w:t>
      </w:r>
      <w:r w:rsidRPr="004269E9">
        <w:rPr>
          <w:spacing w:val="-2"/>
          <w:lang w:val="en-GB"/>
        </w:rPr>
        <w:t xml:space="preserve"> and zinc were rampant, leading to stunting among children. The Indian government’s data showed that the prevalence of stunting in children below five years was 39</w:t>
      </w:r>
      <w:r w:rsidR="004D4878" w:rsidRPr="004269E9">
        <w:rPr>
          <w:spacing w:val="-2"/>
          <w:lang w:val="en-GB"/>
        </w:rPr>
        <w:t xml:space="preserve"> per cent</w:t>
      </w:r>
      <w:r w:rsidR="00CF05D1" w:rsidRPr="004269E9">
        <w:rPr>
          <w:spacing w:val="-2"/>
          <w:lang w:val="en-GB"/>
        </w:rPr>
        <w:t>.</w:t>
      </w:r>
      <w:r w:rsidRPr="004269E9">
        <w:rPr>
          <w:rStyle w:val="FootnoteReference"/>
          <w:spacing w:val="-2"/>
          <w:lang w:val="en-GB"/>
        </w:rPr>
        <w:footnoteReference w:id="2"/>
      </w:r>
      <w:r w:rsidRPr="004269E9">
        <w:rPr>
          <w:spacing w:val="-2"/>
          <w:lang w:val="en-GB"/>
        </w:rPr>
        <w:t xml:space="preserve"> The government had taken up </w:t>
      </w:r>
      <w:r w:rsidR="00E31342" w:rsidRPr="004269E9">
        <w:rPr>
          <w:spacing w:val="-2"/>
          <w:lang w:val="en-GB"/>
        </w:rPr>
        <w:t xml:space="preserve">this issue </w:t>
      </w:r>
      <w:r w:rsidRPr="004269E9">
        <w:rPr>
          <w:spacing w:val="-2"/>
          <w:lang w:val="en-GB"/>
        </w:rPr>
        <w:t xml:space="preserve">as an important part of </w:t>
      </w:r>
      <w:r w:rsidR="00E31342" w:rsidRPr="004269E9">
        <w:rPr>
          <w:spacing w:val="-2"/>
          <w:lang w:val="en-GB"/>
        </w:rPr>
        <w:t>its</w:t>
      </w:r>
      <w:r w:rsidRPr="004269E9">
        <w:rPr>
          <w:spacing w:val="-2"/>
          <w:lang w:val="en-GB"/>
        </w:rPr>
        <w:t xml:space="preserve"> five</w:t>
      </w:r>
      <w:r w:rsidR="00E31342" w:rsidRPr="004269E9">
        <w:rPr>
          <w:spacing w:val="-2"/>
          <w:lang w:val="en-GB"/>
        </w:rPr>
        <w:t>-</w:t>
      </w:r>
      <w:r w:rsidRPr="004269E9">
        <w:rPr>
          <w:spacing w:val="-2"/>
          <w:lang w:val="en-GB"/>
        </w:rPr>
        <w:t>year planning cycle</w:t>
      </w:r>
      <w:r w:rsidR="00E31342" w:rsidRPr="004269E9">
        <w:rPr>
          <w:spacing w:val="-2"/>
          <w:lang w:val="en-GB"/>
        </w:rPr>
        <w:t>,</w:t>
      </w:r>
      <w:r w:rsidRPr="004269E9">
        <w:rPr>
          <w:spacing w:val="-2"/>
          <w:lang w:val="en-GB"/>
        </w:rPr>
        <w:t xml:space="preserve"> and specific initiatives </w:t>
      </w:r>
      <w:r w:rsidR="00E31342" w:rsidRPr="004269E9">
        <w:rPr>
          <w:spacing w:val="-2"/>
          <w:lang w:val="en-GB"/>
        </w:rPr>
        <w:t>were</w:t>
      </w:r>
      <w:r w:rsidRPr="004269E9">
        <w:rPr>
          <w:spacing w:val="-2"/>
          <w:lang w:val="en-GB"/>
        </w:rPr>
        <w:t xml:space="preserve"> designed to address th</w:t>
      </w:r>
      <w:r w:rsidR="00E31342" w:rsidRPr="004269E9">
        <w:rPr>
          <w:spacing w:val="-2"/>
          <w:lang w:val="en-GB"/>
        </w:rPr>
        <w:t>e</w:t>
      </w:r>
      <w:r w:rsidRPr="004269E9">
        <w:rPr>
          <w:spacing w:val="-2"/>
          <w:lang w:val="en-GB"/>
        </w:rPr>
        <w:t xml:space="preserve"> issue</w:t>
      </w:r>
      <w:r w:rsidR="007B55D7" w:rsidRPr="004269E9">
        <w:rPr>
          <w:spacing w:val="-2"/>
          <w:lang w:val="en-GB"/>
        </w:rPr>
        <w:t xml:space="preserve"> (see </w:t>
      </w:r>
      <w:r w:rsidRPr="004269E9">
        <w:rPr>
          <w:spacing w:val="-2"/>
          <w:lang w:val="en-GB"/>
        </w:rPr>
        <w:t>Exhibit</w:t>
      </w:r>
      <w:r w:rsidR="00E22FF1" w:rsidRPr="004269E9">
        <w:rPr>
          <w:spacing w:val="-2"/>
          <w:lang w:val="en-GB"/>
        </w:rPr>
        <w:t xml:space="preserve"> </w:t>
      </w:r>
      <w:r w:rsidRPr="004269E9">
        <w:rPr>
          <w:spacing w:val="-2"/>
          <w:lang w:val="en-GB"/>
        </w:rPr>
        <w:t>6)</w:t>
      </w:r>
      <w:r w:rsidR="007B55D7" w:rsidRPr="004269E9">
        <w:rPr>
          <w:spacing w:val="-2"/>
          <w:lang w:val="en-GB"/>
        </w:rPr>
        <w:t>.</w:t>
      </w:r>
    </w:p>
    <w:p w14:paraId="495D6215" w14:textId="77777777" w:rsidR="00A81B5F" w:rsidRPr="00C31D95" w:rsidRDefault="00A81B5F" w:rsidP="00C31D95">
      <w:pPr>
        <w:pStyle w:val="BodyTextMain"/>
      </w:pPr>
    </w:p>
    <w:p w14:paraId="1E8891C1" w14:textId="611262E2" w:rsidR="00A81B5F" w:rsidRPr="00645EDE" w:rsidRDefault="00E31342" w:rsidP="00A81B5F">
      <w:pPr>
        <w:pStyle w:val="BodyTextMain"/>
        <w:rPr>
          <w:lang w:val="en-GB"/>
        </w:rPr>
      </w:pPr>
      <w:r>
        <w:rPr>
          <w:lang w:val="en-GB"/>
        </w:rPr>
        <w:t xml:space="preserve">Nestlé’s </w:t>
      </w:r>
      <w:r w:rsidR="00A81B5F" w:rsidRPr="004255DC">
        <w:rPr>
          <w:lang w:val="en-GB"/>
        </w:rPr>
        <w:t>focus</w:t>
      </w:r>
      <w:r>
        <w:rPr>
          <w:lang w:val="en-GB"/>
        </w:rPr>
        <w:t xml:space="preserve"> on</w:t>
      </w:r>
      <w:r w:rsidR="00A81B5F" w:rsidRPr="004255DC">
        <w:rPr>
          <w:lang w:val="en-GB"/>
        </w:rPr>
        <w:t xml:space="preserve"> nutrition</w:t>
      </w:r>
      <w:r>
        <w:rPr>
          <w:lang w:val="en-GB"/>
        </w:rPr>
        <w:t xml:space="preserve"> </w:t>
      </w:r>
      <w:r w:rsidR="00D42E02">
        <w:rPr>
          <w:lang w:val="en-GB"/>
        </w:rPr>
        <w:t>awareness for adolescents</w:t>
      </w:r>
      <w:r w:rsidR="00D42E02" w:rsidRPr="004255DC">
        <w:rPr>
          <w:lang w:val="en-GB"/>
        </w:rPr>
        <w:t xml:space="preserve"> </w:t>
      </w:r>
      <w:r w:rsidR="00A81B5F" w:rsidRPr="004255DC">
        <w:rPr>
          <w:lang w:val="en-GB"/>
        </w:rPr>
        <w:t xml:space="preserve">started in 2008 when </w:t>
      </w:r>
      <w:r w:rsidR="00A74A1D">
        <w:rPr>
          <w:lang w:val="en-GB"/>
        </w:rPr>
        <w:t>Khajuria</w:t>
      </w:r>
      <w:r w:rsidR="00A81B5F" w:rsidRPr="004255DC">
        <w:rPr>
          <w:lang w:val="en-GB"/>
        </w:rPr>
        <w:t xml:space="preserve"> </w:t>
      </w:r>
      <w:r>
        <w:rPr>
          <w:lang w:val="en-GB"/>
        </w:rPr>
        <w:t xml:space="preserve">was </w:t>
      </w:r>
      <w:r w:rsidR="00A81B5F" w:rsidRPr="004255DC">
        <w:rPr>
          <w:lang w:val="en-GB"/>
        </w:rPr>
        <w:t xml:space="preserve">made India </w:t>
      </w:r>
      <w:r>
        <w:rPr>
          <w:lang w:val="en-GB"/>
        </w:rPr>
        <w:t>h</w:t>
      </w:r>
      <w:r w:rsidR="00A81B5F" w:rsidRPr="004255DC">
        <w:rPr>
          <w:lang w:val="en-GB"/>
        </w:rPr>
        <w:t xml:space="preserve">ead of </w:t>
      </w:r>
      <w:r>
        <w:rPr>
          <w:lang w:val="en-GB"/>
        </w:rPr>
        <w:t>c</w:t>
      </w:r>
      <w:r w:rsidR="00A81B5F" w:rsidRPr="004255DC">
        <w:rPr>
          <w:lang w:val="en-GB"/>
        </w:rPr>
        <w:t xml:space="preserve">orporate </w:t>
      </w:r>
      <w:r>
        <w:rPr>
          <w:lang w:val="en-GB"/>
        </w:rPr>
        <w:t>a</w:t>
      </w:r>
      <w:r w:rsidR="00A81B5F" w:rsidRPr="004255DC">
        <w:rPr>
          <w:lang w:val="en-GB"/>
        </w:rPr>
        <w:t>ffairs</w:t>
      </w:r>
      <w:r>
        <w:rPr>
          <w:lang w:val="en-GB"/>
        </w:rPr>
        <w:t>,</w:t>
      </w:r>
      <w:r w:rsidR="00A81B5F" w:rsidRPr="004255DC">
        <w:rPr>
          <w:lang w:val="en-GB"/>
        </w:rPr>
        <w:t xml:space="preserve"> </w:t>
      </w:r>
      <w:r w:rsidR="00B1557E">
        <w:rPr>
          <w:lang w:val="en-GB"/>
        </w:rPr>
        <w:t xml:space="preserve">a role in which </w:t>
      </w:r>
      <w:r w:rsidR="00A81B5F" w:rsidRPr="004255DC">
        <w:rPr>
          <w:lang w:val="en-GB"/>
        </w:rPr>
        <w:t xml:space="preserve">he was also responsible for CSV. He was expected to work on the </w:t>
      </w:r>
      <w:r>
        <w:rPr>
          <w:lang w:val="en-GB"/>
        </w:rPr>
        <w:t xml:space="preserve">company’s </w:t>
      </w:r>
      <w:r w:rsidR="00A81B5F" w:rsidRPr="004255DC">
        <w:rPr>
          <w:lang w:val="en-GB"/>
        </w:rPr>
        <w:t>CSV strategy</w:t>
      </w:r>
      <w:r>
        <w:rPr>
          <w:lang w:val="en-GB"/>
        </w:rPr>
        <w:t xml:space="preserve">, </w:t>
      </w:r>
      <w:r w:rsidR="00A81B5F" w:rsidRPr="004255DC">
        <w:rPr>
          <w:lang w:val="en-GB"/>
        </w:rPr>
        <w:t xml:space="preserve">in sync with </w:t>
      </w:r>
      <w:r w:rsidR="00AC45A6">
        <w:rPr>
          <w:lang w:val="en-GB"/>
        </w:rPr>
        <w:t xml:space="preserve">its </w:t>
      </w:r>
      <w:r w:rsidR="00A81B5F" w:rsidRPr="004255DC">
        <w:rPr>
          <w:lang w:val="en-GB"/>
        </w:rPr>
        <w:t>mission of being a leading health and nutrition company. At that time, the</w:t>
      </w:r>
      <w:r w:rsidR="00AC45A6">
        <w:rPr>
          <w:lang w:val="en-GB"/>
        </w:rPr>
        <w:t>re was</w:t>
      </w:r>
      <w:r w:rsidR="00A81B5F" w:rsidRPr="004255DC">
        <w:rPr>
          <w:lang w:val="en-GB"/>
        </w:rPr>
        <w:t xml:space="preserve"> considerable research on the nutritional health of children in India. The situation </w:t>
      </w:r>
      <w:r w:rsidR="00AC45A6">
        <w:rPr>
          <w:lang w:val="en-GB"/>
        </w:rPr>
        <w:t>was</w:t>
      </w:r>
      <w:r w:rsidR="00A81B5F" w:rsidRPr="004255DC">
        <w:rPr>
          <w:lang w:val="en-GB"/>
        </w:rPr>
        <w:t xml:space="preserve"> grim. Government of India data</w:t>
      </w:r>
      <w:r w:rsidR="00A81B5F" w:rsidRPr="004255DC">
        <w:rPr>
          <w:rStyle w:val="FootnoteReference"/>
          <w:lang w:val="en-GB"/>
        </w:rPr>
        <w:footnoteReference w:id="3"/>
      </w:r>
      <w:r w:rsidR="00A81B5F" w:rsidRPr="004255DC">
        <w:rPr>
          <w:lang w:val="en-GB"/>
        </w:rPr>
        <w:t xml:space="preserve"> highlighted that around half of preschool children suffered from undernutrition.</w:t>
      </w:r>
      <w:r w:rsidR="00A81B5F" w:rsidRPr="00D02AD5">
        <w:rPr>
          <w:lang w:val="en-GB"/>
        </w:rPr>
        <w:t xml:space="preserve"> </w:t>
      </w:r>
      <w:r w:rsidR="00A81B5F" w:rsidRPr="004255DC">
        <w:rPr>
          <w:lang w:val="en-GB"/>
        </w:rPr>
        <w:t>Micronutrient deficiencies were widespread</w:t>
      </w:r>
      <w:r w:rsidR="00AC45A6">
        <w:rPr>
          <w:lang w:val="en-GB"/>
        </w:rPr>
        <w:t>,</w:t>
      </w:r>
      <w:r w:rsidR="00A81B5F" w:rsidRPr="004255DC">
        <w:rPr>
          <w:lang w:val="en-GB"/>
        </w:rPr>
        <w:t xml:space="preserve"> </w:t>
      </w:r>
      <w:r w:rsidR="00A81B5F" w:rsidRPr="00BC6BE8">
        <w:rPr>
          <w:lang w:val="en-GB"/>
        </w:rPr>
        <w:t xml:space="preserve">and more than half </w:t>
      </w:r>
      <w:r w:rsidR="00AC45A6">
        <w:rPr>
          <w:lang w:val="en-GB"/>
        </w:rPr>
        <w:t xml:space="preserve">of </w:t>
      </w:r>
      <w:r w:rsidR="00A81B5F" w:rsidRPr="00BC6BE8">
        <w:rPr>
          <w:lang w:val="en-GB"/>
        </w:rPr>
        <w:t xml:space="preserve">women and children were </w:t>
      </w:r>
      <w:proofErr w:type="spellStart"/>
      <w:r w:rsidR="00A81B5F" w:rsidRPr="00BC6BE8">
        <w:rPr>
          <w:lang w:val="en-GB"/>
        </w:rPr>
        <w:t>anemic</w:t>
      </w:r>
      <w:proofErr w:type="spellEnd"/>
      <w:r w:rsidR="00A81B5F" w:rsidRPr="00BC6BE8">
        <w:rPr>
          <w:lang w:val="en-GB"/>
        </w:rPr>
        <w:t xml:space="preserve">. </w:t>
      </w:r>
      <w:r w:rsidR="00A81B5F" w:rsidRPr="004255DC">
        <w:rPr>
          <w:lang w:val="en-GB"/>
        </w:rPr>
        <w:t>The problem was at two levels</w:t>
      </w:r>
      <w:r w:rsidR="00B1557E">
        <w:rPr>
          <w:lang w:val="en-GB"/>
        </w:rPr>
        <w:t>.</w:t>
      </w:r>
      <w:r w:rsidR="00A81B5F" w:rsidRPr="004255DC">
        <w:rPr>
          <w:lang w:val="en-GB"/>
        </w:rPr>
        <w:t xml:space="preserve"> </w:t>
      </w:r>
      <w:r w:rsidR="00B1557E">
        <w:rPr>
          <w:lang w:val="en-GB"/>
        </w:rPr>
        <w:t>O</w:t>
      </w:r>
      <w:r w:rsidR="00A81B5F" w:rsidRPr="004255DC">
        <w:rPr>
          <w:lang w:val="en-GB"/>
        </w:rPr>
        <w:t>ne was poverty and lack of access to good food</w:t>
      </w:r>
      <w:r w:rsidR="00B1557E">
        <w:rPr>
          <w:lang w:val="en-GB"/>
        </w:rPr>
        <w:t xml:space="preserve">. </w:t>
      </w:r>
      <w:r w:rsidR="00D41737">
        <w:rPr>
          <w:lang w:val="en-GB"/>
        </w:rPr>
        <w:t>Another w</w:t>
      </w:r>
      <w:r w:rsidR="00AC45A6">
        <w:rPr>
          <w:lang w:val="en-GB"/>
        </w:rPr>
        <w:t>a</w:t>
      </w:r>
      <w:r w:rsidR="00A81B5F" w:rsidRPr="004255DC">
        <w:rPr>
          <w:lang w:val="en-GB"/>
        </w:rPr>
        <w:t xml:space="preserve">s lack of knowledge on what constituted balanced and nutritious foods. Rural areas </w:t>
      </w:r>
      <w:r w:rsidR="00A81B5F">
        <w:rPr>
          <w:lang w:val="en-GB"/>
        </w:rPr>
        <w:t xml:space="preserve">were </w:t>
      </w:r>
      <w:r w:rsidR="00A81B5F" w:rsidRPr="001C334D">
        <w:rPr>
          <w:lang w:val="en-GB"/>
        </w:rPr>
        <w:t>abound with many myths</w:t>
      </w:r>
      <w:r w:rsidR="00AC45A6">
        <w:rPr>
          <w:lang w:val="en-GB"/>
        </w:rPr>
        <w:t>, including a</w:t>
      </w:r>
      <w:r w:rsidR="00A81B5F" w:rsidRPr="001C334D">
        <w:rPr>
          <w:lang w:val="en-GB"/>
        </w:rPr>
        <w:t xml:space="preserve"> universal one that ghee (clarified butter) was the source of all nutrition that children needed. There was lack of understanding on the role played by fruits and vegetables. </w:t>
      </w:r>
    </w:p>
    <w:p w14:paraId="784C4F95" w14:textId="77777777" w:rsidR="00A81B5F" w:rsidRPr="00645EDE" w:rsidRDefault="00A81B5F" w:rsidP="00A81B5F">
      <w:pPr>
        <w:pStyle w:val="BodyTextMain"/>
        <w:rPr>
          <w:lang w:val="en-GB"/>
        </w:rPr>
      </w:pPr>
    </w:p>
    <w:p w14:paraId="075BD0AD" w14:textId="508AD509" w:rsidR="000206CE" w:rsidRPr="003D3D90" w:rsidRDefault="00126ADC" w:rsidP="00A81B5F">
      <w:pPr>
        <w:pStyle w:val="BodyTextMain"/>
        <w:rPr>
          <w:spacing w:val="-4"/>
          <w:lang w:val="en-GB"/>
        </w:rPr>
      </w:pPr>
      <w:r w:rsidRPr="003D3D90">
        <w:rPr>
          <w:spacing w:val="-4"/>
          <w:lang w:val="en-GB"/>
        </w:rPr>
        <w:t xml:space="preserve">As a result of </w:t>
      </w:r>
      <w:r w:rsidR="00A81B5F" w:rsidRPr="003D3D90">
        <w:rPr>
          <w:spacing w:val="-4"/>
          <w:lang w:val="en-GB"/>
        </w:rPr>
        <w:t>its extensive work in health and nutrition, working along</w:t>
      </w:r>
      <w:r w:rsidR="00A85881" w:rsidRPr="003D3D90">
        <w:rPr>
          <w:spacing w:val="-4"/>
          <w:lang w:val="en-GB"/>
        </w:rPr>
        <w:t xml:space="preserve">side </w:t>
      </w:r>
      <w:r w:rsidR="00A81B5F" w:rsidRPr="003D3D90">
        <w:rPr>
          <w:spacing w:val="-4"/>
          <w:lang w:val="en-GB"/>
        </w:rPr>
        <w:t>experts</w:t>
      </w:r>
      <w:r w:rsidRPr="003D3D90">
        <w:rPr>
          <w:spacing w:val="-4"/>
          <w:lang w:val="en-GB"/>
        </w:rPr>
        <w:t>, Nestlé</w:t>
      </w:r>
      <w:r w:rsidR="00A81B5F" w:rsidRPr="003D3D90">
        <w:rPr>
          <w:spacing w:val="-4"/>
          <w:lang w:val="en-GB"/>
        </w:rPr>
        <w:t xml:space="preserve"> created extensive, detailed documents on the needs of the local people</w:t>
      </w:r>
      <w:r w:rsidR="00A85881" w:rsidRPr="003D3D90">
        <w:rPr>
          <w:spacing w:val="-4"/>
          <w:lang w:val="en-GB"/>
        </w:rPr>
        <w:t>,</w:t>
      </w:r>
      <w:r w:rsidRPr="003D3D90">
        <w:rPr>
          <w:spacing w:val="-4"/>
          <w:lang w:val="en-GB"/>
        </w:rPr>
        <w:t xml:space="preserve"> </w:t>
      </w:r>
      <w:r w:rsidR="00A81B5F" w:rsidRPr="003D3D90">
        <w:rPr>
          <w:spacing w:val="-4"/>
          <w:lang w:val="en-GB"/>
        </w:rPr>
        <w:t>what constituted a healthy diet</w:t>
      </w:r>
      <w:r w:rsidRPr="003D3D90">
        <w:rPr>
          <w:spacing w:val="-4"/>
          <w:lang w:val="en-GB"/>
        </w:rPr>
        <w:t>,</w:t>
      </w:r>
      <w:r w:rsidR="00A81B5F" w:rsidRPr="003D3D90">
        <w:rPr>
          <w:spacing w:val="-4"/>
          <w:lang w:val="en-GB"/>
        </w:rPr>
        <w:t xml:space="preserve"> and components of a balanced meal. </w:t>
      </w:r>
      <w:r w:rsidR="00A74A1D" w:rsidRPr="003D3D90">
        <w:rPr>
          <w:spacing w:val="-4"/>
          <w:lang w:val="en-GB"/>
        </w:rPr>
        <w:t>Khajuri</w:t>
      </w:r>
      <w:r w:rsidRPr="003D3D90">
        <w:rPr>
          <w:spacing w:val="-4"/>
          <w:lang w:val="en-GB"/>
        </w:rPr>
        <w:t xml:space="preserve">a, </w:t>
      </w:r>
      <w:r w:rsidR="00A81B5F" w:rsidRPr="003D3D90">
        <w:rPr>
          <w:spacing w:val="-4"/>
          <w:lang w:val="en-GB"/>
        </w:rPr>
        <w:t>with the concurrence of senior management</w:t>
      </w:r>
      <w:r w:rsidRPr="003D3D90">
        <w:rPr>
          <w:spacing w:val="-4"/>
          <w:lang w:val="en-GB"/>
        </w:rPr>
        <w:t>,</w:t>
      </w:r>
      <w:r w:rsidR="00A81B5F" w:rsidRPr="003D3D90">
        <w:rPr>
          <w:spacing w:val="-4"/>
          <w:lang w:val="en-GB"/>
        </w:rPr>
        <w:t xml:space="preserve"> initiated a pilot Nutrition Awareness Program with the Punjab Agricultural University. The university sent </w:t>
      </w:r>
      <w:r w:rsidRPr="003D3D90">
        <w:rPr>
          <w:spacing w:val="-4"/>
          <w:lang w:val="en-GB"/>
        </w:rPr>
        <w:t>its</w:t>
      </w:r>
      <w:r w:rsidR="00A81B5F" w:rsidRPr="003D3D90">
        <w:rPr>
          <w:spacing w:val="-4"/>
          <w:lang w:val="en-GB"/>
        </w:rPr>
        <w:t xml:space="preserve"> staff to local schools, armed with booklets on healthy eating, and started </w:t>
      </w:r>
      <w:r w:rsidR="000206CE" w:rsidRPr="003D3D90">
        <w:rPr>
          <w:spacing w:val="-4"/>
          <w:lang w:val="en-GB"/>
        </w:rPr>
        <w:t>giv</w:t>
      </w:r>
      <w:r w:rsidR="00A81B5F" w:rsidRPr="003D3D90">
        <w:rPr>
          <w:spacing w:val="-4"/>
          <w:lang w:val="en-GB"/>
        </w:rPr>
        <w:t xml:space="preserve">ing classes on health and nutrition. </w:t>
      </w:r>
      <w:r w:rsidR="00D42E02" w:rsidRPr="003D3D90">
        <w:rPr>
          <w:spacing w:val="-4"/>
          <w:lang w:val="en-GB"/>
        </w:rPr>
        <w:t xml:space="preserve">This programme subsequently became part of the global Nestlé </w:t>
      </w:r>
      <w:r w:rsidR="00A81B5F" w:rsidRPr="003D3D90">
        <w:rPr>
          <w:spacing w:val="-4"/>
          <w:lang w:val="en-GB"/>
        </w:rPr>
        <w:t xml:space="preserve">Healthy Kids </w:t>
      </w:r>
      <w:r w:rsidRPr="003D3D90">
        <w:rPr>
          <w:spacing w:val="-4"/>
          <w:lang w:val="en-GB"/>
        </w:rPr>
        <w:t>P</w:t>
      </w:r>
      <w:r w:rsidR="00A81B5F" w:rsidRPr="003D3D90">
        <w:rPr>
          <w:spacing w:val="-4"/>
          <w:lang w:val="en-GB"/>
        </w:rPr>
        <w:t>rogramme. Seeing the success of the pilot, Nestlé launched the program</w:t>
      </w:r>
      <w:r w:rsidR="000206CE" w:rsidRPr="003D3D90">
        <w:rPr>
          <w:spacing w:val="-4"/>
          <w:lang w:val="en-GB"/>
        </w:rPr>
        <w:t xml:space="preserve"> </w:t>
      </w:r>
      <w:r w:rsidR="00A81B5F" w:rsidRPr="003D3D90">
        <w:rPr>
          <w:spacing w:val="-4"/>
          <w:lang w:val="en-GB"/>
        </w:rPr>
        <w:t xml:space="preserve">in partnership with six regional universities across government schools around all its eight factories. </w:t>
      </w:r>
    </w:p>
    <w:p w14:paraId="54A156AF" w14:textId="77777777" w:rsidR="000206CE" w:rsidRDefault="000206CE" w:rsidP="00A81B5F">
      <w:pPr>
        <w:pStyle w:val="BodyTextMain"/>
        <w:rPr>
          <w:lang w:val="en-GB"/>
        </w:rPr>
      </w:pPr>
    </w:p>
    <w:p w14:paraId="2296095B" w14:textId="2EC3108F" w:rsidR="00A81B5F" w:rsidRPr="008D6BCE" w:rsidRDefault="00A81B5F" w:rsidP="00A81B5F">
      <w:pPr>
        <w:pStyle w:val="BodyTextMain"/>
        <w:rPr>
          <w:lang w:val="en-GB"/>
        </w:rPr>
      </w:pPr>
      <w:r w:rsidRPr="001F50C1">
        <w:rPr>
          <w:lang w:val="en-GB"/>
        </w:rPr>
        <w:t xml:space="preserve">Conducted through classroom learning, the </w:t>
      </w:r>
      <w:r w:rsidR="000206CE">
        <w:rPr>
          <w:lang w:val="en-GB"/>
        </w:rPr>
        <w:t xml:space="preserve">Healthy Kids Programme </w:t>
      </w:r>
      <w:r w:rsidRPr="001F50C1">
        <w:rPr>
          <w:lang w:val="en-GB"/>
        </w:rPr>
        <w:t>was directed at adolescents</w:t>
      </w:r>
      <w:r>
        <w:rPr>
          <w:lang w:val="en-GB"/>
        </w:rPr>
        <w:t>. It aimed to</w:t>
      </w:r>
      <w:r w:rsidRPr="001F50C1">
        <w:rPr>
          <w:lang w:val="en-GB"/>
        </w:rPr>
        <w:t xml:space="preserve"> help them learn about their nutritional requirements at this crucial developmental stage</w:t>
      </w:r>
      <w:r w:rsidR="000206CE">
        <w:rPr>
          <w:lang w:val="en-GB"/>
        </w:rPr>
        <w:t>,</w:t>
      </w:r>
      <w:r w:rsidRPr="001F50C1">
        <w:rPr>
          <w:lang w:val="en-GB"/>
        </w:rPr>
        <w:t xml:space="preserve"> and reached out </w:t>
      </w:r>
      <w:r w:rsidRPr="001F50C1">
        <w:rPr>
          <w:lang w:val="en-GB"/>
        </w:rPr>
        <w:lastRenderedPageBreak/>
        <w:t>to teachers and parents to</w:t>
      </w:r>
      <w:r w:rsidRPr="001B268A">
        <w:rPr>
          <w:lang w:val="en-GB"/>
        </w:rPr>
        <w:t xml:space="preserve"> inculcate behaviour change. The progra</w:t>
      </w:r>
      <w:r w:rsidR="000206CE">
        <w:rPr>
          <w:lang w:val="en-GB"/>
        </w:rPr>
        <w:t>m</w:t>
      </w:r>
      <w:r w:rsidRPr="001B268A">
        <w:rPr>
          <w:lang w:val="en-GB"/>
        </w:rPr>
        <w:t xml:space="preserve"> was conducted for </w:t>
      </w:r>
      <w:r w:rsidR="000206CE">
        <w:rPr>
          <w:lang w:val="en-GB"/>
        </w:rPr>
        <w:t>six</w:t>
      </w:r>
      <w:r w:rsidRPr="001B268A">
        <w:rPr>
          <w:lang w:val="en-GB"/>
        </w:rPr>
        <w:t xml:space="preserve"> weeks, with 12 hours of nutrition training for each child, consisting of easy</w:t>
      </w:r>
      <w:r w:rsidRPr="008D6BCE">
        <w:rPr>
          <w:lang w:val="en-GB"/>
        </w:rPr>
        <w:t>-to-follow healthy habits tailor-made for the local context. It also tracked metrics such as retention of information and behavioural change. By 2013, over 25,000 children had participated in th</w:t>
      </w:r>
      <w:r w:rsidR="000206CE">
        <w:rPr>
          <w:lang w:val="en-GB"/>
        </w:rPr>
        <w:t>e</w:t>
      </w:r>
      <w:r w:rsidRPr="008D6BCE">
        <w:rPr>
          <w:lang w:val="en-GB"/>
        </w:rPr>
        <w:t xml:space="preserve"> program. </w:t>
      </w:r>
    </w:p>
    <w:p w14:paraId="70F1B635" w14:textId="77777777" w:rsidR="00A81B5F" w:rsidRPr="00645EDE" w:rsidRDefault="00A81B5F" w:rsidP="00A81B5F">
      <w:pPr>
        <w:pStyle w:val="BodyTextMain"/>
        <w:rPr>
          <w:lang w:val="en-GB"/>
        </w:rPr>
      </w:pPr>
    </w:p>
    <w:p w14:paraId="03E7FA68" w14:textId="3C4A9978" w:rsidR="00A81B5F" w:rsidRDefault="00A81B5F" w:rsidP="00A81B5F">
      <w:pPr>
        <w:pStyle w:val="BodyTextMain"/>
        <w:rPr>
          <w:lang w:val="en-GB"/>
        </w:rPr>
      </w:pPr>
      <w:r w:rsidRPr="004255DC">
        <w:rPr>
          <w:lang w:val="en-GB"/>
        </w:rPr>
        <w:t>Nestlé knew that education</w:t>
      </w:r>
      <w:r w:rsidR="00B1557E">
        <w:rPr>
          <w:lang w:val="en-GB"/>
        </w:rPr>
        <w:t xml:space="preserve"> alone</w:t>
      </w:r>
      <w:r w:rsidRPr="004255DC">
        <w:rPr>
          <w:lang w:val="en-GB"/>
        </w:rPr>
        <w:t xml:space="preserve"> was not enough in a large country like India. </w:t>
      </w:r>
      <w:r w:rsidR="00126ADC">
        <w:rPr>
          <w:lang w:val="en-GB"/>
        </w:rPr>
        <w:t>It</w:t>
      </w:r>
      <w:r w:rsidRPr="004255DC">
        <w:rPr>
          <w:lang w:val="en-GB"/>
        </w:rPr>
        <w:t xml:space="preserve"> also launched a range of fortified products</w:t>
      </w:r>
      <w:r w:rsidR="00126ADC">
        <w:rPr>
          <w:lang w:val="en-GB"/>
        </w:rPr>
        <w:t>,</w:t>
      </w:r>
      <w:r w:rsidRPr="004255DC">
        <w:rPr>
          <w:lang w:val="en-GB"/>
        </w:rPr>
        <w:t xml:space="preserve"> including a taste enhancer called </w:t>
      </w:r>
      <w:r w:rsidRPr="00D02AD5">
        <w:rPr>
          <w:i/>
          <w:lang w:val="en-GB"/>
        </w:rPr>
        <w:t>Maggi Masala-ae-Magic</w:t>
      </w:r>
      <w:r w:rsidR="00126ADC">
        <w:rPr>
          <w:i/>
          <w:lang w:val="en-GB"/>
        </w:rPr>
        <w:t>,</w:t>
      </w:r>
      <w:r w:rsidRPr="008D6BCE">
        <w:rPr>
          <w:lang w:val="en-GB"/>
        </w:rPr>
        <w:t xml:space="preserve"> fortified with iron, </w:t>
      </w:r>
      <w:r w:rsidR="00126ADC">
        <w:rPr>
          <w:lang w:val="en-GB"/>
        </w:rPr>
        <w:t>V</w:t>
      </w:r>
      <w:r w:rsidRPr="008D6BCE">
        <w:rPr>
          <w:lang w:val="en-GB"/>
        </w:rPr>
        <w:t>itamin</w:t>
      </w:r>
      <w:r w:rsidR="00126ADC">
        <w:rPr>
          <w:lang w:val="en-GB"/>
        </w:rPr>
        <w:t> </w:t>
      </w:r>
      <w:r w:rsidRPr="008D6BCE">
        <w:rPr>
          <w:lang w:val="en-GB"/>
        </w:rPr>
        <w:t>A</w:t>
      </w:r>
      <w:r w:rsidR="00126ADC">
        <w:rPr>
          <w:lang w:val="en-GB"/>
        </w:rPr>
        <w:t>,</w:t>
      </w:r>
      <w:r w:rsidRPr="008D6BCE">
        <w:rPr>
          <w:lang w:val="en-GB"/>
        </w:rPr>
        <w:t xml:space="preserve"> and iodine</w:t>
      </w:r>
      <w:r w:rsidRPr="00645EDE">
        <w:rPr>
          <w:lang w:val="en-GB"/>
        </w:rPr>
        <w:t xml:space="preserve"> to help counter three big micronutrient deficiencies in the country. </w:t>
      </w:r>
    </w:p>
    <w:p w14:paraId="757E11AA" w14:textId="77777777" w:rsidR="00A81B5F" w:rsidRDefault="00A81B5F" w:rsidP="00A81B5F">
      <w:pPr>
        <w:pStyle w:val="BodyTextMain"/>
        <w:rPr>
          <w:lang w:val="en-GB"/>
        </w:rPr>
      </w:pPr>
    </w:p>
    <w:p w14:paraId="04D158EE" w14:textId="77777777" w:rsidR="00B1557E" w:rsidRDefault="00B1557E" w:rsidP="00A81B5F">
      <w:pPr>
        <w:pStyle w:val="BodyTextMain"/>
        <w:rPr>
          <w:lang w:val="en-GB"/>
        </w:rPr>
      </w:pPr>
    </w:p>
    <w:p w14:paraId="520938FD" w14:textId="77777777" w:rsidR="00B1557E" w:rsidRPr="00383AD7" w:rsidRDefault="00B1557E" w:rsidP="00A81B5F">
      <w:pPr>
        <w:pStyle w:val="BodyTextMain"/>
        <w:rPr>
          <w:rFonts w:ascii="Arial" w:hAnsi="Arial" w:cs="Arial"/>
          <w:b/>
          <w:sz w:val="20"/>
          <w:szCs w:val="20"/>
        </w:rPr>
      </w:pPr>
      <w:r w:rsidRPr="00383AD7">
        <w:rPr>
          <w:rFonts w:ascii="Arial" w:hAnsi="Arial" w:cs="Arial"/>
          <w:b/>
          <w:sz w:val="20"/>
          <w:szCs w:val="20"/>
        </w:rPr>
        <w:t>Water</w:t>
      </w:r>
    </w:p>
    <w:p w14:paraId="0654F896" w14:textId="77777777" w:rsidR="00B1557E" w:rsidRDefault="00B1557E" w:rsidP="00A81B5F">
      <w:pPr>
        <w:pStyle w:val="BodyTextMain"/>
      </w:pPr>
    </w:p>
    <w:p w14:paraId="1032F9AE" w14:textId="4B8E7CC2" w:rsidR="00A81B5F" w:rsidRPr="004255DC" w:rsidRDefault="00A81B5F" w:rsidP="00A81B5F">
      <w:pPr>
        <w:pStyle w:val="BodyTextMain"/>
        <w:rPr>
          <w:lang w:val="en-GB"/>
        </w:rPr>
      </w:pPr>
      <w:r w:rsidRPr="00A81B5F">
        <w:t>Water</w:t>
      </w:r>
      <w:r w:rsidR="00126ADC">
        <w:t xml:space="preserve"> was identifi</w:t>
      </w:r>
      <w:r w:rsidRPr="00A81B5F">
        <w:t>ed as an important focus area. Nestl</w:t>
      </w:r>
      <w:r w:rsidR="00126ADC">
        <w:t>é</w:t>
      </w:r>
      <w:r w:rsidRPr="00A81B5F">
        <w:t xml:space="preserve"> reali</w:t>
      </w:r>
      <w:r w:rsidR="00126ADC">
        <w:t>ze</w:t>
      </w:r>
      <w:r w:rsidRPr="00A81B5F">
        <w:t>d that clean drinking water was a</w:t>
      </w:r>
      <w:r w:rsidRPr="004255DC">
        <w:rPr>
          <w:lang w:val="en-GB"/>
        </w:rPr>
        <w:t xml:space="preserve"> huge issue in schools and villages around its factories. To begin</w:t>
      </w:r>
      <w:r w:rsidR="00126ADC">
        <w:rPr>
          <w:lang w:val="en-GB"/>
        </w:rPr>
        <w:t>,</w:t>
      </w:r>
      <w:r w:rsidRPr="004255DC">
        <w:rPr>
          <w:lang w:val="en-GB"/>
        </w:rPr>
        <w:t xml:space="preserve"> the company cut down its water footprint substantially using new technology and water conservation efforts. </w:t>
      </w:r>
      <w:r w:rsidR="00B1557E">
        <w:rPr>
          <w:lang w:val="en-GB"/>
        </w:rPr>
        <w:t>It increased w</w:t>
      </w:r>
      <w:r w:rsidRPr="004255DC">
        <w:rPr>
          <w:lang w:val="en-GB"/>
        </w:rPr>
        <w:t>ater use efficiency by 73</w:t>
      </w:r>
      <w:r w:rsidR="004D4878">
        <w:rPr>
          <w:lang w:val="en-GB"/>
        </w:rPr>
        <w:t xml:space="preserve"> per cent</w:t>
      </w:r>
      <w:r w:rsidRPr="004255DC">
        <w:rPr>
          <w:lang w:val="en-GB"/>
        </w:rPr>
        <w:t xml:space="preserve"> and </w:t>
      </w:r>
      <w:r w:rsidR="00B1557E">
        <w:rPr>
          <w:lang w:val="en-GB"/>
        </w:rPr>
        <w:t xml:space="preserve">reduced </w:t>
      </w:r>
      <w:r w:rsidRPr="004255DC">
        <w:rPr>
          <w:lang w:val="en-GB"/>
        </w:rPr>
        <w:t>waste water discharge</w:t>
      </w:r>
      <w:r w:rsidR="00B1557E">
        <w:rPr>
          <w:lang w:val="en-GB"/>
        </w:rPr>
        <w:t xml:space="preserve"> </w:t>
      </w:r>
      <w:r w:rsidRPr="004255DC">
        <w:rPr>
          <w:lang w:val="en-GB"/>
        </w:rPr>
        <w:t>by 78</w:t>
      </w:r>
      <w:r w:rsidR="004D4878">
        <w:rPr>
          <w:lang w:val="en-GB"/>
        </w:rPr>
        <w:t xml:space="preserve"> per cent</w:t>
      </w:r>
      <w:r w:rsidRPr="004255DC">
        <w:rPr>
          <w:lang w:val="en-GB"/>
        </w:rPr>
        <w:t>. The company then chalked out a comprehensive plan on water education for employees, farmers, school children, and women.</w:t>
      </w:r>
    </w:p>
    <w:p w14:paraId="0EA14DA3" w14:textId="77777777" w:rsidR="00A81B5F" w:rsidRPr="004255DC" w:rsidRDefault="00A81B5F" w:rsidP="00A81B5F">
      <w:pPr>
        <w:pStyle w:val="BodyTextMain"/>
        <w:rPr>
          <w:lang w:val="en-GB"/>
        </w:rPr>
      </w:pPr>
    </w:p>
    <w:p w14:paraId="5D2C11A2" w14:textId="7A374663" w:rsidR="00A81B5F" w:rsidRPr="004F6889" w:rsidRDefault="00480769" w:rsidP="00A81B5F">
      <w:pPr>
        <w:pStyle w:val="BodyTextMain"/>
        <w:rPr>
          <w:lang w:val="en-GB"/>
        </w:rPr>
      </w:pPr>
      <w:r>
        <w:rPr>
          <w:lang w:val="en-GB"/>
        </w:rPr>
        <w:t xml:space="preserve">Up to 2013, </w:t>
      </w:r>
      <w:r w:rsidRPr="004255DC">
        <w:rPr>
          <w:lang w:val="en-GB"/>
        </w:rPr>
        <w:t xml:space="preserve">Nestlé </w:t>
      </w:r>
      <w:r>
        <w:rPr>
          <w:lang w:val="en-GB"/>
        </w:rPr>
        <w:t>had set up a</w:t>
      </w:r>
      <w:r w:rsidR="00A81B5F" w:rsidRPr="007B7CF3">
        <w:rPr>
          <w:lang w:val="en-GB"/>
        </w:rPr>
        <w:t>bout 1</w:t>
      </w:r>
      <w:r w:rsidR="00A81B5F">
        <w:rPr>
          <w:lang w:val="en-GB"/>
        </w:rPr>
        <w:t>85</w:t>
      </w:r>
      <w:r w:rsidR="00A81B5F" w:rsidRPr="004255DC">
        <w:rPr>
          <w:lang w:val="en-GB"/>
        </w:rPr>
        <w:t xml:space="preserve"> clean drinking water projects</w:t>
      </w:r>
      <w:r>
        <w:rPr>
          <w:lang w:val="en-GB"/>
        </w:rPr>
        <w:t xml:space="preserve">. </w:t>
      </w:r>
      <w:r w:rsidR="00A81B5F" w:rsidRPr="004255DC">
        <w:rPr>
          <w:lang w:val="en-GB"/>
        </w:rPr>
        <w:t>In schools, children were taught about water conservation</w:t>
      </w:r>
      <w:r>
        <w:rPr>
          <w:lang w:val="en-GB"/>
        </w:rPr>
        <w:t>,</w:t>
      </w:r>
      <w:r w:rsidR="00A81B5F" w:rsidRPr="004255DC">
        <w:rPr>
          <w:lang w:val="en-GB"/>
        </w:rPr>
        <w:t xml:space="preserve"> and the link between health, hygiene</w:t>
      </w:r>
      <w:r>
        <w:rPr>
          <w:lang w:val="en-GB"/>
        </w:rPr>
        <w:t>,</w:t>
      </w:r>
      <w:r w:rsidR="00A81B5F" w:rsidRPr="004255DC">
        <w:rPr>
          <w:lang w:val="en-GB"/>
        </w:rPr>
        <w:t xml:space="preserve"> and clean water. Children then acted as </w:t>
      </w:r>
      <w:r>
        <w:rPr>
          <w:lang w:val="en-GB"/>
        </w:rPr>
        <w:t>“w</w:t>
      </w:r>
      <w:r w:rsidR="00A81B5F" w:rsidRPr="004255DC">
        <w:rPr>
          <w:lang w:val="en-GB"/>
        </w:rPr>
        <w:t xml:space="preserve">ater </w:t>
      </w:r>
      <w:r w:rsidR="00B1557E">
        <w:rPr>
          <w:lang w:val="en-GB"/>
        </w:rPr>
        <w:t>a</w:t>
      </w:r>
      <w:r w:rsidR="00A81B5F" w:rsidRPr="004255DC">
        <w:rPr>
          <w:lang w:val="en-GB"/>
        </w:rPr>
        <w:t>mbassadors</w:t>
      </w:r>
      <w:r>
        <w:rPr>
          <w:lang w:val="en-GB"/>
        </w:rPr>
        <w:t>,</w:t>
      </w:r>
      <w:r w:rsidR="00A81B5F" w:rsidRPr="004255DC">
        <w:rPr>
          <w:lang w:val="en-GB"/>
        </w:rPr>
        <w:t xml:space="preserve">” carrying the message on water conservation back home. Farmers were trained </w:t>
      </w:r>
      <w:r>
        <w:rPr>
          <w:lang w:val="en-GB"/>
        </w:rPr>
        <w:t>to</w:t>
      </w:r>
      <w:r w:rsidR="00A81B5F" w:rsidRPr="004255DC">
        <w:rPr>
          <w:lang w:val="en-GB"/>
        </w:rPr>
        <w:t xml:space="preserve"> optimi</w:t>
      </w:r>
      <w:r>
        <w:rPr>
          <w:lang w:val="en-GB"/>
        </w:rPr>
        <w:t>ze</w:t>
      </w:r>
      <w:r w:rsidR="00A81B5F" w:rsidRPr="004255DC">
        <w:rPr>
          <w:lang w:val="en-GB"/>
        </w:rPr>
        <w:t xml:space="preserve"> water us</w:t>
      </w:r>
      <w:r>
        <w:rPr>
          <w:lang w:val="en-GB"/>
        </w:rPr>
        <w:t>e</w:t>
      </w:r>
      <w:r w:rsidR="00A81B5F" w:rsidRPr="004255DC">
        <w:rPr>
          <w:lang w:val="en-GB"/>
        </w:rPr>
        <w:t xml:space="preserve"> in everyda</w:t>
      </w:r>
      <w:r w:rsidR="00A81B5F">
        <w:rPr>
          <w:lang w:val="en-GB"/>
        </w:rPr>
        <w:t xml:space="preserve">y farming and dairy practices. </w:t>
      </w:r>
    </w:p>
    <w:p w14:paraId="7EAD6ADF" w14:textId="77777777" w:rsidR="00A81B5F" w:rsidRPr="00645EDE" w:rsidRDefault="00A81B5F" w:rsidP="00A81B5F">
      <w:pPr>
        <w:pStyle w:val="BodyTextMain"/>
        <w:rPr>
          <w:lang w:val="en-GB"/>
        </w:rPr>
      </w:pPr>
    </w:p>
    <w:p w14:paraId="3BF1A77C" w14:textId="77777777" w:rsidR="00B1557E" w:rsidRDefault="00B1557E" w:rsidP="00A81B5F">
      <w:pPr>
        <w:pStyle w:val="BodyTextMain"/>
        <w:rPr>
          <w:rFonts w:ascii="Arial" w:hAnsi="Arial" w:cs="Arial"/>
          <w:b/>
          <w:sz w:val="20"/>
          <w:szCs w:val="20"/>
        </w:rPr>
      </w:pPr>
    </w:p>
    <w:p w14:paraId="1719701C" w14:textId="1DF37847" w:rsidR="00B1557E" w:rsidRPr="00383AD7" w:rsidRDefault="00B1557E" w:rsidP="00A81B5F">
      <w:pPr>
        <w:pStyle w:val="BodyTextMain"/>
        <w:rPr>
          <w:rFonts w:ascii="Arial" w:hAnsi="Arial" w:cs="Arial"/>
          <w:b/>
          <w:sz w:val="20"/>
          <w:szCs w:val="20"/>
        </w:rPr>
      </w:pPr>
      <w:r>
        <w:rPr>
          <w:rFonts w:ascii="Arial" w:hAnsi="Arial" w:cs="Arial"/>
          <w:b/>
          <w:sz w:val="20"/>
          <w:szCs w:val="20"/>
        </w:rPr>
        <w:t>Rural Development</w:t>
      </w:r>
    </w:p>
    <w:p w14:paraId="45EE99C5" w14:textId="77777777" w:rsidR="00B1557E" w:rsidRDefault="00B1557E" w:rsidP="00A81B5F">
      <w:pPr>
        <w:pStyle w:val="BodyTextMain"/>
      </w:pPr>
    </w:p>
    <w:p w14:paraId="5DE9EEA3" w14:textId="0FBCF65F" w:rsidR="00A81B5F" w:rsidRPr="00645EDE" w:rsidRDefault="00A81B5F" w:rsidP="00A81B5F">
      <w:pPr>
        <w:pStyle w:val="BodyTextMain"/>
        <w:rPr>
          <w:lang w:val="en-GB"/>
        </w:rPr>
      </w:pPr>
      <w:r w:rsidRPr="00A81B5F">
        <w:t xml:space="preserve">Rural development and sanitation was another core area. When </w:t>
      </w:r>
      <w:r w:rsidR="00480769" w:rsidRPr="004255DC">
        <w:rPr>
          <w:lang w:val="en-GB"/>
        </w:rPr>
        <w:t>Nestlé</w:t>
      </w:r>
      <w:r w:rsidR="00480769" w:rsidRPr="00A81B5F" w:rsidDel="00480769">
        <w:t xml:space="preserve"> </w:t>
      </w:r>
      <w:r w:rsidRPr="00A81B5F">
        <w:t>started working with</w:t>
      </w:r>
      <w:r>
        <w:rPr>
          <w:lang w:val="en-GB"/>
        </w:rPr>
        <w:t xml:space="preserve"> farmers and dairy suppliers</w:t>
      </w:r>
      <w:r w:rsidR="00480769">
        <w:rPr>
          <w:lang w:val="en-GB"/>
        </w:rPr>
        <w:t>,</w:t>
      </w:r>
      <w:r>
        <w:rPr>
          <w:lang w:val="en-GB"/>
        </w:rPr>
        <w:t xml:space="preserve"> it developed a program to help them increase the quality and yield of their products.</w:t>
      </w:r>
      <w:r w:rsidRPr="00645EDE">
        <w:rPr>
          <w:lang w:val="en-GB"/>
        </w:rPr>
        <w:t xml:space="preserve"> For instance, in the </w:t>
      </w:r>
      <w:proofErr w:type="spellStart"/>
      <w:r w:rsidRPr="00645EDE">
        <w:rPr>
          <w:lang w:val="en-GB"/>
        </w:rPr>
        <w:t>Moga</w:t>
      </w:r>
      <w:proofErr w:type="spellEnd"/>
      <w:r w:rsidRPr="00645EDE">
        <w:rPr>
          <w:lang w:val="en-GB"/>
        </w:rPr>
        <w:t xml:space="preserve"> district in Punjab, the company assisted farmers in caring for cattle, advising them on feed quality</w:t>
      </w:r>
      <w:r w:rsidR="00B1557E">
        <w:rPr>
          <w:lang w:val="en-GB"/>
        </w:rPr>
        <w:t xml:space="preserve"> </w:t>
      </w:r>
      <w:r w:rsidRPr="00645EDE">
        <w:rPr>
          <w:lang w:val="en-GB"/>
        </w:rPr>
        <w:t xml:space="preserve">and keeping them updated </w:t>
      </w:r>
      <w:r w:rsidR="00480769">
        <w:rPr>
          <w:lang w:val="en-GB"/>
        </w:rPr>
        <w:t xml:space="preserve">on the </w:t>
      </w:r>
      <w:r w:rsidRPr="00645EDE">
        <w:rPr>
          <w:lang w:val="en-GB"/>
        </w:rPr>
        <w:t xml:space="preserve">latest developments in dairy farming. Similar activities were undertaken for cocoa farmers in </w:t>
      </w:r>
      <w:r w:rsidR="00480769">
        <w:rPr>
          <w:lang w:val="en-GB"/>
        </w:rPr>
        <w:t xml:space="preserve">the </w:t>
      </w:r>
      <w:r w:rsidRPr="00645EDE">
        <w:rPr>
          <w:lang w:val="en-GB"/>
        </w:rPr>
        <w:t xml:space="preserve">south and chicory farmers in the </w:t>
      </w:r>
      <w:r w:rsidR="00480769">
        <w:rPr>
          <w:lang w:val="en-GB"/>
        </w:rPr>
        <w:t>n</w:t>
      </w:r>
      <w:r w:rsidRPr="00645EDE">
        <w:rPr>
          <w:lang w:val="en-GB"/>
        </w:rPr>
        <w:t xml:space="preserve">orth. </w:t>
      </w:r>
    </w:p>
    <w:p w14:paraId="7274C658" w14:textId="77777777" w:rsidR="00A81B5F" w:rsidRPr="004255DC" w:rsidRDefault="00A81B5F" w:rsidP="00A81B5F">
      <w:pPr>
        <w:pStyle w:val="BodyTextMain"/>
        <w:rPr>
          <w:lang w:val="en-GB"/>
        </w:rPr>
      </w:pPr>
    </w:p>
    <w:p w14:paraId="04EA03BA" w14:textId="7FFA1742" w:rsidR="00A81B5F" w:rsidRPr="004255DC" w:rsidRDefault="00A81B5F" w:rsidP="00A81B5F">
      <w:pPr>
        <w:pStyle w:val="BodyTextMain"/>
        <w:rPr>
          <w:lang w:val="en-GB"/>
        </w:rPr>
      </w:pPr>
      <w:r w:rsidRPr="004255DC">
        <w:rPr>
          <w:lang w:val="en-GB"/>
        </w:rPr>
        <w:t>Nestl</w:t>
      </w:r>
      <w:r w:rsidR="00480769">
        <w:rPr>
          <w:lang w:val="en-GB"/>
        </w:rPr>
        <w:t xml:space="preserve">é’s </w:t>
      </w:r>
      <w:r w:rsidRPr="004255DC">
        <w:rPr>
          <w:lang w:val="en-GB"/>
        </w:rPr>
        <w:t xml:space="preserve">milk factory in </w:t>
      </w:r>
      <w:proofErr w:type="spellStart"/>
      <w:r w:rsidRPr="004255DC">
        <w:rPr>
          <w:lang w:val="en-GB"/>
        </w:rPr>
        <w:t>Moga</w:t>
      </w:r>
      <w:proofErr w:type="spellEnd"/>
      <w:r w:rsidRPr="004255DC">
        <w:rPr>
          <w:lang w:val="en-GB"/>
        </w:rPr>
        <w:t xml:space="preserve"> bec</w:t>
      </w:r>
      <w:r w:rsidR="00480769">
        <w:rPr>
          <w:lang w:val="en-GB"/>
        </w:rPr>
        <w:t>a</w:t>
      </w:r>
      <w:r w:rsidRPr="004255DC">
        <w:rPr>
          <w:lang w:val="en-GB"/>
        </w:rPr>
        <w:t>me an international case study</w:t>
      </w:r>
      <w:r>
        <w:rPr>
          <w:rStyle w:val="FootnoteReference"/>
          <w:lang w:val="en-GB"/>
        </w:rPr>
        <w:footnoteReference w:id="4"/>
      </w:r>
      <w:r w:rsidRPr="00F32936">
        <w:rPr>
          <w:lang w:val="en-GB"/>
        </w:rPr>
        <w:t xml:space="preserve"> on working collaboratively with local communities </w:t>
      </w:r>
      <w:r w:rsidR="00480769">
        <w:rPr>
          <w:lang w:val="en-GB"/>
        </w:rPr>
        <w:t>to</w:t>
      </w:r>
      <w:r w:rsidRPr="00F32936">
        <w:rPr>
          <w:lang w:val="en-GB"/>
        </w:rPr>
        <w:t xml:space="preserve"> creat</w:t>
      </w:r>
      <w:r w:rsidR="00480769">
        <w:rPr>
          <w:lang w:val="en-GB"/>
        </w:rPr>
        <w:t>e</w:t>
      </w:r>
      <w:r w:rsidRPr="00F32936">
        <w:rPr>
          <w:lang w:val="en-GB"/>
        </w:rPr>
        <w:t xml:space="preserve"> shared value. What started as</w:t>
      </w:r>
      <w:r w:rsidRPr="004255DC">
        <w:rPr>
          <w:lang w:val="en-GB"/>
        </w:rPr>
        <w:t xml:space="preserve"> a small operation with only 180 farmers willing to supply milk in 1961 expanded to 1</w:t>
      </w:r>
      <w:r>
        <w:rPr>
          <w:lang w:val="en-GB"/>
        </w:rPr>
        <w:t>0</w:t>
      </w:r>
      <w:r w:rsidRPr="004255DC">
        <w:rPr>
          <w:lang w:val="en-GB"/>
        </w:rPr>
        <w:t xml:space="preserve">0,000 farmers </w:t>
      </w:r>
      <w:r>
        <w:rPr>
          <w:lang w:val="en-GB"/>
        </w:rPr>
        <w:t>by</w:t>
      </w:r>
      <w:r w:rsidRPr="00F32936">
        <w:rPr>
          <w:lang w:val="en-GB"/>
        </w:rPr>
        <w:t xml:space="preserve"> 2013. Nestl</w:t>
      </w:r>
      <w:r w:rsidR="00480769">
        <w:rPr>
          <w:lang w:val="en-GB"/>
        </w:rPr>
        <w:t>é</w:t>
      </w:r>
      <w:r w:rsidRPr="00F32936">
        <w:rPr>
          <w:lang w:val="en-GB"/>
        </w:rPr>
        <w:t xml:space="preserve"> worked </w:t>
      </w:r>
      <w:r>
        <w:rPr>
          <w:lang w:val="en-GB"/>
        </w:rPr>
        <w:t>extensively</w:t>
      </w:r>
      <w:r w:rsidRPr="00F32936">
        <w:rPr>
          <w:lang w:val="en-GB"/>
        </w:rPr>
        <w:t xml:space="preserve"> to help farmers improv</w:t>
      </w:r>
      <w:r w:rsidR="00480769">
        <w:rPr>
          <w:lang w:val="en-GB"/>
        </w:rPr>
        <w:t>e</w:t>
      </w:r>
      <w:r w:rsidRPr="00F32936">
        <w:rPr>
          <w:lang w:val="en-GB"/>
        </w:rPr>
        <w:t xml:space="preserve"> herd management, farm productivity</w:t>
      </w:r>
      <w:r w:rsidR="00480769">
        <w:rPr>
          <w:lang w:val="en-GB"/>
        </w:rPr>
        <w:t>,</w:t>
      </w:r>
      <w:r w:rsidRPr="00F32936">
        <w:rPr>
          <w:lang w:val="en-GB"/>
        </w:rPr>
        <w:t xml:space="preserve"> and overall income. This</w:t>
      </w:r>
      <w:r w:rsidR="00684332">
        <w:rPr>
          <w:lang w:val="en-GB"/>
        </w:rPr>
        <w:t xml:space="preserve"> initiative</w:t>
      </w:r>
      <w:r w:rsidRPr="00F32936">
        <w:rPr>
          <w:lang w:val="en-GB"/>
        </w:rPr>
        <w:t xml:space="preserve"> created long</w:t>
      </w:r>
      <w:r>
        <w:rPr>
          <w:lang w:val="en-GB"/>
        </w:rPr>
        <w:t>-</w:t>
      </w:r>
      <w:r w:rsidRPr="00F32936">
        <w:rPr>
          <w:lang w:val="en-GB"/>
        </w:rPr>
        <w:t>term sources of income for the community</w:t>
      </w:r>
      <w:r w:rsidR="00684332">
        <w:rPr>
          <w:lang w:val="en-GB"/>
        </w:rPr>
        <w:t>,</w:t>
      </w:r>
      <w:r w:rsidRPr="00F32936">
        <w:rPr>
          <w:lang w:val="en-GB"/>
        </w:rPr>
        <w:t xml:space="preserve"> and at the same time helped Nestl</w:t>
      </w:r>
      <w:r w:rsidR="00480769">
        <w:rPr>
          <w:lang w:val="en-GB"/>
        </w:rPr>
        <w:t>é</w:t>
      </w:r>
      <w:r w:rsidRPr="00F32936">
        <w:rPr>
          <w:lang w:val="en-GB"/>
        </w:rPr>
        <w:t xml:space="preserve"> create goodwill and </w:t>
      </w:r>
      <w:r w:rsidR="00480769">
        <w:rPr>
          <w:lang w:val="en-GB"/>
        </w:rPr>
        <w:t xml:space="preserve">a </w:t>
      </w:r>
      <w:r w:rsidRPr="00F32936">
        <w:rPr>
          <w:lang w:val="en-GB"/>
        </w:rPr>
        <w:t>continuous supply of milk and milk products.</w:t>
      </w:r>
      <w:r w:rsidRPr="004255DC">
        <w:rPr>
          <w:lang w:val="en-GB"/>
        </w:rPr>
        <w:t xml:space="preserve"> </w:t>
      </w:r>
    </w:p>
    <w:p w14:paraId="209D9D76" w14:textId="77777777" w:rsidR="00A81B5F" w:rsidRPr="004255DC" w:rsidRDefault="00A81B5F" w:rsidP="00A81B5F">
      <w:pPr>
        <w:pStyle w:val="BodyTextMain"/>
        <w:rPr>
          <w:lang w:val="en-GB"/>
        </w:rPr>
      </w:pPr>
    </w:p>
    <w:p w14:paraId="59AE75C2" w14:textId="79AB6AA3" w:rsidR="00A81B5F" w:rsidRPr="004255DC" w:rsidRDefault="00A81B5F" w:rsidP="00A81B5F">
      <w:pPr>
        <w:pStyle w:val="BodyTextMain"/>
        <w:rPr>
          <w:lang w:val="en-GB"/>
        </w:rPr>
      </w:pPr>
      <w:r w:rsidRPr="004255DC">
        <w:rPr>
          <w:lang w:val="en-GB"/>
        </w:rPr>
        <w:t>Health and sanitation was a core area of Nestl</w:t>
      </w:r>
      <w:r w:rsidR="00684332">
        <w:rPr>
          <w:lang w:val="en-GB"/>
        </w:rPr>
        <w:t xml:space="preserve">é’s </w:t>
      </w:r>
      <w:r w:rsidRPr="004255DC">
        <w:rPr>
          <w:lang w:val="en-GB"/>
        </w:rPr>
        <w:t xml:space="preserve">work. </w:t>
      </w:r>
      <w:r w:rsidR="00684332">
        <w:rPr>
          <w:lang w:val="en-GB"/>
        </w:rPr>
        <w:t>Re</w:t>
      </w:r>
      <w:r w:rsidRPr="004255DC">
        <w:rPr>
          <w:lang w:val="en-GB"/>
        </w:rPr>
        <w:t xml:space="preserve">search </w:t>
      </w:r>
      <w:r>
        <w:rPr>
          <w:lang w:val="en-GB"/>
        </w:rPr>
        <w:t>sho</w:t>
      </w:r>
      <w:r w:rsidR="00B1557E">
        <w:rPr>
          <w:lang w:val="en-GB"/>
        </w:rPr>
        <w:t>wed</w:t>
      </w:r>
      <w:r w:rsidRPr="00F32936">
        <w:rPr>
          <w:lang w:val="en-GB"/>
        </w:rPr>
        <w:t xml:space="preserve"> that </w:t>
      </w:r>
      <w:r w:rsidR="00684332">
        <w:rPr>
          <w:lang w:val="en-GB"/>
        </w:rPr>
        <w:t xml:space="preserve">female </w:t>
      </w:r>
      <w:r w:rsidRPr="00F32936">
        <w:rPr>
          <w:lang w:val="en-GB"/>
        </w:rPr>
        <w:t>student</w:t>
      </w:r>
      <w:r w:rsidR="00684332">
        <w:rPr>
          <w:lang w:val="en-GB"/>
        </w:rPr>
        <w:t>s</w:t>
      </w:r>
      <w:r w:rsidRPr="00F32936">
        <w:rPr>
          <w:lang w:val="en-GB"/>
        </w:rPr>
        <w:t xml:space="preserve"> tended to discontinue education if schools didn’t have adequate sanitation facilities. </w:t>
      </w:r>
      <w:r w:rsidR="00A1742D">
        <w:rPr>
          <w:lang w:val="en-GB"/>
        </w:rPr>
        <w:t>The company implemented o</w:t>
      </w:r>
      <w:r w:rsidRPr="00F32936">
        <w:rPr>
          <w:lang w:val="en-GB"/>
        </w:rPr>
        <w:t>ver 4</w:t>
      </w:r>
      <w:r>
        <w:rPr>
          <w:lang w:val="en-GB"/>
        </w:rPr>
        <w:t>5</w:t>
      </w:r>
      <w:r w:rsidRPr="00F32936">
        <w:rPr>
          <w:lang w:val="en-GB"/>
        </w:rPr>
        <w:t xml:space="preserve"> sanitation projects</w:t>
      </w:r>
      <w:r w:rsidR="00684332">
        <w:rPr>
          <w:lang w:val="en-GB"/>
        </w:rPr>
        <w:t xml:space="preserve"> </w:t>
      </w:r>
      <w:r w:rsidRPr="00F32936">
        <w:rPr>
          <w:lang w:val="en-GB"/>
        </w:rPr>
        <w:t>in India</w:t>
      </w:r>
      <w:r w:rsidR="00684332">
        <w:rPr>
          <w:lang w:val="en-GB"/>
        </w:rPr>
        <w:t>,</w:t>
      </w:r>
      <w:r w:rsidRPr="00F32936">
        <w:rPr>
          <w:lang w:val="en-GB"/>
        </w:rPr>
        <w:t xml:space="preserve"> leading to an increase in </w:t>
      </w:r>
      <w:r w:rsidR="00684332">
        <w:rPr>
          <w:lang w:val="en-GB"/>
        </w:rPr>
        <w:t xml:space="preserve">the </w:t>
      </w:r>
      <w:r w:rsidRPr="00F32936">
        <w:rPr>
          <w:lang w:val="en-GB"/>
        </w:rPr>
        <w:t>r</w:t>
      </w:r>
      <w:r w:rsidRPr="00011677">
        <w:rPr>
          <w:lang w:val="en-GB"/>
        </w:rPr>
        <w:t xml:space="preserve">etention rates of </w:t>
      </w:r>
      <w:r w:rsidR="00684332">
        <w:rPr>
          <w:lang w:val="en-GB"/>
        </w:rPr>
        <w:t xml:space="preserve">female </w:t>
      </w:r>
      <w:r w:rsidRPr="00011677">
        <w:rPr>
          <w:lang w:val="en-GB"/>
        </w:rPr>
        <w:t xml:space="preserve">students. Rural women also benefitted from </w:t>
      </w:r>
      <w:r w:rsidR="00684332" w:rsidRPr="004255DC">
        <w:rPr>
          <w:lang w:val="en-GB"/>
        </w:rPr>
        <w:t>Nestl</w:t>
      </w:r>
      <w:r w:rsidR="00684332">
        <w:rPr>
          <w:lang w:val="en-GB"/>
        </w:rPr>
        <w:t>é’s</w:t>
      </w:r>
      <w:r w:rsidR="00684332" w:rsidRPr="00011677" w:rsidDel="00684332">
        <w:rPr>
          <w:lang w:val="en-GB"/>
        </w:rPr>
        <w:t xml:space="preserve"> </w:t>
      </w:r>
      <w:r w:rsidRPr="00011677">
        <w:rPr>
          <w:lang w:val="en-GB"/>
        </w:rPr>
        <w:t>health, sanitation</w:t>
      </w:r>
      <w:r w:rsidR="00684332">
        <w:rPr>
          <w:lang w:val="en-GB"/>
        </w:rPr>
        <w:t>,</w:t>
      </w:r>
      <w:r w:rsidRPr="00011677">
        <w:rPr>
          <w:lang w:val="en-GB"/>
        </w:rPr>
        <w:t xml:space="preserve"> and water conservation programs. Over 1</w:t>
      </w:r>
      <w:r>
        <w:rPr>
          <w:lang w:val="en-GB"/>
        </w:rPr>
        <w:t>,</w:t>
      </w:r>
      <w:r w:rsidRPr="0016346E">
        <w:rPr>
          <w:lang w:val="en-GB"/>
        </w:rPr>
        <w:t xml:space="preserve">500 training camps </w:t>
      </w:r>
      <w:r w:rsidR="00684332">
        <w:rPr>
          <w:lang w:val="en-GB"/>
        </w:rPr>
        <w:t xml:space="preserve">were </w:t>
      </w:r>
      <w:r w:rsidRPr="0016346E">
        <w:rPr>
          <w:lang w:val="en-GB"/>
        </w:rPr>
        <w:t>run</w:t>
      </w:r>
      <w:r w:rsidR="00684332">
        <w:rPr>
          <w:lang w:val="en-GB"/>
        </w:rPr>
        <w:t>, reaching</w:t>
      </w:r>
      <w:r w:rsidRPr="0016346E">
        <w:rPr>
          <w:lang w:val="en-GB"/>
        </w:rPr>
        <w:t xml:space="preserve"> out to </w:t>
      </w:r>
      <w:r w:rsidRPr="007B7CF3">
        <w:rPr>
          <w:lang w:val="en-GB"/>
        </w:rPr>
        <w:t>over 5</w:t>
      </w:r>
      <w:r>
        <w:rPr>
          <w:lang w:val="en-GB"/>
        </w:rPr>
        <w:t>8</w:t>
      </w:r>
      <w:r w:rsidRPr="007B7CF3">
        <w:rPr>
          <w:lang w:val="en-GB"/>
        </w:rPr>
        <w:t>,000 women.</w:t>
      </w:r>
    </w:p>
    <w:p w14:paraId="14E86EAB" w14:textId="77777777" w:rsidR="00A81B5F" w:rsidRPr="004255DC" w:rsidRDefault="00A81B5F" w:rsidP="00A81B5F">
      <w:pPr>
        <w:pStyle w:val="BodyTextMain"/>
        <w:rPr>
          <w:lang w:val="en-GB"/>
        </w:rPr>
      </w:pPr>
    </w:p>
    <w:p w14:paraId="3E69A081" w14:textId="4026E9B9" w:rsidR="00A81B5F" w:rsidRPr="004255DC" w:rsidRDefault="00A81B5F" w:rsidP="003D3D90">
      <w:pPr>
        <w:pStyle w:val="Casehead1"/>
        <w:keepNext/>
        <w:rPr>
          <w:lang w:val="en-GB"/>
        </w:rPr>
      </w:pPr>
      <w:r w:rsidRPr="004255DC">
        <w:rPr>
          <w:lang w:val="en-GB"/>
        </w:rPr>
        <w:lastRenderedPageBreak/>
        <w:t>MANDATORY CSR DEBATE</w:t>
      </w:r>
    </w:p>
    <w:p w14:paraId="753F49D4" w14:textId="77777777" w:rsidR="00A81B5F" w:rsidRPr="004255DC" w:rsidRDefault="00A81B5F" w:rsidP="003D3D90">
      <w:pPr>
        <w:pStyle w:val="BodyTextMain"/>
        <w:keepNext/>
        <w:rPr>
          <w:bCs/>
          <w:lang w:val="en-GB"/>
        </w:rPr>
      </w:pPr>
    </w:p>
    <w:p w14:paraId="02148935" w14:textId="19686247" w:rsidR="00502356" w:rsidRDefault="00A81B5F" w:rsidP="003D3D90">
      <w:pPr>
        <w:pStyle w:val="BodyTextMain"/>
        <w:keepNext/>
        <w:rPr>
          <w:bCs/>
          <w:lang w:val="en-GB"/>
        </w:rPr>
      </w:pPr>
      <w:r w:rsidRPr="004255DC">
        <w:rPr>
          <w:bCs/>
          <w:lang w:val="en-GB"/>
        </w:rPr>
        <w:t xml:space="preserve">In 2011, the Indian </w:t>
      </w:r>
      <w:r w:rsidR="00F75E65">
        <w:rPr>
          <w:bCs/>
          <w:lang w:val="en-GB"/>
        </w:rPr>
        <w:t>g</w:t>
      </w:r>
      <w:r w:rsidRPr="004255DC">
        <w:rPr>
          <w:bCs/>
          <w:lang w:val="en-GB"/>
        </w:rPr>
        <w:t xml:space="preserve">overnment released </w:t>
      </w:r>
      <w:r w:rsidRPr="0094342C">
        <w:rPr>
          <w:bCs/>
          <w:lang w:val="en-GB"/>
        </w:rPr>
        <w:t xml:space="preserve">a consultation document that proposed changes to the </w:t>
      </w:r>
      <w:r w:rsidRPr="00383AD7">
        <w:rPr>
          <w:bCs/>
          <w:i/>
          <w:lang w:val="en-GB"/>
        </w:rPr>
        <w:t xml:space="preserve">Companies </w:t>
      </w:r>
      <w:r w:rsidR="00F75E65" w:rsidRPr="00383AD7">
        <w:rPr>
          <w:bCs/>
          <w:i/>
          <w:lang w:val="en-GB"/>
        </w:rPr>
        <w:t>Act</w:t>
      </w:r>
      <w:r w:rsidRPr="00383AD7">
        <w:rPr>
          <w:bCs/>
          <w:i/>
          <w:lang w:val="en-GB"/>
        </w:rPr>
        <w:t>.</w:t>
      </w:r>
      <w:r w:rsidRPr="0094342C">
        <w:rPr>
          <w:bCs/>
          <w:lang w:val="en-GB"/>
        </w:rPr>
        <w:t xml:space="preserve"> Among other things</w:t>
      </w:r>
      <w:r w:rsidR="00640773">
        <w:rPr>
          <w:bCs/>
          <w:lang w:val="en-GB"/>
        </w:rPr>
        <w:t>,</w:t>
      </w:r>
      <w:r w:rsidRPr="0094342C">
        <w:rPr>
          <w:bCs/>
          <w:lang w:val="en-GB"/>
        </w:rPr>
        <w:t xml:space="preserve"> </w:t>
      </w:r>
      <w:r w:rsidR="00640773">
        <w:rPr>
          <w:bCs/>
          <w:lang w:val="en-GB"/>
        </w:rPr>
        <w:t>it</w:t>
      </w:r>
      <w:r w:rsidRPr="0094342C">
        <w:rPr>
          <w:bCs/>
          <w:lang w:val="en-GB"/>
        </w:rPr>
        <w:t xml:space="preserve"> had a new clause stat</w:t>
      </w:r>
      <w:r w:rsidR="00640773">
        <w:rPr>
          <w:bCs/>
          <w:lang w:val="en-GB"/>
        </w:rPr>
        <w:t>ing</w:t>
      </w:r>
      <w:r w:rsidRPr="0094342C">
        <w:rPr>
          <w:bCs/>
          <w:lang w:val="en-GB"/>
        </w:rPr>
        <w:t xml:space="preserve"> that businesses with a certain net worth would have to </w:t>
      </w:r>
      <w:r>
        <w:rPr>
          <w:bCs/>
          <w:lang w:val="en-GB"/>
        </w:rPr>
        <w:t>spend</w:t>
      </w:r>
      <w:r w:rsidRPr="0094342C">
        <w:rPr>
          <w:bCs/>
          <w:lang w:val="en-GB"/>
        </w:rPr>
        <w:t xml:space="preserve"> 2</w:t>
      </w:r>
      <w:r>
        <w:rPr>
          <w:bCs/>
          <w:lang w:val="en-GB"/>
        </w:rPr>
        <w:t xml:space="preserve"> per</w:t>
      </w:r>
      <w:r w:rsidR="007B55D7">
        <w:rPr>
          <w:bCs/>
          <w:lang w:val="en-GB"/>
        </w:rPr>
        <w:t xml:space="preserve"> </w:t>
      </w:r>
      <w:r>
        <w:rPr>
          <w:bCs/>
          <w:lang w:val="en-GB"/>
        </w:rPr>
        <w:t>cent</w:t>
      </w:r>
      <w:r w:rsidRPr="0094342C">
        <w:rPr>
          <w:bCs/>
          <w:lang w:val="en-GB"/>
        </w:rPr>
        <w:t xml:space="preserve"> of their average net profits over the p</w:t>
      </w:r>
      <w:r w:rsidR="0055225E">
        <w:rPr>
          <w:bCs/>
          <w:lang w:val="en-GB"/>
        </w:rPr>
        <w:t>revious</w:t>
      </w:r>
      <w:r w:rsidRPr="0094342C">
        <w:rPr>
          <w:bCs/>
          <w:lang w:val="en-GB"/>
        </w:rPr>
        <w:t xml:space="preserve"> </w:t>
      </w:r>
      <w:r w:rsidR="00CF05D1">
        <w:rPr>
          <w:bCs/>
          <w:lang w:val="en-GB"/>
        </w:rPr>
        <w:t>three</w:t>
      </w:r>
      <w:r w:rsidRPr="0094342C">
        <w:rPr>
          <w:bCs/>
          <w:lang w:val="en-GB"/>
        </w:rPr>
        <w:t xml:space="preserve"> years </w:t>
      </w:r>
      <w:r w:rsidR="00640773">
        <w:rPr>
          <w:bCs/>
          <w:lang w:val="en-GB"/>
        </w:rPr>
        <w:t>on</w:t>
      </w:r>
      <w:r w:rsidRPr="0094342C">
        <w:rPr>
          <w:bCs/>
          <w:lang w:val="en-GB"/>
        </w:rPr>
        <w:t xml:space="preserve"> CSR schemes.</w:t>
      </w:r>
      <w:r w:rsidR="00502356">
        <w:rPr>
          <w:bCs/>
          <w:lang w:val="en-GB"/>
        </w:rPr>
        <w:t xml:space="preserve"> T</w:t>
      </w:r>
      <w:r w:rsidRPr="0094342C">
        <w:rPr>
          <w:bCs/>
          <w:lang w:val="en-GB"/>
        </w:rPr>
        <w:t xml:space="preserve">his </w:t>
      </w:r>
      <w:r w:rsidR="00BF4F14">
        <w:rPr>
          <w:bCs/>
          <w:lang w:val="en-GB"/>
        </w:rPr>
        <w:t xml:space="preserve">change </w:t>
      </w:r>
      <w:r w:rsidRPr="0094342C">
        <w:rPr>
          <w:bCs/>
          <w:lang w:val="en-GB"/>
        </w:rPr>
        <w:t>set off a large debate in the country</w:t>
      </w:r>
      <w:r w:rsidR="00502356">
        <w:rPr>
          <w:bCs/>
          <w:lang w:val="en-GB"/>
        </w:rPr>
        <w:t>,</w:t>
      </w:r>
      <w:r w:rsidRPr="0094342C">
        <w:rPr>
          <w:bCs/>
          <w:lang w:val="en-GB"/>
        </w:rPr>
        <w:t xml:space="preserve"> with many arguing for and against</w:t>
      </w:r>
      <w:r w:rsidR="00502356">
        <w:rPr>
          <w:bCs/>
          <w:lang w:val="en-GB"/>
        </w:rPr>
        <w:t xml:space="preserve"> the</w:t>
      </w:r>
      <w:r w:rsidRPr="0094342C">
        <w:rPr>
          <w:bCs/>
          <w:lang w:val="en-GB"/>
        </w:rPr>
        <w:t xml:space="preserve"> clause</w:t>
      </w:r>
      <w:r w:rsidR="00502356">
        <w:rPr>
          <w:bCs/>
          <w:lang w:val="en-GB"/>
        </w:rPr>
        <w:t xml:space="preserve">. Meanwhile, </w:t>
      </w:r>
      <w:r w:rsidRPr="004255DC">
        <w:rPr>
          <w:bCs/>
          <w:lang w:val="en-GB"/>
        </w:rPr>
        <w:t>Nestl</w:t>
      </w:r>
      <w:r w:rsidR="00502356">
        <w:rPr>
          <w:bCs/>
          <w:lang w:val="en-GB"/>
        </w:rPr>
        <w:t>é</w:t>
      </w:r>
      <w:r w:rsidRPr="004255DC">
        <w:rPr>
          <w:bCs/>
          <w:lang w:val="en-GB"/>
        </w:rPr>
        <w:t xml:space="preserve"> </w:t>
      </w:r>
      <w:r w:rsidRPr="00BC6BE8">
        <w:rPr>
          <w:bCs/>
          <w:lang w:val="en-GB"/>
        </w:rPr>
        <w:t>established a cross</w:t>
      </w:r>
      <w:r w:rsidR="00502356">
        <w:rPr>
          <w:bCs/>
          <w:lang w:val="en-GB"/>
        </w:rPr>
        <w:t>-</w:t>
      </w:r>
      <w:r w:rsidRPr="00BC6BE8">
        <w:rPr>
          <w:bCs/>
          <w:lang w:val="en-GB"/>
        </w:rPr>
        <w:t>functional team consisting of representatives from legal, finance</w:t>
      </w:r>
      <w:r w:rsidR="00502356">
        <w:rPr>
          <w:bCs/>
          <w:lang w:val="en-GB"/>
        </w:rPr>
        <w:t>,</w:t>
      </w:r>
      <w:r w:rsidRPr="00BC6BE8">
        <w:rPr>
          <w:bCs/>
          <w:lang w:val="en-GB"/>
        </w:rPr>
        <w:t xml:space="preserve"> and corporate affairs to closely monitor the </w:t>
      </w:r>
      <w:r>
        <w:rPr>
          <w:bCs/>
          <w:lang w:val="en-GB"/>
        </w:rPr>
        <w:t xml:space="preserve">legislative </w:t>
      </w:r>
      <w:r w:rsidRPr="00BC6BE8">
        <w:rPr>
          <w:bCs/>
          <w:lang w:val="en-GB"/>
        </w:rPr>
        <w:t>developments</w:t>
      </w:r>
      <w:r w:rsidR="00502356">
        <w:rPr>
          <w:bCs/>
          <w:lang w:val="en-GB"/>
        </w:rPr>
        <w:t>,</w:t>
      </w:r>
      <w:r w:rsidRPr="00BC6BE8">
        <w:rPr>
          <w:bCs/>
          <w:lang w:val="en-GB"/>
        </w:rPr>
        <w:t xml:space="preserve"> and conduct industry and global benchmarking exercises. </w:t>
      </w:r>
      <w:r w:rsidRPr="00B50306">
        <w:rPr>
          <w:bCs/>
          <w:lang w:val="en-GB"/>
        </w:rPr>
        <w:t>The company also spoke</w:t>
      </w:r>
      <w:r w:rsidRPr="004544E0">
        <w:rPr>
          <w:bCs/>
          <w:lang w:val="en-GB"/>
        </w:rPr>
        <w:t xml:space="preserve"> with experts </w:t>
      </w:r>
      <w:r w:rsidR="00502356">
        <w:rPr>
          <w:bCs/>
          <w:lang w:val="en-GB"/>
        </w:rPr>
        <w:t>to</w:t>
      </w:r>
      <w:r w:rsidRPr="004544E0">
        <w:rPr>
          <w:bCs/>
          <w:lang w:val="en-GB"/>
        </w:rPr>
        <w:t xml:space="preserve"> interpret the law and guidelines.</w:t>
      </w:r>
      <w:r w:rsidRPr="001B268A">
        <w:rPr>
          <w:bCs/>
          <w:lang w:val="en-GB"/>
        </w:rPr>
        <w:t xml:space="preserve"> </w:t>
      </w:r>
    </w:p>
    <w:p w14:paraId="158F9F97" w14:textId="77777777" w:rsidR="00502356" w:rsidRDefault="00502356" w:rsidP="00A81B5F">
      <w:pPr>
        <w:pStyle w:val="BodyTextMain"/>
        <w:rPr>
          <w:bCs/>
          <w:lang w:val="en-GB"/>
        </w:rPr>
      </w:pPr>
    </w:p>
    <w:p w14:paraId="0DE4E7CF" w14:textId="552A68BF" w:rsidR="00A81B5F" w:rsidRPr="004255DC" w:rsidRDefault="00A81B5F" w:rsidP="00A81B5F">
      <w:pPr>
        <w:pStyle w:val="BodyTextMain"/>
        <w:rPr>
          <w:lang w:val="en-GB"/>
        </w:rPr>
      </w:pPr>
      <w:r w:rsidRPr="00EA0404">
        <w:rPr>
          <w:bCs/>
          <w:lang w:val="en-GB"/>
        </w:rPr>
        <w:t xml:space="preserve">In September 2013, </w:t>
      </w:r>
      <w:r w:rsidR="00625E7B" w:rsidRPr="00383AD7">
        <w:rPr>
          <w:bCs/>
          <w:i/>
          <w:lang w:val="en-GB"/>
        </w:rPr>
        <w:t>T</w:t>
      </w:r>
      <w:r w:rsidRPr="00383AD7">
        <w:rPr>
          <w:bCs/>
          <w:i/>
          <w:lang w:val="en-GB"/>
        </w:rPr>
        <w:t>he Companies Act</w:t>
      </w:r>
      <w:r w:rsidR="00625E7B" w:rsidRPr="00383AD7">
        <w:rPr>
          <w:bCs/>
          <w:i/>
          <w:lang w:val="en-GB"/>
        </w:rPr>
        <w:t>,</w:t>
      </w:r>
      <w:r w:rsidRPr="00383AD7">
        <w:rPr>
          <w:bCs/>
          <w:i/>
          <w:lang w:val="en-GB"/>
        </w:rPr>
        <w:t xml:space="preserve"> 2013</w:t>
      </w:r>
      <w:r w:rsidRPr="00EA0404">
        <w:rPr>
          <w:bCs/>
          <w:lang w:val="en-GB"/>
        </w:rPr>
        <w:t xml:space="preserve"> came into force with the 2</w:t>
      </w:r>
      <w:r>
        <w:rPr>
          <w:bCs/>
          <w:lang w:val="en-GB"/>
        </w:rPr>
        <w:t xml:space="preserve"> per cent</w:t>
      </w:r>
      <w:r w:rsidRPr="00EA0404">
        <w:rPr>
          <w:bCs/>
          <w:lang w:val="en-GB"/>
        </w:rPr>
        <w:t xml:space="preserve"> mandatory CSR clause. All companies that fit the criteria would need to make these spends </w:t>
      </w:r>
      <w:r w:rsidR="00044F47">
        <w:rPr>
          <w:bCs/>
          <w:lang w:val="en-GB"/>
        </w:rPr>
        <w:t>starting with</w:t>
      </w:r>
      <w:r w:rsidRPr="00EA0404">
        <w:rPr>
          <w:bCs/>
          <w:lang w:val="en-GB"/>
        </w:rPr>
        <w:t xml:space="preserve"> the next financial year </w:t>
      </w:r>
      <w:r w:rsidR="00B1557E">
        <w:rPr>
          <w:bCs/>
          <w:lang w:val="en-GB"/>
        </w:rPr>
        <w:t>beginning</w:t>
      </w:r>
      <w:r w:rsidRPr="00EA0404">
        <w:rPr>
          <w:bCs/>
          <w:lang w:val="en-GB"/>
        </w:rPr>
        <w:t xml:space="preserve"> April</w:t>
      </w:r>
      <w:r w:rsidR="00502356">
        <w:rPr>
          <w:bCs/>
          <w:lang w:val="en-GB"/>
        </w:rPr>
        <w:t xml:space="preserve"> 1,</w:t>
      </w:r>
      <w:r w:rsidRPr="00EA0404">
        <w:rPr>
          <w:bCs/>
          <w:lang w:val="en-GB"/>
        </w:rPr>
        <w:t xml:space="preserve"> 2014. </w:t>
      </w:r>
      <w:r>
        <w:rPr>
          <w:bCs/>
          <w:lang w:val="en-GB"/>
        </w:rPr>
        <w:t xml:space="preserve">Companies under its purview needed to spend </w:t>
      </w:r>
      <w:r w:rsidRPr="006C5D85">
        <w:rPr>
          <w:lang w:val="en-GB"/>
        </w:rPr>
        <w:t>2</w:t>
      </w:r>
      <w:r>
        <w:rPr>
          <w:lang w:val="en-GB"/>
        </w:rPr>
        <w:t xml:space="preserve"> per</w:t>
      </w:r>
      <w:r w:rsidR="007B55D7">
        <w:rPr>
          <w:lang w:val="en-GB"/>
        </w:rPr>
        <w:t xml:space="preserve"> </w:t>
      </w:r>
      <w:r>
        <w:rPr>
          <w:lang w:val="en-GB"/>
        </w:rPr>
        <w:t>cent</w:t>
      </w:r>
      <w:r w:rsidRPr="006C5D85">
        <w:rPr>
          <w:lang w:val="en-GB"/>
        </w:rPr>
        <w:t xml:space="preserve"> of </w:t>
      </w:r>
      <w:r>
        <w:rPr>
          <w:lang w:val="en-GB"/>
        </w:rPr>
        <w:t>their</w:t>
      </w:r>
      <w:r w:rsidRPr="006C5D85">
        <w:rPr>
          <w:lang w:val="en-GB"/>
        </w:rPr>
        <w:t xml:space="preserve"> profits on CSR activities that were not part of the</w:t>
      </w:r>
      <w:r w:rsidR="00502356">
        <w:rPr>
          <w:lang w:val="en-GB"/>
        </w:rPr>
        <w:t>ir</w:t>
      </w:r>
      <w:r w:rsidRPr="006C5D85">
        <w:rPr>
          <w:lang w:val="en-GB"/>
        </w:rPr>
        <w:t xml:space="preserve"> normal business. Failure to spend would require reporting by the </w:t>
      </w:r>
      <w:r w:rsidR="00502356">
        <w:rPr>
          <w:lang w:val="en-GB"/>
        </w:rPr>
        <w:t>b</w:t>
      </w:r>
      <w:r w:rsidRPr="006C5D85">
        <w:rPr>
          <w:lang w:val="en-GB"/>
        </w:rPr>
        <w:t xml:space="preserve">oard of </w:t>
      </w:r>
      <w:r w:rsidR="00502356">
        <w:rPr>
          <w:lang w:val="en-GB"/>
        </w:rPr>
        <w:t>d</w:t>
      </w:r>
      <w:r w:rsidRPr="006C5D85">
        <w:rPr>
          <w:lang w:val="en-GB"/>
        </w:rPr>
        <w:t>irectors in the</w:t>
      </w:r>
      <w:r w:rsidR="00502356">
        <w:rPr>
          <w:lang w:val="en-GB"/>
        </w:rPr>
        <w:t xml:space="preserve"> a</w:t>
      </w:r>
      <w:r w:rsidRPr="006C5D85">
        <w:rPr>
          <w:lang w:val="en-GB"/>
        </w:rPr>
        <w:t xml:space="preserve">nnual </w:t>
      </w:r>
      <w:r w:rsidR="00502356">
        <w:rPr>
          <w:lang w:val="en-GB"/>
        </w:rPr>
        <w:t>r</w:t>
      </w:r>
      <w:r w:rsidRPr="006C5D85">
        <w:rPr>
          <w:lang w:val="en-GB"/>
        </w:rPr>
        <w:t xml:space="preserve">eport. Industry bodies had raised the issue that CSR should be part of </w:t>
      </w:r>
      <w:r w:rsidR="00044F47">
        <w:rPr>
          <w:lang w:val="en-GB"/>
        </w:rPr>
        <w:t xml:space="preserve">a </w:t>
      </w:r>
      <w:r w:rsidR="00502356">
        <w:rPr>
          <w:lang w:val="en-GB"/>
        </w:rPr>
        <w:t>company</w:t>
      </w:r>
      <w:r w:rsidR="00044F47">
        <w:rPr>
          <w:lang w:val="en-GB"/>
        </w:rPr>
        <w:t>’s</w:t>
      </w:r>
      <w:r w:rsidR="00502356">
        <w:rPr>
          <w:lang w:val="en-GB"/>
        </w:rPr>
        <w:t xml:space="preserve"> </w:t>
      </w:r>
      <w:r w:rsidRPr="006C5D85">
        <w:rPr>
          <w:lang w:val="en-GB"/>
        </w:rPr>
        <w:t>core capabilities</w:t>
      </w:r>
      <w:r w:rsidR="00044F47">
        <w:rPr>
          <w:lang w:val="en-GB"/>
        </w:rPr>
        <w:t xml:space="preserve">. However, </w:t>
      </w:r>
      <w:r w:rsidRPr="006C5D85">
        <w:rPr>
          <w:lang w:val="en-GB"/>
        </w:rPr>
        <w:t xml:space="preserve">the </w:t>
      </w:r>
      <w:r w:rsidR="00502356">
        <w:rPr>
          <w:lang w:val="en-GB"/>
        </w:rPr>
        <w:t>g</w:t>
      </w:r>
      <w:r w:rsidRPr="006C5D85">
        <w:rPr>
          <w:lang w:val="en-GB"/>
        </w:rPr>
        <w:t xml:space="preserve">overnment stood firm, saying that if a company conducted CSR activities that were close to its business interests, the </w:t>
      </w:r>
      <w:r w:rsidR="00502356">
        <w:rPr>
          <w:lang w:val="en-GB"/>
        </w:rPr>
        <w:t>g</w:t>
      </w:r>
      <w:r w:rsidRPr="006C5D85">
        <w:rPr>
          <w:lang w:val="en-GB"/>
        </w:rPr>
        <w:t>overnment would not be able to distinguish business activities from the company’s contribution to society</w:t>
      </w:r>
      <w:r w:rsidR="007B55D7">
        <w:rPr>
          <w:lang w:val="en-GB"/>
        </w:rPr>
        <w:t xml:space="preserve"> (see </w:t>
      </w:r>
      <w:r w:rsidRPr="006C5D85">
        <w:rPr>
          <w:lang w:val="en-GB"/>
        </w:rPr>
        <w:t xml:space="preserve">Exhibit </w:t>
      </w:r>
      <w:r>
        <w:rPr>
          <w:lang w:val="en-GB"/>
        </w:rPr>
        <w:t>7</w:t>
      </w:r>
      <w:r w:rsidRPr="004255DC">
        <w:rPr>
          <w:lang w:val="en-GB"/>
        </w:rPr>
        <w:t>)</w:t>
      </w:r>
      <w:r w:rsidR="007B55D7">
        <w:rPr>
          <w:lang w:val="en-GB"/>
        </w:rPr>
        <w:t>.</w:t>
      </w:r>
    </w:p>
    <w:p w14:paraId="219DB68F" w14:textId="77777777" w:rsidR="00A81B5F" w:rsidRPr="00A81B5F" w:rsidRDefault="00A81B5F" w:rsidP="00A81B5F">
      <w:pPr>
        <w:pStyle w:val="BodyTextMain"/>
      </w:pPr>
    </w:p>
    <w:p w14:paraId="3A7154EE" w14:textId="77777777" w:rsidR="00A81B5F" w:rsidRPr="00A81B5F" w:rsidRDefault="00A81B5F" w:rsidP="00A81B5F">
      <w:pPr>
        <w:pStyle w:val="BodyTextMain"/>
      </w:pPr>
    </w:p>
    <w:p w14:paraId="28D40528" w14:textId="77777777" w:rsidR="00A81B5F" w:rsidRPr="004255DC" w:rsidRDefault="00A81B5F" w:rsidP="00A81B5F">
      <w:pPr>
        <w:pStyle w:val="Casehead1"/>
        <w:rPr>
          <w:lang w:val="en-GB"/>
        </w:rPr>
      </w:pPr>
      <w:r w:rsidRPr="004255DC">
        <w:rPr>
          <w:lang w:val="en-GB"/>
        </w:rPr>
        <w:t>CREATING THE RIGHT STRATEGY</w:t>
      </w:r>
    </w:p>
    <w:p w14:paraId="68D68913" w14:textId="77777777" w:rsidR="00A81B5F" w:rsidRPr="00A81B5F" w:rsidRDefault="00A81B5F" w:rsidP="00A81B5F">
      <w:pPr>
        <w:pStyle w:val="BodyTextMain"/>
      </w:pPr>
    </w:p>
    <w:p w14:paraId="09558AED" w14:textId="79DA6982" w:rsidR="00A81B5F" w:rsidRDefault="00A74A1D" w:rsidP="00A81B5F">
      <w:pPr>
        <w:pStyle w:val="BodyTextMain"/>
        <w:rPr>
          <w:lang w:val="en-GB"/>
        </w:rPr>
      </w:pPr>
      <w:r>
        <w:rPr>
          <w:bCs/>
          <w:lang w:val="en-GB"/>
        </w:rPr>
        <w:t>Khajuria</w:t>
      </w:r>
      <w:r w:rsidR="00A81B5F" w:rsidRPr="004255DC">
        <w:rPr>
          <w:bCs/>
          <w:lang w:val="en-GB"/>
        </w:rPr>
        <w:t xml:space="preserve"> now needed to plan the road ahead. </w:t>
      </w:r>
      <w:r w:rsidR="00A81B5F" w:rsidRPr="004255DC">
        <w:rPr>
          <w:lang w:val="en-GB"/>
        </w:rPr>
        <w:t>It was already the end of the year</w:t>
      </w:r>
      <w:r w:rsidR="00802A2C">
        <w:rPr>
          <w:lang w:val="en-GB"/>
        </w:rPr>
        <w:t>,</w:t>
      </w:r>
      <w:r w:rsidR="00A81B5F" w:rsidRPr="004255DC">
        <w:rPr>
          <w:lang w:val="en-GB"/>
        </w:rPr>
        <w:t xml:space="preserve"> and the regional offices and the institutions </w:t>
      </w:r>
      <w:r w:rsidR="00B1557E">
        <w:rPr>
          <w:lang w:val="en-GB"/>
        </w:rPr>
        <w:t>Nestlé</w:t>
      </w:r>
      <w:r w:rsidR="00A81B5F" w:rsidRPr="004255DC">
        <w:rPr>
          <w:lang w:val="en-GB"/>
        </w:rPr>
        <w:t xml:space="preserve"> worked with had submitted their annual reports on funds u</w:t>
      </w:r>
      <w:r w:rsidR="00802A2C">
        <w:rPr>
          <w:lang w:val="en-GB"/>
        </w:rPr>
        <w:t>sed</w:t>
      </w:r>
      <w:r w:rsidR="00A81B5F" w:rsidRPr="004255DC">
        <w:rPr>
          <w:lang w:val="en-GB"/>
        </w:rPr>
        <w:t xml:space="preserve"> and beneficiaries reached. Now they were planning for the next year. </w:t>
      </w:r>
      <w:r w:rsidR="0055225E">
        <w:rPr>
          <w:lang w:val="en-GB"/>
        </w:rPr>
        <w:t>Although</w:t>
      </w:r>
      <w:r w:rsidR="00A81B5F" w:rsidRPr="004255DC">
        <w:rPr>
          <w:lang w:val="en-GB"/>
        </w:rPr>
        <w:t xml:space="preserve"> </w:t>
      </w:r>
      <w:r w:rsidR="00802A2C">
        <w:rPr>
          <w:lang w:val="en-GB"/>
        </w:rPr>
        <w:t>Nestlé</w:t>
      </w:r>
      <w:r w:rsidR="00A81B5F" w:rsidRPr="004255DC">
        <w:rPr>
          <w:lang w:val="en-GB"/>
        </w:rPr>
        <w:t xml:space="preserve"> had made significant investments in social commitments in past years</w:t>
      </w:r>
      <w:r w:rsidR="00B1557E">
        <w:rPr>
          <w:lang w:val="en-GB"/>
        </w:rPr>
        <w:t>,</w:t>
      </w:r>
      <w:r w:rsidR="00A81B5F" w:rsidRPr="004255DC">
        <w:rPr>
          <w:lang w:val="en-GB"/>
        </w:rPr>
        <w:t xml:space="preserve"> </w:t>
      </w:r>
      <w:r>
        <w:rPr>
          <w:lang w:val="en-GB"/>
        </w:rPr>
        <w:t>Khajuria</w:t>
      </w:r>
      <w:r w:rsidR="00A81B5F" w:rsidRPr="004255DC">
        <w:rPr>
          <w:lang w:val="en-GB"/>
        </w:rPr>
        <w:t xml:space="preserve"> reali</w:t>
      </w:r>
      <w:r w:rsidR="00CE1B8D">
        <w:rPr>
          <w:lang w:val="en-GB"/>
        </w:rPr>
        <w:t>z</w:t>
      </w:r>
      <w:r w:rsidR="00A81B5F" w:rsidRPr="004255DC">
        <w:rPr>
          <w:lang w:val="en-GB"/>
        </w:rPr>
        <w:t xml:space="preserve">ed that </w:t>
      </w:r>
      <w:r w:rsidR="00CE1B8D">
        <w:rPr>
          <w:lang w:val="en-GB"/>
        </w:rPr>
        <w:t>the amount</w:t>
      </w:r>
      <w:r w:rsidR="00A81B5F" w:rsidRPr="004255DC">
        <w:rPr>
          <w:lang w:val="en-GB"/>
        </w:rPr>
        <w:t xml:space="preserve"> was </w:t>
      </w:r>
      <w:r w:rsidR="0055225E">
        <w:rPr>
          <w:lang w:val="en-GB"/>
        </w:rPr>
        <w:t xml:space="preserve">figuratively </w:t>
      </w:r>
      <w:r w:rsidR="00A81B5F" w:rsidRPr="004255DC">
        <w:rPr>
          <w:lang w:val="en-GB"/>
        </w:rPr>
        <w:t>just a drop in the ocean. Nestlé was a health and nutrition company</w:t>
      </w:r>
      <w:r w:rsidR="00CE1B8D">
        <w:rPr>
          <w:lang w:val="en-GB"/>
        </w:rPr>
        <w:t>,</w:t>
      </w:r>
      <w:r w:rsidR="00A81B5F" w:rsidRPr="004255DC">
        <w:rPr>
          <w:lang w:val="en-GB"/>
        </w:rPr>
        <w:t xml:space="preserve"> and he wonde</w:t>
      </w:r>
      <w:r w:rsidR="00A81B5F">
        <w:rPr>
          <w:lang w:val="en-GB"/>
        </w:rPr>
        <w:t>red whether the</w:t>
      </w:r>
      <w:r w:rsidR="0055225E">
        <w:rPr>
          <w:lang w:val="en-GB"/>
        </w:rPr>
        <w:t xml:space="preserve"> compan</w:t>
      </w:r>
      <w:r w:rsidR="00A81B5F">
        <w:rPr>
          <w:lang w:val="en-GB"/>
        </w:rPr>
        <w:t>y could do more</w:t>
      </w:r>
      <w:r w:rsidR="00B1557E">
        <w:rPr>
          <w:lang w:val="en-GB"/>
        </w:rPr>
        <w:t>.</w:t>
      </w:r>
      <w:r w:rsidR="00A81B5F" w:rsidRPr="004255DC">
        <w:rPr>
          <w:lang w:val="en-GB"/>
        </w:rPr>
        <w:t xml:space="preserve"> </w:t>
      </w:r>
      <w:r w:rsidR="00A81B5F">
        <w:rPr>
          <w:lang w:val="en-GB"/>
        </w:rPr>
        <w:t xml:space="preserve">Also, he needed to plan budgetary allocations between </w:t>
      </w:r>
      <w:r w:rsidR="00A81B5F" w:rsidRPr="00E569E1">
        <w:rPr>
          <w:lang w:val="en-GB"/>
        </w:rPr>
        <w:t>health and nutrition, rural development</w:t>
      </w:r>
      <w:r w:rsidR="00CE1B8D">
        <w:rPr>
          <w:lang w:val="en-GB"/>
        </w:rPr>
        <w:t>,</w:t>
      </w:r>
      <w:r w:rsidR="00A81B5F" w:rsidRPr="00E569E1">
        <w:rPr>
          <w:lang w:val="en-GB"/>
        </w:rPr>
        <w:t xml:space="preserve"> and water</w:t>
      </w:r>
      <w:r w:rsidR="00A81B5F">
        <w:rPr>
          <w:lang w:val="en-GB"/>
        </w:rPr>
        <w:t xml:space="preserve"> initiatives. The new compliance</w:t>
      </w:r>
      <w:r w:rsidR="00CE1B8D">
        <w:rPr>
          <w:lang w:val="en-GB"/>
        </w:rPr>
        <w:t>-</w:t>
      </w:r>
      <w:r w:rsidR="00A81B5F">
        <w:rPr>
          <w:lang w:val="en-GB"/>
        </w:rPr>
        <w:t>related challenges further added to the complexity.</w:t>
      </w:r>
    </w:p>
    <w:p w14:paraId="31BF6497" w14:textId="77777777" w:rsidR="00A81B5F" w:rsidRPr="004255DC" w:rsidRDefault="00A81B5F" w:rsidP="00A81B5F">
      <w:pPr>
        <w:pStyle w:val="BodyTextMain"/>
        <w:rPr>
          <w:bCs/>
          <w:lang w:val="en-GB"/>
        </w:rPr>
      </w:pPr>
    </w:p>
    <w:p w14:paraId="1682BB11" w14:textId="4B0E91E4" w:rsidR="00A81B5F" w:rsidRDefault="00A81B5F" w:rsidP="00A81B5F">
      <w:pPr>
        <w:pStyle w:val="BodyTextMain"/>
        <w:rPr>
          <w:bCs/>
          <w:lang w:val="en-GB"/>
        </w:rPr>
      </w:pPr>
      <w:r w:rsidRPr="00AA1B84">
        <w:rPr>
          <w:bCs/>
          <w:lang w:val="en-GB"/>
        </w:rPr>
        <w:t>The</w:t>
      </w:r>
      <w:r w:rsidR="00D42E02">
        <w:rPr>
          <w:bCs/>
          <w:lang w:val="en-GB"/>
        </w:rPr>
        <w:t xml:space="preserve"> </w:t>
      </w:r>
      <w:r w:rsidRPr="00AA1B84">
        <w:rPr>
          <w:bCs/>
          <w:lang w:val="en-GB"/>
        </w:rPr>
        <w:t>CEO</w:t>
      </w:r>
      <w:r w:rsidR="0030793E">
        <w:rPr>
          <w:bCs/>
          <w:lang w:val="en-GB"/>
        </w:rPr>
        <w:t xml:space="preserve"> of Nestl</w:t>
      </w:r>
      <w:r w:rsidR="0030793E">
        <w:rPr>
          <w:lang w:val="en-GB"/>
        </w:rPr>
        <w:t>é</w:t>
      </w:r>
      <w:r w:rsidR="0030793E">
        <w:rPr>
          <w:bCs/>
          <w:lang w:val="en-GB"/>
        </w:rPr>
        <w:t xml:space="preserve"> India</w:t>
      </w:r>
      <w:r w:rsidR="00496DA5">
        <w:rPr>
          <w:bCs/>
          <w:lang w:val="en-GB"/>
        </w:rPr>
        <w:t xml:space="preserve">, </w:t>
      </w:r>
      <w:r w:rsidR="00D42E02">
        <w:rPr>
          <w:bCs/>
          <w:lang w:val="en-GB"/>
        </w:rPr>
        <w:t>Antoni</w:t>
      </w:r>
      <w:r w:rsidR="00C148AA">
        <w:rPr>
          <w:bCs/>
          <w:lang w:val="en-GB"/>
        </w:rPr>
        <w:t>o</w:t>
      </w:r>
      <w:r w:rsidR="00D42E02">
        <w:rPr>
          <w:bCs/>
          <w:lang w:val="en-GB"/>
        </w:rPr>
        <w:t xml:space="preserve"> </w:t>
      </w:r>
      <w:proofErr w:type="spellStart"/>
      <w:r w:rsidR="00C148AA">
        <w:rPr>
          <w:bCs/>
          <w:lang w:val="en-GB"/>
        </w:rPr>
        <w:t>Helio</w:t>
      </w:r>
      <w:proofErr w:type="spellEnd"/>
      <w:r w:rsidR="00C148AA">
        <w:rPr>
          <w:bCs/>
          <w:lang w:val="en-GB"/>
        </w:rPr>
        <w:t xml:space="preserve"> </w:t>
      </w:r>
      <w:proofErr w:type="spellStart"/>
      <w:r w:rsidR="00D42E02">
        <w:rPr>
          <w:bCs/>
          <w:lang w:val="en-GB"/>
        </w:rPr>
        <w:t>Waszyk</w:t>
      </w:r>
      <w:proofErr w:type="spellEnd"/>
      <w:r w:rsidR="006934E1">
        <w:rPr>
          <w:bCs/>
          <w:lang w:val="en-GB"/>
        </w:rPr>
        <w:t>,</w:t>
      </w:r>
      <w:r w:rsidRPr="00AA1B84">
        <w:rPr>
          <w:bCs/>
          <w:lang w:val="en-GB"/>
        </w:rPr>
        <w:t xml:space="preserve"> had asked for a meeting in the coming month so that they could plan and implement their next course of action.</w:t>
      </w:r>
      <w:r w:rsidR="006934E1">
        <w:rPr>
          <w:bCs/>
          <w:lang w:val="en-GB"/>
        </w:rPr>
        <w:t xml:space="preserve"> </w:t>
      </w:r>
      <w:proofErr w:type="spellStart"/>
      <w:r w:rsidR="00D42E02">
        <w:rPr>
          <w:bCs/>
          <w:lang w:val="en-GB"/>
        </w:rPr>
        <w:t>Waszyk</w:t>
      </w:r>
      <w:proofErr w:type="spellEnd"/>
      <w:r w:rsidR="00D42E02">
        <w:rPr>
          <w:bCs/>
          <w:lang w:val="en-GB"/>
        </w:rPr>
        <w:t xml:space="preserve"> </w:t>
      </w:r>
      <w:r>
        <w:rPr>
          <w:bCs/>
          <w:lang w:val="en-GB"/>
        </w:rPr>
        <w:t xml:space="preserve">also indicated to </w:t>
      </w:r>
      <w:r w:rsidR="00A74A1D">
        <w:rPr>
          <w:bCs/>
          <w:lang w:val="en-GB"/>
        </w:rPr>
        <w:t>Khajuria</w:t>
      </w:r>
      <w:r>
        <w:rPr>
          <w:bCs/>
          <w:lang w:val="en-GB"/>
        </w:rPr>
        <w:t xml:space="preserve"> that </w:t>
      </w:r>
      <w:r w:rsidR="00B1557E">
        <w:rPr>
          <w:bCs/>
          <w:lang w:val="en-GB"/>
        </w:rPr>
        <w:t xml:space="preserve">the </w:t>
      </w:r>
      <w:r>
        <w:rPr>
          <w:bCs/>
          <w:lang w:val="en-GB"/>
        </w:rPr>
        <w:t xml:space="preserve">next year’s plan needed to </w:t>
      </w:r>
      <w:r w:rsidR="0055225E">
        <w:rPr>
          <w:bCs/>
          <w:lang w:val="en-GB"/>
        </w:rPr>
        <w:t>consider</w:t>
      </w:r>
      <w:r>
        <w:rPr>
          <w:bCs/>
          <w:lang w:val="en-GB"/>
        </w:rPr>
        <w:t xml:space="preserve"> the company’s core capabilities around project implementation</w:t>
      </w:r>
      <w:r w:rsidR="006934E1">
        <w:rPr>
          <w:bCs/>
          <w:lang w:val="en-GB"/>
        </w:rPr>
        <w:t xml:space="preserve">. </w:t>
      </w:r>
      <w:proofErr w:type="spellStart"/>
      <w:r w:rsidR="00D42E02">
        <w:rPr>
          <w:bCs/>
          <w:lang w:val="en-GB"/>
        </w:rPr>
        <w:t>Waszyk</w:t>
      </w:r>
      <w:proofErr w:type="spellEnd"/>
      <w:r w:rsidR="00D42E02">
        <w:rPr>
          <w:bCs/>
          <w:lang w:val="en-GB"/>
        </w:rPr>
        <w:t xml:space="preserve"> </w:t>
      </w:r>
      <w:r w:rsidR="00CE1B8D">
        <w:rPr>
          <w:bCs/>
          <w:lang w:val="en-GB"/>
        </w:rPr>
        <w:t xml:space="preserve">asked </w:t>
      </w:r>
      <w:proofErr w:type="spellStart"/>
      <w:r w:rsidR="00A74A1D">
        <w:rPr>
          <w:bCs/>
          <w:lang w:val="en-GB"/>
        </w:rPr>
        <w:t>Khajuria</w:t>
      </w:r>
      <w:proofErr w:type="spellEnd"/>
      <w:r>
        <w:rPr>
          <w:bCs/>
          <w:lang w:val="en-GB"/>
        </w:rPr>
        <w:t xml:space="preserve"> to take a close look at the</w:t>
      </w:r>
      <w:r w:rsidR="00CE1B8D">
        <w:rPr>
          <w:bCs/>
          <w:lang w:val="en-GB"/>
        </w:rPr>
        <w:t xml:space="preserve"> company’s</w:t>
      </w:r>
      <w:r>
        <w:rPr>
          <w:bCs/>
          <w:lang w:val="en-GB"/>
        </w:rPr>
        <w:t xml:space="preserve"> </w:t>
      </w:r>
      <w:r w:rsidR="0055225E">
        <w:rPr>
          <w:bCs/>
          <w:lang w:val="en-GB"/>
        </w:rPr>
        <w:t>strengths, weaknesses, opportunities, and threats, (</w:t>
      </w:r>
      <w:r>
        <w:rPr>
          <w:bCs/>
          <w:lang w:val="en-GB"/>
        </w:rPr>
        <w:t>SWOT</w:t>
      </w:r>
      <w:r w:rsidR="0055225E">
        <w:rPr>
          <w:bCs/>
          <w:lang w:val="en-GB"/>
        </w:rPr>
        <w:t>)</w:t>
      </w:r>
      <w:r>
        <w:rPr>
          <w:bCs/>
          <w:lang w:val="en-GB"/>
        </w:rPr>
        <w:t xml:space="preserve"> analysis</w:t>
      </w:r>
      <w:r w:rsidR="00CE1B8D">
        <w:rPr>
          <w:bCs/>
          <w:lang w:val="en-GB"/>
        </w:rPr>
        <w:t xml:space="preserve">, </w:t>
      </w:r>
      <w:r>
        <w:rPr>
          <w:bCs/>
          <w:lang w:val="en-GB"/>
        </w:rPr>
        <w:t xml:space="preserve">which was being presented in the 2013 </w:t>
      </w:r>
      <w:r w:rsidR="00CE1B8D">
        <w:rPr>
          <w:bCs/>
          <w:lang w:val="en-GB"/>
        </w:rPr>
        <w:t>a</w:t>
      </w:r>
      <w:r>
        <w:rPr>
          <w:bCs/>
          <w:lang w:val="en-GB"/>
        </w:rPr>
        <w:t xml:space="preserve">nnual </w:t>
      </w:r>
      <w:r w:rsidR="00CE1B8D">
        <w:rPr>
          <w:bCs/>
          <w:lang w:val="en-GB"/>
        </w:rPr>
        <w:t>r</w:t>
      </w:r>
      <w:r>
        <w:rPr>
          <w:bCs/>
          <w:lang w:val="en-GB"/>
        </w:rPr>
        <w:t>eport</w:t>
      </w:r>
      <w:r w:rsidR="007B55D7">
        <w:rPr>
          <w:bCs/>
          <w:lang w:val="en-GB"/>
        </w:rPr>
        <w:t xml:space="preserve"> (see </w:t>
      </w:r>
      <w:r>
        <w:rPr>
          <w:bCs/>
          <w:lang w:val="en-GB"/>
        </w:rPr>
        <w:t>Exhibit</w:t>
      </w:r>
      <w:r w:rsidR="0036549D">
        <w:rPr>
          <w:bCs/>
          <w:lang w:val="en-GB"/>
        </w:rPr>
        <w:t xml:space="preserve"> </w:t>
      </w:r>
      <w:r>
        <w:rPr>
          <w:bCs/>
          <w:lang w:val="en-GB"/>
        </w:rPr>
        <w:t>8)</w:t>
      </w:r>
      <w:r w:rsidR="007B55D7">
        <w:rPr>
          <w:bCs/>
          <w:lang w:val="en-GB"/>
        </w:rPr>
        <w:t>.</w:t>
      </w:r>
    </w:p>
    <w:p w14:paraId="304F3638" w14:textId="77777777" w:rsidR="00A81B5F" w:rsidRDefault="00A81B5F" w:rsidP="00A81B5F">
      <w:pPr>
        <w:pStyle w:val="BodyTextMain"/>
        <w:rPr>
          <w:bCs/>
          <w:lang w:val="en-GB"/>
        </w:rPr>
      </w:pPr>
    </w:p>
    <w:p w14:paraId="69DFE147" w14:textId="399D665C" w:rsidR="00A81B5F" w:rsidRPr="00AA1B84" w:rsidRDefault="00A81B5F" w:rsidP="00A81B5F">
      <w:pPr>
        <w:pStyle w:val="BodyTextMain"/>
        <w:rPr>
          <w:bCs/>
          <w:lang w:val="en-GB"/>
        </w:rPr>
      </w:pPr>
      <w:r w:rsidRPr="00AA1B84">
        <w:rPr>
          <w:bCs/>
          <w:lang w:val="en-GB"/>
        </w:rPr>
        <w:t xml:space="preserve">While </w:t>
      </w:r>
      <w:r w:rsidR="00A74A1D">
        <w:rPr>
          <w:bCs/>
          <w:lang w:val="en-GB"/>
        </w:rPr>
        <w:t>Khajuria</w:t>
      </w:r>
      <w:r w:rsidRPr="00AA1B84">
        <w:rPr>
          <w:bCs/>
          <w:lang w:val="en-GB"/>
        </w:rPr>
        <w:t xml:space="preserve"> was doing his research, he </w:t>
      </w:r>
      <w:r>
        <w:rPr>
          <w:bCs/>
          <w:lang w:val="en-GB"/>
        </w:rPr>
        <w:t xml:space="preserve">met CSR experts and </w:t>
      </w:r>
      <w:r w:rsidR="00CE1B8D">
        <w:rPr>
          <w:bCs/>
          <w:lang w:val="en-GB"/>
        </w:rPr>
        <w:t>came</w:t>
      </w:r>
      <w:r w:rsidRPr="00AA1B84">
        <w:rPr>
          <w:bCs/>
          <w:lang w:val="en-GB"/>
        </w:rPr>
        <w:t xml:space="preserve"> across many articles </w:t>
      </w:r>
      <w:r w:rsidR="002940F2">
        <w:rPr>
          <w:bCs/>
          <w:lang w:val="en-GB"/>
        </w:rPr>
        <w:t>on</w:t>
      </w:r>
      <w:r>
        <w:rPr>
          <w:bCs/>
          <w:lang w:val="en-GB"/>
        </w:rPr>
        <w:t xml:space="preserve"> plan</w:t>
      </w:r>
      <w:r w:rsidR="002940F2">
        <w:rPr>
          <w:bCs/>
          <w:lang w:val="en-GB"/>
        </w:rPr>
        <w:t>ning a</w:t>
      </w:r>
      <w:r>
        <w:rPr>
          <w:bCs/>
          <w:lang w:val="en-GB"/>
        </w:rPr>
        <w:t xml:space="preserve"> CSR strategy</w:t>
      </w:r>
      <w:r w:rsidRPr="00AA1B84">
        <w:rPr>
          <w:bCs/>
          <w:lang w:val="en-GB"/>
        </w:rPr>
        <w:t xml:space="preserve">. These </w:t>
      </w:r>
      <w:r w:rsidR="00CE1B8D">
        <w:rPr>
          <w:bCs/>
          <w:lang w:val="en-GB"/>
        </w:rPr>
        <w:t>articles addressed</w:t>
      </w:r>
      <w:r w:rsidRPr="00AA1B84">
        <w:rPr>
          <w:bCs/>
          <w:lang w:val="en-GB"/>
        </w:rPr>
        <w:t xml:space="preserve"> company</w:t>
      </w:r>
      <w:r w:rsidR="00CE1B8D">
        <w:rPr>
          <w:bCs/>
          <w:lang w:val="en-GB"/>
        </w:rPr>
        <w:t>-</w:t>
      </w:r>
      <w:r w:rsidRPr="00AA1B84">
        <w:rPr>
          <w:bCs/>
          <w:lang w:val="en-GB"/>
        </w:rPr>
        <w:t>specific factors such as company policies, compliance</w:t>
      </w:r>
      <w:r w:rsidR="00CE1B8D">
        <w:rPr>
          <w:bCs/>
          <w:lang w:val="en-GB"/>
        </w:rPr>
        <w:t>,</w:t>
      </w:r>
      <w:r w:rsidRPr="00AA1B84">
        <w:rPr>
          <w:bCs/>
          <w:lang w:val="en-GB"/>
        </w:rPr>
        <w:t xml:space="preserve"> and legal requirements</w:t>
      </w:r>
      <w:r w:rsidR="00CE1B8D">
        <w:rPr>
          <w:bCs/>
          <w:lang w:val="en-GB"/>
        </w:rPr>
        <w:t>;</w:t>
      </w:r>
      <w:r w:rsidRPr="00AA1B84">
        <w:rPr>
          <w:bCs/>
          <w:lang w:val="en-GB"/>
        </w:rPr>
        <w:t xml:space="preserve"> business issues being faced</w:t>
      </w:r>
      <w:r w:rsidR="00D41737">
        <w:rPr>
          <w:bCs/>
          <w:lang w:val="en-GB"/>
        </w:rPr>
        <w:t>;</w:t>
      </w:r>
      <w:r w:rsidRPr="00AA1B84">
        <w:rPr>
          <w:bCs/>
          <w:lang w:val="en-GB"/>
        </w:rPr>
        <w:t xml:space="preserve"> </w:t>
      </w:r>
      <w:r w:rsidR="00CE1B8D">
        <w:rPr>
          <w:bCs/>
          <w:lang w:val="en-GB"/>
        </w:rPr>
        <w:t>and</w:t>
      </w:r>
      <w:r w:rsidRPr="00AA1B84">
        <w:rPr>
          <w:bCs/>
          <w:lang w:val="en-GB"/>
        </w:rPr>
        <w:t xml:space="preserve"> company size and age. Other factors </w:t>
      </w:r>
      <w:r w:rsidR="00CE1B8D">
        <w:rPr>
          <w:bCs/>
          <w:lang w:val="en-GB"/>
        </w:rPr>
        <w:t>were the</w:t>
      </w:r>
      <w:r w:rsidRPr="00AA1B84">
        <w:rPr>
          <w:bCs/>
          <w:lang w:val="en-GB"/>
        </w:rPr>
        <w:t xml:space="preserve"> regional environment, institutional environment, social norms, culture, history of business</w:t>
      </w:r>
      <w:r w:rsidR="00CE1B8D">
        <w:rPr>
          <w:bCs/>
          <w:lang w:val="en-GB"/>
        </w:rPr>
        <w:t>,</w:t>
      </w:r>
      <w:r w:rsidRPr="00AA1B84">
        <w:rPr>
          <w:bCs/>
          <w:lang w:val="en-GB"/>
        </w:rPr>
        <w:t xml:space="preserve"> and the history of the region.</w:t>
      </w:r>
      <w:r>
        <w:rPr>
          <w:bCs/>
          <w:lang w:val="en-GB"/>
        </w:rPr>
        <w:t xml:space="preserve"> </w:t>
      </w:r>
      <w:r w:rsidRPr="00AA1B84">
        <w:rPr>
          <w:bCs/>
          <w:lang w:val="en-GB"/>
        </w:rPr>
        <w:t>To g</w:t>
      </w:r>
      <w:r w:rsidR="002940F2">
        <w:rPr>
          <w:bCs/>
          <w:lang w:val="en-GB"/>
        </w:rPr>
        <w:t>ain</w:t>
      </w:r>
      <w:r w:rsidRPr="00AA1B84">
        <w:rPr>
          <w:bCs/>
          <w:lang w:val="en-GB"/>
        </w:rPr>
        <w:t xml:space="preserve"> a better </w:t>
      </w:r>
      <w:r w:rsidR="002940F2">
        <w:rPr>
          <w:bCs/>
          <w:lang w:val="en-GB"/>
        </w:rPr>
        <w:t>understanding</w:t>
      </w:r>
      <w:r w:rsidRPr="00AA1B84">
        <w:rPr>
          <w:bCs/>
          <w:lang w:val="en-GB"/>
        </w:rPr>
        <w:t xml:space="preserve">, </w:t>
      </w:r>
      <w:r w:rsidR="00CE1B8D">
        <w:rPr>
          <w:bCs/>
          <w:lang w:val="en-GB"/>
        </w:rPr>
        <w:t>Khajuria</w:t>
      </w:r>
      <w:r w:rsidRPr="00AA1B84">
        <w:rPr>
          <w:bCs/>
          <w:lang w:val="en-GB"/>
        </w:rPr>
        <w:t xml:space="preserve"> called a meeting with the legal and financial </w:t>
      </w:r>
      <w:r>
        <w:rPr>
          <w:bCs/>
          <w:lang w:val="en-GB"/>
        </w:rPr>
        <w:t>teams t</w:t>
      </w:r>
      <w:r w:rsidRPr="00AA1B84">
        <w:rPr>
          <w:bCs/>
          <w:lang w:val="en-GB"/>
        </w:rPr>
        <w:t xml:space="preserve">o </w:t>
      </w:r>
      <w:r w:rsidR="002940F2">
        <w:rPr>
          <w:bCs/>
          <w:lang w:val="en-GB"/>
        </w:rPr>
        <w:t>learn</w:t>
      </w:r>
      <w:r w:rsidRPr="00AA1B84">
        <w:rPr>
          <w:bCs/>
          <w:lang w:val="en-GB"/>
        </w:rPr>
        <w:t xml:space="preserve"> their points of view.</w:t>
      </w:r>
    </w:p>
    <w:p w14:paraId="334E666D" w14:textId="77777777" w:rsidR="002940F2" w:rsidRDefault="002940F2" w:rsidP="00A81B5F">
      <w:pPr>
        <w:pStyle w:val="BodyTextMain"/>
        <w:rPr>
          <w:bCs/>
          <w:lang w:val="en-GB"/>
        </w:rPr>
      </w:pPr>
    </w:p>
    <w:p w14:paraId="7A48D3DE" w14:textId="061373CE" w:rsidR="00CE1B8D" w:rsidRDefault="00A81B5F" w:rsidP="00A81B5F">
      <w:pPr>
        <w:pStyle w:val="BodyTextMain"/>
        <w:rPr>
          <w:bCs/>
          <w:lang w:val="en-GB"/>
        </w:rPr>
      </w:pPr>
      <w:r>
        <w:rPr>
          <w:bCs/>
          <w:lang w:val="en-GB"/>
        </w:rPr>
        <w:t xml:space="preserve">The discussion and brainstorming </w:t>
      </w:r>
      <w:r w:rsidR="00CE1B8D">
        <w:rPr>
          <w:bCs/>
          <w:lang w:val="en-GB"/>
        </w:rPr>
        <w:t xml:space="preserve">brought out </w:t>
      </w:r>
      <w:r w:rsidR="00D41737">
        <w:rPr>
          <w:bCs/>
          <w:lang w:val="en-GB"/>
        </w:rPr>
        <w:t xml:space="preserve">various </w:t>
      </w:r>
      <w:r>
        <w:rPr>
          <w:bCs/>
          <w:lang w:val="en-GB"/>
        </w:rPr>
        <w:t xml:space="preserve">points. One </w:t>
      </w:r>
      <w:r w:rsidR="00CE1B8D">
        <w:rPr>
          <w:bCs/>
          <w:lang w:val="en-GB"/>
        </w:rPr>
        <w:t>person stated:</w:t>
      </w:r>
    </w:p>
    <w:p w14:paraId="498D63A2" w14:textId="77777777" w:rsidR="00CE1B8D" w:rsidRDefault="00CE1B8D" w:rsidP="00A81B5F">
      <w:pPr>
        <w:pStyle w:val="BodyTextMain"/>
        <w:rPr>
          <w:bCs/>
          <w:lang w:val="en-GB"/>
        </w:rPr>
      </w:pPr>
    </w:p>
    <w:p w14:paraId="4CD23FF4" w14:textId="3EF4BAF4" w:rsidR="00A81B5F" w:rsidRPr="004255DC" w:rsidRDefault="00A81B5F" w:rsidP="00006706">
      <w:pPr>
        <w:pStyle w:val="BodyTextMain"/>
        <w:ind w:left="720"/>
        <w:rPr>
          <w:lang w:val="en-GB"/>
        </w:rPr>
      </w:pPr>
      <w:r w:rsidRPr="004255DC">
        <w:rPr>
          <w:lang w:val="en-GB"/>
        </w:rPr>
        <w:t>This law has significant financial implications for us. This is because any social activity that is part of core business cannot be part of CSR budgets. This means that all the work that we do with farmers on rural development can no longer be included as CSR. If CSV and CSR are treated as two different types of projects</w:t>
      </w:r>
      <w:r w:rsidR="00CE1B8D">
        <w:rPr>
          <w:lang w:val="en-GB"/>
        </w:rPr>
        <w:t>,</w:t>
      </w:r>
      <w:r w:rsidRPr="004255DC">
        <w:rPr>
          <w:lang w:val="en-GB"/>
        </w:rPr>
        <w:t xml:space="preserve"> we will have to double our spend</w:t>
      </w:r>
      <w:r>
        <w:rPr>
          <w:lang w:val="en-GB"/>
        </w:rPr>
        <w:t>ing</w:t>
      </w:r>
      <w:r w:rsidRPr="004255DC">
        <w:rPr>
          <w:lang w:val="en-GB"/>
        </w:rPr>
        <w:t xml:space="preserve"> </w:t>
      </w:r>
      <w:r w:rsidR="004269E9">
        <w:rPr>
          <w:lang w:val="en-GB"/>
        </w:rPr>
        <w:t>(</w:t>
      </w:r>
      <w:r w:rsidRPr="004255DC">
        <w:rPr>
          <w:lang w:val="en-GB"/>
        </w:rPr>
        <w:t>i.e.</w:t>
      </w:r>
      <w:r w:rsidR="00CE1B8D">
        <w:rPr>
          <w:lang w:val="en-GB"/>
        </w:rPr>
        <w:t>,</w:t>
      </w:r>
      <w:r w:rsidRPr="004255DC">
        <w:rPr>
          <w:lang w:val="en-GB"/>
        </w:rPr>
        <w:t xml:space="preserve"> continue current CSV </w:t>
      </w:r>
      <w:r w:rsidRPr="004255DC">
        <w:rPr>
          <w:lang w:val="en-GB"/>
        </w:rPr>
        <w:lastRenderedPageBreak/>
        <w:t>spend and an additional 2</w:t>
      </w:r>
      <w:r w:rsidR="00850814">
        <w:rPr>
          <w:lang w:val="en-GB"/>
        </w:rPr>
        <w:t xml:space="preserve"> per cent</w:t>
      </w:r>
      <w:r w:rsidRPr="004255DC">
        <w:rPr>
          <w:lang w:val="en-GB"/>
        </w:rPr>
        <w:t xml:space="preserve"> of net profit on CSR</w:t>
      </w:r>
      <w:r w:rsidR="004269E9">
        <w:rPr>
          <w:lang w:val="en-GB"/>
        </w:rPr>
        <w:t>)</w:t>
      </w:r>
      <w:r w:rsidRPr="004255DC">
        <w:rPr>
          <w:lang w:val="en-GB"/>
        </w:rPr>
        <w:t>. Why don’t we discontinue the CSV initiatives and just focus on CSR in compliance with the Indian law?</w:t>
      </w:r>
    </w:p>
    <w:p w14:paraId="0B1B1F8E" w14:textId="77777777" w:rsidR="002940F2" w:rsidRDefault="002940F2" w:rsidP="00A81B5F">
      <w:pPr>
        <w:pStyle w:val="BodyTextMain"/>
        <w:rPr>
          <w:bCs/>
          <w:lang w:val="en-GB"/>
        </w:rPr>
      </w:pPr>
    </w:p>
    <w:p w14:paraId="5A938E4E" w14:textId="61BC2D1A" w:rsidR="00A81B5F" w:rsidRPr="004255DC" w:rsidRDefault="00CE1B8D" w:rsidP="00A81B5F">
      <w:pPr>
        <w:pStyle w:val="BodyTextMain"/>
        <w:rPr>
          <w:bCs/>
          <w:lang w:val="en-GB"/>
        </w:rPr>
      </w:pPr>
      <w:r>
        <w:rPr>
          <w:bCs/>
          <w:lang w:val="en-GB"/>
        </w:rPr>
        <w:t xml:space="preserve">Another view </w:t>
      </w:r>
      <w:r w:rsidR="00A81B5F">
        <w:rPr>
          <w:bCs/>
          <w:lang w:val="en-GB"/>
        </w:rPr>
        <w:t>was</w:t>
      </w:r>
      <w:r w:rsidR="00A81B5F" w:rsidRPr="004255DC">
        <w:rPr>
          <w:bCs/>
          <w:lang w:val="en-GB"/>
        </w:rPr>
        <w:t>, “We have to comply wit</w:t>
      </w:r>
      <w:r w:rsidR="00A81B5F">
        <w:rPr>
          <w:bCs/>
          <w:lang w:val="en-GB"/>
        </w:rPr>
        <w:t xml:space="preserve">h the law of the land. </w:t>
      </w:r>
      <w:r w:rsidR="00A81B5F" w:rsidRPr="004255DC">
        <w:rPr>
          <w:bCs/>
          <w:lang w:val="en-GB"/>
        </w:rPr>
        <w:t xml:space="preserve">Let’s start fresh, create a list of community activities we want to support within the areas specified by the new </w:t>
      </w:r>
      <w:r w:rsidR="00A81B5F" w:rsidRPr="00006706">
        <w:rPr>
          <w:bCs/>
          <w:i/>
          <w:lang w:val="en-GB"/>
        </w:rPr>
        <w:t>Companies Act</w:t>
      </w:r>
      <w:r>
        <w:rPr>
          <w:bCs/>
          <w:i/>
          <w:lang w:val="en-GB"/>
        </w:rPr>
        <w:t>,</w:t>
      </w:r>
      <w:r w:rsidR="00A81B5F" w:rsidRPr="004255DC">
        <w:rPr>
          <w:bCs/>
          <w:lang w:val="en-GB"/>
        </w:rPr>
        <w:t xml:space="preserve"> and how we plan to implement the projects.”</w:t>
      </w:r>
    </w:p>
    <w:p w14:paraId="69C72F29" w14:textId="77777777" w:rsidR="00A81B5F" w:rsidRPr="004255DC" w:rsidRDefault="00A81B5F" w:rsidP="00A81B5F">
      <w:pPr>
        <w:pStyle w:val="BodyTextMain"/>
        <w:rPr>
          <w:bCs/>
          <w:lang w:val="en-GB"/>
        </w:rPr>
      </w:pPr>
    </w:p>
    <w:p w14:paraId="18293D5F" w14:textId="16BCF625" w:rsidR="00CE1B8D" w:rsidRDefault="00A81B5F" w:rsidP="00A81B5F">
      <w:pPr>
        <w:pStyle w:val="BodyTextMain"/>
        <w:rPr>
          <w:lang w:val="en-GB"/>
        </w:rPr>
      </w:pPr>
      <w:r>
        <w:rPr>
          <w:lang w:val="en-GB"/>
        </w:rPr>
        <w:t>Some members supported th</w:t>
      </w:r>
      <w:r w:rsidR="00CE1B8D">
        <w:rPr>
          <w:lang w:val="en-GB"/>
        </w:rPr>
        <w:t>is third view:</w:t>
      </w:r>
      <w:r w:rsidRPr="004255DC">
        <w:rPr>
          <w:lang w:val="en-GB"/>
        </w:rPr>
        <w:t xml:space="preserve"> </w:t>
      </w:r>
    </w:p>
    <w:p w14:paraId="62AB384E" w14:textId="77777777" w:rsidR="00CE1B8D" w:rsidRDefault="00CE1B8D" w:rsidP="00A81B5F">
      <w:pPr>
        <w:pStyle w:val="BodyTextMain"/>
        <w:rPr>
          <w:lang w:val="en-GB"/>
        </w:rPr>
      </w:pPr>
    </w:p>
    <w:p w14:paraId="19691628" w14:textId="081F6B88" w:rsidR="00A81B5F" w:rsidRPr="003D3D90" w:rsidRDefault="00CE1B8D" w:rsidP="00006706">
      <w:pPr>
        <w:pStyle w:val="BodyTextMain"/>
        <w:ind w:left="720"/>
        <w:rPr>
          <w:spacing w:val="-2"/>
          <w:lang w:val="en-GB"/>
        </w:rPr>
      </w:pPr>
      <w:r w:rsidRPr="003D3D90">
        <w:rPr>
          <w:spacing w:val="-2"/>
          <w:lang w:val="en-GB"/>
        </w:rPr>
        <w:t>W</w:t>
      </w:r>
      <w:r w:rsidR="00A81B5F" w:rsidRPr="003D3D90">
        <w:rPr>
          <w:spacing w:val="-2"/>
          <w:lang w:val="en-GB"/>
        </w:rPr>
        <w:t>e can’t possibly stop the CSV program. The farmers depend on our help</w:t>
      </w:r>
      <w:r w:rsidRPr="003D3D90">
        <w:rPr>
          <w:spacing w:val="-2"/>
          <w:lang w:val="en-GB"/>
        </w:rPr>
        <w:t>,</w:t>
      </w:r>
      <w:r w:rsidR="00A81B5F" w:rsidRPr="003D3D90">
        <w:rPr>
          <w:spacing w:val="-2"/>
          <w:lang w:val="en-GB"/>
        </w:rPr>
        <w:t xml:space="preserve"> and in turn this assists the company in maintaining a dependable, high</w:t>
      </w:r>
      <w:r w:rsidRPr="003D3D90">
        <w:rPr>
          <w:spacing w:val="-2"/>
          <w:lang w:val="en-GB"/>
        </w:rPr>
        <w:t>-</w:t>
      </w:r>
      <w:r w:rsidR="00A81B5F" w:rsidRPr="003D3D90">
        <w:rPr>
          <w:spacing w:val="-2"/>
          <w:lang w:val="en-GB"/>
        </w:rPr>
        <w:t>quality supply of milk, coffee</w:t>
      </w:r>
      <w:r w:rsidRPr="003D3D90">
        <w:rPr>
          <w:spacing w:val="-2"/>
          <w:lang w:val="en-GB"/>
        </w:rPr>
        <w:t>,</w:t>
      </w:r>
      <w:r w:rsidR="00A81B5F" w:rsidRPr="003D3D90">
        <w:rPr>
          <w:spacing w:val="-2"/>
          <w:lang w:val="en-GB"/>
        </w:rPr>
        <w:t xml:space="preserve"> and other agricultural commodities so essential for production. This is part of the work we have done over </w:t>
      </w:r>
      <w:r w:rsidR="00B36288" w:rsidRPr="003D3D90">
        <w:rPr>
          <w:spacing w:val="-2"/>
          <w:lang w:val="en-GB"/>
        </w:rPr>
        <w:t xml:space="preserve">the </w:t>
      </w:r>
      <w:r w:rsidR="00A81B5F" w:rsidRPr="003D3D90">
        <w:rPr>
          <w:spacing w:val="-2"/>
          <w:lang w:val="en-GB"/>
        </w:rPr>
        <w:t>last five decades</w:t>
      </w:r>
      <w:r w:rsidR="00D41737" w:rsidRPr="003D3D90">
        <w:rPr>
          <w:spacing w:val="-2"/>
          <w:lang w:val="en-GB"/>
        </w:rPr>
        <w:t>, which</w:t>
      </w:r>
      <w:r w:rsidR="00A81B5F" w:rsidRPr="003D3D90">
        <w:rPr>
          <w:spacing w:val="-2"/>
          <w:lang w:val="en-GB"/>
        </w:rPr>
        <w:t xml:space="preserve"> </w:t>
      </w:r>
      <w:r w:rsidR="00B1557E" w:rsidRPr="003D3D90">
        <w:rPr>
          <w:spacing w:val="-2"/>
          <w:lang w:val="en-GB"/>
        </w:rPr>
        <w:t xml:space="preserve">has </w:t>
      </w:r>
      <w:r w:rsidR="00A81B5F" w:rsidRPr="003D3D90">
        <w:rPr>
          <w:spacing w:val="-2"/>
          <w:lang w:val="en-GB"/>
        </w:rPr>
        <w:t>seen local communities prosper. This is also an area where Nestl</w:t>
      </w:r>
      <w:r w:rsidRPr="003D3D90">
        <w:rPr>
          <w:spacing w:val="-2"/>
          <w:lang w:val="en-GB"/>
        </w:rPr>
        <w:t>é</w:t>
      </w:r>
      <w:r w:rsidR="00A81B5F" w:rsidRPr="003D3D90">
        <w:rPr>
          <w:spacing w:val="-2"/>
          <w:lang w:val="en-GB"/>
        </w:rPr>
        <w:t xml:space="preserve"> is involved globally. Why don’t we all first define what CSR and CSV really mean</w:t>
      </w:r>
      <w:r w:rsidRPr="003D3D90">
        <w:rPr>
          <w:spacing w:val="-2"/>
          <w:lang w:val="en-GB"/>
        </w:rPr>
        <w:t>,</w:t>
      </w:r>
      <w:r w:rsidR="00A81B5F" w:rsidRPr="003D3D90">
        <w:rPr>
          <w:spacing w:val="-2"/>
          <w:lang w:val="en-GB"/>
        </w:rPr>
        <w:t xml:space="preserve"> and then set out to determine which of our activities would fit into CSV and which ones could be incorporated within CSR?</w:t>
      </w:r>
    </w:p>
    <w:p w14:paraId="6F83C356" w14:textId="77777777" w:rsidR="00A81B5F" w:rsidRDefault="00A81B5F" w:rsidP="00A81B5F">
      <w:pPr>
        <w:pStyle w:val="BodyTextMain"/>
        <w:rPr>
          <w:lang w:val="en-GB"/>
        </w:rPr>
      </w:pPr>
    </w:p>
    <w:p w14:paraId="2CE9AD09" w14:textId="386CF515" w:rsidR="00A81B5F" w:rsidRPr="003D3D90" w:rsidRDefault="00A81B5F" w:rsidP="00A81B5F">
      <w:pPr>
        <w:pStyle w:val="BodyTextMain"/>
        <w:rPr>
          <w:spacing w:val="-2"/>
          <w:lang w:val="en-GB"/>
        </w:rPr>
      </w:pPr>
      <w:r w:rsidRPr="003D3D90">
        <w:rPr>
          <w:spacing w:val="-2"/>
          <w:lang w:val="en-GB"/>
        </w:rPr>
        <w:t xml:space="preserve">The team agreed to meet again for a more detailed discussion in a week. In the meantime, </w:t>
      </w:r>
      <w:r w:rsidR="00A74A1D" w:rsidRPr="003D3D90">
        <w:rPr>
          <w:spacing w:val="-2"/>
          <w:lang w:val="en-GB"/>
        </w:rPr>
        <w:t>Khajuria</w:t>
      </w:r>
      <w:r w:rsidRPr="003D3D90">
        <w:rPr>
          <w:spacing w:val="-2"/>
          <w:lang w:val="en-GB"/>
        </w:rPr>
        <w:t xml:space="preserve"> continued his research and planned to take all factors into consideration to create a comprehensive CSR framework.</w:t>
      </w:r>
    </w:p>
    <w:p w14:paraId="1B9FF03D" w14:textId="77777777" w:rsidR="00A81B5F" w:rsidRDefault="00A81B5F">
      <w:pPr>
        <w:spacing w:after="200" w:line="276" w:lineRule="auto"/>
        <w:rPr>
          <w:sz w:val="22"/>
          <w:szCs w:val="22"/>
          <w:lang w:val="en-GB"/>
        </w:rPr>
      </w:pPr>
      <w:r>
        <w:rPr>
          <w:lang w:val="en-GB"/>
        </w:rPr>
        <w:br w:type="page"/>
      </w:r>
    </w:p>
    <w:p w14:paraId="61D00FF4" w14:textId="202BCF39" w:rsidR="00A81B5F" w:rsidRDefault="00A81B5F" w:rsidP="00A81B5F">
      <w:pPr>
        <w:pStyle w:val="ExhibitHeading"/>
        <w:rPr>
          <w:lang w:val="en-GB"/>
        </w:rPr>
      </w:pPr>
      <w:r w:rsidRPr="004255DC">
        <w:rPr>
          <w:lang w:val="en-GB"/>
        </w:rPr>
        <w:lastRenderedPageBreak/>
        <w:t>EXHIBIT 1</w:t>
      </w:r>
      <w:r>
        <w:rPr>
          <w:lang w:val="en-GB"/>
        </w:rPr>
        <w:t xml:space="preserve">: </w:t>
      </w:r>
      <w:r w:rsidRPr="004255DC">
        <w:rPr>
          <w:lang w:val="en-GB"/>
        </w:rPr>
        <w:t>SHARED VALUE FOCUS AREAS</w:t>
      </w:r>
    </w:p>
    <w:p w14:paraId="0600DB89" w14:textId="77777777" w:rsidR="00A81B5F" w:rsidRDefault="00A81B5F" w:rsidP="006B7F7A">
      <w:pPr>
        <w:pStyle w:val="BodyTextMain"/>
      </w:pPr>
    </w:p>
    <w:p w14:paraId="69F2CCB7" w14:textId="77777777" w:rsidR="00A81B5F" w:rsidRDefault="00A81B5F" w:rsidP="00A81B5F">
      <w:pPr>
        <w:pStyle w:val="BodyTextMain"/>
        <w:jc w:val="center"/>
      </w:pPr>
      <w:r>
        <w:rPr>
          <w:noProof/>
        </w:rPr>
        <w:drawing>
          <wp:inline distT="0" distB="0" distL="0" distR="0" wp14:anchorId="66A3B479" wp14:editId="371C93A2">
            <wp:extent cx="4651375" cy="260482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grayscl/>
                      <a:extLst>
                        <a:ext uri="{28A0092B-C50C-407E-A947-70E740481C1C}">
                          <a14:useLocalDpi xmlns:a14="http://schemas.microsoft.com/office/drawing/2010/main" val="0"/>
                        </a:ext>
                      </a:extLst>
                    </a:blip>
                    <a:srcRect t="5482"/>
                    <a:stretch/>
                  </pic:blipFill>
                  <pic:spPr bwMode="auto">
                    <a:xfrm>
                      <a:off x="0" y="0"/>
                      <a:ext cx="4651375" cy="2604825"/>
                    </a:xfrm>
                    <a:prstGeom prst="rect">
                      <a:avLst/>
                    </a:prstGeom>
                    <a:noFill/>
                    <a:ln>
                      <a:noFill/>
                    </a:ln>
                    <a:extLst>
                      <a:ext uri="{53640926-AAD7-44D8-BBD7-CCE9431645EC}">
                        <a14:shadowObscured xmlns:a14="http://schemas.microsoft.com/office/drawing/2010/main"/>
                      </a:ext>
                    </a:extLst>
                  </pic:spPr>
                </pic:pic>
              </a:graphicData>
            </a:graphic>
          </wp:inline>
        </w:drawing>
      </w:r>
    </w:p>
    <w:p w14:paraId="22A4804B" w14:textId="77777777" w:rsidR="00A81B5F" w:rsidRDefault="00A81B5F" w:rsidP="006B7F7A">
      <w:pPr>
        <w:pStyle w:val="BodyTextMain"/>
      </w:pPr>
    </w:p>
    <w:p w14:paraId="1BDA81BC" w14:textId="5EE19242" w:rsidR="00A81B5F" w:rsidRPr="00A81B5F" w:rsidRDefault="00A81B5F" w:rsidP="00A81B5F">
      <w:pPr>
        <w:pStyle w:val="ExhibitText"/>
      </w:pPr>
      <w:r w:rsidRPr="00A81B5F">
        <w:t xml:space="preserve">Creating </w:t>
      </w:r>
      <w:r w:rsidR="00710091">
        <w:t>s</w:t>
      </w:r>
      <w:r w:rsidRPr="00A81B5F">
        <w:t xml:space="preserve">hared </w:t>
      </w:r>
      <w:r w:rsidR="00710091">
        <w:t>v</w:t>
      </w:r>
      <w:r w:rsidRPr="00A81B5F">
        <w:t xml:space="preserve">alue </w:t>
      </w:r>
      <w:r w:rsidR="000B3887">
        <w:t xml:space="preserve">(CSV) </w:t>
      </w:r>
      <w:r w:rsidRPr="00A81B5F">
        <w:t>remains the fundamental guiding principle for how Nestlé does business. CSV is the strategy tool th</w:t>
      </w:r>
      <w:r>
        <w:t>at Nestlé uses to operationaliz</w:t>
      </w:r>
      <w:r w:rsidRPr="00A81B5F">
        <w:t>e and manage all the actions it takes to ensure it creates value for shareholders and for society. This is how Nestlé brings its purpose to life</w:t>
      </w:r>
      <w:r w:rsidR="00710091">
        <w:t>—</w:t>
      </w:r>
      <w:r w:rsidRPr="00A81B5F">
        <w:t>to enhance quality of life and contribute to a healthier future.</w:t>
      </w:r>
    </w:p>
    <w:p w14:paraId="28AFBD86" w14:textId="77777777" w:rsidR="00A81B5F" w:rsidRPr="00A81B5F" w:rsidRDefault="00A81B5F" w:rsidP="00A81B5F">
      <w:pPr>
        <w:pStyle w:val="ExhibitText"/>
      </w:pPr>
    </w:p>
    <w:p w14:paraId="7906884E" w14:textId="0EB4CE1D" w:rsidR="00A81B5F" w:rsidRPr="00A81B5F" w:rsidRDefault="00710091" w:rsidP="00A81B5F">
      <w:pPr>
        <w:pStyle w:val="ExhibitText"/>
      </w:pPr>
      <w:r>
        <w:t xml:space="preserve">The </w:t>
      </w:r>
      <w:r w:rsidR="00A81B5F" w:rsidRPr="00A81B5F">
        <w:t xml:space="preserve">Nestlé in </w:t>
      </w:r>
      <w:r w:rsidR="002764BD">
        <w:t>S</w:t>
      </w:r>
      <w:r w:rsidR="00A81B5F" w:rsidRPr="00A81B5F">
        <w:t>ociety report features 42 commitments under the areas of nutrition</w:t>
      </w:r>
      <w:r>
        <w:t>,</w:t>
      </w:r>
      <w:r w:rsidR="00A81B5F" w:rsidRPr="00A81B5F">
        <w:t xml:space="preserve"> health and wellness, rural development, water, environmental sustainability, people, human rights</w:t>
      </w:r>
      <w:r>
        <w:t>,</w:t>
      </w:r>
      <w:r w:rsidR="00A81B5F" w:rsidRPr="00A81B5F">
        <w:t xml:space="preserve"> and compliance.</w:t>
      </w:r>
    </w:p>
    <w:p w14:paraId="0AA8153F" w14:textId="77777777" w:rsidR="00A81B5F" w:rsidRDefault="00A81B5F" w:rsidP="006B7F7A">
      <w:pPr>
        <w:pStyle w:val="BodyTextMain"/>
      </w:pPr>
    </w:p>
    <w:p w14:paraId="6D43BD91" w14:textId="61B70706" w:rsidR="00A81B5F" w:rsidRDefault="00A81B5F" w:rsidP="00A81B5F">
      <w:pPr>
        <w:pStyle w:val="Footnote"/>
      </w:pPr>
      <w:r w:rsidRPr="004255DC">
        <w:rPr>
          <w:bCs/>
          <w:lang w:val="en-GB"/>
        </w:rPr>
        <w:t>Source:</w:t>
      </w:r>
      <w:r w:rsidRPr="004255DC">
        <w:rPr>
          <w:b/>
          <w:bCs/>
          <w:lang w:val="en-GB"/>
        </w:rPr>
        <w:t xml:space="preserve"> </w:t>
      </w:r>
      <w:r w:rsidR="002764BD">
        <w:rPr>
          <w:bCs/>
          <w:lang w:val="en-GB"/>
        </w:rPr>
        <w:t xml:space="preserve">Company </w:t>
      </w:r>
      <w:r w:rsidR="00E83836">
        <w:rPr>
          <w:bCs/>
          <w:lang w:val="en-GB"/>
        </w:rPr>
        <w:t>files.</w:t>
      </w:r>
    </w:p>
    <w:p w14:paraId="5ACC5FE8" w14:textId="77777777" w:rsidR="00A81B5F" w:rsidRDefault="00A81B5F" w:rsidP="006B7F7A">
      <w:pPr>
        <w:pStyle w:val="BodyTextMain"/>
      </w:pPr>
    </w:p>
    <w:p w14:paraId="6D882769" w14:textId="77777777" w:rsidR="00A81B5F" w:rsidRDefault="00A81B5F" w:rsidP="006B7F7A">
      <w:pPr>
        <w:pStyle w:val="BodyTextMain"/>
      </w:pPr>
    </w:p>
    <w:p w14:paraId="1B5CE913" w14:textId="77777777" w:rsidR="00A81B5F" w:rsidRDefault="00A81B5F">
      <w:pPr>
        <w:spacing w:after="200" w:line="276" w:lineRule="auto"/>
        <w:rPr>
          <w:rFonts w:eastAsia="Arial Unicode MS"/>
          <w:b/>
          <w:bCs/>
          <w:color w:val="000000"/>
          <w:sz w:val="22"/>
          <w:szCs w:val="22"/>
          <w:u w:color="000000"/>
          <w:bdr w:val="nil"/>
          <w:lang w:val="en-GB" w:eastAsia="en-GB"/>
        </w:rPr>
      </w:pPr>
      <w:r>
        <w:rPr>
          <w:b/>
          <w:bCs/>
          <w:lang w:val="en-GB"/>
        </w:rPr>
        <w:br w:type="page"/>
      </w:r>
    </w:p>
    <w:p w14:paraId="5666302E" w14:textId="32547BCA" w:rsidR="00A81B5F" w:rsidRPr="004255DC" w:rsidRDefault="00A81B5F" w:rsidP="00A81B5F">
      <w:pPr>
        <w:pStyle w:val="ExhibitHeading"/>
        <w:rPr>
          <w:lang w:val="en-GB"/>
        </w:rPr>
      </w:pPr>
      <w:r w:rsidRPr="004255DC">
        <w:rPr>
          <w:lang w:val="en-GB"/>
        </w:rPr>
        <w:lastRenderedPageBreak/>
        <w:t>EXHIBIT 2: CORPORATE BUSINESS PRINCIPLES</w:t>
      </w:r>
    </w:p>
    <w:p w14:paraId="295329FB" w14:textId="77777777" w:rsidR="00A81B5F" w:rsidRDefault="00A81B5F" w:rsidP="00A81B5F">
      <w:pPr>
        <w:pStyle w:val="BodyTextMain"/>
        <w:rPr>
          <w:lang w:val="en-GB"/>
        </w:rPr>
      </w:pPr>
    </w:p>
    <w:tbl>
      <w:tblPr>
        <w:tblStyle w:val="TableGrid"/>
        <w:tblW w:w="0" w:type="auto"/>
        <w:tblInd w:w="108" w:type="dxa"/>
        <w:tblLook w:val="04A0" w:firstRow="1" w:lastRow="0" w:firstColumn="1" w:lastColumn="0" w:noHBand="0" w:noVBand="1"/>
      </w:tblPr>
      <w:tblGrid>
        <w:gridCol w:w="627"/>
        <w:gridCol w:w="2606"/>
        <w:gridCol w:w="6009"/>
      </w:tblGrid>
      <w:tr w:rsidR="00A81B5F" w:rsidRPr="006E3335" w14:paraId="66EDF740" w14:textId="77777777" w:rsidTr="00697F1D">
        <w:trPr>
          <w:trHeight w:val="60"/>
        </w:trPr>
        <w:tc>
          <w:tcPr>
            <w:tcW w:w="9242" w:type="dxa"/>
            <w:gridSpan w:val="3"/>
          </w:tcPr>
          <w:p w14:paraId="767E50C8" w14:textId="77777777" w:rsidR="00A81B5F" w:rsidRPr="00006706" w:rsidRDefault="00A81B5F" w:rsidP="00006706">
            <w:pPr>
              <w:pStyle w:val="ExhibitText"/>
              <w:spacing w:before="20" w:after="20"/>
              <w:rPr>
                <w:b/>
                <w:lang w:val="en-GB"/>
              </w:rPr>
            </w:pPr>
            <w:r w:rsidRPr="00006706">
              <w:rPr>
                <w:b/>
                <w:lang w:val="en-GB"/>
              </w:rPr>
              <w:t>Consumers</w:t>
            </w:r>
          </w:p>
        </w:tc>
      </w:tr>
      <w:tr w:rsidR="00A81B5F" w:rsidRPr="006E3335" w14:paraId="02145A99" w14:textId="77777777" w:rsidTr="00697F1D">
        <w:tc>
          <w:tcPr>
            <w:tcW w:w="627" w:type="dxa"/>
          </w:tcPr>
          <w:p w14:paraId="52332FFC" w14:textId="77777777" w:rsidR="00A81B5F" w:rsidRPr="006E3335" w:rsidRDefault="00A81B5F" w:rsidP="00A81B5F">
            <w:pPr>
              <w:pStyle w:val="ExhibitText"/>
              <w:rPr>
                <w:lang w:val="en-GB"/>
              </w:rPr>
            </w:pPr>
            <w:r w:rsidRPr="006E3335">
              <w:rPr>
                <w:lang w:val="en-GB"/>
              </w:rPr>
              <w:t>1</w:t>
            </w:r>
          </w:p>
        </w:tc>
        <w:tc>
          <w:tcPr>
            <w:tcW w:w="2606" w:type="dxa"/>
          </w:tcPr>
          <w:p w14:paraId="10C4B94E" w14:textId="05B73254" w:rsidR="00A81B5F" w:rsidRPr="006E3335" w:rsidRDefault="00A81B5F" w:rsidP="00006706">
            <w:pPr>
              <w:pStyle w:val="ExhibitText"/>
              <w:jc w:val="left"/>
              <w:rPr>
                <w:lang w:val="en-GB"/>
              </w:rPr>
            </w:pPr>
            <w:r w:rsidRPr="006E3335">
              <w:rPr>
                <w:lang w:val="en-GB"/>
              </w:rPr>
              <w:t xml:space="preserve">Nutrition, </w:t>
            </w:r>
            <w:r w:rsidR="002764BD">
              <w:rPr>
                <w:lang w:val="en-GB"/>
              </w:rPr>
              <w:t>h</w:t>
            </w:r>
            <w:r w:rsidRPr="006E3335">
              <w:rPr>
                <w:lang w:val="en-GB"/>
              </w:rPr>
              <w:t>ealth</w:t>
            </w:r>
            <w:r w:rsidR="002764BD">
              <w:rPr>
                <w:lang w:val="en-GB"/>
              </w:rPr>
              <w:t>,</w:t>
            </w:r>
            <w:r w:rsidRPr="006E3335">
              <w:rPr>
                <w:rFonts w:ascii="MS Gothic" w:eastAsia="MS Gothic" w:hAnsi="MS Gothic" w:cs="MS Gothic" w:hint="eastAsia"/>
                <w:lang w:val="en-GB"/>
              </w:rPr>
              <w:t> </w:t>
            </w:r>
            <w:r w:rsidRPr="006E3335">
              <w:rPr>
                <w:lang w:val="en-GB"/>
              </w:rPr>
              <w:t xml:space="preserve">and </w:t>
            </w:r>
            <w:r w:rsidR="002764BD">
              <w:rPr>
                <w:lang w:val="en-GB"/>
              </w:rPr>
              <w:t>w</w:t>
            </w:r>
            <w:r w:rsidRPr="006E3335">
              <w:rPr>
                <w:lang w:val="en-GB"/>
              </w:rPr>
              <w:t>ellness</w:t>
            </w:r>
            <w:r w:rsidRPr="006E3335">
              <w:rPr>
                <w:rFonts w:ascii="MS Gothic" w:eastAsia="MS Gothic" w:hAnsi="MS Gothic" w:cs="MS Gothic" w:hint="eastAsia"/>
                <w:lang w:val="en-GB"/>
              </w:rPr>
              <w:t> </w:t>
            </w:r>
          </w:p>
        </w:tc>
        <w:tc>
          <w:tcPr>
            <w:tcW w:w="6009" w:type="dxa"/>
          </w:tcPr>
          <w:p w14:paraId="6605A83F" w14:textId="601261B5" w:rsidR="00A81B5F" w:rsidRPr="006E3335" w:rsidRDefault="00A81B5F" w:rsidP="00006706">
            <w:pPr>
              <w:pStyle w:val="ExhibitText"/>
              <w:jc w:val="left"/>
              <w:rPr>
                <w:lang w:val="en-GB"/>
              </w:rPr>
            </w:pPr>
            <w:r w:rsidRPr="006E3335">
              <w:rPr>
                <w:lang w:val="en-GB"/>
              </w:rPr>
              <w:t>Our core aim is to enhance the quality of consumers’ lives every day, everywhere by offering tastier and healthier food and beverage choices</w:t>
            </w:r>
            <w:r w:rsidR="002764BD">
              <w:rPr>
                <w:lang w:val="en-GB"/>
              </w:rPr>
              <w:t>,</w:t>
            </w:r>
            <w:r w:rsidRPr="006E3335">
              <w:rPr>
                <w:lang w:val="en-GB"/>
              </w:rPr>
              <w:t xml:space="preserve"> and encouraging a healthy lifestyle. We express this</w:t>
            </w:r>
            <w:r w:rsidR="002764BD">
              <w:rPr>
                <w:lang w:val="en-GB"/>
              </w:rPr>
              <w:t xml:space="preserve"> aim</w:t>
            </w:r>
            <w:r w:rsidRPr="006E3335">
              <w:rPr>
                <w:lang w:val="en-GB"/>
              </w:rPr>
              <w:t xml:space="preserve"> </w:t>
            </w:r>
            <w:r w:rsidR="002764BD">
              <w:rPr>
                <w:lang w:val="en-GB"/>
              </w:rPr>
              <w:t xml:space="preserve">through </w:t>
            </w:r>
            <w:r w:rsidRPr="006E3335">
              <w:rPr>
                <w:lang w:val="en-GB"/>
              </w:rPr>
              <w:t>our corporate proposition Good Food, Good Life.</w:t>
            </w:r>
          </w:p>
        </w:tc>
      </w:tr>
      <w:tr w:rsidR="00A81B5F" w:rsidRPr="006E3335" w14:paraId="1BBB90D1" w14:textId="77777777" w:rsidTr="00697F1D">
        <w:trPr>
          <w:trHeight w:val="268"/>
        </w:trPr>
        <w:tc>
          <w:tcPr>
            <w:tcW w:w="627" w:type="dxa"/>
          </w:tcPr>
          <w:p w14:paraId="61E44DA9" w14:textId="77777777" w:rsidR="00A81B5F" w:rsidRPr="006E3335" w:rsidRDefault="00A81B5F" w:rsidP="00A81B5F">
            <w:pPr>
              <w:pStyle w:val="ExhibitText"/>
              <w:rPr>
                <w:lang w:val="en-GB"/>
              </w:rPr>
            </w:pPr>
            <w:r>
              <w:rPr>
                <w:lang w:val="en-GB"/>
              </w:rPr>
              <w:t>2</w:t>
            </w:r>
          </w:p>
        </w:tc>
        <w:tc>
          <w:tcPr>
            <w:tcW w:w="2606" w:type="dxa"/>
          </w:tcPr>
          <w:p w14:paraId="0E844170" w14:textId="77777777" w:rsidR="00A81B5F" w:rsidRPr="006E3335" w:rsidRDefault="00A81B5F" w:rsidP="00006706">
            <w:pPr>
              <w:pStyle w:val="ExhibitText"/>
              <w:jc w:val="left"/>
              <w:rPr>
                <w:lang w:val="en-GB"/>
              </w:rPr>
            </w:pPr>
            <w:r w:rsidRPr="006E3335">
              <w:rPr>
                <w:lang w:val="en-GB"/>
              </w:rPr>
              <w:t>Quality assurance</w:t>
            </w:r>
          </w:p>
          <w:p w14:paraId="02CF2588" w14:textId="77777777" w:rsidR="00A81B5F" w:rsidRPr="006E3335" w:rsidRDefault="00A81B5F" w:rsidP="00006706">
            <w:pPr>
              <w:pStyle w:val="ExhibitText"/>
              <w:jc w:val="left"/>
              <w:rPr>
                <w:lang w:val="en-GB"/>
              </w:rPr>
            </w:pPr>
            <w:r w:rsidRPr="006E3335">
              <w:rPr>
                <w:lang w:val="en-GB"/>
              </w:rPr>
              <w:t>and product safety</w:t>
            </w:r>
          </w:p>
        </w:tc>
        <w:tc>
          <w:tcPr>
            <w:tcW w:w="6009" w:type="dxa"/>
          </w:tcPr>
          <w:p w14:paraId="5FDF7C97" w14:textId="77777777" w:rsidR="00A81B5F" w:rsidRPr="006E3335" w:rsidRDefault="00A81B5F" w:rsidP="00006706">
            <w:pPr>
              <w:pStyle w:val="ExhibitText"/>
              <w:jc w:val="left"/>
              <w:rPr>
                <w:lang w:val="en-GB"/>
              </w:rPr>
            </w:pPr>
            <w:r w:rsidRPr="006E3335">
              <w:rPr>
                <w:lang w:val="en-GB"/>
              </w:rPr>
              <w:t>Everywhere in the world, the Nestlé name represents a promise to the consumer that the product is safe and of high standard.</w:t>
            </w:r>
          </w:p>
        </w:tc>
      </w:tr>
      <w:tr w:rsidR="00A81B5F" w:rsidRPr="006E3335" w14:paraId="20ADEE72" w14:textId="77777777" w:rsidTr="00697F1D">
        <w:tc>
          <w:tcPr>
            <w:tcW w:w="627" w:type="dxa"/>
          </w:tcPr>
          <w:p w14:paraId="05AF51E2" w14:textId="77777777" w:rsidR="00A81B5F" w:rsidRPr="006E3335" w:rsidRDefault="00A81B5F" w:rsidP="00A81B5F">
            <w:pPr>
              <w:pStyle w:val="ExhibitText"/>
              <w:rPr>
                <w:lang w:val="en-GB"/>
              </w:rPr>
            </w:pPr>
            <w:r>
              <w:rPr>
                <w:lang w:val="en-GB"/>
              </w:rPr>
              <w:t>3</w:t>
            </w:r>
          </w:p>
        </w:tc>
        <w:tc>
          <w:tcPr>
            <w:tcW w:w="2606" w:type="dxa"/>
          </w:tcPr>
          <w:p w14:paraId="31E5082B" w14:textId="77777777" w:rsidR="00A81B5F" w:rsidRPr="006E3335" w:rsidRDefault="00A81B5F" w:rsidP="00006706">
            <w:pPr>
              <w:pStyle w:val="ExhibitText"/>
              <w:jc w:val="left"/>
              <w:rPr>
                <w:lang w:val="en-GB"/>
              </w:rPr>
            </w:pPr>
            <w:r w:rsidRPr="006E3335">
              <w:rPr>
                <w:lang w:val="en-GB"/>
              </w:rPr>
              <w:t>Consumer communication</w:t>
            </w:r>
          </w:p>
        </w:tc>
        <w:tc>
          <w:tcPr>
            <w:tcW w:w="6009" w:type="dxa"/>
          </w:tcPr>
          <w:p w14:paraId="0A34A516" w14:textId="3C3B4880" w:rsidR="00A81B5F" w:rsidRPr="006E3335" w:rsidRDefault="00A81B5F" w:rsidP="00006706">
            <w:pPr>
              <w:pStyle w:val="ExhibitText"/>
              <w:jc w:val="left"/>
              <w:rPr>
                <w:lang w:val="en-GB"/>
              </w:rPr>
            </w:pPr>
            <w:r w:rsidRPr="006E3335">
              <w:rPr>
                <w:lang w:val="en-GB"/>
              </w:rPr>
              <w:t>We are committed to responsible, reliable consumer communication that empowers consumers to exercise their right to informed choice and promotes healthier diets.</w:t>
            </w:r>
            <w:r w:rsidR="002764BD">
              <w:rPr>
                <w:lang w:val="en-GB"/>
              </w:rPr>
              <w:t xml:space="preserve"> </w:t>
            </w:r>
            <w:r w:rsidRPr="006E3335">
              <w:rPr>
                <w:lang w:val="en-GB"/>
              </w:rPr>
              <w:t>We respect consumer privacy.</w:t>
            </w:r>
          </w:p>
        </w:tc>
      </w:tr>
      <w:tr w:rsidR="00A81B5F" w:rsidRPr="006E3335" w14:paraId="0909C80C" w14:textId="77777777" w:rsidTr="00697F1D">
        <w:trPr>
          <w:trHeight w:val="60"/>
        </w:trPr>
        <w:tc>
          <w:tcPr>
            <w:tcW w:w="9242" w:type="dxa"/>
            <w:gridSpan w:val="3"/>
          </w:tcPr>
          <w:p w14:paraId="4BA160C2" w14:textId="77777777" w:rsidR="00A81B5F" w:rsidRPr="006E3335" w:rsidRDefault="00A81B5F" w:rsidP="00006706">
            <w:pPr>
              <w:pStyle w:val="ExhibitText"/>
              <w:spacing w:before="20" w:after="20"/>
              <w:rPr>
                <w:lang w:val="en-GB"/>
              </w:rPr>
            </w:pPr>
            <w:r w:rsidRPr="00006706">
              <w:rPr>
                <w:b/>
                <w:lang w:val="en-GB"/>
              </w:rPr>
              <w:t>Human rights and labour practices</w:t>
            </w:r>
          </w:p>
        </w:tc>
      </w:tr>
      <w:tr w:rsidR="00A81B5F" w:rsidRPr="006E3335" w14:paraId="4E40035A" w14:textId="77777777" w:rsidTr="00697F1D">
        <w:tc>
          <w:tcPr>
            <w:tcW w:w="627" w:type="dxa"/>
          </w:tcPr>
          <w:p w14:paraId="574C3878" w14:textId="77777777" w:rsidR="00A81B5F" w:rsidRPr="006E3335" w:rsidRDefault="00A81B5F" w:rsidP="00A81B5F">
            <w:pPr>
              <w:pStyle w:val="ExhibitText"/>
              <w:rPr>
                <w:lang w:val="en-GB"/>
              </w:rPr>
            </w:pPr>
            <w:r>
              <w:rPr>
                <w:lang w:val="en-GB"/>
              </w:rPr>
              <w:t>4</w:t>
            </w:r>
          </w:p>
        </w:tc>
        <w:tc>
          <w:tcPr>
            <w:tcW w:w="2606" w:type="dxa"/>
          </w:tcPr>
          <w:p w14:paraId="221F31B5" w14:textId="77777777" w:rsidR="00A81B5F" w:rsidRPr="006E3335" w:rsidRDefault="00A81B5F" w:rsidP="00006706">
            <w:pPr>
              <w:pStyle w:val="ExhibitText"/>
              <w:jc w:val="left"/>
              <w:rPr>
                <w:lang w:val="en-GB"/>
              </w:rPr>
            </w:pPr>
            <w:r w:rsidRPr="006E3335">
              <w:rPr>
                <w:lang w:val="en-GB"/>
              </w:rPr>
              <w:t>Human rights in our business activities</w:t>
            </w:r>
          </w:p>
          <w:p w14:paraId="21C2A5A0" w14:textId="77777777" w:rsidR="00A81B5F" w:rsidRPr="006E3335" w:rsidRDefault="00A81B5F" w:rsidP="00006706">
            <w:pPr>
              <w:pStyle w:val="ExhibitText"/>
              <w:jc w:val="left"/>
              <w:rPr>
                <w:lang w:val="en-GB"/>
              </w:rPr>
            </w:pPr>
          </w:p>
        </w:tc>
        <w:tc>
          <w:tcPr>
            <w:tcW w:w="6009" w:type="dxa"/>
          </w:tcPr>
          <w:p w14:paraId="3EC2B254" w14:textId="7EC57E15" w:rsidR="00A81B5F" w:rsidRPr="006E3335" w:rsidRDefault="00A81B5F" w:rsidP="00006706">
            <w:pPr>
              <w:pStyle w:val="ExhibitText"/>
              <w:jc w:val="left"/>
              <w:rPr>
                <w:lang w:val="en-GB"/>
              </w:rPr>
            </w:pPr>
            <w:r w:rsidRPr="006E3335">
              <w:rPr>
                <w:lang w:val="en-GB"/>
              </w:rPr>
              <w:t>We fully support the United Nations Global Compact guiding principles</w:t>
            </w:r>
            <w:r w:rsidR="002764BD">
              <w:rPr>
                <w:lang w:val="en-GB"/>
              </w:rPr>
              <w:t xml:space="preserve"> </w:t>
            </w:r>
            <w:r w:rsidRPr="006E3335">
              <w:rPr>
                <w:lang w:val="en-GB"/>
              </w:rPr>
              <w:t>on human rights and labour</w:t>
            </w:r>
            <w:r w:rsidR="002764BD">
              <w:rPr>
                <w:lang w:val="en-GB"/>
              </w:rPr>
              <w:t>,</w:t>
            </w:r>
            <w:r w:rsidRPr="006E3335">
              <w:rPr>
                <w:lang w:val="en-GB"/>
              </w:rPr>
              <w:t xml:space="preserve"> and aim to provide an example of good human rights and labour practices throughout our business activities.</w:t>
            </w:r>
          </w:p>
        </w:tc>
      </w:tr>
      <w:tr w:rsidR="00A81B5F" w:rsidRPr="006E3335" w14:paraId="4C1270E4" w14:textId="77777777" w:rsidTr="00697F1D">
        <w:trPr>
          <w:trHeight w:val="60"/>
        </w:trPr>
        <w:tc>
          <w:tcPr>
            <w:tcW w:w="9242" w:type="dxa"/>
            <w:gridSpan w:val="3"/>
          </w:tcPr>
          <w:p w14:paraId="08CD6E70" w14:textId="7982ED07" w:rsidR="00A81B5F" w:rsidRPr="006E3335" w:rsidRDefault="00A81B5F" w:rsidP="00006706">
            <w:pPr>
              <w:pStyle w:val="ExhibitText"/>
              <w:spacing w:before="20" w:after="20"/>
              <w:rPr>
                <w:lang w:val="en-GB"/>
              </w:rPr>
            </w:pPr>
            <w:r w:rsidRPr="00006706">
              <w:rPr>
                <w:b/>
                <w:lang w:val="en-GB"/>
              </w:rPr>
              <w:t xml:space="preserve">Our </w:t>
            </w:r>
            <w:r w:rsidR="002764BD" w:rsidRPr="00006706">
              <w:rPr>
                <w:b/>
                <w:lang w:val="en-GB"/>
              </w:rPr>
              <w:t>p</w:t>
            </w:r>
            <w:r w:rsidRPr="00006706">
              <w:rPr>
                <w:b/>
                <w:lang w:val="en-GB"/>
              </w:rPr>
              <w:t>eople</w:t>
            </w:r>
          </w:p>
        </w:tc>
      </w:tr>
      <w:tr w:rsidR="00A81B5F" w:rsidRPr="006E3335" w14:paraId="001E8A7E" w14:textId="77777777" w:rsidTr="00697F1D">
        <w:tc>
          <w:tcPr>
            <w:tcW w:w="627" w:type="dxa"/>
          </w:tcPr>
          <w:p w14:paraId="7A81A920" w14:textId="77777777" w:rsidR="00A81B5F" w:rsidRPr="006E3335" w:rsidRDefault="00A81B5F" w:rsidP="00A81B5F">
            <w:pPr>
              <w:pStyle w:val="ExhibitText"/>
              <w:rPr>
                <w:lang w:val="en-GB"/>
              </w:rPr>
            </w:pPr>
            <w:r w:rsidRPr="006E3335">
              <w:rPr>
                <w:lang w:val="en-GB"/>
              </w:rPr>
              <w:t>5</w:t>
            </w:r>
          </w:p>
        </w:tc>
        <w:tc>
          <w:tcPr>
            <w:tcW w:w="2606" w:type="dxa"/>
          </w:tcPr>
          <w:p w14:paraId="5B4229B5" w14:textId="77777777" w:rsidR="00A81B5F" w:rsidRPr="006E3335" w:rsidRDefault="00A81B5F" w:rsidP="00006706">
            <w:pPr>
              <w:pStyle w:val="ExhibitText"/>
              <w:jc w:val="left"/>
              <w:rPr>
                <w:lang w:val="en-GB"/>
              </w:rPr>
            </w:pPr>
            <w:r w:rsidRPr="006E3335">
              <w:rPr>
                <w:lang w:val="en-GB"/>
              </w:rPr>
              <w:t>Leadership and personal responsibility</w:t>
            </w:r>
          </w:p>
          <w:p w14:paraId="1446F2FA" w14:textId="77777777" w:rsidR="00A81B5F" w:rsidRPr="006E3335" w:rsidRDefault="00A81B5F" w:rsidP="00006706">
            <w:pPr>
              <w:pStyle w:val="ExhibitText"/>
              <w:jc w:val="left"/>
              <w:rPr>
                <w:lang w:val="en-GB"/>
              </w:rPr>
            </w:pPr>
          </w:p>
        </w:tc>
        <w:tc>
          <w:tcPr>
            <w:tcW w:w="6009" w:type="dxa"/>
          </w:tcPr>
          <w:p w14:paraId="4A080C7A" w14:textId="2ECC1A0F" w:rsidR="00A81B5F" w:rsidRPr="006E3335" w:rsidRDefault="00A81B5F" w:rsidP="00006706">
            <w:pPr>
              <w:pStyle w:val="ExhibitText"/>
              <w:jc w:val="left"/>
              <w:rPr>
                <w:lang w:val="en-GB"/>
              </w:rPr>
            </w:pPr>
            <w:r w:rsidRPr="006E3335">
              <w:rPr>
                <w:lang w:val="en-GB"/>
              </w:rPr>
              <w:t>Our success is based on our people. We treat each other with respect and dignity</w:t>
            </w:r>
            <w:r w:rsidR="002764BD">
              <w:rPr>
                <w:lang w:val="en-GB"/>
              </w:rPr>
              <w:t xml:space="preserve">, </w:t>
            </w:r>
            <w:r w:rsidRPr="006E3335">
              <w:rPr>
                <w:lang w:val="en-GB"/>
              </w:rPr>
              <w:t>and expect everyone to promote a sense of personal responsibility. We recruit competent and motivated people who respect our values, provide equal opportunities</w:t>
            </w:r>
          </w:p>
          <w:p w14:paraId="1BA410A0" w14:textId="6710764E" w:rsidR="00A81B5F" w:rsidRPr="006E3335" w:rsidRDefault="00A81B5F" w:rsidP="00006706">
            <w:pPr>
              <w:pStyle w:val="ExhibitText"/>
              <w:jc w:val="left"/>
              <w:rPr>
                <w:lang w:val="en-GB"/>
              </w:rPr>
            </w:pPr>
            <w:r w:rsidRPr="006E3335">
              <w:rPr>
                <w:lang w:val="en-GB"/>
              </w:rPr>
              <w:t>for their development and advancement, protect their privacy</w:t>
            </w:r>
            <w:r w:rsidR="002764BD">
              <w:rPr>
                <w:lang w:val="en-GB"/>
              </w:rPr>
              <w:t>,</w:t>
            </w:r>
            <w:r w:rsidRPr="006E3335">
              <w:rPr>
                <w:lang w:val="en-GB"/>
              </w:rPr>
              <w:t xml:space="preserve"> and do not tolerate</w:t>
            </w:r>
            <w:r w:rsidR="002764BD">
              <w:rPr>
                <w:lang w:val="en-GB"/>
              </w:rPr>
              <w:t xml:space="preserve"> </w:t>
            </w:r>
            <w:r w:rsidRPr="006E3335">
              <w:rPr>
                <w:lang w:val="en-GB"/>
              </w:rPr>
              <w:t>any form of harassment or discrimination.</w:t>
            </w:r>
          </w:p>
        </w:tc>
      </w:tr>
      <w:tr w:rsidR="00A81B5F" w:rsidRPr="006E3335" w14:paraId="643A6A0F" w14:textId="77777777" w:rsidTr="00697F1D">
        <w:tc>
          <w:tcPr>
            <w:tcW w:w="627" w:type="dxa"/>
          </w:tcPr>
          <w:p w14:paraId="2EB3B860" w14:textId="77777777" w:rsidR="00A81B5F" w:rsidRPr="006E3335" w:rsidRDefault="00A81B5F" w:rsidP="00A81B5F">
            <w:pPr>
              <w:pStyle w:val="ExhibitText"/>
              <w:rPr>
                <w:lang w:val="en-GB"/>
              </w:rPr>
            </w:pPr>
            <w:r w:rsidRPr="006E3335">
              <w:rPr>
                <w:lang w:val="en-GB"/>
              </w:rPr>
              <w:t>6</w:t>
            </w:r>
          </w:p>
        </w:tc>
        <w:tc>
          <w:tcPr>
            <w:tcW w:w="2606" w:type="dxa"/>
          </w:tcPr>
          <w:p w14:paraId="3FB501FC" w14:textId="77777777" w:rsidR="00A81B5F" w:rsidRPr="006E3335" w:rsidRDefault="00A81B5F" w:rsidP="00006706">
            <w:pPr>
              <w:pStyle w:val="ExhibitText"/>
              <w:jc w:val="left"/>
              <w:rPr>
                <w:lang w:val="en-GB"/>
              </w:rPr>
            </w:pPr>
            <w:r w:rsidRPr="006E3335">
              <w:rPr>
                <w:lang w:val="en-GB"/>
              </w:rPr>
              <w:t>Safety and health at work</w:t>
            </w:r>
          </w:p>
        </w:tc>
        <w:tc>
          <w:tcPr>
            <w:tcW w:w="6009" w:type="dxa"/>
          </w:tcPr>
          <w:p w14:paraId="1E19F0DF" w14:textId="65802410" w:rsidR="00A81B5F" w:rsidRPr="006E3335" w:rsidRDefault="00A81B5F" w:rsidP="00006706">
            <w:pPr>
              <w:pStyle w:val="ExhibitText"/>
              <w:jc w:val="left"/>
              <w:rPr>
                <w:lang w:val="en-GB"/>
              </w:rPr>
            </w:pPr>
            <w:r w:rsidRPr="006E3335">
              <w:rPr>
                <w:lang w:val="en-GB"/>
              </w:rPr>
              <w:t>We are committed to preventing accidents, injuries</w:t>
            </w:r>
            <w:r w:rsidR="002764BD">
              <w:rPr>
                <w:lang w:val="en-GB"/>
              </w:rPr>
              <w:t>,</w:t>
            </w:r>
            <w:r w:rsidRPr="006E3335">
              <w:rPr>
                <w:lang w:val="en-GB"/>
              </w:rPr>
              <w:t xml:space="preserve"> and illness related to work, and to protect employees, contractors and others involved along the value chain.</w:t>
            </w:r>
          </w:p>
        </w:tc>
      </w:tr>
      <w:tr w:rsidR="00A81B5F" w:rsidRPr="006E3335" w14:paraId="1909ADC9" w14:textId="77777777" w:rsidTr="00697F1D">
        <w:trPr>
          <w:trHeight w:val="60"/>
        </w:trPr>
        <w:tc>
          <w:tcPr>
            <w:tcW w:w="9242" w:type="dxa"/>
            <w:gridSpan w:val="3"/>
          </w:tcPr>
          <w:p w14:paraId="3003B37E" w14:textId="77777777" w:rsidR="00A81B5F" w:rsidRPr="006E3335" w:rsidRDefault="00A81B5F" w:rsidP="00006706">
            <w:pPr>
              <w:pStyle w:val="ExhibitText"/>
              <w:spacing w:before="20" w:after="20"/>
              <w:rPr>
                <w:lang w:val="en-GB"/>
              </w:rPr>
            </w:pPr>
            <w:r w:rsidRPr="00006706">
              <w:rPr>
                <w:b/>
                <w:lang w:val="en-GB"/>
              </w:rPr>
              <w:t>Suppliers and customers</w:t>
            </w:r>
          </w:p>
        </w:tc>
      </w:tr>
      <w:tr w:rsidR="00A81B5F" w:rsidRPr="006E3335" w14:paraId="3AF9C45D" w14:textId="77777777" w:rsidTr="00697F1D">
        <w:tc>
          <w:tcPr>
            <w:tcW w:w="627" w:type="dxa"/>
          </w:tcPr>
          <w:p w14:paraId="235CB6A9" w14:textId="77777777" w:rsidR="00A81B5F" w:rsidRPr="00292187" w:rsidRDefault="00A81B5F" w:rsidP="00A81B5F">
            <w:pPr>
              <w:pStyle w:val="ExhibitText"/>
              <w:rPr>
                <w:lang w:val="en-GB"/>
              </w:rPr>
            </w:pPr>
            <w:r w:rsidRPr="00292187">
              <w:rPr>
                <w:lang w:val="en-GB"/>
              </w:rPr>
              <w:t>7</w:t>
            </w:r>
          </w:p>
        </w:tc>
        <w:tc>
          <w:tcPr>
            <w:tcW w:w="2606" w:type="dxa"/>
          </w:tcPr>
          <w:p w14:paraId="36D8458A" w14:textId="77777777" w:rsidR="00A81B5F" w:rsidRPr="00292187" w:rsidRDefault="00A81B5F" w:rsidP="00006706">
            <w:pPr>
              <w:pStyle w:val="ExhibitText"/>
              <w:jc w:val="left"/>
              <w:rPr>
                <w:lang w:val="en-GB"/>
              </w:rPr>
            </w:pPr>
            <w:r w:rsidRPr="00292187">
              <w:rPr>
                <w:lang w:val="en-GB"/>
              </w:rPr>
              <w:t>Supplier and</w:t>
            </w:r>
          </w:p>
          <w:p w14:paraId="21F0984D" w14:textId="77777777" w:rsidR="00A81B5F" w:rsidRPr="00292187" w:rsidRDefault="00A81B5F" w:rsidP="00006706">
            <w:pPr>
              <w:pStyle w:val="ExhibitText"/>
              <w:jc w:val="left"/>
              <w:rPr>
                <w:lang w:val="en-GB"/>
              </w:rPr>
            </w:pPr>
            <w:r w:rsidRPr="00292187">
              <w:rPr>
                <w:lang w:val="en-GB"/>
              </w:rPr>
              <w:t>customer relations</w:t>
            </w:r>
          </w:p>
        </w:tc>
        <w:tc>
          <w:tcPr>
            <w:tcW w:w="6009" w:type="dxa"/>
          </w:tcPr>
          <w:p w14:paraId="260F7B4B" w14:textId="1EB77A8D" w:rsidR="00A81B5F" w:rsidRPr="00292187" w:rsidRDefault="00A81B5F" w:rsidP="00006706">
            <w:pPr>
              <w:pStyle w:val="ExhibitText"/>
              <w:jc w:val="left"/>
              <w:rPr>
                <w:lang w:val="en-GB"/>
              </w:rPr>
            </w:pPr>
            <w:r w:rsidRPr="00292187">
              <w:rPr>
                <w:lang w:val="en-GB"/>
              </w:rPr>
              <w:t>We require our suppliers, agents, subcontractors</w:t>
            </w:r>
            <w:r w:rsidR="002764BD">
              <w:rPr>
                <w:lang w:val="en-GB"/>
              </w:rPr>
              <w:t>,</w:t>
            </w:r>
            <w:r w:rsidRPr="00292187">
              <w:rPr>
                <w:lang w:val="en-GB"/>
              </w:rPr>
              <w:t xml:space="preserve"> and their employees to demonstrate honesty, integrity</w:t>
            </w:r>
            <w:r w:rsidR="002764BD">
              <w:rPr>
                <w:lang w:val="en-GB"/>
              </w:rPr>
              <w:t>,</w:t>
            </w:r>
            <w:r w:rsidRPr="00292187">
              <w:rPr>
                <w:lang w:val="en-GB"/>
              </w:rPr>
              <w:t xml:space="preserve"> and fairness, and to adhere to our non-negotiable standards. In the same way, we are committed to our own customers.</w:t>
            </w:r>
          </w:p>
        </w:tc>
      </w:tr>
      <w:tr w:rsidR="00697F1D" w:rsidRPr="006E3335" w14:paraId="78BA3F3D" w14:textId="77777777" w:rsidTr="00697F1D">
        <w:tc>
          <w:tcPr>
            <w:tcW w:w="627" w:type="dxa"/>
          </w:tcPr>
          <w:p w14:paraId="6922C63E" w14:textId="2BB505E5" w:rsidR="00697F1D" w:rsidRPr="00292187" w:rsidRDefault="00B928FE" w:rsidP="00A81B5F">
            <w:pPr>
              <w:pStyle w:val="ExhibitText"/>
              <w:rPr>
                <w:lang w:val="en-GB"/>
              </w:rPr>
            </w:pPr>
            <w:r>
              <w:rPr>
                <w:lang w:val="en-GB"/>
              </w:rPr>
              <w:t>8</w:t>
            </w:r>
          </w:p>
        </w:tc>
        <w:tc>
          <w:tcPr>
            <w:tcW w:w="2606" w:type="dxa"/>
          </w:tcPr>
          <w:p w14:paraId="761C240B" w14:textId="23694751" w:rsidR="00697F1D" w:rsidRPr="00292187" w:rsidRDefault="00B928FE" w:rsidP="00006706">
            <w:pPr>
              <w:pStyle w:val="ExhibitText"/>
              <w:jc w:val="left"/>
              <w:rPr>
                <w:lang w:val="en-GB"/>
              </w:rPr>
            </w:pPr>
            <w:r w:rsidRPr="00DB4EF2">
              <w:rPr>
                <w:lang w:val="en-GB"/>
              </w:rPr>
              <w:t>Agriculture and rural development</w:t>
            </w:r>
          </w:p>
        </w:tc>
        <w:tc>
          <w:tcPr>
            <w:tcW w:w="6009" w:type="dxa"/>
          </w:tcPr>
          <w:p w14:paraId="309FACF0" w14:textId="7C39EFA2" w:rsidR="00697F1D" w:rsidRPr="00292187" w:rsidRDefault="00B928FE" w:rsidP="00006706">
            <w:pPr>
              <w:pStyle w:val="ExhibitText"/>
              <w:jc w:val="left"/>
              <w:rPr>
                <w:lang w:val="en-GB"/>
              </w:rPr>
            </w:pPr>
            <w:r w:rsidRPr="00292187">
              <w:rPr>
                <w:lang w:val="en-GB"/>
              </w:rPr>
              <w:t>We contribute to improvements in agricultural production, the social and economic status of farmers, rural communities</w:t>
            </w:r>
            <w:r>
              <w:rPr>
                <w:lang w:val="en-GB"/>
              </w:rPr>
              <w:t>,</w:t>
            </w:r>
            <w:r w:rsidRPr="00292187">
              <w:rPr>
                <w:lang w:val="en-GB"/>
              </w:rPr>
              <w:t xml:space="preserve"> an</w:t>
            </w:r>
            <w:r>
              <w:rPr>
                <w:lang w:val="en-GB"/>
              </w:rPr>
              <w:t>d</w:t>
            </w:r>
            <w:r w:rsidRPr="00292187">
              <w:rPr>
                <w:lang w:val="en-GB"/>
              </w:rPr>
              <w:t xml:space="preserve"> production systems to make them more environmentally sustainable.</w:t>
            </w:r>
          </w:p>
        </w:tc>
      </w:tr>
      <w:tr w:rsidR="00A81B5F" w:rsidRPr="006E3335" w14:paraId="1725ADFB" w14:textId="77777777" w:rsidTr="00697F1D">
        <w:trPr>
          <w:trHeight w:val="60"/>
        </w:trPr>
        <w:tc>
          <w:tcPr>
            <w:tcW w:w="9242" w:type="dxa"/>
            <w:gridSpan w:val="3"/>
          </w:tcPr>
          <w:p w14:paraId="41B9FCD7" w14:textId="67A8E76D" w:rsidR="00A81B5F" w:rsidRPr="00006706" w:rsidRDefault="00DB4EF2" w:rsidP="00006706">
            <w:pPr>
              <w:pStyle w:val="ExhibitText"/>
              <w:spacing w:before="20" w:after="20"/>
              <w:rPr>
                <w:b/>
                <w:lang w:val="en-GB"/>
              </w:rPr>
            </w:pPr>
            <w:r>
              <w:rPr>
                <w:b/>
                <w:lang w:val="en-GB"/>
              </w:rPr>
              <w:t>E</w:t>
            </w:r>
            <w:r w:rsidR="00A81B5F" w:rsidRPr="00006706">
              <w:rPr>
                <w:b/>
                <w:lang w:val="en-GB"/>
              </w:rPr>
              <w:t>nvironment</w:t>
            </w:r>
          </w:p>
        </w:tc>
      </w:tr>
      <w:tr w:rsidR="00A81B5F" w:rsidRPr="00292187" w14:paraId="48E995CD" w14:textId="77777777" w:rsidTr="00697F1D">
        <w:tc>
          <w:tcPr>
            <w:tcW w:w="627" w:type="dxa"/>
          </w:tcPr>
          <w:p w14:paraId="1B9042EA" w14:textId="77777777" w:rsidR="00A81B5F" w:rsidRPr="00292187" w:rsidRDefault="00A81B5F" w:rsidP="00A81B5F">
            <w:pPr>
              <w:pStyle w:val="ExhibitText"/>
              <w:rPr>
                <w:lang w:val="en-GB"/>
              </w:rPr>
            </w:pPr>
            <w:r w:rsidRPr="00292187">
              <w:rPr>
                <w:lang w:val="en-GB"/>
              </w:rPr>
              <w:t>9</w:t>
            </w:r>
          </w:p>
        </w:tc>
        <w:tc>
          <w:tcPr>
            <w:tcW w:w="2606" w:type="dxa"/>
          </w:tcPr>
          <w:p w14:paraId="0863BE7D" w14:textId="77777777" w:rsidR="00A81B5F" w:rsidRPr="00292187" w:rsidRDefault="00A81B5F" w:rsidP="00006706">
            <w:pPr>
              <w:pStyle w:val="ExhibitText"/>
              <w:jc w:val="left"/>
              <w:rPr>
                <w:lang w:val="en-GB"/>
              </w:rPr>
            </w:pPr>
            <w:r w:rsidRPr="00292187">
              <w:rPr>
                <w:lang w:val="en-GB"/>
              </w:rPr>
              <w:t>Environmental</w:t>
            </w:r>
          </w:p>
          <w:p w14:paraId="758F6CB7" w14:textId="77777777" w:rsidR="00A81B5F" w:rsidRPr="00292187" w:rsidRDefault="00A81B5F" w:rsidP="00006706">
            <w:pPr>
              <w:pStyle w:val="ExhibitText"/>
              <w:jc w:val="left"/>
              <w:rPr>
                <w:lang w:val="en-GB"/>
              </w:rPr>
            </w:pPr>
            <w:r w:rsidRPr="00292187">
              <w:rPr>
                <w:lang w:val="en-GB"/>
              </w:rPr>
              <w:t>sustainability</w:t>
            </w:r>
          </w:p>
          <w:p w14:paraId="1A4AA83C" w14:textId="77777777" w:rsidR="00A81B5F" w:rsidRPr="00292187" w:rsidRDefault="00A81B5F" w:rsidP="00006706">
            <w:pPr>
              <w:pStyle w:val="ExhibitText"/>
              <w:jc w:val="left"/>
              <w:rPr>
                <w:lang w:val="en-GB"/>
              </w:rPr>
            </w:pPr>
          </w:p>
        </w:tc>
        <w:tc>
          <w:tcPr>
            <w:tcW w:w="6009" w:type="dxa"/>
          </w:tcPr>
          <w:p w14:paraId="3D24D419" w14:textId="55C32560" w:rsidR="00A81B5F" w:rsidRPr="00292187" w:rsidRDefault="00A81B5F" w:rsidP="00006706">
            <w:pPr>
              <w:pStyle w:val="ExhibitText"/>
              <w:jc w:val="left"/>
              <w:rPr>
                <w:lang w:val="en-GB"/>
              </w:rPr>
            </w:pPr>
            <w:r w:rsidRPr="00292187">
              <w:rPr>
                <w:lang w:val="en-GB"/>
              </w:rPr>
              <w:t>We commit ourselves to environmentally sustainable business practices. At all stages of the product life cycle</w:t>
            </w:r>
            <w:r w:rsidR="002764BD">
              <w:rPr>
                <w:lang w:val="en-GB"/>
              </w:rPr>
              <w:t>,</w:t>
            </w:r>
            <w:r w:rsidRPr="00292187">
              <w:rPr>
                <w:lang w:val="en-GB"/>
              </w:rPr>
              <w:t xml:space="preserve"> we strive to use natural resources efficiently, favour the use of sustainably</w:t>
            </w:r>
            <w:r w:rsidR="002764BD">
              <w:rPr>
                <w:lang w:val="en-GB"/>
              </w:rPr>
              <w:t xml:space="preserve"> </w:t>
            </w:r>
            <w:r w:rsidRPr="00292187">
              <w:rPr>
                <w:lang w:val="en-GB"/>
              </w:rPr>
              <w:t>managed renewable resources, and target zero waste.</w:t>
            </w:r>
          </w:p>
        </w:tc>
      </w:tr>
      <w:tr w:rsidR="00A81B5F" w:rsidRPr="00292187" w14:paraId="2354B761" w14:textId="77777777" w:rsidTr="00697F1D">
        <w:tc>
          <w:tcPr>
            <w:tcW w:w="627" w:type="dxa"/>
          </w:tcPr>
          <w:p w14:paraId="4424C7B1" w14:textId="77777777" w:rsidR="00A81B5F" w:rsidRPr="00292187" w:rsidRDefault="00A81B5F" w:rsidP="00A81B5F">
            <w:pPr>
              <w:pStyle w:val="ExhibitText"/>
              <w:rPr>
                <w:lang w:val="en-GB"/>
              </w:rPr>
            </w:pPr>
            <w:r w:rsidRPr="00292187">
              <w:rPr>
                <w:lang w:val="en-GB"/>
              </w:rPr>
              <w:t>10</w:t>
            </w:r>
          </w:p>
        </w:tc>
        <w:tc>
          <w:tcPr>
            <w:tcW w:w="2606" w:type="dxa"/>
          </w:tcPr>
          <w:p w14:paraId="520DB28F" w14:textId="77777777" w:rsidR="00A81B5F" w:rsidRPr="00292187" w:rsidRDefault="00A81B5F" w:rsidP="00006706">
            <w:pPr>
              <w:pStyle w:val="ExhibitText"/>
              <w:jc w:val="left"/>
              <w:rPr>
                <w:lang w:val="en-GB"/>
              </w:rPr>
            </w:pPr>
            <w:r w:rsidRPr="00292187">
              <w:rPr>
                <w:lang w:val="en-GB"/>
              </w:rPr>
              <w:t>Water</w:t>
            </w:r>
          </w:p>
        </w:tc>
        <w:tc>
          <w:tcPr>
            <w:tcW w:w="6009" w:type="dxa"/>
          </w:tcPr>
          <w:p w14:paraId="63007350" w14:textId="5B79FD64" w:rsidR="00A81B5F" w:rsidRPr="00292187" w:rsidRDefault="00A81B5F" w:rsidP="00006706">
            <w:pPr>
              <w:pStyle w:val="ExhibitText"/>
              <w:jc w:val="left"/>
              <w:rPr>
                <w:lang w:val="en-GB"/>
              </w:rPr>
            </w:pPr>
            <w:r w:rsidRPr="00292187">
              <w:rPr>
                <w:lang w:val="en-GB"/>
              </w:rPr>
              <w:t>We are committed to the sustainable use of water and continuous improvement</w:t>
            </w:r>
            <w:r w:rsidR="002764BD">
              <w:rPr>
                <w:lang w:val="en-GB"/>
              </w:rPr>
              <w:t xml:space="preserve"> in </w:t>
            </w:r>
            <w:r w:rsidRPr="00292187">
              <w:rPr>
                <w:lang w:val="en-GB"/>
              </w:rPr>
              <w:t>water management. We recogni</w:t>
            </w:r>
            <w:r w:rsidR="002764BD">
              <w:rPr>
                <w:lang w:val="en-GB"/>
              </w:rPr>
              <w:t>z</w:t>
            </w:r>
            <w:r w:rsidRPr="00292187">
              <w:rPr>
                <w:lang w:val="en-GB"/>
              </w:rPr>
              <w:t>e that the world faces a growing water challenge and that responsible management of the world’s resources by all water users is an absolute necessity.</w:t>
            </w:r>
          </w:p>
        </w:tc>
      </w:tr>
    </w:tbl>
    <w:p w14:paraId="040BCC9F" w14:textId="77777777" w:rsidR="00A81B5F" w:rsidRPr="004255DC" w:rsidRDefault="00A81B5F" w:rsidP="00A81B5F">
      <w:pPr>
        <w:pStyle w:val="BodyTextMain"/>
        <w:rPr>
          <w:lang w:val="en-GB"/>
        </w:rPr>
      </w:pPr>
    </w:p>
    <w:p w14:paraId="7CF04E0D" w14:textId="55AB05D2" w:rsidR="00A81B5F" w:rsidRDefault="00A81B5F" w:rsidP="00A81B5F">
      <w:pPr>
        <w:pStyle w:val="Footnote"/>
      </w:pPr>
      <w:r w:rsidRPr="00A81B5F">
        <w:t>Source:</w:t>
      </w:r>
      <w:r w:rsidR="00B928FE">
        <w:t xml:space="preserve"> </w:t>
      </w:r>
      <w:r w:rsidR="00006706">
        <w:t>Company files</w:t>
      </w:r>
      <w:r w:rsidR="006C0276">
        <w:t>.</w:t>
      </w:r>
    </w:p>
    <w:p w14:paraId="6EC15DCB" w14:textId="77777777" w:rsidR="002764BD" w:rsidRDefault="002764BD" w:rsidP="00A81B5F">
      <w:pPr>
        <w:pStyle w:val="Footnote"/>
      </w:pPr>
    </w:p>
    <w:p w14:paraId="598A35AB" w14:textId="77777777" w:rsidR="00006706" w:rsidRDefault="00006706" w:rsidP="00A81B5F">
      <w:pPr>
        <w:pStyle w:val="Footnote"/>
      </w:pPr>
    </w:p>
    <w:p w14:paraId="16F42BFB" w14:textId="77777777" w:rsidR="002764BD" w:rsidRPr="00A81B5F" w:rsidRDefault="002764BD" w:rsidP="00A81B5F">
      <w:pPr>
        <w:pStyle w:val="Footnote"/>
      </w:pPr>
    </w:p>
    <w:p w14:paraId="587AA420" w14:textId="77777777" w:rsidR="00A81B5F" w:rsidRPr="004255DC" w:rsidRDefault="00A81B5F" w:rsidP="00A81B5F">
      <w:pPr>
        <w:pStyle w:val="ExhibitHeading"/>
        <w:rPr>
          <w:lang w:val="en-GB"/>
        </w:rPr>
      </w:pPr>
      <w:r w:rsidRPr="004255DC">
        <w:rPr>
          <w:lang w:val="en-GB"/>
        </w:rPr>
        <w:lastRenderedPageBreak/>
        <w:t xml:space="preserve">EXHIBIT 3: </w:t>
      </w:r>
      <w:r w:rsidR="003176DC" w:rsidRPr="003176DC">
        <w:rPr>
          <w:lang w:val="en-GB"/>
        </w:rPr>
        <w:t>How urgent is the food and water crisis?</w:t>
      </w:r>
    </w:p>
    <w:p w14:paraId="73F73830" w14:textId="77777777" w:rsidR="00A81B5F" w:rsidRPr="004255DC" w:rsidRDefault="00A81B5F" w:rsidP="00A81B5F">
      <w:pPr>
        <w:pStyle w:val="BodyTextMain"/>
        <w:rPr>
          <w:lang w:val="en-GB"/>
        </w:rPr>
      </w:pPr>
    </w:p>
    <w:p w14:paraId="6E337E19" w14:textId="77777777" w:rsidR="003176DC" w:rsidRDefault="003176DC" w:rsidP="003176DC">
      <w:pPr>
        <w:pStyle w:val="ExhibitText"/>
        <w:rPr>
          <w:lang w:val="en-GB"/>
        </w:rPr>
      </w:pPr>
      <w:r>
        <w:rPr>
          <w:lang w:val="en-GB"/>
        </w:rPr>
        <w:t>The facts speak for themselves:</w:t>
      </w:r>
    </w:p>
    <w:p w14:paraId="48797E3E" w14:textId="77777777" w:rsidR="003176DC" w:rsidRDefault="003176DC" w:rsidP="003176DC">
      <w:pPr>
        <w:pStyle w:val="ExhibitText"/>
        <w:rPr>
          <w:lang w:val="en-GB"/>
        </w:rPr>
      </w:pPr>
    </w:p>
    <w:p w14:paraId="77ECDF6B" w14:textId="19C8E368" w:rsidR="003176DC" w:rsidRPr="00292187" w:rsidRDefault="003176DC" w:rsidP="003176DC">
      <w:pPr>
        <w:pStyle w:val="ExhibitText"/>
        <w:numPr>
          <w:ilvl w:val="0"/>
          <w:numId w:val="28"/>
        </w:numPr>
        <w:rPr>
          <w:lang w:val="en-GB"/>
        </w:rPr>
      </w:pPr>
      <w:r w:rsidRPr="00292187">
        <w:rPr>
          <w:lang w:val="en-GB"/>
        </w:rPr>
        <w:t>There are 925 million undernourished people in the world today (F</w:t>
      </w:r>
      <w:r w:rsidR="006E5226">
        <w:rPr>
          <w:lang w:val="en-GB"/>
        </w:rPr>
        <w:t xml:space="preserve">ood and Agriculture </w:t>
      </w:r>
      <w:r w:rsidRPr="00292187">
        <w:rPr>
          <w:lang w:val="en-GB"/>
        </w:rPr>
        <w:t>O</w:t>
      </w:r>
      <w:r w:rsidR="006E5226">
        <w:rPr>
          <w:lang w:val="en-GB"/>
        </w:rPr>
        <w:t>rganisation</w:t>
      </w:r>
      <w:r w:rsidRPr="00292187">
        <w:rPr>
          <w:lang w:val="en-GB"/>
        </w:rPr>
        <w:t>).</w:t>
      </w:r>
    </w:p>
    <w:p w14:paraId="55441656" w14:textId="66F00443" w:rsidR="003176DC" w:rsidRPr="00292187" w:rsidRDefault="003176DC" w:rsidP="003176DC">
      <w:pPr>
        <w:pStyle w:val="ExhibitText"/>
        <w:numPr>
          <w:ilvl w:val="0"/>
          <w:numId w:val="28"/>
        </w:numPr>
        <w:rPr>
          <w:lang w:val="en-GB"/>
        </w:rPr>
      </w:pPr>
      <w:r w:rsidRPr="00292187">
        <w:rPr>
          <w:lang w:val="en-GB"/>
        </w:rPr>
        <w:t>Two billion people</w:t>
      </w:r>
      <w:r w:rsidR="00267E19">
        <w:rPr>
          <w:lang w:val="en-GB"/>
        </w:rPr>
        <w:t>—</w:t>
      </w:r>
      <w:r w:rsidRPr="00292187">
        <w:rPr>
          <w:lang w:val="en-GB"/>
        </w:rPr>
        <w:t>nearly one-third of the world</w:t>
      </w:r>
      <w:r w:rsidR="00267E19">
        <w:rPr>
          <w:lang w:val="en-GB"/>
        </w:rPr>
        <w:t>’s</w:t>
      </w:r>
      <w:r w:rsidRPr="00292187">
        <w:rPr>
          <w:lang w:val="en-GB"/>
        </w:rPr>
        <w:t xml:space="preserve"> population</w:t>
      </w:r>
      <w:r w:rsidR="00267E19">
        <w:rPr>
          <w:lang w:val="en-GB"/>
        </w:rPr>
        <w:t>—</w:t>
      </w:r>
      <w:r w:rsidRPr="00292187">
        <w:rPr>
          <w:lang w:val="en-GB"/>
        </w:rPr>
        <w:t>suffer from deficiencies</w:t>
      </w:r>
      <w:r>
        <w:rPr>
          <w:lang w:val="en-GB"/>
        </w:rPr>
        <w:t xml:space="preserve"> </w:t>
      </w:r>
      <w:r w:rsidRPr="00292187">
        <w:rPr>
          <w:lang w:val="en-GB"/>
        </w:rPr>
        <w:t xml:space="preserve">in iron, iodine, </w:t>
      </w:r>
      <w:r w:rsidR="004D4878">
        <w:rPr>
          <w:lang w:val="en-GB"/>
        </w:rPr>
        <w:t>V</w:t>
      </w:r>
      <w:r w:rsidRPr="00292187">
        <w:rPr>
          <w:lang w:val="en-GB"/>
        </w:rPr>
        <w:t>itamin A, zinc,</w:t>
      </w:r>
      <w:r w:rsidR="00267E19">
        <w:rPr>
          <w:lang w:val="en-GB"/>
        </w:rPr>
        <w:t xml:space="preserve"> </w:t>
      </w:r>
      <w:r w:rsidRPr="00292187">
        <w:rPr>
          <w:lang w:val="en-GB"/>
        </w:rPr>
        <w:t>or a combination of these</w:t>
      </w:r>
      <w:r w:rsidR="00267E19">
        <w:rPr>
          <w:lang w:val="en-GB"/>
        </w:rPr>
        <w:t>. T</w:t>
      </w:r>
      <w:r w:rsidRPr="00292187">
        <w:rPr>
          <w:lang w:val="en-GB"/>
        </w:rPr>
        <w:t>he World Health Organization estimates that</w:t>
      </w:r>
      <w:r>
        <w:rPr>
          <w:lang w:val="en-GB"/>
        </w:rPr>
        <w:t xml:space="preserve"> </w:t>
      </w:r>
      <w:r w:rsidRPr="00292187">
        <w:rPr>
          <w:lang w:val="en-GB"/>
        </w:rPr>
        <w:t>over 740 million people suffer from iodine deficiency</w:t>
      </w:r>
      <w:r>
        <w:rPr>
          <w:lang w:val="en-GB"/>
        </w:rPr>
        <w:t xml:space="preserve"> </w:t>
      </w:r>
      <w:r w:rsidRPr="00292187">
        <w:rPr>
          <w:lang w:val="en-GB"/>
        </w:rPr>
        <w:t xml:space="preserve">disorders and that 250 million preschool children are </w:t>
      </w:r>
      <w:r w:rsidR="004D4878">
        <w:rPr>
          <w:lang w:val="en-GB"/>
        </w:rPr>
        <w:t>V</w:t>
      </w:r>
      <w:r w:rsidRPr="00292187">
        <w:rPr>
          <w:lang w:val="en-GB"/>
        </w:rPr>
        <w:t>itamin</w:t>
      </w:r>
      <w:r w:rsidR="004D4878">
        <w:rPr>
          <w:lang w:val="en-GB"/>
        </w:rPr>
        <w:t> </w:t>
      </w:r>
      <w:r w:rsidRPr="00292187">
        <w:rPr>
          <w:lang w:val="en-GB"/>
        </w:rPr>
        <w:t>A deficient.</w:t>
      </w:r>
    </w:p>
    <w:p w14:paraId="3019D4DC" w14:textId="5C3BB082" w:rsidR="003176DC" w:rsidRPr="00292187" w:rsidRDefault="003176DC" w:rsidP="003176DC">
      <w:pPr>
        <w:pStyle w:val="ExhibitText"/>
        <w:numPr>
          <w:ilvl w:val="0"/>
          <w:numId w:val="28"/>
        </w:numPr>
        <w:rPr>
          <w:lang w:val="en-GB"/>
        </w:rPr>
      </w:pPr>
      <w:r>
        <w:rPr>
          <w:lang w:val="en-GB"/>
        </w:rPr>
        <w:t xml:space="preserve">Globally, an estimated </w:t>
      </w:r>
      <w:r w:rsidRPr="00292187">
        <w:rPr>
          <w:lang w:val="en-GB"/>
        </w:rPr>
        <w:t>43 million preschool children were overweight or obese in 2010, a 60</w:t>
      </w:r>
      <w:r w:rsidR="004D4878">
        <w:rPr>
          <w:lang w:val="en-GB"/>
        </w:rPr>
        <w:t xml:space="preserve"> per cent</w:t>
      </w:r>
      <w:r w:rsidRPr="00292187">
        <w:rPr>
          <w:lang w:val="en-GB"/>
        </w:rPr>
        <w:t xml:space="preserve"> increase since 1990, of which over 80</w:t>
      </w:r>
      <w:r w:rsidR="004D4878">
        <w:rPr>
          <w:lang w:val="en-GB"/>
        </w:rPr>
        <w:t xml:space="preserve"> per cent</w:t>
      </w:r>
      <w:r w:rsidRPr="00292187">
        <w:rPr>
          <w:lang w:val="en-GB"/>
        </w:rPr>
        <w:t xml:space="preserve"> live in developing countries (</w:t>
      </w:r>
      <w:r w:rsidRPr="00006706">
        <w:rPr>
          <w:i/>
          <w:lang w:val="en-GB"/>
        </w:rPr>
        <w:t>American Journal of Clinical Nutrition</w:t>
      </w:r>
      <w:r w:rsidRPr="00292187">
        <w:rPr>
          <w:lang w:val="en-GB"/>
        </w:rPr>
        <w:t>, Nov</w:t>
      </w:r>
      <w:r w:rsidR="00267E19">
        <w:rPr>
          <w:lang w:val="en-GB"/>
        </w:rPr>
        <w:t>ember</w:t>
      </w:r>
      <w:r w:rsidRPr="00292187">
        <w:rPr>
          <w:lang w:val="en-GB"/>
        </w:rPr>
        <w:t xml:space="preserve"> 2010).</w:t>
      </w:r>
    </w:p>
    <w:p w14:paraId="6A07B9CF" w14:textId="1D52FD12" w:rsidR="00A81B5F" w:rsidRPr="004255DC" w:rsidRDefault="003176DC" w:rsidP="003176DC">
      <w:pPr>
        <w:pStyle w:val="ExhibitText"/>
        <w:numPr>
          <w:ilvl w:val="0"/>
          <w:numId w:val="28"/>
        </w:numPr>
        <w:rPr>
          <w:lang w:val="en-GB"/>
        </w:rPr>
      </w:pPr>
      <w:r w:rsidRPr="00292187">
        <w:rPr>
          <w:lang w:val="en-GB"/>
        </w:rPr>
        <w:t>Today, 31 countries face chronic freshwater stress and shortages. By 2025</w:t>
      </w:r>
      <w:r w:rsidR="00267E19">
        <w:rPr>
          <w:lang w:val="en-GB"/>
        </w:rPr>
        <w:t>,</w:t>
      </w:r>
      <w:r w:rsidRPr="00292187">
        <w:rPr>
          <w:lang w:val="en-GB"/>
        </w:rPr>
        <w:t xml:space="preserve"> this </w:t>
      </w:r>
      <w:r w:rsidR="004D4878">
        <w:rPr>
          <w:lang w:val="en-GB"/>
        </w:rPr>
        <w:t xml:space="preserve">number </w:t>
      </w:r>
      <w:r w:rsidRPr="00292187">
        <w:rPr>
          <w:lang w:val="en-GB"/>
        </w:rPr>
        <w:t>is estimated to rise to 48 countries as water withdrawal outpaces renewal (United Nations Environment Programme). These challenges will only get more pressing as the global population rises to 10 billion by 2100.</w:t>
      </w:r>
    </w:p>
    <w:p w14:paraId="45703BC0" w14:textId="77777777" w:rsidR="00A81B5F" w:rsidRPr="004255DC" w:rsidRDefault="00A81B5F" w:rsidP="00A81B5F">
      <w:pPr>
        <w:rPr>
          <w:sz w:val="22"/>
          <w:szCs w:val="22"/>
          <w:lang w:val="en-GB"/>
        </w:rPr>
      </w:pPr>
    </w:p>
    <w:p w14:paraId="7DB110C2" w14:textId="0D665D22" w:rsidR="00A81B5F" w:rsidRDefault="00A81B5F" w:rsidP="003176DC">
      <w:pPr>
        <w:pStyle w:val="Footnote"/>
      </w:pPr>
      <w:r w:rsidRPr="004255DC">
        <w:rPr>
          <w:bCs/>
          <w:lang w:val="en-GB"/>
        </w:rPr>
        <w:t>Source:</w:t>
      </w:r>
      <w:r w:rsidR="00267E19">
        <w:rPr>
          <w:b/>
          <w:bCs/>
          <w:lang w:val="en-GB"/>
        </w:rPr>
        <w:t xml:space="preserve"> </w:t>
      </w:r>
      <w:r w:rsidR="00E83836">
        <w:rPr>
          <w:bCs/>
          <w:lang w:val="en-GB"/>
        </w:rPr>
        <w:t>Company files.</w:t>
      </w:r>
    </w:p>
    <w:p w14:paraId="0CDCE4C8" w14:textId="77777777" w:rsidR="00A81B5F" w:rsidRDefault="00A81B5F" w:rsidP="006B7F7A">
      <w:pPr>
        <w:pStyle w:val="BodyTextMain"/>
      </w:pPr>
    </w:p>
    <w:p w14:paraId="11417B57" w14:textId="77777777" w:rsidR="00A81B5F" w:rsidRPr="003176DC" w:rsidRDefault="00A81B5F" w:rsidP="003176DC">
      <w:pPr>
        <w:pStyle w:val="ExhibitHeading"/>
      </w:pPr>
    </w:p>
    <w:p w14:paraId="1825724E" w14:textId="22D92491" w:rsidR="003176DC" w:rsidRPr="003176DC" w:rsidRDefault="003176DC" w:rsidP="003176DC">
      <w:pPr>
        <w:pStyle w:val="ExhibitHeading"/>
      </w:pPr>
      <w:r w:rsidRPr="003176DC">
        <w:t xml:space="preserve">EXHIBIT 4: </w:t>
      </w:r>
      <w:r w:rsidR="000C553E">
        <w:t>Nestlé india</w:t>
      </w:r>
      <w:r w:rsidRPr="003176DC">
        <w:t xml:space="preserve"> FINANCIALS (</w:t>
      </w:r>
      <w:r w:rsidR="00267E19">
        <w:t xml:space="preserve">IN </w:t>
      </w:r>
      <w:r w:rsidR="00267E19" w:rsidRPr="00006706">
        <w:t>₹</w:t>
      </w:r>
      <w:r w:rsidR="00267E19">
        <w:t xml:space="preserve"> </w:t>
      </w:r>
      <w:r w:rsidRPr="003176DC">
        <w:t>MILLIONS)</w:t>
      </w:r>
    </w:p>
    <w:p w14:paraId="6F9EC890" w14:textId="77777777" w:rsidR="003176DC" w:rsidRPr="004255DC" w:rsidRDefault="003176DC" w:rsidP="003176DC">
      <w:pPr>
        <w:pStyle w:val="BodyA"/>
        <w:rPr>
          <w:rFonts w:ascii="Times New Roman" w:eastAsia="Times New Roman" w:hAnsi="Times New Roman" w:cs="Times New Roman"/>
          <w:b/>
          <w:bCs/>
          <w:lang w:val="en-GB"/>
        </w:rPr>
      </w:pPr>
    </w:p>
    <w:tbl>
      <w:tblPr>
        <w:tblStyle w:val="TableGrid"/>
        <w:tblW w:w="5827" w:type="dxa"/>
        <w:jc w:val="center"/>
        <w:tblLayout w:type="fixed"/>
        <w:tblLook w:val="04A0" w:firstRow="1" w:lastRow="0" w:firstColumn="1" w:lastColumn="0" w:noHBand="0" w:noVBand="1"/>
      </w:tblPr>
      <w:tblGrid>
        <w:gridCol w:w="4721"/>
        <w:gridCol w:w="1106"/>
      </w:tblGrid>
      <w:tr w:rsidR="003176DC" w:rsidRPr="003176DC" w14:paraId="10A3D279" w14:textId="77777777" w:rsidTr="003176DC">
        <w:trPr>
          <w:trHeight w:val="23"/>
          <w:jc w:val="center"/>
        </w:trPr>
        <w:tc>
          <w:tcPr>
            <w:tcW w:w="4721" w:type="dxa"/>
          </w:tcPr>
          <w:p w14:paraId="39813F4A" w14:textId="77777777" w:rsidR="003176DC" w:rsidRPr="003176DC" w:rsidRDefault="003176DC" w:rsidP="00006706">
            <w:pPr>
              <w:pStyle w:val="ExhibitText"/>
              <w:spacing w:before="40" w:after="40"/>
              <w:jc w:val="center"/>
              <w:rPr>
                <w:b/>
              </w:rPr>
            </w:pPr>
            <w:r w:rsidRPr="003176DC">
              <w:rPr>
                <w:b/>
              </w:rPr>
              <w:t>Particulars</w:t>
            </w:r>
          </w:p>
        </w:tc>
        <w:tc>
          <w:tcPr>
            <w:tcW w:w="1106" w:type="dxa"/>
          </w:tcPr>
          <w:p w14:paraId="2E65C0D7" w14:textId="77777777" w:rsidR="003176DC" w:rsidRPr="003176DC" w:rsidRDefault="003176DC" w:rsidP="00006706">
            <w:pPr>
              <w:pStyle w:val="ExhibitText"/>
              <w:spacing w:before="40" w:after="40"/>
              <w:jc w:val="center"/>
              <w:rPr>
                <w:b/>
              </w:rPr>
            </w:pPr>
            <w:r w:rsidRPr="003176DC">
              <w:rPr>
                <w:b/>
              </w:rPr>
              <w:t>2013</w:t>
            </w:r>
          </w:p>
        </w:tc>
      </w:tr>
      <w:tr w:rsidR="003176DC" w:rsidRPr="003176DC" w14:paraId="1EF196C0" w14:textId="77777777" w:rsidTr="003176DC">
        <w:trPr>
          <w:trHeight w:val="23"/>
          <w:jc w:val="center"/>
        </w:trPr>
        <w:tc>
          <w:tcPr>
            <w:tcW w:w="4721" w:type="dxa"/>
          </w:tcPr>
          <w:p w14:paraId="77CE21AD" w14:textId="7F5C9ED8" w:rsidR="003176DC" w:rsidRPr="003176DC" w:rsidRDefault="003176DC" w:rsidP="003176DC">
            <w:pPr>
              <w:pStyle w:val="ExhibitText"/>
            </w:pPr>
            <w:r w:rsidRPr="003176DC">
              <w:t xml:space="preserve">Domestic </w:t>
            </w:r>
            <w:r w:rsidR="00267E19">
              <w:t>s</w:t>
            </w:r>
            <w:r w:rsidRPr="003176DC">
              <w:t>ales</w:t>
            </w:r>
          </w:p>
        </w:tc>
        <w:tc>
          <w:tcPr>
            <w:tcW w:w="1106" w:type="dxa"/>
          </w:tcPr>
          <w:p w14:paraId="39EEF31E" w14:textId="77777777" w:rsidR="003176DC" w:rsidRPr="003176DC" w:rsidRDefault="003176DC" w:rsidP="003176DC">
            <w:pPr>
              <w:pStyle w:val="ExhibitText"/>
              <w:jc w:val="right"/>
            </w:pPr>
            <w:r w:rsidRPr="003176DC">
              <w:t>87,537.4</w:t>
            </w:r>
          </w:p>
        </w:tc>
      </w:tr>
      <w:tr w:rsidR="003176DC" w:rsidRPr="003176DC" w14:paraId="2EB269F6" w14:textId="77777777" w:rsidTr="003176DC">
        <w:trPr>
          <w:trHeight w:val="153"/>
          <w:jc w:val="center"/>
        </w:trPr>
        <w:tc>
          <w:tcPr>
            <w:tcW w:w="4721" w:type="dxa"/>
          </w:tcPr>
          <w:p w14:paraId="3530F6DA" w14:textId="1F46D24F" w:rsidR="003176DC" w:rsidRPr="003176DC" w:rsidRDefault="003176DC" w:rsidP="003176DC">
            <w:pPr>
              <w:pStyle w:val="ExhibitText"/>
            </w:pPr>
            <w:r w:rsidRPr="003176DC">
              <w:t xml:space="preserve">Export </w:t>
            </w:r>
            <w:r w:rsidR="00267E19">
              <w:t>s</w:t>
            </w:r>
            <w:r w:rsidRPr="003176DC">
              <w:t>ales</w:t>
            </w:r>
          </w:p>
        </w:tc>
        <w:tc>
          <w:tcPr>
            <w:tcW w:w="1106" w:type="dxa"/>
          </w:tcPr>
          <w:p w14:paraId="327ADE64" w14:textId="77777777" w:rsidR="003176DC" w:rsidRPr="003176DC" w:rsidRDefault="003176DC" w:rsidP="003176DC">
            <w:pPr>
              <w:pStyle w:val="ExhibitText"/>
              <w:jc w:val="right"/>
            </w:pPr>
            <w:r w:rsidRPr="003176DC">
              <w:t>6,261.3</w:t>
            </w:r>
          </w:p>
        </w:tc>
      </w:tr>
      <w:tr w:rsidR="003176DC" w:rsidRPr="003176DC" w14:paraId="6AAC1F2A" w14:textId="77777777" w:rsidTr="003176DC">
        <w:trPr>
          <w:trHeight w:val="153"/>
          <w:jc w:val="center"/>
        </w:trPr>
        <w:tc>
          <w:tcPr>
            <w:tcW w:w="4721" w:type="dxa"/>
          </w:tcPr>
          <w:p w14:paraId="0D97CEB9" w14:textId="7AFEF4B1" w:rsidR="003176DC" w:rsidRPr="003176DC" w:rsidRDefault="003176DC" w:rsidP="003176DC">
            <w:pPr>
              <w:pStyle w:val="ExhibitText"/>
            </w:pPr>
            <w:r w:rsidRPr="003176DC">
              <w:t xml:space="preserve">Less: </w:t>
            </w:r>
            <w:r w:rsidR="00267E19">
              <w:t>e</w:t>
            </w:r>
            <w:r w:rsidRPr="003176DC">
              <w:t>xcise duty</w:t>
            </w:r>
          </w:p>
        </w:tc>
        <w:tc>
          <w:tcPr>
            <w:tcW w:w="1106" w:type="dxa"/>
          </w:tcPr>
          <w:p w14:paraId="13E24635" w14:textId="77777777" w:rsidR="003176DC" w:rsidRPr="003176DC" w:rsidRDefault="003176DC" w:rsidP="003176DC">
            <w:pPr>
              <w:pStyle w:val="ExhibitText"/>
              <w:jc w:val="right"/>
            </w:pPr>
            <w:r w:rsidRPr="003176DC">
              <w:t>3,179.7</w:t>
            </w:r>
          </w:p>
        </w:tc>
      </w:tr>
      <w:tr w:rsidR="003176DC" w:rsidRPr="003176DC" w14:paraId="31C8B2EA" w14:textId="77777777" w:rsidTr="003176DC">
        <w:trPr>
          <w:trHeight w:val="153"/>
          <w:jc w:val="center"/>
        </w:trPr>
        <w:tc>
          <w:tcPr>
            <w:tcW w:w="4721" w:type="dxa"/>
          </w:tcPr>
          <w:p w14:paraId="68348C23" w14:textId="21FE1BE5" w:rsidR="003176DC" w:rsidRPr="003176DC" w:rsidRDefault="003176DC" w:rsidP="003176DC">
            <w:pPr>
              <w:pStyle w:val="ExhibitText"/>
            </w:pPr>
            <w:r w:rsidRPr="003176DC">
              <w:t xml:space="preserve">Net </w:t>
            </w:r>
            <w:r w:rsidR="00267E19">
              <w:t>s</w:t>
            </w:r>
            <w:r w:rsidRPr="003176DC">
              <w:t>ales</w:t>
            </w:r>
          </w:p>
        </w:tc>
        <w:tc>
          <w:tcPr>
            <w:tcW w:w="1106" w:type="dxa"/>
          </w:tcPr>
          <w:p w14:paraId="42F0FA8C" w14:textId="77777777" w:rsidR="003176DC" w:rsidRPr="003176DC" w:rsidRDefault="003176DC" w:rsidP="003176DC">
            <w:pPr>
              <w:pStyle w:val="ExhibitText"/>
              <w:jc w:val="right"/>
            </w:pPr>
            <w:r w:rsidRPr="003176DC">
              <w:t>90,619.0</w:t>
            </w:r>
          </w:p>
        </w:tc>
      </w:tr>
      <w:tr w:rsidR="003176DC" w:rsidRPr="003176DC" w14:paraId="74746625" w14:textId="77777777" w:rsidTr="003176DC">
        <w:trPr>
          <w:trHeight w:val="153"/>
          <w:jc w:val="center"/>
        </w:trPr>
        <w:tc>
          <w:tcPr>
            <w:tcW w:w="4721" w:type="dxa"/>
          </w:tcPr>
          <w:p w14:paraId="7B847D9E" w14:textId="6761807A" w:rsidR="003176DC" w:rsidRPr="003176DC" w:rsidRDefault="003176DC" w:rsidP="003176DC">
            <w:pPr>
              <w:pStyle w:val="ExhibitText"/>
            </w:pPr>
            <w:r w:rsidRPr="003176DC">
              <w:t>Other </w:t>
            </w:r>
            <w:r w:rsidR="00267E19">
              <w:t>o</w:t>
            </w:r>
            <w:r w:rsidRPr="003176DC">
              <w:t xml:space="preserve">perating </w:t>
            </w:r>
            <w:r w:rsidR="00267E19">
              <w:t>i</w:t>
            </w:r>
            <w:r w:rsidRPr="003176DC">
              <w:t>ncome</w:t>
            </w:r>
          </w:p>
        </w:tc>
        <w:tc>
          <w:tcPr>
            <w:tcW w:w="1106" w:type="dxa"/>
          </w:tcPr>
          <w:p w14:paraId="24D40299" w14:textId="77777777" w:rsidR="003176DC" w:rsidRPr="003176DC" w:rsidRDefault="003176DC" w:rsidP="003176DC">
            <w:pPr>
              <w:pStyle w:val="ExhibitText"/>
              <w:jc w:val="right"/>
            </w:pPr>
            <w:r w:rsidRPr="003176DC">
              <w:t>391.5</w:t>
            </w:r>
          </w:p>
        </w:tc>
      </w:tr>
      <w:tr w:rsidR="003176DC" w:rsidRPr="003176DC" w14:paraId="2D17D8A5" w14:textId="77777777" w:rsidTr="003176DC">
        <w:trPr>
          <w:trHeight w:val="153"/>
          <w:jc w:val="center"/>
        </w:trPr>
        <w:tc>
          <w:tcPr>
            <w:tcW w:w="4721" w:type="dxa"/>
          </w:tcPr>
          <w:p w14:paraId="307F8CFB" w14:textId="77777777" w:rsidR="003176DC" w:rsidRPr="003176DC" w:rsidRDefault="003176DC" w:rsidP="003176DC">
            <w:pPr>
              <w:pStyle w:val="ExhibitText"/>
            </w:pPr>
            <w:r w:rsidRPr="003176DC">
              <w:t>Total revenue from operations</w:t>
            </w:r>
          </w:p>
        </w:tc>
        <w:tc>
          <w:tcPr>
            <w:tcW w:w="1106" w:type="dxa"/>
          </w:tcPr>
          <w:p w14:paraId="2850569F" w14:textId="77777777" w:rsidR="003176DC" w:rsidRPr="003176DC" w:rsidRDefault="003176DC" w:rsidP="003176DC">
            <w:pPr>
              <w:pStyle w:val="ExhibitText"/>
              <w:jc w:val="right"/>
            </w:pPr>
            <w:r w:rsidRPr="003176DC">
              <w:t>91,010.5</w:t>
            </w:r>
          </w:p>
        </w:tc>
      </w:tr>
      <w:tr w:rsidR="003176DC" w:rsidRPr="003176DC" w14:paraId="0D37E250" w14:textId="77777777" w:rsidTr="003176DC">
        <w:trPr>
          <w:trHeight w:val="153"/>
          <w:jc w:val="center"/>
        </w:trPr>
        <w:tc>
          <w:tcPr>
            <w:tcW w:w="4721" w:type="dxa"/>
          </w:tcPr>
          <w:p w14:paraId="06DF0557" w14:textId="228AC095" w:rsidR="003176DC" w:rsidRPr="003176DC" w:rsidRDefault="003176DC" w:rsidP="003176DC">
            <w:pPr>
              <w:pStyle w:val="ExhibitText"/>
            </w:pPr>
            <w:r w:rsidRPr="003176DC">
              <w:t xml:space="preserve">Total </w:t>
            </w:r>
            <w:r w:rsidR="00267E19">
              <w:t>e</w:t>
            </w:r>
            <w:r w:rsidRPr="003176DC">
              <w:t>xpenses</w:t>
            </w:r>
          </w:p>
        </w:tc>
        <w:tc>
          <w:tcPr>
            <w:tcW w:w="1106" w:type="dxa"/>
          </w:tcPr>
          <w:p w14:paraId="34DC9473" w14:textId="77777777" w:rsidR="003176DC" w:rsidRPr="003176DC" w:rsidRDefault="003176DC" w:rsidP="003176DC">
            <w:pPr>
              <w:pStyle w:val="ExhibitText"/>
              <w:jc w:val="right"/>
            </w:pPr>
            <w:r w:rsidRPr="003176DC">
              <w:t>74,068.7</w:t>
            </w:r>
          </w:p>
        </w:tc>
      </w:tr>
      <w:tr w:rsidR="003176DC" w:rsidRPr="003176DC" w14:paraId="7E164334" w14:textId="77777777" w:rsidTr="003176DC">
        <w:trPr>
          <w:trHeight w:val="153"/>
          <w:jc w:val="center"/>
        </w:trPr>
        <w:tc>
          <w:tcPr>
            <w:tcW w:w="4721" w:type="dxa"/>
          </w:tcPr>
          <w:p w14:paraId="33F1C512" w14:textId="400ADC0F" w:rsidR="003176DC" w:rsidRPr="003176DC" w:rsidRDefault="003176DC" w:rsidP="003176DC">
            <w:pPr>
              <w:pStyle w:val="ExhibitText"/>
            </w:pPr>
            <w:r w:rsidRPr="003176DC">
              <w:t xml:space="preserve">Profit from </w:t>
            </w:r>
            <w:r w:rsidR="00267E19">
              <w:t>o</w:t>
            </w:r>
            <w:r w:rsidRPr="003176DC">
              <w:t>perations</w:t>
            </w:r>
          </w:p>
        </w:tc>
        <w:tc>
          <w:tcPr>
            <w:tcW w:w="1106" w:type="dxa"/>
          </w:tcPr>
          <w:p w14:paraId="5D220B3E" w14:textId="77777777" w:rsidR="003176DC" w:rsidRPr="003176DC" w:rsidRDefault="003176DC" w:rsidP="003176DC">
            <w:pPr>
              <w:pStyle w:val="ExhibitText"/>
              <w:jc w:val="right"/>
            </w:pPr>
            <w:r w:rsidRPr="003176DC">
              <w:t>16,941.8</w:t>
            </w:r>
          </w:p>
        </w:tc>
      </w:tr>
      <w:tr w:rsidR="003176DC" w:rsidRPr="003176DC" w14:paraId="13979A77" w14:textId="77777777" w:rsidTr="003176DC">
        <w:trPr>
          <w:trHeight w:val="153"/>
          <w:jc w:val="center"/>
        </w:trPr>
        <w:tc>
          <w:tcPr>
            <w:tcW w:w="4721" w:type="dxa"/>
          </w:tcPr>
          <w:p w14:paraId="371D217F" w14:textId="77777777" w:rsidR="003176DC" w:rsidRPr="003176DC" w:rsidRDefault="003176DC" w:rsidP="003176DC">
            <w:pPr>
              <w:pStyle w:val="ExhibitText"/>
            </w:pPr>
            <w:r w:rsidRPr="003176DC">
              <w:t>Other income</w:t>
            </w:r>
          </w:p>
        </w:tc>
        <w:tc>
          <w:tcPr>
            <w:tcW w:w="1106" w:type="dxa"/>
          </w:tcPr>
          <w:p w14:paraId="739AC57F" w14:textId="77777777" w:rsidR="003176DC" w:rsidRPr="003176DC" w:rsidRDefault="003176DC" w:rsidP="003176DC">
            <w:pPr>
              <w:pStyle w:val="ExhibitText"/>
              <w:jc w:val="right"/>
            </w:pPr>
            <w:r w:rsidRPr="003176DC">
              <w:t>830.9</w:t>
            </w:r>
          </w:p>
        </w:tc>
      </w:tr>
      <w:tr w:rsidR="003176DC" w:rsidRPr="003176DC" w14:paraId="2CA9B920" w14:textId="77777777" w:rsidTr="003176DC">
        <w:trPr>
          <w:trHeight w:val="153"/>
          <w:jc w:val="center"/>
        </w:trPr>
        <w:tc>
          <w:tcPr>
            <w:tcW w:w="4721" w:type="dxa"/>
          </w:tcPr>
          <w:p w14:paraId="3A0D8E7D" w14:textId="77777777" w:rsidR="003176DC" w:rsidRPr="003176DC" w:rsidRDefault="003176DC" w:rsidP="003176DC">
            <w:pPr>
              <w:pStyle w:val="ExhibitText"/>
            </w:pPr>
            <w:r w:rsidRPr="003176DC">
              <w:t>Finance costs</w:t>
            </w:r>
          </w:p>
        </w:tc>
        <w:tc>
          <w:tcPr>
            <w:tcW w:w="1106" w:type="dxa"/>
          </w:tcPr>
          <w:p w14:paraId="35202149" w14:textId="77777777" w:rsidR="003176DC" w:rsidRPr="003176DC" w:rsidRDefault="003176DC" w:rsidP="003176DC">
            <w:pPr>
              <w:pStyle w:val="ExhibitText"/>
              <w:jc w:val="right"/>
            </w:pPr>
            <w:r w:rsidRPr="003176DC">
              <w:t>365.1</w:t>
            </w:r>
          </w:p>
        </w:tc>
      </w:tr>
      <w:tr w:rsidR="003176DC" w:rsidRPr="003176DC" w14:paraId="076E79E0" w14:textId="77777777" w:rsidTr="003176DC">
        <w:trPr>
          <w:trHeight w:val="153"/>
          <w:jc w:val="center"/>
        </w:trPr>
        <w:tc>
          <w:tcPr>
            <w:tcW w:w="4721" w:type="dxa"/>
          </w:tcPr>
          <w:p w14:paraId="062FBEAB" w14:textId="77777777" w:rsidR="003176DC" w:rsidRPr="003176DC" w:rsidRDefault="003176DC" w:rsidP="003176DC">
            <w:pPr>
              <w:pStyle w:val="ExhibitText"/>
            </w:pPr>
            <w:r w:rsidRPr="003176DC">
              <w:t>Employee benefit expense due to passage of time</w:t>
            </w:r>
          </w:p>
        </w:tc>
        <w:tc>
          <w:tcPr>
            <w:tcW w:w="1106" w:type="dxa"/>
          </w:tcPr>
          <w:p w14:paraId="70B268E1" w14:textId="77777777" w:rsidR="003176DC" w:rsidRPr="003176DC" w:rsidRDefault="003176DC" w:rsidP="003176DC">
            <w:pPr>
              <w:pStyle w:val="ExhibitText"/>
              <w:jc w:val="right"/>
            </w:pPr>
            <w:r w:rsidRPr="003176DC">
              <w:t>558.1</w:t>
            </w:r>
          </w:p>
        </w:tc>
      </w:tr>
      <w:tr w:rsidR="003176DC" w:rsidRPr="003176DC" w14:paraId="605476AA" w14:textId="77777777" w:rsidTr="003176DC">
        <w:trPr>
          <w:trHeight w:val="153"/>
          <w:jc w:val="center"/>
        </w:trPr>
        <w:tc>
          <w:tcPr>
            <w:tcW w:w="4721" w:type="dxa"/>
          </w:tcPr>
          <w:p w14:paraId="34463CD9" w14:textId="77777777" w:rsidR="003176DC" w:rsidRPr="003176DC" w:rsidRDefault="003176DC" w:rsidP="003176DC">
            <w:pPr>
              <w:pStyle w:val="ExhibitText"/>
            </w:pPr>
            <w:r w:rsidRPr="003176DC">
              <w:t>Net provision for contingencies (others)</w:t>
            </w:r>
          </w:p>
        </w:tc>
        <w:tc>
          <w:tcPr>
            <w:tcW w:w="1106" w:type="dxa"/>
          </w:tcPr>
          <w:p w14:paraId="05992CB3" w14:textId="77777777" w:rsidR="003176DC" w:rsidRPr="003176DC" w:rsidRDefault="003176DC" w:rsidP="003176DC">
            <w:pPr>
              <w:pStyle w:val="ExhibitText"/>
              <w:jc w:val="right"/>
            </w:pPr>
            <w:r w:rsidRPr="003176DC">
              <w:t>207.4</w:t>
            </w:r>
          </w:p>
        </w:tc>
      </w:tr>
      <w:tr w:rsidR="003176DC" w:rsidRPr="003176DC" w14:paraId="51021015" w14:textId="77777777" w:rsidTr="003176DC">
        <w:trPr>
          <w:trHeight w:val="153"/>
          <w:jc w:val="center"/>
        </w:trPr>
        <w:tc>
          <w:tcPr>
            <w:tcW w:w="4721" w:type="dxa"/>
          </w:tcPr>
          <w:p w14:paraId="235934F8" w14:textId="4F76C122" w:rsidR="003176DC" w:rsidRPr="003176DC" w:rsidRDefault="003176DC" w:rsidP="003176DC">
            <w:pPr>
              <w:pStyle w:val="ExhibitText"/>
            </w:pPr>
            <w:r w:rsidRPr="003176DC">
              <w:t xml:space="preserve">Profit </w:t>
            </w:r>
            <w:r w:rsidR="00267E19">
              <w:t>b</w:t>
            </w:r>
            <w:r w:rsidRPr="003176DC">
              <w:t xml:space="preserve">efore </w:t>
            </w:r>
            <w:r w:rsidR="00267E19">
              <w:t>e</w:t>
            </w:r>
            <w:r w:rsidRPr="003176DC">
              <w:t xml:space="preserve">xceptional Items and </w:t>
            </w:r>
            <w:r w:rsidR="00267E19">
              <w:t>t</w:t>
            </w:r>
            <w:r w:rsidRPr="003176DC">
              <w:t>axation</w:t>
            </w:r>
          </w:p>
        </w:tc>
        <w:tc>
          <w:tcPr>
            <w:tcW w:w="1106" w:type="dxa"/>
          </w:tcPr>
          <w:p w14:paraId="3051E66F" w14:textId="77777777" w:rsidR="003176DC" w:rsidRPr="003176DC" w:rsidRDefault="003176DC" w:rsidP="003176DC">
            <w:pPr>
              <w:pStyle w:val="ExhibitText"/>
              <w:jc w:val="right"/>
            </w:pPr>
            <w:r w:rsidRPr="003176DC">
              <w:t>16,642.1</w:t>
            </w:r>
          </w:p>
        </w:tc>
      </w:tr>
      <w:tr w:rsidR="003176DC" w:rsidRPr="003176DC" w14:paraId="6052FE70" w14:textId="77777777" w:rsidTr="003176DC">
        <w:trPr>
          <w:trHeight w:val="153"/>
          <w:jc w:val="center"/>
        </w:trPr>
        <w:tc>
          <w:tcPr>
            <w:tcW w:w="4721" w:type="dxa"/>
          </w:tcPr>
          <w:p w14:paraId="572FD4B6" w14:textId="2E4F00F5" w:rsidR="003176DC" w:rsidRPr="003176DC" w:rsidRDefault="003176DC" w:rsidP="003176DC">
            <w:pPr>
              <w:pStyle w:val="ExhibitText"/>
            </w:pPr>
            <w:r w:rsidRPr="003176DC">
              <w:t>Exceptional items</w:t>
            </w:r>
            <w:r w:rsidR="00267E19">
              <w:t>—c</w:t>
            </w:r>
            <w:r w:rsidRPr="003176DC">
              <w:t>harge/(</w:t>
            </w:r>
            <w:r w:rsidR="00267E19">
              <w:t>c</w:t>
            </w:r>
            <w:r w:rsidRPr="003176DC">
              <w:t>redit)</w:t>
            </w:r>
          </w:p>
        </w:tc>
        <w:tc>
          <w:tcPr>
            <w:tcW w:w="1106" w:type="dxa"/>
          </w:tcPr>
          <w:p w14:paraId="61003736" w14:textId="27E478DE" w:rsidR="003176DC" w:rsidRPr="003176DC" w:rsidRDefault="000C553E" w:rsidP="003176DC">
            <w:pPr>
              <w:pStyle w:val="ExhibitText"/>
              <w:jc w:val="right"/>
            </w:pPr>
            <w:r>
              <w:t>–</w:t>
            </w:r>
            <w:r w:rsidR="003176DC" w:rsidRPr="003176DC">
              <w:t>138.1</w:t>
            </w:r>
          </w:p>
        </w:tc>
      </w:tr>
      <w:tr w:rsidR="003176DC" w:rsidRPr="003176DC" w14:paraId="7881729F" w14:textId="77777777" w:rsidTr="003176DC">
        <w:trPr>
          <w:trHeight w:val="153"/>
          <w:jc w:val="center"/>
        </w:trPr>
        <w:tc>
          <w:tcPr>
            <w:tcW w:w="4721" w:type="dxa"/>
          </w:tcPr>
          <w:p w14:paraId="6AF7F723" w14:textId="77777777" w:rsidR="003176DC" w:rsidRPr="003176DC" w:rsidRDefault="003176DC" w:rsidP="003176DC">
            <w:pPr>
              <w:pStyle w:val="ExhibitText"/>
            </w:pPr>
            <w:r w:rsidRPr="003176DC">
              <w:t>Corporate social responsibility expense</w:t>
            </w:r>
          </w:p>
        </w:tc>
        <w:tc>
          <w:tcPr>
            <w:tcW w:w="1106" w:type="dxa"/>
          </w:tcPr>
          <w:p w14:paraId="45D0DB7F" w14:textId="77777777" w:rsidR="003176DC" w:rsidRPr="003176DC" w:rsidRDefault="003176DC" w:rsidP="003176DC">
            <w:pPr>
              <w:pStyle w:val="ExhibitText"/>
              <w:jc w:val="right"/>
            </w:pPr>
            <w:r w:rsidRPr="003176DC">
              <w:t>0.0</w:t>
            </w:r>
          </w:p>
        </w:tc>
      </w:tr>
      <w:tr w:rsidR="003176DC" w:rsidRPr="003176DC" w14:paraId="6F94A4F1" w14:textId="77777777" w:rsidTr="003176DC">
        <w:trPr>
          <w:trHeight w:val="153"/>
          <w:jc w:val="center"/>
        </w:trPr>
        <w:tc>
          <w:tcPr>
            <w:tcW w:w="4721" w:type="dxa"/>
          </w:tcPr>
          <w:p w14:paraId="191735A6" w14:textId="77777777" w:rsidR="003176DC" w:rsidRPr="003176DC" w:rsidRDefault="003176DC" w:rsidP="003176DC">
            <w:pPr>
              <w:pStyle w:val="ExhibitText"/>
            </w:pPr>
            <w:r w:rsidRPr="003176DC">
              <w:t>Profit before taxation</w:t>
            </w:r>
          </w:p>
        </w:tc>
        <w:tc>
          <w:tcPr>
            <w:tcW w:w="1106" w:type="dxa"/>
          </w:tcPr>
          <w:p w14:paraId="2A71ECC2" w14:textId="77777777" w:rsidR="003176DC" w:rsidRPr="003176DC" w:rsidRDefault="003176DC" w:rsidP="003176DC">
            <w:pPr>
              <w:pStyle w:val="ExhibitText"/>
              <w:jc w:val="right"/>
            </w:pPr>
            <w:r w:rsidRPr="003176DC">
              <w:t>16,780.2</w:t>
            </w:r>
          </w:p>
        </w:tc>
      </w:tr>
      <w:tr w:rsidR="003176DC" w:rsidRPr="003176DC" w14:paraId="19EF93EE" w14:textId="77777777" w:rsidTr="003176DC">
        <w:trPr>
          <w:trHeight w:val="153"/>
          <w:jc w:val="center"/>
        </w:trPr>
        <w:tc>
          <w:tcPr>
            <w:tcW w:w="4721" w:type="dxa"/>
          </w:tcPr>
          <w:p w14:paraId="3488A2EB" w14:textId="77777777" w:rsidR="003176DC" w:rsidRPr="003176DC" w:rsidRDefault="003176DC" w:rsidP="003176DC">
            <w:pPr>
              <w:pStyle w:val="ExhibitText"/>
            </w:pPr>
            <w:r w:rsidRPr="003176DC">
              <w:t>Tax expense</w:t>
            </w:r>
          </w:p>
        </w:tc>
        <w:tc>
          <w:tcPr>
            <w:tcW w:w="1106" w:type="dxa"/>
          </w:tcPr>
          <w:p w14:paraId="78DEE477" w14:textId="77777777" w:rsidR="003176DC" w:rsidRPr="003176DC" w:rsidRDefault="003176DC" w:rsidP="003176DC">
            <w:pPr>
              <w:pStyle w:val="ExhibitText"/>
              <w:jc w:val="right"/>
            </w:pPr>
            <w:r w:rsidRPr="003176DC">
              <w:t>5,608.9</w:t>
            </w:r>
          </w:p>
        </w:tc>
      </w:tr>
      <w:tr w:rsidR="003176DC" w:rsidRPr="003176DC" w14:paraId="3C295893" w14:textId="77777777" w:rsidTr="003176DC">
        <w:trPr>
          <w:trHeight w:val="153"/>
          <w:jc w:val="center"/>
        </w:trPr>
        <w:tc>
          <w:tcPr>
            <w:tcW w:w="4721" w:type="dxa"/>
          </w:tcPr>
          <w:p w14:paraId="170ADE1E" w14:textId="77777777" w:rsidR="003176DC" w:rsidRPr="003176DC" w:rsidRDefault="003176DC" w:rsidP="003176DC">
            <w:pPr>
              <w:pStyle w:val="ExhibitText"/>
            </w:pPr>
            <w:r w:rsidRPr="003176DC">
              <w:t>Profit after taxation</w:t>
            </w:r>
          </w:p>
        </w:tc>
        <w:tc>
          <w:tcPr>
            <w:tcW w:w="1106" w:type="dxa"/>
          </w:tcPr>
          <w:p w14:paraId="16F7D169" w14:textId="77777777" w:rsidR="003176DC" w:rsidRPr="003176DC" w:rsidRDefault="003176DC" w:rsidP="003176DC">
            <w:pPr>
              <w:pStyle w:val="ExhibitText"/>
              <w:jc w:val="right"/>
            </w:pPr>
            <w:r w:rsidRPr="003176DC">
              <w:t>11,171.3</w:t>
            </w:r>
          </w:p>
        </w:tc>
      </w:tr>
      <w:tr w:rsidR="003176DC" w:rsidRPr="003176DC" w14:paraId="6C4C57C1" w14:textId="77777777" w:rsidTr="003176DC">
        <w:trPr>
          <w:trHeight w:val="153"/>
          <w:jc w:val="center"/>
        </w:trPr>
        <w:tc>
          <w:tcPr>
            <w:tcW w:w="4721" w:type="dxa"/>
          </w:tcPr>
          <w:p w14:paraId="1937D86B" w14:textId="32619309" w:rsidR="003176DC" w:rsidRPr="003176DC" w:rsidRDefault="003176DC" w:rsidP="004269E9">
            <w:pPr>
              <w:pStyle w:val="ExhibitText"/>
            </w:pPr>
            <w:r w:rsidRPr="003176DC">
              <w:t xml:space="preserve">Earnings per </w:t>
            </w:r>
            <w:r w:rsidR="00267E19">
              <w:t>s</w:t>
            </w:r>
            <w:r w:rsidRPr="003176DC">
              <w:t>hare</w:t>
            </w:r>
          </w:p>
        </w:tc>
        <w:tc>
          <w:tcPr>
            <w:tcW w:w="1106" w:type="dxa"/>
          </w:tcPr>
          <w:p w14:paraId="0E76529F" w14:textId="77777777" w:rsidR="003176DC" w:rsidRPr="003176DC" w:rsidRDefault="003176DC" w:rsidP="003176DC">
            <w:pPr>
              <w:pStyle w:val="ExhibitText"/>
              <w:jc w:val="right"/>
            </w:pPr>
            <w:r w:rsidRPr="003176DC">
              <w:t>115.9</w:t>
            </w:r>
          </w:p>
        </w:tc>
      </w:tr>
      <w:tr w:rsidR="003176DC" w:rsidRPr="003176DC" w14:paraId="035B9B4F" w14:textId="77777777" w:rsidTr="003176DC">
        <w:trPr>
          <w:trHeight w:val="153"/>
          <w:jc w:val="center"/>
        </w:trPr>
        <w:tc>
          <w:tcPr>
            <w:tcW w:w="4721" w:type="dxa"/>
          </w:tcPr>
          <w:p w14:paraId="47CF7795" w14:textId="2557960A" w:rsidR="003176DC" w:rsidRPr="003176DC" w:rsidRDefault="003176DC" w:rsidP="004269E9">
            <w:pPr>
              <w:pStyle w:val="ExhibitText"/>
            </w:pPr>
            <w:r w:rsidRPr="003176DC">
              <w:t xml:space="preserve">Dividends per </w:t>
            </w:r>
            <w:r w:rsidR="00267E19">
              <w:t>s</w:t>
            </w:r>
            <w:r w:rsidRPr="003176DC">
              <w:t>hare</w:t>
            </w:r>
          </w:p>
        </w:tc>
        <w:tc>
          <w:tcPr>
            <w:tcW w:w="1106" w:type="dxa"/>
          </w:tcPr>
          <w:p w14:paraId="7D2B5B54" w14:textId="77777777" w:rsidR="003176DC" w:rsidRPr="003176DC" w:rsidRDefault="003176DC" w:rsidP="003176DC">
            <w:pPr>
              <w:pStyle w:val="ExhibitText"/>
              <w:jc w:val="right"/>
            </w:pPr>
            <w:r w:rsidRPr="003176DC">
              <w:t>48.5</w:t>
            </w:r>
          </w:p>
        </w:tc>
      </w:tr>
    </w:tbl>
    <w:p w14:paraId="6C61C77D" w14:textId="77777777" w:rsidR="003176DC" w:rsidRPr="004255DC" w:rsidRDefault="003176DC" w:rsidP="003176DC">
      <w:pPr>
        <w:pStyle w:val="BodyTextMain"/>
        <w:rPr>
          <w:lang w:val="en-GB"/>
        </w:rPr>
      </w:pPr>
    </w:p>
    <w:p w14:paraId="7E2F0389" w14:textId="7591FAE4" w:rsidR="00A81B5F" w:rsidRDefault="003176DC" w:rsidP="003176DC">
      <w:pPr>
        <w:pStyle w:val="Footnote"/>
      </w:pPr>
      <w:r w:rsidRPr="004255DC">
        <w:rPr>
          <w:lang w:val="en-GB"/>
        </w:rPr>
        <w:t>Sou</w:t>
      </w:r>
      <w:r>
        <w:rPr>
          <w:lang w:val="en-GB"/>
        </w:rPr>
        <w:t xml:space="preserve">rce: </w:t>
      </w:r>
      <w:r w:rsidR="00E83836" w:rsidRPr="00E83836">
        <w:rPr>
          <w:lang w:val="en-GB"/>
        </w:rPr>
        <w:t>Company files.</w:t>
      </w:r>
    </w:p>
    <w:p w14:paraId="6CA7AC28" w14:textId="77777777" w:rsidR="00A81B5F" w:rsidRDefault="00A81B5F" w:rsidP="006B7F7A">
      <w:pPr>
        <w:pStyle w:val="BodyTextMain"/>
      </w:pPr>
    </w:p>
    <w:p w14:paraId="77847170" w14:textId="77777777" w:rsidR="00A81B5F" w:rsidRDefault="00A81B5F" w:rsidP="006B7F7A">
      <w:pPr>
        <w:pStyle w:val="BodyTextMain"/>
      </w:pPr>
    </w:p>
    <w:p w14:paraId="2F00E015" w14:textId="77777777" w:rsidR="00A81B5F" w:rsidRDefault="00A81B5F" w:rsidP="006B7F7A">
      <w:pPr>
        <w:pStyle w:val="BodyTextMain"/>
      </w:pPr>
    </w:p>
    <w:p w14:paraId="4FA14BFC" w14:textId="77777777" w:rsidR="00A81B5F" w:rsidRDefault="00A81B5F" w:rsidP="006B7F7A">
      <w:pPr>
        <w:pStyle w:val="BodyTextMain"/>
      </w:pPr>
    </w:p>
    <w:p w14:paraId="25405DDA" w14:textId="77777777" w:rsidR="000C553E" w:rsidRDefault="000C553E" w:rsidP="006B7F7A">
      <w:pPr>
        <w:pStyle w:val="BodyTextMain"/>
      </w:pPr>
    </w:p>
    <w:p w14:paraId="79ECF1E3" w14:textId="77777777" w:rsidR="00A81B5F" w:rsidRDefault="00A81B5F" w:rsidP="006B7F7A">
      <w:pPr>
        <w:pStyle w:val="BodyTextMain"/>
      </w:pPr>
    </w:p>
    <w:p w14:paraId="12088E86" w14:textId="77777777" w:rsidR="00A81B5F" w:rsidRDefault="00A81B5F" w:rsidP="006B7F7A">
      <w:pPr>
        <w:pStyle w:val="BodyTextMain"/>
      </w:pPr>
    </w:p>
    <w:p w14:paraId="59D7ED50" w14:textId="4D4EBDFB" w:rsidR="003176DC" w:rsidRPr="0094342C" w:rsidRDefault="003176DC" w:rsidP="003176DC">
      <w:pPr>
        <w:pStyle w:val="ExhibitHeading"/>
        <w:rPr>
          <w:lang w:val="en-GB"/>
        </w:rPr>
      </w:pPr>
      <w:r w:rsidRPr="0094342C">
        <w:rPr>
          <w:lang w:val="en-GB"/>
        </w:rPr>
        <w:lastRenderedPageBreak/>
        <w:t xml:space="preserve">Exhibit </w:t>
      </w:r>
      <w:r>
        <w:rPr>
          <w:lang w:val="en-GB"/>
        </w:rPr>
        <w:t>5</w:t>
      </w:r>
      <w:r w:rsidRPr="0094342C">
        <w:rPr>
          <w:lang w:val="en-GB"/>
        </w:rPr>
        <w:t xml:space="preserve">: </w:t>
      </w:r>
      <w:r>
        <w:rPr>
          <w:lang w:val="en-GB"/>
        </w:rPr>
        <w:t xml:space="preserve">DETAILS OF </w:t>
      </w:r>
      <w:r w:rsidR="00782B0A">
        <w:rPr>
          <w:lang w:val="en-GB"/>
        </w:rPr>
        <w:t xml:space="preserve">Product </w:t>
      </w:r>
      <w:r>
        <w:rPr>
          <w:lang w:val="en-GB"/>
        </w:rPr>
        <w:t>SALES</w:t>
      </w:r>
    </w:p>
    <w:p w14:paraId="4BB80302" w14:textId="77777777" w:rsidR="003176DC" w:rsidRDefault="003176DC" w:rsidP="003176DC">
      <w:pPr>
        <w:pStyle w:val="BodyTextMain"/>
        <w:rPr>
          <w:lang w:val="en-GB"/>
        </w:rPr>
      </w:pPr>
    </w:p>
    <w:tbl>
      <w:tblPr>
        <w:tblStyle w:val="TableGrid"/>
        <w:tblW w:w="0" w:type="auto"/>
        <w:jc w:val="center"/>
        <w:tblLook w:val="04A0" w:firstRow="1" w:lastRow="0" w:firstColumn="1" w:lastColumn="0" w:noHBand="0" w:noVBand="1"/>
      </w:tblPr>
      <w:tblGrid>
        <w:gridCol w:w="3429"/>
        <w:gridCol w:w="1980"/>
        <w:gridCol w:w="2700"/>
      </w:tblGrid>
      <w:tr w:rsidR="003176DC" w14:paraId="5C9A46D1" w14:textId="77777777" w:rsidTr="003176DC">
        <w:trPr>
          <w:jc w:val="center"/>
        </w:trPr>
        <w:tc>
          <w:tcPr>
            <w:tcW w:w="3429" w:type="dxa"/>
          </w:tcPr>
          <w:p w14:paraId="6D58419C" w14:textId="77777777" w:rsidR="003176DC" w:rsidRPr="003176DC" w:rsidRDefault="003176DC" w:rsidP="003176DC">
            <w:pPr>
              <w:pStyle w:val="ExhibitText"/>
              <w:rPr>
                <w:b/>
                <w:lang w:val="en-GB"/>
              </w:rPr>
            </w:pPr>
          </w:p>
        </w:tc>
        <w:tc>
          <w:tcPr>
            <w:tcW w:w="4680" w:type="dxa"/>
            <w:gridSpan w:val="2"/>
          </w:tcPr>
          <w:p w14:paraId="6DD9EE5D" w14:textId="77777777" w:rsidR="003176DC" w:rsidRPr="003176DC" w:rsidRDefault="003176DC" w:rsidP="003176DC">
            <w:pPr>
              <w:pStyle w:val="ExhibitText"/>
              <w:jc w:val="center"/>
              <w:rPr>
                <w:b/>
                <w:lang w:val="en-GB"/>
              </w:rPr>
            </w:pPr>
            <w:r w:rsidRPr="003176DC">
              <w:rPr>
                <w:b/>
                <w:lang w:val="en-GB"/>
              </w:rPr>
              <w:t>Gross Sales</w:t>
            </w:r>
          </w:p>
        </w:tc>
      </w:tr>
      <w:tr w:rsidR="003176DC" w14:paraId="0D78B3F4" w14:textId="77777777" w:rsidTr="003176DC">
        <w:trPr>
          <w:jc w:val="center"/>
        </w:trPr>
        <w:tc>
          <w:tcPr>
            <w:tcW w:w="3429" w:type="dxa"/>
          </w:tcPr>
          <w:p w14:paraId="259BA275" w14:textId="77777777" w:rsidR="003176DC" w:rsidRPr="003176DC" w:rsidRDefault="003176DC" w:rsidP="00006706">
            <w:pPr>
              <w:pStyle w:val="ExhibitText"/>
              <w:jc w:val="center"/>
              <w:rPr>
                <w:b/>
                <w:lang w:val="en-GB"/>
              </w:rPr>
            </w:pPr>
            <w:r w:rsidRPr="003176DC">
              <w:rPr>
                <w:b/>
                <w:lang w:val="en-GB"/>
              </w:rPr>
              <w:t>Classification</w:t>
            </w:r>
          </w:p>
        </w:tc>
        <w:tc>
          <w:tcPr>
            <w:tcW w:w="1980" w:type="dxa"/>
          </w:tcPr>
          <w:p w14:paraId="03F98F92" w14:textId="77777777" w:rsidR="00C31D95" w:rsidRDefault="003176DC" w:rsidP="00DB4EF2">
            <w:pPr>
              <w:pStyle w:val="ExhibitText"/>
              <w:jc w:val="center"/>
              <w:rPr>
                <w:b/>
                <w:lang w:val="en-GB"/>
              </w:rPr>
            </w:pPr>
            <w:r w:rsidRPr="003176DC">
              <w:rPr>
                <w:b/>
                <w:lang w:val="en-GB"/>
              </w:rPr>
              <w:t xml:space="preserve">Quantity </w:t>
            </w:r>
          </w:p>
          <w:p w14:paraId="5EB436DF" w14:textId="18057A55" w:rsidR="003176DC" w:rsidRPr="003176DC" w:rsidRDefault="003176DC" w:rsidP="00DB4EF2">
            <w:pPr>
              <w:pStyle w:val="ExhibitText"/>
              <w:jc w:val="center"/>
              <w:rPr>
                <w:b/>
                <w:lang w:val="en-GB"/>
              </w:rPr>
            </w:pPr>
            <w:r w:rsidRPr="003176DC">
              <w:rPr>
                <w:b/>
                <w:lang w:val="en-GB"/>
              </w:rPr>
              <w:t>(M</w:t>
            </w:r>
            <w:r w:rsidR="00C31D95">
              <w:rPr>
                <w:b/>
                <w:lang w:val="en-GB"/>
              </w:rPr>
              <w:t xml:space="preserve">etric </w:t>
            </w:r>
            <w:r w:rsidRPr="003176DC">
              <w:rPr>
                <w:b/>
                <w:lang w:val="en-GB"/>
              </w:rPr>
              <w:t>T</w:t>
            </w:r>
            <w:r w:rsidR="00C31D95">
              <w:rPr>
                <w:b/>
                <w:lang w:val="en-GB"/>
              </w:rPr>
              <w:t>onnes</w:t>
            </w:r>
            <w:r w:rsidRPr="003176DC">
              <w:rPr>
                <w:b/>
                <w:lang w:val="en-GB"/>
              </w:rPr>
              <w:t>)</w:t>
            </w:r>
          </w:p>
        </w:tc>
        <w:tc>
          <w:tcPr>
            <w:tcW w:w="2700" w:type="dxa"/>
          </w:tcPr>
          <w:p w14:paraId="2532BB63" w14:textId="77777777" w:rsidR="00C31D95" w:rsidRDefault="003176DC" w:rsidP="00DB4EF2">
            <w:pPr>
              <w:pStyle w:val="ExhibitText"/>
              <w:jc w:val="center"/>
              <w:rPr>
                <w:b/>
                <w:lang w:val="en-GB"/>
              </w:rPr>
            </w:pPr>
            <w:r w:rsidRPr="003176DC">
              <w:rPr>
                <w:b/>
                <w:lang w:val="en-GB"/>
              </w:rPr>
              <w:t xml:space="preserve">Amount </w:t>
            </w:r>
          </w:p>
          <w:p w14:paraId="42A9F715" w14:textId="264B9AC2" w:rsidR="003176DC" w:rsidRPr="003176DC" w:rsidRDefault="003176DC" w:rsidP="00DB4EF2">
            <w:pPr>
              <w:pStyle w:val="ExhibitText"/>
              <w:jc w:val="center"/>
              <w:rPr>
                <w:b/>
                <w:lang w:val="en-GB"/>
              </w:rPr>
            </w:pPr>
            <w:r w:rsidRPr="003176DC">
              <w:rPr>
                <w:b/>
                <w:lang w:val="en-GB"/>
              </w:rPr>
              <w:t>(</w:t>
            </w:r>
            <w:r w:rsidR="000C553E">
              <w:rPr>
                <w:b/>
                <w:lang w:val="en-GB"/>
              </w:rPr>
              <w:t xml:space="preserve">in </w:t>
            </w:r>
            <w:r w:rsidR="00DB4EF2" w:rsidRPr="00006706">
              <w:rPr>
                <w:b/>
                <w:lang w:val="en-GB"/>
              </w:rPr>
              <w:t>₹</w:t>
            </w:r>
            <w:r w:rsidR="00DB4EF2">
              <w:rPr>
                <w:b/>
                <w:lang w:val="en-GB"/>
              </w:rPr>
              <w:t xml:space="preserve"> </w:t>
            </w:r>
            <w:r w:rsidRPr="003176DC">
              <w:rPr>
                <w:b/>
                <w:lang w:val="en-GB"/>
              </w:rPr>
              <w:t>Millions)</w:t>
            </w:r>
          </w:p>
        </w:tc>
      </w:tr>
      <w:tr w:rsidR="003176DC" w:rsidRPr="00974637" w14:paraId="3D41A190" w14:textId="77777777" w:rsidTr="003176DC">
        <w:trPr>
          <w:trHeight w:val="239"/>
          <w:jc w:val="center"/>
        </w:trPr>
        <w:tc>
          <w:tcPr>
            <w:tcW w:w="3429" w:type="dxa"/>
          </w:tcPr>
          <w:p w14:paraId="6A9C4A84" w14:textId="263D0470" w:rsidR="003176DC" w:rsidRPr="00974637" w:rsidRDefault="003176DC" w:rsidP="003176DC">
            <w:pPr>
              <w:pStyle w:val="ExhibitText"/>
              <w:rPr>
                <w:lang w:val="en-GB"/>
              </w:rPr>
            </w:pPr>
            <w:r w:rsidRPr="00974637">
              <w:rPr>
                <w:lang w:val="en-GB"/>
              </w:rPr>
              <w:t xml:space="preserve">Milk </w:t>
            </w:r>
            <w:r w:rsidR="00DB4EF2">
              <w:rPr>
                <w:lang w:val="en-GB"/>
              </w:rPr>
              <w:t>p</w:t>
            </w:r>
            <w:r w:rsidRPr="00974637">
              <w:rPr>
                <w:lang w:val="en-GB"/>
              </w:rPr>
              <w:t xml:space="preserve">roducts and </w:t>
            </w:r>
            <w:r w:rsidR="00DB4EF2">
              <w:rPr>
                <w:lang w:val="en-GB"/>
              </w:rPr>
              <w:t>n</w:t>
            </w:r>
            <w:r w:rsidRPr="00974637">
              <w:rPr>
                <w:lang w:val="en-GB"/>
              </w:rPr>
              <w:t>utrition</w:t>
            </w:r>
          </w:p>
        </w:tc>
        <w:tc>
          <w:tcPr>
            <w:tcW w:w="1980" w:type="dxa"/>
          </w:tcPr>
          <w:p w14:paraId="08E3909C" w14:textId="77777777" w:rsidR="003176DC" w:rsidRPr="00974637" w:rsidRDefault="003176DC" w:rsidP="003176DC">
            <w:pPr>
              <w:pStyle w:val="ExhibitText"/>
              <w:jc w:val="right"/>
              <w:rPr>
                <w:lang w:val="en-GB"/>
              </w:rPr>
            </w:pPr>
            <w:r w:rsidRPr="00974637">
              <w:rPr>
                <w:lang w:val="en-GB"/>
              </w:rPr>
              <w:t>138,772</w:t>
            </w:r>
          </w:p>
        </w:tc>
        <w:tc>
          <w:tcPr>
            <w:tcW w:w="2700" w:type="dxa"/>
          </w:tcPr>
          <w:p w14:paraId="1D2F5E4E" w14:textId="77777777" w:rsidR="003176DC" w:rsidRPr="00974637" w:rsidRDefault="003176DC" w:rsidP="003176DC">
            <w:pPr>
              <w:pStyle w:val="ExhibitText"/>
              <w:jc w:val="right"/>
              <w:rPr>
                <w:lang w:val="en-GB"/>
              </w:rPr>
            </w:pPr>
            <w:r w:rsidRPr="00974637">
              <w:rPr>
                <w:lang w:val="en-GB"/>
              </w:rPr>
              <w:t>40,712.2</w:t>
            </w:r>
          </w:p>
        </w:tc>
      </w:tr>
      <w:tr w:rsidR="003176DC" w:rsidRPr="00974637" w14:paraId="5873317B" w14:textId="77777777" w:rsidTr="003176DC">
        <w:trPr>
          <w:trHeight w:val="239"/>
          <w:jc w:val="center"/>
        </w:trPr>
        <w:tc>
          <w:tcPr>
            <w:tcW w:w="3429" w:type="dxa"/>
          </w:tcPr>
          <w:p w14:paraId="19DFF93E" w14:textId="77777777" w:rsidR="003176DC" w:rsidRPr="00974637" w:rsidRDefault="003176DC" w:rsidP="003176DC">
            <w:pPr>
              <w:pStyle w:val="ExhibitText"/>
              <w:rPr>
                <w:lang w:val="en-GB"/>
              </w:rPr>
            </w:pPr>
            <w:r w:rsidRPr="00974637">
              <w:rPr>
                <w:lang w:val="en-GB"/>
              </w:rPr>
              <w:t>Beverages</w:t>
            </w:r>
          </w:p>
        </w:tc>
        <w:tc>
          <w:tcPr>
            <w:tcW w:w="1980" w:type="dxa"/>
          </w:tcPr>
          <w:p w14:paraId="40697087" w14:textId="77777777" w:rsidR="003176DC" w:rsidRPr="00974637" w:rsidRDefault="003176DC" w:rsidP="003176DC">
            <w:pPr>
              <w:pStyle w:val="ExhibitText"/>
              <w:jc w:val="right"/>
              <w:rPr>
                <w:lang w:val="en-GB"/>
              </w:rPr>
            </w:pPr>
            <w:r w:rsidRPr="00974637">
              <w:rPr>
                <w:lang w:val="en-GB"/>
              </w:rPr>
              <w:t>27,717</w:t>
            </w:r>
          </w:p>
        </w:tc>
        <w:tc>
          <w:tcPr>
            <w:tcW w:w="2700" w:type="dxa"/>
          </w:tcPr>
          <w:p w14:paraId="280EBCF1" w14:textId="77777777" w:rsidR="003176DC" w:rsidRPr="00974637" w:rsidRDefault="003176DC" w:rsidP="003176DC">
            <w:pPr>
              <w:pStyle w:val="ExhibitText"/>
              <w:jc w:val="right"/>
              <w:rPr>
                <w:lang w:val="en-GB"/>
              </w:rPr>
            </w:pPr>
            <w:r w:rsidRPr="00974637">
              <w:rPr>
                <w:lang w:val="en-GB"/>
              </w:rPr>
              <w:t>13,240.6</w:t>
            </w:r>
          </w:p>
        </w:tc>
      </w:tr>
      <w:tr w:rsidR="003176DC" w:rsidRPr="00974637" w14:paraId="04E27E27" w14:textId="77777777" w:rsidTr="003176DC">
        <w:trPr>
          <w:trHeight w:val="239"/>
          <w:jc w:val="center"/>
        </w:trPr>
        <w:tc>
          <w:tcPr>
            <w:tcW w:w="3429" w:type="dxa"/>
          </w:tcPr>
          <w:p w14:paraId="563E23E8" w14:textId="77777777" w:rsidR="003176DC" w:rsidRPr="00974637" w:rsidRDefault="003176DC" w:rsidP="003176DC">
            <w:pPr>
              <w:pStyle w:val="ExhibitText"/>
              <w:rPr>
                <w:lang w:val="en-GB"/>
              </w:rPr>
            </w:pPr>
            <w:r w:rsidRPr="00974637">
              <w:rPr>
                <w:lang w:val="en-GB"/>
              </w:rPr>
              <w:t>Prepared dishes and cooking aids</w:t>
            </w:r>
          </w:p>
        </w:tc>
        <w:tc>
          <w:tcPr>
            <w:tcW w:w="1980" w:type="dxa"/>
          </w:tcPr>
          <w:p w14:paraId="28F46E86" w14:textId="77777777" w:rsidR="003176DC" w:rsidRPr="00974637" w:rsidRDefault="003176DC" w:rsidP="003176DC">
            <w:pPr>
              <w:pStyle w:val="ExhibitText"/>
              <w:jc w:val="right"/>
              <w:rPr>
                <w:lang w:val="en-GB"/>
              </w:rPr>
            </w:pPr>
            <w:r w:rsidRPr="00974637">
              <w:rPr>
                <w:lang w:val="en-GB"/>
              </w:rPr>
              <w:t>245,443</w:t>
            </w:r>
          </w:p>
        </w:tc>
        <w:tc>
          <w:tcPr>
            <w:tcW w:w="2700" w:type="dxa"/>
          </w:tcPr>
          <w:p w14:paraId="4440CC18" w14:textId="77777777" w:rsidR="003176DC" w:rsidRPr="00974637" w:rsidRDefault="003176DC" w:rsidP="003176DC">
            <w:pPr>
              <w:pStyle w:val="ExhibitText"/>
              <w:jc w:val="right"/>
              <w:rPr>
                <w:lang w:val="en-GB"/>
              </w:rPr>
            </w:pPr>
            <w:r w:rsidRPr="00974637">
              <w:rPr>
                <w:lang w:val="en-GB"/>
              </w:rPr>
              <w:t>26,982.1</w:t>
            </w:r>
          </w:p>
        </w:tc>
      </w:tr>
      <w:tr w:rsidR="003176DC" w:rsidRPr="00974637" w14:paraId="1A6E0A46" w14:textId="77777777" w:rsidTr="003176DC">
        <w:trPr>
          <w:trHeight w:val="239"/>
          <w:jc w:val="center"/>
        </w:trPr>
        <w:tc>
          <w:tcPr>
            <w:tcW w:w="3429" w:type="dxa"/>
          </w:tcPr>
          <w:p w14:paraId="000E51F3" w14:textId="77777777" w:rsidR="003176DC" w:rsidRPr="00974637" w:rsidRDefault="003176DC" w:rsidP="003176DC">
            <w:pPr>
              <w:pStyle w:val="ExhibitText"/>
              <w:rPr>
                <w:lang w:val="en-GB"/>
              </w:rPr>
            </w:pPr>
            <w:r w:rsidRPr="00974637">
              <w:rPr>
                <w:lang w:val="en-GB"/>
              </w:rPr>
              <w:t>Chocolate and confectionery</w:t>
            </w:r>
          </w:p>
        </w:tc>
        <w:tc>
          <w:tcPr>
            <w:tcW w:w="1980" w:type="dxa"/>
          </w:tcPr>
          <w:p w14:paraId="406A7819" w14:textId="77777777" w:rsidR="003176DC" w:rsidRPr="00974637" w:rsidRDefault="003176DC" w:rsidP="003176DC">
            <w:pPr>
              <w:pStyle w:val="ExhibitText"/>
              <w:jc w:val="right"/>
              <w:rPr>
                <w:lang w:val="en-GB"/>
              </w:rPr>
            </w:pPr>
            <w:r w:rsidRPr="00974637">
              <w:rPr>
                <w:lang w:val="en-GB"/>
              </w:rPr>
              <w:t>46,718</w:t>
            </w:r>
          </w:p>
        </w:tc>
        <w:tc>
          <w:tcPr>
            <w:tcW w:w="2700" w:type="dxa"/>
          </w:tcPr>
          <w:p w14:paraId="4F8E1FFD" w14:textId="77777777" w:rsidR="003176DC" w:rsidRPr="00974637" w:rsidRDefault="003176DC" w:rsidP="003176DC">
            <w:pPr>
              <w:pStyle w:val="ExhibitText"/>
              <w:jc w:val="right"/>
              <w:rPr>
                <w:lang w:val="en-GB"/>
              </w:rPr>
            </w:pPr>
            <w:r w:rsidRPr="00974637">
              <w:rPr>
                <w:lang w:val="en-GB"/>
              </w:rPr>
              <w:t>12,863.8</w:t>
            </w:r>
          </w:p>
        </w:tc>
      </w:tr>
      <w:tr w:rsidR="003176DC" w:rsidRPr="00974637" w14:paraId="68669BCA" w14:textId="77777777" w:rsidTr="003176DC">
        <w:trPr>
          <w:trHeight w:val="239"/>
          <w:jc w:val="center"/>
        </w:trPr>
        <w:tc>
          <w:tcPr>
            <w:tcW w:w="3429" w:type="dxa"/>
          </w:tcPr>
          <w:p w14:paraId="0A8CDF59" w14:textId="77777777" w:rsidR="003176DC" w:rsidRPr="003176DC" w:rsidRDefault="003176DC" w:rsidP="003176DC">
            <w:pPr>
              <w:pStyle w:val="ExhibitText"/>
              <w:rPr>
                <w:b/>
                <w:lang w:val="en-GB"/>
              </w:rPr>
            </w:pPr>
            <w:r w:rsidRPr="003176DC">
              <w:rPr>
                <w:b/>
                <w:lang w:val="en-GB"/>
              </w:rPr>
              <w:t>Total</w:t>
            </w:r>
          </w:p>
        </w:tc>
        <w:tc>
          <w:tcPr>
            <w:tcW w:w="1980" w:type="dxa"/>
          </w:tcPr>
          <w:p w14:paraId="59610A7C" w14:textId="77777777" w:rsidR="003176DC" w:rsidRPr="003176DC" w:rsidRDefault="003176DC" w:rsidP="003176DC">
            <w:pPr>
              <w:pStyle w:val="ExhibitText"/>
              <w:jc w:val="right"/>
              <w:rPr>
                <w:b/>
                <w:lang w:val="en-GB"/>
              </w:rPr>
            </w:pPr>
            <w:r w:rsidRPr="003176DC">
              <w:rPr>
                <w:b/>
                <w:lang w:val="en-GB"/>
              </w:rPr>
              <w:t>458,650</w:t>
            </w:r>
          </w:p>
        </w:tc>
        <w:tc>
          <w:tcPr>
            <w:tcW w:w="2700" w:type="dxa"/>
          </w:tcPr>
          <w:p w14:paraId="7ADC16E0" w14:textId="77777777" w:rsidR="003176DC" w:rsidRPr="003176DC" w:rsidRDefault="003176DC" w:rsidP="003176DC">
            <w:pPr>
              <w:pStyle w:val="ExhibitText"/>
              <w:jc w:val="right"/>
              <w:rPr>
                <w:b/>
                <w:lang w:val="en-GB"/>
              </w:rPr>
            </w:pPr>
            <w:r w:rsidRPr="003176DC">
              <w:rPr>
                <w:b/>
                <w:lang w:val="en-GB"/>
              </w:rPr>
              <w:t>93,798.7</w:t>
            </w:r>
          </w:p>
        </w:tc>
      </w:tr>
    </w:tbl>
    <w:p w14:paraId="26D8C754" w14:textId="77777777" w:rsidR="00461811" w:rsidRDefault="00461811" w:rsidP="003176DC">
      <w:pPr>
        <w:pStyle w:val="BodyTextMain"/>
        <w:rPr>
          <w:rFonts w:ascii="Arial" w:hAnsi="Arial" w:cs="Arial"/>
          <w:sz w:val="17"/>
          <w:szCs w:val="17"/>
          <w:lang w:val="en-GB"/>
        </w:rPr>
      </w:pPr>
    </w:p>
    <w:p w14:paraId="40A2B7FF" w14:textId="1177DAE9" w:rsidR="00A81B5F" w:rsidRPr="00E22FF1" w:rsidRDefault="003176DC" w:rsidP="003176DC">
      <w:pPr>
        <w:pStyle w:val="Footnote"/>
      </w:pPr>
      <w:r w:rsidRPr="00E22FF1">
        <w:rPr>
          <w:lang w:val="en-GB"/>
        </w:rPr>
        <w:t xml:space="preserve">Source: </w:t>
      </w:r>
      <w:r w:rsidR="00E83836" w:rsidRPr="00E22FF1">
        <w:rPr>
          <w:lang w:val="en-GB"/>
        </w:rPr>
        <w:t>Company files.</w:t>
      </w:r>
    </w:p>
    <w:p w14:paraId="3D798E53" w14:textId="77777777" w:rsidR="00A81B5F" w:rsidRDefault="00A81B5F" w:rsidP="006B7F7A">
      <w:pPr>
        <w:pStyle w:val="BodyTextMain"/>
      </w:pPr>
    </w:p>
    <w:p w14:paraId="7B55D413" w14:textId="77777777" w:rsidR="003176DC" w:rsidRDefault="003176DC" w:rsidP="006B7F7A">
      <w:pPr>
        <w:pStyle w:val="BodyTextMain"/>
      </w:pPr>
    </w:p>
    <w:p w14:paraId="178B7FE7" w14:textId="3FC2ECF5" w:rsidR="00DB4EF2" w:rsidRDefault="003176DC" w:rsidP="003176DC">
      <w:pPr>
        <w:pStyle w:val="ExhibitHeading"/>
        <w:rPr>
          <w:rFonts w:eastAsia="Arial Unicode MS"/>
          <w:u w:color="000000"/>
          <w:bdr w:val="nil"/>
          <w:lang w:val="en-GB" w:eastAsia="en-GB"/>
        </w:rPr>
      </w:pPr>
      <w:r w:rsidRPr="003176DC">
        <w:rPr>
          <w:rFonts w:eastAsia="Arial Unicode MS"/>
          <w:u w:color="000000"/>
          <w:bdr w:val="nil"/>
          <w:lang w:val="en-GB" w:eastAsia="en-GB"/>
        </w:rPr>
        <w:t>EXHIBIT 6</w:t>
      </w:r>
      <w:r>
        <w:rPr>
          <w:rFonts w:eastAsia="Arial Unicode MS"/>
          <w:u w:color="000000"/>
          <w:bdr w:val="nil"/>
          <w:lang w:val="en-GB" w:eastAsia="en-GB"/>
        </w:rPr>
        <w:t xml:space="preserve">: </w:t>
      </w:r>
      <w:r w:rsidRPr="003176DC">
        <w:rPr>
          <w:rFonts w:eastAsia="Arial Unicode MS"/>
          <w:u w:color="000000"/>
          <w:bdr w:val="nil"/>
          <w:lang w:val="en-GB" w:eastAsia="en-GB"/>
        </w:rPr>
        <w:t>FOOD AND NUTRITION SECURITY</w:t>
      </w:r>
      <w:r w:rsidR="00A51A0E">
        <w:rPr>
          <w:rFonts w:eastAsia="Arial Unicode MS"/>
          <w:u w:color="000000"/>
          <w:bdr w:val="nil"/>
          <w:lang w:val="en-GB" w:eastAsia="en-GB"/>
        </w:rPr>
        <w:t>,</w:t>
      </w:r>
      <w:r>
        <w:rPr>
          <w:rFonts w:eastAsia="Arial Unicode MS"/>
          <w:u w:color="000000"/>
          <w:bdr w:val="nil"/>
          <w:lang w:val="en-GB" w:eastAsia="en-GB"/>
        </w:rPr>
        <w:t xml:space="preserve"> </w:t>
      </w:r>
      <w:r w:rsidRPr="003176DC">
        <w:rPr>
          <w:rFonts w:eastAsia="Arial Unicode MS"/>
          <w:u w:color="000000"/>
          <w:bdr w:val="nil"/>
          <w:lang w:val="en-GB" w:eastAsia="en-GB"/>
        </w:rPr>
        <w:t>Government of India</w:t>
      </w:r>
      <w:r w:rsidR="00B36288">
        <w:rPr>
          <w:rFonts w:eastAsia="Arial Unicode MS"/>
          <w:u w:color="000000"/>
          <w:bdr w:val="nil"/>
          <w:lang w:val="en-GB" w:eastAsia="en-GB"/>
        </w:rPr>
        <w:t>,</w:t>
      </w:r>
      <w:r w:rsidRPr="003176DC">
        <w:rPr>
          <w:rFonts w:eastAsia="Arial Unicode MS"/>
          <w:u w:color="000000"/>
          <w:bdr w:val="nil"/>
          <w:lang w:val="en-GB" w:eastAsia="en-GB"/>
        </w:rPr>
        <w:t xml:space="preserve"> </w:t>
      </w:r>
    </w:p>
    <w:p w14:paraId="26B5D983" w14:textId="2D92D51C" w:rsidR="003176DC" w:rsidRDefault="003176DC" w:rsidP="003176DC">
      <w:pPr>
        <w:pStyle w:val="ExhibitHeading"/>
        <w:rPr>
          <w:rFonts w:eastAsia="Arial Unicode MS"/>
          <w:u w:color="000000"/>
          <w:bdr w:val="nil"/>
          <w:lang w:val="en-GB" w:eastAsia="en-GB"/>
        </w:rPr>
      </w:pPr>
      <w:r w:rsidRPr="003176DC">
        <w:rPr>
          <w:rFonts w:eastAsia="Arial Unicode MS"/>
          <w:u w:color="000000"/>
          <w:bdr w:val="nil"/>
          <w:lang w:val="en-GB" w:eastAsia="en-GB"/>
        </w:rPr>
        <w:t>TENTH FIVE YEAR PLAN 2002</w:t>
      </w:r>
      <w:r w:rsidR="00DB4EF2">
        <w:rPr>
          <w:rFonts w:eastAsia="Arial Unicode MS"/>
          <w:u w:color="000000"/>
          <w:bdr w:val="nil"/>
          <w:lang w:val="en-GB" w:eastAsia="en-GB"/>
        </w:rPr>
        <w:t>–</w:t>
      </w:r>
      <w:r w:rsidR="00A51A0E">
        <w:rPr>
          <w:rFonts w:eastAsia="Arial Unicode MS"/>
          <w:u w:color="000000"/>
          <w:bdr w:val="nil"/>
          <w:lang w:val="en-GB" w:eastAsia="en-GB"/>
        </w:rPr>
        <w:t>20</w:t>
      </w:r>
      <w:r w:rsidRPr="003176DC">
        <w:rPr>
          <w:rFonts w:eastAsia="Arial Unicode MS"/>
          <w:u w:color="000000"/>
          <w:bdr w:val="nil"/>
          <w:lang w:val="en-GB" w:eastAsia="en-GB"/>
        </w:rPr>
        <w:t>07</w:t>
      </w:r>
    </w:p>
    <w:p w14:paraId="69342960" w14:textId="77777777" w:rsidR="0078317A" w:rsidRPr="003176DC" w:rsidRDefault="0078317A" w:rsidP="003176DC">
      <w:pPr>
        <w:pStyle w:val="ExhibitHeading"/>
        <w:rPr>
          <w:rFonts w:eastAsia="Arial Unicode MS"/>
          <w:u w:color="000000"/>
          <w:bdr w:val="nil"/>
          <w:lang w:val="en-GB" w:eastAsia="en-GB"/>
        </w:rPr>
      </w:pPr>
    </w:p>
    <w:p w14:paraId="41FE1E3E" w14:textId="3DF104AE" w:rsidR="003D7C09" w:rsidRDefault="0078317A" w:rsidP="0078317A">
      <w:pPr>
        <w:pStyle w:val="Casehead2"/>
      </w:pPr>
      <w:r>
        <w:t>Problem Areas</w:t>
      </w:r>
    </w:p>
    <w:p w14:paraId="624D580F" w14:textId="77777777" w:rsidR="0078317A" w:rsidRPr="0078317A" w:rsidRDefault="0078317A" w:rsidP="0078317A">
      <w:pPr>
        <w:pStyle w:val="ExhibitText"/>
      </w:pPr>
    </w:p>
    <w:p w14:paraId="4CDB01F8" w14:textId="42D84F79" w:rsidR="003D7C09" w:rsidRPr="0078317A" w:rsidRDefault="003D7C09" w:rsidP="0078317A">
      <w:pPr>
        <w:pStyle w:val="ExhibitText"/>
      </w:pPr>
      <w:r w:rsidRPr="0078317A">
        <w:t xml:space="preserve">The </w:t>
      </w:r>
      <w:r w:rsidR="00A51A0E">
        <w:t>Tenth Five Year P</w:t>
      </w:r>
      <w:r w:rsidRPr="0078317A">
        <w:t>lan of the Government of India highlighted the need for urgent attention in the following areas:</w:t>
      </w:r>
    </w:p>
    <w:p w14:paraId="4373B086" w14:textId="77777777" w:rsidR="0078317A" w:rsidRDefault="0078317A" w:rsidP="0078317A">
      <w:pPr>
        <w:pStyle w:val="ExhibitText"/>
        <w:rPr>
          <w:rFonts w:eastAsia="Arial Unicode MS"/>
        </w:rPr>
      </w:pPr>
    </w:p>
    <w:p w14:paraId="08E771F2" w14:textId="666CB7ED" w:rsidR="003D7C09" w:rsidRPr="0078317A" w:rsidRDefault="005600DA" w:rsidP="0078317A">
      <w:pPr>
        <w:pStyle w:val="ExhibitText"/>
        <w:numPr>
          <w:ilvl w:val="0"/>
          <w:numId w:val="43"/>
        </w:numPr>
        <w:rPr>
          <w:rFonts w:eastAsia="Arial Unicode MS"/>
        </w:rPr>
      </w:pPr>
      <w:r>
        <w:rPr>
          <w:rFonts w:eastAsia="Arial Unicode MS"/>
        </w:rPr>
        <w:t>C</w:t>
      </w:r>
      <w:r w:rsidR="003D7C09" w:rsidRPr="0078317A">
        <w:rPr>
          <w:rFonts w:eastAsia="Arial Unicode MS"/>
        </w:rPr>
        <w:t>hronic energy deficiency and undernutrition</w:t>
      </w:r>
    </w:p>
    <w:p w14:paraId="320B0524" w14:textId="73D8FD80" w:rsidR="003D7C09" w:rsidRPr="0078317A" w:rsidRDefault="005600DA" w:rsidP="0078317A">
      <w:pPr>
        <w:pStyle w:val="ExhibitText"/>
        <w:numPr>
          <w:ilvl w:val="0"/>
          <w:numId w:val="43"/>
        </w:numPr>
        <w:rPr>
          <w:rFonts w:eastAsia="Arial Unicode MS"/>
        </w:rPr>
      </w:pPr>
      <w:r>
        <w:rPr>
          <w:rFonts w:eastAsia="Arial Unicode MS"/>
        </w:rPr>
        <w:t>M</w:t>
      </w:r>
      <w:r w:rsidR="003D7C09" w:rsidRPr="0078317A">
        <w:rPr>
          <w:rFonts w:eastAsia="Arial Unicode MS"/>
        </w:rPr>
        <w:t>icronutrient deficiencies</w:t>
      </w:r>
    </w:p>
    <w:p w14:paraId="6BD100B4" w14:textId="668201BF" w:rsidR="003D7C09" w:rsidRPr="0078317A" w:rsidRDefault="005600DA" w:rsidP="0078317A">
      <w:pPr>
        <w:pStyle w:val="ExhibitText"/>
        <w:numPr>
          <w:ilvl w:val="0"/>
          <w:numId w:val="43"/>
        </w:numPr>
        <w:rPr>
          <w:rFonts w:eastAsia="Arial Unicode MS"/>
        </w:rPr>
      </w:pPr>
      <w:r>
        <w:rPr>
          <w:rFonts w:eastAsia="Arial Unicode MS"/>
        </w:rPr>
        <w:t>A</w:t>
      </w:r>
      <w:r w:rsidR="003D7C09" w:rsidRPr="0078317A">
        <w:rPr>
          <w:rFonts w:eastAsia="Arial Unicode MS"/>
        </w:rPr>
        <w:t>nemia due to iron and folate deficiency</w:t>
      </w:r>
      <w:r w:rsidR="00DB4EF2">
        <w:rPr>
          <w:rFonts w:eastAsia="Arial Unicode MS"/>
        </w:rPr>
        <w:t>—</w:t>
      </w:r>
      <w:r w:rsidR="003D7C09" w:rsidRPr="0078317A">
        <w:rPr>
          <w:rFonts w:eastAsia="Arial Unicode MS"/>
        </w:rPr>
        <w:t>Vitamin A deficiency</w:t>
      </w:r>
    </w:p>
    <w:p w14:paraId="4C14F64C" w14:textId="2489EC1B" w:rsidR="003D7C09" w:rsidRPr="0078317A" w:rsidRDefault="005600DA" w:rsidP="0078317A">
      <w:pPr>
        <w:pStyle w:val="ExhibitText"/>
        <w:numPr>
          <w:ilvl w:val="0"/>
          <w:numId w:val="43"/>
        </w:numPr>
        <w:rPr>
          <w:rFonts w:eastAsia="Arial Unicode MS"/>
        </w:rPr>
      </w:pPr>
      <w:r>
        <w:rPr>
          <w:rFonts w:eastAsia="Arial Unicode MS"/>
        </w:rPr>
        <w:t>I</w:t>
      </w:r>
      <w:r w:rsidR="000C553E">
        <w:rPr>
          <w:rFonts w:eastAsia="Arial Unicode MS"/>
        </w:rPr>
        <w:t>o</w:t>
      </w:r>
      <w:r w:rsidR="003D7C09" w:rsidRPr="0078317A">
        <w:rPr>
          <w:rFonts w:eastAsia="Arial Unicode MS"/>
        </w:rPr>
        <w:t xml:space="preserve">dine </w:t>
      </w:r>
      <w:r w:rsidR="00DB4EF2">
        <w:rPr>
          <w:rFonts w:eastAsia="Arial Unicode MS"/>
        </w:rPr>
        <w:t>d</w:t>
      </w:r>
      <w:r w:rsidR="003D7C09" w:rsidRPr="0078317A">
        <w:rPr>
          <w:rFonts w:eastAsia="Arial Unicode MS"/>
        </w:rPr>
        <w:t xml:space="preserve">eficiency </w:t>
      </w:r>
      <w:r w:rsidR="00DB4EF2">
        <w:rPr>
          <w:rFonts w:eastAsia="Arial Unicode MS"/>
        </w:rPr>
        <w:t>d</w:t>
      </w:r>
      <w:r w:rsidR="003D7C09" w:rsidRPr="0078317A">
        <w:rPr>
          <w:rFonts w:eastAsia="Arial Unicode MS"/>
        </w:rPr>
        <w:t>isorders</w:t>
      </w:r>
    </w:p>
    <w:p w14:paraId="5B3993A8" w14:textId="5A339AFA" w:rsidR="003D7C09" w:rsidRPr="0078317A" w:rsidRDefault="005600DA" w:rsidP="0078317A">
      <w:pPr>
        <w:pStyle w:val="ExhibitText"/>
        <w:numPr>
          <w:ilvl w:val="0"/>
          <w:numId w:val="43"/>
        </w:numPr>
      </w:pPr>
      <w:r>
        <w:rPr>
          <w:rFonts w:eastAsia="Arial Unicode MS"/>
        </w:rPr>
        <w:t>C</w:t>
      </w:r>
      <w:r w:rsidR="003D7C09" w:rsidRPr="0078317A">
        <w:rPr>
          <w:rFonts w:eastAsia="Arial Unicode MS"/>
        </w:rPr>
        <w:t>hronic energy excess and obesity</w:t>
      </w:r>
    </w:p>
    <w:p w14:paraId="4AE269E6" w14:textId="77777777" w:rsidR="003D7C09" w:rsidRDefault="003D7C09" w:rsidP="0078317A">
      <w:pPr>
        <w:pStyle w:val="ExhibitText"/>
      </w:pPr>
    </w:p>
    <w:p w14:paraId="6F910DDC" w14:textId="77777777" w:rsidR="0078317A" w:rsidRDefault="0078317A" w:rsidP="0078317A">
      <w:pPr>
        <w:pStyle w:val="ExhibitText"/>
      </w:pPr>
    </w:p>
    <w:p w14:paraId="6B057C89" w14:textId="3E00A2E6" w:rsidR="003D7C09" w:rsidRDefault="0078317A" w:rsidP="0078317A">
      <w:pPr>
        <w:pStyle w:val="Casehead1"/>
      </w:pPr>
      <w:r>
        <w:rPr>
          <w:caps w:val="0"/>
        </w:rPr>
        <w:t>Initiatives</w:t>
      </w:r>
    </w:p>
    <w:p w14:paraId="2ACD96FA" w14:textId="77777777" w:rsidR="0078317A" w:rsidRDefault="0078317A" w:rsidP="0078317A">
      <w:pPr>
        <w:pStyle w:val="ExhibitText"/>
      </w:pPr>
    </w:p>
    <w:p w14:paraId="4C8787C2" w14:textId="08CD5A7D" w:rsidR="003D7C09" w:rsidRDefault="003D7C09" w:rsidP="0078317A">
      <w:pPr>
        <w:pStyle w:val="ExhibitText"/>
      </w:pPr>
      <w:r>
        <w:t xml:space="preserve">The </w:t>
      </w:r>
      <w:r w:rsidR="00DB4EF2">
        <w:t>Tenth</w:t>
      </w:r>
      <w:r>
        <w:t xml:space="preserve"> </w:t>
      </w:r>
      <w:r w:rsidR="003258CD">
        <w:t>Five</w:t>
      </w:r>
      <w:r w:rsidR="000C553E">
        <w:t xml:space="preserve"> Year </w:t>
      </w:r>
      <w:r w:rsidR="00A51A0E">
        <w:t>P</w:t>
      </w:r>
      <w:r>
        <w:t>lan aimed to improve the health and nutrition of citizens through a series of interventions that included providing easy access to food and targeting undernutrition. Undernutrition was a multi-faceted problem</w:t>
      </w:r>
      <w:r w:rsidR="00DB4EF2">
        <w:t xml:space="preserve"> that the Tenth</w:t>
      </w:r>
      <w:r>
        <w:t xml:space="preserve"> </w:t>
      </w:r>
      <w:r w:rsidR="005600DA">
        <w:t>P</w:t>
      </w:r>
      <w:r>
        <w:t xml:space="preserve">lan aimed to address </w:t>
      </w:r>
      <w:r w:rsidR="00DB4EF2">
        <w:t xml:space="preserve">in </w:t>
      </w:r>
      <w:r>
        <w:t>three ways</w:t>
      </w:r>
      <w:r w:rsidR="0078317A">
        <w:t>:</w:t>
      </w:r>
      <w:r>
        <w:t xml:space="preserve"> </w:t>
      </w:r>
    </w:p>
    <w:p w14:paraId="066FFE36" w14:textId="77777777" w:rsidR="003D7C09" w:rsidRDefault="003D7C09" w:rsidP="0078317A">
      <w:pPr>
        <w:pStyle w:val="ExhibitText"/>
      </w:pPr>
    </w:p>
    <w:p w14:paraId="11782434" w14:textId="43A3158C" w:rsidR="003D7C09" w:rsidRDefault="0078317A" w:rsidP="0078317A">
      <w:pPr>
        <w:pStyle w:val="ExhibitText"/>
        <w:numPr>
          <w:ilvl w:val="0"/>
          <w:numId w:val="44"/>
        </w:numPr>
      </w:pPr>
      <w:r>
        <w:t xml:space="preserve">Education: </w:t>
      </w:r>
      <w:r w:rsidR="000C553E">
        <w:t>p</w:t>
      </w:r>
      <w:r w:rsidR="003D7C09">
        <w:t xml:space="preserve">roviding nutrition education, </w:t>
      </w:r>
      <w:r w:rsidR="00DB4EF2">
        <w:t xml:space="preserve">and </w:t>
      </w:r>
      <w:r w:rsidR="003D7C09">
        <w:t>promoting appropriate dietary intake and lifestyles</w:t>
      </w:r>
    </w:p>
    <w:p w14:paraId="4911966A" w14:textId="6CF95E8B" w:rsidR="003D7C09" w:rsidRDefault="0078317A" w:rsidP="0078317A">
      <w:pPr>
        <w:pStyle w:val="ExhibitText"/>
        <w:numPr>
          <w:ilvl w:val="0"/>
          <w:numId w:val="44"/>
        </w:numPr>
      </w:pPr>
      <w:r>
        <w:t xml:space="preserve">Screening and </w:t>
      </w:r>
      <w:r w:rsidR="00DB4EF2">
        <w:t>m</w:t>
      </w:r>
      <w:r>
        <w:t xml:space="preserve">onitoring: </w:t>
      </w:r>
      <w:r w:rsidR="000C553E">
        <w:t>s</w:t>
      </w:r>
      <w:r w:rsidR="003D7C09">
        <w:t>creening vulnerable groups such as women and children</w:t>
      </w:r>
      <w:r w:rsidR="00DB4EF2">
        <w:t>; m</w:t>
      </w:r>
      <w:r w:rsidR="003D7C09">
        <w:t>onitoring and tracking health changes after providing adequate nutritional interventions</w:t>
      </w:r>
    </w:p>
    <w:p w14:paraId="42C42AD6" w14:textId="35ACFBAC" w:rsidR="003D7C09" w:rsidRDefault="0078317A" w:rsidP="0078317A">
      <w:pPr>
        <w:pStyle w:val="ExhibitText"/>
        <w:numPr>
          <w:ilvl w:val="0"/>
          <w:numId w:val="44"/>
        </w:numPr>
      </w:pPr>
      <w:r>
        <w:t xml:space="preserve">Interventions: </w:t>
      </w:r>
      <w:r w:rsidR="000C553E">
        <w:t>p</w:t>
      </w:r>
      <w:r w:rsidR="003D7C09">
        <w:t>roviding adequate nutritional supplements</w:t>
      </w:r>
    </w:p>
    <w:p w14:paraId="416F7B79" w14:textId="77777777" w:rsidR="003176DC" w:rsidRPr="003176DC" w:rsidRDefault="003176DC" w:rsidP="003176DC">
      <w:pPr>
        <w:pBdr>
          <w:top w:val="nil"/>
          <w:left w:val="nil"/>
          <w:bottom w:val="nil"/>
          <w:right w:val="nil"/>
          <w:between w:val="nil"/>
          <w:bar w:val="nil"/>
        </w:pBdr>
        <w:rPr>
          <w:rFonts w:eastAsia="Arial Unicode MS"/>
          <w:color w:val="000000"/>
          <w:sz w:val="22"/>
          <w:szCs w:val="22"/>
          <w:u w:color="000000"/>
          <w:bdr w:val="nil"/>
          <w:lang w:val="en-GB" w:eastAsia="en-GB"/>
        </w:rPr>
      </w:pPr>
    </w:p>
    <w:p w14:paraId="2B29EF59" w14:textId="491535F1" w:rsidR="00E12551" w:rsidRPr="00A81B5F" w:rsidRDefault="00671123" w:rsidP="00E12551">
      <w:pPr>
        <w:pStyle w:val="Footnote"/>
      </w:pPr>
      <w:r w:rsidRPr="00671123">
        <w:t>Source</w:t>
      </w:r>
      <w:r>
        <w:t>:</w:t>
      </w:r>
      <w:r w:rsidRPr="00671123">
        <w:t xml:space="preserve"> </w:t>
      </w:r>
      <w:r w:rsidR="00DB4EF2">
        <w:t>Planning Commission, Government of India, “</w:t>
      </w:r>
      <w:r w:rsidRPr="00671123">
        <w:t xml:space="preserve">Food </w:t>
      </w:r>
      <w:r w:rsidR="00D14DEF">
        <w:t>a</w:t>
      </w:r>
      <w:r w:rsidRPr="00671123">
        <w:t>nd Nutrition Security,</w:t>
      </w:r>
      <w:r w:rsidR="00DB4EF2">
        <w:t>”</w:t>
      </w:r>
      <w:r w:rsidRPr="00671123">
        <w:t xml:space="preserve"> </w:t>
      </w:r>
      <w:r w:rsidRPr="00006706">
        <w:rPr>
          <w:i/>
        </w:rPr>
        <w:t>Tenth Five Year Plan</w:t>
      </w:r>
      <w:r w:rsidR="00DB4EF2" w:rsidRPr="00006706">
        <w:rPr>
          <w:i/>
        </w:rPr>
        <w:t xml:space="preserve"> </w:t>
      </w:r>
      <w:r w:rsidRPr="00006706">
        <w:rPr>
          <w:i/>
        </w:rPr>
        <w:t>2002</w:t>
      </w:r>
      <w:r w:rsidR="00DB4EF2" w:rsidRPr="00006706">
        <w:rPr>
          <w:i/>
        </w:rPr>
        <w:t>–</w:t>
      </w:r>
      <w:r w:rsidR="00A51A0E">
        <w:rPr>
          <w:i/>
        </w:rPr>
        <w:t>20</w:t>
      </w:r>
      <w:r w:rsidRPr="00006706">
        <w:rPr>
          <w:i/>
        </w:rPr>
        <w:t>07</w:t>
      </w:r>
      <w:r w:rsidR="00461811">
        <w:t xml:space="preserve">, accessed March 12, 2018, </w:t>
      </w:r>
      <w:r w:rsidR="00E12551" w:rsidRPr="00E83836">
        <w:t>http://planningcommission.nic.in/plans/planrel/fiveyr/10th/10defaultchap.htm</w:t>
      </w:r>
      <w:r w:rsidR="005600DA">
        <w:t>.</w:t>
      </w:r>
    </w:p>
    <w:p w14:paraId="6CE0ADF1" w14:textId="53DBEAFF" w:rsidR="003735F5" w:rsidRDefault="003735F5" w:rsidP="003735F5">
      <w:pPr>
        <w:pStyle w:val="Footnote"/>
      </w:pPr>
    </w:p>
    <w:p w14:paraId="027DE05B" w14:textId="77777777" w:rsidR="003735F5" w:rsidRDefault="003735F5" w:rsidP="003735F5">
      <w:pPr>
        <w:pStyle w:val="Footnote"/>
      </w:pPr>
    </w:p>
    <w:p w14:paraId="11F56477" w14:textId="77777777" w:rsidR="0078317A" w:rsidRDefault="0078317A">
      <w:pPr>
        <w:spacing w:after="200" w:line="276" w:lineRule="auto"/>
        <w:rPr>
          <w:rFonts w:ascii="Arial" w:hAnsi="Arial" w:cs="Arial"/>
          <w:b/>
          <w:caps/>
          <w:lang w:val="en-GB"/>
        </w:rPr>
      </w:pPr>
      <w:r>
        <w:rPr>
          <w:lang w:val="en-GB"/>
        </w:rPr>
        <w:br w:type="page"/>
      </w:r>
    </w:p>
    <w:p w14:paraId="61C4A329" w14:textId="596BD0A2" w:rsidR="0084792A" w:rsidRPr="00680767" w:rsidRDefault="0084792A" w:rsidP="0084792A">
      <w:pPr>
        <w:jc w:val="center"/>
        <w:rPr>
          <w:rFonts w:ascii="Arial" w:hAnsi="Arial" w:cs="Arial"/>
          <w:b/>
          <w:caps/>
          <w:lang w:val="en-GB" w:eastAsia="en-GB"/>
        </w:rPr>
      </w:pPr>
      <w:r w:rsidRPr="00680767">
        <w:rPr>
          <w:rFonts w:ascii="Arial" w:hAnsi="Arial" w:cs="Arial"/>
          <w:b/>
          <w:caps/>
          <w:lang w:val="en-GB" w:eastAsia="en-GB"/>
        </w:rPr>
        <w:lastRenderedPageBreak/>
        <w:t xml:space="preserve">Exhibit </w:t>
      </w:r>
      <w:r>
        <w:rPr>
          <w:rFonts w:ascii="Arial" w:hAnsi="Arial" w:cs="Arial"/>
          <w:b/>
          <w:caps/>
          <w:lang w:val="en-GB" w:eastAsia="en-GB"/>
        </w:rPr>
        <w:t>7</w:t>
      </w:r>
      <w:r w:rsidRPr="00680767">
        <w:rPr>
          <w:rFonts w:ascii="Arial" w:hAnsi="Arial" w:cs="Arial"/>
          <w:b/>
          <w:caps/>
          <w:lang w:val="en-GB" w:eastAsia="en-GB"/>
        </w:rPr>
        <w:t xml:space="preserve">: </w:t>
      </w:r>
      <w:bookmarkStart w:id="1" w:name="_Hlk55992647"/>
      <w:r w:rsidRPr="00680767">
        <w:rPr>
          <w:rFonts w:ascii="Arial" w:hAnsi="Arial" w:cs="Arial"/>
          <w:b/>
          <w:caps/>
          <w:lang w:val="en-GB" w:eastAsia="en-GB"/>
        </w:rPr>
        <w:t>C</w:t>
      </w:r>
      <w:r>
        <w:rPr>
          <w:rFonts w:ascii="Arial" w:hAnsi="Arial" w:cs="Arial"/>
          <w:b/>
          <w:caps/>
          <w:lang w:val="en-GB" w:eastAsia="en-GB"/>
        </w:rPr>
        <w:t xml:space="preserve">orporate </w:t>
      </w:r>
      <w:r w:rsidRPr="00680767">
        <w:rPr>
          <w:rFonts w:ascii="Arial" w:hAnsi="Arial" w:cs="Arial"/>
          <w:b/>
          <w:caps/>
          <w:lang w:val="en-GB" w:eastAsia="en-GB"/>
        </w:rPr>
        <w:t>S</w:t>
      </w:r>
      <w:r>
        <w:rPr>
          <w:rFonts w:ascii="Arial" w:hAnsi="Arial" w:cs="Arial"/>
          <w:b/>
          <w:caps/>
          <w:lang w:val="en-GB" w:eastAsia="en-GB"/>
        </w:rPr>
        <w:t xml:space="preserve">ocial </w:t>
      </w:r>
      <w:r w:rsidRPr="00680767">
        <w:rPr>
          <w:rFonts w:ascii="Arial" w:hAnsi="Arial" w:cs="Arial"/>
          <w:b/>
          <w:caps/>
          <w:lang w:val="en-GB" w:eastAsia="en-GB"/>
        </w:rPr>
        <w:t>R</w:t>
      </w:r>
      <w:r>
        <w:rPr>
          <w:rFonts w:ascii="Arial" w:hAnsi="Arial" w:cs="Arial"/>
          <w:b/>
          <w:caps/>
          <w:lang w:val="en-GB" w:eastAsia="en-GB"/>
        </w:rPr>
        <w:t>esponsibility</w:t>
      </w:r>
      <w:r w:rsidRPr="00680767">
        <w:rPr>
          <w:rFonts w:ascii="Arial" w:hAnsi="Arial" w:cs="Arial"/>
          <w:b/>
          <w:caps/>
          <w:lang w:val="en-GB" w:eastAsia="en-GB"/>
        </w:rPr>
        <w:t xml:space="preserve"> RULES </w:t>
      </w:r>
      <w:bookmarkEnd w:id="1"/>
      <w:r w:rsidRPr="00680767">
        <w:rPr>
          <w:rFonts w:ascii="Arial" w:hAnsi="Arial" w:cs="Arial"/>
          <w:b/>
          <w:caps/>
          <w:lang w:val="en-GB" w:eastAsia="en-GB"/>
        </w:rPr>
        <w:t xml:space="preserve">AND REGULATIONS Mandated by </w:t>
      </w:r>
      <w:r w:rsidRPr="00680767">
        <w:rPr>
          <w:rFonts w:ascii="Arial" w:hAnsi="Arial" w:cs="Arial"/>
          <w:b/>
          <w:i/>
          <w:caps/>
          <w:lang w:val="en-GB" w:eastAsia="en-GB"/>
        </w:rPr>
        <w:t>Companies Act 2013</w:t>
      </w:r>
    </w:p>
    <w:p w14:paraId="4FB442C5" w14:textId="77777777" w:rsidR="0084792A" w:rsidRPr="00680767" w:rsidRDefault="0084792A" w:rsidP="0084792A">
      <w:pPr>
        <w:jc w:val="both"/>
        <w:rPr>
          <w:rFonts w:ascii="Arial" w:hAnsi="Arial" w:cs="Arial"/>
          <w:lang w:val="en-GB" w:eastAsia="en-GB"/>
        </w:rPr>
      </w:pPr>
    </w:p>
    <w:p w14:paraId="51726877"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The Companies Act, 2013</w:t>
      </w:r>
      <w:r>
        <w:rPr>
          <w:rFonts w:ascii="Arial" w:hAnsi="Arial" w:cs="Arial"/>
          <w:spacing w:val="-4"/>
          <w:lang w:val="en-IN" w:eastAsia="en-GB"/>
        </w:rPr>
        <w:t xml:space="preserve"> </w:t>
      </w:r>
      <w:r w:rsidRPr="00755B41">
        <w:rPr>
          <w:rFonts w:ascii="Arial" w:hAnsi="Arial" w:cs="Arial"/>
          <w:spacing w:val="-4"/>
          <w:lang w:val="en-IN" w:eastAsia="en-GB"/>
        </w:rPr>
        <w:t xml:space="preserve">contains an important clause (Clause 135) that mandates </w:t>
      </w:r>
      <w:r>
        <w:rPr>
          <w:rFonts w:ascii="Arial" w:hAnsi="Arial" w:cs="Arial"/>
          <w:spacing w:val="-4"/>
          <w:lang w:val="en-IN" w:eastAsia="en-GB"/>
        </w:rPr>
        <w:t>corporate social responsibility (</w:t>
      </w:r>
      <w:r w:rsidRPr="00755B41">
        <w:rPr>
          <w:rFonts w:ascii="Arial" w:hAnsi="Arial" w:cs="Arial"/>
          <w:spacing w:val="-4"/>
          <w:lang w:val="en-IN" w:eastAsia="en-GB"/>
        </w:rPr>
        <w:t>CSR</w:t>
      </w:r>
      <w:r>
        <w:rPr>
          <w:rFonts w:ascii="Arial" w:hAnsi="Arial" w:cs="Arial"/>
          <w:spacing w:val="-4"/>
          <w:lang w:val="en-IN" w:eastAsia="en-GB"/>
        </w:rPr>
        <w:t>)</w:t>
      </w:r>
      <w:r w:rsidRPr="00755B41">
        <w:rPr>
          <w:rFonts w:ascii="Arial" w:hAnsi="Arial" w:cs="Arial"/>
          <w:spacing w:val="-4"/>
          <w:lang w:val="en-IN" w:eastAsia="en-GB"/>
        </w:rPr>
        <w:t xml:space="preserve"> regulations for Indian companies. The</w:t>
      </w:r>
      <w:r>
        <w:rPr>
          <w:rFonts w:ascii="Arial" w:hAnsi="Arial" w:cs="Arial"/>
          <w:spacing w:val="-4"/>
          <w:lang w:val="en-IN" w:eastAsia="en-GB"/>
        </w:rPr>
        <w:t xml:space="preserve"> </w:t>
      </w:r>
      <w:r w:rsidRPr="00755B41">
        <w:rPr>
          <w:rFonts w:ascii="Arial" w:hAnsi="Arial" w:cs="Arial"/>
          <w:spacing w:val="-4"/>
          <w:lang w:val="en-IN" w:eastAsia="en-GB"/>
        </w:rPr>
        <w:t>final rules</w:t>
      </w:r>
      <w:r>
        <w:rPr>
          <w:rFonts w:ascii="Arial" w:hAnsi="Arial" w:cs="Arial"/>
          <w:spacing w:val="-4"/>
          <w:lang w:val="en-IN" w:eastAsia="en-GB"/>
        </w:rPr>
        <w:t xml:space="preserve"> </w:t>
      </w:r>
      <w:r w:rsidRPr="00755B41">
        <w:rPr>
          <w:rFonts w:ascii="Arial" w:hAnsi="Arial" w:cs="Arial"/>
          <w:spacing w:val="-4"/>
          <w:lang w:val="en-IN" w:eastAsia="en-GB"/>
        </w:rPr>
        <w:t>were notified on February</w:t>
      </w:r>
      <w:r>
        <w:rPr>
          <w:rFonts w:ascii="Arial" w:hAnsi="Arial" w:cs="Arial"/>
          <w:spacing w:val="-4"/>
          <w:lang w:val="en-IN" w:eastAsia="en-GB"/>
        </w:rPr>
        <w:t xml:space="preserve"> 27,</w:t>
      </w:r>
      <w:r w:rsidRPr="00755B41">
        <w:rPr>
          <w:rFonts w:ascii="Arial" w:hAnsi="Arial" w:cs="Arial"/>
          <w:spacing w:val="-4"/>
          <w:lang w:val="en-IN" w:eastAsia="en-GB"/>
        </w:rPr>
        <w:t xml:space="preserve"> 2014, coming into force on April </w:t>
      </w:r>
      <w:r>
        <w:rPr>
          <w:rFonts w:ascii="Arial" w:hAnsi="Arial" w:cs="Arial"/>
          <w:spacing w:val="-4"/>
          <w:lang w:val="en-IN" w:eastAsia="en-GB"/>
        </w:rPr>
        <w:t xml:space="preserve">1, </w:t>
      </w:r>
      <w:r w:rsidRPr="00755B41">
        <w:rPr>
          <w:rFonts w:ascii="Arial" w:hAnsi="Arial" w:cs="Arial"/>
          <w:spacing w:val="-4"/>
          <w:lang w:val="en-IN" w:eastAsia="en-GB"/>
        </w:rPr>
        <w:t>2014.</w:t>
      </w:r>
    </w:p>
    <w:p w14:paraId="2D1E8276" w14:textId="77777777" w:rsidR="0084792A" w:rsidRDefault="0084792A" w:rsidP="0084792A">
      <w:pPr>
        <w:jc w:val="both"/>
        <w:rPr>
          <w:rFonts w:ascii="Arial" w:hAnsi="Arial" w:cs="Arial"/>
          <w:spacing w:val="-4"/>
          <w:lang w:val="en-IN" w:eastAsia="en-GB"/>
        </w:rPr>
      </w:pPr>
    </w:p>
    <w:p w14:paraId="067FAB8F"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This piece provides a guide to the rules and how these rules affect your business.</w:t>
      </w:r>
    </w:p>
    <w:p w14:paraId="6AE53363" w14:textId="77777777" w:rsidR="0084792A" w:rsidRDefault="0084792A" w:rsidP="0084792A">
      <w:pPr>
        <w:jc w:val="both"/>
        <w:rPr>
          <w:rFonts w:ascii="Arial" w:hAnsi="Arial" w:cs="Arial"/>
          <w:b/>
          <w:bCs/>
          <w:spacing w:val="-4"/>
          <w:lang w:val="en-IN" w:eastAsia="en-GB"/>
        </w:rPr>
      </w:pPr>
    </w:p>
    <w:p w14:paraId="75F13DC5" w14:textId="77777777" w:rsidR="0084792A" w:rsidRPr="00755B41" w:rsidRDefault="0084792A" w:rsidP="0084792A">
      <w:pPr>
        <w:jc w:val="both"/>
        <w:rPr>
          <w:rFonts w:ascii="Arial" w:hAnsi="Arial" w:cs="Arial"/>
          <w:b/>
          <w:bCs/>
          <w:spacing w:val="-4"/>
          <w:lang w:val="en-IN" w:eastAsia="en-GB"/>
        </w:rPr>
      </w:pPr>
    </w:p>
    <w:p w14:paraId="42DBA27B" w14:textId="77777777" w:rsidR="0084792A" w:rsidRPr="00755B41" w:rsidRDefault="0084792A" w:rsidP="0084792A">
      <w:pPr>
        <w:pStyle w:val="Casehead2"/>
        <w:rPr>
          <w:lang w:val="en-IN" w:eastAsia="en-GB"/>
        </w:rPr>
      </w:pPr>
      <w:r w:rsidRPr="00755B41">
        <w:rPr>
          <w:lang w:val="en-IN" w:eastAsia="en-GB"/>
        </w:rPr>
        <w:t>Who are these rules applicable for?</w:t>
      </w:r>
    </w:p>
    <w:p w14:paraId="7EF52285" w14:textId="77777777" w:rsidR="0084792A" w:rsidRPr="00755B41" w:rsidRDefault="0084792A" w:rsidP="0084792A">
      <w:pPr>
        <w:jc w:val="both"/>
        <w:rPr>
          <w:rFonts w:ascii="Arial" w:hAnsi="Arial" w:cs="Arial"/>
          <w:spacing w:val="-4"/>
          <w:lang w:val="en-IN" w:eastAsia="en-GB"/>
        </w:rPr>
      </w:pPr>
    </w:p>
    <w:p w14:paraId="1D3A405B"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 xml:space="preserve">The mandatory CSR clause is applicable to companies with net worth of Rs 500 crores or more; or annual turnover of </w:t>
      </w:r>
      <w:r w:rsidRPr="00680767">
        <w:rPr>
          <w:rFonts w:eastAsia="Calibri"/>
          <w:bCs/>
          <w:sz w:val="22"/>
          <w:szCs w:val="22"/>
          <w:u w:color="000000"/>
          <w:lang w:val="en-GB" w:eastAsia="en-GB"/>
        </w:rPr>
        <w:t>₹</w:t>
      </w:r>
      <w:r w:rsidRPr="00755B41">
        <w:rPr>
          <w:rFonts w:ascii="Arial" w:hAnsi="Arial" w:cs="Arial"/>
          <w:spacing w:val="-4"/>
          <w:lang w:val="en-IN" w:eastAsia="en-GB"/>
        </w:rPr>
        <w:t>1000 crores or more; or</w:t>
      </w:r>
      <w:r>
        <w:rPr>
          <w:rFonts w:ascii="Arial" w:hAnsi="Arial" w:cs="Arial"/>
          <w:spacing w:val="-4"/>
          <w:lang w:val="en-IN" w:eastAsia="en-GB"/>
        </w:rPr>
        <w:t xml:space="preserve"> </w:t>
      </w:r>
      <w:r w:rsidRPr="00755B41">
        <w:rPr>
          <w:rFonts w:ascii="Arial" w:hAnsi="Arial" w:cs="Arial"/>
          <w:spacing w:val="-4"/>
          <w:lang w:val="en-IN" w:eastAsia="en-GB"/>
        </w:rPr>
        <w:t xml:space="preserve">annual net profit of </w:t>
      </w:r>
      <w:r w:rsidRPr="00680767">
        <w:rPr>
          <w:rFonts w:eastAsia="Calibri"/>
          <w:bCs/>
          <w:sz w:val="22"/>
          <w:szCs w:val="22"/>
          <w:u w:color="000000"/>
          <w:lang w:val="en-GB" w:eastAsia="en-GB"/>
        </w:rPr>
        <w:t>₹</w:t>
      </w:r>
      <w:r w:rsidRPr="00755B41">
        <w:rPr>
          <w:rFonts w:ascii="Arial" w:hAnsi="Arial" w:cs="Arial"/>
          <w:spacing w:val="-4"/>
          <w:lang w:val="en-IN" w:eastAsia="en-GB"/>
        </w:rPr>
        <w:t xml:space="preserve">5 crores or more. </w:t>
      </w:r>
    </w:p>
    <w:p w14:paraId="5EC3963C" w14:textId="77777777" w:rsidR="0084792A" w:rsidRDefault="0084792A" w:rsidP="0084792A">
      <w:pPr>
        <w:jc w:val="both"/>
        <w:rPr>
          <w:rFonts w:ascii="Arial" w:hAnsi="Arial" w:cs="Arial"/>
          <w:spacing w:val="-4"/>
          <w:lang w:val="en-IN" w:eastAsia="en-GB"/>
        </w:rPr>
      </w:pPr>
    </w:p>
    <w:p w14:paraId="106757F6" w14:textId="77777777" w:rsidR="0084792A" w:rsidRPr="00755B41" w:rsidRDefault="0084792A" w:rsidP="0084792A">
      <w:pPr>
        <w:jc w:val="both"/>
        <w:rPr>
          <w:rFonts w:ascii="Arial" w:hAnsi="Arial" w:cs="Arial"/>
          <w:spacing w:val="-4"/>
          <w:lang w:val="en-IN" w:eastAsia="en-GB"/>
        </w:rPr>
      </w:pPr>
    </w:p>
    <w:p w14:paraId="67A63BE0" w14:textId="77777777" w:rsidR="0084792A" w:rsidRPr="00755B41" w:rsidRDefault="0084792A" w:rsidP="0084792A">
      <w:pPr>
        <w:pStyle w:val="Casehead2"/>
        <w:rPr>
          <w:lang w:val="en-IN" w:eastAsia="en-GB"/>
        </w:rPr>
      </w:pPr>
      <w:r w:rsidRPr="00755B41">
        <w:rPr>
          <w:lang w:val="en-IN" w:eastAsia="en-GB"/>
        </w:rPr>
        <w:t>How is net profit calculated?</w:t>
      </w:r>
    </w:p>
    <w:p w14:paraId="6F53F376" w14:textId="77777777" w:rsidR="0084792A" w:rsidRPr="00755B41" w:rsidRDefault="0084792A" w:rsidP="0084792A">
      <w:pPr>
        <w:jc w:val="both"/>
        <w:rPr>
          <w:rFonts w:ascii="Arial" w:hAnsi="Arial" w:cs="Arial"/>
          <w:spacing w:val="-4"/>
          <w:lang w:val="en-IN" w:eastAsia="en-GB"/>
        </w:rPr>
      </w:pPr>
    </w:p>
    <w:p w14:paraId="02AFF613"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1. Net profit before</w:t>
      </w:r>
      <w:r>
        <w:rPr>
          <w:rFonts w:ascii="Arial" w:hAnsi="Arial" w:cs="Arial"/>
          <w:spacing w:val="-4"/>
          <w:lang w:val="en-IN" w:eastAsia="en-GB"/>
        </w:rPr>
        <w:t xml:space="preserve"> </w:t>
      </w:r>
      <w:r w:rsidRPr="00755B41">
        <w:rPr>
          <w:rFonts w:ascii="Arial" w:hAnsi="Arial" w:cs="Arial"/>
          <w:spacing w:val="-4"/>
          <w:lang w:val="en-IN" w:eastAsia="en-GB"/>
        </w:rPr>
        <w:t>tax, not including profits arising from branches outside India.</w:t>
      </w:r>
    </w:p>
    <w:p w14:paraId="337FE249"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 xml:space="preserve">2. The two per cent CSR spending needs to be computed as two per cent of the average net profits made by the company during every block of three years. For the purpose of the first CSR reporting, the net profit should be calculated as average of the annual net profit of the preceding three financial years ending on or before March </w:t>
      </w:r>
      <w:r>
        <w:rPr>
          <w:rFonts w:ascii="Arial" w:hAnsi="Arial" w:cs="Arial"/>
          <w:spacing w:val="-4"/>
          <w:lang w:val="en-IN" w:eastAsia="en-GB"/>
        </w:rPr>
        <w:t xml:space="preserve">31, </w:t>
      </w:r>
      <w:r w:rsidRPr="00755B41">
        <w:rPr>
          <w:rFonts w:ascii="Arial" w:hAnsi="Arial" w:cs="Arial"/>
          <w:spacing w:val="-4"/>
          <w:lang w:val="en-IN" w:eastAsia="en-GB"/>
        </w:rPr>
        <w:t>2014.</w:t>
      </w:r>
    </w:p>
    <w:p w14:paraId="4C18EAE1" w14:textId="77777777" w:rsidR="0084792A" w:rsidRDefault="0084792A" w:rsidP="0084792A">
      <w:pPr>
        <w:jc w:val="both"/>
        <w:rPr>
          <w:rFonts w:ascii="Arial" w:hAnsi="Arial" w:cs="Arial"/>
          <w:spacing w:val="-4"/>
          <w:lang w:val="en-IN" w:eastAsia="en-GB"/>
        </w:rPr>
      </w:pPr>
    </w:p>
    <w:p w14:paraId="72F79AD8" w14:textId="77777777" w:rsidR="0084792A" w:rsidRPr="00755B41" w:rsidRDefault="0084792A" w:rsidP="0084792A">
      <w:pPr>
        <w:jc w:val="both"/>
        <w:rPr>
          <w:rFonts w:ascii="Arial" w:hAnsi="Arial" w:cs="Arial"/>
          <w:spacing w:val="-4"/>
          <w:lang w:val="en-IN" w:eastAsia="en-GB"/>
        </w:rPr>
      </w:pPr>
    </w:p>
    <w:p w14:paraId="1FFC39E5" w14:textId="77777777" w:rsidR="0084792A" w:rsidRPr="00755B41" w:rsidRDefault="0084792A" w:rsidP="0084792A">
      <w:pPr>
        <w:pStyle w:val="Casehead2"/>
        <w:rPr>
          <w:lang w:val="en-IN" w:eastAsia="en-GB"/>
        </w:rPr>
      </w:pPr>
      <w:r w:rsidRPr="00755B41">
        <w:rPr>
          <w:lang w:val="en-IN" w:eastAsia="en-GB"/>
        </w:rPr>
        <w:t>2</w:t>
      </w:r>
      <w:r>
        <w:rPr>
          <w:lang w:val="en-IN" w:eastAsia="en-GB"/>
        </w:rPr>
        <w:t xml:space="preserve"> Per Cent</w:t>
      </w:r>
      <w:r w:rsidRPr="00755B41">
        <w:rPr>
          <w:lang w:val="en-IN" w:eastAsia="en-GB"/>
        </w:rPr>
        <w:t xml:space="preserve"> CSR Expenditure</w:t>
      </w:r>
      <w:r>
        <w:rPr>
          <w:lang w:val="en-IN" w:eastAsia="en-GB"/>
        </w:rPr>
        <w:t>—</w:t>
      </w:r>
      <w:r w:rsidRPr="00755B41">
        <w:rPr>
          <w:lang w:val="en-IN" w:eastAsia="en-GB"/>
        </w:rPr>
        <w:t>What does it include? </w:t>
      </w:r>
    </w:p>
    <w:p w14:paraId="2A45CF8C" w14:textId="77777777" w:rsidR="0084792A" w:rsidRPr="00755B41" w:rsidRDefault="0084792A" w:rsidP="0084792A">
      <w:pPr>
        <w:jc w:val="both"/>
        <w:rPr>
          <w:rFonts w:ascii="Arial" w:hAnsi="Arial" w:cs="Arial"/>
          <w:spacing w:val="-4"/>
          <w:lang w:val="en-IN" w:eastAsia="en-GB"/>
        </w:rPr>
      </w:pPr>
    </w:p>
    <w:p w14:paraId="53380107"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1. CSR expenditure has to be in line with the amended Schedule VII of the Companies Act 2013. While the company can conduct CSR activities across a range of areas that it may deem suitable, however, only investments in areas specified in Schedule VII will be considered as eligible CSR expenditure. Therefore, companies will have to draw up the policy and action plan to ensure that they spend the required 2 per cent amount on the activities included in Schedule VII.</w:t>
      </w:r>
    </w:p>
    <w:p w14:paraId="268C5B36"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2. CSR expenditure should exclude expenditure on activities undertaken in pursuance of normal course of business of a company. </w:t>
      </w:r>
    </w:p>
    <w:p w14:paraId="7193EF25"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3. Foreign companies have to contribute to CSR based on the profits of their Indian business operations.</w:t>
      </w:r>
    </w:p>
    <w:p w14:paraId="1A9BD4DF"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4. Companies belonging to the same group can set up a trust or not-for-profit company to undertake CSR. Companies can also join hands with other companies to undertake CSR projects jointly. This would allow groups and companies operating in an area to come together and undertake projects of a larger scale.</w:t>
      </w:r>
    </w:p>
    <w:p w14:paraId="67423E22" w14:textId="77777777" w:rsidR="0084792A" w:rsidRDefault="0084792A" w:rsidP="0084792A">
      <w:pPr>
        <w:jc w:val="both"/>
        <w:rPr>
          <w:rFonts w:ascii="Arial" w:hAnsi="Arial" w:cs="Arial"/>
          <w:spacing w:val="-4"/>
          <w:lang w:val="en-IN" w:eastAsia="en-GB"/>
        </w:rPr>
      </w:pPr>
    </w:p>
    <w:p w14:paraId="7356975C" w14:textId="77777777" w:rsidR="0084792A" w:rsidRPr="00755B41" w:rsidRDefault="0084792A" w:rsidP="0084792A">
      <w:pPr>
        <w:jc w:val="both"/>
        <w:rPr>
          <w:rFonts w:ascii="Arial" w:hAnsi="Arial" w:cs="Arial"/>
          <w:spacing w:val="-4"/>
          <w:lang w:val="en-IN" w:eastAsia="en-GB"/>
        </w:rPr>
      </w:pPr>
    </w:p>
    <w:p w14:paraId="5BF98BAC" w14:textId="77777777" w:rsidR="0084792A" w:rsidRDefault="0084792A" w:rsidP="0084792A">
      <w:pPr>
        <w:pStyle w:val="Casehead2"/>
        <w:rPr>
          <w:lang w:val="en-IN" w:eastAsia="en-GB"/>
        </w:rPr>
      </w:pPr>
      <w:r w:rsidRPr="00755B41">
        <w:rPr>
          <w:lang w:val="en-IN" w:eastAsia="en-GB"/>
        </w:rPr>
        <w:t>10 areas where the CSR Budget can be spent</w:t>
      </w:r>
    </w:p>
    <w:p w14:paraId="0F702B04" w14:textId="77777777" w:rsidR="0084792A" w:rsidRPr="00755B41" w:rsidRDefault="0084792A" w:rsidP="0084792A">
      <w:pPr>
        <w:jc w:val="both"/>
        <w:rPr>
          <w:rFonts w:ascii="Arial" w:hAnsi="Arial" w:cs="Arial"/>
          <w:spacing w:val="-4"/>
          <w:lang w:val="en-IN" w:eastAsia="en-GB"/>
        </w:rPr>
      </w:pPr>
    </w:p>
    <w:p w14:paraId="5D2EF0A6"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i)</w:t>
      </w:r>
      <w:r>
        <w:rPr>
          <w:rFonts w:ascii="Arial" w:hAnsi="Arial" w:cs="Arial"/>
          <w:spacing w:val="-4"/>
          <w:lang w:val="en-IN" w:eastAsia="en-GB"/>
        </w:rPr>
        <w:t xml:space="preserve"> </w:t>
      </w:r>
      <w:r w:rsidRPr="00755B41">
        <w:rPr>
          <w:rFonts w:ascii="Arial" w:hAnsi="Arial" w:cs="Arial"/>
          <w:b/>
          <w:bCs/>
          <w:spacing w:val="-4"/>
          <w:lang w:val="en-IN" w:eastAsia="en-GB"/>
        </w:rPr>
        <w:t>Eradicating hunger, poverty and malnutrition</w:t>
      </w:r>
      <w:r w:rsidRPr="00755B41">
        <w:rPr>
          <w:rFonts w:ascii="Arial" w:hAnsi="Arial" w:cs="Arial"/>
          <w:spacing w:val="-4"/>
          <w:lang w:val="en-IN" w:eastAsia="en-GB"/>
        </w:rPr>
        <w:t>, promoting preventative health care and sanitation and making available safe drinking water;</w:t>
      </w:r>
    </w:p>
    <w:p w14:paraId="6CD2F2FC"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ii)</w:t>
      </w:r>
      <w:r>
        <w:rPr>
          <w:rFonts w:ascii="Arial" w:hAnsi="Arial" w:cs="Arial"/>
          <w:spacing w:val="-4"/>
          <w:lang w:val="en-IN" w:eastAsia="en-GB"/>
        </w:rPr>
        <w:t xml:space="preserve"> </w:t>
      </w:r>
      <w:r w:rsidRPr="00755B41">
        <w:rPr>
          <w:rFonts w:ascii="Arial" w:hAnsi="Arial" w:cs="Arial"/>
          <w:b/>
          <w:bCs/>
          <w:spacing w:val="-4"/>
          <w:lang w:val="en-IN" w:eastAsia="en-GB"/>
        </w:rPr>
        <w:t>Promoting education</w:t>
      </w:r>
      <w:r w:rsidRPr="00755B41">
        <w:rPr>
          <w:rFonts w:ascii="Arial" w:hAnsi="Arial" w:cs="Arial"/>
          <w:spacing w:val="-4"/>
          <w:lang w:val="en-IN" w:eastAsia="en-GB"/>
        </w:rPr>
        <w:t> including special education and employment enhancing vocation skills especially among children, women, elderly, and the differently abled and livelihood enhancement projects.</w:t>
      </w:r>
    </w:p>
    <w:p w14:paraId="73C08FDA"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iii)</w:t>
      </w:r>
      <w:r>
        <w:rPr>
          <w:rFonts w:ascii="Arial" w:hAnsi="Arial" w:cs="Arial"/>
          <w:spacing w:val="-4"/>
          <w:lang w:val="en-IN" w:eastAsia="en-GB"/>
        </w:rPr>
        <w:t xml:space="preserve"> </w:t>
      </w:r>
      <w:r w:rsidRPr="00755B41">
        <w:rPr>
          <w:rFonts w:ascii="Arial" w:hAnsi="Arial" w:cs="Arial"/>
          <w:b/>
          <w:bCs/>
          <w:spacing w:val="-4"/>
          <w:lang w:val="en-IN" w:eastAsia="en-GB"/>
        </w:rPr>
        <w:t>Promoting gender equality</w:t>
      </w:r>
      <w:r w:rsidRPr="00755B41">
        <w:rPr>
          <w:rFonts w:ascii="Arial" w:hAnsi="Arial" w:cs="Arial"/>
          <w:spacing w:val="-4"/>
          <w:lang w:val="en-IN" w:eastAsia="en-GB"/>
        </w:rPr>
        <w:t>, empowering women, setting up homes and hostels for women and orphans; setting up old age homes, day-care centres and other such facilities for senior citizens and measures for reducing inequalities faced by socially and economically backward groups;</w:t>
      </w:r>
    </w:p>
    <w:p w14:paraId="3D5B8406"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iv)</w:t>
      </w:r>
      <w:r>
        <w:rPr>
          <w:rFonts w:ascii="Arial" w:hAnsi="Arial" w:cs="Arial"/>
          <w:spacing w:val="-4"/>
          <w:lang w:val="en-IN" w:eastAsia="en-GB"/>
        </w:rPr>
        <w:t xml:space="preserve"> </w:t>
      </w:r>
      <w:r w:rsidRPr="00755B41">
        <w:rPr>
          <w:rFonts w:ascii="Arial" w:hAnsi="Arial" w:cs="Arial"/>
          <w:b/>
          <w:bCs/>
          <w:spacing w:val="-4"/>
          <w:lang w:val="en-IN" w:eastAsia="en-GB"/>
        </w:rPr>
        <w:t>Ensuring environmental sustainability</w:t>
      </w:r>
      <w:r w:rsidRPr="00755B41">
        <w:rPr>
          <w:rFonts w:ascii="Arial" w:hAnsi="Arial" w:cs="Arial"/>
          <w:spacing w:val="-4"/>
          <w:lang w:val="en-IN" w:eastAsia="en-GB"/>
        </w:rPr>
        <w:t>, ecological balance, protections of flora and fauna, animal welfare, agroforestry, conversation of natural resources and maintaining quality of soil, air and water;</w:t>
      </w:r>
    </w:p>
    <w:p w14:paraId="7AE4AE52" w14:textId="2977E393" w:rsidR="0084792A" w:rsidRDefault="0084792A" w:rsidP="0084792A">
      <w:pPr>
        <w:jc w:val="both"/>
        <w:rPr>
          <w:rFonts w:ascii="Arial" w:hAnsi="Arial" w:cs="Arial"/>
          <w:spacing w:val="-4"/>
          <w:lang w:val="en-IN" w:eastAsia="en-GB"/>
        </w:rPr>
      </w:pPr>
      <w:r w:rsidRPr="00755B41">
        <w:rPr>
          <w:rFonts w:ascii="Arial" w:hAnsi="Arial" w:cs="Arial"/>
          <w:spacing w:val="-4"/>
          <w:lang w:val="en-IN" w:eastAsia="en-GB"/>
        </w:rPr>
        <w:t>v)</w:t>
      </w:r>
      <w:r>
        <w:rPr>
          <w:rFonts w:ascii="Arial" w:hAnsi="Arial" w:cs="Arial"/>
          <w:spacing w:val="-4"/>
          <w:lang w:val="en-IN" w:eastAsia="en-GB"/>
        </w:rPr>
        <w:t xml:space="preserve"> </w:t>
      </w:r>
      <w:r w:rsidRPr="00755B41">
        <w:rPr>
          <w:rFonts w:ascii="Arial" w:hAnsi="Arial" w:cs="Arial"/>
          <w:b/>
          <w:bCs/>
          <w:spacing w:val="-4"/>
          <w:lang w:val="en-IN" w:eastAsia="en-GB"/>
        </w:rPr>
        <w:t>Protection of national heritage, art and culture</w:t>
      </w:r>
      <w:r w:rsidRPr="00755B41">
        <w:rPr>
          <w:rFonts w:ascii="Arial" w:hAnsi="Arial" w:cs="Arial"/>
          <w:spacing w:val="-4"/>
          <w:lang w:val="en-IN" w:eastAsia="en-GB"/>
        </w:rPr>
        <w:t> including restoration of buildings and sites of historical importance and works of art; setting up public libraries; promotion and development of traditional arts and handicrafts.</w:t>
      </w:r>
    </w:p>
    <w:p w14:paraId="776244D5" w14:textId="540B99F0" w:rsidR="0084792A" w:rsidRDefault="0084792A" w:rsidP="0084792A">
      <w:pPr>
        <w:pStyle w:val="ExhibitHeading"/>
        <w:rPr>
          <w:lang w:val="en-IN" w:eastAsia="en-GB"/>
        </w:rPr>
      </w:pPr>
      <w:r>
        <w:rPr>
          <w:lang w:val="en-IN" w:eastAsia="en-GB"/>
        </w:rPr>
        <w:lastRenderedPageBreak/>
        <w:t>Exhibit 7 (Continued)</w:t>
      </w:r>
    </w:p>
    <w:p w14:paraId="283679F3" w14:textId="77777777" w:rsidR="0084792A" w:rsidRPr="00755B41" w:rsidRDefault="0084792A" w:rsidP="0084792A">
      <w:pPr>
        <w:jc w:val="both"/>
        <w:rPr>
          <w:rFonts w:ascii="Arial" w:hAnsi="Arial" w:cs="Arial"/>
          <w:spacing w:val="-4"/>
          <w:lang w:val="en-IN" w:eastAsia="en-GB"/>
        </w:rPr>
      </w:pPr>
    </w:p>
    <w:p w14:paraId="32007F51"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vi)</w:t>
      </w:r>
      <w:r>
        <w:rPr>
          <w:rFonts w:ascii="Arial" w:hAnsi="Arial" w:cs="Arial"/>
          <w:spacing w:val="-4"/>
          <w:lang w:val="en-IN" w:eastAsia="en-GB"/>
        </w:rPr>
        <w:t xml:space="preserve"> </w:t>
      </w:r>
      <w:r w:rsidRPr="00755B41">
        <w:rPr>
          <w:rFonts w:ascii="Arial" w:hAnsi="Arial" w:cs="Arial"/>
          <w:b/>
          <w:bCs/>
          <w:spacing w:val="-4"/>
          <w:lang w:val="en-IN" w:eastAsia="en-GB"/>
        </w:rPr>
        <w:t>Measures for the benefit of armed forces veterans,</w:t>
      </w:r>
      <w:r w:rsidRPr="00755B41">
        <w:rPr>
          <w:rFonts w:ascii="Arial" w:hAnsi="Arial" w:cs="Arial"/>
          <w:spacing w:val="-4"/>
          <w:lang w:val="en-IN" w:eastAsia="en-GB"/>
        </w:rPr>
        <w:t> war widows and their dependents.</w:t>
      </w:r>
    </w:p>
    <w:p w14:paraId="58212642"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vii)</w:t>
      </w:r>
      <w:r>
        <w:rPr>
          <w:rFonts w:ascii="Arial" w:hAnsi="Arial" w:cs="Arial"/>
          <w:spacing w:val="-4"/>
          <w:lang w:val="en-IN" w:eastAsia="en-GB"/>
        </w:rPr>
        <w:t xml:space="preserve"> </w:t>
      </w:r>
      <w:r w:rsidRPr="00755B41">
        <w:rPr>
          <w:rFonts w:ascii="Arial" w:hAnsi="Arial" w:cs="Arial"/>
          <w:b/>
          <w:bCs/>
          <w:spacing w:val="-4"/>
          <w:lang w:val="en-IN" w:eastAsia="en-GB"/>
        </w:rPr>
        <w:t>Training to promote rural sports</w:t>
      </w:r>
      <w:r w:rsidRPr="00755B41">
        <w:rPr>
          <w:rFonts w:ascii="Arial" w:hAnsi="Arial" w:cs="Arial"/>
          <w:spacing w:val="-4"/>
          <w:lang w:val="en-IN" w:eastAsia="en-GB"/>
        </w:rPr>
        <w:t>, regionally recognised sports, Paralympics sports.</w:t>
      </w:r>
    </w:p>
    <w:p w14:paraId="0AC59808"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viii)</w:t>
      </w:r>
      <w:r>
        <w:rPr>
          <w:rFonts w:ascii="Arial" w:hAnsi="Arial" w:cs="Arial"/>
          <w:spacing w:val="-4"/>
          <w:lang w:val="en-IN" w:eastAsia="en-GB"/>
        </w:rPr>
        <w:t xml:space="preserve"> </w:t>
      </w:r>
      <w:r w:rsidRPr="00755B41">
        <w:rPr>
          <w:rFonts w:ascii="Arial" w:hAnsi="Arial" w:cs="Arial"/>
          <w:b/>
          <w:bCs/>
          <w:spacing w:val="-4"/>
          <w:lang w:val="en-IN" w:eastAsia="en-GB"/>
        </w:rPr>
        <w:t>Contribution to the Prime Minister’s National Relief Fund</w:t>
      </w:r>
      <w:r w:rsidRPr="00755B41">
        <w:rPr>
          <w:rFonts w:ascii="Arial" w:hAnsi="Arial" w:cs="Arial"/>
          <w:spacing w:val="-4"/>
          <w:lang w:val="en-IN" w:eastAsia="en-GB"/>
        </w:rPr>
        <w:t> or any other fund set up by the Central Government for socio-economic development and relief and welfare of the Scheduled Castes, the Scheduled Tribes, other backward classes, minorities and women;</w:t>
      </w:r>
    </w:p>
    <w:p w14:paraId="59662D84"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ix)</w:t>
      </w:r>
      <w:r>
        <w:rPr>
          <w:rFonts w:ascii="Arial" w:hAnsi="Arial" w:cs="Arial"/>
          <w:spacing w:val="-4"/>
          <w:lang w:val="en-IN" w:eastAsia="en-GB"/>
        </w:rPr>
        <w:t xml:space="preserve"> </w:t>
      </w:r>
      <w:r w:rsidRPr="00755B41">
        <w:rPr>
          <w:rFonts w:ascii="Arial" w:hAnsi="Arial" w:cs="Arial"/>
          <w:b/>
          <w:bCs/>
          <w:spacing w:val="-4"/>
          <w:lang w:val="en-IN" w:eastAsia="en-GB"/>
        </w:rPr>
        <w:t>Contributions or funds provided by technology incubators</w:t>
      </w:r>
      <w:r w:rsidRPr="00755B41">
        <w:rPr>
          <w:rFonts w:ascii="Arial" w:hAnsi="Arial" w:cs="Arial"/>
          <w:spacing w:val="-4"/>
          <w:lang w:val="en-IN" w:eastAsia="en-GB"/>
        </w:rPr>
        <w:t> located within academic institutions which are approved by the Central Government;</w:t>
      </w:r>
    </w:p>
    <w:p w14:paraId="3FED0D26"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x)</w:t>
      </w:r>
      <w:r>
        <w:rPr>
          <w:rFonts w:ascii="Arial" w:hAnsi="Arial" w:cs="Arial"/>
          <w:spacing w:val="-4"/>
          <w:lang w:val="en-IN" w:eastAsia="en-GB"/>
        </w:rPr>
        <w:t xml:space="preserve"> </w:t>
      </w:r>
      <w:r w:rsidRPr="00755B41">
        <w:rPr>
          <w:rFonts w:ascii="Arial" w:hAnsi="Arial" w:cs="Arial"/>
          <w:b/>
          <w:bCs/>
          <w:spacing w:val="-4"/>
          <w:lang w:val="en-IN" w:eastAsia="en-GB"/>
        </w:rPr>
        <w:t>Rural development projects</w:t>
      </w:r>
    </w:p>
    <w:p w14:paraId="041E4FBD" w14:textId="77777777" w:rsidR="0084792A" w:rsidRDefault="0084792A" w:rsidP="0084792A">
      <w:pPr>
        <w:jc w:val="both"/>
        <w:rPr>
          <w:rFonts w:ascii="Arial" w:hAnsi="Arial" w:cs="Arial"/>
          <w:spacing w:val="-4"/>
          <w:lang w:val="en-IN" w:eastAsia="en-GB"/>
        </w:rPr>
      </w:pPr>
    </w:p>
    <w:p w14:paraId="19E5AC7A" w14:textId="77777777" w:rsidR="0084792A" w:rsidRPr="00755B41" w:rsidRDefault="0084792A" w:rsidP="0084792A">
      <w:pPr>
        <w:jc w:val="both"/>
        <w:rPr>
          <w:rFonts w:ascii="Arial" w:hAnsi="Arial" w:cs="Arial"/>
          <w:spacing w:val="-4"/>
          <w:lang w:val="en-IN" w:eastAsia="en-GB"/>
        </w:rPr>
      </w:pPr>
    </w:p>
    <w:p w14:paraId="1B167B3F" w14:textId="77777777" w:rsidR="0084792A" w:rsidRPr="00755B41" w:rsidRDefault="0084792A" w:rsidP="0084792A">
      <w:pPr>
        <w:pStyle w:val="Casehead2"/>
        <w:rPr>
          <w:lang w:val="en-IN" w:eastAsia="en-GB"/>
        </w:rPr>
      </w:pPr>
      <w:r w:rsidRPr="00755B41">
        <w:rPr>
          <w:lang w:val="en-IN" w:eastAsia="en-GB"/>
        </w:rPr>
        <w:t>Directives for Companies</w:t>
      </w:r>
    </w:p>
    <w:p w14:paraId="4882D8D5" w14:textId="77777777" w:rsidR="0084792A" w:rsidRPr="00755B41" w:rsidRDefault="0084792A" w:rsidP="0084792A">
      <w:pPr>
        <w:jc w:val="both"/>
        <w:rPr>
          <w:rFonts w:ascii="Arial" w:hAnsi="Arial" w:cs="Arial"/>
          <w:spacing w:val="-4"/>
          <w:lang w:val="en-IN" w:eastAsia="en-GB"/>
        </w:rPr>
      </w:pPr>
    </w:p>
    <w:p w14:paraId="5EC53F04"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1. Create a ‘</w:t>
      </w:r>
      <w:r w:rsidRPr="00755B41">
        <w:rPr>
          <w:rFonts w:ascii="Arial" w:hAnsi="Arial" w:cs="Arial"/>
          <w:bCs/>
          <w:spacing w:val="-4"/>
          <w:lang w:val="en-IN" w:eastAsia="en-GB"/>
        </w:rPr>
        <w:t>CSR Committee</w:t>
      </w:r>
      <w:r w:rsidRPr="00755B41">
        <w:rPr>
          <w:rFonts w:ascii="Arial" w:hAnsi="Arial" w:cs="Arial"/>
          <w:spacing w:val="-4"/>
          <w:lang w:val="en-IN" w:eastAsia="en-GB"/>
        </w:rPr>
        <w:t>’, made up of three or more Directors, one of whom must be an independent director.</w:t>
      </w:r>
    </w:p>
    <w:p w14:paraId="500F5BE9"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2.</w:t>
      </w:r>
      <w:r>
        <w:rPr>
          <w:rFonts w:ascii="Arial" w:hAnsi="Arial" w:cs="Arial"/>
          <w:spacing w:val="-4"/>
          <w:lang w:val="en-IN" w:eastAsia="en-GB"/>
        </w:rPr>
        <w:t xml:space="preserve"> </w:t>
      </w:r>
      <w:r w:rsidRPr="00755B41">
        <w:rPr>
          <w:rFonts w:ascii="Arial" w:hAnsi="Arial" w:cs="Arial"/>
          <w:bCs/>
          <w:spacing w:val="-4"/>
          <w:lang w:val="en-IN" w:eastAsia="en-GB"/>
        </w:rPr>
        <w:t>Report details of all CSR initiatives</w:t>
      </w:r>
      <w:r w:rsidRPr="00755B41">
        <w:rPr>
          <w:rFonts w:ascii="Arial" w:hAnsi="Arial" w:cs="Arial"/>
          <w:spacing w:val="-4"/>
          <w:lang w:val="en-IN" w:eastAsia="en-GB"/>
        </w:rPr>
        <w:t> undertaken by the company in the Directors’ Report and on the company website at the end of each year.</w:t>
      </w:r>
    </w:p>
    <w:p w14:paraId="7845E337"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3. Create a ‘</w:t>
      </w:r>
      <w:r w:rsidRPr="00755B41">
        <w:rPr>
          <w:rFonts w:ascii="Arial" w:hAnsi="Arial" w:cs="Arial"/>
          <w:bCs/>
          <w:spacing w:val="-4"/>
          <w:lang w:val="en-IN" w:eastAsia="en-GB"/>
        </w:rPr>
        <w:t>Corporate Social Responsibility Policy</w:t>
      </w:r>
      <w:r w:rsidRPr="00755B41">
        <w:rPr>
          <w:rFonts w:ascii="Arial" w:hAnsi="Arial" w:cs="Arial"/>
          <w:spacing w:val="-4"/>
          <w:lang w:val="en-IN" w:eastAsia="en-GB"/>
        </w:rPr>
        <w:t>’ that details which activities will be undertaken by the company, and what budget will be spent on them. This should be published on the company’s website.</w:t>
      </w:r>
    </w:p>
    <w:p w14:paraId="2C2AB290"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 </w:t>
      </w:r>
    </w:p>
    <w:p w14:paraId="7D110245" w14:textId="77777777" w:rsidR="0084792A" w:rsidRPr="00755B41" w:rsidRDefault="0084792A" w:rsidP="0084792A">
      <w:pPr>
        <w:jc w:val="both"/>
        <w:rPr>
          <w:rFonts w:ascii="Arial" w:hAnsi="Arial" w:cs="Arial"/>
          <w:spacing w:val="-4"/>
          <w:lang w:val="en-IN" w:eastAsia="en-GB"/>
        </w:rPr>
      </w:pPr>
      <w:r w:rsidRPr="00755B41">
        <w:rPr>
          <w:rFonts w:ascii="Arial" w:hAnsi="Arial" w:cs="Arial"/>
          <w:spacing w:val="-4"/>
          <w:lang w:val="en-IN" w:eastAsia="en-GB"/>
        </w:rPr>
        <w:t>The rules have brought clarity to the apprehensions which the companies have had with regards to CSR expenditure. The range of themes is likely to promote national causes. It will now be up to companies to expand their range of activities.</w:t>
      </w:r>
    </w:p>
    <w:p w14:paraId="1091079B" w14:textId="77777777" w:rsidR="0084792A" w:rsidRPr="00755B41" w:rsidRDefault="0084792A" w:rsidP="0084792A">
      <w:pPr>
        <w:jc w:val="both"/>
        <w:rPr>
          <w:rFonts w:ascii="Arial" w:hAnsi="Arial" w:cs="Arial"/>
          <w:spacing w:val="-4"/>
          <w:lang w:val="en-IN" w:eastAsia="en-GB"/>
        </w:rPr>
      </w:pPr>
    </w:p>
    <w:p w14:paraId="26DD8693" w14:textId="77777777" w:rsidR="0084792A" w:rsidRPr="00680767" w:rsidRDefault="0084792A" w:rsidP="0084792A">
      <w:pPr>
        <w:jc w:val="both"/>
        <w:rPr>
          <w:rFonts w:ascii="Arial" w:hAnsi="Arial" w:cs="Arial"/>
          <w:sz w:val="17"/>
          <w:szCs w:val="17"/>
          <w:lang w:val="en-GB" w:eastAsia="en-GB"/>
        </w:rPr>
      </w:pPr>
      <w:r>
        <w:rPr>
          <w:rFonts w:ascii="Arial" w:hAnsi="Arial" w:cs="Arial"/>
          <w:sz w:val="17"/>
          <w:szCs w:val="17"/>
          <w:lang w:val="en-GB" w:eastAsia="en-GB"/>
        </w:rPr>
        <w:t>Note: 1 crore = ten million.</w:t>
      </w:r>
    </w:p>
    <w:p w14:paraId="1B8070E6" w14:textId="77777777" w:rsidR="0084792A" w:rsidRPr="00680767" w:rsidRDefault="0084792A" w:rsidP="0084792A">
      <w:pPr>
        <w:pStyle w:val="Footnote"/>
        <w:rPr>
          <w:lang w:val="en-GB" w:eastAsia="en-GB"/>
        </w:rPr>
      </w:pPr>
      <w:r w:rsidRPr="00680767">
        <w:rPr>
          <w:lang w:val="en-GB" w:eastAsia="en-GB"/>
        </w:rPr>
        <w:t>Source:</w:t>
      </w:r>
      <w:r>
        <w:rPr>
          <w:lang w:val="en-GB" w:eastAsia="en-GB"/>
        </w:rPr>
        <w:t xml:space="preserve"> </w:t>
      </w:r>
      <w:r w:rsidRPr="0006186A">
        <w:rPr>
          <w:lang w:val="en-GB" w:eastAsia="en-GB"/>
        </w:rPr>
        <w:t>Namrata Rana</w:t>
      </w:r>
      <w:r>
        <w:rPr>
          <w:lang w:val="en-GB" w:eastAsia="en-GB"/>
        </w:rPr>
        <w:t xml:space="preserve"> and Utkarsh Majmudar,</w:t>
      </w:r>
      <w:r w:rsidRPr="0006186A">
        <w:rPr>
          <w:i/>
          <w:iCs/>
          <w:lang w:val="en-GB" w:eastAsia="en-GB"/>
        </w:rPr>
        <w:t xml:space="preserve"> Balance: Responsible Business for the Digital Age</w:t>
      </w:r>
      <w:r>
        <w:rPr>
          <w:lang w:val="en-GB" w:eastAsia="en-GB"/>
        </w:rPr>
        <w:t xml:space="preserve"> (Chennai, India: Westland, 2018); </w:t>
      </w:r>
      <w:r>
        <w:t>Ministry of Corporate Affairs, “</w:t>
      </w:r>
      <w:r w:rsidRPr="00993AA3">
        <w:t>The Companies Act, 2013,</w:t>
      </w:r>
      <w:r>
        <w:t xml:space="preserve">” accessed November 11, 2020, </w:t>
      </w:r>
      <w:r w:rsidRPr="00F02374">
        <w:t>http://ebook.mca.gov.in/default.aspx</w:t>
      </w:r>
      <w:r>
        <w:t xml:space="preserve">; Ministry of Corporate Affairs, “CSR Activities,” accessed November 11, 2020, </w:t>
      </w:r>
      <w:r w:rsidRPr="00993AA3">
        <w:t>http://ebook.mca.gov.in/Childwindow1.aspx?pageid=21462&amp;type=RU&amp;ChildTitle=The%20Companies%20(Corporate%20Social%20Responsibility%20Policy)%20Rules,%202014</w:t>
      </w:r>
      <w:r>
        <w:t>.</w:t>
      </w:r>
    </w:p>
    <w:p w14:paraId="44AB16F5" w14:textId="77777777" w:rsidR="003735F5" w:rsidRDefault="003735F5" w:rsidP="00671123">
      <w:pPr>
        <w:pStyle w:val="Footnote"/>
        <w:rPr>
          <w:lang w:val="en-GB"/>
        </w:rPr>
      </w:pPr>
    </w:p>
    <w:p w14:paraId="729C9B81" w14:textId="77777777" w:rsidR="003735F5" w:rsidRPr="0094342C" w:rsidRDefault="003735F5" w:rsidP="00671123">
      <w:pPr>
        <w:pStyle w:val="Footnote"/>
        <w:rPr>
          <w:lang w:val="en-GB"/>
        </w:rPr>
      </w:pPr>
    </w:p>
    <w:p w14:paraId="7D069048" w14:textId="77777777" w:rsidR="003735F5" w:rsidRDefault="003735F5">
      <w:pPr>
        <w:spacing w:after="200" w:line="276" w:lineRule="auto"/>
        <w:rPr>
          <w:rFonts w:ascii="Arial" w:hAnsi="Arial" w:cs="Arial"/>
          <w:b/>
          <w:caps/>
          <w:lang w:val="en-GB"/>
        </w:rPr>
      </w:pPr>
      <w:r>
        <w:rPr>
          <w:lang w:val="en-GB"/>
        </w:rPr>
        <w:br w:type="page"/>
      </w:r>
    </w:p>
    <w:p w14:paraId="7FDA1410" w14:textId="6110FCB1" w:rsidR="003735F5" w:rsidRPr="00F703D6" w:rsidRDefault="003735F5" w:rsidP="003735F5">
      <w:pPr>
        <w:pStyle w:val="ExhibitHeading"/>
        <w:rPr>
          <w:lang w:val="en-GB"/>
        </w:rPr>
      </w:pPr>
      <w:r w:rsidRPr="00F703D6">
        <w:rPr>
          <w:lang w:val="en-GB"/>
        </w:rPr>
        <w:lastRenderedPageBreak/>
        <w:t xml:space="preserve">EXHIBIT </w:t>
      </w:r>
      <w:r>
        <w:rPr>
          <w:lang w:val="en-GB"/>
        </w:rPr>
        <w:t>8: Swot Analysis f</w:t>
      </w:r>
      <w:r w:rsidRPr="002C6C50">
        <w:rPr>
          <w:lang w:val="en-GB"/>
        </w:rPr>
        <w:t xml:space="preserve">or </w:t>
      </w:r>
      <w:r>
        <w:rPr>
          <w:lang w:val="en-GB"/>
        </w:rPr>
        <w:t>Nestl</w:t>
      </w:r>
      <w:r w:rsidR="00A74A1D">
        <w:rPr>
          <w:lang w:val="en-GB"/>
        </w:rPr>
        <w:t>É</w:t>
      </w:r>
      <w:r>
        <w:rPr>
          <w:lang w:val="en-GB"/>
        </w:rPr>
        <w:t xml:space="preserve"> India </w:t>
      </w:r>
    </w:p>
    <w:p w14:paraId="6C409808" w14:textId="77777777" w:rsidR="003735F5" w:rsidRDefault="003735F5" w:rsidP="003735F5">
      <w:pPr>
        <w:pStyle w:val="BodyA"/>
        <w:rPr>
          <w:rFonts w:ascii="Times New Roman" w:hAnsi="Times New Roman" w:cs="Times New Roman"/>
          <w:lang w:val="en-GB"/>
        </w:rPr>
      </w:pPr>
    </w:p>
    <w:tbl>
      <w:tblPr>
        <w:tblStyle w:val="TableGrid"/>
        <w:tblW w:w="0" w:type="auto"/>
        <w:tblInd w:w="108" w:type="dxa"/>
        <w:tblLook w:val="04A0" w:firstRow="1" w:lastRow="0" w:firstColumn="1" w:lastColumn="0" w:noHBand="0" w:noVBand="1"/>
      </w:tblPr>
      <w:tblGrid>
        <w:gridCol w:w="4628"/>
        <w:gridCol w:w="4614"/>
      </w:tblGrid>
      <w:tr w:rsidR="003735F5" w14:paraId="2C6E5B7E" w14:textId="77777777" w:rsidTr="003735F5">
        <w:tc>
          <w:tcPr>
            <w:tcW w:w="4682" w:type="dxa"/>
          </w:tcPr>
          <w:p w14:paraId="05154C3E" w14:textId="77777777" w:rsidR="003735F5" w:rsidRPr="003735F5" w:rsidRDefault="003735F5" w:rsidP="00006706">
            <w:pPr>
              <w:pStyle w:val="ExhibitText"/>
              <w:spacing w:before="60"/>
              <w:ind w:left="144" w:hanging="144"/>
              <w:jc w:val="left"/>
              <w:rPr>
                <w:b/>
                <w:lang w:val="en-GB"/>
              </w:rPr>
            </w:pPr>
            <w:r w:rsidRPr="003735F5">
              <w:rPr>
                <w:b/>
                <w:lang w:val="en-GB"/>
              </w:rPr>
              <w:t>Strengths:</w:t>
            </w:r>
          </w:p>
          <w:p w14:paraId="1D1A9834" w14:textId="77777777" w:rsidR="003735F5" w:rsidRPr="002C6C50" w:rsidRDefault="003735F5" w:rsidP="00006706">
            <w:pPr>
              <w:pStyle w:val="ExhibitText"/>
              <w:ind w:left="139" w:hanging="139"/>
              <w:jc w:val="left"/>
              <w:rPr>
                <w:lang w:val="en-GB"/>
              </w:rPr>
            </w:pPr>
          </w:p>
          <w:p w14:paraId="204DC6C7" w14:textId="4DC331CC" w:rsidR="003735F5" w:rsidRPr="002C6C50" w:rsidRDefault="003735F5" w:rsidP="00006706">
            <w:pPr>
              <w:pStyle w:val="ExhibitText"/>
              <w:ind w:left="139" w:hanging="139"/>
              <w:jc w:val="left"/>
              <w:rPr>
                <w:lang w:val="en-GB"/>
              </w:rPr>
            </w:pPr>
            <w:r w:rsidRPr="002C6C50">
              <w:rPr>
                <w:lang w:val="en-GB"/>
              </w:rPr>
              <w:t>• Being</w:t>
            </w:r>
            <w:r>
              <w:rPr>
                <w:lang w:val="en-GB"/>
              </w:rPr>
              <w:t xml:space="preserve"> </w:t>
            </w:r>
            <w:r w:rsidRPr="002C6C50">
              <w:rPr>
                <w:lang w:val="en-GB"/>
              </w:rPr>
              <w:t>N</w:t>
            </w:r>
            <w:r w:rsidR="004B7ECE">
              <w:rPr>
                <w:lang w:val="en-GB"/>
              </w:rPr>
              <w:t>estlé</w:t>
            </w:r>
            <w:r w:rsidR="004A326F">
              <w:rPr>
                <w:lang w:val="en-GB"/>
              </w:rPr>
              <w:t>—</w:t>
            </w:r>
            <w:r w:rsidR="00C148AA">
              <w:rPr>
                <w:lang w:val="en-GB"/>
              </w:rPr>
              <w:t>part of one of the largest food and beverage company in the world</w:t>
            </w:r>
          </w:p>
          <w:p w14:paraId="62CF897F" w14:textId="37B1477D" w:rsidR="003735F5" w:rsidRPr="002C6C50" w:rsidRDefault="003735F5" w:rsidP="00006706">
            <w:pPr>
              <w:pStyle w:val="ExhibitText"/>
              <w:ind w:left="139" w:hanging="139"/>
              <w:jc w:val="left"/>
              <w:rPr>
                <w:lang w:val="en-GB"/>
              </w:rPr>
            </w:pPr>
            <w:r w:rsidRPr="002C6C50">
              <w:rPr>
                <w:lang w:val="en-GB"/>
              </w:rPr>
              <w:t>• General Licence Agreement</w:t>
            </w:r>
            <w:r w:rsidR="00A74A1D">
              <w:rPr>
                <w:lang w:val="en-GB"/>
              </w:rPr>
              <w:t>,</w:t>
            </w:r>
            <w:r w:rsidRPr="002C6C50">
              <w:rPr>
                <w:lang w:val="en-GB"/>
              </w:rPr>
              <w:t xml:space="preserve"> which gives access to the Nestlé Group’s proprietary technology/brands, expertise</w:t>
            </w:r>
            <w:r w:rsidR="00A74A1D">
              <w:rPr>
                <w:lang w:val="en-GB"/>
              </w:rPr>
              <w:t>,</w:t>
            </w:r>
            <w:r w:rsidRPr="002C6C50">
              <w:rPr>
                <w:lang w:val="en-GB"/>
              </w:rPr>
              <w:t xml:space="preserve"> and extensive</w:t>
            </w:r>
            <w:r w:rsidR="004B7ECE">
              <w:rPr>
                <w:lang w:val="en-GB"/>
              </w:rPr>
              <w:t>,</w:t>
            </w:r>
            <w:r w:rsidRPr="002C6C50">
              <w:rPr>
                <w:lang w:val="en-GB"/>
              </w:rPr>
              <w:t xml:space="preserve"> centrali</w:t>
            </w:r>
            <w:r w:rsidR="00A74A1D">
              <w:rPr>
                <w:lang w:val="en-GB"/>
              </w:rPr>
              <w:t>z</w:t>
            </w:r>
            <w:r w:rsidRPr="002C6C50">
              <w:rPr>
                <w:lang w:val="en-GB"/>
              </w:rPr>
              <w:t xml:space="preserve">ed </w:t>
            </w:r>
            <w:r w:rsidR="004B7ECE">
              <w:rPr>
                <w:lang w:val="en-GB"/>
              </w:rPr>
              <w:t>r</w:t>
            </w:r>
            <w:r w:rsidRPr="002C6C50">
              <w:rPr>
                <w:lang w:val="en-GB"/>
              </w:rPr>
              <w:t xml:space="preserve">esearch and </w:t>
            </w:r>
            <w:r w:rsidR="004B7ECE">
              <w:rPr>
                <w:lang w:val="en-GB"/>
              </w:rPr>
              <w:t>d</w:t>
            </w:r>
            <w:r w:rsidRPr="002C6C50">
              <w:rPr>
                <w:lang w:val="en-GB"/>
              </w:rPr>
              <w:t>evelopment facilities</w:t>
            </w:r>
          </w:p>
          <w:p w14:paraId="4EDAB8BC" w14:textId="45FFA4F0" w:rsidR="003735F5" w:rsidRPr="002C6C50" w:rsidRDefault="003735F5" w:rsidP="00006706">
            <w:pPr>
              <w:pStyle w:val="ExhibitText"/>
              <w:ind w:left="139" w:hanging="139"/>
              <w:jc w:val="left"/>
              <w:rPr>
                <w:lang w:val="en-GB"/>
              </w:rPr>
            </w:pPr>
            <w:r w:rsidRPr="002C6C50">
              <w:rPr>
                <w:lang w:val="en-GB"/>
              </w:rPr>
              <w:t>• High</w:t>
            </w:r>
            <w:r w:rsidR="00A74A1D">
              <w:rPr>
                <w:lang w:val="en-GB"/>
              </w:rPr>
              <w:t>-</w:t>
            </w:r>
            <w:r w:rsidRPr="002C6C50">
              <w:rPr>
                <w:lang w:val="en-GB"/>
              </w:rPr>
              <w:t>quality and safe food products at affordable prices, and trust in</w:t>
            </w:r>
            <w:r w:rsidR="004B7ECE">
              <w:rPr>
                <w:lang w:val="en-GB"/>
              </w:rPr>
              <w:t xml:space="preserve"> </w:t>
            </w:r>
            <w:r w:rsidR="004B7ECE" w:rsidRPr="002C6C50">
              <w:rPr>
                <w:lang w:val="en-GB"/>
              </w:rPr>
              <w:t>N</w:t>
            </w:r>
            <w:r w:rsidR="004B7ECE">
              <w:rPr>
                <w:lang w:val="en-GB"/>
              </w:rPr>
              <w:t>estlé</w:t>
            </w:r>
          </w:p>
          <w:p w14:paraId="37EDD7D8" w14:textId="69825174" w:rsidR="003735F5" w:rsidRPr="002C6C50" w:rsidRDefault="003735F5" w:rsidP="00006706">
            <w:pPr>
              <w:pStyle w:val="ExhibitText"/>
              <w:ind w:left="139" w:hanging="139"/>
              <w:jc w:val="left"/>
              <w:rPr>
                <w:lang w:val="en-GB"/>
              </w:rPr>
            </w:pPr>
            <w:r w:rsidRPr="002C6C50">
              <w:rPr>
                <w:lang w:val="en-GB"/>
              </w:rPr>
              <w:t xml:space="preserve">• Understanding of </w:t>
            </w:r>
            <w:r w:rsidR="00A74A1D">
              <w:rPr>
                <w:lang w:val="en-GB"/>
              </w:rPr>
              <w:t>n</w:t>
            </w:r>
            <w:r w:rsidRPr="002C6C50">
              <w:rPr>
                <w:lang w:val="en-GB"/>
              </w:rPr>
              <w:t xml:space="preserve">utrition, </w:t>
            </w:r>
            <w:r w:rsidR="00A74A1D">
              <w:rPr>
                <w:lang w:val="en-GB"/>
              </w:rPr>
              <w:t>h</w:t>
            </w:r>
            <w:r w:rsidRPr="002C6C50">
              <w:rPr>
                <w:lang w:val="en-GB"/>
              </w:rPr>
              <w:t>ealth</w:t>
            </w:r>
            <w:r w:rsidR="00A74A1D">
              <w:rPr>
                <w:lang w:val="en-GB"/>
              </w:rPr>
              <w:t>,</w:t>
            </w:r>
            <w:r w:rsidRPr="002C6C50">
              <w:rPr>
                <w:lang w:val="en-GB"/>
              </w:rPr>
              <w:t xml:space="preserve"> and </w:t>
            </w:r>
            <w:r w:rsidR="00A74A1D">
              <w:rPr>
                <w:lang w:val="en-GB"/>
              </w:rPr>
              <w:t>w</w:t>
            </w:r>
            <w:r w:rsidRPr="002C6C50">
              <w:rPr>
                <w:lang w:val="en-GB"/>
              </w:rPr>
              <w:t>ellness</w:t>
            </w:r>
          </w:p>
          <w:p w14:paraId="3A7E4140" w14:textId="715B90D5" w:rsidR="003735F5" w:rsidRPr="002C6C50" w:rsidRDefault="003735F5" w:rsidP="00006706">
            <w:pPr>
              <w:pStyle w:val="ExhibitText"/>
              <w:ind w:left="139" w:hanging="139"/>
              <w:jc w:val="left"/>
              <w:rPr>
                <w:lang w:val="en-GB"/>
              </w:rPr>
            </w:pPr>
            <w:r w:rsidRPr="002C6C50">
              <w:rPr>
                <w:lang w:val="en-GB"/>
              </w:rPr>
              <w:t>• Strong and well</w:t>
            </w:r>
            <w:r w:rsidR="00A74A1D">
              <w:rPr>
                <w:lang w:val="en-GB"/>
              </w:rPr>
              <w:t>-</w:t>
            </w:r>
            <w:r w:rsidRPr="002C6C50">
              <w:rPr>
                <w:lang w:val="en-GB"/>
              </w:rPr>
              <w:t>differentiated brands with market share leadership</w:t>
            </w:r>
          </w:p>
          <w:p w14:paraId="189A0E8B" w14:textId="60D024CD" w:rsidR="003735F5" w:rsidRPr="002C6C50" w:rsidRDefault="003735F5" w:rsidP="00006706">
            <w:pPr>
              <w:pStyle w:val="ExhibitText"/>
              <w:ind w:left="139" w:hanging="139"/>
              <w:jc w:val="left"/>
              <w:rPr>
                <w:lang w:val="en-GB"/>
              </w:rPr>
            </w:pPr>
            <w:r w:rsidRPr="002C6C50">
              <w:rPr>
                <w:lang w:val="en-GB"/>
              </w:rPr>
              <w:t>• Product innovation and renovation, based on consumer insights</w:t>
            </w:r>
          </w:p>
          <w:p w14:paraId="692C9940" w14:textId="7EE076F8" w:rsidR="003735F5" w:rsidRPr="002C6C50" w:rsidRDefault="003735F5" w:rsidP="00006706">
            <w:pPr>
              <w:pStyle w:val="ExhibitText"/>
              <w:ind w:left="139" w:hanging="139"/>
              <w:jc w:val="left"/>
              <w:rPr>
                <w:lang w:val="en-GB"/>
              </w:rPr>
            </w:pPr>
            <w:r w:rsidRPr="002C6C50">
              <w:rPr>
                <w:lang w:val="en-GB"/>
              </w:rPr>
              <w:t>• Well</w:t>
            </w:r>
            <w:r w:rsidR="00A74A1D">
              <w:rPr>
                <w:lang w:val="en-GB"/>
              </w:rPr>
              <w:t>-</w:t>
            </w:r>
            <w:r w:rsidRPr="002C6C50">
              <w:rPr>
                <w:lang w:val="en-GB"/>
              </w:rPr>
              <w:t>diversified product portfolio across categories and income strata</w:t>
            </w:r>
          </w:p>
          <w:p w14:paraId="6F001346" w14:textId="0440F9C4" w:rsidR="003735F5" w:rsidRPr="002C6C50" w:rsidRDefault="003735F5" w:rsidP="00006706">
            <w:pPr>
              <w:pStyle w:val="ExhibitText"/>
              <w:ind w:left="139" w:hanging="139"/>
              <w:jc w:val="left"/>
              <w:rPr>
                <w:lang w:val="en-GB"/>
              </w:rPr>
            </w:pPr>
            <w:r w:rsidRPr="002C6C50">
              <w:rPr>
                <w:lang w:val="en-GB"/>
              </w:rPr>
              <w:t>• Efficient</w:t>
            </w:r>
            <w:r>
              <w:rPr>
                <w:lang w:val="en-GB"/>
              </w:rPr>
              <w:t xml:space="preserve"> </w:t>
            </w:r>
            <w:r w:rsidRPr="002C6C50">
              <w:rPr>
                <w:lang w:val="en-GB"/>
              </w:rPr>
              <w:t>supply</w:t>
            </w:r>
            <w:r>
              <w:rPr>
                <w:lang w:val="en-GB"/>
              </w:rPr>
              <w:t xml:space="preserve"> </w:t>
            </w:r>
            <w:r w:rsidRPr="002C6C50">
              <w:rPr>
                <w:lang w:val="en-GB"/>
              </w:rPr>
              <w:t>chain</w:t>
            </w:r>
            <w:r>
              <w:rPr>
                <w:lang w:val="en-GB"/>
              </w:rPr>
              <w:t xml:space="preserve"> </w:t>
            </w:r>
            <w:r w:rsidRPr="002C6C50">
              <w:rPr>
                <w:lang w:val="en-GB"/>
              </w:rPr>
              <w:t>and</w:t>
            </w:r>
            <w:r>
              <w:rPr>
                <w:lang w:val="en-GB"/>
              </w:rPr>
              <w:t xml:space="preserve"> </w:t>
            </w:r>
            <w:r w:rsidRPr="002C6C50">
              <w:rPr>
                <w:lang w:val="en-GB"/>
              </w:rPr>
              <w:t>sales</w:t>
            </w:r>
            <w:r>
              <w:rPr>
                <w:lang w:val="en-GB"/>
              </w:rPr>
              <w:t xml:space="preserve"> </w:t>
            </w:r>
            <w:r w:rsidRPr="002C6C50">
              <w:rPr>
                <w:lang w:val="en-GB"/>
              </w:rPr>
              <w:t>automation</w:t>
            </w:r>
          </w:p>
          <w:p w14:paraId="70F05B43" w14:textId="4BBA7672" w:rsidR="003735F5" w:rsidRPr="002C6C50" w:rsidRDefault="003735F5" w:rsidP="00006706">
            <w:pPr>
              <w:pStyle w:val="ExhibitText"/>
              <w:ind w:left="139" w:hanging="139"/>
              <w:jc w:val="left"/>
              <w:rPr>
                <w:lang w:val="en-GB"/>
              </w:rPr>
            </w:pPr>
            <w:r w:rsidRPr="002C6C50">
              <w:rPr>
                <w:lang w:val="en-GB"/>
              </w:rPr>
              <w:t>• Distribution</w:t>
            </w:r>
            <w:r>
              <w:rPr>
                <w:lang w:val="en-GB"/>
              </w:rPr>
              <w:t xml:space="preserve"> </w:t>
            </w:r>
            <w:r w:rsidRPr="002C6C50">
              <w:rPr>
                <w:lang w:val="en-GB"/>
              </w:rPr>
              <w:t>structure</w:t>
            </w:r>
            <w:r>
              <w:rPr>
                <w:lang w:val="en-GB"/>
              </w:rPr>
              <w:t xml:space="preserve"> </w:t>
            </w:r>
            <w:r w:rsidRPr="002C6C50">
              <w:rPr>
                <w:lang w:val="en-GB"/>
              </w:rPr>
              <w:t>that</w:t>
            </w:r>
            <w:r>
              <w:rPr>
                <w:lang w:val="en-GB"/>
              </w:rPr>
              <w:t xml:space="preserve"> </w:t>
            </w:r>
            <w:r w:rsidRPr="002C6C50">
              <w:rPr>
                <w:lang w:val="en-GB"/>
              </w:rPr>
              <w:t>allows</w:t>
            </w:r>
            <w:r>
              <w:rPr>
                <w:lang w:val="en-GB"/>
              </w:rPr>
              <w:t xml:space="preserve"> </w:t>
            </w:r>
            <w:r w:rsidRPr="002C6C50">
              <w:rPr>
                <w:lang w:val="en-GB"/>
              </w:rPr>
              <w:t>wide</w:t>
            </w:r>
            <w:r>
              <w:rPr>
                <w:lang w:val="en-GB"/>
              </w:rPr>
              <w:t xml:space="preserve"> </w:t>
            </w:r>
            <w:r w:rsidRPr="002C6C50">
              <w:rPr>
                <w:lang w:val="en-GB"/>
              </w:rPr>
              <w:t>reach</w:t>
            </w:r>
            <w:r>
              <w:rPr>
                <w:lang w:val="en-GB"/>
              </w:rPr>
              <w:t xml:space="preserve"> </w:t>
            </w:r>
            <w:r w:rsidRPr="002C6C50">
              <w:rPr>
                <w:lang w:val="en-GB"/>
              </w:rPr>
              <w:t>and coverage in the target markets</w:t>
            </w:r>
          </w:p>
          <w:p w14:paraId="4FEA1CD7" w14:textId="4B5ECDA1" w:rsidR="003735F5" w:rsidRPr="002C6C50" w:rsidRDefault="003735F5" w:rsidP="00006706">
            <w:pPr>
              <w:pStyle w:val="ExhibitText"/>
              <w:ind w:left="139" w:hanging="139"/>
              <w:jc w:val="left"/>
              <w:rPr>
                <w:lang w:val="en-GB"/>
              </w:rPr>
            </w:pPr>
            <w:r w:rsidRPr="002C6C50">
              <w:rPr>
                <w:lang w:val="en-GB"/>
              </w:rPr>
              <w:t>• Capable and engaged human resources</w:t>
            </w:r>
          </w:p>
          <w:p w14:paraId="6361358D" w14:textId="287296E3" w:rsidR="003735F5" w:rsidRPr="002C6C50" w:rsidRDefault="003735F5" w:rsidP="00006706">
            <w:pPr>
              <w:pStyle w:val="ExhibitText"/>
              <w:ind w:left="139" w:hanging="139"/>
              <w:jc w:val="left"/>
              <w:rPr>
                <w:lang w:val="en-GB"/>
              </w:rPr>
            </w:pPr>
            <w:r w:rsidRPr="002C6C50">
              <w:rPr>
                <w:lang w:val="en-GB"/>
              </w:rPr>
              <w:t>• Participation</w:t>
            </w:r>
            <w:r>
              <w:rPr>
                <w:lang w:val="en-GB"/>
              </w:rPr>
              <w:t xml:space="preserve"> </w:t>
            </w:r>
            <w:r w:rsidRPr="002C6C50">
              <w:rPr>
                <w:lang w:val="en-GB"/>
              </w:rPr>
              <w:t>in</w:t>
            </w:r>
            <w:r>
              <w:rPr>
                <w:lang w:val="en-GB"/>
              </w:rPr>
              <w:t xml:space="preserve"> </w:t>
            </w:r>
            <w:r w:rsidRPr="002C6C50">
              <w:rPr>
                <w:lang w:val="en-GB"/>
              </w:rPr>
              <w:t>Global</w:t>
            </w:r>
            <w:r>
              <w:rPr>
                <w:lang w:val="en-GB"/>
              </w:rPr>
              <w:t xml:space="preserve"> </w:t>
            </w:r>
            <w:r w:rsidRPr="002C6C50">
              <w:rPr>
                <w:lang w:val="en-GB"/>
              </w:rPr>
              <w:t>Business</w:t>
            </w:r>
            <w:r>
              <w:rPr>
                <w:lang w:val="en-GB"/>
              </w:rPr>
              <w:t xml:space="preserve"> </w:t>
            </w:r>
            <w:r w:rsidRPr="002C6C50">
              <w:rPr>
                <w:lang w:val="en-GB"/>
              </w:rPr>
              <w:t>Excellence</w:t>
            </w:r>
          </w:p>
          <w:p w14:paraId="23504D13" w14:textId="4F133C9C" w:rsidR="003735F5" w:rsidRPr="002C6C50" w:rsidRDefault="003735F5" w:rsidP="00006706">
            <w:pPr>
              <w:pStyle w:val="ExhibitText"/>
              <w:ind w:left="139" w:hanging="139"/>
              <w:jc w:val="left"/>
              <w:rPr>
                <w:lang w:val="en-GB"/>
              </w:rPr>
            </w:pPr>
            <w:r w:rsidRPr="002C6C50">
              <w:rPr>
                <w:lang w:val="en-GB"/>
              </w:rPr>
              <w:t>• Strong</w:t>
            </w:r>
            <w:r>
              <w:rPr>
                <w:lang w:val="en-GB"/>
              </w:rPr>
              <w:t xml:space="preserve"> </w:t>
            </w:r>
            <w:r w:rsidRPr="002C6C50">
              <w:rPr>
                <w:lang w:val="en-GB"/>
              </w:rPr>
              <w:t>financial</w:t>
            </w:r>
            <w:r>
              <w:rPr>
                <w:lang w:val="en-GB"/>
              </w:rPr>
              <w:t xml:space="preserve"> </w:t>
            </w:r>
            <w:r w:rsidRPr="002C6C50">
              <w:rPr>
                <w:lang w:val="en-GB"/>
              </w:rPr>
              <w:t>position</w:t>
            </w:r>
          </w:p>
          <w:p w14:paraId="5AA98620" w14:textId="300904B7" w:rsidR="003735F5" w:rsidRDefault="003735F5" w:rsidP="00006706">
            <w:pPr>
              <w:pStyle w:val="ExhibitText"/>
              <w:ind w:left="139" w:hanging="139"/>
              <w:jc w:val="left"/>
              <w:rPr>
                <w:lang w:val="en-GB"/>
              </w:rPr>
            </w:pPr>
            <w:r w:rsidRPr="002C6C50">
              <w:rPr>
                <w:lang w:val="en-GB"/>
              </w:rPr>
              <w:t>• Manufacturing capacities in place to cater to emerging demand with speed</w:t>
            </w:r>
          </w:p>
          <w:p w14:paraId="348B6A9E" w14:textId="77777777" w:rsidR="003735F5" w:rsidRDefault="003735F5" w:rsidP="00006706">
            <w:pPr>
              <w:pStyle w:val="ExhibitText"/>
              <w:ind w:left="139" w:hanging="139"/>
              <w:jc w:val="left"/>
              <w:rPr>
                <w:lang w:val="en-GB"/>
              </w:rPr>
            </w:pPr>
          </w:p>
          <w:p w14:paraId="638605F0" w14:textId="77777777" w:rsidR="003735F5" w:rsidRDefault="003735F5" w:rsidP="00006706">
            <w:pPr>
              <w:pStyle w:val="ExhibitText"/>
              <w:ind w:left="139" w:hanging="139"/>
              <w:jc w:val="left"/>
              <w:rPr>
                <w:lang w:val="en-GB"/>
              </w:rPr>
            </w:pPr>
          </w:p>
        </w:tc>
        <w:tc>
          <w:tcPr>
            <w:tcW w:w="4678" w:type="dxa"/>
          </w:tcPr>
          <w:p w14:paraId="279EC086" w14:textId="76CB11E4" w:rsidR="003735F5" w:rsidRPr="003735F5" w:rsidRDefault="003735F5" w:rsidP="00006706">
            <w:pPr>
              <w:pStyle w:val="ExhibitText"/>
              <w:spacing w:before="60"/>
              <w:ind w:left="101" w:hanging="101"/>
              <w:jc w:val="left"/>
              <w:rPr>
                <w:b/>
                <w:lang w:val="en-GB"/>
              </w:rPr>
            </w:pPr>
            <w:r w:rsidRPr="003735F5">
              <w:rPr>
                <w:b/>
                <w:lang w:val="en-GB"/>
              </w:rPr>
              <w:t>Threat</w:t>
            </w:r>
            <w:r w:rsidR="00A74A1D">
              <w:rPr>
                <w:b/>
                <w:lang w:val="en-GB"/>
              </w:rPr>
              <w:t>s</w:t>
            </w:r>
            <w:r w:rsidRPr="003735F5">
              <w:rPr>
                <w:b/>
                <w:lang w:val="en-GB"/>
              </w:rPr>
              <w:t>:</w:t>
            </w:r>
          </w:p>
          <w:p w14:paraId="104CA395" w14:textId="77777777" w:rsidR="003735F5" w:rsidRPr="00102832" w:rsidRDefault="003735F5" w:rsidP="00006706">
            <w:pPr>
              <w:pStyle w:val="ExhibitText"/>
              <w:ind w:left="105" w:hanging="105"/>
              <w:jc w:val="left"/>
              <w:rPr>
                <w:lang w:val="en-GB"/>
              </w:rPr>
            </w:pPr>
          </w:p>
          <w:p w14:paraId="1FBFF210" w14:textId="6506A45D" w:rsidR="004B7ECE" w:rsidRDefault="003735F5" w:rsidP="00006706">
            <w:pPr>
              <w:pStyle w:val="ExhibitText"/>
              <w:ind w:left="105" w:hanging="105"/>
              <w:jc w:val="left"/>
              <w:rPr>
                <w:lang w:val="en-GB"/>
              </w:rPr>
            </w:pPr>
            <w:r w:rsidRPr="00102832">
              <w:rPr>
                <w:lang w:val="en-GB"/>
              </w:rPr>
              <w:t>• Price volatility of key raw packaging materials and fuels</w:t>
            </w:r>
          </w:p>
          <w:p w14:paraId="672C48DE" w14:textId="06422F4C" w:rsidR="003735F5" w:rsidRPr="00102832" w:rsidRDefault="004B7ECE" w:rsidP="00006706">
            <w:pPr>
              <w:pStyle w:val="ExhibitText"/>
              <w:jc w:val="left"/>
              <w:rPr>
                <w:lang w:val="en-GB"/>
              </w:rPr>
            </w:pPr>
            <w:r w:rsidRPr="00102832">
              <w:rPr>
                <w:lang w:val="en-GB"/>
              </w:rPr>
              <w:t>•</w:t>
            </w:r>
            <w:r>
              <w:rPr>
                <w:lang w:val="en-GB"/>
              </w:rPr>
              <w:t xml:space="preserve"> </w:t>
            </w:r>
            <w:r w:rsidR="003735F5" w:rsidRPr="00102832">
              <w:rPr>
                <w:lang w:val="en-GB"/>
              </w:rPr>
              <w:t>Food inflation</w:t>
            </w:r>
          </w:p>
          <w:p w14:paraId="28F46044" w14:textId="341D23CB" w:rsidR="003735F5" w:rsidRPr="00102832" w:rsidRDefault="003735F5" w:rsidP="00006706">
            <w:pPr>
              <w:pStyle w:val="ExhibitText"/>
              <w:ind w:left="105" w:hanging="105"/>
              <w:jc w:val="left"/>
              <w:rPr>
                <w:lang w:val="en-GB"/>
              </w:rPr>
            </w:pPr>
            <w:r w:rsidRPr="00102832">
              <w:rPr>
                <w:lang w:val="en-GB"/>
              </w:rPr>
              <w:t>• Increasing competition in processed foods</w:t>
            </w:r>
          </w:p>
          <w:p w14:paraId="421DCE98" w14:textId="6E1C1754" w:rsidR="003735F5" w:rsidRPr="00102832" w:rsidRDefault="003735F5" w:rsidP="00006706">
            <w:pPr>
              <w:pStyle w:val="ExhibitText"/>
              <w:ind w:left="105" w:hanging="105"/>
              <w:jc w:val="left"/>
              <w:rPr>
                <w:lang w:val="en-GB"/>
              </w:rPr>
            </w:pPr>
            <w:r w:rsidRPr="00102832">
              <w:rPr>
                <w:lang w:val="en-GB"/>
              </w:rPr>
              <w:t>• Availability of agro</w:t>
            </w:r>
            <w:r w:rsidR="004B7ECE">
              <w:rPr>
                <w:lang w:val="en-GB"/>
              </w:rPr>
              <w:t>-</w:t>
            </w:r>
            <w:r w:rsidRPr="00102832">
              <w:rPr>
                <w:lang w:val="en-GB"/>
              </w:rPr>
              <w:t>based commodities that meet Nestlé specifications</w:t>
            </w:r>
          </w:p>
          <w:p w14:paraId="0C8B7869" w14:textId="190BD9AA" w:rsidR="003735F5" w:rsidRPr="00102832" w:rsidRDefault="003735F5" w:rsidP="00006706">
            <w:pPr>
              <w:pStyle w:val="ExhibitText"/>
              <w:ind w:left="105" w:hanging="105"/>
              <w:jc w:val="left"/>
              <w:rPr>
                <w:lang w:val="en-GB"/>
              </w:rPr>
            </w:pPr>
            <w:r w:rsidRPr="00102832">
              <w:rPr>
                <w:lang w:val="en-GB"/>
              </w:rPr>
              <w:t>• Regulatory developments</w:t>
            </w:r>
            <w:r w:rsidR="004B7ECE">
              <w:rPr>
                <w:lang w:val="en-GB"/>
              </w:rPr>
              <w:t xml:space="preserve"> affec</w:t>
            </w:r>
            <w:r w:rsidRPr="00102832">
              <w:rPr>
                <w:lang w:val="en-GB"/>
              </w:rPr>
              <w:t>ting processed foods</w:t>
            </w:r>
          </w:p>
          <w:p w14:paraId="5D9709CB" w14:textId="102CADBF" w:rsidR="003735F5" w:rsidRPr="00102832" w:rsidRDefault="003735F5" w:rsidP="00006706">
            <w:pPr>
              <w:pStyle w:val="ExhibitText"/>
              <w:ind w:left="105" w:hanging="105"/>
              <w:jc w:val="left"/>
              <w:rPr>
                <w:lang w:val="en-GB"/>
              </w:rPr>
            </w:pPr>
            <w:r w:rsidRPr="00102832">
              <w:rPr>
                <w:lang w:val="en-GB"/>
              </w:rPr>
              <w:t>• Increasing concern o</w:t>
            </w:r>
            <w:r w:rsidR="004B7ECE">
              <w:rPr>
                <w:lang w:val="en-GB"/>
              </w:rPr>
              <w:t>ver</w:t>
            </w:r>
            <w:r w:rsidRPr="00102832">
              <w:rPr>
                <w:lang w:val="en-GB"/>
              </w:rPr>
              <w:t xml:space="preserve"> curren</w:t>
            </w:r>
            <w:r w:rsidR="00D8766D">
              <w:rPr>
                <w:lang w:val="en-GB"/>
              </w:rPr>
              <w:t>t</w:t>
            </w:r>
            <w:r w:rsidRPr="00102832">
              <w:rPr>
                <w:lang w:val="en-GB"/>
              </w:rPr>
              <w:t xml:space="preserve"> prevalent packaging materials and absence of viable alternatives</w:t>
            </w:r>
          </w:p>
          <w:p w14:paraId="065F8CB0" w14:textId="1D124531" w:rsidR="003735F5" w:rsidRPr="00102832" w:rsidRDefault="003735F5" w:rsidP="00006706">
            <w:pPr>
              <w:pStyle w:val="ExhibitText"/>
              <w:ind w:left="105" w:hanging="105"/>
              <w:jc w:val="left"/>
              <w:rPr>
                <w:lang w:val="en-GB"/>
              </w:rPr>
            </w:pPr>
            <w:r w:rsidRPr="00102832">
              <w:rPr>
                <w:lang w:val="en-GB"/>
              </w:rPr>
              <w:t>• Increasing dependence on technology for connectivity</w:t>
            </w:r>
          </w:p>
          <w:p w14:paraId="1AA4EA8C" w14:textId="05515B32" w:rsidR="003735F5" w:rsidRPr="00102832" w:rsidRDefault="003735F5" w:rsidP="00006706">
            <w:pPr>
              <w:pStyle w:val="ExhibitText"/>
              <w:ind w:left="105" w:hanging="105"/>
              <w:jc w:val="left"/>
              <w:rPr>
                <w:lang w:val="en-GB"/>
              </w:rPr>
            </w:pPr>
            <w:r w:rsidRPr="00102832">
              <w:rPr>
                <w:lang w:val="en-GB"/>
              </w:rPr>
              <w:t>• Delay in introduc</w:t>
            </w:r>
            <w:r w:rsidR="00455E2F">
              <w:rPr>
                <w:lang w:val="en-GB"/>
              </w:rPr>
              <w:t>ing</w:t>
            </w:r>
            <w:r w:rsidRPr="00102832">
              <w:rPr>
                <w:lang w:val="en-GB"/>
              </w:rPr>
              <w:t xml:space="preserve"> G</w:t>
            </w:r>
            <w:r w:rsidR="00FF4FA1">
              <w:rPr>
                <w:lang w:val="en-GB"/>
              </w:rPr>
              <w:t xml:space="preserve">oods and </w:t>
            </w:r>
            <w:r w:rsidRPr="00102832">
              <w:rPr>
                <w:lang w:val="en-GB"/>
              </w:rPr>
              <w:t>S</w:t>
            </w:r>
            <w:r w:rsidR="00FF4FA1">
              <w:rPr>
                <w:lang w:val="en-GB"/>
              </w:rPr>
              <w:t xml:space="preserve">ervice </w:t>
            </w:r>
            <w:r w:rsidRPr="00102832">
              <w:rPr>
                <w:lang w:val="en-GB"/>
              </w:rPr>
              <w:t>T</w:t>
            </w:r>
            <w:r w:rsidR="00FF4FA1">
              <w:rPr>
                <w:lang w:val="en-GB"/>
              </w:rPr>
              <w:t>ax</w:t>
            </w:r>
            <w:r w:rsidR="004B7ECE">
              <w:rPr>
                <w:lang w:val="en-GB"/>
              </w:rPr>
              <w:t>, which</w:t>
            </w:r>
            <w:r w:rsidRPr="00102832">
              <w:rPr>
                <w:lang w:val="en-GB"/>
              </w:rPr>
              <w:t xml:space="preserve"> would have simplified </w:t>
            </w:r>
            <w:r w:rsidR="003258CD">
              <w:rPr>
                <w:lang w:val="en-GB"/>
              </w:rPr>
              <w:t xml:space="preserve">the </w:t>
            </w:r>
            <w:r w:rsidRPr="00102832">
              <w:rPr>
                <w:lang w:val="en-GB"/>
              </w:rPr>
              <w:t>distribution network</w:t>
            </w:r>
          </w:p>
          <w:p w14:paraId="43C6AF96" w14:textId="0E4C63D9" w:rsidR="003735F5" w:rsidRPr="00102832" w:rsidRDefault="003735F5" w:rsidP="00006706">
            <w:pPr>
              <w:pStyle w:val="ExhibitText"/>
              <w:ind w:left="105" w:hanging="105"/>
              <w:jc w:val="left"/>
              <w:rPr>
                <w:lang w:val="en-GB"/>
              </w:rPr>
            </w:pPr>
            <w:r w:rsidRPr="00102832">
              <w:rPr>
                <w:lang w:val="en-GB"/>
              </w:rPr>
              <w:t>• Uncertainty</w:t>
            </w:r>
            <w:r>
              <w:rPr>
                <w:lang w:val="en-GB"/>
              </w:rPr>
              <w:t xml:space="preserve"> </w:t>
            </w:r>
            <w:r w:rsidRPr="00102832">
              <w:rPr>
                <w:lang w:val="en-GB"/>
              </w:rPr>
              <w:t>in</w:t>
            </w:r>
            <w:r>
              <w:rPr>
                <w:lang w:val="en-GB"/>
              </w:rPr>
              <w:t xml:space="preserve"> </w:t>
            </w:r>
            <w:r w:rsidRPr="00102832">
              <w:rPr>
                <w:lang w:val="en-GB"/>
              </w:rPr>
              <w:t>the</w:t>
            </w:r>
            <w:r>
              <w:rPr>
                <w:lang w:val="en-GB"/>
              </w:rPr>
              <w:t xml:space="preserve"> </w:t>
            </w:r>
            <w:r w:rsidRPr="00102832">
              <w:rPr>
                <w:lang w:val="en-GB"/>
              </w:rPr>
              <w:t>economic</w:t>
            </w:r>
            <w:r>
              <w:rPr>
                <w:lang w:val="en-GB"/>
              </w:rPr>
              <w:t xml:space="preserve"> </w:t>
            </w:r>
            <w:r w:rsidRPr="00102832">
              <w:rPr>
                <w:lang w:val="en-GB"/>
              </w:rPr>
              <w:t>environment</w:t>
            </w:r>
          </w:p>
          <w:p w14:paraId="384AE635" w14:textId="77777777" w:rsidR="003735F5" w:rsidRDefault="003735F5" w:rsidP="00006706">
            <w:pPr>
              <w:pStyle w:val="ExhibitText"/>
              <w:ind w:left="105" w:hanging="105"/>
              <w:jc w:val="left"/>
              <w:rPr>
                <w:lang w:val="en-GB"/>
              </w:rPr>
            </w:pPr>
          </w:p>
        </w:tc>
      </w:tr>
      <w:tr w:rsidR="003735F5" w14:paraId="72FD0F24" w14:textId="77777777" w:rsidTr="003735F5">
        <w:tc>
          <w:tcPr>
            <w:tcW w:w="4682" w:type="dxa"/>
          </w:tcPr>
          <w:p w14:paraId="20B8BB41" w14:textId="64A7A9FB" w:rsidR="003735F5" w:rsidRPr="003735F5" w:rsidRDefault="003735F5" w:rsidP="00006706">
            <w:pPr>
              <w:pStyle w:val="ExhibitText"/>
              <w:spacing w:before="60"/>
              <w:ind w:left="144" w:hanging="144"/>
              <w:jc w:val="left"/>
              <w:rPr>
                <w:b/>
                <w:lang w:val="en-GB"/>
              </w:rPr>
            </w:pPr>
            <w:r w:rsidRPr="003735F5">
              <w:rPr>
                <w:b/>
                <w:lang w:val="en-GB"/>
              </w:rPr>
              <w:t>Weakness</w:t>
            </w:r>
            <w:r w:rsidR="00A74A1D">
              <w:rPr>
                <w:b/>
                <w:lang w:val="en-GB"/>
              </w:rPr>
              <w:t>es</w:t>
            </w:r>
            <w:r w:rsidRPr="003735F5">
              <w:rPr>
                <w:b/>
                <w:lang w:val="en-GB"/>
              </w:rPr>
              <w:t>:</w:t>
            </w:r>
          </w:p>
          <w:p w14:paraId="69F47537" w14:textId="77777777" w:rsidR="003735F5" w:rsidRPr="00102832" w:rsidRDefault="003735F5" w:rsidP="00006706">
            <w:pPr>
              <w:pStyle w:val="ExhibitText"/>
              <w:ind w:left="139" w:hanging="139"/>
              <w:jc w:val="left"/>
              <w:rPr>
                <w:lang w:val="en-GB"/>
              </w:rPr>
            </w:pPr>
          </w:p>
          <w:p w14:paraId="6241BF8E" w14:textId="239F330E" w:rsidR="003735F5" w:rsidRPr="00102832" w:rsidRDefault="003735F5" w:rsidP="00006706">
            <w:pPr>
              <w:pStyle w:val="ExhibitText"/>
              <w:ind w:left="139" w:hanging="139"/>
              <w:jc w:val="left"/>
              <w:rPr>
                <w:lang w:val="en-GB"/>
              </w:rPr>
            </w:pPr>
            <w:r w:rsidRPr="00102832">
              <w:rPr>
                <w:lang w:val="en-GB"/>
              </w:rPr>
              <w:t>• Complex</w:t>
            </w:r>
            <w:r>
              <w:rPr>
                <w:lang w:val="en-GB"/>
              </w:rPr>
              <w:t xml:space="preserve"> </w:t>
            </w:r>
            <w:r w:rsidRPr="00102832">
              <w:rPr>
                <w:lang w:val="en-GB"/>
              </w:rPr>
              <w:t>supply</w:t>
            </w:r>
            <w:r>
              <w:rPr>
                <w:lang w:val="en-GB"/>
              </w:rPr>
              <w:t xml:space="preserve"> </w:t>
            </w:r>
            <w:r w:rsidRPr="00102832">
              <w:rPr>
                <w:lang w:val="en-GB"/>
              </w:rPr>
              <w:t>chain</w:t>
            </w:r>
            <w:r>
              <w:rPr>
                <w:lang w:val="en-GB"/>
              </w:rPr>
              <w:t xml:space="preserve"> </w:t>
            </w:r>
            <w:r w:rsidRPr="00102832">
              <w:rPr>
                <w:lang w:val="en-GB"/>
              </w:rPr>
              <w:t>configuration</w:t>
            </w:r>
          </w:p>
          <w:p w14:paraId="0F5E9F1A" w14:textId="2D7674E8" w:rsidR="003735F5" w:rsidRPr="00102832" w:rsidRDefault="003735F5" w:rsidP="00006706">
            <w:pPr>
              <w:pStyle w:val="ExhibitText"/>
              <w:ind w:left="139" w:hanging="139"/>
              <w:jc w:val="left"/>
              <w:rPr>
                <w:lang w:val="en-GB"/>
              </w:rPr>
            </w:pPr>
            <w:r w:rsidRPr="00102832">
              <w:rPr>
                <w:lang w:val="en-GB"/>
              </w:rPr>
              <w:t>• Cascading</w:t>
            </w:r>
            <w:r>
              <w:rPr>
                <w:lang w:val="en-GB"/>
              </w:rPr>
              <w:t xml:space="preserve"> </w:t>
            </w:r>
            <w:r w:rsidRPr="00102832">
              <w:rPr>
                <w:lang w:val="en-GB"/>
              </w:rPr>
              <w:t>indirect</w:t>
            </w:r>
            <w:r>
              <w:rPr>
                <w:lang w:val="en-GB"/>
              </w:rPr>
              <w:t xml:space="preserve"> </w:t>
            </w:r>
            <w:r w:rsidRPr="00102832">
              <w:rPr>
                <w:lang w:val="en-GB"/>
              </w:rPr>
              <w:t>taxes</w:t>
            </w:r>
          </w:p>
          <w:p w14:paraId="3C0A6D3B" w14:textId="346FB36F" w:rsidR="003735F5" w:rsidRPr="00102832" w:rsidRDefault="003735F5" w:rsidP="00006706">
            <w:pPr>
              <w:pStyle w:val="ExhibitText"/>
              <w:ind w:left="139" w:hanging="139"/>
              <w:jc w:val="left"/>
              <w:rPr>
                <w:lang w:val="en-GB"/>
              </w:rPr>
            </w:pPr>
            <w:r w:rsidRPr="00102832">
              <w:rPr>
                <w:lang w:val="en-GB"/>
              </w:rPr>
              <w:t>• Price</w:t>
            </w:r>
            <w:r>
              <w:rPr>
                <w:lang w:val="en-GB"/>
              </w:rPr>
              <w:t xml:space="preserve"> </w:t>
            </w:r>
            <w:r w:rsidRPr="00102832">
              <w:rPr>
                <w:lang w:val="en-GB"/>
              </w:rPr>
              <w:t>point</w:t>
            </w:r>
            <w:r>
              <w:rPr>
                <w:lang w:val="en-GB"/>
              </w:rPr>
              <w:t xml:space="preserve"> </w:t>
            </w:r>
            <w:r w:rsidRPr="00102832">
              <w:rPr>
                <w:lang w:val="en-GB"/>
              </w:rPr>
              <w:t>portfolio</w:t>
            </w:r>
          </w:p>
          <w:p w14:paraId="770D4087" w14:textId="3C438A48" w:rsidR="003735F5" w:rsidRPr="002C6C50" w:rsidRDefault="003735F5" w:rsidP="00006706">
            <w:pPr>
              <w:pStyle w:val="ExhibitText"/>
              <w:ind w:left="139" w:hanging="139"/>
              <w:jc w:val="left"/>
              <w:rPr>
                <w:lang w:val="en-GB"/>
              </w:rPr>
            </w:pPr>
            <w:r w:rsidRPr="00102832">
              <w:rPr>
                <w:lang w:val="en-GB"/>
              </w:rPr>
              <w:t>• Low market attractiveness in some pockets of the portfolio</w:t>
            </w:r>
          </w:p>
        </w:tc>
        <w:tc>
          <w:tcPr>
            <w:tcW w:w="4678" w:type="dxa"/>
          </w:tcPr>
          <w:p w14:paraId="527181EA" w14:textId="77777777" w:rsidR="003735F5" w:rsidRPr="003735F5" w:rsidRDefault="003735F5" w:rsidP="00006706">
            <w:pPr>
              <w:pStyle w:val="ExhibitText"/>
              <w:spacing w:before="60"/>
              <w:ind w:left="101" w:hanging="101"/>
              <w:jc w:val="left"/>
              <w:rPr>
                <w:b/>
                <w:lang w:val="en-GB"/>
              </w:rPr>
            </w:pPr>
            <w:r w:rsidRPr="003735F5">
              <w:rPr>
                <w:b/>
                <w:lang w:val="en-GB"/>
              </w:rPr>
              <w:t>Opportunities:</w:t>
            </w:r>
            <w:r w:rsidRPr="003735F5">
              <w:rPr>
                <w:b/>
                <w:lang w:val="en-GB"/>
              </w:rPr>
              <w:cr/>
            </w:r>
          </w:p>
          <w:p w14:paraId="6791C60C" w14:textId="061CC7A6" w:rsidR="003735F5" w:rsidRPr="00102832" w:rsidRDefault="003735F5" w:rsidP="00006706">
            <w:pPr>
              <w:pStyle w:val="ExhibitText"/>
              <w:ind w:left="105" w:hanging="105"/>
              <w:jc w:val="left"/>
              <w:rPr>
                <w:lang w:val="en-GB"/>
              </w:rPr>
            </w:pPr>
            <w:r w:rsidRPr="00102832">
              <w:rPr>
                <w:lang w:val="en-GB"/>
              </w:rPr>
              <w:t>• Potential for expansion of numeric and</w:t>
            </w:r>
            <w:r>
              <w:rPr>
                <w:lang w:val="en-GB"/>
              </w:rPr>
              <w:t xml:space="preserve"> </w:t>
            </w:r>
            <w:r w:rsidRPr="00102832">
              <w:rPr>
                <w:lang w:val="en-GB"/>
              </w:rPr>
              <w:t xml:space="preserve">weighted distribution in smaller towns and other geographies </w:t>
            </w:r>
          </w:p>
          <w:p w14:paraId="5E67A49B" w14:textId="1923D677" w:rsidR="003735F5" w:rsidRPr="00102832" w:rsidRDefault="003735F5" w:rsidP="00006706">
            <w:pPr>
              <w:pStyle w:val="ExhibitText"/>
              <w:ind w:left="105" w:hanging="105"/>
              <w:jc w:val="left"/>
              <w:rPr>
                <w:lang w:val="en-GB"/>
              </w:rPr>
            </w:pPr>
            <w:r w:rsidRPr="00102832">
              <w:rPr>
                <w:lang w:val="en-GB"/>
              </w:rPr>
              <w:t>• Increasing demand for value-up and premium products</w:t>
            </w:r>
          </w:p>
          <w:p w14:paraId="4922BDE0" w14:textId="0EE75EB0" w:rsidR="003735F5" w:rsidRPr="00102832" w:rsidRDefault="003735F5" w:rsidP="00006706">
            <w:pPr>
              <w:pStyle w:val="ExhibitText"/>
              <w:ind w:left="105" w:hanging="105"/>
              <w:jc w:val="left"/>
              <w:rPr>
                <w:lang w:val="en-GB"/>
              </w:rPr>
            </w:pPr>
            <w:r w:rsidRPr="00102832">
              <w:rPr>
                <w:lang w:val="en-GB"/>
              </w:rPr>
              <w:t>• Emergence of social media to connect with young consumers</w:t>
            </w:r>
          </w:p>
          <w:p w14:paraId="54DB25F9" w14:textId="32824606" w:rsidR="003735F5" w:rsidRPr="00102832" w:rsidRDefault="003735F5" w:rsidP="00006706">
            <w:pPr>
              <w:pStyle w:val="ExhibitText"/>
              <w:ind w:left="105" w:hanging="105"/>
              <w:jc w:val="left"/>
              <w:rPr>
                <w:lang w:val="en-GB"/>
              </w:rPr>
            </w:pPr>
            <w:r w:rsidRPr="00102832">
              <w:rPr>
                <w:lang w:val="en-GB"/>
              </w:rPr>
              <w:t>• Development of Out</w:t>
            </w:r>
            <w:r>
              <w:rPr>
                <w:lang w:val="en-GB"/>
              </w:rPr>
              <w:t xml:space="preserve"> </w:t>
            </w:r>
            <w:r w:rsidRPr="00102832">
              <w:rPr>
                <w:lang w:val="en-GB"/>
              </w:rPr>
              <w:t>of</w:t>
            </w:r>
            <w:r>
              <w:rPr>
                <w:lang w:val="en-GB"/>
              </w:rPr>
              <w:t xml:space="preserve"> </w:t>
            </w:r>
            <w:r w:rsidRPr="00102832">
              <w:rPr>
                <w:lang w:val="en-GB"/>
              </w:rPr>
              <w:t>Home</w:t>
            </w:r>
            <w:r w:rsidR="004B7ECE">
              <w:rPr>
                <w:lang w:val="en-GB"/>
              </w:rPr>
              <w:t xml:space="preserve"> </w:t>
            </w:r>
            <w:r w:rsidRPr="00102832">
              <w:rPr>
                <w:lang w:val="en-GB"/>
              </w:rPr>
              <w:t>segment</w:t>
            </w:r>
          </w:p>
          <w:p w14:paraId="764C9500" w14:textId="545A3161" w:rsidR="003735F5" w:rsidRPr="00102832" w:rsidRDefault="003735F5" w:rsidP="00006706">
            <w:pPr>
              <w:pStyle w:val="ExhibitText"/>
              <w:spacing w:after="120"/>
              <w:ind w:left="101" w:hanging="101"/>
              <w:jc w:val="left"/>
              <w:rPr>
                <w:lang w:val="en-GB"/>
              </w:rPr>
            </w:pPr>
            <w:r w:rsidRPr="00102832">
              <w:rPr>
                <w:lang w:val="en-GB"/>
              </w:rPr>
              <w:t>• Leverag</w:t>
            </w:r>
            <w:r w:rsidR="004A326F">
              <w:rPr>
                <w:lang w:val="en-GB"/>
              </w:rPr>
              <w:t>ing</w:t>
            </w:r>
            <w:r w:rsidRPr="00102832">
              <w:rPr>
                <w:lang w:val="en-GB"/>
              </w:rPr>
              <w:t xml:space="preserve"> Nestlé </w:t>
            </w:r>
            <w:r w:rsidR="004B7ECE">
              <w:rPr>
                <w:lang w:val="en-GB"/>
              </w:rPr>
              <w:t>t</w:t>
            </w:r>
            <w:r w:rsidRPr="00102832">
              <w:rPr>
                <w:lang w:val="en-GB"/>
              </w:rPr>
              <w:t xml:space="preserve">echnology to develop more products that provide </w:t>
            </w:r>
            <w:r w:rsidR="004B7ECE">
              <w:rPr>
                <w:lang w:val="en-GB"/>
              </w:rPr>
              <w:t>n</w:t>
            </w:r>
            <w:r w:rsidRPr="00102832">
              <w:rPr>
                <w:lang w:val="en-GB"/>
              </w:rPr>
              <w:t xml:space="preserve">utrition, </w:t>
            </w:r>
            <w:r w:rsidR="004B7ECE">
              <w:rPr>
                <w:lang w:val="en-GB"/>
              </w:rPr>
              <w:t>h</w:t>
            </w:r>
            <w:r w:rsidRPr="00102832">
              <w:rPr>
                <w:lang w:val="en-GB"/>
              </w:rPr>
              <w:t>ealth</w:t>
            </w:r>
            <w:r w:rsidR="004B7ECE">
              <w:rPr>
                <w:lang w:val="en-GB"/>
              </w:rPr>
              <w:t>,</w:t>
            </w:r>
            <w:r w:rsidRPr="00102832">
              <w:rPr>
                <w:lang w:val="en-GB"/>
              </w:rPr>
              <w:t xml:space="preserve"> and </w:t>
            </w:r>
            <w:r w:rsidR="004B7ECE">
              <w:rPr>
                <w:lang w:val="en-GB"/>
              </w:rPr>
              <w:t>w</w:t>
            </w:r>
            <w:r w:rsidRPr="00102832">
              <w:rPr>
                <w:lang w:val="en-GB"/>
              </w:rPr>
              <w:t>ellness at affordable prices</w:t>
            </w:r>
          </w:p>
        </w:tc>
      </w:tr>
    </w:tbl>
    <w:p w14:paraId="713AD8E1" w14:textId="77777777" w:rsidR="003735F5" w:rsidRDefault="003735F5" w:rsidP="003735F5">
      <w:pPr>
        <w:pStyle w:val="BodyA"/>
        <w:rPr>
          <w:rFonts w:ascii="Times New Roman" w:hAnsi="Times New Roman" w:cs="Times New Roman"/>
          <w:lang w:val="en-GB"/>
        </w:rPr>
      </w:pPr>
    </w:p>
    <w:p w14:paraId="799F12DD" w14:textId="49C73B59" w:rsidR="003176DC" w:rsidRPr="00006706" w:rsidRDefault="003735F5" w:rsidP="003735F5">
      <w:pPr>
        <w:pStyle w:val="Footnote"/>
        <w:rPr>
          <w:i/>
        </w:rPr>
      </w:pPr>
      <w:r>
        <w:t>Source:</w:t>
      </w:r>
      <w:r w:rsidR="00A74A1D">
        <w:t xml:space="preserve"> </w:t>
      </w:r>
      <w:r w:rsidR="00E83836">
        <w:t>Company files.</w:t>
      </w:r>
    </w:p>
    <w:sectPr w:rsidR="003176DC" w:rsidRPr="00006706" w:rsidSect="00EB5410">
      <w:headerReference w:type="default" r:id="rId10"/>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F687F" w14:textId="77777777" w:rsidR="003169CE" w:rsidRDefault="003169CE" w:rsidP="00D75295">
      <w:r>
        <w:separator/>
      </w:r>
    </w:p>
  </w:endnote>
  <w:endnote w:type="continuationSeparator" w:id="0">
    <w:p w14:paraId="294941C8" w14:textId="77777777" w:rsidR="003169CE" w:rsidRDefault="003169C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F448F" w14:textId="77777777" w:rsidR="003169CE" w:rsidRDefault="003169CE" w:rsidP="00D75295">
      <w:r>
        <w:separator/>
      </w:r>
    </w:p>
  </w:footnote>
  <w:footnote w:type="continuationSeparator" w:id="0">
    <w:p w14:paraId="0C95CEDA" w14:textId="77777777" w:rsidR="003169CE" w:rsidRDefault="003169CE" w:rsidP="00D75295">
      <w:r>
        <w:continuationSeparator/>
      </w:r>
    </w:p>
  </w:footnote>
  <w:footnote w:id="1">
    <w:p w14:paraId="7FA494EA" w14:textId="4D2B8B36" w:rsidR="00383AD7" w:rsidRPr="00383AD7" w:rsidRDefault="00383AD7">
      <w:pPr>
        <w:pStyle w:val="FootnoteText"/>
        <w:rPr>
          <w:rFonts w:ascii="Arial" w:hAnsi="Arial" w:cs="Arial"/>
          <w:sz w:val="17"/>
          <w:szCs w:val="17"/>
        </w:rPr>
      </w:pPr>
      <w:r w:rsidRPr="00383AD7">
        <w:rPr>
          <w:rStyle w:val="FootnoteReference"/>
          <w:rFonts w:ascii="Arial" w:hAnsi="Arial" w:cs="Arial"/>
          <w:sz w:val="17"/>
          <w:szCs w:val="17"/>
        </w:rPr>
        <w:footnoteRef/>
      </w:r>
      <w:r w:rsidRPr="00383AD7">
        <w:rPr>
          <w:rFonts w:ascii="Arial" w:hAnsi="Arial" w:cs="Arial"/>
          <w:sz w:val="17"/>
          <w:szCs w:val="17"/>
        </w:rPr>
        <w:t xml:space="preserve"> ₹</w:t>
      </w:r>
      <w:r w:rsidRPr="007F5740">
        <w:rPr>
          <w:rFonts w:ascii="Arial" w:hAnsi="Arial" w:cs="Arial"/>
          <w:sz w:val="17"/>
          <w:szCs w:val="17"/>
        </w:rPr>
        <w:t xml:space="preserve"> </w:t>
      </w:r>
      <w:r>
        <w:rPr>
          <w:rFonts w:ascii="Arial" w:hAnsi="Arial" w:cs="Arial"/>
          <w:sz w:val="17"/>
          <w:szCs w:val="17"/>
        </w:rPr>
        <w:t xml:space="preserve">= INR = Indian rupee; </w:t>
      </w:r>
      <w:r w:rsidRPr="00C42790">
        <w:rPr>
          <w:rFonts w:ascii="Arial" w:hAnsi="Arial" w:cs="Arial"/>
          <w:sz w:val="17"/>
          <w:szCs w:val="17"/>
        </w:rPr>
        <w:t>a</w:t>
      </w:r>
      <w:r w:rsidRPr="00383AD7">
        <w:rPr>
          <w:rFonts w:ascii="Arial" w:hAnsi="Arial" w:cs="Arial"/>
          <w:sz w:val="17"/>
          <w:szCs w:val="17"/>
        </w:rPr>
        <w:t>ll currency amounts are in ₹</w:t>
      </w:r>
      <w:r w:rsidRPr="00C42790">
        <w:rPr>
          <w:rFonts w:ascii="Arial" w:hAnsi="Arial" w:cs="Arial"/>
          <w:sz w:val="17"/>
          <w:szCs w:val="17"/>
        </w:rPr>
        <w:t xml:space="preserve"> unless otherwise </w:t>
      </w:r>
      <w:r>
        <w:rPr>
          <w:rFonts w:ascii="Arial" w:hAnsi="Arial" w:cs="Arial"/>
          <w:sz w:val="17"/>
          <w:szCs w:val="17"/>
        </w:rPr>
        <w:t>specified</w:t>
      </w:r>
      <w:r w:rsidRPr="00C42790">
        <w:rPr>
          <w:rFonts w:ascii="Arial" w:hAnsi="Arial" w:cs="Arial"/>
          <w:sz w:val="17"/>
          <w:szCs w:val="17"/>
        </w:rPr>
        <w:t>;</w:t>
      </w:r>
      <w:r w:rsidRPr="00383AD7">
        <w:rPr>
          <w:rFonts w:ascii="Arial" w:hAnsi="Arial" w:cs="Arial"/>
          <w:sz w:val="17"/>
          <w:szCs w:val="17"/>
        </w:rPr>
        <w:t xml:space="preserve"> ₹1 = US$</w:t>
      </w:r>
      <w:r w:rsidR="006E5226">
        <w:rPr>
          <w:rFonts w:ascii="Arial" w:hAnsi="Arial" w:cs="Arial"/>
          <w:sz w:val="17"/>
          <w:szCs w:val="17"/>
        </w:rPr>
        <w:t>0.0162</w:t>
      </w:r>
      <w:r w:rsidRPr="00383AD7">
        <w:rPr>
          <w:rFonts w:ascii="Arial" w:hAnsi="Arial" w:cs="Arial"/>
          <w:sz w:val="17"/>
          <w:szCs w:val="17"/>
        </w:rPr>
        <w:t xml:space="preserve"> on </w:t>
      </w:r>
      <w:r w:rsidRPr="00C42790">
        <w:rPr>
          <w:rFonts w:ascii="Arial" w:hAnsi="Arial" w:cs="Arial"/>
          <w:sz w:val="17"/>
          <w:szCs w:val="17"/>
        </w:rPr>
        <w:t>December</w:t>
      </w:r>
      <w:r w:rsidRPr="00383AD7">
        <w:rPr>
          <w:rFonts w:ascii="Arial" w:hAnsi="Arial" w:cs="Arial"/>
          <w:sz w:val="17"/>
          <w:szCs w:val="17"/>
        </w:rPr>
        <w:t xml:space="preserve"> </w:t>
      </w:r>
      <w:r w:rsidR="006E5226">
        <w:rPr>
          <w:rFonts w:ascii="Arial" w:hAnsi="Arial" w:cs="Arial"/>
          <w:sz w:val="17"/>
          <w:szCs w:val="17"/>
        </w:rPr>
        <w:t>3</w:t>
      </w:r>
      <w:r w:rsidRPr="00383AD7">
        <w:rPr>
          <w:rFonts w:ascii="Arial" w:hAnsi="Arial" w:cs="Arial"/>
          <w:sz w:val="17"/>
          <w:szCs w:val="17"/>
        </w:rPr>
        <w:t>1, 2013.</w:t>
      </w:r>
    </w:p>
  </w:footnote>
  <w:footnote w:id="2">
    <w:p w14:paraId="5165ADAD" w14:textId="795350E8" w:rsidR="00383AD7" w:rsidRPr="00094A6B" w:rsidRDefault="00383AD7" w:rsidP="00A81B5F">
      <w:pPr>
        <w:pStyle w:val="Footnote"/>
        <w:keepNext/>
        <w:rPr>
          <w:spacing w:val="-2"/>
        </w:rPr>
      </w:pPr>
      <w:r w:rsidRPr="00094A6B">
        <w:rPr>
          <w:rStyle w:val="FootnoteReference"/>
          <w:spacing w:val="-2"/>
        </w:rPr>
        <w:footnoteRef/>
      </w:r>
      <w:r w:rsidRPr="00094A6B">
        <w:rPr>
          <w:spacing w:val="-2"/>
        </w:rPr>
        <w:t xml:space="preserve"> </w:t>
      </w:r>
      <w:r w:rsidR="00094A6B" w:rsidRPr="00094A6B">
        <w:rPr>
          <w:spacing w:val="-2"/>
        </w:rPr>
        <w:t xml:space="preserve">Ministry of Women and Child Development, Government of India, </w:t>
      </w:r>
      <w:r w:rsidR="00094A6B" w:rsidRPr="00094A6B">
        <w:rPr>
          <w:i/>
          <w:spacing w:val="-2"/>
        </w:rPr>
        <w:t>Rapid Survey on Children (RSOC) 2013–2014 National Report</w:t>
      </w:r>
      <w:r w:rsidR="00957844" w:rsidRPr="00094A6B">
        <w:rPr>
          <w:spacing w:val="-2"/>
        </w:rPr>
        <w:t>, accessed March 22,</w:t>
      </w:r>
      <w:r w:rsidR="00094A6B" w:rsidRPr="00094A6B">
        <w:rPr>
          <w:spacing w:val="-2"/>
        </w:rPr>
        <w:t xml:space="preserve"> </w:t>
      </w:r>
      <w:r w:rsidR="00957844" w:rsidRPr="00094A6B">
        <w:rPr>
          <w:spacing w:val="-2"/>
        </w:rPr>
        <w:t>2018,</w:t>
      </w:r>
      <w:r w:rsidR="000175DC" w:rsidRPr="00094A6B">
        <w:rPr>
          <w:spacing w:val="-2"/>
        </w:rPr>
        <w:t xml:space="preserve"> </w:t>
      </w:r>
      <w:r w:rsidR="00957844" w:rsidRPr="00094A6B">
        <w:rPr>
          <w:spacing w:val="-2"/>
        </w:rPr>
        <w:t>http://wcd.nic.in/sites/default/files/RSOC%20National%20Report%202013-14%20Final.pdf</w:t>
      </w:r>
      <w:r w:rsidR="00094A6B" w:rsidRPr="00094A6B">
        <w:rPr>
          <w:spacing w:val="-2"/>
        </w:rPr>
        <w:t>.</w:t>
      </w:r>
    </w:p>
  </w:footnote>
  <w:footnote w:id="3">
    <w:p w14:paraId="44C4A9BA" w14:textId="23254103" w:rsidR="00383AD7" w:rsidRPr="00A81B5F" w:rsidRDefault="00383AD7" w:rsidP="00A81B5F">
      <w:pPr>
        <w:pStyle w:val="Footnote"/>
      </w:pPr>
      <w:r w:rsidRPr="00A81B5F">
        <w:rPr>
          <w:rStyle w:val="FootnoteReference"/>
        </w:rPr>
        <w:footnoteRef/>
      </w:r>
      <w:r w:rsidRPr="00A81B5F">
        <w:t xml:space="preserve"> </w:t>
      </w:r>
      <w:r>
        <w:t xml:space="preserve">Planning Commission, Government of India, </w:t>
      </w:r>
      <w:r w:rsidRPr="00383AD7">
        <w:rPr>
          <w:i/>
        </w:rPr>
        <w:t>Tenth Five Year Plan, 2002–2007</w:t>
      </w:r>
      <w:r w:rsidR="00447E72">
        <w:t xml:space="preserve">, accessed March 12, 2018, </w:t>
      </w:r>
      <w:r w:rsidR="006E5226" w:rsidRPr="00C31D95">
        <w:t>http://planningcommission.nic.in/plans/planrel/fiveyr/10th/10defaultchap.htm</w:t>
      </w:r>
      <w:r w:rsidR="00E83836">
        <w:t>.</w:t>
      </w:r>
    </w:p>
  </w:footnote>
  <w:footnote w:id="4">
    <w:p w14:paraId="47B02348" w14:textId="7F9B8BDD" w:rsidR="00383AD7" w:rsidRPr="00A81B5F" w:rsidRDefault="00383AD7" w:rsidP="00A81B5F">
      <w:pPr>
        <w:pStyle w:val="Footnote"/>
      </w:pPr>
      <w:r w:rsidRPr="00A81B5F">
        <w:rPr>
          <w:rStyle w:val="FootnoteReference"/>
        </w:rPr>
        <w:footnoteRef/>
      </w:r>
      <w:r w:rsidRPr="00A81B5F">
        <w:t xml:space="preserve"> </w:t>
      </w:r>
      <w:proofErr w:type="spellStart"/>
      <w:r>
        <w:t>A</w:t>
      </w:r>
      <w:r w:rsidR="00FD6E4B">
        <w:t>sit</w:t>
      </w:r>
      <w:proofErr w:type="spellEnd"/>
      <w:r>
        <w:t xml:space="preserve"> K. Biswas,</w:t>
      </w:r>
      <w:r w:rsidR="00FD6E4B">
        <w:t xml:space="preserve"> </w:t>
      </w:r>
      <w:r w:rsidR="00FD6E4B" w:rsidRPr="00FD6E4B">
        <w:t xml:space="preserve">Cecilia </w:t>
      </w:r>
      <w:proofErr w:type="spellStart"/>
      <w:r w:rsidR="00FD6E4B" w:rsidRPr="00FD6E4B">
        <w:t>Tortajada</w:t>
      </w:r>
      <w:proofErr w:type="spellEnd"/>
      <w:r w:rsidR="00FD6E4B" w:rsidRPr="00FD6E4B">
        <w:t>, Andrea Biswas-</w:t>
      </w:r>
      <w:proofErr w:type="spellStart"/>
      <w:r w:rsidR="00FD6E4B" w:rsidRPr="00FD6E4B">
        <w:t>Tortajada</w:t>
      </w:r>
      <w:proofErr w:type="spellEnd"/>
      <w:r w:rsidR="00FD6E4B" w:rsidRPr="00FD6E4B">
        <w:t xml:space="preserve">, </w:t>
      </w:r>
      <w:proofErr w:type="spellStart"/>
      <w:r w:rsidR="00FD6E4B" w:rsidRPr="00FD6E4B">
        <w:t>Yugal</w:t>
      </w:r>
      <w:proofErr w:type="spellEnd"/>
      <w:r w:rsidR="00FD6E4B" w:rsidRPr="00FD6E4B">
        <w:t xml:space="preserve"> K. Joshi</w:t>
      </w:r>
      <w:r w:rsidR="00FD6E4B">
        <w:t xml:space="preserve">, and </w:t>
      </w:r>
      <w:proofErr w:type="spellStart"/>
      <w:r w:rsidR="00FD6E4B" w:rsidRPr="00FD6E4B">
        <w:t>Aishvarya</w:t>
      </w:r>
      <w:proofErr w:type="spellEnd"/>
      <w:r w:rsidR="00FD6E4B" w:rsidRPr="00FD6E4B">
        <w:t xml:space="preserve"> Gupta,</w:t>
      </w:r>
      <w:r>
        <w:t xml:space="preserve"> </w:t>
      </w:r>
      <w:r w:rsidRPr="00383AD7">
        <w:rPr>
          <w:i/>
        </w:rPr>
        <w:t xml:space="preserve">Creating Shared Value: Impacts of Nestlé in </w:t>
      </w:r>
      <w:proofErr w:type="spellStart"/>
      <w:r w:rsidRPr="00383AD7">
        <w:rPr>
          <w:i/>
        </w:rPr>
        <w:t>Moga</w:t>
      </w:r>
      <w:proofErr w:type="spellEnd"/>
      <w:r w:rsidRPr="00383AD7">
        <w:rPr>
          <w:i/>
        </w:rPr>
        <w:t>, India</w:t>
      </w:r>
      <w:r>
        <w:t xml:space="preserve"> (Cham, Switzerland: Springer International Publishing,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3E8FF" w14:textId="2563ECD3" w:rsidR="00383AD7" w:rsidRDefault="00383AD7"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269E9">
      <w:rPr>
        <w:rFonts w:ascii="Arial" w:hAnsi="Arial"/>
        <w:b/>
        <w:noProof/>
      </w:rPr>
      <w:t>13</w:t>
    </w:r>
    <w:r>
      <w:rPr>
        <w:rFonts w:ascii="Arial" w:hAnsi="Arial"/>
        <w:b/>
      </w:rPr>
      <w:fldChar w:fldCharType="end"/>
    </w:r>
    <w:r>
      <w:rPr>
        <w:rFonts w:ascii="Arial" w:hAnsi="Arial"/>
        <w:b/>
      </w:rPr>
      <w:tab/>
    </w:r>
    <w:r w:rsidR="006C6364">
      <w:rPr>
        <w:rFonts w:ascii="Arial" w:hAnsi="Arial"/>
        <w:b/>
      </w:rPr>
      <w:t>9B18M062</w:t>
    </w:r>
  </w:p>
  <w:p w14:paraId="04DE68BD" w14:textId="77777777" w:rsidR="00383AD7" w:rsidRPr="00C92CC4" w:rsidRDefault="00383AD7">
    <w:pPr>
      <w:pStyle w:val="Header"/>
      <w:rPr>
        <w:sz w:val="18"/>
        <w:szCs w:val="18"/>
      </w:rPr>
    </w:pPr>
  </w:p>
  <w:p w14:paraId="6364D5ED" w14:textId="77777777" w:rsidR="00383AD7" w:rsidRPr="00C92CC4" w:rsidRDefault="00383AD7">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DB6EE9"/>
    <w:multiLevelType w:val="hybridMultilevel"/>
    <w:tmpl w:val="6D5CF5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CB6134"/>
    <w:multiLevelType w:val="hybridMultilevel"/>
    <w:tmpl w:val="6A70DA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B2F13"/>
    <w:multiLevelType w:val="hybridMultilevel"/>
    <w:tmpl w:val="7196E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1FF419C1"/>
    <w:multiLevelType w:val="hybridMultilevel"/>
    <w:tmpl w:val="935E2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24740AD"/>
    <w:multiLevelType w:val="hybridMultilevel"/>
    <w:tmpl w:val="79868A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5E7D4E"/>
    <w:multiLevelType w:val="hybridMultilevel"/>
    <w:tmpl w:val="F54E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9A2E56"/>
    <w:multiLevelType w:val="hybridMultilevel"/>
    <w:tmpl w:val="CA5E0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414672B"/>
    <w:multiLevelType w:val="hybridMultilevel"/>
    <w:tmpl w:val="50CE72A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847062A"/>
    <w:multiLevelType w:val="hybridMultilevel"/>
    <w:tmpl w:val="74846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8" w15:restartNumberingAfterBreak="0">
    <w:nsid w:val="51352B73"/>
    <w:multiLevelType w:val="hybridMultilevel"/>
    <w:tmpl w:val="33B287B6"/>
    <w:lvl w:ilvl="0" w:tplc="225A4A5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1" w15:restartNumberingAfterBreak="0">
    <w:nsid w:val="5BB6144B"/>
    <w:multiLevelType w:val="hybridMultilevel"/>
    <w:tmpl w:val="6B948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3" w15:restartNumberingAfterBreak="0">
    <w:nsid w:val="626E50CB"/>
    <w:multiLevelType w:val="hybridMultilevel"/>
    <w:tmpl w:val="66E625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5" w15:restartNumberingAfterBreak="0">
    <w:nsid w:val="697444F5"/>
    <w:multiLevelType w:val="hybridMultilevel"/>
    <w:tmpl w:val="50867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D5C3EF8"/>
    <w:multiLevelType w:val="hybridMultilevel"/>
    <w:tmpl w:val="F8A2F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027614E"/>
    <w:multiLevelType w:val="hybridMultilevel"/>
    <w:tmpl w:val="90E07846"/>
    <w:lvl w:ilvl="0" w:tplc="225A4A5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6240681"/>
    <w:multiLevelType w:val="hybridMultilevel"/>
    <w:tmpl w:val="63005120"/>
    <w:lvl w:ilvl="0" w:tplc="C7DCD2A6">
      <w:start w:val="1"/>
      <w:numFmt w:val="bullet"/>
      <w:lvlText w:val="•"/>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A841C4C">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EF462EC">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EE210B2">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56C030">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656430E">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E24F500">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63E0AB2">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4C2EE1E">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1" w15:restartNumberingAfterBreak="0">
    <w:nsid w:val="7FC337B1"/>
    <w:multiLevelType w:val="hybridMultilevel"/>
    <w:tmpl w:val="6F5C7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EE2544"/>
    <w:multiLevelType w:val="hybridMultilevel"/>
    <w:tmpl w:val="A000B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7"/>
  </w:num>
  <w:num w:numId="13">
    <w:abstractNumId w:val="14"/>
  </w:num>
  <w:num w:numId="14">
    <w:abstractNumId w:val="29"/>
  </w:num>
  <w:num w:numId="15">
    <w:abstractNumId w:val="30"/>
  </w:num>
  <w:num w:numId="16">
    <w:abstractNumId w:val="32"/>
  </w:num>
  <w:num w:numId="17">
    <w:abstractNumId w:val="20"/>
  </w:num>
  <w:num w:numId="18">
    <w:abstractNumId w:val="34"/>
  </w:num>
  <w:num w:numId="19">
    <w:abstractNumId w:val="13"/>
  </w:num>
  <w:num w:numId="20">
    <w:abstractNumId w:val="11"/>
  </w:num>
  <w:num w:numId="21">
    <w:abstractNumId w:val="38"/>
  </w:num>
  <w:num w:numId="22">
    <w:abstractNumId w:val="25"/>
  </w:num>
  <w:num w:numId="23">
    <w:abstractNumId w:val="40"/>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40"/>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40"/>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7"/>
  </w:num>
  <w:num w:numId="27">
    <w:abstractNumId w:val="23"/>
  </w:num>
  <w:num w:numId="28">
    <w:abstractNumId w:val="22"/>
  </w:num>
  <w:num w:numId="29">
    <w:abstractNumId w:val="41"/>
  </w:num>
  <w:num w:numId="30">
    <w:abstractNumId w:val="42"/>
  </w:num>
  <w:num w:numId="31">
    <w:abstractNumId w:val="28"/>
  </w:num>
  <w:num w:numId="32">
    <w:abstractNumId w:val="37"/>
  </w:num>
  <w:num w:numId="33">
    <w:abstractNumId w:val="36"/>
  </w:num>
  <w:num w:numId="34">
    <w:abstractNumId w:val="31"/>
  </w:num>
  <w:num w:numId="35">
    <w:abstractNumId w:val="39"/>
  </w:num>
  <w:num w:numId="36">
    <w:abstractNumId w:val="15"/>
  </w:num>
  <w:num w:numId="37">
    <w:abstractNumId w:val="18"/>
  </w:num>
  <w:num w:numId="38">
    <w:abstractNumId w:val="19"/>
  </w:num>
  <w:num w:numId="39">
    <w:abstractNumId w:val="24"/>
  </w:num>
  <w:num w:numId="40">
    <w:abstractNumId w:val="21"/>
  </w:num>
  <w:num w:numId="41">
    <w:abstractNumId w:val="12"/>
  </w:num>
  <w:num w:numId="42">
    <w:abstractNumId w:val="10"/>
  </w:num>
  <w:num w:numId="43">
    <w:abstractNumId w:val="26"/>
  </w:num>
  <w:num w:numId="44">
    <w:abstractNumId w:val="35"/>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6706"/>
    <w:rsid w:val="00013360"/>
    <w:rsid w:val="000175DC"/>
    <w:rsid w:val="000206CE"/>
    <w:rsid w:val="000216CE"/>
    <w:rsid w:val="0002450E"/>
    <w:rsid w:val="00025DC7"/>
    <w:rsid w:val="00026486"/>
    <w:rsid w:val="00044ECC"/>
    <w:rsid w:val="00044F47"/>
    <w:rsid w:val="00050018"/>
    <w:rsid w:val="000531D3"/>
    <w:rsid w:val="0005646B"/>
    <w:rsid w:val="000809F9"/>
    <w:rsid w:val="0008102D"/>
    <w:rsid w:val="00081E0C"/>
    <w:rsid w:val="00094A6B"/>
    <w:rsid w:val="00094C0E"/>
    <w:rsid w:val="000B1F07"/>
    <w:rsid w:val="000B3887"/>
    <w:rsid w:val="000C553E"/>
    <w:rsid w:val="000F0C22"/>
    <w:rsid w:val="000F6B09"/>
    <w:rsid w:val="000F6FDC"/>
    <w:rsid w:val="00104567"/>
    <w:rsid w:val="00126ADC"/>
    <w:rsid w:val="0012732D"/>
    <w:rsid w:val="00154FC9"/>
    <w:rsid w:val="00164FE5"/>
    <w:rsid w:val="0016533A"/>
    <w:rsid w:val="001762F6"/>
    <w:rsid w:val="0019241A"/>
    <w:rsid w:val="001A5335"/>
    <w:rsid w:val="001A54B0"/>
    <w:rsid w:val="001A752D"/>
    <w:rsid w:val="001C7667"/>
    <w:rsid w:val="001E4714"/>
    <w:rsid w:val="00203AA1"/>
    <w:rsid w:val="00213E98"/>
    <w:rsid w:val="002251A3"/>
    <w:rsid w:val="00233E1D"/>
    <w:rsid w:val="00267E19"/>
    <w:rsid w:val="002764BD"/>
    <w:rsid w:val="00280F72"/>
    <w:rsid w:val="002940F2"/>
    <w:rsid w:val="002A6AA4"/>
    <w:rsid w:val="002A71B1"/>
    <w:rsid w:val="002D60D7"/>
    <w:rsid w:val="002E32F0"/>
    <w:rsid w:val="002F387D"/>
    <w:rsid w:val="002F460C"/>
    <w:rsid w:val="002F48D6"/>
    <w:rsid w:val="00304378"/>
    <w:rsid w:val="0030793E"/>
    <w:rsid w:val="003133B8"/>
    <w:rsid w:val="003169CE"/>
    <w:rsid w:val="00316A0F"/>
    <w:rsid w:val="00316C81"/>
    <w:rsid w:val="003176DC"/>
    <w:rsid w:val="003258CD"/>
    <w:rsid w:val="00343565"/>
    <w:rsid w:val="00354899"/>
    <w:rsid w:val="00355FD6"/>
    <w:rsid w:val="00361C8E"/>
    <w:rsid w:val="00364A5C"/>
    <w:rsid w:val="0036549D"/>
    <w:rsid w:val="003735F5"/>
    <w:rsid w:val="00373FB1"/>
    <w:rsid w:val="00383AD7"/>
    <w:rsid w:val="003B30D8"/>
    <w:rsid w:val="003B7EF2"/>
    <w:rsid w:val="003C3FA4"/>
    <w:rsid w:val="003D3D90"/>
    <w:rsid w:val="003D7C09"/>
    <w:rsid w:val="003F2B0C"/>
    <w:rsid w:val="00421498"/>
    <w:rsid w:val="004221E4"/>
    <w:rsid w:val="004269E9"/>
    <w:rsid w:val="00447E72"/>
    <w:rsid w:val="0045413F"/>
    <w:rsid w:val="00455E2F"/>
    <w:rsid w:val="00461811"/>
    <w:rsid w:val="00462CD4"/>
    <w:rsid w:val="0046558D"/>
    <w:rsid w:val="00471088"/>
    <w:rsid w:val="00474F03"/>
    <w:rsid w:val="00476B42"/>
    <w:rsid w:val="00480769"/>
    <w:rsid w:val="00483AF9"/>
    <w:rsid w:val="00496DA5"/>
    <w:rsid w:val="004A326F"/>
    <w:rsid w:val="004A5745"/>
    <w:rsid w:val="004B1CCB"/>
    <w:rsid w:val="004B7ECE"/>
    <w:rsid w:val="004D4878"/>
    <w:rsid w:val="004D73A5"/>
    <w:rsid w:val="004E238F"/>
    <w:rsid w:val="004F36FB"/>
    <w:rsid w:val="00502356"/>
    <w:rsid w:val="00532CF5"/>
    <w:rsid w:val="00537631"/>
    <w:rsid w:val="0055225E"/>
    <w:rsid w:val="005528CB"/>
    <w:rsid w:val="005600DA"/>
    <w:rsid w:val="005621AC"/>
    <w:rsid w:val="00566771"/>
    <w:rsid w:val="00571462"/>
    <w:rsid w:val="00581E2E"/>
    <w:rsid w:val="00584F15"/>
    <w:rsid w:val="005A7F51"/>
    <w:rsid w:val="005B285B"/>
    <w:rsid w:val="006163F7"/>
    <w:rsid w:val="00625E7B"/>
    <w:rsid w:val="006374C4"/>
    <w:rsid w:val="00640773"/>
    <w:rsid w:val="00652606"/>
    <w:rsid w:val="006664E5"/>
    <w:rsid w:val="00671123"/>
    <w:rsid w:val="00675E43"/>
    <w:rsid w:val="00682754"/>
    <w:rsid w:val="00684332"/>
    <w:rsid w:val="006934E1"/>
    <w:rsid w:val="00697F1D"/>
    <w:rsid w:val="006A58A9"/>
    <w:rsid w:val="006A606D"/>
    <w:rsid w:val="006B4CC2"/>
    <w:rsid w:val="006B7F7A"/>
    <w:rsid w:val="006C0276"/>
    <w:rsid w:val="006C0371"/>
    <w:rsid w:val="006C08B6"/>
    <w:rsid w:val="006C0B1A"/>
    <w:rsid w:val="006C4384"/>
    <w:rsid w:val="006C6065"/>
    <w:rsid w:val="006C6364"/>
    <w:rsid w:val="006C7F9F"/>
    <w:rsid w:val="006E2F6D"/>
    <w:rsid w:val="006E5226"/>
    <w:rsid w:val="006E58F6"/>
    <w:rsid w:val="006E77E1"/>
    <w:rsid w:val="006F131D"/>
    <w:rsid w:val="00710091"/>
    <w:rsid w:val="00733DB0"/>
    <w:rsid w:val="00752BCD"/>
    <w:rsid w:val="00752D99"/>
    <w:rsid w:val="007666C3"/>
    <w:rsid w:val="00766DA1"/>
    <w:rsid w:val="00782B0A"/>
    <w:rsid w:val="0078317A"/>
    <w:rsid w:val="007866A6"/>
    <w:rsid w:val="007A130D"/>
    <w:rsid w:val="007B55D7"/>
    <w:rsid w:val="007D2B2A"/>
    <w:rsid w:val="007D4102"/>
    <w:rsid w:val="007E5921"/>
    <w:rsid w:val="007F51FC"/>
    <w:rsid w:val="007F5740"/>
    <w:rsid w:val="00802A2C"/>
    <w:rsid w:val="00821FFC"/>
    <w:rsid w:val="008271CA"/>
    <w:rsid w:val="008467D5"/>
    <w:rsid w:val="0084792A"/>
    <w:rsid w:val="00850814"/>
    <w:rsid w:val="00856D9F"/>
    <w:rsid w:val="008575B3"/>
    <w:rsid w:val="00866F6D"/>
    <w:rsid w:val="008A1EEC"/>
    <w:rsid w:val="008A4DC4"/>
    <w:rsid w:val="008D18E5"/>
    <w:rsid w:val="00902AFE"/>
    <w:rsid w:val="009067A4"/>
    <w:rsid w:val="0090722E"/>
    <w:rsid w:val="00911CE9"/>
    <w:rsid w:val="00912F82"/>
    <w:rsid w:val="00925E26"/>
    <w:rsid w:val="009340DB"/>
    <w:rsid w:val="00957844"/>
    <w:rsid w:val="00972498"/>
    <w:rsid w:val="00974CC6"/>
    <w:rsid w:val="00976AD4"/>
    <w:rsid w:val="00982324"/>
    <w:rsid w:val="009A312F"/>
    <w:rsid w:val="009A5348"/>
    <w:rsid w:val="009A67BB"/>
    <w:rsid w:val="009C76D5"/>
    <w:rsid w:val="009F7AA4"/>
    <w:rsid w:val="00A1742D"/>
    <w:rsid w:val="00A45B80"/>
    <w:rsid w:val="00A51A0E"/>
    <w:rsid w:val="00A559DB"/>
    <w:rsid w:val="00A5664E"/>
    <w:rsid w:val="00A613DD"/>
    <w:rsid w:val="00A74A1D"/>
    <w:rsid w:val="00A81B5F"/>
    <w:rsid w:val="00A84073"/>
    <w:rsid w:val="00A85881"/>
    <w:rsid w:val="00A86885"/>
    <w:rsid w:val="00AB3014"/>
    <w:rsid w:val="00AC45A6"/>
    <w:rsid w:val="00AD0F0B"/>
    <w:rsid w:val="00AF35FC"/>
    <w:rsid w:val="00B03639"/>
    <w:rsid w:val="00B0652A"/>
    <w:rsid w:val="00B1557E"/>
    <w:rsid w:val="00B26122"/>
    <w:rsid w:val="00B26871"/>
    <w:rsid w:val="00B36288"/>
    <w:rsid w:val="00B3757D"/>
    <w:rsid w:val="00B40937"/>
    <w:rsid w:val="00B423EF"/>
    <w:rsid w:val="00B453DE"/>
    <w:rsid w:val="00B4742F"/>
    <w:rsid w:val="00B6182A"/>
    <w:rsid w:val="00B6535A"/>
    <w:rsid w:val="00B8212B"/>
    <w:rsid w:val="00B901F9"/>
    <w:rsid w:val="00B928FE"/>
    <w:rsid w:val="00BB7FB1"/>
    <w:rsid w:val="00BD6EFB"/>
    <w:rsid w:val="00BF4F14"/>
    <w:rsid w:val="00C0457F"/>
    <w:rsid w:val="00C048A8"/>
    <w:rsid w:val="00C148AA"/>
    <w:rsid w:val="00C15BE2"/>
    <w:rsid w:val="00C22219"/>
    <w:rsid w:val="00C23B4C"/>
    <w:rsid w:val="00C31D95"/>
    <w:rsid w:val="00C3447F"/>
    <w:rsid w:val="00C42790"/>
    <w:rsid w:val="00C43D46"/>
    <w:rsid w:val="00C514A8"/>
    <w:rsid w:val="00C81491"/>
    <w:rsid w:val="00C81676"/>
    <w:rsid w:val="00C92CC4"/>
    <w:rsid w:val="00CA0AFB"/>
    <w:rsid w:val="00CA2CE1"/>
    <w:rsid w:val="00CA3976"/>
    <w:rsid w:val="00CA757B"/>
    <w:rsid w:val="00CC1582"/>
    <w:rsid w:val="00CC1787"/>
    <w:rsid w:val="00CC182C"/>
    <w:rsid w:val="00CD0824"/>
    <w:rsid w:val="00CD21BE"/>
    <w:rsid w:val="00CD2908"/>
    <w:rsid w:val="00CE1B8D"/>
    <w:rsid w:val="00CF05D1"/>
    <w:rsid w:val="00CF7108"/>
    <w:rsid w:val="00D00259"/>
    <w:rsid w:val="00D03A82"/>
    <w:rsid w:val="00D14DEF"/>
    <w:rsid w:val="00D15344"/>
    <w:rsid w:val="00D31BEC"/>
    <w:rsid w:val="00D36CD7"/>
    <w:rsid w:val="00D41737"/>
    <w:rsid w:val="00D42E02"/>
    <w:rsid w:val="00D512F8"/>
    <w:rsid w:val="00D63150"/>
    <w:rsid w:val="00D64A32"/>
    <w:rsid w:val="00D64EFC"/>
    <w:rsid w:val="00D75295"/>
    <w:rsid w:val="00D76CE9"/>
    <w:rsid w:val="00D8766D"/>
    <w:rsid w:val="00D97F12"/>
    <w:rsid w:val="00DA4378"/>
    <w:rsid w:val="00DB42E7"/>
    <w:rsid w:val="00DB4EF2"/>
    <w:rsid w:val="00DF32C2"/>
    <w:rsid w:val="00E12551"/>
    <w:rsid w:val="00E22FF1"/>
    <w:rsid w:val="00E2307D"/>
    <w:rsid w:val="00E31342"/>
    <w:rsid w:val="00E42C00"/>
    <w:rsid w:val="00E471A7"/>
    <w:rsid w:val="00E635CF"/>
    <w:rsid w:val="00E83836"/>
    <w:rsid w:val="00EA46F8"/>
    <w:rsid w:val="00EA72CA"/>
    <w:rsid w:val="00EB2D29"/>
    <w:rsid w:val="00EB5410"/>
    <w:rsid w:val="00EC6E0A"/>
    <w:rsid w:val="00ED4E18"/>
    <w:rsid w:val="00EE1F37"/>
    <w:rsid w:val="00EE576B"/>
    <w:rsid w:val="00F0159C"/>
    <w:rsid w:val="00F105B7"/>
    <w:rsid w:val="00F17A21"/>
    <w:rsid w:val="00F50E91"/>
    <w:rsid w:val="00F57D29"/>
    <w:rsid w:val="00F60073"/>
    <w:rsid w:val="00F75E65"/>
    <w:rsid w:val="00F86B05"/>
    <w:rsid w:val="00F92914"/>
    <w:rsid w:val="00F92A99"/>
    <w:rsid w:val="00F96201"/>
    <w:rsid w:val="00FC30E9"/>
    <w:rsid w:val="00FD0B18"/>
    <w:rsid w:val="00FD0F82"/>
    <w:rsid w:val="00FD5D3C"/>
    <w:rsid w:val="00FD6E4B"/>
    <w:rsid w:val="00FE4194"/>
    <w:rsid w:val="00FE714F"/>
    <w:rsid w:val="00FF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D234088"/>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BodyA">
    <w:name w:val="Body A"/>
    <w:rsid w:val="00A81B5F"/>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eastAsia="en-GB"/>
    </w:rPr>
  </w:style>
  <w:style w:type="character" w:styleId="FollowedHyperlink">
    <w:name w:val="FollowedHyperlink"/>
    <w:basedOn w:val="DefaultParagraphFont"/>
    <w:uiPriority w:val="99"/>
    <w:semiHidden/>
    <w:unhideWhenUsed/>
    <w:rsid w:val="00A81B5F"/>
    <w:rPr>
      <w:color w:val="800080" w:themeColor="followedHyperlink"/>
      <w:u w:val="single"/>
    </w:rPr>
  </w:style>
  <w:style w:type="paragraph" w:styleId="DocumentMap">
    <w:name w:val="Document Map"/>
    <w:basedOn w:val="Normal"/>
    <w:link w:val="DocumentMapChar"/>
    <w:uiPriority w:val="99"/>
    <w:semiHidden/>
    <w:unhideWhenUsed/>
    <w:rsid w:val="00A81B5F"/>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81B5F"/>
    <w:rPr>
      <w:rFonts w:ascii="Segoe UI" w:eastAsia="Times New Roman" w:hAnsi="Segoe UI" w:cs="Segoe UI"/>
      <w:sz w:val="16"/>
      <w:szCs w:val="16"/>
    </w:rPr>
  </w:style>
  <w:style w:type="paragraph" w:customStyle="1" w:styleId="TableStyle2">
    <w:name w:val="Table Style 2"/>
    <w:rsid w:val="003176DC"/>
    <w:pPr>
      <w:pBdr>
        <w:top w:val="nil"/>
        <w:left w:val="nil"/>
        <w:bottom w:val="nil"/>
        <w:right w:val="nil"/>
        <w:between w:val="nil"/>
        <w:bar w:val="nil"/>
      </w:pBdr>
      <w:spacing w:after="0" w:line="240" w:lineRule="auto"/>
    </w:pPr>
    <w:rPr>
      <w:rFonts w:ascii="Helvetica" w:eastAsia="Arial Unicode MS" w:hAnsi="Helvetica" w:cs="Arial Unicode MS"/>
      <w:color w:val="000000"/>
      <w:sz w:val="20"/>
      <w:szCs w:val="20"/>
      <w:u w:color="000000"/>
      <w:bdr w:val="nil"/>
      <w:lang w:eastAsia="en-GB"/>
    </w:rPr>
  </w:style>
  <w:style w:type="paragraph" w:customStyle="1" w:styleId="Body">
    <w:name w:val="Body"/>
    <w:rsid w:val="003176DC"/>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table" w:customStyle="1" w:styleId="TableGrid1">
    <w:name w:val="Table Grid1"/>
    <w:basedOn w:val="TableNormal"/>
    <w:next w:val="TableGrid"/>
    <w:uiPriority w:val="39"/>
    <w:rsid w:val="003176D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E5226"/>
    <w:rPr>
      <w:color w:val="808080"/>
      <w:shd w:val="clear" w:color="auto" w:fill="E6E6E6"/>
    </w:rPr>
  </w:style>
  <w:style w:type="character" w:customStyle="1" w:styleId="UnresolvedMention2">
    <w:name w:val="Unresolved Mention2"/>
    <w:basedOn w:val="DefaultParagraphFont"/>
    <w:uiPriority w:val="99"/>
    <w:semiHidden/>
    <w:unhideWhenUsed/>
    <w:rsid w:val="009578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4F964-CE5E-416B-8285-D5D097774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4943</Words>
  <Characters>28176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2</cp:revision>
  <cp:lastPrinted>2018-02-09T23:13:00Z</cp:lastPrinted>
  <dcterms:created xsi:type="dcterms:W3CDTF">2020-11-17T18:58:00Z</dcterms:created>
  <dcterms:modified xsi:type="dcterms:W3CDTF">2020-11-17T18:58:00Z</dcterms:modified>
</cp:coreProperties>
</file>