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F40F0" w14:textId="35B1B3FB" w:rsidR="008467D5" w:rsidRPr="00C85E0A" w:rsidRDefault="00C85E0A" w:rsidP="00376B41">
      <w:pPr>
        <w:tabs>
          <w:tab w:val="left" w:pos="-1440"/>
          <w:tab w:val="left" w:pos="-720"/>
          <w:tab w:val="left" w:pos="1"/>
          <w:tab w:val="right" w:pos="9360"/>
        </w:tabs>
        <w:jc w:val="both"/>
        <w:rPr>
          <w:rFonts w:ascii="Arial" w:hAnsi="Arial"/>
          <w:sz w:val="24"/>
          <w:lang w:eastAsia="zh-CN"/>
        </w:rPr>
      </w:pPr>
      <w:r w:rsidRPr="00C85E0A">
        <w:rPr>
          <w:rFonts w:ascii="Arial" w:hAnsi="Arial"/>
          <w:b/>
          <w:noProof/>
          <w:sz w:val="24"/>
          <w:lang w:eastAsia="en-GB"/>
        </w:rPr>
        <w:drawing>
          <wp:inline distT="0" distB="0" distL="0" distR="0" wp14:anchorId="7D527EEB" wp14:editId="60DBFC4C">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8DDFD9" w14:textId="31C6671D" w:rsidR="00856D9F" w:rsidRPr="00C85E0A" w:rsidRDefault="00856D9F" w:rsidP="008467D5">
      <w:pPr>
        <w:pBdr>
          <w:bottom w:val="single" w:sz="18" w:space="1" w:color="auto"/>
        </w:pBdr>
        <w:tabs>
          <w:tab w:val="left" w:pos="-1440"/>
          <w:tab w:val="left" w:pos="-720"/>
          <w:tab w:val="left" w:pos="1"/>
        </w:tabs>
        <w:jc w:val="both"/>
        <w:rPr>
          <w:rFonts w:ascii="Arial" w:hAnsi="Arial"/>
          <w:b/>
          <w:sz w:val="2"/>
        </w:rPr>
      </w:pPr>
    </w:p>
    <w:p w14:paraId="0DD1881D" w14:textId="57BFC79B" w:rsidR="00D75295" w:rsidRPr="00A52F7C" w:rsidRDefault="005169F6" w:rsidP="00444D97">
      <w:pPr>
        <w:pStyle w:val="ProductNumber"/>
        <w:outlineLvl w:val="0"/>
      </w:pPr>
      <w:r>
        <w:t>9B18M064</w:t>
      </w:r>
    </w:p>
    <w:p w14:paraId="3A5F72D0" w14:textId="77777777" w:rsidR="00D75295" w:rsidRPr="00A52F7C" w:rsidRDefault="00D75295" w:rsidP="009D6F38">
      <w:pPr>
        <w:rPr>
          <w:rFonts w:ascii="Arial" w:hAnsi="Arial"/>
          <w:b/>
          <w:sz w:val="28"/>
          <w:szCs w:val="28"/>
        </w:rPr>
      </w:pPr>
    </w:p>
    <w:p w14:paraId="7AC46AD4" w14:textId="77777777" w:rsidR="00866F6D" w:rsidRPr="00A52F7C" w:rsidRDefault="00866F6D" w:rsidP="009D6F38">
      <w:pPr>
        <w:rPr>
          <w:rFonts w:ascii="Arial" w:hAnsi="Arial"/>
          <w:b/>
          <w:sz w:val="28"/>
          <w:szCs w:val="28"/>
        </w:rPr>
      </w:pPr>
    </w:p>
    <w:p w14:paraId="5C433BFA" w14:textId="53E64E97" w:rsidR="000031D2" w:rsidRPr="00A52F7C" w:rsidRDefault="00CB1E38" w:rsidP="00444D97">
      <w:pPr>
        <w:pStyle w:val="CaseTitle"/>
        <w:outlineLvl w:val="0"/>
      </w:pPr>
      <w:r w:rsidRPr="00A52F7C">
        <w:t>ALIBABA</w:t>
      </w:r>
      <w:r w:rsidR="00F9271A" w:rsidRPr="00A52F7C">
        <w:t xml:space="preserve"> GROUP</w:t>
      </w:r>
      <w:r w:rsidR="00BD3934" w:rsidRPr="00A52F7C">
        <w:t>:</w:t>
      </w:r>
      <w:r w:rsidR="0032202E">
        <w:t xml:space="preserve"> ACQUIRING LAZADA TO</w:t>
      </w:r>
      <w:r w:rsidR="005169F6">
        <w:t xml:space="preserve"> </w:t>
      </w:r>
      <w:r w:rsidR="001B3E05" w:rsidRPr="00A52F7C">
        <w:t>WIN</w:t>
      </w:r>
      <w:r w:rsidR="00F9271A" w:rsidRPr="00A52F7C">
        <w:t xml:space="preserve"> </w:t>
      </w:r>
      <w:r w:rsidR="0032202E">
        <w:t xml:space="preserve">the </w:t>
      </w:r>
      <w:r w:rsidR="00F9271A" w:rsidRPr="00A52F7C">
        <w:t>SOUTHEAST ASIA E</w:t>
      </w:r>
      <w:r w:rsidR="0048153F">
        <w:noBreakHyphen/>
      </w:r>
      <w:r w:rsidR="00F9271A" w:rsidRPr="00A52F7C">
        <w:t xml:space="preserve">COMMERCE </w:t>
      </w:r>
      <w:r w:rsidR="001B3E05" w:rsidRPr="00A52F7C">
        <w:t>BATTLE</w:t>
      </w:r>
      <w:r w:rsidR="000031D2" w:rsidRPr="00A52F7C">
        <w:rPr>
          <w:rStyle w:val="EndnoteReference"/>
        </w:rPr>
        <w:endnoteReference w:id="1"/>
      </w:r>
    </w:p>
    <w:p w14:paraId="6AB7A740" w14:textId="6A1B72F7" w:rsidR="000031D2" w:rsidRPr="00A52F7C" w:rsidRDefault="000031D2" w:rsidP="00104567">
      <w:pPr>
        <w:pStyle w:val="StyleCopyrightStatementAfter0ptBottomSinglesolidline1"/>
        <w:rPr>
          <w:lang w:eastAsia="zh-CN"/>
        </w:rPr>
      </w:pPr>
      <w:proofErr w:type="spellStart"/>
      <w:r w:rsidRPr="00A52F7C">
        <w:rPr>
          <w:lang w:eastAsia="zh-CN"/>
        </w:rPr>
        <w:t>Wiboon</w:t>
      </w:r>
      <w:proofErr w:type="spellEnd"/>
      <w:r w:rsidRPr="00A52F7C">
        <w:rPr>
          <w:lang w:eastAsia="zh-CN"/>
        </w:rPr>
        <w:t xml:space="preserve"> </w:t>
      </w:r>
      <w:proofErr w:type="spellStart"/>
      <w:r w:rsidRPr="00A52F7C">
        <w:rPr>
          <w:lang w:eastAsia="zh-CN"/>
        </w:rPr>
        <w:t>Kittilaksanawong</w:t>
      </w:r>
      <w:proofErr w:type="spellEnd"/>
      <w:r w:rsidRPr="00A52F7C">
        <w:rPr>
          <w:lang w:eastAsia="zh-CN"/>
        </w:rPr>
        <w:t xml:space="preserve"> and Noor </w:t>
      </w:r>
      <w:proofErr w:type="spellStart"/>
      <w:r w:rsidRPr="00A52F7C">
        <w:rPr>
          <w:lang w:eastAsia="zh-CN"/>
        </w:rPr>
        <w:t>Izzati</w:t>
      </w:r>
      <w:proofErr w:type="spellEnd"/>
      <w:r w:rsidRPr="00A52F7C">
        <w:rPr>
          <w:lang w:eastAsia="zh-CN"/>
        </w:rPr>
        <w:t xml:space="preserve"> </w:t>
      </w:r>
      <w:proofErr w:type="spellStart"/>
      <w:r w:rsidRPr="00A52F7C">
        <w:rPr>
          <w:lang w:eastAsia="zh-CN"/>
        </w:rPr>
        <w:t>Binti</w:t>
      </w:r>
      <w:proofErr w:type="spellEnd"/>
      <w:r w:rsidRPr="00A52F7C">
        <w:rPr>
          <w:lang w:eastAsia="zh-CN"/>
        </w:rPr>
        <w:t xml:space="preserve"> Harun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F56F594" w14:textId="77777777" w:rsidR="000031D2" w:rsidRPr="00A52F7C" w:rsidRDefault="000031D2" w:rsidP="00104567">
      <w:pPr>
        <w:pStyle w:val="StyleCopyrightStatementAfter0ptBottomSinglesolidline1"/>
        <w:rPr>
          <w:lang w:eastAsia="zh-CN"/>
        </w:rPr>
      </w:pPr>
    </w:p>
    <w:p w14:paraId="6967091C" w14:textId="77777777" w:rsidR="00C85E0A" w:rsidRPr="000E27F1" w:rsidRDefault="00C85E0A" w:rsidP="004A706A">
      <w:pPr>
        <w:jc w:val="both"/>
        <w:rPr>
          <w:rFonts w:ascii="Arial" w:hAnsi="Arial" w:cs="Arial"/>
          <w:i/>
          <w:iCs/>
          <w:sz w:val="16"/>
          <w:szCs w:val="16"/>
        </w:rPr>
      </w:pPr>
      <w:r w:rsidRPr="000E27F1">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rPr>
          <w:t>cases@ivey.ca</w:t>
        </w:r>
      </w:hyperlink>
      <w:r w:rsidRPr="000E27F1">
        <w:rPr>
          <w:rFonts w:ascii="Arial" w:hAnsi="Arial" w:cs="Arial"/>
          <w:i/>
          <w:iCs/>
          <w:sz w:val="16"/>
          <w:szCs w:val="16"/>
        </w:rPr>
        <w:t xml:space="preserve">; </w:t>
      </w:r>
      <w:hyperlink r:id="rId10" w:history="1">
        <w:r w:rsidRPr="000E27F1">
          <w:rPr>
            <w:rFonts w:ascii="Arial" w:hAnsi="Arial" w:cs="Arial"/>
            <w:i/>
            <w:iCs/>
            <w:sz w:val="16"/>
            <w:szCs w:val="16"/>
          </w:rPr>
          <w:t>www.iveycases.com</w:t>
        </w:r>
      </w:hyperlink>
      <w:r w:rsidRPr="000E27F1">
        <w:rPr>
          <w:rFonts w:ascii="Arial" w:hAnsi="Arial" w:cs="Arial"/>
          <w:i/>
          <w:iCs/>
          <w:sz w:val="16"/>
          <w:szCs w:val="16"/>
        </w:rPr>
        <w:t>.</w:t>
      </w:r>
    </w:p>
    <w:p w14:paraId="30D56A6A" w14:textId="77777777" w:rsidR="00C85E0A" w:rsidRPr="000E27F1" w:rsidRDefault="00C85E0A" w:rsidP="004A706A">
      <w:pPr>
        <w:pStyle w:val="StyleCopyrightStatementAfter0ptBottomSinglesolidline1"/>
        <w:pBdr>
          <w:top w:val="none" w:sz="0" w:space="0" w:color="auto"/>
        </w:pBdr>
      </w:pPr>
    </w:p>
    <w:p w14:paraId="3159F9DD" w14:textId="63D7DB0E" w:rsidR="000031D2" w:rsidRPr="00A52F7C" w:rsidRDefault="00C85E0A" w:rsidP="00C85E0A">
      <w:pPr>
        <w:pStyle w:val="StyleCopyrightStatementAfter0ptBottomSinglesolidline1"/>
        <w:pBdr>
          <w:top w:val="none" w:sz="0" w:space="0" w:color="auto"/>
        </w:pBdr>
        <w:rPr>
          <w:lang w:eastAsia="zh-CN"/>
        </w:rPr>
      </w:pPr>
      <w:r>
        <w:t>Copyright © 2018, Ivey Business School Foundation</w:t>
      </w:r>
      <w:r w:rsidR="000031D2" w:rsidRPr="00A52F7C">
        <w:tab/>
        <w:t>Version: 201</w:t>
      </w:r>
      <w:r w:rsidR="0032202E">
        <w:rPr>
          <w:lang w:eastAsia="zh-CN"/>
        </w:rPr>
        <w:t>8-04</w:t>
      </w:r>
      <w:r w:rsidR="00BA3D71">
        <w:rPr>
          <w:lang w:eastAsia="zh-CN"/>
        </w:rPr>
        <w:t>-</w:t>
      </w:r>
      <w:r w:rsidR="00572A41">
        <w:rPr>
          <w:lang w:eastAsia="zh-CN"/>
        </w:rPr>
        <w:t>19</w:t>
      </w:r>
    </w:p>
    <w:p w14:paraId="63D34FFA" w14:textId="77777777" w:rsidR="000031D2" w:rsidRPr="00A52F7C" w:rsidRDefault="000031D2" w:rsidP="00104567">
      <w:pPr>
        <w:pStyle w:val="StyleCopyrightStatementAfter0ptBottomSinglesolidline1"/>
        <w:rPr>
          <w:rFonts w:ascii="Times New Roman" w:hAnsi="Times New Roman"/>
          <w:sz w:val="20"/>
        </w:rPr>
      </w:pPr>
    </w:p>
    <w:p w14:paraId="2D70BF46" w14:textId="77777777" w:rsidR="000031D2" w:rsidRPr="00A52F7C" w:rsidRDefault="000031D2" w:rsidP="005169F6">
      <w:pPr>
        <w:pStyle w:val="BodyTextMain"/>
        <w:rPr>
          <w:rFonts w:eastAsia="ヒラギノ明朝 Pro W3"/>
          <w:lang w:eastAsia="zh-CN"/>
        </w:rPr>
      </w:pPr>
    </w:p>
    <w:p w14:paraId="3A546783" w14:textId="469EB320" w:rsidR="000031D2" w:rsidRPr="00A52F7C" w:rsidRDefault="000031D2" w:rsidP="005169F6">
      <w:pPr>
        <w:pStyle w:val="BodyTextMain"/>
        <w:jc w:val="right"/>
        <w:rPr>
          <w:rFonts w:eastAsia="ヒラギノ明朝 Pro W3"/>
          <w:lang w:eastAsia="ja-JP"/>
        </w:rPr>
      </w:pPr>
      <w:r w:rsidRPr="00A52F7C">
        <w:rPr>
          <w:rFonts w:eastAsia="ヒラギノ明朝 Pro W3"/>
          <w:lang w:eastAsia="ja-JP"/>
        </w:rPr>
        <w:t xml:space="preserve">With the investment in </w:t>
      </w:r>
      <w:proofErr w:type="spellStart"/>
      <w:r w:rsidRPr="00A52F7C">
        <w:rPr>
          <w:rFonts w:eastAsia="ヒラギノ明朝 Pro W3"/>
          <w:lang w:eastAsia="ja-JP"/>
        </w:rPr>
        <w:t>Lazada</w:t>
      </w:r>
      <w:proofErr w:type="spellEnd"/>
      <w:r w:rsidRPr="00A52F7C">
        <w:rPr>
          <w:rFonts w:eastAsia="ヒラギノ明朝 Pro W3"/>
          <w:lang w:eastAsia="ja-JP"/>
        </w:rPr>
        <w:t>, Alibaba gains access to a platform with a large and growing consumer base outside China, a proven management team and a solid foundation for future growth in one of the most promising regions for e</w:t>
      </w:r>
      <w:r w:rsidR="00954C97" w:rsidRPr="00A52F7C">
        <w:rPr>
          <w:rFonts w:eastAsia="ヒラギノ明朝 Pro W3"/>
          <w:lang w:eastAsia="ja-JP"/>
        </w:rPr>
        <w:t>-c</w:t>
      </w:r>
      <w:r w:rsidRPr="00A52F7C">
        <w:rPr>
          <w:rFonts w:eastAsia="ヒラギノ明朝 Pro W3"/>
          <w:lang w:eastAsia="ja-JP"/>
        </w:rPr>
        <w:t>ommerce globally.</w:t>
      </w:r>
      <w:r w:rsidRPr="00A52F7C">
        <w:rPr>
          <w:rStyle w:val="EndnoteReference"/>
          <w:rFonts w:eastAsia="ヒラギノ明朝 Pro W3"/>
          <w:lang w:eastAsia="ja-JP"/>
        </w:rPr>
        <w:endnoteReference w:id="2"/>
      </w:r>
    </w:p>
    <w:p w14:paraId="0CFD9105" w14:textId="77777777" w:rsidR="000031D2" w:rsidRPr="00A52F7C" w:rsidRDefault="000031D2" w:rsidP="005169F6">
      <w:pPr>
        <w:pStyle w:val="BodyTextMain"/>
        <w:jc w:val="right"/>
        <w:rPr>
          <w:rFonts w:eastAsia="ヒラギノ明朝 Pro W3"/>
          <w:lang w:eastAsia="ja-JP"/>
        </w:rPr>
      </w:pPr>
    </w:p>
    <w:p w14:paraId="17D6357D" w14:textId="5C812627" w:rsidR="000031D2" w:rsidRPr="00A52F7C" w:rsidRDefault="000031D2" w:rsidP="005169F6">
      <w:pPr>
        <w:pStyle w:val="BodyTextMain"/>
        <w:jc w:val="right"/>
        <w:rPr>
          <w:rFonts w:eastAsia="ヒラギノ明朝 Pro W3"/>
          <w:lang w:eastAsia="ja-JP"/>
        </w:rPr>
      </w:pPr>
      <w:r w:rsidRPr="00A52F7C">
        <w:rPr>
          <w:rFonts w:eastAsia="ヒラギノ明朝 Pro W3"/>
          <w:lang w:eastAsia="ja-JP"/>
        </w:rPr>
        <w:t>J. Michael Evans, President of Alibaba Group Holding Limited</w:t>
      </w:r>
    </w:p>
    <w:p w14:paraId="09DC2B02" w14:textId="01EA45F2" w:rsidR="000031D2" w:rsidRDefault="000031D2" w:rsidP="005169F6">
      <w:pPr>
        <w:pStyle w:val="BodyTextMain"/>
        <w:rPr>
          <w:rFonts w:eastAsia="ヒラギノ明朝 Pro W3"/>
          <w:lang w:eastAsia="ja-JP"/>
        </w:rPr>
      </w:pPr>
    </w:p>
    <w:p w14:paraId="138A0086" w14:textId="77777777" w:rsidR="0032202E" w:rsidRPr="00A52F7C" w:rsidRDefault="0032202E" w:rsidP="005169F6">
      <w:pPr>
        <w:pStyle w:val="BodyTextMain"/>
        <w:rPr>
          <w:rFonts w:eastAsia="ヒラギノ明朝 Pro W3"/>
          <w:lang w:eastAsia="ja-JP"/>
        </w:rPr>
      </w:pPr>
    </w:p>
    <w:p w14:paraId="69AC9301" w14:textId="4E9D59AC" w:rsidR="000031D2" w:rsidRPr="00A52F7C" w:rsidRDefault="000031D2" w:rsidP="005169F6">
      <w:pPr>
        <w:pStyle w:val="BodyTextMain"/>
        <w:rPr>
          <w:lang w:eastAsia="zh-CN"/>
        </w:rPr>
      </w:pPr>
      <w:r w:rsidRPr="00A52F7C">
        <w:rPr>
          <w:rFonts w:eastAsia="ヒラギノ明朝 Pro W3"/>
          <w:lang w:eastAsia="ja-JP"/>
        </w:rPr>
        <w:t xml:space="preserve">Given the slowdown in </w:t>
      </w:r>
      <w:r w:rsidR="00954C97" w:rsidRPr="00A52F7C">
        <w:rPr>
          <w:rFonts w:eastAsia="ヒラギノ明朝 Pro W3"/>
          <w:lang w:eastAsia="ja-JP"/>
        </w:rPr>
        <w:t xml:space="preserve">the </w:t>
      </w:r>
      <w:r w:rsidRPr="00A52F7C">
        <w:rPr>
          <w:rFonts w:eastAsia="ヒラギノ明朝 Pro W3"/>
          <w:lang w:eastAsia="ja-JP"/>
        </w:rPr>
        <w:t>Chinese economy and intensified domestic competition, the Chinese e</w:t>
      </w:r>
      <w:r w:rsidR="00954C97" w:rsidRPr="00A52F7C">
        <w:rPr>
          <w:rFonts w:eastAsia="ヒラギノ明朝 Pro W3"/>
          <w:lang w:eastAsia="ja-JP"/>
        </w:rPr>
        <w:noBreakHyphen/>
      </w:r>
      <w:r w:rsidRPr="00A52F7C">
        <w:rPr>
          <w:rFonts w:eastAsia="ヒラギノ明朝 Pro W3"/>
          <w:lang w:eastAsia="ja-JP"/>
        </w:rPr>
        <w:t xml:space="preserve">commerce giant Alibaba Group Holding Limited (Alibaba) decided to </w:t>
      </w:r>
      <w:r w:rsidR="00954C97" w:rsidRPr="00A52F7C">
        <w:rPr>
          <w:rFonts w:eastAsia="ヒラギノ明朝 Pro W3"/>
          <w:lang w:eastAsia="ja-JP"/>
        </w:rPr>
        <w:t xml:space="preserve">enter the Southeast Asia market in April 2016 by acquiring </w:t>
      </w:r>
      <w:r w:rsidRPr="00A52F7C">
        <w:rPr>
          <w:rFonts w:eastAsia="ヒラギノ明朝 Pro W3"/>
          <w:lang w:eastAsia="ja-JP"/>
        </w:rPr>
        <w:t xml:space="preserve">the cash-strapped </w:t>
      </w:r>
      <w:r w:rsidRPr="00A52F7C">
        <w:rPr>
          <w:rFonts w:eastAsia="ヒラギノ明朝 Pro W3"/>
          <w:lang w:eastAsia="zh-CN"/>
        </w:rPr>
        <w:t>leading</w:t>
      </w:r>
      <w:r w:rsidRPr="00A52F7C">
        <w:rPr>
          <w:rFonts w:eastAsia="ヒラギノ明朝 Pro W3"/>
          <w:lang w:eastAsia="ja-JP"/>
        </w:rPr>
        <w:t xml:space="preserve"> </w:t>
      </w:r>
      <w:r w:rsidRPr="00A52F7C">
        <w:rPr>
          <w:rFonts w:eastAsia="ヒラギノ明朝 Pro W3"/>
          <w:lang w:eastAsia="zh-CN"/>
        </w:rPr>
        <w:t>incumbent</w:t>
      </w:r>
      <w:r w:rsidR="00954C97" w:rsidRPr="00A52F7C">
        <w:rPr>
          <w:rFonts w:eastAsia="ヒラギノ明朝 Pro W3"/>
          <w:lang w:eastAsia="zh-CN"/>
        </w:rPr>
        <w:t>, the</w:t>
      </w:r>
      <w:r w:rsidRPr="00A52F7C">
        <w:rPr>
          <w:rFonts w:eastAsia="ヒラギノ明朝 Pro W3"/>
          <w:lang w:eastAsia="zh-CN"/>
        </w:rPr>
        <w:t xml:space="preserve"> </w:t>
      </w:r>
      <w:r w:rsidR="00954C97" w:rsidRPr="00A52F7C">
        <w:rPr>
          <w:rFonts w:eastAsia="ヒラギノ明朝 Pro W3"/>
          <w:lang w:eastAsia="ja-JP"/>
        </w:rPr>
        <w:t>German</w:t>
      </w:r>
      <w:r w:rsidR="00954C97" w:rsidRPr="00A52F7C">
        <w:rPr>
          <w:rFonts w:eastAsia="ヒラギノ明朝 Pro W3"/>
          <w:lang w:eastAsia="zh-CN"/>
        </w:rPr>
        <w:t xml:space="preserve"> </w:t>
      </w:r>
      <w:r w:rsidRPr="00A52F7C">
        <w:rPr>
          <w:rFonts w:eastAsia="ヒラギノ明朝 Pro W3"/>
          <w:lang w:eastAsia="ja-JP"/>
        </w:rPr>
        <w:t xml:space="preserve">e-commerce </w:t>
      </w:r>
      <w:r w:rsidR="00954C97" w:rsidRPr="00A52F7C">
        <w:rPr>
          <w:rFonts w:eastAsia="ヒラギノ明朝 Pro W3"/>
          <w:lang w:eastAsia="ja-JP"/>
        </w:rPr>
        <w:t xml:space="preserve">company </w:t>
      </w:r>
      <w:proofErr w:type="spellStart"/>
      <w:r w:rsidRPr="00A52F7C">
        <w:rPr>
          <w:rFonts w:eastAsia="ヒラギノ明朝 Pro W3"/>
          <w:lang w:eastAsia="ja-JP"/>
        </w:rPr>
        <w:t>Lazada</w:t>
      </w:r>
      <w:proofErr w:type="spellEnd"/>
      <w:r w:rsidRPr="00A52F7C">
        <w:rPr>
          <w:rFonts w:eastAsia="ヒラギノ明朝 Pro W3"/>
          <w:lang w:eastAsia="ja-JP"/>
        </w:rPr>
        <w:t xml:space="preserve"> Group (</w:t>
      </w:r>
      <w:proofErr w:type="spellStart"/>
      <w:r w:rsidRPr="00A52F7C">
        <w:rPr>
          <w:rFonts w:eastAsia="ヒラギノ明朝 Pro W3"/>
          <w:lang w:eastAsia="ja-JP"/>
        </w:rPr>
        <w:t>Lazada</w:t>
      </w:r>
      <w:proofErr w:type="spellEnd"/>
      <w:r w:rsidRPr="00A52F7C">
        <w:rPr>
          <w:rFonts w:eastAsia="ヒラギノ明朝 Pro W3"/>
          <w:lang w:eastAsia="ja-JP"/>
        </w:rPr>
        <w:t xml:space="preserve">). </w:t>
      </w:r>
      <w:proofErr w:type="spellStart"/>
      <w:r w:rsidR="00985B52" w:rsidRPr="00A52F7C">
        <w:rPr>
          <w:rFonts w:eastAsia="ヒラギノ明朝 Pro W3"/>
          <w:lang w:eastAsia="ja-JP"/>
        </w:rPr>
        <w:t>Lazada’s</w:t>
      </w:r>
      <w:proofErr w:type="spellEnd"/>
      <w:r w:rsidRPr="00A52F7C">
        <w:rPr>
          <w:rFonts w:eastAsia="ヒラギノ明朝 Pro W3"/>
          <w:lang w:eastAsia="ja-JP"/>
        </w:rPr>
        <w:t xml:space="preserve"> value proposition </w:t>
      </w:r>
      <w:r w:rsidR="00985B52" w:rsidRPr="00A52F7C">
        <w:rPr>
          <w:rFonts w:eastAsia="ヒラギノ明朝 Pro W3"/>
          <w:lang w:eastAsia="ja-JP"/>
        </w:rPr>
        <w:t xml:space="preserve">was that it offered an </w:t>
      </w:r>
      <w:r w:rsidRPr="00A52F7C">
        <w:rPr>
          <w:rFonts w:eastAsia="ヒラギノ明朝 Pro W3"/>
          <w:lang w:eastAsia="ja-JP"/>
        </w:rPr>
        <w:t>effortless shopping experience</w:t>
      </w:r>
      <w:r w:rsidR="00985B52" w:rsidRPr="00A52F7C">
        <w:rPr>
          <w:rFonts w:eastAsia="ヒラギノ明朝 Pro W3"/>
          <w:lang w:eastAsia="ja-JP"/>
        </w:rPr>
        <w:t>. Given this promise</w:t>
      </w:r>
      <w:r w:rsidRPr="00A52F7C">
        <w:rPr>
          <w:rFonts w:eastAsia="ヒラギノ明朝 Pro W3"/>
          <w:lang w:eastAsia="ja-JP"/>
        </w:rPr>
        <w:t xml:space="preserve"> and the rising competition</w:t>
      </w:r>
      <w:r w:rsidR="00DE2230" w:rsidRPr="00A52F7C">
        <w:rPr>
          <w:rFonts w:eastAsia="ヒラギノ明朝 Pro W3"/>
          <w:lang w:eastAsia="ja-JP"/>
        </w:rPr>
        <w:t xml:space="preserve"> in the region</w:t>
      </w:r>
      <w:r w:rsidR="00985B52" w:rsidRPr="00A52F7C">
        <w:rPr>
          <w:rFonts w:eastAsia="ヒラギノ明朝 Pro W3"/>
          <w:lang w:eastAsia="ja-JP"/>
        </w:rPr>
        <w:t>—</w:t>
      </w:r>
      <w:r w:rsidRPr="00A52F7C">
        <w:rPr>
          <w:rFonts w:eastAsia="ヒラギノ明朝 Pro W3"/>
          <w:lang w:eastAsia="ja-JP"/>
        </w:rPr>
        <w:t xml:space="preserve">particularly from the anticipated entry of </w:t>
      </w:r>
      <w:r w:rsidR="00DE2230" w:rsidRPr="00BA3D71">
        <w:t>the U.S. e</w:t>
      </w:r>
      <w:r w:rsidR="00985B52" w:rsidRPr="00A52F7C">
        <w:noBreakHyphen/>
      </w:r>
      <w:r w:rsidRPr="00BA3D71">
        <w:t>commerce giant</w:t>
      </w:r>
      <w:r w:rsidRPr="00A52F7C">
        <w:rPr>
          <w:rFonts w:eastAsia="ヒラギノ明朝 Pro W3"/>
        </w:rPr>
        <w:t xml:space="preserve"> </w:t>
      </w:r>
      <w:r w:rsidRPr="00A52F7C">
        <w:rPr>
          <w:rFonts w:eastAsia="ヒラギノ明朝 Pro W3"/>
          <w:lang w:eastAsia="ja-JP"/>
        </w:rPr>
        <w:t>Amazon.com, Inc. (Amazon)</w:t>
      </w:r>
      <w:r w:rsidR="00DE2230" w:rsidRPr="00A52F7C">
        <w:rPr>
          <w:rFonts w:eastAsia="ヒラギノ明朝 Pro W3"/>
          <w:lang w:eastAsia="ja-JP"/>
        </w:rPr>
        <w:t xml:space="preserve"> in the first quarter of 2017</w:t>
      </w:r>
      <w:r w:rsidR="00985B52" w:rsidRPr="00A52F7C">
        <w:rPr>
          <w:rFonts w:eastAsia="ヒラギノ明朝 Pro W3"/>
          <w:lang w:eastAsia="ja-JP"/>
        </w:rPr>
        <w:t>—</w:t>
      </w:r>
      <w:proofErr w:type="spellStart"/>
      <w:r w:rsidRPr="00A52F7C">
        <w:rPr>
          <w:rFonts w:eastAsia="ヒラギノ明朝 Pro W3"/>
          <w:lang w:eastAsia="ja-JP"/>
        </w:rPr>
        <w:t>Lazada</w:t>
      </w:r>
      <w:proofErr w:type="spellEnd"/>
      <w:r w:rsidRPr="00A52F7C">
        <w:rPr>
          <w:rFonts w:eastAsia="ヒラギノ明朝 Pro W3"/>
          <w:lang w:eastAsia="ja-JP"/>
        </w:rPr>
        <w:t xml:space="preserve"> had no choice but to continue investing to build its logistics infrastructure to strengthen its platform ecosystem</w:t>
      </w:r>
      <w:r w:rsidR="00985B52" w:rsidRPr="00A52F7C">
        <w:rPr>
          <w:rFonts w:eastAsia="ヒラギノ明朝 Pro W3"/>
          <w:lang w:eastAsia="ja-JP"/>
        </w:rPr>
        <w:t xml:space="preserve">. As a result, </w:t>
      </w:r>
      <w:r w:rsidRPr="00A52F7C">
        <w:rPr>
          <w:rFonts w:eastAsia="ヒラギノ明朝 Pro W3"/>
          <w:lang w:eastAsia="ja-JP"/>
        </w:rPr>
        <w:t xml:space="preserve">it became short of liquidity. The acquisition </w:t>
      </w:r>
      <w:r w:rsidR="00985B52" w:rsidRPr="00A52F7C">
        <w:rPr>
          <w:rFonts w:eastAsia="ヒラギノ明朝 Pro W3"/>
          <w:lang w:eastAsia="ja-JP"/>
        </w:rPr>
        <w:t xml:space="preserve">by Alibaba </w:t>
      </w:r>
      <w:r w:rsidRPr="00A52F7C">
        <w:rPr>
          <w:rFonts w:eastAsia="ヒラギノ明朝 Pro W3"/>
          <w:lang w:eastAsia="ja-JP"/>
        </w:rPr>
        <w:t xml:space="preserve">would enable </w:t>
      </w:r>
      <w:proofErr w:type="spellStart"/>
      <w:r w:rsidRPr="00A52F7C">
        <w:rPr>
          <w:rFonts w:eastAsia="ヒラギノ明朝 Pro W3"/>
          <w:lang w:eastAsia="ja-JP"/>
        </w:rPr>
        <w:t>Lazada</w:t>
      </w:r>
      <w:proofErr w:type="spellEnd"/>
      <w:r w:rsidRPr="00A52F7C">
        <w:rPr>
          <w:rFonts w:eastAsia="ヒラギノ明朝 Pro W3"/>
          <w:lang w:eastAsia="ja-JP"/>
        </w:rPr>
        <w:t xml:space="preserve"> to continue </w:t>
      </w:r>
      <w:r w:rsidR="00985B52" w:rsidRPr="00A52F7C">
        <w:rPr>
          <w:rFonts w:eastAsia="ヒラギノ明朝 Pro W3"/>
          <w:lang w:eastAsia="ja-JP"/>
        </w:rPr>
        <w:t xml:space="preserve">to pursue </w:t>
      </w:r>
      <w:r w:rsidRPr="00A52F7C">
        <w:rPr>
          <w:rFonts w:eastAsia="ヒラギノ明朝 Pro W3"/>
          <w:lang w:eastAsia="ja-JP"/>
        </w:rPr>
        <w:t xml:space="preserve">its strategic imperatives </w:t>
      </w:r>
      <w:r w:rsidR="00985B52" w:rsidRPr="00A52F7C">
        <w:rPr>
          <w:rFonts w:eastAsia="ヒラギノ明朝 Pro W3"/>
          <w:lang w:eastAsia="ja-JP"/>
        </w:rPr>
        <w:t>and</w:t>
      </w:r>
      <w:r w:rsidRPr="00A52F7C">
        <w:rPr>
          <w:rFonts w:eastAsia="ヒラギノ明朝 Pro W3"/>
          <w:lang w:eastAsia="ja-JP"/>
        </w:rPr>
        <w:t xml:space="preserve"> to leverage Alibaba’s successful experience and other resources in China. </w:t>
      </w:r>
      <w:r w:rsidR="00985B52" w:rsidRPr="00A52F7C">
        <w:rPr>
          <w:rFonts w:eastAsia="ヒラギノ明朝 Pro W3"/>
          <w:lang w:eastAsia="ja-JP"/>
        </w:rPr>
        <w:t xml:space="preserve">It also raised important questions for Alibaba: </w:t>
      </w:r>
      <w:r w:rsidRPr="00A52F7C">
        <w:rPr>
          <w:rFonts w:eastAsia="ヒラギノ明朝 Pro W3"/>
          <w:lang w:eastAsia="ja-JP"/>
        </w:rPr>
        <w:t xml:space="preserve">Was Southeast Asia an appropriate destination for Alibaba’s globalization efforts? Should Alibaba have entered the region through joint ventures or </w:t>
      </w:r>
      <w:proofErr w:type="gramStart"/>
      <w:r w:rsidRPr="00A52F7C">
        <w:rPr>
          <w:rFonts w:eastAsia="ヒラギノ明朝 Pro W3"/>
          <w:lang w:eastAsia="ja-JP"/>
        </w:rPr>
        <w:t>greenfield</w:t>
      </w:r>
      <w:proofErr w:type="gramEnd"/>
      <w:r w:rsidRPr="00A52F7C">
        <w:rPr>
          <w:rFonts w:eastAsia="ヒラギノ明朝 Pro W3"/>
          <w:lang w:eastAsia="ja-JP"/>
        </w:rPr>
        <w:t xml:space="preserve"> investments? Should Alibaba </w:t>
      </w:r>
      <w:r w:rsidR="00985B52" w:rsidRPr="00A52F7C">
        <w:rPr>
          <w:rFonts w:eastAsia="ヒラギノ明朝 Pro W3"/>
          <w:lang w:eastAsia="ja-JP"/>
        </w:rPr>
        <w:t xml:space="preserve">integrate </w:t>
      </w:r>
      <w:proofErr w:type="spellStart"/>
      <w:r w:rsidR="00985B52" w:rsidRPr="00A52F7C">
        <w:rPr>
          <w:rFonts w:eastAsia="ヒラギノ明朝 Pro W3"/>
          <w:lang w:eastAsia="ja-JP"/>
        </w:rPr>
        <w:t>Lazada</w:t>
      </w:r>
      <w:proofErr w:type="spellEnd"/>
      <w:r w:rsidR="00985B52" w:rsidRPr="00A52F7C">
        <w:rPr>
          <w:rFonts w:eastAsia="ヒラギノ明朝 Pro W3"/>
          <w:lang w:eastAsia="ja-JP"/>
        </w:rPr>
        <w:t xml:space="preserve"> </w:t>
      </w:r>
      <w:r w:rsidRPr="00A52F7C">
        <w:rPr>
          <w:rFonts w:eastAsia="ヒラギノ明朝 Pro W3"/>
          <w:lang w:eastAsia="ja-JP"/>
        </w:rPr>
        <w:t xml:space="preserve">or </w:t>
      </w:r>
      <w:r w:rsidR="00985B52" w:rsidRPr="00A52F7C">
        <w:rPr>
          <w:rFonts w:eastAsia="ヒラギノ明朝 Pro W3"/>
          <w:lang w:eastAsia="ja-JP"/>
        </w:rPr>
        <w:t xml:space="preserve">use a </w:t>
      </w:r>
      <w:r w:rsidRPr="00A52F7C">
        <w:rPr>
          <w:rFonts w:eastAsia="ヒラギノ明朝 Pro W3"/>
          <w:lang w:eastAsia="ja-JP"/>
        </w:rPr>
        <w:t xml:space="preserve">partnering approach? Did </w:t>
      </w:r>
      <w:r w:rsidR="00572A41">
        <w:rPr>
          <w:rFonts w:eastAsia="ヒラギノ明朝 Pro W3"/>
          <w:lang w:eastAsia="ja-JP"/>
        </w:rPr>
        <w:t>a</w:t>
      </w:r>
      <w:r w:rsidR="00985B52" w:rsidRPr="00A52F7C">
        <w:rPr>
          <w:rFonts w:eastAsia="ヒラギノ明朝 Pro W3"/>
          <w:lang w:eastAsia="ja-JP"/>
        </w:rPr>
        <w:t xml:space="preserve"> report that </w:t>
      </w:r>
      <w:r w:rsidRPr="00A52F7C">
        <w:rPr>
          <w:rFonts w:eastAsia="ヒラギノ明朝 Pro W3"/>
          <w:lang w:eastAsia="ja-JP"/>
        </w:rPr>
        <w:t>Amazon</w:t>
      </w:r>
      <w:r w:rsidR="00985B52" w:rsidRPr="00A52F7C">
        <w:rPr>
          <w:rFonts w:eastAsia="ヒラギノ明朝 Pro W3"/>
          <w:lang w:eastAsia="ja-JP"/>
        </w:rPr>
        <w:t xml:space="preserve"> would</w:t>
      </w:r>
      <w:r w:rsidRPr="00A52F7C">
        <w:rPr>
          <w:rFonts w:eastAsia="ヒラギノ明朝 Pro W3"/>
          <w:lang w:eastAsia="ja-JP"/>
        </w:rPr>
        <w:t xml:space="preserve"> </w:t>
      </w:r>
      <w:r w:rsidR="00985B52" w:rsidRPr="00A52F7C">
        <w:rPr>
          <w:rFonts w:eastAsia="ヒラギノ明朝 Pro W3"/>
          <w:lang w:eastAsia="ja-JP"/>
        </w:rPr>
        <w:t xml:space="preserve">delay its </w:t>
      </w:r>
      <w:r w:rsidRPr="00A52F7C">
        <w:rPr>
          <w:rFonts w:eastAsia="ヒラギノ明朝 Pro W3"/>
          <w:lang w:eastAsia="ja-JP"/>
        </w:rPr>
        <w:t>entry</w:t>
      </w:r>
      <w:r w:rsidR="00985B52" w:rsidRPr="00A52F7C">
        <w:rPr>
          <w:rFonts w:eastAsia="ヒラギノ明朝 Pro W3"/>
          <w:lang w:eastAsia="ja-JP"/>
        </w:rPr>
        <w:t xml:space="preserve"> to the region</w:t>
      </w:r>
      <w:r w:rsidR="00000993" w:rsidRPr="00A52F7C">
        <w:rPr>
          <w:rFonts w:eastAsia="ヒラギノ明朝 Pro W3"/>
          <w:lang w:eastAsia="ja-JP"/>
        </w:rPr>
        <w:t xml:space="preserve"> to a later date</w:t>
      </w:r>
      <w:r w:rsidRPr="00A52F7C">
        <w:rPr>
          <w:rFonts w:eastAsia="ヒラギノ明朝 Pro W3"/>
          <w:lang w:eastAsia="ja-JP"/>
        </w:rPr>
        <w:t xml:space="preserve"> </w:t>
      </w:r>
      <w:r w:rsidR="00985B52" w:rsidRPr="00A52F7C">
        <w:rPr>
          <w:rFonts w:eastAsia="ヒラギノ明朝 Pro W3"/>
          <w:lang w:eastAsia="ja-JP"/>
        </w:rPr>
        <w:t xml:space="preserve">mean </w:t>
      </w:r>
      <w:r w:rsidRPr="00A52F7C">
        <w:rPr>
          <w:rFonts w:eastAsia="ヒラギノ明朝 Pro W3"/>
          <w:lang w:eastAsia="ja-JP"/>
        </w:rPr>
        <w:t xml:space="preserve">that </w:t>
      </w:r>
      <w:r w:rsidRPr="00A52F7C">
        <w:rPr>
          <w:lang w:eastAsia="zh-CN"/>
        </w:rPr>
        <w:t xml:space="preserve">Alibaba and </w:t>
      </w:r>
      <w:proofErr w:type="spellStart"/>
      <w:r w:rsidRPr="00A52F7C">
        <w:rPr>
          <w:lang w:eastAsia="zh-CN"/>
        </w:rPr>
        <w:t>Lazada</w:t>
      </w:r>
      <w:proofErr w:type="spellEnd"/>
      <w:r w:rsidRPr="00A52F7C">
        <w:rPr>
          <w:lang w:eastAsia="zh-CN"/>
        </w:rPr>
        <w:t xml:space="preserve"> had successfully built </w:t>
      </w:r>
      <w:r w:rsidR="00000993" w:rsidRPr="00A52F7C">
        <w:t>a fortress that could</w:t>
      </w:r>
      <w:r w:rsidRPr="00A52F7C">
        <w:rPr>
          <w:lang w:eastAsia="zh-CN"/>
        </w:rPr>
        <w:t xml:space="preserve"> </w:t>
      </w:r>
      <w:r w:rsidR="0090534D" w:rsidRPr="00A52F7C">
        <w:rPr>
          <w:lang w:eastAsia="zh-CN"/>
        </w:rPr>
        <w:t>pre-empt</w:t>
      </w:r>
      <w:r w:rsidRPr="00A52F7C">
        <w:rPr>
          <w:lang w:eastAsia="zh-CN"/>
        </w:rPr>
        <w:t xml:space="preserve"> even the wor</w:t>
      </w:r>
      <w:r w:rsidR="0036755C">
        <w:rPr>
          <w:lang w:eastAsia="zh-CN"/>
        </w:rPr>
        <w:t>ld’s largest e-commerce player?</w:t>
      </w:r>
      <w:r w:rsidR="0036755C">
        <w:rPr>
          <w:rStyle w:val="EndnoteReference"/>
          <w:lang w:eastAsia="zh-CN"/>
        </w:rPr>
        <w:endnoteReference w:id="3"/>
      </w:r>
    </w:p>
    <w:p w14:paraId="64F97E59" w14:textId="77777777" w:rsidR="000031D2" w:rsidRPr="00A52F7C" w:rsidRDefault="000031D2" w:rsidP="00F03060">
      <w:pPr>
        <w:pStyle w:val="BodyTextMain"/>
      </w:pPr>
    </w:p>
    <w:p w14:paraId="52710348" w14:textId="77777777" w:rsidR="000031D2" w:rsidRPr="00A52F7C" w:rsidRDefault="000031D2" w:rsidP="00F03060">
      <w:pPr>
        <w:pStyle w:val="BodyTextMain"/>
      </w:pPr>
    </w:p>
    <w:p w14:paraId="5E25A031" w14:textId="43183431" w:rsidR="000031D2" w:rsidRPr="00A52F7C" w:rsidRDefault="000031D2" w:rsidP="005169F6">
      <w:pPr>
        <w:pStyle w:val="Casehead1"/>
      </w:pPr>
      <w:r w:rsidRPr="00A52F7C">
        <w:rPr>
          <w:lang w:eastAsia="zh-CN"/>
        </w:rPr>
        <w:t>alibaba: the chinese e-commerce giant</w:t>
      </w:r>
    </w:p>
    <w:p w14:paraId="3F137C16" w14:textId="77777777" w:rsidR="000031D2" w:rsidRPr="00A52F7C" w:rsidRDefault="000031D2" w:rsidP="005169F6">
      <w:pPr>
        <w:pStyle w:val="BodyTextMain"/>
        <w:rPr>
          <w:lang w:eastAsia="zh-CN"/>
        </w:rPr>
      </w:pPr>
    </w:p>
    <w:p w14:paraId="24A459A5" w14:textId="77777777" w:rsidR="000031D2" w:rsidRPr="00A52F7C" w:rsidRDefault="000031D2" w:rsidP="005169F6">
      <w:pPr>
        <w:pStyle w:val="Casehead2"/>
      </w:pPr>
      <w:r w:rsidRPr="00A52F7C">
        <w:t>History</w:t>
      </w:r>
    </w:p>
    <w:p w14:paraId="0A7C73B3" w14:textId="77777777" w:rsidR="000031D2" w:rsidRPr="00A52F7C" w:rsidRDefault="000031D2" w:rsidP="005169F6">
      <w:pPr>
        <w:pStyle w:val="BodyTextMain"/>
      </w:pPr>
    </w:p>
    <w:p w14:paraId="40763D10" w14:textId="77EC80D0" w:rsidR="000031D2" w:rsidRPr="005169F6" w:rsidRDefault="000031D2" w:rsidP="005169F6">
      <w:pPr>
        <w:pStyle w:val="BodyTextMain"/>
        <w:rPr>
          <w:spacing w:val="-2"/>
          <w:lang w:eastAsia="zh-CN"/>
        </w:rPr>
      </w:pPr>
      <w:r w:rsidRPr="005169F6">
        <w:rPr>
          <w:spacing w:val="-2"/>
        </w:rPr>
        <w:t xml:space="preserve">The story of Alibaba </w:t>
      </w:r>
      <w:r w:rsidR="00D360AD" w:rsidRPr="005169F6">
        <w:rPr>
          <w:spacing w:val="-2"/>
        </w:rPr>
        <w:t xml:space="preserve">began </w:t>
      </w:r>
      <w:r w:rsidRPr="005169F6">
        <w:rPr>
          <w:spacing w:val="-2"/>
        </w:rPr>
        <w:t xml:space="preserve">when the founder and executive </w:t>
      </w:r>
      <w:r w:rsidR="00D360AD" w:rsidRPr="005169F6">
        <w:rPr>
          <w:spacing w:val="-2"/>
        </w:rPr>
        <w:t xml:space="preserve">chairperson, </w:t>
      </w:r>
      <w:r w:rsidRPr="005169F6">
        <w:rPr>
          <w:spacing w:val="-2"/>
        </w:rPr>
        <w:t xml:space="preserve">Jack Ma, a former English teacher from China, discovered the Internet for the first time during </w:t>
      </w:r>
      <w:r w:rsidR="00D360AD" w:rsidRPr="005169F6">
        <w:rPr>
          <w:spacing w:val="-2"/>
        </w:rPr>
        <w:t xml:space="preserve">a </w:t>
      </w:r>
      <w:r w:rsidRPr="005169F6">
        <w:rPr>
          <w:spacing w:val="-2"/>
        </w:rPr>
        <w:t xml:space="preserve">trip to the United States in 1995. Coming from </w:t>
      </w:r>
      <w:r w:rsidR="00D360AD" w:rsidRPr="005169F6">
        <w:rPr>
          <w:spacing w:val="-2"/>
        </w:rPr>
        <w:t xml:space="preserve">a </w:t>
      </w:r>
      <w:r w:rsidRPr="005169F6">
        <w:rPr>
          <w:spacing w:val="-2"/>
        </w:rPr>
        <w:t xml:space="preserve">country </w:t>
      </w:r>
      <w:r w:rsidR="00D360AD" w:rsidRPr="005169F6">
        <w:rPr>
          <w:spacing w:val="-2"/>
        </w:rPr>
        <w:t xml:space="preserve">without easy access to the </w:t>
      </w:r>
      <w:r w:rsidRPr="005169F6">
        <w:rPr>
          <w:spacing w:val="-2"/>
        </w:rPr>
        <w:t xml:space="preserve">Internet, </w:t>
      </w:r>
      <w:r w:rsidR="004A706A" w:rsidRPr="005169F6">
        <w:rPr>
          <w:spacing w:val="-2"/>
        </w:rPr>
        <w:t xml:space="preserve">Ma </w:t>
      </w:r>
      <w:r w:rsidR="00F6573E" w:rsidRPr="005169F6">
        <w:rPr>
          <w:spacing w:val="-2"/>
        </w:rPr>
        <w:t>discovered that</w:t>
      </w:r>
      <w:r w:rsidRPr="005169F6">
        <w:rPr>
          <w:spacing w:val="-2"/>
        </w:rPr>
        <w:t xml:space="preserve"> he could hardly find any information about </w:t>
      </w:r>
      <w:r w:rsidRPr="005169F6">
        <w:rPr>
          <w:spacing w:val="-2"/>
        </w:rPr>
        <w:lastRenderedPageBreak/>
        <w:t xml:space="preserve">China </w:t>
      </w:r>
      <w:r w:rsidR="00F6573E" w:rsidRPr="005169F6">
        <w:rPr>
          <w:spacing w:val="-2"/>
        </w:rPr>
        <w:t>using</w:t>
      </w:r>
      <w:r w:rsidRPr="005169F6">
        <w:rPr>
          <w:spacing w:val="-2"/>
        </w:rPr>
        <w:t xml:space="preserve"> the technology.</w:t>
      </w:r>
      <w:r w:rsidRPr="005169F6">
        <w:rPr>
          <w:rStyle w:val="EndnoteReference"/>
          <w:spacing w:val="-2"/>
        </w:rPr>
        <w:endnoteReference w:id="4"/>
      </w:r>
      <w:r w:rsidRPr="005169F6">
        <w:rPr>
          <w:spacing w:val="-2"/>
          <w:lang w:eastAsia="zh-CN"/>
        </w:rPr>
        <w:t xml:space="preserve"> Being a</w:t>
      </w:r>
      <w:r w:rsidRPr="005169F6">
        <w:rPr>
          <w:spacing w:val="-2"/>
        </w:rPr>
        <w:t xml:space="preserve">ware of the potential opportunity, he decided to start his own Internet business in China. </w:t>
      </w:r>
      <w:r w:rsidR="00D360AD" w:rsidRPr="005169F6">
        <w:rPr>
          <w:spacing w:val="-2"/>
        </w:rPr>
        <w:t>Despite</w:t>
      </w:r>
      <w:r w:rsidRPr="005169F6">
        <w:rPr>
          <w:spacing w:val="-2"/>
        </w:rPr>
        <w:t xml:space="preserve"> having no experience with computer</w:t>
      </w:r>
      <w:r w:rsidR="00D360AD" w:rsidRPr="005169F6">
        <w:rPr>
          <w:spacing w:val="-2"/>
        </w:rPr>
        <w:t>s</w:t>
      </w:r>
      <w:r w:rsidRPr="005169F6">
        <w:rPr>
          <w:spacing w:val="-2"/>
        </w:rPr>
        <w:t xml:space="preserve"> </w:t>
      </w:r>
      <w:r w:rsidR="00D360AD" w:rsidRPr="005169F6">
        <w:rPr>
          <w:spacing w:val="-2"/>
        </w:rPr>
        <w:t xml:space="preserve">or </w:t>
      </w:r>
      <w:r w:rsidRPr="005169F6">
        <w:rPr>
          <w:spacing w:val="-2"/>
        </w:rPr>
        <w:t xml:space="preserve">coding, he managed to create a website </w:t>
      </w:r>
      <w:r w:rsidR="00D360AD" w:rsidRPr="005169F6">
        <w:rPr>
          <w:spacing w:val="-2"/>
        </w:rPr>
        <w:t>he called</w:t>
      </w:r>
      <w:r w:rsidRPr="005169F6">
        <w:rPr>
          <w:spacing w:val="-2"/>
        </w:rPr>
        <w:t xml:space="preserve"> China Pages</w:t>
      </w:r>
      <w:r w:rsidR="00D360AD" w:rsidRPr="005169F6">
        <w:rPr>
          <w:spacing w:val="-2"/>
        </w:rPr>
        <w:t>, which was</w:t>
      </w:r>
      <w:r w:rsidRPr="005169F6">
        <w:rPr>
          <w:spacing w:val="-2"/>
        </w:rPr>
        <w:t xml:space="preserve"> a directory for Chinese companies looking for international customers.</w:t>
      </w:r>
      <w:r w:rsidRPr="005169F6">
        <w:rPr>
          <w:rStyle w:val="EndnoteReference"/>
          <w:spacing w:val="-2"/>
        </w:rPr>
        <w:endnoteReference w:id="5"/>
      </w:r>
    </w:p>
    <w:p w14:paraId="1AAFA575" w14:textId="77777777" w:rsidR="000031D2" w:rsidRPr="00A52F7C" w:rsidRDefault="000031D2" w:rsidP="005169F6">
      <w:pPr>
        <w:pStyle w:val="BodyTextMain"/>
        <w:rPr>
          <w:lang w:eastAsia="zh-CN"/>
        </w:rPr>
      </w:pPr>
    </w:p>
    <w:p w14:paraId="270AB8F0" w14:textId="22F57763" w:rsidR="000031D2" w:rsidRPr="00A52F7C" w:rsidRDefault="000031D2" w:rsidP="005169F6">
      <w:pPr>
        <w:pStyle w:val="BodyTextMain"/>
        <w:rPr>
          <w:lang w:eastAsia="zh-CN"/>
        </w:rPr>
      </w:pPr>
      <w:r w:rsidRPr="00A52F7C">
        <w:t xml:space="preserve">In 1999, four years after the creation of China Pages, Ma came up with a new vision to develop an online platform that </w:t>
      </w:r>
      <w:r w:rsidR="00F6573E" w:rsidRPr="00A52F7C">
        <w:t xml:space="preserve">would </w:t>
      </w:r>
      <w:r w:rsidRPr="00A52F7C">
        <w:t>allow</w:t>
      </w:r>
      <w:r w:rsidRPr="00A52F7C">
        <w:rPr>
          <w:lang w:eastAsia="zh-CN"/>
        </w:rPr>
        <w:t xml:space="preserve"> small-and-medium-sized</w:t>
      </w:r>
      <w:r w:rsidRPr="00A52F7C">
        <w:t xml:space="preserve"> exporters to post their products while enabling </w:t>
      </w:r>
      <w:r w:rsidR="00F6573E" w:rsidRPr="00A52F7C">
        <w:t xml:space="preserve">buyers to </w:t>
      </w:r>
      <w:r w:rsidRPr="00A52F7C">
        <w:t xml:space="preserve">purchase </w:t>
      </w:r>
      <w:r w:rsidR="00F6573E" w:rsidRPr="00A52F7C">
        <w:t xml:space="preserve">directly </w:t>
      </w:r>
      <w:r w:rsidRPr="00A52F7C">
        <w:t>from the</w:t>
      </w:r>
      <w:r w:rsidR="00F6573E" w:rsidRPr="00A52F7C">
        <w:t>m</w:t>
      </w:r>
      <w:r w:rsidRPr="00A52F7C">
        <w:t>. He then convinced all his friends to invest in this vision</w:t>
      </w:r>
      <w:r w:rsidRPr="00A52F7C">
        <w:rPr>
          <w:lang w:eastAsia="zh-CN"/>
        </w:rPr>
        <w:t xml:space="preserve"> and</w:t>
      </w:r>
      <w:r w:rsidRPr="00A52F7C">
        <w:t xml:space="preserve"> managed to get US$60,000</w:t>
      </w:r>
      <w:r w:rsidRPr="00A52F7C">
        <w:rPr>
          <w:rStyle w:val="EndnoteReference"/>
        </w:rPr>
        <w:endnoteReference w:id="6"/>
      </w:r>
      <w:r w:rsidRPr="00A52F7C">
        <w:t xml:space="preserve"> to start the new business</w:t>
      </w:r>
      <w:r w:rsidR="00F6573E" w:rsidRPr="00A52F7C">
        <w:t xml:space="preserve">; he set up the head office in </w:t>
      </w:r>
      <w:r w:rsidRPr="00A52F7C">
        <w:t xml:space="preserve">his apartment </w:t>
      </w:r>
      <w:r w:rsidR="00F6573E" w:rsidRPr="00A52F7C">
        <w:t xml:space="preserve">in </w:t>
      </w:r>
      <w:r w:rsidRPr="00A52F7C">
        <w:t>April of the same year.</w:t>
      </w:r>
      <w:r w:rsidRPr="00A52F7C">
        <w:rPr>
          <w:rStyle w:val="EndnoteReference"/>
        </w:rPr>
        <w:endnoteReference w:id="7"/>
      </w:r>
      <w:r w:rsidRPr="00A52F7C">
        <w:rPr>
          <w:lang w:eastAsia="zh-CN"/>
        </w:rPr>
        <w:t xml:space="preserve"> </w:t>
      </w:r>
      <w:r w:rsidR="005B56F6" w:rsidRPr="00A52F7C">
        <w:t>M</w:t>
      </w:r>
      <w:r w:rsidRPr="00A52F7C">
        <w:t>otivat</w:t>
      </w:r>
      <w:r w:rsidR="005B56F6" w:rsidRPr="00A52F7C">
        <w:t>ed</w:t>
      </w:r>
      <w:r w:rsidRPr="00A52F7C">
        <w:t xml:space="preserve"> </w:t>
      </w:r>
      <w:r w:rsidR="00F6573E" w:rsidRPr="00A52F7C">
        <w:t xml:space="preserve">to </w:t>
      </w:r>
      <w:r w:rsidRPr="00A52F7C">
        <w:t xml:space="preserve">go global and </w:t>
      </w:r>
      <w:r w:rsidR="005B56F6" w:rsidRPr="00A52F7C">
        <w:t xml:space="preserve">inspired by </w:t>
      </w:r>
      <w:r w:rsidR="00637294">
        <w:t xml:space="preserve">the world-famous folk tale </w:t>
      </w:r>
      <w:r w:rsidR="00637294" w:rsidRPr="00637294">
        <w:rPr>
          <w:i/>
        </w:rPr>
        <w:t>Ali Baba and the Forty Thieves</w:t>
      </w:r>
      <w:r w:rsidR="00637294">
        <w:t>,</w:t>
      </w:r>
      <w:r w:rsidRPr="00A52F7C">
        <w:t xml:space="preserve"> Ma named the new company Alibaba.</w:t>
      </w:r>
      <w:r w:rsidRPr="00A52F7C">
        <w:rPr>
          <w:rStyle w:val="EndnoteReference"/>
        </w:rPr>
        <w:endnoteReference w:id="8"/>
      </w:r>
      <w:r w:rsidRPr="00A52F7C">
        <w:t xml:space="preserve"> </w:t>
      </w:r>
      <w:r w:rsidRPr="00A52F7C">
        <w:rPr>
          <w:lang w:eastAsia="zh-CN"/>
        </w:rPr>
        <w:t>In no time, the platform attract</w:t>
      </w:r>
      <w:r w:rsidR="00F6573E" w:rsidRPr="00A52F7C">
        <w:rPr>
          <w:lang w:eastAsia="zh-CN"/>
        </w:rPr>
        <w:t>ed</w:t>
      </w:r>
      <w:r w:rsidRPr="00A52F7C">
        <w:rPr>
          <w:lang w:eastAsia="zh-CN"/>
        </w:rPr>
        <w:t xml:space="preserve"> members from all over the world. By October 2009, the company had raised $5 million from Goldman Sach</w:t>
      </w:r>
      <w:r w:rsidR="00F6573E" w:rsidRPr="00A52F7C">
        <w:rPr>
          <w:lang w:eastAsia="zh-CN"/>
        </w:rPr>
        <w:t>s</w:t>
      </w:r>
      <w:r w:rsidRPr="00A52F7C">
        <w:rPr>
          <w:lang w:eastAsia="zh-CN"/>
        </w:rPr>
        <w:t xml:space="preserve"> </w:t>
      </w:r>
      <w:r w:rsidR="005B56F6" w:rsidRPr="00A52F7C">
        <w:rPr>
          <w:lang w:eastAsia="zh-CN"/>
        </w:rPr>
        <w:t xml:space="preserve">and Co. </w:t>
      </w:r>
      <w:r w:rsidRPr="00A52F7C">
        <w:rPr>
          <w:lang w:eastAsia="zh-CN"/>
        </w:rPr>
        <w:t xml:space="preserve">and $20 million from </w:t>
      </w:r>
      <w:proofErr w:type="spellStart"/>
      <w:r w:rsidR="00F6573E" w:rsidRPr="00A52F7C">
        <w:rPr>
          <w:lang w:eastAsia="zh-CN"/>
        </w:rPr>
        <w:t>SoftBank</w:t>
      </w:r>
      <w:proofErr w:type="spellEnd"/>
      <w:r w:rsidR="00F6573E" w:rsidRPr="00A52F7C">
        <w:rPr>
          <w:lang w:eastAsia="zh-CN"/>
        </w:rPr>
        <w:t xml:space="preserve"> Group Corp</w:t>
      </w:r>
      <w:r w:rsidRPr="00A52F7C">
        <w:rPr>
          <w:lang w:eastAsia="zh-CN"/>
        </w:rPr>
        <w:t>.</w:t>
      </w:r>
      <w:r w:rsidRPr="00A52F7C">
        <w:rPr>
          <w:rStyle w:val="EndnoteReference"/>
          <w:lang w:eastAsia="zh-CN"/>
        </w:rPr>
        <w:endnoteReference w:id="9"/>
      </w:r>
      <w:r w:rsidRPr="00A52F7C">
        <w:rPr>
          <w:lang w:eastAsia="zh-CN"/>
        </w:rPr>
        <w:t xml:space="preserve"> </w:t>
      </w:r>
    </w:p>
    <w:p w14:paraId="4C4691AD" w14:textId="77777777" w:rsidR="000031D2" w:rsidRPr="00A52F7C" w:rsidRDefault="000031D2" w:rsidP="005169F6">
      <w:pPr>
        <w:pStyle w:val="BodyTextMain"/>
        <w:rPr>
          <w:lang w:eastAsia="zh-CN"/>
        </w:rPr>
      </w:pPr>
    </w:p>
    <w:p w14:paraId="06D1FAF8" w14:textId="40619ED2" w:rsidR="000031D2" w:rsidRPr="00A52F7C" w:rsidRDefault="005B56F6" w:rsidP="005169F6">
      <w:pPr>
        <w:pStyle w:val="BodyTextMain"/>
        <w:rPr>
          <w:lang w:eastAsia="zh-CN"/>
        </w:rPr>
      </w:pPr>
      <w:r w:rsidRPr="00A52F7C">
        <w:rPr>
          <w:lang w:eastAsia="zh-CN"/>
        </w:rPr>
        <w:t xml:space="preserve">By </w:t>
      </w:r>
      <w:r w:rsidR="000031D2" w:rsidRPr="00A52F7C">
        <w:rPr>
          <w:lang w:eastAsia="zh-CN"/>
        </w:rPr>
        <w:t xml:space="preserve">2013, Alibaba’s online transactions had finally surpassed the combined transactions of eBay </w:t>
      </w:r>
      <w:r w:rsidRPr="00A52F7C">
        <w:rPr>
          <w:lang w:eastAsia="zh-CN"/>
        </w:rPr>
        <w:t xml:space="preserve">Inc. (eBay) </w:t>
      </w:r>
      <w:r w:rsidR="000031D2" w:rsidRPr="00A52F7C">
        <w:rPr>
          <w:lang w:eastAsia="zh-CN"/>
        </w:rPr>
        <w:t>and Amazon.</w:t>
      </w:r>
      <w:r w:rsidR="000031D2" w:rsidRPr="00A52F7C">
        <w:rPr>
          <w:rStyle w:val="EndnoteReference"/>
          <w:lang w:eastAsia="zh-CN"/>
        </w:rPr>
        <w:endnoteReference w:id="10"/>
      </w:r>
      <w:r w:rsidR="000031D2" w:rsidRPr="00A52F7C">
        <w:rPr>
          <w:lang w:eastAsia="zh-CN"/>
        </w:rPr>
        <w:t xml:space="preserve"> One year later</w:t>
      </w:r>
      <w:r w:rsidRPr="00A52F7C">
        <w:rPr>
          <w:lang w:eastAsia="zh-CN"/>
        </w:rPr>
        <w:t>,</w:t>
      </w:r>
      <w:r w:rsidR="000031D2" w:rsidRPr="00A52F7C">
        <w:rPr>
          <w:lang w:eastAsia="zh-CN"/>
        </w:rPr>
        <w:t xml:space="preserve"> in 2014, the company had established online business-to-business (B2B) services.</w:t>
      </w:r>
      <w:r w:rsidR="000031D2" w:rsidRPr="00A52F7C">
        <w:rPr>
          <w:rStyle w:val="EndnoteReference"/>
          <w:lang w:eastAsia="zh-CN"/>
        </w:rPr>
        <w:endnoteReference w:id="11"/>
      </w:r>
      <w:r w:rsidR="000031D2" w:rsidRPr="00A52F7C">
        <w:rPr>
          <w:lang w:eastAsia="zh-CN"/>
        </w:rPr>
        <w:t xml:space="preserve"> In September 2014, Alibaba </w:t>
      </w:r>
      <w:r w:rsidRPr="00A52F7C">
        <w:rPr>
          <w:lang w:eastAsia="zh-CN"/>
        </w:rPr>
        <w:t>was listed</w:t>
      </w:r>
      <w:r w:rsidR="000031D2" w:rsidRPr="00A52F7C">
        <w:rPr>
          <w:lang w:eastAsia="zh-CN"/>
        </w:rPr>
        <w:t xml:space="preserve"> on the New York Stock Exchange. </w:t>
      </w:r>
      <w:r w:rsidRPr="00A52F7C">
        <w:rPr>
          <w:lang w:eastAsia="zh-CN"/>
        </w:rPr>
        <w:t>V</w:t>
      </w:r>
      <w:r w:rsidR="000031D2" w:rsidRPr="00A52F7C">
        <w:rPr>
          <w:lang w:eastAsia="zh-CN"/>
        </w:rPr>
        <w:t>alu</w:t>
      </w:r>
      <w:r w:rsidRPr="00A52F7C">
        <w:rPr>
          <w:lang w:eastAsia="zh-CN"/>
        </w:rPr>
        <w:t xml:space="preserve">ed </w:t>
      </w:r>
      <w:r w:rsidR="000031D2" w:rsidRPr="00A52F7C">
        <w:rPr>
          <w:lang w:eastAsia="zh-CN"/>
        </w:rPr>
        <w:t>at $160 billion</w:t>
      </w:r>
      <w:r w:rsidRPr="00A52F7C">
        <w:rPr>
          <w:lang w:eastAsia="zh-CN"/>
        </w:rPr>
        <w:t>,</w:t>
      </w:r>
      <w:r w:rsidR="000031D2" w:rsidRPr="00A52F7C">
        <w:rPr>
          <w:lang w:eastAsia="zh-CN"/>
        </w:rPr>
        <w:t xml:space="preserve"> and </w:t>
      </w:r>
      <w:r w:rsidRPr="00A52F7C">
        <w:rPr>
          <w:lang w:eastAsia="zh-CN"/>
        </w:rPr>
        <w:t xml:space="preserve">with a </w:t>
      </w:r>
      <w:r w:rsidR="000031D2" w:rsidRPr="00A52F7C">
        <w:rPr>
          <w:lang w:eastAsia="zh-CN"/>
        </w:rPr>
        <w:t>plan to sell 12 per cent of its shares, Alibaba was able to raise nearly $20 billion. This initial public offering value was large</w:t>
      </w:r>
      <w:r w:rsidRPr="00A52F7C">
        <w:rPr>
          <w:lang w:eastAsia="zh-CN"/>
        </w:rPr>
        <w:t xml:space="preserve">r than that for any other </w:t>
      </w:r>
      <w:r w:rsidR="000031D2" w:rsidRPr="00A52F7C">
        <w:rPr>
          <w:lang w:eastAsia="zh-CN"/>
        </w:rPr>
        <w:t>compan</w:t>
      </w:r>
      <w:r w:rsidR="00A6513E" w:rsidRPr="00A52F7C">
        <w:rPr>
          <w:lang w:eastAsia="zh-CN"/>
        </w:rPr>
        <w:t>y</w:t>
      </w:r>
      <w:r w:rsidR="000031D2" w:rsidRPr="00A52F7C">
        <w:rPr>
          <w:lang w:eastAsia="zh-CN"/>
        </w:rPr>
        <w:t xml:space="preserve"> </w:t>
      </w:r>
      <w:r w:rsidRPr="00A52F7C">
        <w:rPr>
          <w:lang w:eastAsia="zh-CN"/>
        </w:rPr>
        <w:t xml:space="preserve">listed </w:t>
      </w:r>
      <w:r w:rsidR="000031D2" w:rsidRPr="00A52F7C">
        <w:rPr>
          <w:lang w:eastAsia="zh-CN"/>
        </w:rPr>
        <w:t>in the United States</w:t>
      </w:r>
      <w:r w:rsidRPr="00A52F7C">
        <w:rPr>
          <w:lang w:eastAsia="zh-CN"/>
        </w:rPr>
        <w:t xml:space="preserve"> </w:t>
      </w:r>
      <w:r w:rsidR="00637294">
        <w:rPr>
          <w:lang w:eastAsia="zh-CN"/>
        </w:rPr>
        <w:t>at the time</w:t>
      </w:r>
      <w:r w:rsidR="000031D2" w:rsidRPr="00A52F7C">
        <w:rPr>
          <w:lang w:eastAsia="zh-CN"/>
        </w:rPr>
        <w:t>.</w:t>
      </w:r>
      <w:r w:rsidR="000031D2" w:rsidRPr="00A52F7C">
        <w:rPr>
          <w:rStyle w:val="EndnoteReference"/>
          <w:lang w:eastAsia="zh-CN"/>
        </w:rPr>
        <w:endnoteReference w:id="12"/>
      </w:r>
    </w:p>
    <w:p w14:paraId="3AB998B5" w14:textId="77777777" w:rsidR="000031D2" w:rsidRPr="00A52F7C" w:rsidRDefault="000031D2" w:rsidP="005169F6">
      <w:pPr>
        <w:pStyle w:val="BodyTextMain"/>
        <w:rPr>
          <w:lang w:eastAsia="zh-CN"/>
        </w:rPr>
      </w:pPr>
    </w:p>
    <w:p w14:paraId="0DEDCAD0" w14:textId="373CC1BD" w:rsidR="000031D2" w:rsidRPr="00A52F7C" w:rsidRDefault="000031D2" w:rsidP="005169F6">
      <w:pPr>
        <w:pStyle w:val="BodyTextMain"/>
        <w:rPr>
          <w:lang w:eastAsia="zh-CN"/>
        </w:rPr>
      </w:pPr>
      <w:r w:rsidRPr="00A52F7C">
        <w:rPr>
          <w:lang w:eastAsia="zh-CN"/>
        </w:rPr>
        <w:t>Ma had always wanted to do something that could influence many people and contribute to his beloved country. Through Alibaba, he not only created millions of jobs but also changed the country’s social and economic landscape, making China the largest Internet market in the world.</w:t>
      </w:r>
      <w:r w:rsidRPr="00A52F7C">
        <w:rPr>
          <w:rStyle w:val="EndnoteReference"/>
          <w:lang w:eastAsia="zh-CN"/>
        </w:rPr>
        <w:endnoteReference w:id="13"/>
      </w:r>
      <w:r w:rsidRPr="00A52F7C">
        <w:rPr>
          <w:lang w:eastAsia="zh-CN"/>
        </w:rPr>
        <w:t xml:space="preserve"> </w:t>
      </w:r>
      <w:r w:rsidR="001C66E2">
        <w:rPr>
          <w:lang w:eastAsia="zh-CN"/>
        </w:rPr>
        <w:t xml:space="preserve">By 2017, </w:t>
      </w:r>
      <w:r w:rsidRPr="00A52F7C">
        <w:rPr>
          <w:lang w:eastAsia="zh-CN"/>
        </w:rPr>
        <w:t xml:space="preserve">Alibaba had grown to become the </w:t>
      </w:r>
      <w:r w:rsidR="003E027C" w:rsidRPr="00A52F7C">
        <w:rPr>
          <w:lang w:eastAsia="zh-CN"/>
        </w:rPr>
        <w:t>second-</w:t>
      </w:r>
      <w:r w:rsidRPr="00A52F7C">
        <w:rPr>
          <w:lang w:eastAsia="zh-CN"/>
        </w:rPr>
        <w:t>largest Internet retail company based on market value</w:t>
      </w:r>
      <w:r w:rsidR="003E027C" w:rsidRPr="00A52F7C">
        <w:rPr>
          <w:lang w:eastAsia="zh-CN"/>
        </w:rPr>
        <w:t>—</w:t>
      </w:r>
      <w:r w:rsidRPr="00A52F7C">
        <w:rPr>
          <w:lang w:eastAsia="zh-CN"/>
        </w:rPr>
        <w:t xml:space="preserve">just behind its </w:t>
      </w:r>
      <w:r w:rsidR="003E027C" w:rsidRPr="00A52F7C">
        <w:rPr>
          <w:lang w:eastAsia="zh-CN"/>
        </w:rPr>
        <w:t xml:space="preserve">biggest </w:t>
      </w:r>
      <w:r w:rsidRPr="00A52F7C">
        <w:rPr>
          <w:lang w:eastAsia="zh-CN"/>
        </w:rPr>
        <w:t>rival</w:t>
      </w:r>
      <w:r w:rsidR="003E027C" w:rsidRPr="00A52F7C">
        <w:rPr>
          <w:lang w:eastAsia="zh-CN"/>
        </w:rPr>
        <w:t>,</w:t>
      </w:r>
      <w:r w:rsidRPr="00A52F7C">
        <w:rPr>
          <w:lang w:eastAsia="zh-CN"/>
        </w:rPr>
        <w:t xml:space="preserve"> Amazon. Nevertheless, its profitability was more than double that of Amazon.</w:t>
      </w:r>
      <w:r w:rsidRPr="00A52F7C">
        <w:rPr>
          <w:rStyle w:val="EndnoteReference"/>
          <w:lang w:eastAsia="zh-CN"/>
        </w:rPr>
        <w:endnoteReference w:id="14"/>
      </w:r>
    </w:p>
    <w:p w14:paraId="6733DD79" w14:textId="487120F8" w:rsidR="000031D2" w:rsidRPr="00A52F7C" w:rsidRDefault="000031D2" w:rsidP="005169F6">
      <w:pPr>
        <w:pStyle w:val="BodyTextMain"/>
        <w:rPr>
          <w:lang w:eastAsia="zh-CN"/>
        </w:rPr>
      </w:pPr>
    </w:p>
    <w:p w14:paraId="205E1799" w14:textId="77777777" w:rsidR="000031D2" w:rsidRPr="00A52F7C" w:rsidRDefault="000031D2" w:rsidP="005169F6">
      <w:pPr>
        <w:pStyle w:val="BodyTextMain"/>
        <w:rPr>
          <w:lang w:eastAsia="zh-CN"/>
        </w:rPr>
      </w:pPr>
    </w:p>
    <w:p w14:paraId="636F421D" w14:textId="77777777" w:rsidR="000031D2" w:rsidRPr="00A52F7C" w:rsidRDefault="000031D2" w:rsidP="005169F6">
      <w:pPr>
        <w:pStyle w:val="Casehead2"/>
      </w:pPr>
      <w:r w:rsidRPr="00A52F7C">
        <w:t>Domestic Market Competition</w:t>
      </w:r>
    </w:p>
    <w:p w14:paraId="72E0C4C7" w14:textId="77777777" w:rsidR="000031D2" w:rsidRPr="00A52F7C" w:rsidRDefault="000031D2" w:rsidP="005169F6">
      <w:pPr>
        <w:pStyle w:val="BodyTextMain"/>
      </w:pPr>
    </w:p>
    <w:p w14:paraId="5BEEA00D" w14:textId="52713B1C" w:rsidR="000031D2" w:rsidRPr="00A52F7C" w:rsidRDefault="003E027C" w:rsidP="005169F6">
      <w:pPr>
        <w:pStyle w:val="BodyTextMain"/>
        <w:rPr>
          <w:lang w:eastAsia="zh-CN"/>
        </w:rPr>
      </w:pPr>
      <w:r w:rsidRPr="00A52F7C">
        <w:t>H</w:t>
      </w:r>
      <w:r w:rsidR="000031D2" w:rsidRPr="00A52F7C">
        <w:t>ome to nearly 1.4 billion people</w:t>
      </w:r>
      <w:r w:rsidRPr="00A52F7C">
        <w:t>,</w:t>
      </w:r>
      <w:r w:rsidR="000031D2" w:rsidRPr="00A52F7C">
        <w:t xml:space="preserve"> over 50 per cent </w:t>
      </w:r>
      <w:r w:rsidRPr="00A52F7C">
        <w:t>of whom had</w:t>
      </w:r>
      <w:r w:rsidR="000031D2" w:rsidRPr="00A52F7C">
        <w:t xml:space="preserve"> access to </w:t>
      </w:r>
      <w:r w:rsidRPr="00A52F7C">
        <w:t xml:space="preserve">the </w:t>
      </w:r>
      <w:r w:rsidR="000031D2" w:rsidRPr="00A52F7C">
        <w:t>Internet, China was inevitably attractive for online retailers.</w:t>
      </w:r>
      <w:r w:rsidR="000031D2" w:rsidRPr="00A52F7C">
        <w:rPr>
          <w:rStyle w:val="EndnoteReference"/>
        </w:rPr>
        <w:endnoteReference w:id="15"/>
      </w:r>
      <w:r w:rsidR="00A13C8B" w:rsidRPr="00A52F7C">
        <w:t xml:space="preserve"> </w:t>
      </w:r>
      <w:r w:rsidR="000031D2" w:rsidRPr="00A52F7C">
        <w:t xml:space="preserve">As the pioneer e-commerce company in China, Alibaba remained the dominant player in the market, occupying </w:t>
      </w:r>
      <w:r w:rsidRPr="00A52F7C">
        <w:t xml:space="preserve">a </w:t>
      </w:r>
      <w:r w:rsidR="000031D2" w:rsidRPr="00A52F7C">
        <w:t>57 per cent share of the business-to-customer (B2C) market in 2016. However, this figure had decreased from 61 per cent in 2014, while the shares of an emerging domestic rival</w:t>
      </w:r>
      <w:r w:rsidRPr="00A52F7C">
        <w:t>,</w:t>
      </w:r>
      <w:r w:rsidR="000031D2" w:rsidRPr="00A52F7C">
        <w:t xml:space="preserve"> JD.com</w:t>
      </w:r>
      <w:r w:rsidRPr="00A52F7C">
        <w:t xml:space="preserve"> Inc. (JD.com),</w:t>
      </w:r>
      <w:r w:rsidR="000031D2" w:rsidRPr="00A52F7C">
        <w:t xml:space="preserve"> had increased from 18 per cent in 2014 to 24 per cent in 2016.</w:t>
      </w:r>
      <w:r w:rsidR="000031D2" w:rsidRPr="00A52F7C">
        <w:rPr>
          <w:rStyle w:val="EndnoteReference"/>
        </w:rPr>
        <w:endnoteReference w:id="16"/>
      </w:r>
      <w:r w:rsidR="000031D2" w:rsidRPr="00A52F7C">
        <w:t xml:space="preserve"> </w:t>
      </w:r>
      <w:r w:rsidR="000031D2" w:rsidRPr="00A52F7C">
        <w:rPr>
          <w:lang w:eastAsia="zh-CN"/>
        </w:rPr>
        <w:t xml:space="preserve">JD.com </w:t>
      </w:r>
      <w:r w:rsidR="00A6513E" w:rsidRPr="00A52F7C">
        <w:rPr>
          <w:lang w:eastAsia="zh-CN"/>
        </w:rPr>
        <w:t xml:space="preserve">had </w:t>
      </w:r>
      <w:r w:rsidR="000031D2" w:rsidRPr="00A52F7C">
        <w:rPr>
          <w:lang w:eastAsia="zh-CN"/>
        </w:rPr>
        <w:t xml:space="preserve">adopted Amazon’s business model by heavily investing in its own logistics infrastructure. </w:t>
      </w:r>
      <w:r w:rsidR="000031D2" w:rsidRPr="00A52F7C">
        <w:t xml:space="preserve">Despite the rising competition, Alibaba’s revenues </w:t>
      </w:r>
      <w:r w:rsidR="00656139" w:rsidRPr="00A52F7C">
        <w:t xml:space="preserve">had </w:t>
      </w:r>
      <w:r w:rsidR="000031D2" w:rsidRPr="00A52F7C">
        <w:t xml:space="preserve">continued to grow </w:t>
      </w:r>
      <w:r w:rsidR="001C66E2">
        <w:t>significantly</w:t>
      </w:r>
      <w:r w:rsidR="000031D2" w:rsidRPr="00A52F7C">
        <w:t xml:space="preserve"> </w:t>
      </w:r>
      <w:r w:rsidR="001C66E2">
        <w:t xml:space="preserve">each year </w:t>
      </w:r>
      <w:r w:rsidR="000031D2" w:rsidRPr="00A52F7C">
        <w:t xml:space="preserve">since 2010, mainly as </w:t>
      </w:r>
      <w:r w:rsidR="00A6513E" w:rsidRPr="00A52F7C">
        <w:t xml:space="preserve">a </w:t>
      </w:r>
      <w:r w:rsidR="000031D2" w:rsidRPr="00A52F7C">
        <w:t xml:space="preserve">result of </w:t>
      </w:r>
      <w:r w:rsidR="00A6513E" w:rsidRPr="00A52F7C">
        <w:t>the</w:t>
      </w:r>
      <w:r w:rsidR="00656139" w:rsidRPr="00A52F7C">
        <w:t xml:space="preserve"> </w:t>
      </w:r>
      <w:r w:rsidR="000031D2" w:rsidRPr="00A52F7C">
        <w:t xml:space="preserve">growing </w:t>
      </w:r>
      <w:r w:rsidR="00656139" w:rsidRPr="00A52F7C">
        <w:t xml:space="preserve">online shopping </w:t>
      </w:r>
      <w:r w:rsidR="000031D2" w:rsidRPr="00A52F7C">
        <w:t>trend.</w:t>
      </w:r>
      <w:r w:rsidR="000031D2" w:rsidRPr="00A52F7C">
        <w:rPr>
          <w:rStyle w:val="EndnoteReference"/>
        </w:rPr>
        <w:endnoteReference w:id="17"/>
      </w:r>
    </w:p>
    <w:p w14:paraId="6C7EF207" w14:textId="77777777" w:rsidR="000031D2" w:rsidRPr="00A52F7C" w:rsidRDefault="000031D2" w:rsidP="005169F6">
      <w:pPr>
        <w:pStyle w:val="BodyTextMain"/>
      </w:pPr>
    </w:p>
    <w:p w14:paraId="3FB2A88E" w14:textId="0990CED8" w:rsidR="000031D2" w:rsidRPr="005169F6" w:rsidRDefault="000031D2" w:rsidP="005169F6">
      <w:pPr>
        <w:pStyle w:val="BodyTextMain"/>
        <w:rPr>
          <w:spacing w:val="-2"/>
          <w:lang w:eastAsia="zh-CN"/>
        </w:rPr>
      </w:pPr>
      <w:r w:rsidRPr="005169F6">
        <w:rPr>
          <w:spacing w:val="-2"/>
        </w:rPr>
        <w:t>The e-commerce market had grown substantially</w:t>
      </w:r>
      <w:r w:rsidR="00656139" w:rsidRPr="005169F6">
        <w:rPr>
          <w:spacing w:val="-2"/>
        </w:rPr>
        <w:t>,</w:t>
      </w:r>
      <w:r w:rsidRPr="005169F6">
        <w:rPr>
          <w:spacing w:val="-2"/>
        </w:rPr>
        <w:t xml:space="preserve"> </w:t>
      </w:r>
      <w:r w:rsidR="00656139" w:rsidRPr="005169F6">
        <w:rPr>
          <w:spacing w:val="-2"/>
        </w:rPr>
        <w:t xml:space="preserve">and </w:t>
      </w:r>
      <w:r w:rsidRPr="005169F6">
        <w:rPr>
          <w:spacing w:val="-2"/>
        </w:rPr>
        <w:t>the online retail market was at peak in 2013</w:t>
      </w:r>
      <w:r w:rsidR="00656139" w:rsidRPr="005169F6">
        <w:rPr>
          <w:spacing w:val="-2"/>
        </w:rPr>
        <w:t>,</w:t>
      </w:r>
      <w:r w:rsidRPr="005169F6">
        <w:rPr>
          <w:spacing w:val="-2"/>
        </w:rPr>
        <w:t xml:space="preserve"> with </w:t>
      </w:r>
      <w:r w:rsidR="00656139" w:rsidRPr="005169F6">
        <w:rPr>
          <w:spacing w:val="-2"/>
        </w:rPr>
        <w:t xml:space="preserve">a </w:t>
      </w:r>
      <w:r w:rsidRPr="005169F6">
        <w:rPr>
          <w:spacing w:val="-2"/>
        </w:rPr>
        <w:t xml:space="preserve">nearly 60 per cent annual growth rate. </w:t>
      </w:r>
      <w:r w:rsidR="00656139" w:rsidRPr="005169F6">
        <w:rPr>
          <w:spacing w:val="-2"/>
        </w:rPr>
        <w:t>However, this</w:t>
      </w:r>
      <w:r w:rsidRPr="005169F6">
        <w:rPr>
          <w:spacing w:val="-2"/>
        </w:rPr>
        <w:t xml:space="preserve"> growth was expected to decline to 20 per cent in 2018 due to </w:t>
      </w:r>
      <w:r w:rsidRPr="005169F6">
        <w:rPr>
          <w:spacing w:val="-2"/>
          <w:lang w:eastAsia="zh-CN"/>
        </w:rPr>
        <w:t xml:space="preserve">the economic downturn in </w:t>
      </w:r>
      <w:r w:rsidR="00656139" w:rsidRPr="005169F6">
        <w:rPr>
          <w:spacing w:val="-2"/>
          <w:lang w:eastAsia="zh-CN"/>
        </w:rPr>
        <w:t xml:space="preserve">the </w:t>
      </w:r>
      <w:r w:rsidRPr="005169F6">
        <w:rPr>
          <w:spacing w:val="-2"/>
          <w:lang w:eastAsia="zh-CN"/>
        </w:rPr>
        <w:t>Chinese economy</w:t>
      </w:r>
      <w:r w:rsidR="00A6513E" w:rsidRPr="005169F6">
        <w:rPr>
          <w:spacing w:val="-2"/>
          <w:lang w:eastAsia="zh-CN"/>
        </w:rPr>
        <w:t xml:space="preserve"> </w:t>
      </w:r>
      <w:r w:rsidR="00A6513E" w:rsidRPr="005169F6">
        <w:rPr>
          <w:spacing w:val="-2"/>
        </w:rPr>
        <w:t xml:space="preserve">(see Exhibit </w:t>
      </w:r>
      <w:r w:rsidR="00A6513E" w:rsidRPr="005169F6">
        <w:rPr>
          <w:spacing w:val="-2"/>
          <w:lang w:eastAsia="zh-CN"/>
        </w:rPr>
        <w:t>1</w:t>
      </w:r>
      <w:r w:rsidR="00A6513E" w:rsidRPr="005169F6">
        <w:rPr>
          <w:spacing w:val="-2"/>
        </w:rPr>
        <w:t>).</w:t>
      </w:r>
      <w:r w:rsidRPr="005169F6">
        <w:rPr>
          <w:rStyle w:val="EndnoteReference"/>
          <w:spacing w:val="-2"/>
        </w:rPr>
        <w:endnoteReference w:id="18"/>
      </w:r>
      <w:r w:rsidRPr="005169F6">
        <w:rPr>
          <w:spacing w:val="-2"/>
        </w:rPr>
        <w:t xml:space="preserve"> In 2016, China</w:t>
      </w:r>
      <w:r w:rsidR="00656139" w:rsidRPr="005169F6">
        <w:rPr>
          <w:spacing w:val="-2"/>
        </w:rPr>
        <w:t>’s</w:t>
      </w:r>
      <w:r w:rsidRPr="005169F6">
        <w:rPr>
          <w:spacing w:val="-2"/>
        </w:rPr>
        <w:t xml:space="preserve"> economy grew at </w:t>
      </w:r>
      <w:r w:rsidR="00656139" w:rsidRPr="005169F6">
        <w:rPr>
          <w:spacing w:val="-2"/>
        </w:rPr>
        <w:t xml:space="preserve">only </w:t>
      </w:r>
      <w:r w:rsidRPr="005169F6">
        <w:rPr>
          <w:spacing w:val="-2"/>
        </w:rPr>
        <w:t>6.7 per cent</w:t>
      </w:r>
      <w:r w:rsidR="00656139" w:rsidRPr="005169F6">
        <w:rPr>
          <w:spacing w:val="-2"/>
        </w:rPr>
        <w:t xml:space="preserve">—its </w:t>
      </w:r>
      <w:r w:rsidRPr="005169F6">
        <w:rPr>
          <w:spacing w:val="-2"/>
        </w:rPr>
        <w:t>worst performance in 26 years</w:t>
      </w:r>
      <w:r w:rsidR="00656139" w:rsidRPr="005169F6">
        <w:rPr>
          <w:spacing w:val="-2"/>
        </w:rPr>
        <w:t>—and</w:t>
      </w:r>
      <w:r w:rsidRPr="005169F6">
        <w:rPr>
          <w:spacing w:val="-2"/>
        </w:rPr>
        <w:t xml:space="preserve"> growth was expected to weaken </w:t>
      </w:r>
      <w:r w:rsidR="0090534D" w:rsidRPr="005169F6">
        <w:rPr>
          <w:spacing w:val="-2"/>
        </w:rPr>
        <w:t>further,</w:t>
      </w:r>
      <w:r w:rsidR="0090534D" w:rsidRPr="005169F6">
        <w:rPr>
          <w:spacing w:val="-2"/>
          <w:lang w:eastAsia="zh-CN"/>
        </w:rPr>
        <w:t xml:space="preserve"> </w:t>
      </w:r>
      <w:r w:rsidRPr="005169F6">
        <w:rPr>
          <w:spacing w:val="-2"/>
        </w:rPr>
        <w:t>to 6.</w:t>
      </w:r>
      <w:r w:rsidR="00656139" w:rsidRPr="005169F6">
        <w:rPr>
          <w:spacing w:val="-2"/>
        </w:rPr>
        <w:t>2 </w:t>
      </w:r>
      <w:r w:rsidRPr="005169F6">
        <w:rPr>
          <w:spacing w:val="-2"/>
        </w:rPr>
        <w:t>per cent in 2018.</w:t>
      </w:r>
      <w:r w:rsidRPr="005169F6">
        <w:rPr>
          <w:rStyle w:val="EndnoteReference"/>
          <w:spacing w:val="-2"/>
        </w:rPr>
        <w:endnoteReference w:id="19"/>
      </w:r>
      <w:r w:rsidRPr="005169F6">
        <w:rPr>
          <w:spacing w:val="-2"/>
        </w:rPr>
        <w:t xml:space="preserve"> </w:t>
      </w:r>
      <w:r w:rsidR="0048153F" w:rsidRPr="005169F6">
        <w:rPr>
          <w:spacing w:val="-2"/>
          <w:lang w:eastAsia="zh-CN"/>
        </w:rPr>
        <w:t xml:space="preserve">Growth </w:t>
      </w:r>
      <w:r w:rsidR="0048153F" w:rsidRPr="005169F6">
        <w:rPr>
          <w:spacing w:val="-2"/>
        </w:rPr>
        <w:t>of g</w:t>
      </w:r>
      <w:r w:rsidRPr="005169F6">
        <w:rPr>
          <w:spacing w:val="-2"/>
          <w:lang w:eastAsia="zh-CN"/>
        </w:rPr>
        <w:t>ross merchandise volume (GMV</w:t>
      </w:r>
      <w:r w:rsidR="00656139" w:rsidRPr="005169F6">
        <w:rPr>
          <w:spacing w:val="-2"/>
          <w:lang w:eastAsia="zh-CN"/>
        </w:rPr>
        <w:t xml:space="preserve">) was </w:t>
      </w:r>
      <w:r w:rsidRPr="005169F6">
        <w:rPr>
          <w:spacing w:val="-2"/>
          <w:lang w:eastAsia="zh-CN"/>
        </w:rPr>
        <w:t>the most important performance metric in the e-commerce industry</w:t>
      </w:r>
      <w:r w:rsidR="00656139" w:rsidRPr="005169F6">
        <w:rPr>
          <w:spacing w:val="-2"/>
          <w:lang w:eastAsia="zh-CN"/>
        </w:rPr>
        <w:t>.</w:t>
      </w:r>
      <w:r w:rsidR="00656139" w:rsidRPr="005169F6">
        <w:rPr>
          <w:spacing w:val="-2"/>
        </w:rPr>
        <w:t xml:space="preserve"> </w:t>
      </w:r>
      <w:r w:rsidRPr="005169F6">
        <w:rPr>
          <w:spacing w:val="-2"/>
          <w:lang w:eastAsia="zh-CN"/>
        </w:rPr>
        <w:t>Alibaba’s GMV was at 40 per cent in the fourth quarter of 2015 but was reduced to less than 25 per cent in the same quarter of 2016</w:t>
      </w:r>
      <w:r w:rsidR="00A6513E" w:rsidRPr="005169F6">
        <w:rPr>
          <w:spacing w:val="-2"/>
          <w:lang w:eastAsia="zh-CN"/>
        </w:rPr>
        <w:t xml:space="preserve"> (see Exhibit 2).</w:t>
      </w:r>
      <w:r w:rsidRPr="005169F6">
        <w:rPr>
          <w:rStyle w:val="EndnoteReference"/>
          <w:spacing w:val="-2"/>
          <w:lang w:eastAsia="zh-CN"/>
        </w:rPr>
        <w:endnoteReference w:id="20"/>
      </w:r>
      <w:r w:rsidRPr="005169F6">
        <w:rPr>
          <w:spacing w:val="-2"/>
          <w:lang w:eastAsia="zh-CN"/>
        </w:rPr>
        <w:t xml:space="preserve"> Although Alibaba still managed to increase its revenue during this downturn, the company could not ignore the fact that competition among e-commerce players would become stiffer and </w:t>
      </w:r>
      <w:r w:rsidR="00A6513E" w:rsidRPr="005169F6">
        <w:rPr>
          <w:spacing w:val="-2"/>
          <w:lang w:eastAsia="zh-CN"/>
        </w:rPr>
        <w:t xml:space="preserve">would </w:t>
      </w:r>
      <w:r w:rsidRPr="005169F6">
        <w:rPr>
          <w:spacing w:val="-2"/>
          <w:lang w:eastAsia="zh-CN"/>
        </w:rPr>
        <w:t>potentially jeopardize its leading position.</w:t>
      </w:r>
      <w:r w:rsidR="001C66E2" w:rsidRPr="005169F6">
        <w:rPr>
          <w:rStyle w:val="EndnoteReference"/>
          <w:spacing w:val="-2"/>
          <w:lang w:eastAsia="zh-CN"/>
        </w:rPr>
        <w:endnoteReference w:id="21"/>
      </w:r>
    </w:p>
    <w:p w14:paraId="13C427FA" w14:textId="528B3C03" w:rsidR="00C85E0A" w:rsidRPr="005169F6" w:rsidRDefault="00C85E0A" w:rsidP="005169F6">
      <w:pPr>
        <w:pStyle w:val="BodyTextMain"/>
        <w:rPr>
          <w:spacing w:val="-2"/>
        </w:rPr>
      </w:pPr>
      <w:r w:rsidRPr="005169F6">
        <w:rPr>
          <w:spacing w:val="-2"/>
        </w:rPr>
        <w:br w:type="page"/>
      </w:r>
    </w:p>
    <w:p w14:paraId="2087E85E" w14:textId="541CDD0E" w:rsidR="000031D2" w:rsidRPr="00A52F7C" w:rsidRDefault="000031D2" w:rsidP="005169F6">
      <w:pPr>
        <w:pStyle w:val="Casehead2"/>
        <w:rPr>
          <w:lang w:eastAsia="zh-CN"/>
        </w:rPr>
      </w:pPr>
      <w:r w:rsidRPr="00A52F7C">
        <w:lastRenderedPageBreak/>
        <w:t xml:space="preserve">Global </w:t>
      </w:r>
      <w:r w:rsidRPr="00A52F7C">
        <w:rPr>
          <w:lang w:eastAsia="zh-CN"/>
        </w:rPr>
        <w:t>Ambition</w:t>
      </w:r>
    </w:p>
    <w:p w14:paraId="7A1FE948" w14:textId="77777777" w:rsidR="000031D2" w:rsidRPr="00A52F7C" w:rsidRDefault="000031D2" w:rsidP="005169F6">
      <w:pPr>
        <w:pStyle w:val="BodyTextMain"/>
      </w:pPr>
    </w:p>
    <w:p w14:paraId="041EC451" w14:textId="6F36C518" w:rsidR="000031D2" w:rsidRPr="00A52F7C" w:rsidRDefault="001C66E2" w:rsidP="005169F6">
      <w:pPr>
        <w:pStyle w:val="BodyTextMain"/>
        <w:rPr>
          <w:lang w:eastAsia="zh-CN"/>
        </w:rPr>
      </w:pPr>
      <w:r>
        <w:t xml:space="preserve">In 2017, </w:t>
      </w:r>
      <w:r w:rsidR="000031D2" w:rsidRPr="00A52F7C">
        <w:t xml:space="preserve">Alibaba, once </w:t>
      </w:r>
      <w:r>
        <w:t xml:space="preserve">only </w:t>
      </w:r>
      <w:r w:rsidR="000031D2" w:rsidRPr="00A52F7C">
        <w:t xml:space="preserve">a regional e-commerce player, had been actively pursuing globalization. The company </w:t>
      </w:r>
      <w:r w:rsidR="00A6513E" w:rsidRPr="00A52F7C">
        <w:t>had bought</w:t>
      </w:r>
      <w:r w:rsidR="000031D2" w:rsidRPr="00A52F7C">
        <w:t xml:space="preserve"> shares in promising Internet-related businesses all around the world over the </w:t>
      </w:r>
      <w:r w:rsidR="0000635E">
        <w:t>previous</w:t>
      </w:r>
      <w:r w:rsidR="0000635E" w:rsidRPr="00A52F7C">
        <w:t xml:space="preserve"> </w:t>
      </w:r>
      <w:r w:rsidR="000031D2" w:rsidRPr="00A52F7C">
        <w:t>10 years.</w:t>
      </w:r>
      <w:r w:rsidR="000031D2" w:rsidRPr="00A52F7C">
        <w:rPr>
          <w:rStyle w:val="EndnoteReference"/>
        </w:rPr>
        <w:endnoteReference w:id="22"/>
      </w:r>
      <w:r w:rsidR="000031D2" w:rsidRPr="00A52F7C">
        <w:t xml:space="preserve"> The slowdown in </w:t>
      </w:r>
      <w:r w:rsidR="00A6513E" w:rsidRPr="00A52F7C">
        <w:t xml:space="preserve">the </w:t>
      </w:r>
      <w:r w:rsidR="000031D2" w:rsidRPr="00A52F7C">
        <w:t>Chinese economy, domestic competition, and expectation</w:t>
      </w:r>
      <w:r w:rsidR="00A6513E" w:rsidRPr="00A52F7C">
        <w:t>s</w:t>
      </w:r>
      <w:r w:rsidR="000031D2" w:rsidRPr="00A52F7C">
        <w:t xml:space="preserve"> from capital market</w:t>
      </w:r>
      <w:r w:rsidR="00A6513E" w:rsidRPr="00A52F7C">
        <w:t>s</w:t>
      </w:r>
      <w:r w:rsidR="000031D2" w:rsidRPr="00A52F7C">
        <w:t xml:space="preserve"> </w:t>
      </w:r>
      <w:r w:rsidR="0048153F">
        <w:t>all motivated the company</w:t>
      </w:r>
      <w:r w:rsidR="000031D2" w:rsidRPr="00A52F7C">
        <w:t xml:space="preserve"> to accelerate its globalization. </w:t>
      </w:r>
      <w:r w:rsidR="000031D2" w:rsidRPr="00A52F7C">
        <w:rPr>
          <w:lang w:eastAsia="zh-CN"/>
        </w:rPr>
        <w:t xml:space="preserve">In fact, Alibaba </w:t>
      </w:r>
      <w:r w:rsidR="00A6513E" w:rsidRPr="00A52F7C">
        <w:rPr>
          <w:lang w:eastAsia="zh-CN"/>
        </w:rPr>
        <w:t xml:space="preserve">had </w:t>
      </w:r>
      <w:r w:rsidR="000031D2" w:rsidRPr="00A52F7C">
        <w:rPr>
          <w:lang w:eastAsia="zh-CN"/>
        </w:rPr>
        <w:t>derived only 7 per cent of its total revenue from international retail and wholesale markets in 2016.</w:t>
      </w:r>
      <w:r w:rsidR="000031D2" w:rsidRPr="00A52F7C">
        <w:rPr>
          <w:rStyle w:val="EndnoteReference"/>
          <w:lang w:eastAsia="zh-CN"/>
        </w:rPr>
        <w:endnoteReference w:id="23"/>
      </w:r>
      <w:r w:rsidR="000031D2" w:rsidRPr="00A52F7C">
        <w:rPr>
          <w:lang w:eastAsia="zh-CN"/>
        </w:rPr>
        <w:t xml:space="preserve"> However, it aimed to generate over 50 per cent of </w:t>
      </w:r>
      <w:r w:rsidR="00A6513E" w:rsidRPr="00A52F7C">
        <w:rPr>
          <w:lang w:eastAsia="zh-CN"/>
        </w:rPr>
        <w:t xml:space="preserve">its </w:t>
      </w:r>
      <w:r w:rsidR="000031D2" w:rsidRPr="00A52F7C">
        <w:rPr>
          <w:lang w:eastAsia="zh-CN"/>
        </w:rPr>
        <w:t>revenues outside China</w:t>
      </w:r>
      <w:r w:rsidR="00A6513E" w:rsidRPr="00A52F7C">
        <w:rPr>
          <w:lang w:eastAsia="zh-CN"/>
        </w:rPr>
        <w:t xml:space="preserve"> in the next 20 years,</w:t>
      </w:r>
      <w:r w:rsidR="000031D2" w:rsidRPr="00A52F7C">
        <w:rPr>
          <w:rStyle w:val="EndnoteReference"/>
          <w:lang w:eastAsia="zh-CN"/>
        </w:rPr>
        <w:endnoteReference w:id="24"/>
      </w:r>
      <w:r w:rsidR="000031D2" w:rsidRPr="00A52F7C">
        <w:rPr>
          <w:lang w:eastAsia="zh-CN"/>
        </w:rPr>
        <w:t xml:space="preserve"> while serving 2 billion customers around the world, empowering 10 million businesses</w:t>
      </w:r>
      <w:r w:rsidR="00A6513E" w:rsidRPr="00A52F7C">
        <w:rPr>
          <w:lang w:eastAsia="zh-CN"/>
        </w:rPr>
        <w:t>,</w:t>
      </w:r>
      <w:r w:rsidR="000031D2" w:rsidRPr="00A52F7C">
        <w:rPr>
          <w:lang w:eastAsia="zh-CN"/>
        </w:rPr>
        <w:t xml:space="preserve"> and creating 100 million jobs</w:t>
      </w:r>
      <w:r w:rsidR="00A6513E" w:rsidRPr="00A52F7C">
        <w:rPr>
          <w:lang w:eastAsia="zh-CN"/>
        </w:rPr>
        <w:t>.</w:t>
      </w:r>
      <w:r w:rsidR="00A6513E" w:rsidRPr="00A52F7C">
        <w:rPr>
          <w:rStyle w:val="EndnoteReference"/>
          <w:lang w:eastAsia="zh-CN"/>
        </w:rPr>
        <w:endnoteReference w:id="25"/>
      </w:r>
      <w:r w:rsidR="000031D2" w:rsidRPr="00A52F7C">
        <w:rPr>
          <w:lang w:eastAsia="zh-CN"/>
        </w:rPr>
        <w:t xml:space="preserve"> Regardless of the economic situation, Alibaba was optimistic </w:t>
      </w:r>
      <w:r w:rsidR="00A6513E" w:rsidRPr="00A52F7C">
        <w:rPr>
          <w:lang w:eastAsia="zh-CN"/>
        </w:rPr>
        <w:t xml:space="preserve">about </w:t>
      </w:r>
      <w:r w:rsidR="000031D2" w:rsidRPr="00A52F7C">
        <w:rPr>
          <w:lang w:eastAsia="zh-CN"/>
        </w:rPr>
        <w:t>China</w:t>
      </w:r>
      <w:r w:rsidR="00A6513E" w:rsidRPr="00A52F7C">
        <w:rPr>
          <w:lang w:eastAsia="zh-CN"/>
        </w:rPr>
        <w:t>’s</w:t>
      </w:r>
      <w:r w:rsidR="000031D2" w:rsidRPr="00A52F7C">
        <w:rPr>
          <w:lang w:eastAsia="zh-CN"/>
        </w:rPr>
        <w:t xml:space="preserve"> e-commerce market, </w:t>
      </w:r>
      <w:r w:rsidR="00DD5279">
        <w:rPr>
          <w:lang w:eastAsia="zh-CN"/>
        </w:rPr>
        <w:t>because</w:t>
      </w:r>
      <w:r w:rsidR="00A6513E" w:rsidRPr="00A52F7C">
        <w:rPr>
          <w:lang w:eastAsia="zh-CN"/>
        </w:rPr>
        <w:t xml:space="preserve"> </w:t>
      </w:r>
      <w:r w:rsidR="000031D2" w:rsidRPr="00A52F7C">
        <w:rPr>
          <w:lang w:eastAsia="zh-CN"/>
        </w:rPr>
        <w:t>only 50 per cent of China</w:t>
      </w:r>
      <w:r w:rsidR="00A6513E" w:rsidRPr="00A52F7C">
        <w:rPr>
          <w:lang w:eastAsia="zh-CN"/>
        </w:rPr>
        <w:t>’s</w:t>
      </w:r>
      <w:r w:rsidR="000031D2" w:rsidRPr="00A52F7C">
        <w:rPr>
          <w:lang w:eastAsia="zh-CN"/>
        </w:rPr>
        <w:t xml:space="preserve"> population had Internet access</w:t>
      </w:r>
      <w:r w:rsidR="00A6513E" w:rsidRPr="00A52F7C">
        <w:rPr>
          <w:lang w:eastAsia="zh-CN"/>
        </w:rPr>
        <w:t xml:space="preserve"> </w:t>
      </w:r>
      <w:r w:rsidR="00DD5279">
        <w:rPr>
          <w:lang w:eastAsia="zh-CN"/>
        </w:rPr>
        <w:t>at that point</w:t>
      </w:r>
      <w:r w:rsidR="000031D2" w:rsidRPr="00A52F7C">
        <w:rPr>
          <w:lang w:eastAsia="zh-CN"/>
        </w:rPr>
        <w:t xml:space="preserve">. However, it would take time for the company to grow further by filling </w:t>
      </w:r>
      <w:r w:rsidR="00A6513E" w:rsidRPr="00A52F7C">
        <w:rPr>
          <w:lang w:eastAsia="zh-CN"/>
        </w:rPr>
        <w:t xml:space="preserve">this </w:t>
      </w:r>
      <w:r w:rsidR="000031D2" w:rsidRPr="00A52F7C">
        <w:rPr>
          <w:lang w:eastAsia="zh-CN"/>
        </w:rPr>
        <w:t>gap.</w:t>
      </w:r>
      <w:r w:rsidR="000031D2" w:rsidRPr="00A52F7C">
        <w:rPr>
          <w:rStyle w:val="EndnoteReference"/>
          <w:lang w:eastAsia="zh-CN"/>
        </w:rPr>
        <w:endnoteReference w:id="26"/>
      </w:r>
    </w:p>
    <w:p w14:paraId="05F820D4" w14:textId="77777777" w:rsidR="000031D2" w:rsidRPr="00A52F7C" w:rsidRDefault="000031D2" w:rsidP="005169F6">
      <w:pPr>
        <w:pStyle w:val="BodyTextMain"/>
        <w:rPr>
          <w:lang w:eastAsia="zh-CN"/>
        </w:rPr>
      </w:pPr>
    </w:p>
    <w:p w14:paraId="7BACA295" w14:textId="77777777" w:rsidR="000031D2" w:rsidRPr="00A52F7C" w:rsidRDefault="000031D2" w:rsidP="005169F6">
      <w:pPr>
        <w:pStyle w:val="BodyTextMain"/>
      </w:pPr>
    </w:p>
    <w:p w14:paraId="1BC11C57" w14:textId="40F604DB" w:rsidR="000031D2" w:rsidRPr="00A52F7C" w:rsidRDefault="000031D2" w:rsidP="005169F6">
      <w:pPr>
        <w:pStyle w:val="Casehead1"/>
      </w:pPr>
      <w:r w:rsidRPr="00A52F7C">
        <w:t>LAZADA: THE AMAZON OF SOUTHEAST ASIA</w:t>
      </w:r>
    </w:p>
    <w:p w14:paraId="429FA3A0" w14:textId="77777777" w:rsidR="000031D2" w:rsidRPr="00A52F7C" w:rsidRDefault="000031D2" w:rsidP="005169F6">
      <w:pPr>
        <w:pStyle w:val="BodyTextMain"/>
      </w:pPr>
    </w:p>
    <w:p w14:paraId="39252C96" w14:textId="77777777" w:rsidR="000031D2" w:rsidRPr="00A52F7C" w:rsidRDefault="000031D2" w:rsidP="005169F6">
      <w:pPr>
        <w:pStyle w:val="Casehead2"/>
      </w:pPr>
      <w:r w:rsidRPr="00A52F7C">
        <w:t>The Beginning</w:t>
      </w:r>
    </w:p>
    <w:p w14:paraId="57AB4EB7" w14:textId="77777777" w:rsidR="000031D2" w:rsidRPr="00A52F7C" w:rsidRDefault="000031D2" w:rsidP="005169F6">
      <w:pPr>
        <w:pStyle w:val="BodyTextMain"/>
      </w:pPr>
    </w:p>
    <w:p w14:paraId="007203E7" w14:textId="7351AE1F" w:rsidR="000031D2" w:rsidRPr="00A52F7C" w:rsidRDefault="000031D2" w:rsidP="005169F6">
      <w:pPr>
        <w:pStyle w:val="BodyTextMain"/>
      </w:pPr>
      <w:proofErr w:type="spellStart"/>
      <w:r w:rsidRPr="00A52F7C">
        <w:t>Lazada</w:t>
      </w:r>
      <w:proofErr w:type="spellEnd"/>
      <w:r w:rsidRPr="00A52F7C">
        <w:t xml:space="preserve"> was the brainchild of three tech-savvy brothers</w:t>
      </w:r>
      <w:r w:rsidR="009470A4" w:rsidRPr="00A52F7C">
        <w:t>—</w:t>
      </w:r>
      <w:r w:rsidRPr="00A52F7C">
        <w:t xml:space="preserve">Alexander </w:t>
      </w:r>
      <w:proofErr w:type="spellStart"/>
      <w:r w:rsidRPr="00A52F7C">
        <w:t>Samwer</w:t>
      </w:r>
      <w:proofErr w:type="spellEnd"/>
      <w:r w:rsidRPr="00A52F7C">
        <w:t xml:space="preserve">, Marc </w:t>
      </w:r>
      <w:proofErr w:type="spellStart"/>
      <w:r w:rsidRPr="00A52F7C">
        <w:t>Samwer</w:t>
      </w:r>
      <w:proofErr w:type="spellEnd"/>
      <w:r w:rsidRPr="00A52F7C">
        <w:t xml:space="preserve">, and Oliver </w:t>
      </w:r>
      <w:proofErr w:type="spellStart"/>
      <w:r w:rsidRPr="00A52F7C">
        <w:t>Samwer</w:t>
      </w:r>
      <w:proofErr w:type="spellEnd"/>
      <w:r w:rsidR="009470A4" w:rsidRPr="00A52F7C">
        <w:t>—</w:t>
      </w:r>
      <w:r w:rsidRPr="00A52F7C">
        <w:t>who founded Rocket Internet</w:t>
      </w:r>
      <w:r w:rsidR="00DD5279">
        <w:t xml:space="preserve"> SE (Rocket Internet)</w:t>
      </w:r>
      <w:r w:rsidRPr="00A52F7C">
        <w:t xml:space="preserve">, a </w:t>
      </w:r>
      <w:r w:rsidR="009470A4" w:rsidRPr="00A52F7C">
        <w:t xml:space="preserve">large, </w:t>
      </w:r>
      <w:r w:rsidRPr="00A52F7C">
        <w:t>German</w:t>
      </w:r>
      <w:r w:rsidR="0048153F">
        <w:t>,</w:t>
      </w:r>
      <w:r w:rsidRPr="00A52F7C">
        <w:t xml:space="preserve"> Internet-based incubator. Rocket Internet’s vision was to become the biggest online consumer platform outside the United States and China.</w:t>
      </w:r>
      <w:r w:rsidRPr="00A52F7C">
        <w:rPr>
          <w:rStyle w:val="EndnoteReference"/>
        </w:rPr>
        <w:endnoteReference w:id="27"/>
      </w:r>
      <w:r w:rsidRPr="00A52F7C">
        <w:t xml:space="preserve"> Its business model was to develop new businesses</w:t>
      </w:r>
      <w:r w:rsidR="009470A4" w:rsidRPr="00A52F7C">
        <w:t>,</w:t>
      </w:r>
      <w:r w:rsidRPr="00A52F7C">
        <w:t xml:space="preserve"> usually in emerging markets</w:t>
      </w:r>
      <w:r w:rsidR="009470A4" w:rsidRPr="00A52F7C">
        <w:t>,</w:t>
      </w:r>
      <w:r w:rsidRPr="00A52F7C">
        <w:t xml:space="preserve"> based on the successful ideas of others. </w:t>
      </w:r>
      <w:r w:rsidR="009470A4" w:rsidRPr="00A52F7C">
        <w:t>F</w:t>
      </w:r>
      <w:r w:rsidRPr="00A52F7C">
        <w:t xml:space="preserve">acing </w:t>
      </w:r>
      <w:r w:rsidR="009470A4" w:rsidRPr="00A52F7C">
        <w:t xml:space="preserve">constant </w:t>
      </w:r>
      <w:r w:rsidRPr="00A52F7C">
        <w:t xml:space="preserve">criticism </w:t>
      </w:r>
      <w:r w:rsidR="009470A4" w:rsidRPr="00A52F7C">
        <w:t xml:space="preserve">for </w:t>
      </w:r>
      <w:r w:rsidRPr="00A52F7C">
        <w:t xml:space="preserve">this </w:t>
      </w:r>
      <w:r w:rsidR="0048153F">
        <w:t>approach</w:t>
      </w:r>
      <w:r w:rsidRPr="00A52F7C">
        <w:t xml:space="preserve">, the company defended </w:t>
      </w:r>
      <w:r w:rsidR="009470A4" w:rsidRPr="00A52F7C">
        <w:t xml:space="preserve">itself by saying </w:t>
      </w:r>
      <w:r w:rsidRPr="00A52F7C">
        <w:t>it was the builder, not the innovator.</w:t>
      </w:r>
      <w:r w:rsidRPr="00A52F7C">
        <w:rPr>
          <w:rStyle w:val="EndnoteReference"/>
        </w:rPr>
        <w:endnoteReference w:id="28"/>
      </w:r>
      <w:r w:rsidRPr="00A52F7C">
        <w:t xml:space="preserve"> Rocket Internet saw a promising opportunity to start </w:t>
      </w:r>
      <w:r w:rsidR="009470A4" w:rsidRPr="00A52F7C">
        <w:t xml:space="preserve">an </w:t>
      </w:r>
      <w:r w:rsidRPr="00A52F7C">
        <w:t>e-commerce business in Southeast Asia</w:t>
      </w:r>
      <w:r w:rsidR="00F00A77">
        <w:t xml:space="preserve"> because</w:t>
      </w:r>
      <w:r w:rsidRPr="00A52F7C">
        <w:t xml:space="preserve"> the market had grown rapidly but </w:t>
      </w:r>
      <w:r w:rsidR="009470A4" w:rsidRPr="00A52F7C">
        <w:t xml:space="preserve">was </w:t>
      </w:r>
      <w:r w:rsidRPr="00A52F7C">
        <w:t xml:space="preserve">without dominant players, probably </w:t>
      </w:r>
      <w:r w:rsidR="00F00A77">
        <w:t>due to</w:t>
      </w:r>
      <w:r w:rsidR="009470A4" w:rsidRPr="00A52F7C">
        <w:t xml:space="preserve"> the region’s</w:t>
      </w:r>
      <w:r w:rsidRPr="00A52F7C">
        <w:t xml:space="preserve"> </w:t>
      </w:r>
      <w:r w:rsidR="009470A4" w:rsidRPr="00A52F7C">
        <w:t xml:space="preserve">diverse </w:t>
      </w:r>
      <w:r w:rsidRPr="00A52F7C">
        <w:t xml:space="preserve">cultures, languages, </w:t>
      </w:r>
      <w:r w:rsidR="009470A4" w:rsidRPr="00A52F7C">
        <w:t xml:space="preserve">geographical </w:t>
      </w:r>
      <w:r w:rsidRPr="00A52F7C">
        <w:t>conditions, and consumer</w:t>
      </w:r>
      <w:r w:rsidR="009470A4" w:rsidRPr="00A52F7C">
        <w:t xml:space="preserve"> habits</w:t>
      </w:r>
      <w:r w:rsidRPr="00A52F7C">
        <w:t>.</w:t>
      </w:r>
      <w:r w:rsidRPr="00A52F7C">
        <w:rPr>
          <w:rStyle w:val="EndnoteReference"/>
        </w:rPr>
        <w:endnoteReference w:id="29"/>
      </w:r>
      <w:r w:rsidRPr="00A52F7C">
        <w:t xml:space="preserve"> To capitalize </w:t>
      </w:r>
      <w:r w:rsidR="009470A4" w:rsidRPr="00A52F7C">
        <w:t xml:space="preserve">on this </w:t>
      </w:r>
      <w:r w:rsidRPr="00A52F7C">
        <w:t xml:space="preserve">opportunity, Rocket Internet developed </w:t>
      </w:r>
      <w:r w:rsidR="009470A4" w:rsidRPr="00A52F7C">
        <w:t xml:space="preserve">the </w:t>
      </w:r>
      <w:r w:rsidRPr="00A52F7C">
        <w:t xml:space="preserve">online platform </w:t>
      </w:r>
      <w:proofErr w:type="spellStart"/>
      <w:r w:rsidRPr="00A52F7C">
        <w:t>Lazada</w:t>
      </w:r>
      <w:proofErr w:type="spellEnd"/>
      <w:r w:rsidRPr="00A52F7C">
        <w:t xml:space="preserve"> in 2011</w:t>
      </w:r>
      <w:r w:rsidR="009470A4" w:rsidRPr="00A52F7C">
        <w:t>,</w:t>
      </w:r>
      <w:r w:rsidRPr="00A52F7C">
        <w:t xml:space="preserve"> based on the successful business model of Amazon. In 2017, </w:t>
      </w:r>
      <w:proofErr w:type="spellStart"/>
      <w:r w:rsidRPr="00A52F7C">
        <w:t>Lazada</w:t>
      </w:r>
      <w:proofErr w:type="spellEnd"/>
      <w:r w:rsidR="009470A4" w:rsidRPr="00A52F7C">
        <w:t>, with</w:t>
      </w:r>
      <w:r w:rsidRPr="00A52F7C">
        <w:t xml:space="preserve"> </w:t>
      </w:r>
      <w:r w:rsidR="009470A4" w:rsidRPr="00A52F7C">
        <w:t xml:space="preserve">its headquarters in Singapore, </w:t>
      </w:r>
      <w:r w:rsidRPr="00A52F7C">
        <w:t>was operating in Indonesia, Malaysia, the Philippines, Singapore, Thailand, and Vietnam (</w:t>
      </w:r>
      <w:r w:rsidR="009470A4" w:rsidRPr="00A52F7C">
        <w:t>s</w:t>
      </w:r>
      <w:r w:rsidRPr="00A52F7C">
        <w:t xml:space="preserve">ee Exhibit </w:t>
      </w:r>
      <w:r w:rsidRPr="00A52F7C">
        <w:rPr>
          <w:lang w:eastAsia="zh-CN"/>
        </w:rPr>
        <w:t>3</w:t>
      </w:r>
      <w:r w:rsidRPr="00A52F7C">
        <w:t>)</w:t>
      </w:r>
      <w:r w:rsidR="009470A4" w:rsidRPr="00A52F7C">
        <w:t xml:space="preserve">. </w:t>
      </w:r>
    </w:p>
    <w:p w14:paraId="07C24549" w14:textId="77777777" w:rsidR="000031D2" w:rsidRPr="00A52F7C" w:rsidRDefault="000031D2" w:rsidP="005169F6">
      <w:pPr>
        <w:pStyle w:val="BodyTextMain"/>
      </w:pPr>
    </w:p>
    <w:p w14:paraId="066CEE24" w14:textId="77777777" w:rsidR="000031D2" w:rsidRPr="00A52F7C" w:rsidRDefault="000031D2" w:rsidP="005169F6">
      <w:pPr>
        <w:pStyle w:val="BodyTextMain"/>
      </w:pPr>
    </w:p>
    <w:p w14:paraId="62F34C9B" w14:textId="2F469D11" w:rsidR="000031D2" w:rsidRPr="00A52F7C" w:rsidRDefault="000031D2" w:rsidP="005169F6">
      <w:pPr>
        <w:pStyle w:val="Casehead2"/>
      </w:pPr>
      <w:r w:rsidRPr="00A52F7C">
        <w:t>The Chief Executive Officer (CEO)</w:t>
      </w:r>
    </w:p>
    <w:p w14:paraId="697A6D8E" w14:textId="77777777" w:rsidR="000031D2" w:rsidRPr="00A52F7C" w:rsidRDefault="000031D2" w:rsidP="005169F6">
      <w:pPr>
        <w:pStyle w:val="BodyTextMain"/>
        <w:rPr>
          <w:rFonts w:eastAsia="Calibri"/>
        </w:rPr>
      </w:pPr>
    </w:p>
    <w:p w14:paraId="179AE9B0" w14:textId="056CAD73" w:rsidR="000031D2" w:rsidRPr="00A52F7C" w:rsidRDefault="00556DAB" w:rsidP="005169F6">
      <w:pPr>
        <w:pStyle w:val="BodyTextMain"/>
        <w:rPr>
          <w:rFonts w:eastAsia="Calibri"/>
          <w:lang w:eastAsia="zh-CN"/>
        </w:rPr>
      </w:pPr>
      <w:r w:rsidRPr="00A52F7C">
        <w:rPr>
          <w:rFonts w:eastAsia="Calibri"/>
        </w:rPr>
        <w:t xml:space="preserve">Rocket Internet’s exacting search </w:t>
      </w:r>
      <w:r w:rsidR="000031D2" w:rsidRPr="00A52F7C">
        <w:rPr>
          <w:rFonts w:eastAsia="Calibri"/>
        </w:rPr>
        <w:t>for a qualified person to build a first-class e-commerce company in the region</w:t>
      </w:r>
      <w:r w:rsidRPr="00A52F7C">
        <w:rPr>
          <w:rFonts w:eastAsia="Calibri"/>
        </w:rPr>
        <w:t xml:space="preserve"> led to the</w:t>
      </w:r>
      <w:r w:rsidR="000031D2" w:rsidRPr="00A52F7C">
        <w:rPr>
          <w:rFonts w:eastAsia="Calibri"/>
        </w:rPr>
        <w:t xml:space="preserve"> </w:t>
      </w:r>
      <w:r w:rsidRPr="00A52F7C">
        <w:rPr>
          <w:rFonts w:eastAsia="Calibri"/>
        </w:rPr>
        <w:t>appointment</w:t>
      </w:r>
      <w:r w:rsidR="004F5AAA" w:rsidRPr="00BA3D71">
        <w:rPr>
          <w:rStyle w:val="CommentReference"/>
          <w:sz w:val="22"/>
          <w:szCs w:val="22"/>
        </w:rPr>
        <w:t xml:space="preserve"> </w:t>
      </w:r>
      <w:r w:rsidRPr="00A52F7C">
        <w:rPr>
          <w:rFonts w:eastAsia="Calibri"/>
        </w:rPr>
        <w:t xml:space="preserve">of </w:t>
      </w:r>
      <w:r w:rsidR="000031D2" w:rsidRPr="00A52F7C">
        <w:rPr>
          <w:rFonts w:eastAsia="Calibri"/>
        </w:rPr>
        <w:t>Maximilian Bittner</w:t>
      </w:r>
      <w:r w:rsidR="00DD5279">
        <w:rPr>
          <w:rFonts w:eastAsia="Calibri"/>
        </w:rPr>
        <w:t xml:space="preserve"> </w:t>
      </w:r>
      <w:r w:rsidR="00DD5279" w:rsidRPr="00A52F7C">
        <w:rPr>
          <w:rFonts w:eastAsia="Calibri"/>
        </w:rPr>
        <w:t>in 2012</w:t>
      </w:r>
      <w:r w:rsidR="000031D2" w:rsidRPr="00A52F7C">
        <w:rPr>
          <w:rFonts w:eastAsia="Calibri"/>
        </w:rPr>
        <w:t xml:space="preserve">, a history and economics </w:t>
      </w:r>
      <w:r w:rsidRPr="00A52F7C">
        <w:rPr>
          <w:rFonts w:eastAsia="Calibri"/>
        </w:rPr>
        <w:t xml:space="preserve">graduate </w:t>
      </w:r>
      <w:r w:rsidR="000031D2" w:rsidRPr="00A52F7C">
        <w:rPr>
          <w:rFonts w:eastAsia="Calibri"/>
        </w:rPr>
        <w:t>from University</w:t>
      </w:r>
      <w:r w:rsidR="000031D2" w:rsidRPr="00A52F7C">
        <w:rPr>
          <w:rFonts w:eastAsia="Calibri"/>
          <w:lang w:eastAsia="zh-CN"/>
        </w:rPr>
        <w:t xml:space="preserve"> </w:t>
      </w:r>
      <w:r w:rsidR="000031D2" w:rsidRPr="00A52F7C">
        <w:rPr>
          <w:rFonts w:eastAsia="Calibri"/>
        </w:rPr>
        <w:t xml:space="preserve">College London </w:t>
      </w:r>
      <w:r w:rsidRPr="00A52F7C">
        <w:rPr>
          <w:rFonts w:eastAsia="Calibri"/>
        </w:rPr>
        <w:t xml:space="preserve">with a masters of business administration </w:t>
      </w:r>
      <w:r w:rsidR="000031D2" w:rsidRPr="00A52F7C">
        <w:rPr>
          <w:rFonts w:eastAsia="Calibri"/>
        </w:rPr>
        <w:t xml:space="preserve">from </w:t>
      </w:r>
      <w:r w:rsidRPr="00A52F7C">
        <w:rPr>
          <w:rFonts w:eastAsia="Calibri"/>
        </w:rPr>
        <w:t xml:space="preserve">the </w:t>
      </w:r>
      <w:r w:rsidR="000031D2" w:rsidRPr="00A52F7C">
        <w:rPr>
          <w:rFonts w:eastAsia="Calibri"/>
        </w:rPr>
        <w:t>Kellogg School</w:t>
      </w:r>
      <w:r w:rsidRPr="00A52F7C">
        <w:rPr>
          <w:rFonts w:eastAsia="Calibri"/>
        </w:rPr>
        <w:t xml:space="preserve"> of Management</w:t>
      </w:r>
      <w:r w:rsidR="000031D2" w:rsidRPr="00A52F7C">
        <w:rPr>
          <w:rFonts w:eastAsia="Calibri"/>
        </w:rPr>
        <w:t xml:space="preserve">, as the </w:t>
      </w:r>
      <w:r w:rsidRPr="00A52F7C">
        <w:rPr>
          <w:rFonts w:eastAsia="Calibri"/>
        </w:rPr>
        <w:t>chief executive officer (</w:t>
      </w:r>
      <w:r w:rsidR="000031D2" w:rsidRPr="00A52F7C">
        <w:rPr>
          <w:rFonts w:eastAsia="Calibri"/>
        </w:rPr>
        <w:t>CEO</w:t>
      </w:r>
      <w:r w:rsidRPr="00A52F7C">
        <w:rPr>
          <w:rFonts w:eastAsia="Calibri"/>
        </w:rPr>
        <w:t>)</w:t>
      </w:r>
      <w:r w:rsidR="000031D2" w:rsidRPr="00A52F7C">
        <w:rPr>
          <w:rFonts w:eastAsia="Calibri"/>
        </w:rPr>
        <w:t xml:space="preserve"> of </w:t>
      </w:r>
      <w:proofErr w:type="spellStart"/>
      <w:r w:rsidR="000031D2" w:rsidRPr="00A52F7C">
        <w:rPr>
          <w:rFonts w:eastAsia="Calibri"/>
        </w:rPr>
        <w:t>Lazada</w:t>
      </w:r>
      <w:proofErr w:type="spellEnd"/>
      <w:r w:rsidR="000031D2" w:rsidRPr="00A52F7C">
        <w:rPr>
          <w:rFonts w:eastAsia="Calibri"/>
        </w:rPr>
        <w:t>.</w:t>
      </w:r>
      <w:r w:rsidR="000031D2" w:rsidRPr="00A52F7C">
        <w:rPr>
          <w:rStyle w:val="EndnoteReference"/>
          <w:rFonts w:eastAsia="Calibri"/>
        </w:rPr>
        <w:endnoteReference w:id="30"/>
      </w:r>
      <w:r w:rsidR="000031D2" w:rsidRPr="00A52F7C">
        <w:rPr>
          <w:rFonts w:eastAsia="Calibri"/>
        </w:rPr>
        <w:t xml:space="preserve"> Bittner </w:t>
      </w:r>
      <w:r w:rsidRPr="00A52F7C">
        <w:rPr>
          <w:rFonts w:eastAsia="Calibri"/>
        </w:rPr>
        <w:t>had</w:t>
      </w:r>
      <w:r w:rsidR="000031D2" w:rsidRPr="00A52F7C">
        <w:rPr>
          <w:rFonts w:eastAsia="Calibri"/>
        </w:rPr>
        <w:t xml:space="preserve"> work</w:t>
      </w:r>
      <w:r w:rsidR="00DD5279">
        <w:rPr>
          <w:rFonts w:eastAsia="Calibri"/>
        </w:rPr>
        <w:t>ed</w:t>
      </w:r>
      <w:r w:rsidR="000031D2" w:rsidRPr="00A52F7C">
        <w:rPr>
          <w:rFonts w:eastAsia="Calibri"/>
        </w:rPr>
        <w:t xml:space="preserve"> as an analyst at Morgan Stanley for three years and </w:t>
      </w:r>
      <w:r w:rsidR="00766B05" w:rsidRPr="00A52F7C">
        <w:rPr>
          <w:rFonts w:eastAsia="Calibri"/>
        </w:rPr>
        <w:t xml:space="preserve">as engagement manager at McKinsey &amp; Company for </w:t>
      </w:r>
      <w:r w:rsidR="000031D2" w:rsidRPr="00A52F7C">
        <w:rPr>
          <w:rFonts w:eastAsia="Calibri"/>
        </w:rPr>
        <w:t xml:space="preserve">five years. </w:t>
      </w:r>
      <w:r w:rsidR="000031D2" w:rsidRPr="00A52F7C">
        <w:rPr>
          <w:rFonts w:eastAsia="Calibri"/>
          <w:lang w:eastAsia="zh-CN"/>
        </w:rPr>
        <w:t>He gr</w:t>
      </w:r>
      <w:r w:rsidR="00766B05" w:rsidRPr="00A52F7C">
        <w:rPr>
          <w:rFonts w:eastAsia="Calibri"/>
          <w:lang w:eastAsia="zh-CN"/>
        </w:rPr>
        <w:t>ew</w:t>
      </w:r>
      <w:r w:rsidR="000031D2" w:rsidRPr="00A52F7C">
        <w:rPr>
          <w:rFonts w:eastAsia="Calibri"/>
          <w:lang w:eastAsia="zh-CN"/>
        </w:rPr>
        <w:t xml:space="preserve"> </w:t>
      </w:r>
      <w:proofErr w:type="spellStart"/>
      <w:r w:rsidR="000031D2" w:rsidRPr="00A52F7C">
        <w:rPr>
          <w:rFonts w:eastAsia="Calibri"/>
          <w:lang w:eastAsia="zh-CN"/>
        </w:rPr>
        <w:t>Lazada</w:t>
      </w:r>
      <w:proofErr w:type="spellEnd"/>
      <w:r w:rsidR="000031D2" w:rsidRPr="00A52F7C">
        <w:rPr>
          <w:rFonts w:eastAsia="Calibri"/>
          <w:lang w:eastAsia="zh-CN"/>
        </w:rPr>
        <w:t xml:space="preserve"> </w:t>
      </w:r>
      <w:r w:rsidR="00766B05" w:rsidRPr="00A52F7C">
        <w:rPr>
          <w:rFonts w:eastAsia="Calibri"/>
          <w:lang w:eastAsia="zh-CN"/>
        </w:rPr>
        <w:t xml:space="preserve">substantially, </w:t>
      </w:r>
      <w:r w:rsidR="000031D2" w:rsidRPr="00A52F7C">
        <w:rPr>
          <w:rFonts w:eastAsia="Calibri"/>
          <w:lang w:eastAsia="zh-CN"/>
        </w:rPr>
        <w:t>achiev</w:t>
      </w:r>
      <w:r w:rsidR="00766B05" w:rsidRPr="00A52F7C">
        <w:rPr>
          <w:rFonts w:eastAsia="Calibri"/>
          <w:lang w:eastAsia="zh-CN"/>
        </w:rPr>
        <w:t>ing an</w:t>
      </w:r>
      <w:r w:rsidR="000031D2" w:rsidRPr="00A52F7C">
        <w:rPr>
          <w:rFonts w:eastAsia="Calibri"/>
          <w:lang w:eastAsia="zh-CN"/>
        </w:rPr>
        <w:t xml:space="preserve"> online footprint of 5 million daily visits to </w:t>
      </w:r>
      <w:r w:rsidR="00766B05" w:rsidRPr="00A52F7C">
        <w:rPr>
          <w:rFonts w:eastAsia="Calibri"/>
          <w:lang w:eastAsia="zh-CN"/>
        </w:rPr>
        <w:t xml:space="preserve">the company’s </w:t>
      </w:r>
      <w:r w:rsidR="000031D2" w:rsidRPr="00A52F7C">
        <w:rPr>
          <w:rFonts w:eastAsia="Calibri"/>
          <w:lang w:eastAsia="zh-CN"/>
        </w:rPr>
        <w:t>sites and mobile apps</w:t>
      </w:r>
      <w:r w:rsidR="00766B05" w:rsidRPr="00A52F7C">
        <w:rPr>
          <w:rFonts w:eastAsia="Calibri"/>
          <w:lang w:eastAsia="zh-CN"/>
        </w:rPr>
        <w:t xml:space="preserve"> and </w:t>
      </w:r>
      <w:r w:rsidR="000031D2" w:rsidRPr="00A52F7C">
        <w:rPr>
          <w:rFonts w:eastAsia="Calibri"/>
          <w:lang w:eastAsia="zh-CN"/>
        </w:rPr>
        <w:t xml:space="preserve">employing 5,500 people as of March 2016. </w:t>
      </w:r>
      <w:proofErr w:type="spellStart"/>
      <w:r w:rsidR="000031D2" w:rsidRPr="00A52F7C">
        <w:rPr>
          <w:rFonts w:eastAsia="Calibri"/>
          <w:lang w:eastAsia="zh-CN"/>
        </w:rPr>
        <w:t>Lazada</w:t>
      </w:r>
      <w:proofErr w:type="spellEnd"/>
      <w:r w:rsidR="000031D2" w:rsidRPr="00A52F7C">
        <w:rPr>
          <w:rFonts w:eastAsia="Calibri"/>
          <w:lang w:eastAsia="zh-CN"/>
        </w:rPr>
        <w:t xml:space="preserve"> also had the largest </w:t>
      </w:r>
      <w:r w:rsidR="00766B05" w:rsidRPr="00A52F7C">
        <w:rPr>
          <w:rFonts w:eastAsia="Calibri"/>
          <w:lang w:eastAsia="zh-CN"/>
        </w:rPr>
        <w:t xml:space="preserve">number of </w:t>
      </w:r>
      <w:r w:rsidR="000031D2" w:rsidRPr="00A52F7C">
        <w:rPr>
          <w:rFonts w:eastAsia="Calibri"/>
          <w:lang w:eastAsia="zh-CN"/>
        </w:rPr>
        <w:t>Facebook followers in Southeast Asia</w:t>
      </w:r>
      <w:r w:rsidR="00766B05" w:rsidRPr="00A52F7C">
        <w:rPr>
          <w:rFonts w:eastAsia="Calibri"/>
          <w:lang w:eastAsia="zh-CN"/>
        </w:rPr>
        <w:t>,</w:t>
      </w:r>
      <w:r w:rsidR="000031D2" w:rsidRPr="00A52F7C">
        <w:rPr>
          <w:rFonts w:eastAsia="Calibri"/>
          <w:lang w:eastAsia="zh-CN"/>
        </w:rPr>
        <w:t xml:space="preserve"> with approximately 15 million fans. </w:t>
      </w:r>
      <w:r w:rsidR="00766B05" w:rsidRPr="00A52F7C">
        <w:rPr>
          <w:rFonts w:eastAsia="Calibri"/>
          <w:lang w:eastAsia="zh-CN"/>
        </w:rPr>
        <w:t xml:space="preserve">Bittner’s </w:t>
      </w:r>
      <w:r w:rsidR="000031D2" w:rsidRPr="00A52F7C">
        <w:rPr>
          <w:rFonts w:eastAsia="Calibri"/>
          <w:lang w:eastAsia="zh-CN"/>
        </w:rPr>
        <w:t xml:space="preserve">strong content marketing capabilities contributed </w:t>
      </w:r>
      <w:r w:rsidR="00766B05" w:rsidRPr="00A52F7C">
        <w:rPr>
          <w:rFonts w:eastAsia="Calibri"/>
          <w:lang w:eastAsia="zh-CN"/>
        </w:rPr>
        <w:t xml:space="preserve">significantly </w:t>
      </w:r>
      <w:r w:rsidR="000031D2" w:rsidRPr="00A52F7C">
        <w:rPr>
          <w:rFonts w:eastAsia="Calibri"/>
          <w:lang w:eastAsia="zh-CN"/>
        </w:rPr>
        <w:t xml:space="preserve">to </w:t>
      </w:r>
      <w:proofErr w:type="spellStart"/>
      <w:r w:rsidR="00766B05" w:rsidRPr="00A52F7C">
        <w:rPr>
          <w:rFonts w:eastAsia="Calibri"/>
          <w:lang w:eastAsia="zh-CN"/>
        </w:rPr>
        <w:t>Lazada’s</w:t>
      </w:r>
      <w:proofErr w:type="spellEnd"/>
      <w:r w:rsidR="00766B05" w:rsidRPr="00A52F7C">
        <w:rPr>
          <w:rFonts w:eastAsia="Calibri"/>
          <w:lang w:eastAsia="zh-CN"/>
        </w:rPr>
        <w:t xml:space="preserve"> </w:t>
      </w:r>
      <w:r w:rsidR="000031D2" w:rsidRPr="00A52F7C">
        <w:rPr>
          <w:rFonts w:eastAsia="Calibri"/>
          <w:lang w:eastAsia="zh-CN"/>
        </w:rPr>
        <w:t>popularity as the prominent online shopping marketplace in Southeast Asia.</w:t>
      </w:r>
      <w:r w:rsidR="000031D2" w:rsidRPr="00A52F7C">
        <w:rPr>
          <w:rStyle w:val="EndnoteReference"/>
          <w:rFonts w:eastAsia="Calibri"/>
          <w:lang w:eastAsia="zh-CN"/>
        </w:rPr>
        <w:endnoteReference w:id="31"/>
      </w:r>
      <w:r w:rsidR="000031D2" w:rsidRPr="00A52F7C">
        <w:rPr>
          <w:rFonts w:eastAsia="Calibri"/>
          <w:lang w:eastAsia="zh-CN"/>
        </w:rPr>
        <w:t xml:space="preserve"> </w:t>
      </w:r>
    </w:p>
    <w:p w14:paraId="2A83D4A0" w14:textId="77777777" w:rsidR="000031D2" w:rsidRPr="00A52F7C" w:rsidRDefault="000031D2" w:rsidP="000E7D1F">
      <w:pPr>
        <w:pStyle w:val="BodyTextMain"/>
        <w:rPr>
          <w:rFonts w:eastAsia="Calibri"/>
        </w:rPr>
      </w:pPr>
    </w:p>
    <w:p w14:paraId="1BF882DE" w14:textId="77777777" w:rsidR="000031D2" w:rsidRPr="00A52F7C" w:rsidRDefault="000031D2" w:rsidP="000E7D1F">
      <w:pPr>
        <w:pStyle w:val="BodyTextMain"/>
        <w:rPr>
          <w:rFonts w:eastAsia="Calibri"/>
        </w:rPr>
      </w:pPr>
    </w:p>
    <w:p w14:paraId="371CA6A0" w14:textId="10DC1C27" w:rsidR="000031D2" w:rsidRPr="00A52F7C" w:rsidRDefault="000031D2" w:rsidP="005169F6">
      <w:pPr>
        <w:pStyle w:val="Casehead2"/>
      </w:pPr>
      <w:r w:rsidRPr="00A52F7C">
        <w:t>The Business Model</w:t>
      </w:r>
    </w:p>
    <w:p w14:paraId="61311560" w14:textId="77777777" w:rsidR="000031D2" w:rsidRPr="00A52F7C" w:rsidRDefault="000031D2" w:rsidP="005169F6">
      <w:pPr>
        <w:pStyle w:val="BodyTextMain"/>
      </w:pPr>
    </w:p>
    <w:p w14:paraId="007FB575" w14:textId="520301C6" w:rsidR="000031D2" w:rsidRPr="00A52F7C" w:rsidRDefault="00766B05" w:rsidP="005169F6">
      <w:pPr>
        <w:pStyle w:val="BodyTextMain"/>
      </w:pPr>
      <w:r w:rsidRPr="00A52F7C">
        <w:t>Like</w:t>
      </w:r>
      <w:r w:rsidR="000031D2" w:rsidRPr="00A52F7C">
        <w:t xml:space="preserve"> Amazon, </w:t>
      </w:r>
      <w:proofErr w:type="spellStart"/>
      <w:r w:rsidR="000031D2" w:rsidRPr="00A52F7C">
        <w:t>Lazada</w:t>
      </w:r>
      <w:proofErr w:type="spellEnd"/>
      <w:r w:rsidR="000031D2" w:rsidRPr="00A52F7C">
        <w:t xml:space="preserve"> began its operations by selling products from its own warehouse. As a pure online retail company, </w:t>
      </w:r>
      <w:proofErr w:type="spellStart"/>
      <w:r w:rsidR="000031D2" w:rsidRPr="00A52F7C">
        <w:t>Lazada</w:t>
      </w:r>
      <w:proofErr w:type="spellEnd"/>
      <w:r w:rsidR="000031D2" w:rsidRPr="00A52F7C">
        <w:t xml:space="preserve"> control</w:t>
      </w:r>
      <w:r w:rsidRPr="00A52F7C">
        <w:t>led</w:t>
      </w:r>
      <w:r w:rsidR="000031D2" w:rsidRPr="00A52F7C">
        <w:t xml:space="preserve"> the supply chain and ensure</w:t>
      </w:r>
      <w:r w:rsidRPr="00A52F7C">
        <w:t>d</w:t>
      </w:r>
      <w:r w:rsidR="000031D2" w:rsidRPr="00A52F7C">
        <w:t xml:space="preserve"> customer satisfaction. </w:t>
      </w:r>
      <w:r w:rsidRPr="00A52F7C">
        <w:t>To increase the assortment of products available a</w:t>
      </w:r>
      <w:r w:rsidR="000031D2" w:rsidRPr="00A52F7C">
        <w:t xml:space="preserve">s </w:t>
      </w:r>
      <w:r w:rsidRPr="00A52F7C">
        <w:t xml:space="preserve">its </w:t>
      </w:r>
      <w:r w:rsidR="000031D2" w:rsidRPr="00A52F7C">
        <w:t xml:space="preserve">customer base </w:t>
      </w:r>
      <w:r w:rsidRPr="00A52F7C">
        <w:t>grew</w:t>
      </w:r>
      <w:r w:rsidR="000031D2" w:rsidRPr="00A52F7C">
        <w:t xml:space="preserve">, the platform evolved </w:t>
      </w:r>
      <w:r w:rsidRPr="00A52F7C">
        <w:t xml:space="preserve">in 2013 </w:t>
      </w:r>
      <w:r w:rsidR="000031D2" w:rsidRPr="00A52F7C">
        <w:t xml:space="preserve">into an open </w:t>
      </w:r>
      <w:r w:rsidR="000031D2" w:rsidRPr="00A52F7C">
        <w:lastRenderedPageBreak/>
        <w:t xml:space="preserve">marketplace with small merchants and major brands selling directly to consumers. This new business model improved the company’s performance </w:t>
      </w:r>
      <w:r w:rsidRPr="00A52F7C">
        <w:t xml:space="preserve">by allowing it to expand </w:t>
      </w:r>
      <w:r w:rsidR="000031D2" w:rsidRPr="00A52F7C">
        <w:t xml:space="preserve">faster </w:t>
      </w:r>
      <w:r w:rsidRPr="00A52F7C">
        <w:t>with</w:t>
      </w:r>
      <w:r w:rsidR="000031D2" w:rsidRPr="00A52F7C">
        <w:t xml:space="preserve"> lower risk. By the end of 2014, </w:t>
      </w:r>
      <w:proofErr w:type="spellStart"/>
      <w:r w:rsidRPr="00A52F7C">
        <w:t>Lazada’s</w:t>
      </w:r>
      <w:proofErr w:type="spellEnd"/>
      <w:r w:rsidRPr="00A52F7C">
        <w:t xml:space="preserve"> </w:t>
      </w:r>
      <w:r w:rsidR="000031D2" w:rsidRPr="00A52F7C">
        <w:t xml:space="preserve">marketplace sales accounted for 65 per cent </w:t>
      </w:r>
      <w:r w:rsidRPr="00A52F7C">
        <w:t>of its</w:t>
      </w:r>
      <w:r w:rsidR="000031D2" w:rsidRPr="00A52F7C">
        <w:t xml:space="preserve"> total revenues. As of April 2016, </w:t>
      </w:r>
      <w:proofErr w:type="spellStart"/>
      <w:r w:rsidR="000031D2" w:rsidRPr="00A52F7C">
        <w:t>Lazada</w:t>
      </w:r>
      <w:proofErr w:type="spellEnd"/>
      <w:r w:rsidR="000031D2" w:rsidRPr="00A52F7C">
        <w:t xml:space="preserve"> had more than 27,000 active merchants across six nations in the region.</w:t>
      </w:r>
      <w:r w:rsidR="008837C1" w:rsidRPr="00A52F7C">
        <w:rPr>
          <w:rStyle w:val="EndnoteReference"/>
        </w:rPr>
        <w:endnoteReference w:id="32"/>
      </w:r>
      <w:r w:rsidR="000031D2" w:rsidRPr="00A52F7C">
        <w:t xml:space="preserve"> </w:t>
      </w:r>
    </w:p>
    <w:p w14:paraId="3E60E7DA" w14:textId="77777777" w:rsidR="000031D2" w:rsidRPr="00A52F7C" w:rsidRDefault="000031D2" w:rsidP="005169F6">
      <w:pPr>
        <w:pStyle w:val="BodyTextMain"/>
      </w:pPr>
    </w:p>
    <w:p w14:paraId="1878BD9B" w14:textId="2A0AF0E8" w:rsidR="000031D2" w:rsidRPr="00A52F7C" w:rsidRDefault="000031D2" w:rsidP="005169F6">
      <w:pPr>
        <w:pStyle w:val="BodyTextMain"/>
        <w:rPr>
          <w:lang w:eastAsia="zh-CN"/>
        </w:rPr>
      </w:pPr>
      <w:r w:rsidRPr="00A52F7C">
        <w:t xml:space="preserve">The company’s value proposition was </w:t>
      </w:r>
      <w:r w:rsidRPr="00A52F7C">
        <w:rPr>
          <w:lang w:eastAsia="zh-CN"/>
        </w:rPr>
        <w:t>to deliver the best shopping experience while addressing logistics challenges.</w:t>
      </w:r>
      <w:r w:rsidRPr="00A52F7C">
        <w:rPr>
          <w:rStyle w:val="EndnoteReference"/>
          <w:lang w:eastAsia="zh-CN"/>
        </w:rPr>
        <w:endnoteReference w:id="33"/>
      </w:r>
      <w:r w:rsidRPr="00A52F7C">
        <w:t xml:space="preserve"> </w:t>
      </w:r>
      <w:proofErr w:type="spellStart"/>
      <w:r w:rsidRPr="00A52F7C">
        <w:t>Lazada</w:t>
      </w:r>
      <w:proofErr w:type="spellEnd"/>
      <w:r w:rsidRPr="00A52F7C">
        <w:t xml:space="preserve"> developed multiple payment methods, including cash</w:t>
      </w:r>
      <w:r w:rsidR="00766B05" w:rsidRPr="00A52F7C">
        <w:t xml:space="preserve"> </w:t>
      </w:r>
      <w:r w:rsidRPr="00A52F7C">
        <w:t>on</w:t>
      </w:r>
      <w:r w:rsidR="00766B05" w:rsidRPr="00A52F7C">
        <w:t xml:space="preserve"> </w:t>
      </w:r>
      <w:r w:rsidRPr="00A52F7C">
        <w:t xml:space="preserve">delivery (COD), </w:t>
      </w:r>
      <w:r w:rsidR="00766B05" w:rsidRPr="00A52F7C">
        <w:t xml:space="preserve">and provided </w:t>
      </w:r>
      <w:r w:rsidRPr="00A52F7C">
        <w:t>extensive customer care and</w:t>
      </w:r>
      <w:r w:rsidRPr="00A52F7C">
        <w:rPr>
          <w:lang w:eastAsia="zh-CN"/>
        </w:rPr>
        <w:t xml:space="preserve"> </w:t>
      </w:r>
      <w:r w:rsidRPr="00A52F7C">
        <w:t>even free product returns.</w:t>
      </w:r>
      <w:r w:rsidRPr="00A52F7C">
        <w:rPr>
          <w:lang w:eastAsia="zh-CN"/>
        </w:rPr>
        <w:t xml:space="preserve"> To improve delivery, </w:t>
      </w:r>
      <w:proofErr w:type="spellStart"/>
      <w:r w:rsidRPr="00A52F7C">
        <w:rPr>
          <w:lang w:eastAsia="zh-CN"/>
        </w:rPr>
        <w:t>Lazada</w:t>
      </w:r>
      <w:proofErr w:type="spellEnd"/>
      <w:r w:rsidRPr="00A52F7C">
        <w:rPr>
          <w:lang w:eastAsia="zh-CN"/>
        </w:rPr>
        <w:t xml:space="preserve"> invested </w:t>
      </w:r>
      <w:r w:rsidR="00766B05" w:rsidRPr="00A52F7C">
        <w:rPr>
          <w:lang w:eastAsia="zh-CN"/>
        </w:rPr>
        <w:t>in</w:t>
      </w:r>
      <w:r w:rsidRPr="00A52F7C">
        <w:rPr>
          <w:lang w:eastAsia="zh-CN"/>
        </w:rPr>
        <w:t xml:space="preserve"> its own logistics service</w:t>
      </w:r>
      <w:r w:rsidR="00766B05" w:rsidRPr="00A52F7C">
        <w:rPr>
          <w:lang w:eastAsia="zh-CN"/>
        </w:rPr>
        <w:t>,</w:t>
      </w:r>
      <w:r w:rsidRPr="00A52F7C">
        <w:rPr>
          <w:lang w:eastAsia="zh-CN"/>
        </w:rPr>
        <w:t xml:space="preserve"> </w:t>
      </w:r>
      <w:proofErr w:type="spellStart"/>
      <w:r w:rsidRPr="00A52F7C">
        <w:rPr>
          <w:lang w:eastAsia="zh-CN"/>
        </w:rPr>
        <w:t>Lazada</w:t>
      </w:r>
      <w:proofErr w:type="spellEnd"/>
      <w:r w:rsidRPr="00A52F7C">
        <w:rPr>
          <w:lang w:eastAsia="zh-CN"/>
        </w:rPr>
        <w:t xml:space="preserve"> Express, while also partnering with over 100 third-party logistics providers. To cope with </w:t>
      </w:r>
      <w:r w:rsidR="00766B05" w:rsidRPr="00A52F7C">
        <w:rPr>
          <w:lang w:eastAsia="zh-CN"/>
        </w:rPr>
        <w:t xml:space="preserve">the </w:t>
      </w:r>
      <w:r w:rsidRPr="00A52F7C">
        <w:rPr>
          <w:lang w:eastAsia="zh-CN"/>
        </w:rPr>
        <w:t xml:space="preserve">relatively underdeveloped logistics infrastructure in emerging nations, </w:t>
      </w:r>
      <w:proofErr w:type="spellStart"/>
      <w:r w:rsidRPr="00A52F7C">
        <w:rPr>
          <w:lang w:eastAsia="zh-CN"/>
        </w:rPr>
        <w:t>Lazada</w:t>
      </w:r>
      <w:proofErr w:type="spellEnd"/>
      <w:r w:rsidRPr="00A52F7C">
        <w:rPr>
          <w:lang w:eastAsia="zh-CN"/>
        </w:rPr>
        <w:t xml:space="preserve"> established 10 </w:t>
      </w:r>
      <w:proofErr w:type="spellStart"/>
      <w:r w:rsidRPr="00A52F7C">
        <w:rPr>
          <w:lang w:eastAsia="zh-CN"/>
        </w:rPr>
        <w:t>fulfillment</w:t>
      </w:r>
      <w:proofErr w:type="spellEnd"/>
      <w:r w:rsidRPr="00A52F7C">
        <w:rPr>
          <w:lang w:eastAsia="zh-CN"/>
        </w:rPr>
        <w:t xml:space="preserve"> cent</w:t>
      </w:r>
      <w:r w:rsidR="00766B05" w:rsidRPr="00A52F7C">
        <w:rPr>
          <w:lang w:eastAsia="zh-CN"/>
        </w:rPr>
        <w:t>r</w:t>
      </w:r>
      <w:r w:rsidRPr="00A52F7C">
        <w:rPr>
          <w:lang w:eastAsia="zh-CN"/>
        </w:rPr>
        <w:t xml:space="preserve">es </w:t>
      </w:r>
      <w:r w:rsidR="00766B05" w:rsidRPr="00A52F7C">
        <w:rPr>
          <w:lang w:eastAsia="zh-CN"/>
        </w:rPr>
        <w:t xml:space="preserve">and </w:t>
      </w:r>
      <w:r w:rsidRPr="00A52F7C">
        <w:rPr>
          <w:lang w:eastAsia="zh-CN"/>
        </w:rPr>
        <w:t xml:space="preserve">over 80 distribution hubs across the </w:t>
      </w:r>
      <w:r w:rsidR="00766B05" w:rsidRPr="00A52F7C">
        <w:rPr>
          <w:lang w:eastAsia="zh-CN"/>
        </w:rPr>
        <w:t>region</w:t>
      </w:r>
      <w:r w:rsidRPr="00A52F7C">
        <w:rPr>
          <w:lang w:eastAsia="zh-CN"/>
        </w:rPr>
        <w:t xml:space="preserve">. </w:t>
      </w:r>
      <w:r w:rsidR="00766B05" w:rsidRPr="00A52F7C">
        <w:rPr>
          <w:lang w:eastAsia="zh-CN"/>
        </w:rPr>
        <w:t>A fleet of o</w:t>
      </w:r>
      <w:r w:rsidRPr="00A52F7C">
        <w:rPr>
          <w:lang w:eastAsia="zh-CN"/>
        </w:rPr>
        <w:t>ver 2,000</w:t>
      </w:r>
      <w:r w:rsidR="008837C1">
        <w:rPr>
          <w:lang w:eastAsia="zh-CN"/>
        </w:rPr>
        <w:t xml:space="preserve"> vehicles</w:t>
      </w:r>
      <w:r w:rsidRPr="00A52F7C">
        <w:rPr>
          <w:lang w:eastAsia="zh-CN"/>
        </w:rPr>
        <w:t xml:space="preserve"> </w:t>
      </w:r>
      <w:r w:rsidR="00766B05" w:rsidRPr="00A52F7C">
        <w:rPr>
          <w:lang w:eastAsia="zh-CN"/>
        </w:rPr>
        <w:t>was</w:t>
      </w:r>
      <w:r w:rsidRPr="00A52F7C">
        <w:rPr>
          <w:lang w:eastAsia="zh-CN"/>
        </w:rPr>
        <w:t xml:space="preserve"> also prepared for </w:t>
      </w:r>
      <w:r w:rsidR="00766B05" w:rsidRPr="00A52F7C">
        <w:rPr>
          <w:lang w:eastAsia="zh-CN"/>
        </w:rPr>
        <w:t>last-</w:t>
      </w:r>
      <w:r w:rsidRPr="00A52F7C">
        <w:rPr>
          <w:lang w:eastAsia="zh-CN"/>
        </w:rPr>
        <w:t>mile delivery.</w:t>
      </w:r>
      <w:r w:rsidR="008837C1" w:rsidRPr="00A52F7C">
        <w:rPr>
          <w:rStyle w:val="EndnoteReference"/>
          <w:lang w:eastAsia="zh-CN"/>
        </w:rPr>
        <w:endnoteReference w:id="34"/>
      </w:r>
      <w:r w:rsidRPr="00A52F7C">
        <w:rPr>
          <w:lang w:eastAsia="zh-CN"/>
        </w:rPr>
        <w:t xml:space="preserve"> </w:t>
      </w:r>
    </w:p>
    <w:p w14:paraId="6B0E9C40" w14:textId="77777777" w:rsidR="000031D2" w:rsidRPr="00A52F7C" w:rsidRDefault="000031D2" w:rsidP="005169F6">
      <w:pPr>
        <w:pStyle w:val="BodyTextMain"/>
        <w:rPr>
          <w:lang w:eastAsia="zh-CN"/>
        </w:rPr>
      </w:pPr>
    </w:p>
    <w:p w14:paraId="7B33EF95" w14:textId="5598674B" w:rsidR="000031D2" w:rsidRPr="00A52F7C" w:rsidRDefault="000031D2" w:rsidP="005169F6">
      <w:pPr>
        <w:pStyle w:val="BodyTextMain"/>
        <w:rPr>
          <w:lang w:eastAsia="zh-CN"/>
        </w:rPr>
      </w:pPr>
      <w:r w:rsidRPr="00A52F7C">
        <w:rPr>
          <w:lang w:eastAsia="zh-CN"/>
        </w:rPr>
        <w:t xml:space="preserve">During </w:t>
      </w:r>
      <w:r w:rsidR="00766B05" w:rsidRPr="00A52F7C">
        <w:rPr>
          <w:lang w:eastAsia="zh-CN"/>
        </w:rPr>
        <w:t xml:space="preserve">its </w:t>
      </w:r>
      <w:r w:rsidRPr="00A52F7C">
        <w:rPr>
          <w:lang w:eastAsia="zh-CN"/>
        </w:rPr>
        <w:t xml:space="preserve">fourth birthday celebration, </w:t>
      </w:r>
      <w:proofErr w:type="spellStart"/>
      <w:r w:rsidRPr="00A52F7C">
        <w:rPr>
          <w:lang w:eastAsia="zh-CN"/>
        </w:rPr>
        <w:t>Lazada</w:t>
      </w:r>
      <w:proofErr w:type="spellEnd"/>
      <w:r w:rsidRPr="00A52F7C">
        <w:rPr>
          <w:lang w:eastAsia="zh-CN"/>
        </w:rPr>
        <w:t xml:space="preserve"> announced that its GMV </w:t>
      </w:r>
      <w:r w:rsidR="00D30AB9" w:rsidRPr="00A52F7C">
        <w:rPr>
          <w:lang w:eastAsia="zh-CN"/>
        </w:rPr>
        <w:t xml:space="preserve">from sales across six nations </w:t>
      </w:r>
      <w:r w:rsidRPr="00A52F7C">
        <w:rPr>
          <w:lang w:eastAsia="zh-CN"/>
        </w:rPr>
        <w:t>had exceeded $1 billion in 2015</w:t>
      </w:r>
      <w:r w:rsidR="00D30AB9" w:rsidRPr="00A52F7C">
        <w:rPr>
          <w:lang w:eastAsia="zh-CN"/>
        </w:rPr>
        <w:t>—</w:t>
      </w:r>
      <w:r w:rsidRPr="00A52F7C">
        <w:rPr>
          <w:lang w:eastAsia="zh-CN"/>
        </w:rPr>
        <w:t>an increase of 167 per cent from 2014.</w:t>
      </w:r>
      <w:r w:rsidRPr="00A52F7C">
        <w:rPr>
          <w:rStyle w:val="EndnoteReference"/>
          <w:lang w:eastAsia="zh-CN"/>
        </w:rPr>
        <w:endnoteReference w:id="35"/>
      </w:r>
      <w:r w:rsidR="00A13C8B" w:rsidRPr="00A52F7C">
        <w:rPr>
          <w:lang w:eastAsia="zh-CN"/>
        </w:rPr>
        <w:t xml:space="preserve"> </w:t>
      </w:r>
      <w:r w:rsidRPr="00A52F7C">
        <w:rPr>
          <w:lang w:eastAsia="zh-CN"/>
        </w:rPr>
        <w:t>Its revenue had grown 78 per</w:t>
      </w:r>
      <w:r w:rsidR="00D30AB9" w:rsidRPr="00A52F7C">
        <w:rPr>
          <w:lang w:eastAsia="zh-CN"/>
        </w:rPr>
        <w:t xml:space="preserve"> cent, </w:t>
      </w:r>
      <w:r w:rsidRPr="00A52F7C">
        <w:rPr>
          <w:lang w:eastAsia="zh-CN"/>
        </w:rPr>
        <w:t xml:space="preserve">from $154.3 million in 2014 to $275 million in 2015. In 2016, </w:t>
      </w:r>
      <w:proofErr w:type="spellStart"/>
      <w:r w:rsidRPr="00A52F7C">
        <w:rPr>
          <w:lang w:eastAsia="zh-CN"/>
        </w:rPr>
        <w:t>Lazada</w:t>
      </w:r>
      <w:proofErr w:type="spellEnd"/>
      <w:r w:rsidRPr="00A52F7C">
        <w:rPr>
          <w:lang w:eastAsia="zh-CN"/>
        </w:rPr>
        <w:t xml:space="preserve"> was ranked </w:t>
      </w:r>
      <w:r w:rsidR="00D30AB9" w:rsidRPr="00A52F7C">
        <w:rPr>
          <w:lang w:eastAsia="zh-CN"/>
        </w:rPr>
        <w:t xml:space="preserve">the </w:t>
      </w:r>
      <w:r w:rsidRPr="00A52F7C">
        <w:rPr>
          <w:lang w:eastAsia="zh-CN"/>
        </w:rPr>
        <w:t>number one online shopping marketplace in the Philippines, Indonesia, Malaysia, Thailand</w:t>
      </w:r>
      <w:r w:rsidR="00D30AB9" w:rsidRPr="00A52F7C">
        <w:rPr>
          <w:lang w:eastAsia="zh-CN"/>
        </w:rPr>
        <w:t>,</w:t>
      </w:r>
      <w:r w:rsidRPr="00A52F7C">
        <w:rPr>
          <w:lang w:eastAsia="zh-CN"/>
        </w:rPr>
        <w:t xml:space="preserve"> and Vietnam.</w:t>
      </w:r>
      <w:r w:rsidRPr="00A52F7C">
        <w:rPr>
          <w:rStyle w:val="EndnoteReference"/>
          <w:lang w:eastAsia="zh-CN"/>
        </w:rPr>
        <w:endnoteReference w:id="36"/>
      </w:r>
      <w:r w:rsidRPr="00A52F7C">
        <w:rPr>
          <w:lang w:eastAsia="zh-CN"/>
        </w:rPr>
        <w:t xml:space="preserve"> The company had successfully created a strong platform ecosystem consisting of reliable partners, merchants, and infrastructure </w:t>
      </w:r>
      <w:r w:rsidR="00D30AB9" w:rsidRPr="00A52F7C">
        <w:rPr>
          <w:lang w:eastAsia="zh-CN"/>
        </w:rPr>
        <w:t xml:space="preserve">across </w:t>
      </w:r>
      <w:r w:rsidRPr="00A52F7C">
        <w:rPr>
          <w:lang w:eastAsia="zh-CN"/>
        </w:rPr>
        <w:t>the region.</w:t>
      </w:r>
      <w:r w:rsidR="008837C1" w:rsidRPr="00A52F7C">
        <w:rPr>
          <w:rStyle w:val="EndnoteReference"/>
          <w:lang w:eastAsia="zh-CN"/>
        </w:rPr>
        <w:endnoteReference w:id="37"/>
      </w:r>
      <w:r w:rsidRPr="00A52F7C">
        <w:rPr>
          <w:lang w:eastAsia="zh-CN"/>
        </w:rPr>
        <w:t xml:space="preserve"> </w:t>
      </w:r>
    </w:p>
    <w:p w14:paraId="39D5C109" w14:textId="77777777" w:rsidR="000031D2" w:rsidRPr="00A52F7C" w:rsidRDefault="000031D2" w:rsidP="005169F6">
      <w:pPr>
        <w:pStyle w:val="BodyTextMain"/>
        <w:rPr>
          <w:lang w:eastAsia="zh-CN"/>
        </w:rPr>
      </w:pPr>
    </w:p>
    <w:p w14:paraId="27C1436F" w14:textId="77777777" w:rsidR="000031D2" w:rsidRPr="00A52F7C" w:rsidRDefault="000031D2" w:rsidP="005169F6">
      <w:pPr>
        <w:pStyle w:val="BodyTextMain"/>
        <w:rPr>
          <w:lang w:eastAsia="zh-CN"/>
        </w:rPr>
      </w:pPr>
    </w:p>
    <w:p w14:paraId="46EE145C" w14:textId="781320BE" w:rsidR="000031D2" w:rsidRPr="00A52F7C" w:rsidRDefault="000031D2" w:rsidP="005169F6">
      <w:pPr>
        <w:pStyle w:val="Casehead2"/>
      </w:pPr>
      <w:r w:rsidRPr="00A52F7C">
        <w:t>The Struggles</w:t>
      </w:r>
    </w:p>
    <w:p w14:paraId="57E9F0A7" w14:textId="77777777" w:rsidR="000031D2" w:rsidRPr="00A52F7C" w:rsidRDefault="000031D2" w:rsidP="005169F6">
      <w:pPr>
        <w:pStyle w:val="BodyTextMain"/>
        <w:rPr>
          <w:lang w:eastAsia="zh-CN"/>
        </w:rPr>
      </w:pPr>
    </w:p>
    <w:p w14:paraId="3663EDAE" w14:textId="18072116" w:rsidR="000031D2" w:rsidRPr="00A52F7C" w:rsidRDefault="00D30AB9" w:rsidP="005169F6">
      <w:pPr>
        <w:pStyle w:val="BodyTextMain"/>
        <w:rPr>
          <w:lang w:eastAsia="zh-CN"/>
        </w:rPr>
      </w:pPr>
      <w:r w:rsidRPr="00A52F7C">
        <w:rPr>
          <w:lang w:eastAsia="zh-CN"/>
        </w:rPr>
        <w:t xml:space="preserve">However, </w:t>
      </w:r>
      <w:proofErr w:type="spellStart"/>
      <w:r w:rsidR="00CE2590">
        <w:rPr>
          <w:lang w:eastAsia="zh-CN"/>
        </w:rPr>
        <w:t>Lazada’s</w:t>
      </w:r>
      <w:proofErr w:type="spellEnd"/>
      <w:r w:rsidR="00CE2590" w:rsidRPr="00A52F7C">
        <w:rPr>
          <w:lang w:eastAsia="zh-CN"/>
        </w:rPr>
        <w:t xml:space="preserve"> </w:t>
      </w:r>
      <w:r w:rsidR="000031D2" w:rsidRPr="00A52F7C">
        <w:rPr>
          <w:lang w:eastAsia="zh-CN"/>
        </w:rPr>
        <w:t xml:space="preserve">spectacular growth came with unsustainable costs. The company reported </w:t>
      </w:r>
      <w:r w:rsidRPr="00A52F7C">
        <w:rPr>
          <w:lang w:eastAsia="zh-CN"/>
        </w:rPr>
        <w:t xml:space="preserve">a </w:t>
      </w:r>
      <w:r w:rsidR="000031D2" w:rsidRPr="00A52F7C">
        <w:rPr>
          <w:lang w:eastAsia="zh-CN"/>
        </w:rPr>
        <w:t xml:space="preserve">$296.5 million loss in 2015, more than double the loss </w:t>
      </w:r>
      <w:r w:rsidRPr="00A52F7C">
        <w:rPr>
          <w:lang w:eastAsia="zh-CN"/>
        </w:rPr>
        <w:t xml:space="preserve">it </w:t>
      </w:r>
      <w:r w:rsidR="004F5AAA">
        <w:rPr>
          <w:lang w:eastAsia="zh-CN"/>
        </w:rPr>
        <w:t xml:space="preserve">had </w:t>
      </w:r>
      <w:r w:rsidR="000031D2" w:rsidRPr="00A52F7C">
        <w:rPr>
          <w:lang w:eastAsia="zh-CN"/>
        </w:rPr>
        <w:t>reported in 2014 (</w:t>
      </w:r>
      <w:r w:rsidRPr="00A52F7C">
        <w:rPr>
          <w:lang w:eastAsia="zh-CN"/>
        </w:rPr>
        <w:t>s</w:t>
      </w:r>
      <w:r w:rsidR="000031D2" w:rsidRPr="00A52F7C">
        <w:rPr>
          <w:lang w:eastAsia="zh-CN"/>
        </w:rPr>
        <w:t>ee Exhibit 4)</w:t>
      </w:r>
      <w:r w:rsidRPr="00A52F7C">
        <w:rPr>
          <w:lang w:eastAsia="zh-CN"/>
        </w:rPr>
        <w:t>.</w:t>
      </w:r>
      <w:r w:rsidR="000031D2" w:rsidRPr="00A52F7C">
        <w:rPr>
          <w:lang w:eastAsia="zh-CN"/>
        </w:rPr>
        <w:t xml:space="preserve"> The huge loss was due not only </w:t>
      </w:r>
      <w:r w:rsidRPr="00A52F7C">
        <w:rPr>
          <w:lang w:eastAsia="zh-CN"/>
        </w:rPr>
        <w:t xml:space="preserve">to </w:t>
      </w:r>
      <w:r w:rsidR="000031D2" w:rsidRPr="00A52F7C">
        <w:rPr>
          <w:lang w:eastAsia="zh-CN"/>
        </w:rPr>
        <w:t xml:space="preserve">the incentives </w:t>
      </w:r>
      <w:r w:rsidRPr="00A52F7C">
        <w:rPr>
          <w:lang w:eastAsia="zh-CN"/>
        </w:rPr>
        <w:t xml:space="preserve">and discounts it offered to </w:t>
      </w:r>
      <w:r w:rsidR="000031D2" w:rsidRPr="00A52F7C">
        <w:rPr>
          <w:lang w:eastAsia="zh-CN"/>
        </w:rPr>
        <w:t xml:space="preserve">merchants </w:t>
      </w:r>
      <w:r w:rsidRPr="00A52F7C">
        <w:rPr>
          <w:lang w:eastAsia="zh-CN"/>
        </w:rPr>
        <w:t>and</w:t>
      </w:r>
      <w:r w:rsidR="000031D2" w:rsidRPr="00A52F7C">
        <w:rPr>
          <w:lang w:eastAsia="zh-CN"/>
        </w:rPr>
        <w:t xml:space="preserve"> buyers on its platform, but also </w:t>
      </w:r>
      <w:r w:rsidRPr="00A52F7C">
        <w:rPr>
          <w:lang w:eastAsia="zh-CN"/>
        </w:rPr>
        <w:t xml:space="preserve">to </w:t>
      </w:r>
      <w:r w:rsidR="000031D2" w:rsidRPr="00A52F7C">
        <w:rPr>
          <w:lang w:eastAsia="zh-CN"/>
        </w:rPr>
        <w:t xml:space="preserve">its heavy investments in expanding </w:t>
      </w:r>
      <w:r w:rsidRPr="00A52F7C">
        <w:rPr>
          <w:lang w:eastAsia="zh-CN"/>
        </w:rPr>
        <w:t xml:space="preserve">its </w:t>
      </w:r>
      <w:r w:rsidR="000031D2" w:rsidRPr="00A52F7C">
        <w:rPr>
          <w:lang w:eastAsia="zh-CN"/>
        </w:rPr>
        <w:t xml:space="preserve">logistics capabilities to accommodate </w:t>
      </w:r>
      <w:r w:rsidRPr="00A52F7C">
        <w:rPr>
          <w:lang w:eastAsia="zh-CN"/>
        </w:rPr>
        <w:t xml:space="preserve">the </w:t>
      </w:r>
      <w:r w:rsidR="000031D2" w:rsidRPr="00A52F7C">
        <w:rPr>
          <w:lang w:eastAsia="zh-CN"/>
        </w:rPr>
        <w:t>rapid growth of e-commerce and address the logistics challenges in the region.</w:t>
      </w:r>
      <w:r w:rsidR="000031D2" w:rsidRPr="00A52F7C">
        <w:rPr>
          <w:rStyle w:val="EndnoteReference"/>
          <w:lang w:eastAsia="zh-CN"/>
        </w:rPr>
        <w:endnoteReference w:id="38"/>
      </w:r>
      <w:r w:rsidR="000031D2" w:rsidRPr="00A52F7C">
        <w:rPr>
          <w:lang w:eastAsia="zh-CN"/>
        </w:rPr>
        <w:t xml:space="preserve"> </w:t>
      </w:r>
      <w:r w:rsidRPr="00A52F7C">
        <w:rPr>
          <w:lang w:eastAsia="zh-CN"/>
        </w:rPr>
        <w:t>T</w:t>
      </w:r>
      <w:r w:rsidR="000031D2" w:rsidRPr="00A52F7C">
        <w:rPr>
          <w:lang w:eastAsia="zh-CN"/>
        </w:rPr>
        <w:t>he company could not grow and sustain its leading e</w:t>
      </w:r>
      <w:r w:rsidR="004F5AAA">
        <w:rPr>
          <w:lang w:eastAsia="zh-CN"/>
        </w:rPr>
        <w:noBreakHyphen/>
      </w:r>
      <w:r w:rsidR="000031D2" w:rsidRPr="00A52F7C">
        <w:rPr>
          <w:lang w:eastAsia="zh-CN"/>
        </w:rPr>
        <w:t xml:space="preserve">commerce site without these substantial investments. With rising competition and the </w:t>
      </w:r>
      <w:r w:rsidRPr="00A52F7C">
        <w:rPr>
          <w:lang w:eastAsia="zh-CN"/>
        </w:rPr>
        <w:t xml:space="preserve">anticipated </w:t>
      </w:r>
      <w:r w:rsidR="000031D2" w:rsidRPr="00A52F7C">
        <w:t xml:space="preserve">entry </w:t>
      </w:r>
      <w:r w:rsidRPr="00A52F7C">
        <w:t>of</w:t>
      </w:r>
      <w:r w:rsidR="000031D2" w:rsidRPr="00A52F7C">
        <w:t xml:space="preserve"> U.S. e-commerce giant Amazon</w:t>
      </w:r>
      <w:r w:rsidR="00D97FBF" w:rsidRPr="00D97FBF">
        <w:t xml:space="preserve"> </w:t>
      </w:r>
      <w:r w:rsidR="00D97FBF" w:rsidRPr="00A52F7C">
        <w:t>into the region</w:t>
      </w:r>
      <w:r w:rsidR="000031D2" w:rsidRPr="00A52F7C">
        <w:rPr>
          <w:lang w:eastAsia="zh-CN"/>
        </w:rPr>
        <w:t xml:space="preserve">, </w:t>
      </w:r>
      <w:proofErr w:type="spellStart"/>
      <w:r w:rsidR="000031D2" w:rsidRPr="00A52F7C">
        <w:rPr>
          <w:lang w:eastAsia="zh-CN"/>
        </w:rPr>
        <w:t>Lazada</w:t>
      </w:r>
      <w:proofErr w:type="spellEnd"/>
      <w:r w:rsidR="000031D2" w:rsidRPr="00A52F7C">
        <w:rPr>
          <w:lang w:eastAsia="zh-CN"/>
        </w:rPr>
        <w:t xml:space="preserve"> had no choice but to continue invest</w:t>
      </w:r>
      <w:r w:rsidRPr="00A52F7C">
        <w:rPr>
          <w:lang w:eastAsia="zh-CN"/>
        </w:rPr>
        <w:t>ing</w:t>
      </w:r>
      <w:r w:rsidR="000031D2" w:rsidRPr="00A52F7C">
        <w:rPr>
          <w:lang w:eastAsia="zh-CN"/>
        </w:rPr>
        <w:t xml:space="preserve"> to strengthen its position. </w:t>
      </w:r>
      <w:r w:rsidRPr="00A52F7C">
        <w:rPr>
          <w:lang w:eastAsia="zh-CN"/>
        </w:rPr>
        <w:t>This scenario left</w:t>
      </w:r>
      <w:r w:rsidR="000031D2" w:rsidRPr="00A52F7C">
        <w:rPr>
          <w:lang w:eastAsia="zh-CN"/>
        </w:rPr>
        <w:t xml:space="preserve"> the company cash</w:t>
      </w:r>
      <w:r w:rsidR="00C748A5">
        <w:rPr>
          <w:lang w:eastAsia="zh-CN"/>
        </w:rPr>
        <w:t>-</w:t>
      </w:r>
      <w:r w:rsidR="000031D2" w:rsidRPr="00A52F7C">
        <w:rPr>
          <w:lang w:eastAsia="zh-CN"/>
        </w:rPr>
        <w:t>strapped and obliged to look for additional funding to continue its competitive operation.</w:t>
      </w:r>
      <w:r w:rsidR="000031D2" w:rsidRPr="00A52F7C">
        <w:rPr>
          <w:rStyle w:val="EndnoteReference"/>
          <w:lang w:eastAsia="zh-CN"/>
        </w:rPr>
        <w:endnoteReference w:id="39"/>
      </w:r>
    </w:p>
    <w:p w14:paraId="554AEB3A" w14:textId="77777777" w:rsidR="000031D2" w:rsidRPr="00A52F7C" w:rsidRDefault="000031D2" w:rsidP="005169F6">
      <w:pPr>
        <w:pStyle w:val="BodyTextMain"/>
        <w:rPr>
          <w:lang w:eastAsia="zh-CN"/>
        </w:rPr>
      </w:pPr>
    </w:p>
    <w:p w14:paraId="44C22350" w14:textId="77777777" w:rsidR="000031D2" w:rsidRPr="00A52F7C" w:rsidRDefault="000031D2" w:rsidP="005169F6">
      <w:pPr>
        <w:pStyle w:val="BodyTextMain"/>
      </w:pPr>
    </w:p>
    <w:p w14:paraId="6822C3E0" w14:textId="25E70769" w:rsidR="000031D2" w:rsidRPr="00A52F7C" w:rsidRDefault="00D30AB9" w:rsidP="00444D97">
      <w:pPr>
        <w:pStyle w:val="Casehead1"/>
        <w:outlineLvl w:val="0"/>
      </w:pPr>
      <w:r w:rsidRPr="00A52F7C">
        <w:t xml:space="preserve">Alibaba’s </w:t>
      </w:r>
      <w:r w:rsidR="000031D2" w:rsidRPr="00A52F7C">
        <w:t xml:space="preserve">ACQUISITION OF LAZADA TO ENTER SOUTHEAST ASIA </w:t>
      </w:r>
    </w:p>
    <w:p w14:paraId="2BA7E39F" w14:textId="77777777" w:rsidR="000031D2" w:rsidRPr="00A52F7C" w:rsidRDefault="000031D2" w:rsidP="005169F6">
      <w:pPr>
        <w:pStyle w:val="BodyTextMain"/>
      </w:pPr>
    </w:p>
    <w:p w14:paraId="573BF3E3" w14:textId="0A64D75D" w:rsidR="000031D2" w:rsidRPr="00A52F7C" w:rsidRDefault="000031D2" w:rsidP="005169F6">
      <w:pPr>
        <w:pStyle w:val="Casehead2"/>
      </w:pPr>
      <w:r w:rsidRPr="00A52F7C">
        <w:t>Transaction Rationales</w:t>
      </w:r>
    </w:p>
    <w:p w14:paraId="01C1E284" w14:textId="77777777" w:rsidR="000031D2" w:rsidRPr="00A52F7C" w:rsidRDefault="000031D2" w:rsidP="005169F6">
      <w:pPr>
        <w:pStyle w:val="BodyTextMain"/>
      </w:pPr>
    </w:p>
    <w:p w14:paraId="5B4EEAC0" w14:textId="4D35204A" w:rsidR="000031D2" w:rsidRPr="00A52F7C" w:rsidRDefault="000031D2" w:rsidP="005169F6">
      <w:pPr>
        <w:pStyle w:val="BodyTextMain"/>
        <w:rPr>
          <w:lang w:eastAsia="zh-CN"/>
        </w:rPr>
      </w:pPr>
      <w:r w:rsidRPr="00A52F7C">
        <w:rPr>
          <w:lang w:eastAsia="zh-CN"/>
        </w:rPr>
        <w:t xml:space="preserve">As </w:t>
      </w:r>
      <w:r w:rsidR="00127458" w:rsidRPr="00A52F7C">
        <w:rPr>
          <w:lang w:eastAsia="zh-CN"/>
        </w:rPr>
        <w:t xml:space="preserve">its </w:t>
      </w:r>
      <w:r w:rsidRPr="00A52F7C">
        <w:rPr>
          <w:lang w:eastAsia="zh-CN"/>
        </w:rPr>
        <w:t xml:space="preserve">home economy slowed and the competition continued to rise, Alibaba had to look for a new source of revenue to sustain its growth. Southeast Asia was a fast-growing region with </w:t>
      </w:r>
      <w:r w:rsidR="00127458" w:rsidRPr="00A52F7C">
        <w:rPr>
          <w:lang w:eastAsia="zh-CN"/>
        </w:rPr>
        <w:t xml:space="preserve">an increasing </w:t>
      </w:r>
      <w:r w:rsidRPr="00A52F7C">
        <w:rPr>
          <w:lang w:eastAsia="zh-CN"/>
        </w:rPr>
        <w:t xml:space="preserve">middle-class population that </w:t>
      </w:r>
      <w:r w:rsidR="00127458" w:rsidRPr="00A52F7C">
        <w:rPr>
          <w:lang w:eastAsia="zh-CN"/>
        </w:rPr>
        <w:t xml:space="preserve">could </w:t>
      </w:r>
      <w:r w:rsidRPr="00A52F7C">
        <w:rPr>
          <w:lang w:eastAsia="zh-CN"/>
        </w:rPr>
        <w:t xml:space="preserve">potentially </w:t>
      </w:r>
      <w:r w:rsidR="00127458" w:rsidRPr="00A52F7C">
        <w:rPr>
          <w:lang w:eastAsia="zh-CN"/>
        </w:rPr>
        <w:t xml:space="preserve">drive </w:t>
      </w:r>
      <w:r w:rsidRPr="00A52F7C">
        <w:rPr>
          <w:lang w:eastAsia="zh-CN"/>
        </w:rPr>
        <w:t xml:space="preserve">the e-commerce market. Despite its attractiveness, </w:t>
      </w:r>
      <w:r w:rsidRPr="00A52F7C">
        <w:rPr>
          <w:lang w:eastAsia="ja-JP"/>
        </w:rPr>
        <w:t>t</w:t>
      </w:r>
      <w:r w:rsidRPr="00A52F7C">
        <w:rPr>
          <w:lang w:eastAsia="zh-CN"/>
        </w:rPr>
        <w:t xml:space="preserve">he region was challenged by its fragmented market, infrastructure, </w:t>
      </w:r>
      <w:proofErr w:type="gramStart"/>
      <w:r w:rsidRPr="00A52F7C">
        <w:rPr>
          <w:lang w:eastAsia="zh-CN"/>
        </w:rPr>
        <w:t>logistics</w:t>
      </w:r>
      <w:proofErr w:type="gramEnd"/>
      <w:r w:rsidRPr="00A52F7C">
        <w:rPr>
          <w:lang w:eastAsia="zh-CN"/>
        </w:rPr>
        <w:t xml:space="preserve">, connectivity, and payment gateways. Given these challenges, entering the region early through </w:t>
      </w:r>
      <w:r w:rsidR="00127458" w:rsidRPr="00A52F7C">
        <w:rPr>
          <w:lang w:eastAsia="zh-CN"/>
        </w:rPr>
        <w:t xml:space="preserve">a </w:t>
      </w:r>
      <w:proofErr w:type="gramStart"/>
      <w:r w:rsidRPr="00A52F7C">
        <w:rPr>
          <w:lang w:eastAsia="zh-CN"/>
        </w:rPr>
        <w:t>greenfield</w:t>
      </w:r>
      <w:proofErr w:type="gramEnd"/>
      <w:r w:rsidRPr="00A52F7C">
        <w:rPr>
          <w:lang w:eastAsia="zh-CN"/>
        </w:rPr>
        <w:t xml:space="preserve"> investment might </w:t>
      </w:r>
      <w:r w:rsidR="00127458" w:rsidRPr="00A52F7C">
        <w:rPr>
          <w:lang w:eastAsia="zh-CN"/>
        </w:rPr>
        <w:t xml:space="preserve">have </w:t>
      </w:r>
      <w:r w:rsidRPr="00A52F7C">
        <w:rPr>
          <w:lang w:eastAsia="zh-CN"/>
        </w:rPr>
        <w:t>be</w:t>
      </w:r>
      <w:r w:rsidR="00127458" w:rsidRPr="00A52F7C">
        <w:rPr>
          <w:lang w:eastAsia="zh-CN"/>
        </w:rPr>
        <w:t>en</w:t>
      </w:r>
      <w:r w:rsidRPr="00A52F7C">
        <w:rPr>
          <w:lang w:eastAsia="zh-CN"/>
        </w:rPr>
        <w:t xml:space="preserve"> costly and </w:t>
      </w:r>
      <w:r w:rsidR="00127458" w:rsidRPr="00A52F7C">
        <w:rPr>
          <w:lang w:eastAsia="zh-CN"/>
        </w:rPr>
        <w:t xml:space="preserve">risky; </w:t>
      </w:r>
      <w:r w:rsidRPr="00A52F7C">
        <w:rPr>
          <w:lang w:eastAsia="zh-CN"/>
        </w:rPr>
        <w:t xml:space="preserve">thus, acquiring an established player </w:t>
      </w:r>
      <w:r w:rsidR="00127458" w:rsidRPr="00A52F7C">
        <w:rPr>
          <w:lang w:eastAsia="zh-CN"/>
        </w:rPr>
        <w:t xml:space="preserve">was </w:t>
      </w:r>
      <w:r w:rsidRPr="00A52F7C">
        <w:rPr>
          <w:lang w:eastAsia="zh-CN"/>
        </w:rPr>
        <w:t>a more appropriate option.</w:t>
      </w:r>
    </w:p>
    <w:p w14:paraId="36B090A0" w14:textId="7D90A9C1" w:rsidR="000031D2" w:rsidRPr="00A52F7C" w:rsidRDefault="000031D2" w:rsidP="005169F6">
      <w:pPr>
        <w:pStyle w:val="BodyTextMain"/>
      </w:pPr>
      <w:r w:rsidRPr="00A52F7C">
        <w:t xml:space="preserve"> </w:t>
      </w:r>
    </w:p>
    <w:p w14:paraId="46F5E627" w14:textId="68FE8F4D" w:rsidR="000031D2" w:rsidRDefault="000031D2" w:rsidP="005169F6">
      <w:pPr>
        <w:pStyle w:val="BodyTextMain"/>
        <w:rPr>
          <w:lang w:eastAsia="zh-CN"/>
        </w:rPr>
      </w:pPr>
      <w:proofErr w:type="spellStart"/>
      <w:r w:rsidRPr="00A52F7C">
        <w:t>Lazada</w:t>
      </w:r>
      <w:proofErr w:type="spellEnd"/>
      <w:r w:rsidRPr="00A52F7C">
        <w:t xml:space="preserve"> had conducted a few rounds of fundraising and </w:t>
      </w:r>
      <w:r w:rsidR="00127458" w:rsidRPr="00A52F7C">
        <w:t xml:space="preserve">had </w:t>
      </w:r>
      <w:r w:rsidRPr="00A52F7C">
        <w:t xml:space="preserve">managed to </w:t>
      </w:r>
      <w:r w:rsidR="00127458" w:rsidRPr="00A52F7C">
        <w:t xml:space="preserve">raise </w:t>
      </w:r>
      <w:r w:rsidRPr="00A52F7C">
        <w:t xml:space="preserve">about $700 million. However, </w:t>
      </w:r>
      <w:r w:rsidR="00127458" w:rsidRPr="00A52F7C">
        <w:t xml:space="preserve">this </w:t>
      </w:r>
      <w:r w:rsidRPr="00A52F7C">
        <w:t xml:space="preserve">cash ran out quickly due to the challenges </w:t>
      </w:r>
      <w:r w:rsidR="00127458" w:rsidRPr="00A52F7C">
        <w:t>of serving</w:t>
      </w:r>
      <w:r w:rsidRPr="00A52F7C">
        <w:t xml:space="preserve"> six different emerging markets. Raising additional capital was difficult due to the size of </w:t>
      </w:r>
      <w:r w:rsidR="00127458" w:rsidRPr="00A52F7C">
        <w:t xml:space="preserve">the </w:t>
      </w:r>
      <w:r w:rsidRPr="00A52F7C">
        <w:t>investment and the fact that the company was not a usual start</w:t>
      </w:r>
      <w:r w:rsidR="00127458" w:rsidRPr="00A52F7C">
        <w:t>-</w:t>
      </w:r>
      <w:r w:rsidRPr="00A52F7C">
        <w:t xml:space="preserve">up </w:t>
      </w:r>
      <w:r w:rsidR="00127458" w:rsidRPr="00A52F7C">
        <w:t xml:space="preserve">in </w:t>
      </w:r>
      <w:r w:rsidRPr="00A52F7C">
        <w:t xml:space="preserve">the first place. </w:t>
      </w:r>
      <w:proofErr w:type="spellStart"/>
      <w:r w:rsidRPr="00A52F7C">
        <w:rPr>
          <w:lang w:eastAsia="zh-CN"/>
        </w:rPr>
        <w:t>Lazada</w:t>
      </w:r>
      <w:proofErr w:type="spellEnd"/>
      <w:r w:rsidRPr="00A52F7C">
        <w:rPr>
          <w:lang w:eastAsia="zh-CN"/>
        </w:rPr>
        <w:t xml:space="preserve"> had figured out how challenging </w:t>
      </w:r>
      <w:r w:rsidR="00127458" w:rsidRPr="00A52F7C">
        <w:rPr>
          <w:lang w:eastAsia="zh-CN"/>
        </w:rPr>
        <w:t xml:space="preserve">it was </w:t>
      </w:r>
      <w:r w:rsidRPr="00A52F7C">
        <w:rPr>
          <w:lang w:eastAsia="zh-CN"/>
        </w:rPr>
        <w:t>to operate a successful e-commerce business in Southeast Asia.</w:t>
      </w:r>
      <w:r w:rsidR="00C748A5" w:rsidRPr="00A52F7C">
        <w:rPr>
          <w:rStyle w:val="EndnoteReference"/>
        </w:rPr>
        <w:endnoteReference w:id="40"/>
      </w:r>
    </w:p>
    <w:p w14:paraId="34F43F5F" w14:textId="3E5B0D09" w:rsidR="000031D2" w:rsidRPr="00A52F7C" w:rsidRDefault="000031D2" w:rsidP="005169F6">
      <w:pPr>
        <w:pStyle w:val="BodyTextMain"/>
        <w:rPr>
          <w:lang w:eastAsia="zh-CN"/>
        </w:rPr>
      </w:pPr>
      <w:r w:rsidRPr="00A52F7C">
        <w:lastRenderedPageBreak/>
        <w:t xml:space="preserve">In January 2016, Alibaba expressed its interest </w:t>
      </w:r>
      <w:r w:rsidR="00127458" w:rsidRPr="00A52F7C">
        <w:t xml:space="preserve">in acquiring </w:t>
      </w:r>
      <w:r w:rsidRPr="00A52F7C">
        <w:t xml:space="preserve">the cash-strapped </w:t>
      </w:r>
      <w:proofErr w:type="spellStart"/>
      <w:r w:rsidRPr="00A52F7C">
        <w:t>Lazada</w:t>
      </w:r>
      <w:proofErr w:type="spellEnd"/>
      <w:r w:rsidR="00127458" w:rsidRPr="00A52F7C">
        <w:t>—</w:t>
      </w:r>
      <w:r w:rsidR="00D97FBF">
        <w:t>through</w:t>
      </w:r>
      <w:r w:rsidR="00D97FBF" w:rsidRPr="00A52F7C">
        <w:t xml:space="preserve"> </w:t>
      </w:r>
      <w:r w:rsidRPr="00A52F7C">
        <w:t>either a full</w:t>
      </w:r>
      <w:r w:rsidR="00127458" w:rsidRPr="00A52F7C">
        <w:t>-fledged</w:t>
      </w:r>
      <w:r w:rsidRPr="00A52F7C">
        <w:t xml:space="preserve"> acquisition or a strategic majority investment. However, </w:t>
      </w:r>
      <w:r w:rsidR="00127458" w:rsidRPr="00A52F7C">
        <w:t xml:space="preserve">after the deal was signed, </w:t>
      </w:r>
      <w:r w:rsidRPr="00A52F7C">
        <w:t xml:space="preserve">Alibaba would have the option to purchase the remaining shares from </w:t>
      </w:r>
      <w:proofErr w:type="spellStart"/>
      <w:r w:rsidRPr="00A52F7C">
        <w:t>Lazada</w:t>
      </w:r>
      <w:proofErr w:type="spellEnd"/>
      <w:r w:rsidRPr="00A52F7C">
        <w:t xml:space="preserve"> at market value over the next 18 months.</w:t>
      </w:r>
      <w:r w:rsidRPr="00A52F7C">
        <w:rPr>
          <w:rStyle w:val="EndnoteReference"/>
        </w:rPr>
        <w:endnoteReference w:id="41"/>
      </w:r>
      <w:r w:rsidRPr="00A52F7C">
        <w:t xml:space="preserve"> In April of the same year, Rocket Internet </w:t>
      </w:r>
      <w:r w:rsidR="00127458" w:rsidRPr="00A52F7C">
        <w:t>sold</w:t>
      </w:r>
      <w:r w:rsidRPr="00A52F7C">
        <w:t xml:space="preserve"> half of its stake in </w:t>
      </w:r>
      <w:proofErr w:type="spellStart"/>
      <w:r w:rsidRPr="00A52F7C">
        <w:t>Lazada</w:t>
      </w:r>
      <w:proofErr w:type="spellEnd"/>
      <w:r w:rsidRPr="00A52F7C">
        <w:t xml:space="preserve"> to Alibaba for $137</w:t>
      </w:r>
      <w:r w:rsidR="00D97FBF">
        <w:t> </w:t>
      </w:r>
      <w:r w:rsidRPr="00A52F7C">
        <w:t xml:space="preserve">million. Alibaba continued to acquire </w:t>
      </w:r>
      <w:proofErr w:type="spellStart"/>
      <w:r w:rsidRPr="00A52F7C">
        <w:t>Lazada</w:t>
      </w:r>
      <w:proofErr w:type="spellEnd"/>
      <w:r w:rsidRPr="00A52F7C">
        <w:t xml:space="preserve"> by spending $363 million to purchase </w:t>
      </w:r>
      <w:r w:rsidR="00127458" w:rsidRPr="00A52F7C">
        <w:t xml:space="preserve">the </w:t>
      </w:r>
      <w:r w:rsidRPr="00A52F7C">
        <w:t xml:space="preserve">remaining shares from Tesco Plc, </w:t>
      </w:r>
      <w:proofErr w:type="spellStart"/>
      <w:r w:rsidRPr="00A52F7C">
        <w:t>Kinnevik</w:t>
      </w:r>
      <w:proofErr w:type="spellEnd"/>
      <w:r w:rsidR="00127458" w:rsidRPr="00A52F7C">
        <w:t xml:space="preserve"> AB</w:t>
      </w:r>
      <w:r w:rsidRPr="00A52F7C">
        <w:t xml:space="preserve">, and other investors. Alibaba also invested $500 million in </w:t>
      </w:r>
      <w:proofErr w:type="spellStart"/>
      <w:r w:rsidRPr="00A52F7C">
        <w:t>Lazada’s</w:t>
      </w:r>
      <w:proofErr w:type="spellEnd"/>
      <w:r w:rsidRPr="00A52F7C">
        <w:t xml:space="preserve"> newly issued shares. Alibaba became the controlling shareholder of </w:t>
      </w:r>
      <w:proofErr w:type="spellStart"/>
      <w:r w:rsidRPr="00A52F7C">
        <w:t>Lazada</w:t>
      </w:r>
      <w:proofErr w:type="spellEnd"/>
      <w:r w:rsidR="006A0643" w:rsidRPr="00A52F7C">
        <w:t xml:space="preserve">, valued at $1.5 billion, </w:t>
      </w:r>
      <w:r w:rsidRPr="00A52F7C">
        <w:t>through its $1 billion investment.</w:t>
      </w:r>
      <w:r w:rsidRPr="00A52F7C">
        <w:rPr>
          <w:rStyle w:val="EndnoteReference"/>
        </w:rPr>
        <w:endnoteReference w:id="42"/>
      </w:r>
    </w:p>
    <w:p w14:paraId="5FAC4F59" w14:textId="77777777" w:rsidR="000031D2" w:rsidRPr="00A52F7C" w:rsidRDefault="000031D2" w:rsidP="005169F6">
      <w:pPr>
        <w:pStyle w:val="BodyTextMain"/>
        <w:rPr>
          <w:lang w:eastAsia="zh-CN"/>
        </w:rPr>
      </w:pPr>
    </w:p>
    <w:p w14:paraId="01114FD3" w14:textId="4B965133" w:rsidR="000031D2" w:rsidRPr="00A52F7C" w:rsidRDefault="000031D2" w:rsidP="005169F6">
      <w:pPr>
        <w:pStyle w:val="BodyTextMain"/>
        <w:rPr>
          <w:lang w:eastAsia="zh-CN"/>
        </w:rPr>
      </w:pPr>
      <w:r w:rsidRPr="00A52F7C">
        <w:rPr>
          <w:lang w:eastAsia="zh-CN"/>
        </w:rPr>
        <w:t xml:space="preserve">By investing in </w:t>
      </w:r>
      <w:proofErr w:type="spellStart"/>
      <w:r w:rsidRPr="00A52F7C">
        <w:rPr>
          <w:lang w:eastAsia="zh-CN"/>
        </w:rPr>
        <w:t>Lazada</w:t>
      </w:r>
      <w:proofErr w:type="spellEnd"/>
      <w:r w:rsidRPr="00A52F7C">
        <w:rPr>
          <w:lang w:eastAsia="zh-CN"/>
        </w:rPr>
        <w:t xml:space="preserve">, Alibaba gained access to a huge and growing consumer base outside China. </w:t>
      </w:r>
      <w:proofErr w:type="spellStart"/>
      <w:r w:rsidRPr="00A52F7C">
        <w:rPr>
          <w:lang w:eastAsia="zh-CN"/>
        </w:rPr>
        <w:t>Lazada</w:t>
      </w:r>
      <w:proofErr w:type="spellEnd"/>
      <w:r w:rsidRPr="00A52F7C">
        <w:rPr>
          <w:lang w:eastAsia="zh-CN"/>
        </w:rPr>
        <w:t xml:space="preserve"> was a well-established platform with </w:t>
      </w:r>
      <w:r w:rsidR="00A3080B" w:rsidRPr="00A52F7C">
        <w:rPr>
          <w:lang w:eastAsia="zh-CN"/>
        </w:rPr>
        <w:t xml:space="preserve">competent </w:t>
      </w:r>
      <w:r w:rsidRPr="00A52F7C">
        <w:rPr>
          <w:lang w:eastAsia="zh-CN"/>
        </w:rPr>
        <w:t xml:space="preserve">management and </w:t>
      </w:r>
      <w:r w:rsidR="00D97FBF">
        <w:rPr>
          <w:lang w:eastAsia="zh-CN"/>
        </w:rPr>
        <w:t xml:space="preserve">a </w:t>
      </w:r>
      <w:r w:rsidRPr="00A52F7C">
        <w:rPr>
          <w:lang w:eastAsia="zh-CN"/>
        </w:rPr>
        <w:t>strong foundation for growth in the region.</w:t>
      </w:r>
      <w:r w:rsidRPr="00A52F7C">
        <w:rPr>
          <w:rStyle w:val="EndnoteReference"/>
          <w:lang w:eastAsia="zh-CN"/>
        </w:rPr>
        <w:endnoteReference w:id="43"/>
      </w:r>
      <w:r w:rsidRPr="00A52F7C">
        <w:rPr>
          <w:lang w:eastAsia="zh-CN"/>
        </w:rPr>
        <w:t xml:space="preserve"> It would </w:t>
      </w:r>
      <w:r w:rsidR="00A3080B" w:rsidRPr="00A52F7C">
        <w:rPr>
          <w:lang w:eastAsia="zh-CN"/>
        </w:rPr>
        <w:t xml:space="preserve">have </w:t>
      </w:r>
      <w:r w:rsidRPr="00A52F7C">
        <w:rPr>
          <w:lang w:eastAsia="zh-CN"/>
        </w:rPr>
        <w:t>cost Alibaba years and billion</w:t>
      </w:r>
      <w:r w:rsidR="00A3080B" w:rsidRPr="00A52F7C">
        <w:rPr>
          <w:lang w:eastAsia="zh-CN"/>
        </w:rPr>
        <w:t>s</w:t>
      </w:r>
      <w:r w:rsidRPr="00A52F7C">
        <w:rPr>
          <w:lang w:eastAsia="zh-CN"/>
        </w:rPr>
        <w:t xml:space="preserve"> </w:t>
      </w:r>
      <w:r w:rsidR="00A3080B" w:rsidRPr="00A52F7C">
        <w:rPr>
          <w:lang w:eastAsia="zh-CN"/>
        </w:rPr>
        <w:t xml:space="preserve">of </w:t>
      </w:r>
      <w:r w:rsidRPr="00A52F7C">
        <w:rPr>
          <w:lang w:eastAsia="zh-CN"/>
        </w:rPr>
        <w:t>dollars to build such strategic assets to operate in the region</w:t>
      </w:r>
      <w:r w:rsidR="004F5AAA" w:rsidRPr="004F5AAA">
        <w:rPr>
          <w:lang w:eastAsia="zh-CN"/>
        </w:rPr>
        <w:t xml:space="preserve"> </w:t>
      </w:r>
      <w:r w:rsidR="004F5AAA" w:rsidRPr="00A52F7C">
        <w:rPr>
          <w:lang w:eastAsia="zh-CN"/>
        </w:rPr>
        <w:t xml:space="preserve">if it had chosen </w:t>
      </w:r>
      <w:proofErr w:type="gramStart"/>
      <w:r w:rsidR="004F5AAA" w:rsidRPr="00A52F7C">
        <w:rPr>
          <w:lang w:eastAsia="zh-CN"/>
        </w:rPr>
        <w:t>greenfield</w:t>
      </w:r>
      <w:proofErr w:type="gramEnd"/>
      <w:r w:rsidR="004F5AAA" w:rsidRPr="00A52F7C">
        <w:rPr>
          <w:lang w:eastAsia="zh-CN"/>
        </w:rPr>
        <w:t xml:space="preserve"> investments</w:t>
      </w:r>
      <w:r w:rsidRPr="00A52F7C">
        <w:rPr>
          <w:lang w:eastAsia="zh-CN"/>
        </w:rPr>
        <w:t>.</w:t>
      </w:r>
      <w:r w:rsidRPr="00A52F7C">
        <w:rPr>
          <w:rStyle w:val="EndnoteReference"/>
          <w:lang w:eastAsia="zh-CN"/>
        </w:rPr>
        <w:endnoteReference w:id="44"/>
      </w:r>
      <w:r w:rsidRPr="00A52F7C">
        <w:rPr>
          <w:lang w:eastAsia="zh-CN"/>
        </w:rPr>
        <w:t xml:space="preserve"> For </w:t>
      </w:r>
      <w:proofErr w:type="spellStart"/>
      <w:r w:rsidRPr="00A52F7C">
        <w:rPr>
          <w:lang w:eastAsia="zh-CN"/>
        </w:rPr>
        <w:t>Lazada</w:t>
      </w:r>
      <w:proofErr w:type="spellEnd"/>
      <w:r w:rsidRPr="00A52F7C">
        <w:rPr>
          <w:lang w:eastAsia="zh-CN"/>
        </w:rPr>
        <w:t>, the acquisition not only broadened its product assortment,</w:t>
      </w:r>
      <w:r w:rsidRPr="00A52F7C">
        <w:rPr>
          <w:rStyle w:val="EndnoteReference"/>
          <w:lang w:eastAsia="zh-CN"/>
        </w:rPr>
        <w:endnoteReference w:id="45"/>
      </w:r>
      <w:r w:rsidRPr="00A52F7C">
        <w:rPr>
          <w:lang w:eastAsia="zh-CN"/>
        </w:rPr>
        <w:t xml:space="preserve"> it also allowed </w:t>
      </w:r>
      <w:proofErr w:type="spellStart"/>
      <w:r w:rsidRPr="00A52F7C">
        <w:rPr>
          <w:lang w:eastAsia="zh-CN"/>
        </w:rPr>
        <w:t>Lazada</w:t>
      </w:r>
      <w:proofErr w:type="spellEnd"/>
      <w:r w:rsidRPr="00A52F7C">
        <w:rPr>
          <w:lang w:eastAsia="zh-CN"/>
        </w:rPr>
        <w:t xml:space="preserve"> to leverage Alibaba’s experience </w:t>
      </w:r>
      <w:r w:rsidR="001129D1" w:rsidRPr="00A52F7C">
        <w:rPr>
          <w:lang w:eastAsia="zh-CN"/>
        </w:rPr>
        <w:t xml:space="preserve">in </w:t>
      </w:r>
      <w:r w:rsidRPr="00A52F7C">
        <w:rPr>
          <w:lang w:eastAsia="zh-CN"/>
        </w:rPr>
        <w:t>China and its large data and analytics</w:t>
      </w:r>
      <w:r w:rsidR="004F5AAA">
        <w:rPr>
          <w:lang w:eastAsia="zh-CN"/>
        </w:rPr>
        <w:t xml:space="preserve"> resources</w:t>
      </w:r>
      <w:r w:rsidR="001129D1" w:rsidRPr="00A52F7C">
        <w:rPr>
          <w:lang w:eastAsia="zh-CN"/>
        </w:rPr>
        <w:t>, which</w:t>
      </w:r>
      <w:r w:rsidRPr="00A52F7C">
        <w:rPr>
          <w:lang w:eastAsia="zh-CN"/>
        </w:rPr>
        <w:t xml:space="preserve"> could strengthen </w:t>
      </w:r>
      <w:proofErr w:type="spellStart"/>
      <w:r w:rsidRPr="00A52F7C">
        <w:rPr>
          <w:lang w:eastAsia="zh-CN"/>
        </w:rPr>
        <w:t>Lazada’s</w:t>
      </w:r>
      <w:proofErr w:type="spellEnd"/>
      <w:r w:rsidRPr="00A52F7C">
        <w:rPr>
          <w:lang w:eastAsia="zh-CN"/>
        </w:rPr>
        <w:t xml:space="preserve"> value proposition in providing an effortless experience to </w:t>
      </w:r>
      <w:r w:rsidR="001129D1" w:rsidRPr="00A52F7C">
        <w:rPr>
          <w:lang w:eastAsia="zh-CN"/>
        </w:rPr>
        <w:t xml:space="preserve">its </w:t>
      </w:r>
      <w:r w:rsidRPr="00A52F7C">
        <w:rPr>
          <w:lang w:eastAsia="zh-CN"/>
        </w:rPr>
        <w:t>platform users. Further</w:t>
      </w:r>
      <w:r w:rsidR="001129D1" w:rsidRPr="00A52F7C">
        <w:rPr>
          <w:lang w:eastAsia="zh-CN"/>
        </w:rPr>
        <w:t>more</w:t>
      </w:r>
      <w:r w:rsidRPr="00A52F7C">
        <w:rPr>
          <w:lang w:eastAsia="zh-CN"/>
        </w:rPr>
        <w:t xml:space="preserve">, merchants in China could increase their sales </w:t>
      </w:r>
      <w:r w:rsidR="001129D1" w:rsidRPr="00A52F7C">
        <w:rPr>
          <w:lang w:eastAsia="zh-CN"/>
        </w:rPr>
        <w:t xml:space="preserve">to the </w:t>
      </w:r>
      <w:r w:rsidRPr="00A52F7C">
        <w:rPr>
          <w:lang w:eastAsia="zh-CN"/>
        </w:rPr>
        <w:t xml:space="preserve">huge </w:t>
      </w:r>
      <w:r w:rsidR="001129D1" w:rsidRPr="00A52F7C">
        <w:rPr>
          <w:lang w:eastAsia="zh-CN"/>
        </w:rPr>
        <w:t xml:space="preserve">number of </w:t>
      </w:r>
      <w:r w:rsidRPr="00A52F7C">
        <w:rPr>
          <w:lang w:eastAsia="zh-CN"/>
        </w:rPr>
        <w:t xml:space="preserve">consumers in Southeast Asia through </w:t>
      </w:r>
      <w:proofErr w:type="spellStart"/>
      <w:r w:rsidRPr="00A52F7C">
        <w:rPr>
          <w:lang w:eastAsia="zh-CN"/>
        </w:rPr>
        <w:t>Lazada</w:t>
      </w:r>
      <w:proofErr w:type="spellEnd"/>
      <w:r w:rsidR="001129D1" w:rsidRPr="00A52F7C">
        <w:rPr>
          <w:lang w:eastAsia="zh-CN"/>
        </w:rPr>
        <w:t>,</w:t>
      </w:r>
      <w:r w:rsidRPr="00A52F7C">
        <w:rPr>
          <w:lang w:eastAsia="zh-CN"/>
        </w:rPr>
        <w:t xml:space="preserve"> while manufacturers and retailers in Southeast Asia could access consumers in China through Alibaba’s online marketplace.</w:t>
      </w:r>
      <w:r w:rsidR="00E25A4B" w:rsidRPr="00A52F7C">
        <w:rPr>
          <w:rStyle w:val="EndnoteReference"/>
          <w:lang w:eastAsia="zh-CN"/>
        </w:rPr>
        <w:endnoteReference w:id="46"/>
      </w:r>
      <w:r w:rsidR="004F5AAA">
        <w:rPr>
          <w:lang w:eastAsia="zh-CN"/>
        </w:rPr>
        <w:t xml:space="preserve"> </w:t>
      </w:r>
    </w:p>
    <w:p w14:paraId="541A1DDC" w14:textId="77777777" w:rsidR="000031D2" w:rsidRPr="00A52F7C" w:rsidRDefault="000031D2" w:rsidP="005169F6">
      <w:pPr>
        <w:pStyle w:val="BodyTextMain"/>
        <w:rPr>
          <w:lang w:eastAsia="zh-CN"/>
        </w:rPr>
      </w:pPr>
    </w:p>
    <w:p w14:paraId="114EB24F" w14:textId="77777777" w:rsidR="000031D2" w:rsidRPr="00A52F7C" w:rsidRDefault="000031D2" w:rsidP="005169F6">
      <w:pPr>
        <w:pStyle w:val="BodyTextMain"/>
        <w:rPr>
          <w:lang w:eastAsia="zh-CN"/>
        </w:rPr>
      </w:pPr>
    </w:p>
    <w:p w14:paraId="1658B7BF" w14:textId="505F6E31" w:rsidR="000031D2" w:rsidRPr="00A52F7C" w:rsidRDefault="000031D2" w:rsidP="005169F6">
      <w:pPr>
        <w:pStyle w:val="Casehead2"/>
      </w:pPr>
      <w:r w:rsidRPr="00A52F7C">
        <w:t>The Integration</w:t>
      </w:r>
    </w:p>
    <w:p w14:paraId="648DE46A" w14:textId="77777777" w:rsidR="000031D2" w:rsidRPr="00A52F7C" w:rsidRDefault="000031D2" w:rsidP="005169F6">
      <w:pPr>
        <w:pStyle w:val="BodyTextMain"/>
      </w:pPr>
    </w:p>
    <w:p w14:paraId="1430E706" w14:textId="3159A9BA" w:rsidR="000031D2" w:rsidRPr="00A52F7C" w:rsidRDefault="000031D2" w:rsidP="005169F6">
      <w:pPr>
        <w:pStyle w:val="BodyTextMain"/>
        <w:rPr>
          <w:lang w:eastAsia="zh-CN"/>
        </w:rPr>
      </w:pPr>
      <w:r w:rsidRPr="00A52F7C">
        <w:t xml:space="preserve">The acquisition provided opportunities for both companies to share their insights. </w:t>
      </w:r>
      <w:proofErr w:type="spellStart"/>
      <w:r w:rsidRPr="00A52F7C">
        <w:t>Lazada</w:t>
      </w:r>
      <w:proofErr w:type="spellEnd"/>
      <w:r w:rsidRPr="00A52F7C">
        <w:t xml:space="preserve"> sent 100 of its employees </w:t>
      </w:r>
      <w:r w:rsidR="001129D1" w:rsidRPr="00A52F7C">
        <w:t xml:space="preserve">and </w:t>
      </w:r>
      <w:r w:rsidRPr="00A52F7C">
        <w:t xml:space="preserve">its 34 </w:t>
      </w:r>
      <w:r w:rsidR="001129D1" w:rsidRPr="00A52F7C">
        <w:t>top-</w:t>
      </w:r>
      <w:r w:rsidRPr="00A52F7C">
        <w:t>performing merchants to Alibaba’s campus in Hangzhou, China</w:t>
      </w:r>
      <w:r w:rsidR="001129D1" w:rsidRPr="00A52F7C">
        <w:t>,</w:t>
      </w:r>
      <w:r w:rsidRPr="00A52F7C">
        <w:t xml:space="preserve"> to learn online sales </w:t>
      </w:r>
      <w:r w:rsidR="001129D1" w:rsidRPr="00A52F7C">
        <w:t xml:space="preserve">strategies </w:t>
      </w:r>
      <w:r w:rsidRPr="00A52F7C">
        <w:t>and best practices.</w:t>
      </w:r>
      <w:r w:rsidRPr="00A52F7C">
        <w:rPr>
          <w:rStyle w:val="EndnoteReference"/>
        </w:rPr>
        <w:endnoteReference w:id="47"/>
      </w:r>
      <w:r w:rsidRPr="00A52F7C">
        <w:t xml:space="preserve"> A networking session also </w:t>
      </w:r>
      <w:r w:rsidR="001129D1" w:rsidRPr="00A52F7C">
        <w:t>gave</w:t>
      </w:r>
      <w:r w:rsidRPr="00A52F7C">
        <w:t xml:space="preserve"> merchants from Southeast Asia an opportunity to build relationship</w:t>
      </w:r>
      <w:r w:rsidR="00C46969">
        <w:t>s</w:t>
      </w:r>
      <w:r w:rsidRPr="00A52F7C">
        <w:t xml:space="preserve"> with successful sellers in China.</w:t>
      </w:r>
      <w:r w:rsidRPr="00A52F7C">
        <w:rPr>
          <w:rStyle w:val="EndnoteReference"/>
        </w:rPr>
        <w:endnoteReference w:id="48"/>
      </w:r>
      <w:r w:rsidRPr="00A52F7C">
        <w:t xml:space="preserve"> </w:t>
      </w:r>
      <w:r w:rsidRPr="00A52F7C">
        <w:rPr>
          <w:lang w:eastAsia="zh-CN"/>
        </w:rPr>
        <w:t xml:space="preserve">The strong support from Alibaba significantly boosted </w:t>
      </w:r>
      <w:proofErr w:type="spellStart"/>
      <w:r w:rsidRPr="00A52F7C">
        <w:rPr>
          <w:lang w:eastAsia="zh-CN"/>
        </w:rPr>
        <w:t>Lazada’s</w:t>
      </w:r>
      <w:proofErr w:type="spellEnd"/>
      <w:r w:rsidRPr="00A52F7C">
        <w:rPr>
          <w:lang w:eastAsia="zh-CN"/>
        </w:rPr>
        <w:t xml:space="preserve"> confidence in continuing to invest in its competitive platform ecosystem and </w:t>
      </w:r>
      <w:r w:rsidR="00E25A4B">
        <w:rPr>
          <w:lang w:eastAsia="zh-CN"/>
        </w:rPr>
        <w:t xml:space="preserve">to </w:t>
      </w:r>
      <w:r w:rsidRPr="00A52F7C">
        <w:rPr>
          <w:lang w:eastAsia="zh-CN"/>
        </w:rPr>
        <w:t>fac</w:t>
      </w:r>
      <w:r w:rsidR="00C46969">
        <w:rPr>
          <w:lang w:eastAsia="zh-CN"/>
        </w:rPr>
        <w:t>e</w:t>
      </w:r>
      <w:r w:rsidRPr="00A52F7C">
        <w:rPr>
          <w:lang w:eastAsia="zh-CN"/>
        </w:rPr>
        <w:t xml:space="preserve"> future competition. Alibaba also permitted </w:t>
      </w:r>
      <w:proofErr w:type="spellStart"/>
      <w:r w:rsidRPr="00A52F7C">
        <w:rPr>
          <w:lang w:eastAsia="zh-CN"/>
        </w:rPr>
        <w:t>Lazada</w:t>
      </w:r>
      <w:proofErr w:type="spellEnd"/>
      <w:r w:rsidRPr="00A52F7C">
        <w:rPr>
          <w:lang w:eastAsia="zh-CN"/>
        </w:rPr>
        <w:t xml:space="preserve"> to continue its operations as usual</w:t>
      </w:r>
      <w:r w:rsidR="001129D1" w:rsidRPr="00A52F7C">
        <w:rPr>
          <w:lang w:eastAsia="zh-CN"/>
        </w:rPr>
        <w:t>,</w:t>
      </w:r>
      <w:r w:rsidRPr="00A52F7C">
        <w:rPr>
          <w:lang w:eastAsia="zh-CN"/>
        </w:rPr>
        <w:t xml:space="preserve"> keeping its existing </w:t>
      </w:r>
      <w:proofErr w:type="spellStart"/>
      <w:r w:rsidRPr="00A52F7C">
        <w:rPr>
          <w:lang w:eastAsia="zh-CN"/>
        </w:rPr>
        <w:t>Lazada</w:t>
      </w:r>
      <w:proofErr w:type="spellEnd"/>
      <w:r w:rsidRPr="00A52F7C">
        <w:rPr>
          <w:lang w:eastAsia="zh-CN"/>
        </w:rPr>
        <w:t xml:space="preserve"> brand.</w:t>
      </w:r>
      <w:r w:rsidRPr="00A52F7C">
        <w:rPr>
          <w:rStyle w:val="EndnoteReference"/>
          <w:lang w:eastAsia="zh-CN"/>
        </w:rPr>
        <w:endnoteReference w:id="49"/>
      </w:r>
    </w:p>
    <w:p w14:paraId="4B3F32F5" w14:textId="77777777" w:rsidR="000031D2" w:rsidRPr="00A52F7C" w:rsidRDefault="000031D2" w:rsidP="005169F6">
      <w:pPr>
        <w:pStyle w:val="BodyTextMain"/>
        <w:rPr>
          <w:lang w:eastAsia="zh-CN"/>
        </w:rPr>
      </w:pPr>
    </w:p>
    <w:p w14:paraId="2FBE5842" w14:textId="77777777" w:rsidR="000031D2" w:rsidRPr="00A52F7C" w:rsidRDefault="000031D2" w:rsidP="000E7D1F">
      <w:pPr>
        <w:pStyle w:val="BodyTextMain"/>
      </w:pPr>
    </w:p>
    <w:p w14:paraId="7B92800A" w14:textId="710A7542" w:rsidR="000031D2" w:rsidRPr="00A52F7C" w:rsidRDefault="000031D2" w:rsidP="00444D97">
      <w:pPr>
        <w:pStyle w:val="Casehead1"/>
        <w:outlineLvl w:val="0"/>
      </w:pPr>
      <w:r w:rsidRPr="00A52F7C">
        <w:t>STRENGTHENING COMPETITIVE POSITION POST-ACQUISITION</w:t>
      </w:r>
    </w:p>
    <w:p w14:paraId="113D5CE0" w14:textId="77777777" w:rsidR="000031D2" w:rsidRPr="00A52F7C" w:rsidRDefault="000031D2" w:rsidP="005169F6">
      <w:pPr>
        <w:pStyle w:val="BodyTextMain"/>
      </w:pPr>
    </w:p>
    <w:p w14:paraId="39414F9A" w14:textId="77777777" w:rsidR="000031D2" w:rsidRPr="00A52F7C" w:rsidRDefault="000031D2" w:rsidP="005169F6">
      <w:pPr>
        <w:pStyle w:val="Casehead2"/>
      </w:pPr>
      <w:r w:rsidRPr="00A52F7C">
        <w:t>Payment Gateways</w:t>
      </w:r>
    </w:p>
    <w:p w14:paraId="65FDB359" w14:textId="77777777" w:rsidR="000031D2" w:rsidRPr="00A52F7C" w:rsidRDefault="000031D2" w:rsidP="005169F6">
      <w:pPr>
        <w:pStyle w:val="BodyTextMain"/>
      </w:pPr>
    </w:p>
    <w:p w14:paraId="0E13D403" w14:textId="1460C91D" w:rsidR="000031D2" w:rsidRPr="00A52F7C" w:rsidRDefault="000031D2" w:rsidP="005169F6">
      <w:pPr>
        <w:pStyle w:val="BodyTextMain"/>
        <w:rPr>
          <w:lang w:eastAsia="zh-CN"/>
        </w:rPr>
      </w:pPr>
      <w:r w:rsidRPr="00A52F7C">
        <w:t>Electronic payment</w:t>
      </w:r>
      <w:r w:rsidR="005C5235" w:rsidRPr="00A52F7C">
        <w:t>s</w:t>
      </w:r>
      <w:r w:rsidRPr="00A52F7C">
        <w:t xml:space="preserve"> (e-payment) through credit</w:t>
      </w:r>
      <w:r w:rsidR="005C5235" w:rsidRPr="00A52F7C">
        <w:t xml:space="preserve"> and </w:t>
      </w:r>
      <w:r w:rsidRPr="00A52F7C">
        <w:t>debit cards</w:t>
      </w:r>
      <w:r w:rsidR="00E25A4B">
        <w:t>,</w:t>
      </w:r>
      <w:r w:rsidRPr="00A52F7C">
        <w:t xml:space="preserve"> or </w:t>
      </w:r>
      <w:r w:rsidR="00E25A4B">
        <w:t>‘</w:t>
      </w:r>
      <w:r w:rsidRPr="00A52F7C">
        <w:t>e-wallets</w:t>
      </w:r>
      <w:r w:rsidR="00E25A4B">
        <w:t>,’</w:t>
      </w:r>
      <w:r w:rsidRPr="00A52F7C">
        <w:rPr>
          <w:lang w:eastAsia="zh-CN"/>
        </w:rPr>
        <w:t xml:space="preserve"> was </w:t>
      </w:r>
      <w:r w:rsidR="005C5235" w:rsidRPr="00A52F7C">
        <w:rPr>
          <w:lang w:eastAsia="zh-CN"/>
        </w:rPr>
        <w:t xml:space="preserve">a </w:t>
      </w:r>
      <w:r w:rsidRPr="00A52F7C">
        <w:rPr>
          <w:lang w:eastAsia="zh-CN"/>
        </w:rPr>
        <w:t xml:space="preserve">key to e-commerce growth </w:t>
      </w:r>
      <w:r w:rsidR="00C46969">
        <w:rPr>
          <w:lang w:eastAsia="zh-CN"/>
        </w:rPr>
        <w:t>because</w:t>
      </w:r>
      <w:r w:rsidR="00C46969" w:rsidRPr="00A52F7C">
        <w:rPr>
          <w:lang w:eastAsia="zh-CN"/>
        </w:rPr>
        <w:t xml:space="preserve"> </w:t>
      </w:r>
      <w:r w:rsidRPr="00A52F7C">
        <w:rPr>
          <w:lang w:eastAsia="zh-CN"/>
        </w:rPr>
        <w:t xml:space="preserve">it was less costly and risky for both merchants and customers. </w:t>
      </w:r>
      <w:r w:rsidRPr="00A52F7C">
        <w:t xml:space="preserve">Despite the widespread </w:t>
      </w:r>
      <w:r w:rsidR="005C5235" w:rsidRPr="00A52F7C">
        <w:t xml:space="preserve">use </w:t>
      </w:r>
      <w:r w:rsidRPr="00A52F7C">
        <w:t>of e</w:t>
      </w:r>
      <w:r w:rsidR="005C5235" w:rsidRPr="00A52F7C">
        <w:noBreakHyphen/>
      </w:r>
      <w:r w:rsidRPr="00A52F7C">
        <w:t xml:space="preserve">commerce in Southeast Asia, most customers still preferred to pay offline through </w:t>
      </w:r>
      <w:r w:rsidR="00E25A4B">
        <w:t xml:space="preserve">automated teller machine </w:t>
      </w:r>
      <w:r w:rsidRPr="00A52F7C">
        <w:t>deposit</w:t>
      </w:r>
      <w:r w:rsidR="005C5235" w:rsidRPr="00A52F7C">
        <w:t>s</w:t>
      </w:r>
      <w:r w:rsidRPr="00A52F7C">
        <w:t xml:space="preserve"> </w:t>
      </w:r>
      <w:r w:rsidR="005C5235" w:rsidRPr="00A52F7C">
        <w:t xml:space="preserve">or </w:t>
      </w:r>
      <w:r w:rsidR="00C46969">
        <w:t xml:space="preserve">by </w:t>
      </w:r>
      <w:r w:rsidR="004F5AAA">
        <w:t>COD</w:t>
      </w:r>
      <w:r w:rsidRPr="00A52F7C">
        <w:t xml:space="preserve">. </w:t>
      </w:r>
      <w:r w:rsidR="005C5235" w:rsidRPr="00A52F7C">
        <w:t>O</w:t>
      </w:r>
      <w:r w:rsidRPr="00A52F7C">
        <w:t xml:space="preserve">nly 2 to 11 per cent of consumers </w:t>
      </w:r>
      <w:r w:rsidR="005C5235" w:rsidRPr="00A52F7C">
        <w:t xml:space="preserve">in Southeast Asia (excluding Singapore) </w:t>
      </w:r>
      <w:r w:rsidRPr="00A52F7C">
        <w:t>used online payment</w:t>
      </w:r>
      <w:r w:rsidR="005C5235" w:rsidRPr="00A52F7C">
        <w:t xml:space="preserve"> systems;</w:t>
      </w:r>
      <w:r w:rsidR="005C5235" w:rsidRPr="00A52F7C">
        <w:rPr>
          <w:rStyle w:val="EndnoteReference"/>
        </w:rPr>
        <w:endnoteReference w:id="50"/>
      </w:r>
      <w:r w:rsidR="005C5235" w:rsidRPr="00A52F7C">
        <w:t xml:space="preserve"> and</w:t>
      </w:r>
      <w:r w:rsidRPr="00A52F7C">
        <w:t xml:space="preserve"> 70</w:t>
      </w:r>
      <w:r w:rsidR="005C5235" w:rsidRPr="00A52F7C">
        <w:t>–</w:t>
      </w:r>
      <w:r w:rsidRPr="00A52F7C">
        <w:t>80 per cent of citizens in the Philippines, Vietnam, and Indonesia did not have bank account</w:t>
      </w:r>
      <w:r w:rsidR="005C5235" w:rsidRPr="00A52F7C">
        <w:t>s</w:t>
      </w:r>
      <w:r w:rsidRPr="00A52F7C">
        <w:t>.</w:t>
      </w:r>
      <w:r w:rsidRPr="00A52F7C">
        <w:rPr>
          <w:lang w:eastAsia="zh-CN"/>
        </w:rPr>
        <w:t xml:space="preserve"> </w:t>
      </w:r>
      <w:proofErr w:type="spellStart"/>
      <w:r w:rsidRPr="00A52F7C">
        <w:rPr>
          <w:lang w:eastAsia="zh-CN"/>
        </w:rPr>
        <w:t>Lazada</w:t>
      </w:r>
      <w:proofErr w:type="spellEnd"/>
      <w:r w:rsidRPr="00A52F7C">
        <w:rPr>
          <w:lang w:eastAsia="zh-CN"/>
        </w:rPr>
        <w:t xml:space="preserve"> thus introduced </w:t>
      </w:r>
      <w:proofErr w:type="spellStart"/>
      <w:r w:rsidR="005C5235" w:rsidRPr="00A52F7C">
        <w:rPr>
          <w:lang w:eastAsia="zh-CN"/>
        </w:rPr>
        <w:t>H</w:t>
      </w:r>
      <w:r w:rsidRPr="00A52F7C">
        <w:rPr>
          <w:lang w:eastAsia="zh-CN"/>
        </w:rPr>
        <w:t>elloPay</w:t>
      </w:r>
      <w:proofErr w:type="spellEnd"/>
      <w:r w:rsidR="005C5235" w:rsidRPr="00A52F7C">
        <w:rPr>
          <w:lang w:eastAsia="zh-CN"/>
        </w:rPr>
        <w:t>,</w:t>
      </w:r>
      <w:r w:rsidRPr="00A52F7C">
        <w:rPr>
          <w:lang w:eastAsia="zh-CN"/>
        </w:rPr>
        <w:t xml:space="preserve"> a </w:t>
      </w:r>
      <w:r w:rsidR="005C5235" w:rsidRPr="00A52F7C">
        <w:rPr>
          <w:lang w:eastAsia="zh-CN"/>
        </w:rPr>
        <w:t xml:space="preserve">platform for </w:t>
      </w:r>
      <w:r w:rsidRPr="00A52F7C">
        <w:rPr>
          <w:lang w:eastAsia="zh-CN"/>
        </w:rPr>
        <w:t xml:space="preserve">secure online </w:t>
      </w:r>
      <w:r w:rsidR="005C5235" w:rsidRPr="00A52F7C">
        <w:rPr>
          <w:lang w:eastAsia="zh-CN"/>
        </w:rPr>
        <w:t xml:space="preserve">payment </w:t>
      </w:r>
      <w:r w:rsidRPr="00A52F7C">
        <w:rPr>
          <w:lang w:eastAsia="zh-CN"/>
        </w:rPr>
        <w:t>transaction</w:t>
      </w:r>
      <w:r w:rsidR="005C5235" w:rsidRPr="00A52F7C">
        <w:rPr>
          <w:lang w:eastAsia="zh-CN"/>
        </w:rPr>
        <w:t>s</w:t>
      </w:r>
      <w:r w:rsidRPr="00A52F7C">
        <w:rPr>
          <w:lang w:eastAsia="zh-CN"/>
        </w:rPr>
        <w:t xml:space="preserve"> that also enabled </w:t>
      </w:r>
      <w:r w:rsidR="005C5235" w:rsidRPr="00A52F7C">
        <w:rPr>
          <w:lang w:eastAsia="zh-CN"/>
        </w:rPr>
        <w:t xml:space="preserve">customers who were not </w:t>
      </w:r>
      <w:r w:rsidR="006340AF" w:rsidRPr="00A52F7C">
        <w:rPr>
          <w:lang w:eastAsia="zh-CN"/>
        </w:rPr>
        <w:t>cardholders</w:t>
      </w:r>
      <w:r w:rsidRPr="00A52F7C">
        <w:rPr>
          <w:lang w:eastAsia="zh-CN"/>
        </w:rPr>
        <w:t xml:space="preserve"> to pay online.</w:t>
      </w:r>
      <w:r w:rsidRPr="00A52F7C">
        <w:rPr>
          <w:rStyle w:val="EndnoteReference"/>
          <w:lang w:eastAsia="zh-CN"/>
        </w:rPr>
        <w:endnoteReference w:id="51"/>
      </w:r>
      <w:r w:rsidRPr="00A52F7C">
        <w:rPr>
          <w:lang w:eastAsia="zh-CN"/>
        </w:rPr>
        <w:t xml:space="preserve"> In April 2017, Alibaba </w:t>
      </w:r>
      <w:r w:rsidR="005C5235" w:rsidRPr="00A52F7C">
        <w:rPr>
          <w:lang w:eastAsia="zh-CN"/>
        </w:rPr>
        <w:t xml:space="preserve">announced that its </w:t>
      </w:r>
      <w:r w:rsidRPr="00A52F7C">
        <w:rPr>
          <w:lang w:eastAsia="zh-CN"/>
        </w:rPr>
        <w:t xml:space="preserve">mobile and online payment </w:t>
      </w:r>
      <w:r w:rsidR="005C5235" w:rsidRPr="00A52F7C">
        <w:rPr>
          <w:lang w:eastAsia="zh-CN"/>
        </w:rPr>
        <w:t>system</w:t>
      </w:r>
      <w:r w:rsidR="00C46969">
        <w:rPr>
          <w:lang w:eastAsia="zh-CN"/>
        </w:rPr>
        <w:t>,</w:t>
      </w:r>
      <w:r w:rsidR="005C5235" w:rsidRPr="00A52F7C">
        <w:rPr>
          <w:lang w:eastAsia="zh-CN"/>
        </w:rPr>
        <w:t xml:space="preserve"> </w:t>
      </w:r>
      <w:r w:rsidRPr="00A52F7C">
        <w:rPr>
          <w:lang w:eastAsia="zh-CN"/>
        </w:rPr>
        <w:t>Ant Financial</w:t>
      </w:r>
      <w:r w:rsidR="00C46969">
        <w:rPr>
          <w:lang w:eastAsia="zh-CN"/>
        </w:rPr>
        <w:t>,</w:t>
      </w:r>
      <w:r w:rsidRPr="00A52F7C">
        <w:rPr>
          <w:lang w:eastAsia="zh-CN"/>
        </w:rPr>
        <w:t xml:space="preserve"> </w:t>
      </w:r>
      <w:r w:rsidR="005C5235" w:rsidRPr="00A52F7C">
        <w:rPr>
          <w:lang w:eastAsia="zh-CN"/>
        </w:rPr>
        <w:t>would merge</w:t>
      </w:r>
      <w:r w:rsidRPr="00A52F7C">
        <w:rPr>
          <w:lang w:eastAsia="zh-CN"/>
        </w:rPr>
        <w:t xml:space="preserve"> with </w:t>
      </w:r>
      <w:proofErr w:type="spellStart"/>
      <w:r w:rsidR="005C5235" w:rsidRPr="00A52F7C">
        <w:rPr>
          <w:lang w:eastAsia="zh-CN"/>
        </w:rPr>
        <w:t>HelloPay</w:t>
      </w:r>
      <w:proofErr w:type="spellEnd"/>
      <w:r w:rsidRPr="00A52F7C">
        <w:rPr>
          <w:lang w:eastAsia="zh-CN"/>
        </w:rPr>
        <w:t>. The resulting</w:t>
      </w:r>
      <w:r w:rsidR="005C5235" w:rsidRPr="00A52F7C">
        <w:rPr>
          <w:lang w:eastAsia="zh-CN"/>
        </w:rPr>
        <w:t>,</w:t>
      </w:r>
      <w:r w:rsidRPr="00A52F7C">
        <w:rPr>
          <w:lang w:eastAsia="zh-CN"/>
        </w:rPr>
        <w:t xml:space="preserve"> rebranded e</w:t>
      </w:r>
      <w:r w:rsidR="004F5AAA">
        <w:rPr>
          <w:lang w:eastAsia="zh-CN"/>
        </w:rPr>
        <w:noBreakHyphen/>
      </w:r>
      <w:r w:rsidRPr="00A52F7C">
        <w:rPr>
          <w:lang w:eastAsia="zh-CN"/>
        </w:rPr>
        <w:t>payment</w:t>
      </w:r>
      <w:r w:rsidR="005C5235" w:rsidRPr="00A52F7C">
        <w:rPr>
          <w:lang w:eastAsia="zh-CN"/>
        </w:rPr>
        <w:t xml:space="preserve"> platform</w:t>
      </w:r>
      <w:r w:rsidR="00C46969">
        <w:rPr>
          <w:lang w:eastAsia="zh-CN"/>
        </w:rPr>
        <w:t>,</w:t>
      </w:r>
      <w:r w:rsidRPr="00A52F7C">
        <w:rPr>
          <w:lang w:eastAsia="zh-CN"/>
        </w:rPr>
        <w:t xml:space="preserve"> </w:t>
      </w:r>
      <w:proofErr w:type="spellStart"/>
      <w:r w:rsidRPr="00A52F7C">
        <w:rPr>
          <w:lang w:eastAsia="zh-CN"/>
        </w:rPr>
        <w:t>Alipay</w:t>
      </w:r>
      <w:proofErr w:type="spellEnd"/>
      <w:r w:rsidR="00C46969">
        <w:rPr>
          <w:lang w:eastAsia="zh-CN"/>
        </w:rPr>
        <w:t>,</w:t>
      </w:r>
      <w:r w:rsidRPr="00A52F7C">
        <w:rPr>
          <w:lang w:eastAsia="zh-CN"/>
        </w:rPr>
        <w:t xml:space="preserve"> would increase customers</w:t>
      </w:r>
      <w:r w:rsidR="005C5235" w:rsidRPr="00A52F7C">
        <w:rPr>
          <w:lang w:eastAsia="zh-CN"/>
        </w:rPr>
        <w:t>’</w:t>
      </w:r>
      <w:r w:rsidRPr="00A52F7C">
        <w:rPr>
          <w:lang w:eastAsia="zh-CN"/>
        </w:rPr>
        <w:t xml:space="preserve"> confidence and strengthen both Alibaba</w:t>
      </w:r>
      <w:r w:rsidR="005C5235" w:rsidRPr="00A52F7C">
        <w:rPr>
          <w:lang w:eastAsia="zh-CN"/>
        </w:rPr>
        <w:t>’s</w:t>
      </w:r>
      <w:r w:rsidRPr="00A52F7C">
        <w:rPr>
          <w:lang w:eastAsia="zh-CN"/>
        </w:rPr>
        <w:t xml:space="preserve"> and </w:t>
      </w:r>
      <w:proofErr w:type="spellStart"/>
      <w:r w:rsidRPr="00A52F7C">
        <w:rPr>
          <w:lang w:eastAsia="zh-CN"/>
        </w:rPr>
        <w:t>Lazada’s</w:t>
      </w:r>
      <w:proofErr w:type="spellEnd"/>
      <w:r w:rsidRPr="00A52F7C">
        <w:rPr>
          <w:lang w:eastAsia="zh-CN"/>
        </w:rPr>
        <w:t xml:space="preserve"> mobile and online platform</w:t>
      </w:r>
      <w:r w:rsidR="005C5235" w:rsidRPr="00A52F7C">
        <w:rPr>
          <w:lang w:eastAsia="zh-CN"/>
        </w:rPr>
        <w:t>s</w:t>
      </w:r>
      <w:r w:rsidRPr="00A52F7C">
        <w:rPr>
          <w:lang w:eastAsia="zh-CN"/>
        </w:rPr>
        <w:t xml:space="preserve"> in the region.</w:t>
      </w:r>
      <w:r w:rsidRPr="00A52F7C">
        <w:rPr>
          <w:rStyle w:val="EndnoteReference"/>
          <w:lang w:eastAsia="zh-CN"/>
        </w:rPr>
        <w:endnoteReference w:id="52"/>
      </w:r>
    </w:p>
    <w:p w14:paraId="537549A2" w14:textId="77777777" w:rsidR="000031D2" w:rsidRPr="00A52F7C" w:rsidRDefault="000031D2" w:rsidP="005169F6">
      <w:pPr>
        <w:pStyle w:val="BodyTextMain"/>
        <w:rPr>
          <w:lang w:eastAsia="zh-CN"/>
        </w:rPr>
      </w:pPr>
    </w:p>
    <w:p w14:paraId="691702DE" w14:textId="77777777" w:rsidR="000031D2" w:rsidRPr="00A52F7C" w:rsidRDefault="000031D2" w:rsidP="005169F6">
      <w:pPr>
        <w:pStyle w:val="BodyTextMain"/>
        <w:rPr>
          <w:lang w:eastAsia="zh-CN"/>
        </w:rPr>
      </w:pPr>
    </w:p>
    <w:p w14:paraId="3F1B1D52" w14:textId="77777777" w:rsidR="000031D2" w:rsidRPr="00A52F7C" w:rsidRDefault="000031D2" w:rsidP="005169F6">
      <w:pPr>
        <w:pStyle w:val="Casehead2"/>
        <w:keepNext/>
      </w:pPr>
      <w:r w:rsidRPr="00A52F7C">
        <w:lastRenderedPageBreak/>
        <w:t>Logistics Infrastructure</w:t>
      </w:r>
    </w:p>
    <w:p w14:paraId="5FC729B4" w14:textId="77777777" w:rsidR="000031D2" w:rsidRPr="00A52F7C" w:rsidRDefault="000031D2" w:rsidP="005169F6">
      <w:pPr>
        <w:pStyle w:val="BodyTextMain"/>
        <w:keepNext/>
      </w:pPr>
    </w:p>
    <w:p w14:paraId="6766E74A" w14:textId="56380B76" w:rsidR="000031D2" w:rsidRPr="00A52F7C" w:rsidRDefault="000031D2" w:rsidP="005169F6">
      <w:pPr>
        <w:pStyle w:val="BodyTextMain"/>
        <w:rPr>
          <w:lang w:eastAsia="zh-CN"/>
        </w:rPr>
      </w:pPr>
      <w:r w:rsidRPr="00A52F7C">
        <w:t xml:space="preserve">Despite </w:t>
      </w:r>
      <w:r w:rsidR="005C5235" w:rsidRPr="00A52F7C">
        <w:t xml:space="preserve">the </w:t>
      </w:r>
      <w:r w:rsidRPr="00A52F7C">
        <w:t xml:space="preserve">impressive </w:t>
      </w:r>
      <w:r w:rsidR="005C5235" w:rsidRPr="00A52F7C">
        <w:t xml:space="preserve">growth of </w:t>
      </w:r>
      <w:r w:rsidRPr="00A52F7C">
        <w:t>e-commerce</w:t>
      </w:r>
      <w:r w:rsidR="005A2B73" w:rsidRPr="00A52F7C">
        <w:t xml:space="preserve"> in the region</w:t>
      </w:r>
      <w:r w:rsidRPr="00A52F7C">
        <w:t xml:space="preserve">, Southeast Asia was lacking </w:t>
      </w:r>
      <w:r w:rsidR="005C5235" w:rsidRPr="00A52F7C">
        <w:t xml:space="preserve">a </w:t>
      </w:r>
      <w:r w:rsidRPr="00A52F7C">
        <w:t>unified logistics infrastructure.</w:t>
      </w:r>
      <w:r w:rsidRPr="00A52F7C">
        <w:rPr>
          <w:rStyle w:val="EndnoteReference"/>
        </w:rPr>
        <w:endnoteReference w:id="53"/>
      </w:r>
      <w:r w:rsidRPr="00A52F7C">
        <w:t xml:space="preserve"> Inconsistent cross-border customs and taxes as well as corruption in emerging markets continued to be barriers t</w:t>
      </w:r>
      <w:r w:rsidR="00E25A4B">
        <w:t xml:space="preserve">o online retail development. In order to </w:t>
      </w:r>
      <w:r w:rsidRPr="00A52F7C">
        <w:t xml:space="preserve">deliver </w:t>
      </w:r>
      <w:r w:rsidR="005A2B73" w:rsidRPr="00A52F7C">
        <w:t xml:space="preserve">an </w:t>
      </w:r>
      <w:r w:rsidRPr="00A52F7C">
        <w:t xml:space="preserve">effortless shopping experience, </w:t>
      </w:r>
      <w:proofErr w:type="spellStart"/>
      <w:r w:rsidRPr="00A52F7C">
        <w:t>Lazada</w:t>
      </w:r>
      <w:proofErr w:type="spellEnd"/>
      <w:r w:rsidRPr="00A52F7C">
        <w:t xml:space="preserve"> focused on buil</w:t>
      </w:r>
      <w:r w:rsidRPr="00A52F7C">
        <w:rPr>
          <w:lang w:eastAsia="zh-CN"/>
        </w:rPr>
        <w:t>ding</w:t>
      </w:r>
      <w:r w:rsidRPr="00A52F7C">
        <w:t xml:space="preserve"> its own logistical supports while deepening </w:t>
      </w:r>
      <w:r w:rsidR="005A2B73" w:rsidRPr="00A52F7C">
        <w:t xml:space="preserve">its </w:t>
      </w:r>
      <w:r w:rsidRPr="00A52F7C">
        <w:t>partnerships with third-party vendors.</w:t>
      </w:r>
      <w:r w:rsidRPr="00A52F7C">
        <w:rPr>
          <w:rStyle w:val="EndnoteReference"/>
        </w:rPr>
        <w:endnoteReference w:id="54"/>
      </w:r>
      <w:r w:rsidRPr="00A52F7C">
        <w:t xml:space="preserve"> In March 2017, Alibaba signed a</w:t>
      </w:r>
      <w:r w:rsidRPr="00A52F7C">
        <w:rPr>
          <w:lang w:eastAsia="zh-CN"/>
        </w:rPr>
        <w:t xml:space="preserve"> </w:t>
      </w:r>
      <w:r w:rsidRPr="00A52F7C">
        <w:t xml:space="preserve">memorandum with the Malaysian government to transform 45 hectares of </w:t>
      </w:r>
      <w:r w:rsidR="005A2B73" w:rsidRPr="00A52F7C">
        <w:t>the area around the Kuala Lumpur International Airport (</w:t>
      </w:r>
      <w:r w:rsidRPr="00A52F7C">
        <w:t>KLIA</w:t>
      </w:r>
      <w:r w:rsidR="005A2B73" w:rsidRPr="00A52F7C">
        <w:t>)</w:t>
      </w:r>
      <w:r w:rsidRPr="00A52F7C">
        <w:t xml:space="preserve"> </w:t>
      </w:r>
      <w:proofErr w:type="spellStart"/>
      <w:r w:rsidRPr="00A52F7C">
        <w:t>Aeropolis</w:t>
      </w:r>
      <w:proofErr w:type="spellEnd"/>
      <w:r w:rsidRPr="00A52F7C">
        <w:t xml:space="preserve"> into an e-</w:t>
      </w:r>
      <w:proofErr w:type="spellStart"/>
      <w:r w:rsidRPr="00A52F7C">
        <w:t>fulfillment</w:t>
      </w:r>
      <w:proofErr w:type="spellEnd"/>
      <w:r w:rsidRPr="00A52F7C">
        <w:t xml:space="preserve"> hub to facilitate </w:t>
      </w:r>
      <w:r w:rsidR="005A2B73" w:rsidRPr="00A52F7C">
        <w:t xml:space="preserve">the </w:t>
      </w:r>
      <w:r w:rsidRPr="00A52F7C">
        <w:t>clearance of imports and exports.</w:t>
      </w:r>
      <w:r w:rsidRPr="00A52F7C">
        <w:rPr>
          <w:rStyle w:val="EndnoteReference"/>
        </w:rPr>
        <w:endnoteReference w:id="55"/>
      </w:r>
      <w:r w:rsidRPr="00A52F7C">
        <w:t xml:space="preserve"> </w:t>
      </w:r>
      <w:r w:rsidRPr="00A52F7C">
        <w:rPr>
          <w:lang w:eastAsia="zh-CN"/>
        </w:rPr>
        <w:t xml:space="preserve">It also announced </w:t>
      </w:r>
      <w:r w:rsidR="005A2B73" w:rsidRPr="00A52F7C">
        <w:rPr>
          <w:lang w:eastAsia="zh-CN"/>
        </w:rPr>
        <w:t xml:space="preserve">an </w:t>
      </w:r>
      <w:r w:rsidRPr="00A52F7C">
        <w:rPr>
          <w:lang w:eastAsia="zh-CN"/>
        </w:rPr>
        <w:t xml:space="preserve">initiative to establish a regional distribution hub in Malaysia, </w:t>
      </w:r>
      <w:r w:rsidR="005A2B73" w:rsidRPr="00A52F7C">
        <w:rPr>
          <w:lang w:eastAsia="zh-CN"/>
        </w:rPr>
        <w:t xml:space="preserve">its </w:t>
      </w:r>
      <w:r w:rsidRPr="00A52F7C">
        <w:rPr>
          <w:lang w:eastAsia="zh-CN"/>
        </w:rPr>
        <w:t xml:space="preserve">first logistics </w:t>
      </w:r>
      <w:r w:rsidR="005A2B73" w:rsidRPr="00A52F7C">
        <w:rPr>
          <w:lang w:eastAsia="zh-CN"/>
        </w:rPr>
        <w:t xml:space="preserve">facility </w:t>
      </w:r>
      <w:r w:rsidRPr="00A52F7C">
        <w:rPr>
          <w:lang w:eastAsia="zh-CN"/>
        </w:rPr>
        <w:t xml:space="preserve">outside </w:t>
      </w:r>
      <w:r w:rsidR="005A2B73" w:rsidRPr="00A52F7C">
        <w:rPr>
          <w:lang w:eastAsia="zh-CN"/>
        </w:rPr>
        <w:t xml:space="preserve">of </w:t>
      </w:r>
      <w:r w:rsidRPr="00A52F7C">
        <w:rPr>
          <w:lang w:eastAsia="zh-CN"/>
        </w:rPr>
        <w:t>China.</w:t>
      </w:r>
      <w:r w:rsidRPr="00A52F7C">
        <w:rPr>
          <w:rStyle w:val="EndnoteReference"/>
          <w:lang w:eastAsia="zh-CN"/>
        </w:rPr>
        <w:endnoteReference w:id="56"/>
      </w:r>
      <w:r w:rsidRPr="00A52F7C">
        <w:rPr>
          <w:lang w:eastAsia="zh-CN"/>
        </w:rPr>
        <w:t xml:space="preserve"> Malaysia was directly connected to Thailand </w:t>
      </w:r>
      <w:r w:rsidR="00C46969">
        <w:rPr>
          <w:lang w:eastAsia="zh-CN"/>
        </w:rPr>
        <w:t>by</w:t>
      </w:r>
      <w:r w:rsidR="00C46969" w:rsidRPr="00A52F7C">
        <w:rPr>
          <w:lang w:eastAsia="zh-CN"/>
        </w:rPr>
        <w:t xml:space="preserve"> </w:t>
      </w:r>
      <w:r w:rsidRPr="00A52F7C">
        <w:rPr>
          <w:lang w:eastAsia="zh-CN"/>
        </w:rPr>
        <w:t xml:space="preserve">land and </w:t>
      </w:r>
      <w:r w:rsidR="005A2B73" w:rsidRPr="00A52F7C">
        <w:rPr>
          <w:lang w:eastAsia="zh-CN"/>
        </w:rPr>
        <w:t xml:space="preserve">shared common borders with </w:t>
      </w:r>
      <w:r w:rsidRPr="00A52F7C">
        <w:rPr>
          <w:lang w:eastAsia="zh-CN"/>
        </w:rPr>
        <w:t xml:space="preserve">other countries. The country was close to Indonesia </w:t>
      </w:r>
      <w:r w:rsidR="005A2B73" w:rsidRPr="00A52F7C">
        <w:rPr>
          <w:lang w:eastAsia="zh-CN"/>
        </w:rPr>
        <w:t>and had</w:t>
      </w:r>
      <w:r w:rsidRPr="00A52F7C">
        <w:rPr>
          <w:lang w:eastAsia="zh-CN"/>
        </w:rPr>
        <w:t xml:space="preserve"> efficient sea transport. </w:t>
      </w:r>
      <w:r w:rsidR="001D22E2">
        <w:rPr>
          <w:lang w:eastAsia="zh-CN"/>
        </w:rPr>
        <w:t xml:space="preserve">Because </w:t>
      </w:r>
      <w:r w:rsidR="009F460F">
        <w:rPr>
          <w:lang w:eastAsia="zh-CN"/>
        </w:rPr>
        <w:t xml:space="preserve">it had a </w:t>
      </w:r>
      <w:r w:rsidRPr="00A52F7C">
        <w:rPr>
          <w:lang w:eastAsia="zh-CN"/>
        </w:rPr>
        <w:t xml:space="preserve">much larger land </w:t>
      </w:r>
      <w:r w:rsidR="005A2B73" w:rsidRPr="00A52F7C">
        <w:rPr>
          <w:lang w:eastAsia="zh-CN"/>
        </w:rPr>
        <w:t xml:space="preserve">mass </w:t>
      </w:r>
      <w:r w:rsidRPr="00A52F7C">
        <w:rPr>
          <w:lang w:eastAsia="zh-CN"/>
        </w:rPr>
        <w:t>than Singapore</w:t>
      </w:r>
      <w:r w:rsidR="009F460F">
        <w:rPr>
          <w:lang w:eastAsia="zh-CN"/>
        </w:rPr>
        <w:t>, this</w:t>
      </w:r>
      <w:r w:rsidR="00E25A4B">
        <w:rPr>
          <w:lang w:eastAsia="zh-CN"/>
        </w:rPr>
        <w:t xml:space="preserve"> </w:t>
      </w:r>
      <w:r w:rsidRPr="00A52F7C">
        <w:rPr>
          <w:lang w:eastAsia="zh-CN"/>
        </w:rPr>
        <w:t>facilitate</w:t>
      </w:r>
      <w:r w:rsidR="00E25A4B">
        <w:rPr>
          <w:lang w:eastAsia="zh-CN"/>
        </w:rPr>
        <w:t>d</w:t>
      </w:r>
      <w:r w:rsidRPr="00A52F7C">
        <w:rPr>
          <w:lang w:eastAsia="zh-CN"/>
        </w:rPr>
        <w:t xml:space="preserve"> logistics operations.</w:t>
      </w:r>
      <w:r w:rsidRPr="00A52F7C">
        <w:rPr>
          <w:rStyle w:val="EndnoteReference"/>
          <w:lang w:eastAsia="zh-CN"/>
        </w:rPr>
        <w:endnoteReference w:id="57"/>
      </w:r>
      <w:r w:rsidR="00A13C8B" w:rsidRPr="00A52F7C">
        <w:rPr>
          <w:lang w:eastAsia="zh-CN"/>
        </w:rPr>
        <w:t xml:space="preserve"> </w:t>
      </w:r>
      <w:r w:rsidRPr="00A52F7C">
        <w:rPr>
          <w:lang w:eastAsia="zh-CN"/>
        </w:rPr>
        <w:t xml:space="preserve">The initiative received </w:t>
      </w:r>
      <w:r w:rsidR="005A2B73" w:rsidRPr="00A52F7C">
        <w:rPr>
          <w:lang w:eastAsia="zh-CN"/>
        </w:rPr>
        <w:t xml:space="preserve">the </w:t>
      </w:r>
      <w:r w:rsidRPr="00A52F7C">
        <w:rPr>
          <w:lang w:eastAsia="zh-CN"/>
        </w:rPr>
        <w:t xml:space="preserve">full support </w:t>
      </w:r>
      <w:r w:rsidR="005A2B73" w:rsidRPr="00A52F7C">
        <w:rPr>
          <w:lang w:eastAsia="zh-CN"/>
        </w:rPr>
        <w:t xml:space="preserve">of </w:t>
      </w:r>
      <w:r w:rsidRPr="00A52F7C">
        <w:rPr>
          <w:lang w:eastAsia="zh-CN"/>
        </w:rPr>
        <w:t xml:space="preserve">the Malaysia government </w:t>
      </w:r>
      <w:r w:rsidR="001D22E2">
        <w:rPr>
          <w:lang w:eastAsia="zh-CN"/>
        </w:rPr>
        <w:t>because</w:t>
      </w:r>
      <w:r w:rsidR="001D22E2" w:rsidRPr="00A52F7C">
        <w:rPr>
          <w:lang w:eastAsia="zh-CN"/>
        </w:rPr>
        <w:t xml:space="preserve"> </w:t>
      </w:r>
      <w:r w:rsidRPr="00A52F7C">
        <w:rPr>
          <w:lang w:eastAsia="zh-CN"/>
        </w:rPr>
        <w:t>it was aligned with the government’s plan to double the nation’s e-commerce growth.</w:t>
      </w:r>
      <w:r w:rsidRPr="00A52F7C">
        <w:rPr>
          <w:rStyle w:val="EndnoteReference"/>
          <w:lang w:eastAsia="zh-CN"/>
        </w:rPr>
        <w:endnoteReference w:id="58"/>
      </w:r>
    </w:p>
    <w:p w14:paraId="5F7BB5E6" w14:textId="77777777" w:rsidR="000031D2" w:rsidRPr="00A52F7C" w:rsidRDefault="000031D2" w:rsidP="005169F6">
      <w:pPr>
        <w:pStyle w:val="BodyTextMain"/>
      </w:pPr>
    </w:p>
    <w:p w14:paraId="1E8E4737" w14:textId="77777777" w:rsidR="000031D2" w:rsidRPr="00A52F7C" w:rsidRDefault="000031D2" w:rsidP="005169F6">
      <w:pPr>
        <w:pStyle w:val="BodyTextMain"/>
      </w:pPr>
    </w:p>
    <w:p w14:paraId="21A484A5" w14:textId="075D36DC" w:rsidR="000031D2" w:rsidRPr="00A52F7C" w:rsidRDefault="000031D2" w:rsidP="005169F6">
      <w:pPr>
        <w:pStyle w:val="Casehead2"/>
      </w:pPr>
      <w:r w:rsidRPr="00A52F7C">
        <w:t>Strategic Partnerships</w:t>
      </w:r>
    </w:p>
    <w:p w14:paraId="4162D39E" w14:textId="77777777" w:rsidR="000031D2" w:rsidRPr="00A52F7C" w:rsidRDefault="000031D2" w:rsidP="005169F6">
      <w:pPr>
        <w:pStyle w:val="BodyTextMain"/>
      </w:pPr>
    </w:p>
    <w:p w14:paraId="03CAEE02" w14:textId="5389835A" w:rsidR="000031D2" w:rsidRPr="00A52F7C" w:rsidRDefault="000031D2" w:rsidP="005169F6">
      <w:pPr>
        <w:pStyle w:val="BodyTextMain"/>
        <w:rPr>
          <w:lang w:eastAsia="zh-CN"/>
        </w:rPr>
      </w:pPr>
      <w:r w:rsidRPr="00A52F7C">
        <w:t>In anticipation of Amazon’s entry</w:t>
      </w:r>
      <w:r w:rsidR="005A2B73" w:rsidRPr="00A52F7C">
        <w:t xml:space="preserve"> into the region</w:t>
      </w:r>
      <w:r w:rsidRPr="00A52F7C">
        <w:t xml:space="preserve"> in April 2017, </w:t>
      </w:r>
      <w:proofErr w:type="spellStart"/>
      <w:r w:rsidRPr="00A52F7C">
        <w:t>Lazada</w:t>
      </w:r>
      <w:proofErr w:type="spellEnd"/>
      <w:r w:rsidRPr="00A52F7C">
        <w:t xml:space="preserve"> fortified its business </w:t>
      </w:r>
      <w:r w:rsidR="005A2B73" w:rsidRPr="00A52F7C">
        <w:t xml:space="preserve">by partnering </w:t>
      </w:r>
      <w:r w:rsidRPr="00A52F7C">
        <w:t>with Netflix</w:t>
      </w:r>
      <w:r w:rsidR="00E25A4B">
        <w:t>, Inc. (Netflix)</w:t>
      </w:r>
      <w:r w:rsidRPr="00A52F7C">
        <w:t xml:space="preserve"> and Uber</w:t>
      </w:r>
      <w:r w:rsidR="00E25A4B">
        <w:t xml:space="preserve"> Technologies Inc. (Uber)</w:t>
      </w:r>
      <w:r w:rsidRPr="00A52F7C">
        <w:t xml:space="preserve"> to form </w:t>
      </w:r>
      <w:proofErr w:type="spellStart"/>
      <w:r w:rsidRPr="00A52F7C">
        <w:t>LiveUp</w:t>
      </w:r>
      <w:proofErr w:type="spellEnd"/>
      <w:r w:rsidRPr="00A52F7C">
        <w:t>, an Amazon Prime</w:t>
      </w:r>
      <w:r w:rsidR="005A2B73" w:rsidRPr="00A52F7C">
        <w:t>–</w:t>
      </w:r>
      <w:r w:rsidRPr="00A52F7C">
        <w:t xml:space="preserve">style membership </w:t>
      </w:r>
      <w:r w:rsidR="005A2B73" w:rsidRPr="00A52F7C">
        <w:t xml:space="preserve">program that offered </w:t>
      </w:r>
      <w:r w:rsidRPr="00A52F7C">
        <w:t xml:space="preserve">users benefits including rebates from </w:t>
      </w:r>
      <w:proofErr w:type="spellStart"/>
      <w:r w:rsidRPr="00A52F7C">
        <w:t>Lazada</w:t>
      </w:r>
      <w:proofErr w:type="spellEnd"/>
      <w:r w:rsidRPr="00A52F7C">
        <w:t xml:space="preserve"> and </w:t>
      </w:r>
      <w:proofErr w:type="spellStart"/>
      <w:r w:rsidRPr="00A52F7C">
        <w:t>Lazada</w:t>
      </w:r>
      <w:r w:rsidR="005A2B73" w:rsidRPr="00A52F7C">
        <w:t>’s</w:t>
      </w:r>
      <w:proofErr w:type="spellEnd"/>
      <w:r w:rsidRPr="00A52F7C">
        <w:t xml:space="preserve"> online grocer</w:t>
      </w:r>
      <w:r w:rsidR="001D22E2">
        <w:t>,</w:t>
      </w:r>
      <w:r w:rsidRPr="00A52F7C">
        <w:t xml:space="preserve"> </w:t>
      </w:r>
      <w:proofErr w:type="spellStart"/>
      <w:r w:rsidRPr="00A52F7C">
        <w:t>Redmart</w:t>
      </w:r>
      <w:proofErr w:type="spellEnd"/>
      <w:r w:rsidRPr="00A52F7C">
        <w:t>, as well as discounts for Netflix, Uber, Uber</w:t>
      </w:r>
      <w:r w:rsidR="005A2B73" w:rsidRPr="00A52F7C">
        <w:t xml:space="preserve"> </w:t>
      </w:r>
      <w:r w:rsidRPr="00A52F7C">
        <w:t xml:space="preserve">Eats, and </w:t>
      </w:r>
      <w:proofErr w:type="spellStart"/>
      <w:r w:rsidRPr="00A52F7C">
        <w:t>Taobao</w:t>
      </w:r>
      <w:proofErr w:type="spellEnd"/>
      <w:r w:rsidRPr="00A52F7C">
        <w:t xml:space="preserve"> Collection.</w:t>
      </w:r>
      <w:r w:rsidRPr="00A52F7C">
        <w:rPr>
          <w:rStyle w:val="EndnoteReference"/>
        </w:rPr>
        <w:endnoteReference w:id="59"/>
      </w:r>
      <w:r w:rsidRPr="00A52F7C">
        <w:rPr>
          <w:lang w:eastAsia="zh-CN"/>
        </w:rPr>
        <w:t xml:space="preserve"> </w:t>
      </w:r>
      <w:proofErr w:type="spellStart"/>
      <w:r w:rsidRPr="00A52F7C">
        <w:t>LiveUp</w:t>
      </w:r>
      <w:proofErr w:type="spellEnd"/>
      <w:r w:rsidRPr="00A52F7C">
        <w:t xml:space="preserve"> would </w:t>
      </w:r>
      <w:r w:rsidR="005A2B73" w:rsidRPr="00A52F7C">
        <w:t xml:space="preserve">compete </w:t>
      </w:r>
      <w:r w:rsidRPr="00A52F7C">
        <w:t>strong</w:t>
      </w:r>
      <w:r w:rsidR="005A2B73" w:rsidRPr="00A52F7C">
        <w:t>ly against</w:t>
      </w:r>
      <w:r w:rsidRPr="00A52F7C">
        <w:t xml:space="preserve"> Amazon Prime. In addition to rebates, </w:t>
      </w:r>
      <w:proofErr w:type="spellStart"/>
      <w:r w:rsidRPr="00A52F7C">
        <w:t>LiveUp</w:t>
      </w:r>
      <w:proofErr w:type="spellEnd"/>
      <w:r w:rsidRPr="00A52F7C">
        <w:t xml:space="preserve"> membership also provided lifestyle support.</w:t>
      </w:r>
      <w:r w:rsidRPr="00A52F7C">
        <w:rPr>
          <w:lang w:eastAsia="zh-CN"/>
        </w:rPr>
        <w:t xml:space="preserve"> </w:t>
      </w:r>
      <w:proofErr w:type="spellStart"/>
      <w:r w:rsidRPr="00A52F7C">
        <w:t>Lazada</w:t>
      </w:r>
      <w:proofErr w:type="spellEnd"/>
      <w:r w:rsidRPr="00A52F7C">
        <w:t xml:space="preserve"> had joined forces with Unilever to capture the region’s fast-moving consumer goods market, which was projected to reach $25 billion by 2020.</w:t>
      </w:r>
      <w:r w:rsidRPr="00A52F7C">
        <w:rPr>
          <w:rStyle w:val="EndnoteReference"/>
        </w:rPr>
        <w:endnoteReference w:id="60"/>
      </w:r>
      <w:r w:rsidRPr="00A52F7C">
        <w:rPr>
          <w:lang w:eastAsia="zh-CN"/>
        </w:rPr>
        <w:t xml:space="preserve"> The</w:t>
      </w:r>
      <w:r w:rsidRPr="00A52F7C">
        <w:t xml:space="preserve"> partnership </w:t>
      </w:r>
      <w:r w:rsidR="005A2B73" w:rsidRPr="00A52F7C">
        <w:t>would</w:t>
      </w:r>
      <w:r w:rsidR="00E25A4B">
        <w:t xml:space="preserve"> tackle logistical</w:t>
      </w:r>
      <w:r w:rsidRPr="00A52F7C">
        <w:t xml:space="preserve"> challenges while offering customers </w:t>
      </w:r>
      <w:r w:rsidR="005A2B73" w:rsidRPr="00A52F7C">
        <w:t xml:space="preserve">an </w:t>
      </w:r>
      <w:r w:rsidRPr="00A52F7C">
        <w:t xml:space="preserve">unprecedented </w:t>
      </w:r>
      <w:r w:rsidR="005A2B73" w:rsidRPr="00A52F7C">
        <w:t xml:space="preserve">assortment of </w:t>
      </w:r>
      <w:r w:rsidRPr="00A52F7C">
        <w:t>product</w:t>
      </w:r>
      <w:r w:rsidR="005A2B73" w:rsidRPr="00A52F7C">
        <w:t>s</w:t>
      </w:r>
      <w:r w:rsidRPr="00A52F7C">
        <w:t>, educational content, and shipping alternatives.</w:t>
      </w:r>
      <w:r w:rsidRPr="00A52F7C">
        <w:rPr>
          <w:lang w:eastAsia="zh-CN"/>
        </w:rPr>
        <w:t xml:space="preserve"> These collaborations were essential to strengthen the ecosystem of </w:t>
      </w:r>
      <w:proofErr w:type="spellStart"/>
      <w:r w:rsidRPr="00A52F7C">
        <w:rPr>
          <w:lang w:eastAsia="zh-CN"/>
        </w:rPr>
        <w:t>Lazada’s</w:t>
      </w:r>
      <w:proofErr w:type="spellEnd"/>
      <w:r w:rsidRPr="00A52F7C">
        <w:rPr>
          <w:lang w:eastAsia="zh-CN"/>
        </w:rPr>
        <w:t xml:space="preserve"> platform.</w:t>
      </w:r>
      <w:r w:rsidR="00E25A4B" w:rsidRPr="00A52F7C">
        <w:rPr>
          <w:rStyle w:val="EndnoteReference"/>
        </w:rPr>
        <w:endnoteReference w:id="61"/>
      </w:r>
    </w:p>
    <w:p w14:paraId="1A0439B9" w14:textId="77777777" w:rsidR="000031D2" w:rsidRPr="00A52F7C" w:rsidRDefault="000031D2" w:rsidP="005169F6">
      <w:pPr>
        <w:pStyle w:val="BodyTextMain"/>
      </w:pPr>
    </w:p>
    <w:p w14:paraId="607967F4" w14:textId="77777777" w:rsidR="000031D2" w:rsidRPr="00A52F7C" w:rsidRDefault="000031D2" w:rsidP="005169F6">
      <w:pPr>
        <w:pStyle w:val="BodyTextMain"/>
      </w:pPr>
    </w:p>
    <w:p w14:paraId="3B2430B0" w14:textId="0FDBF44A" w:rsidR="000031D2" w:rsidRPr="00A52F7C" w:rsidRDefault="000031D2" w:rsidP="00444D97">
      <w:pPr>
        <w:pStyle w:val="Casehead1"/>
        <w:outlineLvl w:val="0"/>
      </w:pPr>
      <w:r w:rsidRPr="00A52F7C">
        <w:t>OPPORTUNITIES IN SOUTHEAST ASIA</w:t>
      </w:r>
    </w:p>
    <w:p w14:paraId="5D8D94F3" w14:textId="77777777" w:rsidR="000031D2" w:rsidRPr="00A52F7C" w:rsidRDefault="000031D2" w:rsidP="005169F6">
      <w:pPr>
        <w:pStyle w:val="BodyTextMain"/>
      </w:pPr>
    </w:p>
    <w:p w14:paraId="16988B8A" w14:textId="77777777" w:rsidR="000031D2" w:rsidRPr="00A52F7C" w:rsidRDefault="000031D2" w:rsidP="005169F6">
      <w:pPr>
        <w:pStyle w:val="Casehead2"/>
      </w:pPr>
      <w:r w:rsidRPr="00A52F7C">
        <w:t>Growing Middle Class</w:t>
      </w:r>
    </w:p>
    <w:p w14:paraId="00082491" w14:textId="77777777" w:rsidR="000031D2" w:rsidRPr="00A52F7C" w:rsidRDefault="000031D2" w:rsidP="00E8070D">
      <w:pPr>
        <w:pStyle w:val="BodyTextMain"/>
      </w:pPr>
    </w:p>
    <w:p w14:paraId="25BB5215" w14:textId="77777777" w:rsidR="00D63D0B" w:rsidRPr="00C25BFB" w:rsidRDefault="000031D2" w:rsidP="00585A2D">
      <w:pPr>
        <w:pStyle w:val="BodyTextMain"/>
        <w:rPr>
          <w:spacing w:val="-2"/>
        </w:rPr>
      </w:pPr>
      <w:r w:rsidRPr="00C25BFB">
        <w:rPr>
          <w:spacing w:val="-2"/>
        </w:rPr>
        <w:t>Southeast Asia (</w:t>
      </w:r>
      <w:r w:rsidR="005A2B73" w:rsidRPr="00C25BFB">
        <w:rPr>
          <w:spacing w:val="-2"/>
        </w:rPr>
        <w:t xml:space="preserve">that is, </w:t>
      </w:r>
      <w:r w:rsidRPr="00C25BFB">
        <w:rPr>
          <w:spacing w:val="-2"/>
        </w:rPr>
        <w:t xml:space="preserve">Singapore, Brunei, Malaysia, Thailand, </w:t>
      </w:r>
      <w:r w:rsidR="005A2B73" w:rsidRPr="00C25BFB">
        <w:rPr>
          <w:spacing w:val="-2"/>
        </w:rPr>
        <w:t xml:space="preserve">the </w:t>
      </w:r>
      <w:r w:rsidRPr="00C25BFB">
        <w:rPr>
          <w:spacing w:val="-2"/>
        </w:rPr>
        <w:t xml:space="preserve">Philippines, Indonesia, Vietnam, Laos, Myanmar, Cambodia, and East Timor) was home </w:t>
      </w:r>
      <w:r w:rsidR="005A2B73" w:rsidRPr="00C25BFB">
        <w:rPr>
          <w:spacing w:val="-2"/>
        </w:rPr>
        <w:t>to</w:t>
      </w:r>
      <w:r w:rsidRPr="00C25BFB">
        <w:rPr>
          <w:spacing w:val="-2"/>
        </w:rPr>
        <w:t xml:space="preserve"> over 640 million</w:t>
      </w:r>
      <w:r w:rsidR="005A2B73" w:rsidRPr="00C25BFB">
        <w:rPr>
          <w:spacing w:val="-2"/>
        </w:rPr>
        <w:t xml:space="preserve"> people—</w:t>
      </w:r>
      <w:r w:rsidRPr="00C25BFB">
        <w:rPr>
          <w:spacing w:val="-2"/>
        </w:rPr>
        <w:t xml:space="preserve">nearly 9 per cent of </w:t>
      </w:r>
      <w:r w:rsidR="005A2B73" w:rsidRPr="00C25BFB">
        <w:rPr>
          <w:spacing w:val="-2"/>
        </w:rPr>
        <w:t xml:space="preserve">the </w:t>
      </w:r>
      <w:r w:rsidRPr="00C25BFB">
        <w:rPr>
          <w:spacing w:val="-2"/>
        </w:rPr>
        <w:t>world</w:t>
      </w:r>
      <w:r w:rsidR="005A2B73" w:rsidRPr="00C25BFB">
        <w:rPr>
          <w:spacing w:val="-2"/>
        </w:rPr>
        <w:t>’s</w:t>
      </w:r>
      <w:r w:rsidRPr="00C25BFB">
        <w:rPr>
          <w:spacing w:val="-2"/>
        </w:rPr>
        <w:t xml:space="preserve"> population</w:t>
      </w:r>
      <w:r w:rsidR="005A2B73" w:rsidRPr="00C25BFB">
        <w:rPr>
          <w:spacing w:val="-2"/>
        </w:rPr>
        <w:t xml:space="preserve">—and was </w:t>
      </w:r>
      <w:r w:rsidRPr="00C25BFB">
        <w:rPr>
          <w:spacing w:val="-2"/>
        </w:rPr>
        <w:t xml:space="preserve">the </w:t>
      </w:r>
      <w:r w:rsidR="005A2B73" w:rsidRPr="00C25BFB">
        <w:rPr>
          <w:spacing w:val="-2"/>
        </w:rPr>
        <w:t>fourth-</w:t>
      </w:r>
      <w:r w:rsidRPr="00C25BFB">
        <w:rPr>
          <w:spacing w:val="-2"/>
        </w:rPr>
        <w:t>largest region after China, India, and the United States</w:t>
      </w:r>
      <w:r w:rsidR="005A2B73" w:rsidRPr="00C25BFB">
        <w:rPr>
          <w:spacing w:val="-2"/>
        </w:rPr>
        <w:t>. O</w:t>
      </w:r>
      <w:r w:rsidRPr="00C25BFB">
        <w:rPr>
          <w:spacing w:val="-2"/>
        </w:rPr>
        <w:t xml:space="preserve">ver </w:t>
      </w:r>
      <w:r w:rsidR="005A2B73" w:rsidRPr="00C25BFB">
        <w:rPr>
          <w:spacing w:val="-2"/>
        </w:rPr>
        <w:t>70 per </w:t>
      </w:r>
      <w:r w:rsidRPr="00C25BFB">
        <w:rPr>
          <w:spacing w:val="-2"/>
        </w:rPr>
        <w:t xml:space="preserve">cent </w:t>
      </w:r>
      <w:r w:rsidR="005A2B73" w:rsidRPr="00C25BFB">
        <w:rPr>
          <w:spacing w:val="-2"/>
        </w:rPr>
        <w:t xml:space="preserve">of the population in the region was </w:t>
      </w:r>
      <w:r w:rsidRPr="00C25BFB">
        <w:rPr>
          <w:spacing w:val="-2"/>
        </w:rPr>
        <w:t>under 40 years old</w:t>
      </w:r>
      <w:r w:rsidR="005A2B73" w:rsidRPr="00C25BFB">
        <w:rPr>
          <w:spacing w:val="-2"/>
        </w:rPr>
        <w:t xml:space="preserve"> (see Exhibit </w:t>
      </w:r>
      <w:r w:rsidR="005A2B73" w:rsidRPr="00C25BFB">
        <w:rPr>
          <w:spacing w:val="-2"/>
          <w:lang w:eastAsia="zh-CN"/>
        </w:rPr>
        <w:t>5</w:t>
      </w:r>
      <w:r w:rsidR="005A2B73" w:rsidRPr="00C25BFB">
        <w:rPr>
          <w:spacing w:val="-2"/>
        </w:rPr>
        <w:t>)</w:t>
      </w:r>
      <w:proofErr w:type="gramStart"/>
      <w:r w:rsidR="005A2B73" w:rsidRPr="00C25BFB">
        <w:rPr>
          <w:spacing w:val="-2"/>
        </w:rPr>
        <w:t>.</w:t>
      </w:r>
      <w:proofErr w:type="gramEnd"/>
      <w:r w:rsidRPr="00C25BFB">
        <w:rPr>
          <w:rStyle w:val="EndnoteReference"/>
          <w:spacing w:val="-2"/>
        </w:rPr>
        <w:endnoteReference w:id="62"/>
      </w:r>
      <w:r w:rsidRPr="00C25BFB">
        <w:rPr>
          <w:spacing w:val="-2"/>
        </w:rPr>
        <w:t xml:space="preserve"> </w:t>
      </w:r>
      <w:r w:rsidR="005A2B73" w:rsidRPr="00C25BFB">
        <w:rPr>
          <w:spacing w:val="-2"/>
        </w:rPr>
        <w:t>The countries</w:t>
      </w:r>
      <w:r w:rsidR="001D22E2" w:rsidRPr="00C25BFB">
        <w:rPr>
          <w:spacing w:val="-2"/>
        </w:rPr>
        <w:t>,</w:t>
      </w:r>
      <w:r w:rsidR="005A2B73" w:rsidRPr="00C25BFB">
        <w:rPr>
          <w:spacing w:val="-2"/>
        </w:rPr>
        <w:t xml:space="preserve"> e</w:t>
      </w:r>
      <w:r w:rsidRPr="00C25BFB">
        <w:rPr>
          <w:spacing w:val="-2"/>
        </w:rPr>
        <w:t>xcluding East Timor</w:t>
      </w:r>
      <w:r w:rsidR="001D22E2" w:rsidRPr="00C25BFB">
        <w:rPr>
          <w:spacing w:val="-2"/>
        </w:rPr>
        <w:t>,</w:t>
      </w:r>
      <w:r w:rsidRPr="00C25BFB">
        <w:rPr>
          <w:spacing w:val="-2"/>
        </w:rPr>
        <w:t xml:space="preserve"> had formed </w:t>
      </w:r>
      <w:r w:rsidR="005A2B73" w:rsidRPr="00C25BFB">
        <w:rPr>
          <w:spacing w:val="-2"/>
        </w:rPr>
        <w:t xml:space="preserve">the </w:t>
      </w:r>
      <w:r w:rsidRPr="00C25BFB">
        <w:rPr>
          <w:spacing w:val="-2"/>
        </w:rPr>
        <w:t>Association of Southeast Asian Nations (ASEAN) to promote economic growth</w:t>
      </w:r>
      <w:r w:rsidRPr="00C25BFB">
        <w:rPr>
          <w:spacing w:val="-2"/>
          <w:lang w:eastAsia="zh-CN"/>
        </w:rPr>
        <w:t xml:space="preserve"> </w:t>
      </w:r>
      <w:r w:rsidRPr="00C25BFB">
        <w:rPr>
          <w:spacing w:val="-2"/>
        </w:rPr>
        <w:t xml:space="preserve">across the region. The </w:t>
      </w:r>
      <w:r w:rsidR="005A2B73" w:rsidRPr="00C25BFB">
        <w:rPr>
          <w:spacing w:val="-2"/>
        </w:rPr>
        <w:t xml:space="preserve">region’s </w:t>
      </w:r>
      <w:r w:rsidRPr="00C25BFB">
        <w:rPr>
          <w:spacing w:val="-2"/>
        </w:rPr>
        <w:t xml:space="preserve">combined gross domestic product (GDP) was about $2.5 trillion, surpassing </w:t>
      </w:r>
      <w:r w:rsidR="005A2B73" w:rsidRPr="00C25BFB">
        <w:rPr>
          <w:spacing w:val="-2"/>
        </w:rPr>
        <w:t xml:space="preserve">the </w:t>
      </w:r>
      <w:r w:rsidRPr="00C25BFB">
        <w:rPr>
          <w:spacing w:val="-2"/>
        </w:rPr>
        <w:t xml:space="preserve">GDP of India. Thanks to rapid economic development and foreign direct investments, </w:t>
      </w:r>
      <w:r w:rsidRPr="00C25BFB">
        <w:rPr>
          <w:spacing w:val="-2"/>
          <w:lang w:eastAsia="ja-JP"/>
        </w:rPr>
        <w:t>t</w:t>
      </w:r>
      <w:r w:rsidRPr="00C25BFB">
        <w:rPr>
          <w:spacing w:val="-2"/>
        </w:rPr>
        <w:t>he GDP was projected</w:t>
      </w:r>
      <w:r w:rsidRPr="00C25BFB">
        <w:rPr>
          <w:spacing w:val="-2"/>
          <w:lang w:eastAsia="zh-CN"/>
        </w:rPr>
        <w:t xml:space="preserve"> </w:t>
      </w:r>
      <w:r w:rsidRPr="00C25BFB">
        <w:rPr>
          <w:spacing w:val="-2"/>
        </w:rPr>
        <w:t>to grow steadily at 5.3 per cent annually over the next 1</w:t>
      </w:r>
      <w:bookmarkStart w:id="0" w:name="_GoBack"/>
      <w:bookmarkEnd w:id="0"/>
      <w:r w:rsidRPr="00C25BFB">
        <w:rPr>
          <w:spacing w:val="-2"/>
        </w:rPr>
        <w:t xml:space="preserve">0 years, resulting in </w:t>
      </w:r>
      <w:r w:rsidR="005A2B73" w:rsidRPr="00C25BFB">
        <w:rPr>
          <w:spacing w:val="-2"/>
        </w:rPr>
        <w:t>a growing</w:t>
      </w:r>
      <w:r w:rsidRPr="00C25BFB">
        <w:rPr>
          <w:spacing w:val="-2"/>
        </w:rPr>
        <w:t xml:space="preserve"> middle</w:t>
      </w:r>
      <w:r w:rsidR="005A2B73" w:rsidRPr="00C25BFB">
        <w:rPr>
          <w:spacing w:val="-2"/>
        </w:rPr>
        <w:noBreakHyphen/>
      </w:r>
      <w:r w:rsidRPr="00C25BFB">
        <w:rPr>
          <w:spacing w:val="-2"/>
        </w:rPr>
        <w:t xml:space="preserve">class population, which was estimated </w:t>
      </w:r>
      <w:r w:rsidR="005A2B73" w:rsidRPr="00C25BFB">
        <w:rPr>
          <w:spacing w:val="-2"/>
        </w:rPr>
        <w:t xml:space="preserve">at </w:t>
      </w:r>
      <w:r w:rsidRPr="00C25BFB">
        <w:rPr>
          <w:spacing w:val="-2"/>
        </w:rPr>
        <w:t>190 million in 2012 and expected to double in 2020</w:t>
      </w:r>
      <w:r w:rsidR="005A2B73" w:rsidRPr="00C25BFB">
        <w:rPr>
          <w:spacing w:val="-2"/>
        </w:rPr>
        <w:t xml:space="preserve"> (see Exhibit </w:t>
      </w:r>
      <w:r w:rsidR="005A2B73" w:rsidRPr="00C25BFB">
        <w:rPr>
          <w:spacing w:val="-2"/>
          <w:lang w:eastAsia="zh-CN"/>
        </w:rPr>
        <w:t>6</w:t>
      </w:r>
      <w:r w:rsidR="005A2B73" w:rsidRPr="00C25BFB">
        <w:rPr>
          <w:spacing w:val="-2"/>
        </w:rPr>
        <w:t>)</w:t>
      </w:r>
      <w:r w:rsidRPr="00C25BFB">
        <w:rPr>
          <w:spacing w:val="-2"/>
        </w:rPr>
        <w:t>.</w:t>
      </w:r>
      <w:r w:rsidRPr="00C25BFB">
        <w:rPr>
          <w:rStyle w:val="EndnoteReference"/>
          <w:spacing w:val="-2"/>
        </w:rPr>
        <w:endnoteReference w:id="63"/>
      </w:r>
      <w:r w:rsidRPr="00C25BFB">
        <w:rPr>
          <w:spacing w:val="-2"/>
        </w:rPr>
        <w:t xml:space="preserve"> </w:t>
      </w:r>
    </w:p>
    <w:p w14:paraId="5723D1C7" w14:textId="77777777" w:rsidR="00D63D0B" w:rsidRDefault="00D63D0B" w:rsidP="00585A2D">
      <w:pPr>
        <w:pStyle w:val="BodyTextMain"/>
      </w:pPr>
    </w:p>
    <w:p w14:paraId="6F4322D7" w14:textId="243DFE3C" w:rsidR="000031D2" w:rsidRPr="00A52F7C" w:rsidRDefault="000031D2" w:rsidP="00585A2D">
      <w:pPr>
        <w:pStyle w:val="BodyTextMain"/>
        <w:rPr>
          <w:lang w:eastAsia="zh-CN"/>
        </w:rPr>
      </w:pPr>
      <w:r w:rsidRPr="00A52F7C">
        <w:t xml:space="preserve">In 2014, 29 per cent of the population had </w:t>
      </w:r>
      <w:r w:rsidR="005A2B73" w:rsidRPr="00A52F7C">
        <w:t xml:space="preserve">disposable incomes </w:t>
      </w:r>
      <w:r w:rsidRPr="00A52F7C">
        <w:t>over $10,000</w:t>
      </w:r>
      <w:r w:rsidR="005A2B73" w:rsidRPr="00A52F7C">
        <w:t>,</w:t>
      </w:r>
      <w:r w:rsidRPr="00A52F7C">
        <w:t xml:space="preserve"> </w:t>
      </w:r>
      <w:r w:rsidR="005A2B73" w:rsidRPr="00A52F7C">
        <w:t>and this</w:t>
      </w:r>
      <w:r w:rsidRPr="00A52F7C">
        <w:t xml:space="preserve"> was expected to increase to 50 per cent in 2019.</w:t>
      </w:r>
      <w:r w:rsidRPr="00A52F7C">
        <w:rPr>
          <w:rStyle w:val="EndnoteReference"/>
        </w:rPr>
        <w:endnoteReference w:id="64"/>
      </w:r>
      <w:r w:rsidRPr="00A52F7C">
        <w:t xml:space="preserve"> </w:t>
      </w:r>
      <w:r w:rsidR="005A2B73" w:rsidRPr="00A52F7C">
        <w:t xml:space="preserve">The </w:t>
      </w:r>
      <w:r w:rsidRPr="00A52F7C">
        <w:t xml:space="preserve">ASEAN economy would </w:t>
      </w:r>
      <w:r w:rsidR="005A2B73" w:rsidRPr="00A52F7C">
        <w:t xml:space="preserve">soon </w:t>
      </w:r>
      <w:r w:rsidRPr="00A52F7C">
        <w:t xml:space="preserve">be on par with that of </w:t>
      </w:r>
      <w:r w:rsidR="005A2B73" w:rsidRPr="00A52F7C">
        <w:t>B</w:t>
      </w:r>
      <w:r w:rsidR="00D63D0B">
        <w:t xml:space="preserve">razil, Russia, India, and </w:t>
      </w:r>
      <w:proofErr w:type="spellStart"/>
      <w:r w:rsidR="00D63D0B">
        <w:t>China.</w:t>
      </w:r>
      <w:r w:rsidRPr="00A52F7C">
        <w:t>The</w:t>
      </w:r>
      <w:proofErr w:type="spellEnd"/>
      <w:r w:rsidRPr="00A52F7C">
        <w:t xml:space="preserve"> region </w:t>
      </w:r>
      <w:r w:rsidR="005A2B73" w:rsidRPr="00A52F7C">
        <w:t xml:space="preserve">had overtaken </w:t>
      </w:r>
      <w:r w:rsidRPr="00A52F7C">
        <w:t>Russia, Mexico, and Brazil</w:t>
      </w:r>
      <w:r w:rsidR="005A2B73" w:rsidRPr="00A52F7C">
        <w:t xml:space="preserve"> to become </w:t>
      </w:r>
      <w:r w:rsidRPr="00A52F7C">
        <w:t xml:space="preserve">the </w:t>
      </w:r>
      <w:r w:rsidR="005A2B73" w:rsidRPr="00A52F7C">
        <w:t>second-</w:t>
      </w:r>
      <w:r w:rsidRPr="00A52F7C">
        <w:t>largest market among emerging economies.</w:t>
      </w:r>
      <w:r w:rsidRPr="00A52F7C">
        <w:rPr>
          <w:rStyle w:val="EndnoteReference"/>
        </w:rPr>
        <w:endnoteReference w:id="65"/>
      </w:r>
    </w:p>
    <w:p w14:paraId="5D9EE25F" w14:textId="77777777" w:rsidR="000031D2" w:rsidRPr="00A52F7C" w:rsidRDefault="000031D2" w:rsidP="00E8070D">
      <w:pPr>
        <w:pStyle w:val="BodyTextMain"/>
      </w:pPr>
    </w:p>
    <w:p w14:paraId="054AF561" w14:textId="77777777" w:rsidR="000031D2" w:rsidRPr="00A52F7C" w:rsidRDefault="000031D2" w:rsidP="00E8070D">
      <w:pPr>
        <w:pStyle w:val="BodyTextMain"/>
      </w:pPr>
    </w:p>
    <w:p w14:paraId="7D9C9633" w14:textId="12B6DA87" w:rsidR="000031D2" w:rsidRPr="00A52F7C" w:rsidRDefault="000031D2" w:rsidP="005169F6">
      <w:pPr>
        <w:pStyle w:val="Casehead2"/>
        <w:keepNext/>
      </w:pPr>
      <w:r w:rsidRPr="00A52F7C">
        <w:lastRenderedPageBreak/>
        <w:t xml:space="preserve">The Rise of </w:t>
      </w:r>
      <w:r w:rsidR="005A2B73" w:rsidRPr="00A52F7C">
        <w:t xml:space="preserve">the </w:t>
      </w:r>
      <w:r w:rsidRPr="00A52F7C">
        <w:t>Internet Economy</w:t>
      </w:r>
    </w:p>
    <w:p w14:paraId="2809222A" w14:textId="77777777" w:rsidR="000031D2" w:rsidRPr="00A52F7C" w:rsidRDefault="000031D2" w:rsidP="005169F6">
      <w:pPr>
        <w:pStyle w:val="BodyTextMain"/>
        <w:keepNext/>
      </w:pPr>
    </w:p>
    <w:p w14:paraId="534F7F01" w14:textId="258021BA" w:rsidR="000031D2" w:rsidRPr="00A52F7C" w:rsidRDefault="000031D2" w:rsidP="005169F6">
      <w:pPr>
        <w:pStyle w:val="BodyTextMain"/>
      </w:pPr>
      <w:r w:rsidRPr="00A52F7C">
        <w:t xml:space="preserve">Despite </w:t>
      </w:r>
      <w:r w:rsidR="005A2B73" w:rsidRPr="00A52F7C">
        <w:t>its</w:t>
      </w:r>
      <w:r w:rsidRPr="00A52F7C">
        <w:t xml:space="preserve"> </w:t>
      </w:r>
      <w:r w:rsidR="005A2B73" w:rsidRPr="00A52F7C">
        <w:t xml:space="preserve">diversity </w:t>
      </w:r>
      <w:r w:rsidRPr="00A52F7C">
        <w:t>(</w:t>
      </w:r>
      <w:r w:rsidR="005A2B73" w:rsidRPr="00A52F7C">
        <w:t xml:space="preserve">for example, different </w:t>
      </w:r>
      <w:r w:rsidRPr="00A52F7C">
        <w:t>cultures, religions, and languages), the region</w:t>
      </w:r>
      <w:r w:rsidR="005A2B73" w:rsidRPr="00A52F7C">
        <w:t>’s people</w:t>
      </w:r>
      <w:r w:rsidRPr="00A52F7C">
        <w:t xml:space="preserve"> shared </w:t>
      </w:r>
      <w:r w:rsidR="005A2B73" w:rsidRPr="00A52F7C">
        <w:t xml:space="preserve">a </w:t>
      </w:r>
      <w:r w:rsidRPr="00A52F7C">
        <w:t xml:space="preserve">strong attraction to mobile technology. The region was the world’s </w:t>
      </w:r>
      <w:r w:rsidR="005A2B73" w:rsidRPr="00A52F7C">
        <w:t>fastest-</w:t>
      </w:r>
      <w:r w:rsidRPr="00A52F7C">
        <w:t>growing Internet market</w:t>
      </w:r>
      <w:r w:rsidR="005A2B73" w:rsidRPr="00A52F7C">
        <w:t>; it was expected to gain</w:t>
      </w:r>
      <w:r w:rsidRPr="00A52F7C">
        <w:t xml:space="preserve"> </w:t>
      </w:r>
      <w:r w:rsidR="005A2B73" w:rsidRPr="00A52F7C">
        <w:t xml:space="preserve">an </w:t>
      </w:r>
      <w:r w:rsidRPr="00A52F7C">
        <w:t xml:space="preserve">estimated 4 million new online users every month for the next </w:t>
      </w:r>
      <w:r w:rsidR="005A2B73" w:rsidRPr="00A52F7C">
        <w:t xml:space="preserve">five </w:t>
      </w:r>
      <w:r w:rsidRPr="00A52F7C">
        <w:t xml:space="preserve">years and </w:t>
      </w:r>
      <w:r w:rsidR="005A2B73" w:rsidRPr="00A52F7C">
        <w:t xml:space="preserve">a total of </w:t>
      </w:r>
      <w:r w:rsidRPr="00A52F7C">
        <w:t>480 million users by 2020</w:t>
      </w:r>
      <w:r w:rsidR="005A2B73" w:rsidRPr="00A52F7C">
        <w:t>, up</w:t>
      </w:r>
      <w:r w:rsidRPr="00A52F7C">
        <w:t xml:space="preserve"> from 260 million in 2016. The region had over 700 million active mobile connections</w:t>
      </w:r>
      <w:r w:rsidR="009F460F">
        <w:t>,</w:t>
      </w:r>
      <w:r w:rsidRPr="00A52F7C">
        <w:t xml:space="preserve"> accounting for 110 per cent of the population. By 2020, Indonesia would be the </w:t>
      </w:r>
      <w:r w:rsidR="005A2B73" w:rsidRPr="00A52F7C">
        <w:t>fastest-</w:t>
      </w:r>
      <w:r w:rsidRPr="00A52F7C">
        <w:t>growing Internet market in the world</w:t>
      </w:r>
      <w:r w:rsidR="005A2B73" w:rsidRPr="00A52F7C">
        <w:t>,</w:t>
      </w:r>
      <w:r w:rsidRPr="00A52F7C">
        <w:t xml:space="preserve"> with 19 per cent growth annually from 2015 to 2020</w:t>
      </w:r>
      <w:r w:rsidR="005A2B73" w:rsidRPr="00A52F7C">
        <w:t xml:space="preserve"> (see Exhibit</w:t>
      </w:r>
      <w:r w:rsidR="009F460F">
        <w:t> </w:t>
      </w:r>
      <w:r w:rsidR="005A2B73" w:rsidRPr="00A52F7C">
        <w:rPr>
          <w:lang w:eastAsia="zh-CN"/>
        </w:rPr>
        <w:t>7</w:t>
      </w:r>
      <w:r w:rsidR="005A2B73" w:rsidRPr="00A52F7C">
        <w:t>)</w:t>
      </w:r>
      <w:r w:rsidRPr="00A52F7C">
        <w:t>.</w:t>
      </w:r>
      <w:r w:rsidRPr="00A52F7C">
        <w:rPr>
          <w:rStyle w:val="EndnoteReference"/>
        </w:rPr>
        <w:endnoteReference w:id="66"/>
      </w:r>
      <w:r w:rsidRPr="00A52F7C">
        <w:t xml:space="preserve"> </w:t>
      </w:r>
    </w:p>
    <w:p w14:paraId="39AD6009" w14:textId="77777777" w:rsidR="000031D2" w:rsidRPr="00A52F7C" w:rsidRDefault="000031D2" w:rsidP="005169F6">
      <w:pPr>
        <w:pStyle w:val="BodyTextMain"/>
        <w:rPr>
          <w:lang w:eastAsia="zh-CN"/>
        </w:rPr>
      </w:pPr>
    </w:p>
    <w:p w14:paraId="2E3326BD" w14:textId="60EC08D4" w:rsidR="000031D2" w:rsidRPr="00A52F7C" w:rsidRDefault="000031D2" w:rsidP="00D63D0B">
      <w:pPr>
        <w:pStyle w:val="BodyTextMain"/>
        <w:rPr>
          <w:lang w:eastAsia="zh-CN"/>
        </w:rPr>
      </w:pPr>
      <w:r w:rsidRPr="00A52F7C">
        <w:t xml:space="preserve">Despite </w:t>
      </w:r>
      <w:r w:rsidR="005A2B73" w:rsidRPr="00A52F7C">
        <w:t xml:space="preserve">the growth in </w:t>
      </w:r>
      <w:r w:rsidRPr="00A52F7C">
        <w:t>income</w:t>
      </w:r>
      <w:r w:rsidR="005A2B73" w:rsidRPr="00A52F7C">
        <w:t>s</w:t>
      </w:r>
      <w:r w:rsidRPr="00A52F7C">
        <w:t xml:space="preserve"> and Internet adoption</w:t>
      </w:r>
      <w:r w:rsidR="005A2B73" w:rsidRPr="00A52F7C">
        <w:t xml:space="preserve"> rates</w:t>
      </w:r>
      <w:r w:rsidRPr="00A52F7C">
        <w:t>, the e-commerce market in Southeast Asia was still small, with only 3 per cent online retail penetration ($6 billion in sales) compared to 14 per cent in China and the United States (</w:t>
      </w:r>
      <w:r w:rsidR="005A2B73" w:rsidRPr="00A52F7C">
        <w:t>which had</w:t>
      </w:r>
      <w:r w:rsidRPr="00A52F7C">
        <w:t xml:space="preserve"> $293 billion and $270 billion </w:t>
      </w:r>
      <w:r w:rsidR="005A2B73" w:rsidRPr="00A52F7C">
        <w:t xml:space="preserve">in sales, </w:t>
      </w:r>
      <w:r w:rsidRPr="00A52F7C">
        <w:t>respectively).</w:t>
      </w:r>
      <w:r w:rsidRPr="00A52F7C">
        <w:rPr>
          <w:rStyle w:val="EndnoteReference"/>
        </w:rPr>
        <w:endnoteReference w:id="67"/>
      </w:r>
      <w:r w:rsidRPr="00A52F7C">
        <w:t xml:space="preserve"> </w:t>
      </w:r>
      <w:r w:rsidR="00D63D0B">
        <w:t>T</w:t>
      </w:r>
      <w:r w:rsidR="005A2B73" w:rsidRPr="00A52F7C">
        <w:t xml:space="preserve">his </w:t>
      </w:r>
      <w:r w:rsidRPr="00A52F7C">
        <w:t xml:space="preserve">low penetration rate implied a huge opportunity to grow the market. </w:t>
      </w:r>
      <w:r w:rsidR="005A2B73" w:rsidRPr="00A52F7C">
        <w:rPr>
          <w:lang w:eastAsia="zh-CN"/>
        </w:rPr>
        <w:t>E</w:t>
      </w:r>
      <w:r w:rsidRPr="00A52F7C">
        <w:rPr>
          <w:lang w:eastAsia="zh-CN"/>
        </w:rPr>
        <w:t>-commerce retail spending was $5.5 billion in 2015 and was expected to grow 16 times over the next 10 years</w:t>
      </w:r>
      <w:r w:rsidR="005A2B73" w:rsidRPr="00A52F7C">
        <w:rPr>
          <w:lang w:eastAsia="zh-CN"/>
        </w:rPr>
        <w:t>,</w:t>
      </w:r>
      <w:r w:rsidRPr="00A52F7C">
        <w:rPr>
          <w:lang w:eastAsia="zh-CN"/>
        </w:rPr>
        <w:t xml:space="preserve"> to $88 billion in 2025. </w:t>
      </w:r>
      <w:r w:rsidR="005A2B73" w:rsidRPr="00A52F7C">
        <w:rPr>
          <w:lang w:eastAsia="zh-CN"/>
        </w:rPr>
        <w:t xml:space="preserve">This </w:t>
      </w:r>
      <w:r w:rsidRPr="00A52F7C">
        <w:rPr>
          <w:lang w:eastAsia="zh-CN"/>
        </w:rPr>
        <w:t xml:space="preserve">impressive growth would be powered by the large proportion of young </w:t>
      </w:r>
      <w:r w:rsidR="005A2B73" w:rsidRPr="00A52F7C">
        <w:rPr>
          <w:lang w:eastAsia="zh-CN"/>
        </w:rPr>
        <w:t xml:space="preserve">people in the </w:t>
      </w:r>
      <w:r w:rsidRPr="00A52F7C">
        <w:rPr>
          <w:lang w:eastAsia="zh-CN"/>
        </w:rPr>
        <w:t xml:space="preserve">population and </w:t>
      </w:r>
      <w:r w:rsidR="00FC38E0" w:rsidRPr="00A52F7C">
        <w:rPr>
          <w:lang w:eastAsia="zh-CN"/>
        </w:rPr>
        <w:t xml:space="preserve">by </w:t>
      </w:r>
      <w:r w:rsidRPr="00A52F7C">
        <w:rPr>
          <w:lang w:eastAsia="zh-CN"/>
        </w:rPr>
        <w:t>the lack of traditional retail</w:t>
      </w:r>
      <w:r w:rsidR="005A2B73" w:rsidRPr="00A52F7C">
        <w:rPr>
          <w:lang w:eastAsia="zh-CN"/>
        </w:rPr>
        <w:t xml:space="preserve"> options</w:t>
      </w:r>
      <w:r w:rsidRPr="00A52F7C">
        <w:rPr>
          <w:lang w:eastAsia="zh-CN"/>
        </w:rPr>
        <w:t xml:space="preserve"> (only one-third of those in the United States) due to geographical conditions such as remote islands in</w:t>
      </w:r>
      <w:r w:rsidR="00D63D0B">
        <w:rPr>
          <w:lang w:eastAsia="zh-CN"/>
        </w:rPr>
        <w:t xml:space="preserve"> the Philippines and Indonesia.</w:t>
      </w:r>
      <w:r w:rsidR="00D63D0B" w:rsidRPr="00A52F7C">
        <w:rPr>
          <w:rStyle w:val="EndnoteReference"/>
          <w:lang w:eastAsia="zh-CN"/>
        </w:rPr>
        <w:endnoteReference w:id="68"/>
      </w:r>
    </w:p>
    <w:p w14:paraId="47CB5B22" w14:textId="77777777" w:rsidR="000031D2" w:rsidRPr="00A52F7C" w:rsidRDefault="000031D2" w:rsidP="005169F6">
      <w:pPr>
        <w:pStyle w:val="BodyTextMain"/>
        <w:rPr>
          <w:lang w:eastAsia="zh-CN"/>
        </w:rPr>
      </w:pPr>
    </w:p>
    <w:p w14:paraId="5829E176" w14:textId="77777777" w:rsidR="000031D2" w:rsidRPr="00A52F7C" w:rsidRDefault="000031D2" w:rsidP="005169F6">
      <w:pPr>
        <w:pStyle w:val="BodyTextMain"/>
      </w:pPr>
    </w:p>
    <w:p w14:paraId="506C94BD" w14:textId="77777777" w:rsidR="000031D2" w:rsidRPr="00A52F7C" w:rsidRDefault="000031D2" w:rsidP="00444D97">
      <w:pPr>
        <w:pStyle w:val="Casehead1"/>
        <w:outlineLvl w:val="0"/>
      </w:pPr>
      <w:r w:rsidRPr="00A52F7C">
        <w:t>THE E-COMMERCE BATTLE IN SOUTHEAST ASIA</w:t>
      </w:r>
    </w:p>
    <w:p w14:paraId="59BB5451" w14:textId="77777777" w:rsidR="000031D2" w:rsidRPr="00A52F7C" w:rsidRDefault="000031D2" w:rsidP="005169F6">
      <w:pPr>
        <w:pStyle w:val="BodyTextMain"/>
      </w:pPr>
    </w:p>
    <w:p w14:paraId="17FA635B" w14:textId="07324BB4" w:rsidR="000031D2" w:rsidRPr="00A52F7C" w:rsidRDefault="000031D2" w:rsidP="005169F6">
      <w:pPr>
        <w:pStyle w:val="BodyTextMain"/>
      </w:pPr>
      <w:r w:rsidRPr="00A52F7C">
        <w:t xml:space="preserve">The rapid growth of e-commerce in the region had attracted many regional and global players to the battleground. Among the most renowned players were </w:t>
      </w:r>
      <w:r w:rsidR="00FC38E0" w:rsidRPr="00A52F7C">
        <w:t xml:space="preserve">the eBay-backed, Singapore-based online marketplace </w:t>
      </w:r>
      <w:proofErr w:type="spellStart"/>
      <w:r w:rsidR="00D63D0B">
        <w:t>Giosis</w:t>
      </w:r>
      <w:proofErr w:type="spellEnd"/>
      <w:r w:rsidR="00D63D0B">
        <w:t xml:space="preserve"> Group’s (</w:t>
      </w:r>
      <w:proofErr w:type="spellStart"/>
      <w:r w:rsidR="00D63D0B">
        <w:t>Giosis</w:t>
      </w:r>
      <w:proofErr w:type="spellEnd"/>
      <w:r w:rsidR="00D63D0B">
        <w:t xml:space="preserve">) </w:t>
      </w:r>
      <w:r w:rsidRPr="00A52F7C">
        <w:t>Qoo10</w:t>
      </w:r>
      <w:r w:rsidR="00FC38E0" w:rsidRPr="00A52F7C">
        <w:t>;</w:t>
      </w:r>
      <w:r w:rsidRPr="00A52F7C">
        <w:t xml:space="preserve"> </w:t>
      </w:r>
      <w:r w:rsidR="00FC38E0" w:rsidRPr="00A52F7C">
        <w:t xml:space="preserve">Alibaba’s ultimate rival in China, </w:t>
      </w:r>
      <w:r w:rsidRPr="00A52F7C">
        <w:t>JD.com</w:t>
      </w:r>
      <w:r w:rsidR="00FC38E0" w:rsidRPr="00A52F7C">
        <w:t xml:space="preserve">; the largest online marketplace in Japan, </w:t>
      </w:r>
      <w:proofErr w:type="spellStart"/>
      <w:r w:rsidRPr="00A52F7C">
        <w:t>Rakuten</w:t>
      </w:r>
      <w:proofErr w:type="spellEnd"/>
      <w:r w:rsidR="00FC38E0" w:rsidRPr="00A52F7C">
        <w:t xml:space="preserve"> Inc. (</w:t>
      </w:r>
      <w:proofErr w:type="spellStart"/>
      <w:r w:rsidR="00FC38E0" w:rsidRPr="00A52F7C">
        <w:t>Rakuten</w:t>
      </w:r>
      <w:proofErr w:type="spellEnd"/>
      <w:r w:rsidR="00FC38E0" w:rsidRPr="00A52F7C">
        <w:t>);</w:t>
      </w:r>
      <w:r w:rsidRPr="00A52F7C">
        <w:t xml:space="preserve"> and of course, the world</w:t>
      </w:r>
      <w:r w:rsidR="009F460F">
        <w:t>’s</w:t>
      </w:r>
      <w:r w:rsidRPr="00A52F7C">
        <w:t xml:space="preserve"> largest online </w:t>
      </w:r>
      <w:r w:rsidR="00FC38E0" w:rsidRPr="00A52F7C">
        <w:t xml:space="preserve">retailer, </w:t>
      </w:r>
      <w:r w:rsidRPr="00A52F7C">
        <w:t xml:space="preserve">Amazon. </w:t>
      </w:r>
    </w:p>
    <w:p w14:paraId="7BC2558C" w14:textId="77777777" w:rsidR="000031D2" w:rsidRPr="00A52F7C" w:rsidRDefault="000031D2" w:rsidP="005169F6">
      <w:pPr>
        <w:pStyle w:val="BodyTextMain"/>
        <w:rPr>
          <w:lang w:eastAsia="zh-CN"/>
        </w:rPr>
      </w:pPr>
    </w:p>
    <w:p w14:paraId="0C70F2CF" w14:textId="77777777" w:rsidR="000031D2" w:rsidRPr="00A52F7C" w:rsidRDefault="000031D2" w:rsidP="005169F6">
      <w:pPr>
        <w:pStyle w:val="BodyTextMain"/>
        <w:rPr>
          <w:lang w:eastAsia="zh-CN"/>
        </w:rPr>
      </w:pPr>
    </w:p>
    <w:p w14:paraId="52715588" w14:textId="7A126015" w:rsidR="000031D2" w:rsidRPr="00A52F7C" w:rsidRDefault="000031D2" w:rsidP="005169F6">
      <w:pPr>
        <w:pStyle w:val="Casehead2"/>
      </w:pPr>
      <w:r w:rsidRPr="00A52F7C">
        <w:t>Qoo10</w:t>
      </w:r>
      <w:r w:rsidR="00450DDD" w:rsidRPr="00A52F7C">
        <w:t>—</w:t>
      </w:r>
      <w:proofErr w:type="gramStart"/>
      <w:r w:rsidRPr="00A52F7C">
        <w:t>The</w:t>
      </w:r>
      <w:proofErr w:type="gramEnd"/>
      <w:r w:rsidRPr="00A52F7C">
        <w:t xml:space="preserve"> Regional Player</w:t>
      </w:r>
    </w:p>
    <w:p w14:paraId="35D877DF" w14:textId="77777777" w:rsidR="000031D2" w:rsidRPr="00A52F7C" w:rsidRDefault="000031D2" w:rsidP="005169F6">
      <w:pPr>
        <w:pStyle w:val="BodyTextMain"/>
      </w:pPr>
    </w:p>
    <w:p w14:paraId="3E1F7C92" w14:textId="108D2CE0" w:rsidR="000031D2" w:rsidRPr="00A52F7C" w:rsidRDefault="000031D2" w:rsidP="005169F6">
      <w:pPr>
        <w:pStyle w:val="BodyTextMain"/>
        <w:rPr>
          <w:lang w:eastAsia="zh-CN"/>
        </w:rPr>
      </w:pPr>
      <w:r w:rsidRPr="00A52F7C">
        <w:t xml:space="preserve">Qoo10 offered an extensive product portfolio to buyers and customizable sales strategies to sellers. </w:t>
      </w:r>
      <w:r w:rsidRPr="00A52F7C">
        <w:rPr>
          <w:lang w:eastAsia="zh-CN"/>
        </w:rPr>
        <w:t>Its Singapore-based creator</w:t>
      </w:r>
      <w:r w:rsidR="00450DDD" w:rsidRPr="00A52F7C">
        <w:rPr>
          <w:lang w:eastAsia="zh-CN"/>
        </w:rPr>
        <w:t>,</w:t>
      </w:r>
      <w:r w:rsidRPr="00A52F7C">
        <w:rPr>
          <w:lang w:eastAsia="zh-CN"/>
        </w:rPr>
        <w:t xml:space="preserve"> </w:t>
      </w:r>
      <w:proofErr w:type="spellStart"/>
      <w:r w:rsidRPr="00A52F7C">
        <w:t>Giosis</w:t>
      </w:r>
      <w:proofErr w:type="spellEnd"/>
      <w:r w:rsidR="00450DDD" w:rsidRPr="00A52F7C">
        <w:t>,</w:t>
      </w:r>
      <w:r w:rsidRPr="00A52F7C">
        <w:t xml:space="preserve"> </w:t>
      </w:r>
      <w:r w:rsidR="00450DDD" w:rsidRPr="00A52F7C">
        <w:t xml:space="preserve">partnered with </w:t>
      </w:r>
      <w:proofErr w:type="spellStart"/>
      <w:r w:rsidR="00450DDD" w:rsidRPr="00A52F7C">
        <w:t>Mecox</w:t>
      </w:r>
      <w:proofErr w:type="spellEnd"/>
      <w:r w:rsidR="00450DDD" w:rsidRPr="00A52F7C">
        <w:t xml:space="preserve"> Lane Ltd.—a China-based mail order company with foreign investors—and Yahoo</w:t>
      </w:r>
      <w:r w:rsidR="00D63D0B">
        <w:t xml:space="preserve"> Inc. (Yahoo)</w:t>
      </w:r>
      <w:r w:rsidR="00450DDD" w:rsidRPr="00A52F7C">
        <w:t xml:space="preserve"> to provide the best e-commerce deals in </w:t>
      </w:r>
      <w:r w:rsidRPr="00A52F7C">
        <w:t>local marketplaces in China, Hong Kong, Japan, Indonesia, Malaysia, and Singapore.</w:t>
      </w:r>
      <w:r w:rsidRPr="00A52F7C">
        <w:rPr>
          <w:rStyle w:val="EndnoteReference"/>
        </w:rPr>
        <w:endnoteReference w:id="69"/>
      </w:r>
      <w:r w:rsidRPr="00A52F7C">
        <w:t xml:space="preserve"> </w:t>
      </w:r>
      <w:r w:rsidR="00450DDD" w:rsidRPr="00A52F7C">
        <w:rPr>
          <w:lang w:eastAsia="zh-CN"/>
        </w:rPr>
        <w:t>Until</w:t>
      </w:r>
      <w:r w:rsidRPr="00A52F7C">
        <w:rPr>
          <w:lang w:eastAsia="zh-CN"/>
        </w:rPr>
        <w:t xml:space="preserve"> April 2015, Qoo10 had about 1.6 million registered user</w:t>
      </w:r>
      <w:r w:rsidR="00450DDD" w:rsidRPr="00A52F7C">
        <w:rPr>
          <w:lang w:eastAsia="zh-CN"/>
        </w:rPr>
        <w:t>s and</w:t>
      </w:r>
      <w:r w:rsidRPr="00A52F7C">
        <w:rPr>
          <w:lang w:eastAsia="zh-CN"/>
        </w:rPr>
        <w:t xml:space="preserve"> </w:t>
      </w:r>
      <w:r w:rsidR="00450DDD" w:rsidRPr="00A52F7C">
        <w:rPr>
          <w:lang w:eastAsia="zh-CN"/>
        </w:rPr>
        <w:t xml:space="preserve">processed </w:t>
      </w:r>
      <w:r w:rsidRPr="00A52F7C">
        <w:rPr>
          <w:lang w:eastAsia="zh-CN"/>
        </w:rPr>
        <w:t>about 45,000 transactions daily,</w:t>
      </w:r>
      <w:r w:rsidRPr="00A52F7C">
        <w:rPr>
          <w:rStyle w:val="EndnoteReference"/>
          <w:lang w:eastAsia="zh-CN"/>
        </w:rPr>
        <w:endnoteReference w:id="70"/>
      </w:r>
      <w:r w:rsidR="00A13C8B" w:rsidRPr="00A52F7C">
        <w:rPr>
          <w:lang w:eastAsia="zh-CN"/>
        </w:rPr>
        <w:t xml:space="preserve"> </w:t>
      </w:r>
      <w:r w:rsidRPr="00A52F7C">
        <w:rPr>
          <w:lang w:eastAsia="zh-CN"/>
        </w:rPr>
        <w:t xml:space="preserve">generating monthly revenues of </w:t>
      </w:r>
      <w:r w:rsidR="00450DDD" w:rsidRPr="00A52F7C">
        <w:rPr>
          <w:lang w:eastAsia="zh-CN"/>
        </w:rPr>
        <w:t>SG</w:t>
      </w:r>
      <w:r w:rsidR="00C04C6C" w:rsidRPr="00A52F7C">
        <w:rPr>
          <w:lang w:eastAsia="zh-CN"/>
        </w:rPr>
        <w:t>$</w:t>
      </w:r>
      <w:r w:rsidRPr="00A52F7C">
        <w:rPr>
          <w:lang w:eastAsia="zh-CN"/>
        </w:rPr>
        <w:t>25 million</w:t>
      </w:r>
      <w:r w:rsidR="00C04C6C" w:rsidRPr="00A52F7C">
        <w:rPr>
          <w:rStyle w:val="EndnoteReference"/>
          <w:lang w:eastAsia="zh-CN"/>
        </w:rPr>
        <w:endnoteReference w:id="71"/>
      </w:r>
      <w:r w:rsidRPr="00A52F7C">
        <w:rPr>
          <w:lang w:eastAsia="zh-CN"/>
        </w:rPr>
        <w:t xml:space="preserve"> from </w:t>
      </w:r>
      <w:r w:rsidR="00C04C6C" w:rsidRPr="00A52F7C">
        <w:rPr>
          <w:lang w:eastAsia="zh-CN"/>
        </w:rPr>
        <w:t xml:space="preserve">its </w:t>
      </w:r>
      <w:r w:rsidRPr="00A52F7C">
        <w:rPr>
          <w:lang w:eastAsia="zh-CN"/>
        </w:rPr>
        <w:t>Singapore market. Qoo10 was forging alliances with shopping malls and big retail chains in Singapore to scale up its web-based platform as an additional source of revenue for these traditional retail</w:t>
      </w:r>
      <w:r w:rsidR="00C04C6C" w:rsidRPr="00A52F7C">
        <w:rPr>
          <w:lang w:eastAsia="zh-CN"/>
        </w:rPr>
        <w:t>er</w:t>
      </w:r>
      <w:r w:rsidRPr="00A52F7C">
        <w:rPr>
          <w:lang w:eastAsia="zh-CN"/>
        </w:rPr>
        <w:t>s and in response to their high rents and rising staff costs. Despite rising competition, Qoo10 remained a leading e-commerce platform in Singapore.</w:t>
      </w:r>
      <w:r w:rsidR="00D63D0B" w:rsidRPr="00A52F7C">
        <w:rPr>
          <w:rStyle w:val="EndnoteReference"/>
          <w:lang w:eastAsia="zh-CN"/>
        </w:rPr>
        <w:endnoteReference w:id="72"/>
      </w:r>
      <w:r w:rsidR="00D63D0B" w:rsidRPr="00A52F7C">
        <w:rPr>
          <w:lang w:eastAsia="zh-CN"/>
        </w:rPr>
        <w:t xml:space="preserve"> </w:t>
      </w:r>
      <w:r w:rsidRPr="00A52F7C">
        <w:rPr>
          <w:lang w:eastAsia="zh-CN"/>
        </w:rPr>
        <w:t xml:space="preserve"> </w:t>
      </w:r>
    </w:p>
    <w:p w14:paraId="042B9A68" w14:textId="77777777" w:rsidR="000031D2" w:rsidRPr="00A52F7C" w:rsidRDefault="000031D2" w:rsidP="005169F6">
      <w:pPr>
        <w:pStyle w:val="BodyTextMain"/>
        <w:rPr>
          <w:lang w:eastAsia="zh-CN"/>
        </w:rPr>
      </w:pPr>
    </w:p>
    <w:p w14:paraId="50E82E6C" w14:textId="77777777" w:rsidR="000031D2" w:rsidRPr="00A52F7C" w:rsidRDefault="000031D2" w:rsidP="000E7D1F">
      <w:pPr>
        <w:pStyle w:val="BodyTextMain"/>
      </w:pPr>
    </w:p>
    <w:p w14:paraId="023E12DA" w14:textId="7CB9C1FF" w:rsidR="000031D2" w:rsidRPr="00A52F7C" w:rsidRDefault="000031D2" w:rsidP="005169F6">
      <w:pPr>
        <w:pStyle w:val="Casehead2"/>
      </w:pPr>
      <w:r w:rsidRPr="00A52F7C">
        <w:t>JD.com</w:t>
      </w:r>
      <w:r w:rsidR="00C04C6C" w:rsidRPr="00A52F7C">
        <w:t>—</w:t>
      </w:r>
      <w:r w:rsidRPr="00A52F7C">
        <w:t>Alibaba</w:t>
      </w:r>
      <w:r w:rsidR="00C04C6C" w:rsidRPr="00A52F7C">
        <w:t>’s</w:t>
      </w:r>
      <w:r w:rsidRPr="00A52F7C">
        <w:t xml:space="preserve"> Ultimate Rival in China</w:t>
      </w:r>
    </w:p>
    <w:p w14:paraId="71AC00AD" w14:textId="77777777" w:rsidR="000031D2" w:rsidRPr="00A52F7C" w:rsidRDefault="000031D2" w:rsidP="00960AEF">
      <w:pPr>
        <w:pStyle w:val="BodyTextMain"/>
      </w:pPr>
    </w:p>
    <w:p w14:paraId="0535AB58" w14:textId="3385A701" w:rsidR="009E4C98" w:rsidRDefault="000031D2" w:rsidP="00E511B5">
      <w:pPr>
        <w:pStyle w:val="BodyTextMain"/>
        <w:rPr>
          <w:lang w:eastAsia="zh-CN"/>
        </w:rPr>
      </w:pPr>
      <w:r w:rsidRPr="00A52F7C">
        <w:t xml:space="preserve">JD.com was ranked </w:t>
      </w:r>
      <w:r w:rsidR="00C04C6C" w:rsidRPr="00A52F7C">
        <w:t xml:space="preserve">second </w:t>
      </w:r>
      <w:r w:rsidRPr="00A52F7C">
        <w:t>largest in China’s B2C market</w:t>
      </w:r>
      <w:r w:rsidR="00C04C6C" w:rsidRPr="00A52F7C">
        <w:t>,</w:t>
      </w:r>
      <w:r w:rsidRPr="00A52F7C">
        <w:t xml:space="preserve"> after Alibaba. </w:t>
      </w:r>
      <w:proofErr w:type="spellStart"/>
      <w:r w:rsidRPr="00A52F7C">
        <w:t>JD.com’s</w:t>
      </w:r>
      <w:proofErr w:type="spellEnd"/>
      <w:r w:rsidRPr="00A52F7C">
        <w:t xml:space="preserve"> GMV grew substantially </w:t>
      </w:r>
      <w:r w:rsidR="00C04C6C" w:rsidRPr="00A52F7C">
        <w:t>(</w:t>
      </w:r>
      <w:r w:rsidRPr="00A52F7C">
        <w:t>82 per cent</w:t>
      </w:r>
      <w:r w:rsidR="00C04C6C" w:rsidRPr="00A52F7C">
        <w:t>)</w:t>
      </w:r>
      <w:r w:rsidRPr="00A52F7C">
        <w:t xml:space="preserve"> from 2011 to 2016.</w:t>
      </w:r>
      <w:r w:rsidRPr="00A52F7C">
        <w:rPr>
          <w:rStyle w:val="EndnoteReference"/>
        </w:rPr>
        <w:endnoteReference w:id="73"/>
      </w:r>
      <w:r w:rsidRPr="00A52F7C">
        <w:rPr>
          <w:lang w:eastAsia="zh-CN"/>
        </w:rPr>
        <w:t xml:space="preserve"> Unlike Alibaba, JD.com built its own extensive logistics network, which allowed </w:t>
      </w:r>
      <w:r w:rsidR="00C04C6C" w:rsidRPr="00A52F7C">
        <w:rPr>
          <w:lang w:eastAsia="zh-CN"/>
        </w:rPr>
        <w:t xml:space="preserve">it to have </w:t>
      </w:r>
      <w:r w:rsidRPr="00A52F7C">
        <w:rPr>
          <w:lang w:eastAsia="zh-CN"/>
        </w:rPr>
        <w:t>full control over the whole supply chain.</w:t>
      </w:r>
      <w:r w:rsidRPr="00A52F7C">
        <w:rPr>
          <w:rStyle w:val="EndnoteReference"/>
          <w:lang w:eastAsia="zh-CN"/>
        </w:rPr>
        <w:endnoteReference w:id="74"/>
      </w:r>
      <w:r w:rsidRPr="00A52F7C">
        <w:rPr>
          <w:lang w:eastAsia="zh-CN"/>
        </w:rPr>
        <w:t xml:space="preserve"> Its nationwide logistics network provide</w:t>
      </w:r>
      <w:r w:rsidR="00C04C6C" w:rsidRPr="00A52F7C">
        <w:rPr>
          <w:lang w:eastAsia="zh-CN"/>
        </w:rPr>
        <w:t>d</w:t>
      </w:r>
      <w:r w:rsidRPr="00A52F7C">
        <w:rPr>
          <w:lang w:eastAsia="zh-CN"/>
        </w:rPr>
        <w:t xml:space="preserve"> same-</w:t>
      </w:r>
      <w:r w:rsidR="00C04C6C" w:rsidRPr="00A52F7C">
        <w:rPr>
          <w:lang w:eastAsia="zh-CN"/>
        </w:rPr>
        <w:t>day</w:t>
      </w:r>
      <w:r w:rsidRPr="00A52F7C">
        <w:rPr>
          <w:lang w:eastAsia="zh-CN"/>
        </w:rPr>
        <w:t xml:space="preserve"> and next-day delivery to over 600 million customers. In term</w:t>
      </w:r>
      <w:r w:rsidR="00C04C6C" w:rsidRPr="00A52F7C">
        <w:rPr>
          <w:lang w:eastAsia="zh-CN"/>
        </w:rPr>
        <w:t>s</w:t>
      </w:r>
      <w:r w:rsidRPr="00A52F7C">
        <w:rPr>
          <w:lang w:eastAsia="zh-CN"/>
        </w:rPr>
        <w:t xml:space="preserve"> of product authenticity and timely delivery, JD.com thus provided a stronger value proposition </w:t>
      </w:r>
      <w:r w:rsidR="00C04C6C" w:rsidRPr="00A52F7C">
        <w:rPr>
          <w:lang w:eastAsia="zh-CN"/>
        </w:rPr>
        <w:t>than</w:t>
      </w:r>
      <w:r w:rsidRPr="00A52F7C">
        <w:rPr>
          <w:lang w:eastAsia="zh-CN"/>
        </w:rPr>
        <w:t xml:space="preserve"> Alibaba. Direct sales contributed 94 per cent </w:t>
      </w:r>
      <w:r w:rsidR="00C04C6C" w:rsidRPr="00A52F7C">
        <w:rPr>
          <w:lang w:eastAsia="zh-CN"/>
        </w:rPr>
        <w:t xml:space="preserve">of </w:t>
      </w:r>
      <w:proofErr w:type="spellStart"/>
      <w:r w:rsidR="00C04C6C" w:rsidRPr="00A52F7C">
        <w:rPr>
          <w:lang w:eastAsia="zh-CN"/>
        </w:rPr>
        <w:t>JD.com’s</w:t>
      </w:r>
      <w:proofErr w:type="spellEnd"/>
      <w:r w:rsidR="00C04C6C" w:rsidRPr="00A52F7C">
        <w:rPr>
          <w:lang w:eastAsia="zh-CN"/>
        </w:rPr>
        <w:t xml:space="preserve"> total revenues, </w:t>
      </w:r>
      <w:r w:rsidRPr="00A52F7C">
        <w:rPr>
          <w:lang w:eastAsia="zh-CN"/>
        </w:rPr>
        <w:t xml:space="preserve">while the marketplace platform </w:t>
      </w:r>
      <w:r w:rsidR="00C04C6C" w:rsidRPr="00A52F7C">
        <w:rPr>
          <w:lang w:eastAsia="zh-CN"/>
        </w:rPr>
        <w:t xml:space="preserve">contributed </w:t>
      </w:r>
      <w:r w:rsidRPr="00A52F7C">
        <w:rPr>
          <w:lang w:eastAsia="zh-CN"/>
        </w:rPr>
        <w:t>only 6 per cent of the total.</w:t>
      </w:r>
      <w:r w:rsidR="004A3D5E" w:rsidRPr="00A52F7C">
        <w:rPr>
          <w:rStyle w:val="EndnoteReference"/>
          <w:lang w:eastAsia="zh-CN"/>
        </w:rPr>
        <w:endnoteReference w:id="75"/>
      </w:r>
    </w:p>
    <w:p w14:paraId="4C1297BA" w14:textId="0C6476FE" w:rsidR="000031D2" w:rsidRPr="00A52F7C" w:rsidRDefault="000031D2" w:rsidP="00E511B5">
      <w:pPr>
        <w:pStyle w:val="BodyTextMain"/>
        <w:rPr>
          <w:lang w:eastAsia="zh-CN"/>
        </w:rPr>
      </w:pPr>
      <w:r w:rsidRPr="00A52F7C">
        <w:rPr>
          <w:lang w:eastAsia="zh-CN"/>
        </w:rPr>
        <w:t xml:space="preserve"> </w:t>
      </w:r>
    </w:p>
    <w:p w14:paraId="39BAF9E3" w14:textId="368BF8C8" w:rsidR="000031D2" w:rsidRPr="00A52F7C" w:rsidRDefault="000031D2" w:rsidP="00216F75">
      <w:pPr>
        <w:pStyle w:val="BodyTextMain"/>
        <w:rPr>
          <w:lang w:eastAsia="zh-CN"/>
        </w:rPr>
      </w:pPr>
      <w:r w:rsidRPr="00A52F7C">
        <w:rPr>
          <w:lang w:eastAsia="zh-CN"/>
        </w:rPr>
        <w:lastRenderedPageBreak/>
        <w:t xml:space="preserve">In 2015, JD.com entered </w:t>
      </w:r>
      <w:r w:rsidR="00C04C6C" w:rsidRPr="00A52F7C">
        <w:rPr>
          <w:lang w:eastAsia="zh-CN"/>
        </w:rPr>
        <w:t xml:space="preserve">the </w:t>
      </w:r>
      <w:r w:rsidRPr="00A52F7C">
        <w:rPr>
          <w:lang w:eastAsia="zh-CN"/>
        </w:rPr>
        <w:t>Indonesia</w:t>
      </w:r>
      <w:r w:rsidR="00C04C6C" w:rsidRPr="00A52F7C">
        <w:rPr>
          <w:lang w:eastAsia="zh-CN"/>
        </w:rPr>
        <w:t>n</w:t>
      </w:r>
      <w:r w:rsidRPr="00A52F7C">
        <w:rPr>
          <w:lang w:eastAsia="zh-CN"/>
        </w:rPr>
        <w:t xml:space="preserve"> market </w:t>
      </w:r>
      <w:r w:rsidR="00DA59F5">
        <w:rPr>
          <w:lang w:eastAsia="zh-CN"/>
        </w:rPr>
        <w:t>with</w:t>
      </w:r>
      <w:r w:rsidR="00DA59F5" w:rsidRPr="00A52F7C">
        <w:rPr>
          <w:lang w:eastAsia="zh-CN"/>
        </w:rPr>
        <w:t xml:space="preserve"> </w:t>
      </w:r>
      <w:r w:rsidR="00C04C6C" w:rsidRPr="00A52F7C">
        <w:rPr>
          <w:lang w:eastAsia="zh-CN"/>
        </w:rPr>
        <w:t xml:space="preserve">a </w:t>
      </w:r>
      <w:proofErr w:type="gramStart"/>
      <w:r w:rsidRPr="00A52F7C">
        <w:rPr>
          <w:lang w:eastAsia="zh-CN"/>
        </w:rPr>
        <w:t>greenfield</w:t>
      </w:r>
      <w:proofErr w:type="gramEnd"/>
      <w:r w:rsidRPr="00A52F7C">
        <w:rPr>
          <w:lang w:eastAsia="zh-CN"/>
        </w:rPr>
        <w:t xml:space="preserve"> </w:t>
      </w:r>
      <w:r w:rsidR="00C04C6C" w:rsidRPr="00A52F7C">
        <w:rPr>
          <w:lang w:eastAsia="zh-CN"/>
        </w:rPr>
        <w:t xml:space="preserve">investment, </w:t>
      </w:r>
      <w:r w:rsidRPr="00A52F7C">
        <w:rPr>
          <w:lang w:eastAsia="zh-CN"/>
        </w:rPr>
        <w:t xml:space="preserve">opening </w:t>
      </w:r>
      <w:r w:rsidR="00944F25" w:rsidRPr="00A52F7C">
        <w:rPr>
          <w:lang w:eastAsia="zh-CN"/>
        </w:rPr>
        <w:t xml:space="preserve">the </w:t>
      </w:r>
      <w:r w:rsidRPr="00A52F7C">
        <w:rPr>
          <w:lang w:eastAsia="zh-CN"/>
        </w:rPr>
        <w:t>JD.id online store</w:t>
      </w:r>
      <w:r w:rsidR="00944F25" w:rsidRPr="00A52F7C">
        <w:rPr>
          <w:lang w:eastAsia="zh-CN"/>
        </w:rPr>
        <w:t>, which had a</w:t>
      </w:r>
      <w:r w:rsidRPr="00A52F7C">
        <w:rPr>
          <w:lang w:eastAsia="zh-CN"/>
        </w:rPr>
        <w:t xml:space="preserve"> localized Android app.</w:t>
      </w:r>
      <w:r w:rsidRPr="00A52F7C">
        <w:rPr>
          <w:rStyle w:val="EndnoteReference"/>
          <w:lang w:eastAsia="zh-CN"/>
        </w:rPr>
        <w:endnoteReference w:id="76"/>
      </w:r>
      <w:r w:rsidRPr="00A52F7C">
        <w:rPr>
          <w:lang w:eastAsia="zh-CN"/>
        </w:rPr>
        <w:t xml:space="preserve"> JD.id offer</w:t>
      </w:r>
      <w:r w:rsidR="00944F25" w:rsidRPr="00A52F7C">
        <w:rPr>
          <w:lang w:eastAsia="zh-CN"/>
        </w:rPr>
        <w:t>ed</w:t>
      </w:r>
      <w:r w:rsidRPr="00A52F7C">
        <w:rPr>
          <w:lang w:eastAsia="zh-CN"/>
        </w:rPr>
        <w:t xml:space="preserve"> 12 different product categories</w:t>
      </w:r>
      <w:r w:rsidR="00944F25" w:rsidRPr="00A52F7C">
        <w:rPr>
          <w:lang w:eastAsia="zh-CN"/>
        </w:rPr>
        <w:t>,</w:t>
      </w:r>
      <w:r w:rsidRPr="00A52F7C">
        <w:rPr>
          <w:lang w:eastAsia="zh-CN"/>
        </w:rPr>
        <w:t xml:space="preserve"> ranging from </w:t>
      </w:r>
      <w:r w:rsidR="00E04E62" w:rsidRPr="00E04E62">
        <w:rPr>
          <w:lang w:eastAsia="zh-CN"/>
        </w:rPr>
        <w:t xml:space="preserve">clothing for </w:t>
      </w:r>
      <w:r w:rsidR="003276DD" w:rsidRPr="00A52F7C">
        <w:rPr>
          <w:lang w:eastAsia="zh-CN"/>
        </w:rPr>
        <w:t xml:space="preserve">mothers </w:t>
      </w:r>
      <w:r w:rsidRPr="00A52F7C">
        <w:rPr>
          <w:lang w:eastAsia="zh-CN"/>
        </w:rPr>
        <w:t xml:space="preserve">and </w:t>
      </w:r>
      <w:r w:rsidR="003276DD" w:rsidRPr="00A52F7C">
        <w:rPr>
          <w:lang w:eastAsia="zh-CN"/>
        </w:rPr>
        <w:t xml:space="preserve">children to </w:t>
      </w:r>
      <w:r w:rsidRPr="00A52F7C">
        <w:rPr>
          <w:lang w:eastAsia="zh-CN"/>
        </w:rPr>
        <w:t xml:space="preserve">electronics </w:t>
      </w:r>
      <w:r w:rsidR="003276DD" w:rsidRPr="00A52F7C">
        <w:rPr>
          <w:lang w:eastAsia="zh-CN"/>
        </w:rPr>
        <w:t xml:space="preserve">and </w:t>
      </w:r>
      <w:r w:rsidRPr="00A52F7C">
        <w:rPr>
          <w:lang w:eastAsia="zh-CN"/>
        </w:rPr>
        <w:t xml:space="preserve">luxuries. The business grew rapidly as </w:t>
      </w:r>
      <w:r w:rsidR="003276DD" w:rsidRPr="00A52F7C">
        <w:rPr>
          <w:lang w:eastAsia="zh-CN"/>
        </w:rPr>
        <w:t>the number of stock</w:t>
      </w:r>
      <w:r w:rsidR="009E4C98">
        <w:rPr>
          <w:lang w:eastAsia="zh-CN"/>
        </w:rPr>
        <w:t>-</w:t>
      </w:r>
      <w:r w:rsidR="003276DD" w:rsidRPr="00A52F7C">
        <w:rPr>
          <w:lang w:eastAsia="zh-CN"/>
        </w:rPr>
        <w:t xml:space="preserve">keeping units </w:t>
      </w:r>
      <w:r w:rsidRPr="00A52F7C">
        <w:rPr>
          <w:lang w:eastAsia="zh-CN"/>
        </w:rPr>
        <w:t>increased by 1,000 per cent</w:t>
      </w:r>
      <w:r w:rsidR="003276DD" w:rsidRPr="00A52F7C">
        <w:rPr>
          <w:lang w:eastAsia="zh-CN"/>
        </w:rPr>
        <w:t>,</w:t>
      </w:r>
      <w:r w:rsidRPr="00A52F7C">
        <w:rPr>
          <w:lang w:eastAsia="zh-CN"/>
        </w:rPr>
        <w:t xml:space="preserve"> from 10,000 in 2015 to 100,000 in 2016. It also established </w:t>
      </w:r>
      <w:r w:rsidR="003276DD" w:rsidRPr="00A52F7C">
        <w:rPr>
          <w:lang w:eastAsia="zh-CN"/>
        </w:rPr>
        <w:t xml:space="preserve">a </w:t>
      </w:r>
      <w:r w:rsidRPr="00A52F7C">
        <w:rPr>
          <w:lang w:eastAsia="zh-CN"/>
        </w:rPr>
        <w:t>logistics network to serve over 365 cities in Indonesia</w:t>
      </w:r>
      <w:r w:rsidR="003276DD" w:rsidRPr="00A52F7C">
        <w:rPr>
          <w:lang w:eastAsia="zh-CN"/>
        </w:rPr>
        <w:t xml:space="preserve">, and it reportedly invested in Indonesia’s leading e-commerce player, PT </w:t>
      </w:r>
      <w:proofErr w:type="spellStart"/>
      <w:r w:rsidR="003276DD" w:rsidRPr="00A52F7C">
        <w:rPr>
          <w:lang w:eastAsia="zh-CN"/>
        </w:rPr>
        <w:t>Tokopedia</w:t>
      </w:r>
      <w:proofErr w:type="spellEnd"/>
      <w:r w:rsidR="003276DD" w:rsidRPr="00A52F7C">
        <w:rPr>
          <w:lang w:eastAsia="zh-CN"/>
        </w:rPr>
        <w:t xml:space="preserve">, to accelerate </w:t>
      </w:r>
      <w:proofErr w:type="spellStart"/>
      <w:r w:rsidR="009E4C98">
        <w:rPr>
          <w:lang w:eastAsia="zh-CN"/>
        </w:rPr>
        <w:t>JD.id’s</w:t>
      </w:r>
      <w:proofErr w:type="spellEnd"/>
      <w:r w:rsidR="009E4C98" w:rsidRPr="00A52F7C">
        <w:rPr>
          <w:lang w:eastAsia="zh-CN"/>
        </w:rPr>
        <w:t xml:space="preserve"> </w:t>
      </w:r>
      <w:r w:rsidR="003276DD" w:rsidRPr="00A52F7C">
        <w:rPr>
          <w:lang w:eastAsia="zh-CN"/>
        </w:rPr>
        <w:t xml:space="preserve">expansion in the region. This </w:t>
      </w:r>
      <w:r w:rsidRPr="00A52F7C">
        <w:rPr>
          <w:lang w:eastAsia="zh-CN"/>
        </w:rPr>
        <w:t xml:space="preserve">entry </w:t>
      </w:r>
      <w:r w:rsidR="003276DD" w:rsidRPr="00A52F7C">
        <w:rPr>
          <w:lang w:eastAsia="zh-CN"/>
        </w:rPr>
        <w:t xml:space="preserve">confirmed </w:t>
      </w:r>
      <w:r w:rsidRPr="00A52F7C">
        <w:rPr>
          <w:lang w:eastAsia="zh-CN"/>
        </w:rPr>
        <w:t xml:space="preserve">the attractiveness of </w:t>
      </w:r>
      <w:r w:rsidR="003276DD" w:rsidRPr="00A52F7C">
        <w:rPr>
          <w:lang w:eastAsia="zh-CN"/>
        </w:rPr>
        <w:t xml:space="preserve">the </w:t>
      </w:r>
      <w:r w:rsidRPr="00A52F7C">
        <w:rPr>
          <w:lang w:eastAsia="zh-CN"/>
        </w:rPr>
        <w:t>Southeast Asia</w:t>
      </w:r>
      <w:r w:rsidR="003276DD" w:rsidRPr="00A52F7C">
        <w:rPr>
          <w:lang w:eastAsia="zh-CN"/>
        </w:rPr>
        <w:t>n</w:t>
      </w:r>
      <w:r w:rsidRPr="00A52F7C">
        <w:rPr>
          <w:lang w:eastAsia="zh-CN"/>
        </w:rPr>
        <w:t xml:space="preserve"> e-commerce industry.</w:t>
      </w:r>
      <w:r w:rsidR="007202BE" w:rsidRPr="00A52F7C">
        <w:rPr>
          <w:rStyle w:val="EndnoteReference"/>
          <w:lang w:eastAsia="zh-CN"/>
        </w:rPr>
        <w:endnoteReference w:id="77"/>
      </w:r>
      <w:r w:rsidRPr="00A52F7C">
        <w:rPr>
          <w:lang w:eastAsia="zh-CN"/>
        </w:rPr>
        <w:t xml:space="preserve"> </w:t>
      </w:r>
    </w:p>
    <w:p w14:paraId="567EB37B" w14:textId="77777777" w:rsidR="00C04C6C" w:rsidRPr="00BA3D71" w:rsidRDefault="00C04C6C" w:rsidP="00BF301A">
      <w:pPr>
        <w:pStyle w:val="BodyTextMain"/>
      </w:pPr>
    </w:p>
    <w:p w14:paraId="55B86C72" w14:textId="77777777" w:rsidR="00C04C6C" w:rsidRPr="00BA3D71" w:rsidRDefault="00C04C6C">
      <w:pPr>
        <w:pStyle w:val="BodyTextMain"/>
      </w:pPr>
    </w:p>
    <w:p w14:paraId="55115D6B" w14:textId="1E6CF6B1" w:rsidR="000031D2" w:rsidRPr="00A52F7C" w:rsidRDefault="000031D2" w:rsidP="005169F6">
      <w:pPr>
        <w:pStyle w:val="Casehead2"/>
      </w:pPr>
      <w:proofErr w:type="spellStart"/>
      <w:r w:rsidRPr="00A52F7C">
        <w:t>Rakuten</w:t>
      </w:r>
      <w:proofErr w:type="spellEnd"/>
      <w:r w:rsidR="003276DD" w:rsidRPr="00A52F7C">
        <w:t>—</w:t>
      </w:r>
      <w:proofErr w:type="gramStart"/>
      <w:r w:rsidRPr="00A52F7C">
        <w:t>The</w:t>
      </w:r>
      <w:proofErr w:type="gramEnd"/>
      <w:r w:rsidRPr="00A52F7C">
        <w:t xml:space="preserve"> Largest Online Marketplace in Japan</w:t>
      </w:r>
    </w:p>
    <w:p w14:paraId="6B8F4631" w14:textId="77777777" w:rsidR="000031D2" w:rsidRPr="00A52F7C" w:rsidRDefault="000031D2" w:rsidP="00216F75">
      <w:pPr>
        <w:pStyle w:val="BodyTextMain"/>
      </w:pPr>
    </w:p>
    <w:p w14:paraId="779C063A" w14:textId="55D4821C" w:rsidR="000031D2" w:rsidRPr="00A52F7C" w:rsidRDefault="000031D2" w:rsidP="00DD0C9A">
      <w:pPr>
        <w:pStyle w:val="BodyTextMain"/>
      </w:pPr>
      <w:r w:rsidRPr="00A52F7C">
        <w:t xml:space="preserve">Founded in 1997, </w:t>
      </w:r>
      <w:proofErr w:type="spellStart"/>
      <w:r w:rsidRPr="00A52F7C">
        <w:t>Rakuten</w:t>
      </w:r>
      <w:proofErr w:type="spellEnd"/>
      <w:r w:rsidRPr="00A52F7C">
        <w:t xml:space="preserve"> was the largest e-commerce company in Japan. Unlike its competitors</w:t>
      </w:r>
      <w:r w:rsidR="00E141CC" w:rsidRPr="00A52F7C">
        <w:t>,</w:t>
      </w:r>
      <w:r w:rsidR="00D3776E" w:rsidRPr="00A52F7C">
        <w:t xml:space="preserve"> who</w:t>
      </w:r>
      <w:r w:rsidRPr="00A52F7C">
        <w:t xml:space="preserve"> </w:t>
      </w:r>
      <w:r w:rsidR="00D3776E" w:rsidRPr="00A52F7C">
        <w:t xml:space="preserve">adopted </w:t>
      </w:r>
      <w:r w:rsidRPr="00A52F7C">
        <w:t xml:space="preserve">a standard B2C model, the company operated </w:t>
      </w:r>
      <w:r w:rsidR="00D3776E" w:rsidRPr="00A52F7C">
        <w:t xml:space="preserve">using </w:t>
      </w:r>
      <w:r w:rsidRPr="00A52F7C">
        <w:t xml:space="preserve">a business-to-business-to-customer model. Aspiring to be the </w:t>
      </w:r>
      <w:r w:rsidR="00D3776E" w:rsidRPr="00A52F7C">
        <w:t>w</w:t>
      </w:r>
      <w:r w:rsidRPr="00A52F7C">
        <w:t xml:space="preserve">orld’s largest Internet </w:t>
      </w:r>
      <w:proofErr w:type="gramStart"/>
      <w:r w:rsidRPr="00A52F7C">
        <w:t>company</w:t>
      </w:r>
      <w:proofErr w:type="gramEnd"/>
      <w:r w:rsidRPr="00A52F7C">
        <w:t xml:space="preserve">, </w:t>
      </w:r>
      <w:proofErr w:type="spellStart"/>
      <w:r w:rsidRPr="00A52F7C">
        <w:t>Rakuten</w:t>
      </w:r>
      <w:proofErr w:type="spellEnd"/>
      <w:r w:rsidRPr="00A52F7C">
        <w:t xml:space="preserve"> launched </w:t>
      </w:r>
      <w:proofErr w:type="spellStart"/>
      <w:r w:rsidRPr="00A52F7C">
        <w:t>Rakuten</w:t>
      </w:r>
      <w:proofErr w:type="spellEnd"/>
      <w:r w:rsidRPr="00A52F7C">
        <w:t xml:space="preserve"> </w:t>
      </w:r>
      <w:proofErr w:type="spellStart"/>
      <w:r w:rsidRPr="00A52F7C">
        <w:t>Ichiba</w:t>
      </w:r>
      <w:proofErr w:type="spellEnd"/>
      <w:r w:rsidRPr="00A52F7C">
        <w:t xml:space="preserve"> in Taiwan in 2008, acquired </w:t>
      </w:r>
      <w:r w:rsidR="00E141CC" w:rsidRPr="00A52F7C">
        <w:t xml:space="preserve">the </w:t>
      </w:r>
      <w:r w:rsidR="00E155B9" w:rsidRPr="00A52F7C">
        <w:t>Thailand-</w:t>
      </w:r>
      <w:r w:rsidRPr="00A52F7C">
        <w:t>based e-commerce site Tarad.com in 2009, and established a joint venture in Indonesia to set</w:t>
      </w:r>
      <w:r w:rsidRPr="00A52F7C">
        <w:rPr>
          <w:lang w:eastAsia="zh-CN"/>
        </w:rPr>
        <w:t xml:space="preserve"> </w:t>
      </w:r>
      <w:r w:rsidRPr="00A52F7C">
        <w:t xml:space="preserve">up </w:t>
      </w:r>
      <w:proofErr w:type="spellStart"/>
      <w:r w:rsidRPr="00A52F7C">
        <w:t>Rakuten</w:t>
      </w:r>
      <w:proofErr w:type="spellEnd"/>
      <w:r w:rsidRPr="00A52F7C">
        <w:t xml:space="preserve"> </w:t>
      </w:r>
      <w:proofErr w:type="spellStart"/>
      <w:r w:rsidRPr="00A52F7C">
        <w:t>Belanja</w:t>
      </w:r>
      <w:proofErr w:type="spellEnd"/>
      <w:r w:rsidRPr="00A52F7C">
        <w:t xml:space="preserve"> in 2011. In 2012, </w:t>
      </w:r>
      <w:proofErr w:type="spellStart"/>
      <w:r w:rsidRPr="00A52F7C">
        <w:t>Rakuten</w:t>
      </w:r>
      <w:proofErr w:type="spellEnd"/>
      <w:r w:rsidRPr="00A52F7C">
        <w:t xml:space="preserve"> enter</w:t>
      </w:r>
      <w:r w:rsidR="00E155B9" w:rsidRPr="00A52F7C">
        <w:t>ed</w:t>
      </w:r>
      <w:r w:rsidRPr="00A52F7C">
        <w:t xml:space="preserve"> Malaysia through </w:t>
      </w:r>
      <w:proofErr w:type="gramStart"/>
      <w:r w:rsidRPr="00A52F7C">
        <w:t>greenfield</w:t>
      </w:r>
      <w:proofErr w:type="gramEnd"/>
      <w:r w:rsidRPr="00A52F7C">
        <w:t xml:space="preserve"> investments, </w:t>
      </w:r>
      <w:r w:rsidR="00E155B9" w:rsidRPr="00A52F7C">
        <w:rPr>
          <w:lang w:eastAsia="zh-CN"/>
        </w:rPr>
        <w:t xml:space="preserve">using this </w:t>
      </w:r>
      <w:r w:rsidRPr="00A52F7C">
        <w:rPr>
          <w:lang w:eastAsia="zh-CN"/>
        </w:rPr>
        <w:t>entry mode for the first time in its</w:t>
      </w:r>
      <w:r w:rsidRPr="00A52F7C">
        <w:t xml:space="preserve"> global expansion.</w:t>
      </w:r>
      <w:r w:rsidRPr="00A52F7C">
        <w:rPr>
          <w:rStyle w:val="EndnoteReference"/>
        </w:rPr>
        <w:endnoteReference w:id="78"/>
      </w:r>
      <w:r w:rsidRPr="00A52F7C">
        <w:t xml:space="preserve"> </w:t>
      </w:r>
      <w:proofErr w:type="spellStart"/>
      <w:r w:rsidRPr="00A52F7C">
        <w:t>Rakuten</w:t>
      </w:r>
      <w:proofErr w:type="spellEnd"/>
      <w:r w:rsidRPr="00A52F7C">
        <w:t xml:space="preserve"> emphasized the best local and international product assortment</w:t>
      </w:r>
      <w:r w:rsidR="00E155B9" w:rsidRPr="00A52F7C">
        <w:t>s</w:t>
      </w:r>
      <w:r w:rsidRPr="00A52F7C">
        <w:t xml:space="preserve"> while </w:t>
      </w:r>
      <w:r w:rsidR="00E155B9" w:rsidRPr="00A52F7C">
        <w:t>maintaining</w:t>
      </w:r>
      <w:r w:rsidRPr="00A52F7C">
        <w:t xml:space="preserve"> Japan’s high service standards on its platforms. It </w:t>
      </w:r>
      <w:r w:rsidR="00E155B9" w:rsidRPr="00A52F7C">
        <w:t xml:space="preserve">also </w:t>
      </w:r>
      <w:r w:rsidRPr="00A52F7C">
        <w:t xml:space="preserve">provided tools to </w:t>
      </w:r>
      <w:r w:rsidR="00E155B9" w:rsidRPr="00A52F7C">
        <w:t xml:space="preserve">help </w:t>
      </w:r>
      <w:r w:rsidRPr="00A52F7C">
        <w:t>seller</w:t>
      </w:r>
      <w:r w:rsidR="00E155B9" w:rsidRPr="00A52F7C">
        <w:t>s</w:t>
      </w:r>
      <w:r w:rsidRPr="00A52F7C">
        <w:t xml:space="preserve"> run successful online store</w:t>
      </w:r>
      <w:r w:rsidR="00E155B9" w:rsidRPr="00A52F7C">
        <w:t>s</w:t>
      </w:r>
      <w:r w:rsidRPr="00A52F7C">
        <w:t>.</w:t>
      </w:r>
      <w:r w:rsidRPr="00A52F7C">
        <w:rPr>
          <w:rStyle w:val="EndnoteReference"/>
        </w:rPr>
        <w:endnoteReference w:id="79"/>
      </w:r>
      <w:r w:rsidRPr="00A52F7C">
        <w:t xml:space="preserve"> </w:t>
      </w:r>
    </w:p>
    <w:p w14:paraId="37A7CC8B" w14:textId="77777777" w:rsidR="000031D2" w:rsidRPr="00A52F7C" w:rsidRDefault="000031D2" w:rsidP="00377EC8">
      <w:pPr>
        <w:pStyle w:val="BodyTextMain"/>
        <w:rPr>
          <w:lang w:eastAsia="zh-CN"/>
        </w:rPr>
      </w:pPr>
    </w:p>
    <w:p w14:paraId="65AADFCA" w14:textId="77777777" w:rsidR="000031D2" w:rsidRPr="00A52F7C" w:rsidRDefault="000031D2" w:rsidP="00216F75">
      <w:pPr>
        <w:pStyle w:val="BodyTextMain"/>
      </w:pPr>
    </w:p>
    <w:p w14:paraId="670E5CCD" w14:textId="4A56F048" w:rsidR="000031D2" w:rsidRPr="00A52F7C" w:rsidRDefault="000031D2" w:rsidP="005169F6">
      <w:pPr>
        <w:pStyle w:val="Casehead2"/>
      </w:pPr>
      <w:r w:rsidRPr="00A52F7C">
        <w:t>Amazon</w:t>
      </w:r>
      <w:r w:rsidR="00E155B9" w:rsidRPr="00A52F7C">
        <w:t>—</w:t>
      </w:r>
      <w:r w:rsidRPr="00A52F7C">
        <w:t>U.S. E-</w:t>
      </w:r>
      <w:r w:rsidR="00E155B9" w:rsidRPr="00A52F7C">
        <w:t xml:space="preserve">Commerce </w:t>
      </w:r>
      <w:r w:rsidRPr="00A52F7C">
        <w:t>Giant</w:t>
      </w:r>
    </w:p>
    <w:p w14:paraId="209C886A" w14:textId="77777777" w:rsidR="000031D2" w:rsidRPr="00A52F7C" w:rsidRDefault="000031D2" w:rsidP="00216F75">
      <w:pPr>
        <w:pStyle w:val="BodyTextMain"/>
      </w:pPr>
    </w:p>
    <w:p w14:paraId="75F33701" w14:textId="3F4D8214" w:rsidR="00E5399F" w:rsidRDefault="000031D2" w:rsidP="00B71C53">
      <w:pPr>
        <w:pStyle w:val="BodyTextMain"/>
      </w:pPr>
      <w:r w:rsidRPr="00A52F7C">
        <w:t>As the world’s largest online retailer, Amazon s</w:t>
      </w:r>
      <w:r w:rsidR="00E155B9" w:rsidRPr="00A52F7C">
        <w:t>old</w:t>
      </w:r>
      <w:r w:rsidRPr="00A52F7C">
        <w:t xml:space="preserve"> </w:t>
      </w:r>
      <w:r w:rsidR="00E155B9" w:rsidRPr="00A52F7C">
        <w:t xml:space="preserve">nearly </w:t>
      </w:r>
      <w:r w:rsidR="009E4C98">
        <w:t>every</w:t>
      </w:r>
      <w:r w:rsidRPr="00A52F7C">
        <w:t>thing</w:t>
      </w:r>
      <w:r w:rsidR="00E155B9" w:rsidRPr="00A52F7C">
        <w:t>,</w:t>
      </w:r>
      <w:r w:rsidRPr="00A52F7C">
        <w:t xml:space="preserve"> including books, CDs, DVDs, and digital content.</w:t>
      </w:r>
      <w:r w:rsidRPr="00A52F7C" w:rsidDel="00D0363A">
        <w:t xml:space="preserve"> </w:t>
      </w:r>
      <w:r w:rsidRPr="00A52F7C">
        <w:t xml:space="preserve">Amazon initiated Amazon Prime, a membership program that entitled </w:t>
      </w:r>
      <w:r w:rsidR="00E155B9" w:rsidRPr="00A52F7C">
        <w:t xml:space="preserve">its </w:t>
      </w:r>
      <w:r w:rsidRPr="00A52F7C">
        <w:t>users to benefits</w:t>
      </w:r>
      <w:r w:rsidR="00E155B9" w:rsidRPr="00A52F7C">
        <w:t xml:space="preserve"> that included </w:t>
      </w:r>
      <w:r w:rsidRPr="00A52F7C">
        <w:t xml:space="preserve">free shipping, unlimited access to digital content, and </w:t>
      </w:r>
      <w:r w:rsidR="00E155B9" w:rsidRPr="00A52F7C">
        <w:t xml:space="preserve">the ability to </w:t>
      </w:r>
      <w:r w:rsidRPr="00A52F7C">
        <w:t>borrow books from Kindle at cheaper price</w:t>
      </w:r>
      <w:r w:rsidR="00E155B9" w:rsidRPr="00A52F7C">
        <w:t>s</w:t>
      </w:r>
      <w:r w:rsidRPr="00A52F7C">
        <w:t>.</w:t>
      </w:r>
      <w:r w:rsidRPr="00A52F7C">
        <w:rPr>
          <w:rStyle w:val="EndnoteReference"/>
        </w:rPr>
        <w:endnoteReference w:id="80"/>
      </w:r>
      <w:r w:rsidRPr="00A52F7C">
        <w:t xml:space="preserve"> Amazon operat</w:t>
      </w:r>
      <w:r w:rsidR="00E155B9" w:rsidRPr="00A52F7C">
        <w:t>ed</w:t>
      </w:r>
      <w:r w:rsidRPr="00A52F7C">
        <w:t xml:space="preserve"> </w:t>
      </w:r>
      <w:r w:rsidR="00E155B9" w:rsidRPr="00A52F7C">
        <w:t xml:space="preserve">11 </w:t>
      </w:r>
      <w:r w:rsidRPr="00A52F7C">
        <w:t>online marketplaces across three continents, including North America (the United States, Canada, and Mexico), Europe (the United Kingdom, France, Spain, Italy, and Germany), and Asia (Japan, China, and India).</w:t>
      </w:r>
      <w:r w:rsidRPr="00A52F7C">
        <w:rPr>
          <w:rStyle w:val="EndnoteReference"/>
        </w:rPr>
        <w:endnoteReference w:id="81"/>
      </w:r>
      <w:r w:rsidR="00A13C8B" w:rsidRPr="00A52F7C">
        <w:t xml:space="preserve"> </w:t>
      </w:r>
    </w:p>
    <w:p w14:paraId="1352F523" w14:textId="77777777" w:rsidR="00E5399F" w:rsidRDefault="00E5399F" w:rsidP="00B71C53">
      <w:pPr>
        <w:pStyle w:val="BodyTextMain"/>
      </w:pPr>
    </w:p>
    <w:p w14:paraId="736FFE1C" w14:textId="4354E027" w:rsidR="000031D2" w:rsidRPr="007202BE" w:rsidRDefault="000031D2" w:rsidP="001C434A">
      <w:pPr>
        <w:pStyle w:val="BodyTextMain"/>
        <w:rPr>
          <w:spacing w:val="-2"/>
          <w:lang w:eastAsia="zh-CN"/>
        </w:rPr>
      </w:pPr>
      <w:r w:rsidRPr="007202BE">
        <w:rPr>
          <w:spacing w:val="-2"/>
        </w:rPr>
        <w:t xml:space="preserve">Amazon was also making moves into Southeast Asia by first tentatively launching its business in Singapore. It was reported that Amazon was actively acquiring assets and hiring people to facilitate </w:t>
      </w:r>
      <w:r w:rsidR="00E155B9" w:rsidRPr="007202BE">
        <w:rPr>
          <w:spacing w:val="-2"/>
        </w:rPr>
        <w:t xml:space="preserve">this </w:t>
      </w:r>
      <w:r w:rsidRPr="007202BE">
        <w:rPr>
          <w:spacing w:val="-2"/>
        </w:rPr>
        <w:t>entry.</w:t>
      </w:r>
      <w:r w:rsidRPr="007202BE">
        <w:rPr>
          <w:rStyle w:val="EndnoteReference"/>
          <w:spacing w:val="-2"/>
        </w:rPr>
        <w:endnoteReference w:id="82"/>
      </w:r>
      <w:r w:rsidR="00E5399F" w:rsidRPr="007202BE">
        <w:rPr>
          <w:spacing w:val="-2"/>
        </w:rPr>
        <w:t xml:space="preserve"> </w:t>
      </w:r>
      <w:r w:rsidRPr="007202BE">
        <w:rPr>
          <w:spacing w:val="-2"/>
          <w:lang w:eastAsia="zh-CN"/>
        </w:rPr>
        <w:t xml:space="preserve">In fact, Amazon had made an offer to acquire a </w:t>
      </w:r>
      <w:r w:rsidR="00E155B9" w:rsidRPr="007202BE">
        <w:rPr>
          <w:spacing w:val="-2"/>
          <w:lang w:eastAsia="zh-CN"/>
        </w:rPr>
        <w:t>Singapore-</w:t>
      </w:r>
      <w:r w:rsidRPr="007202BE">
        <w:rPr>
          <w:spacing w:val="-2"/>
          <w:lang w:eastAsia="zh-CN"/>
        </w:rPr>
        <w:t>based online grocery marketplace</w:t>
      </w:r>
      <w:r w:rsidR="00E155B9" w:rsidRPr="007202BE">
        <w:rPr>
          <w:spacing w:val="-2"/>
          <w:lang w:eastAsia="zh-CN"/>
        </w:rPr>
        <w:t>,</w:t>
      </w:r>
      <w:r w:rsidRPr="007202BE">
        <w:rPr>
          <w:spacing w:val="-2"/>
          <w:lang w:eastAsia="zh-CN"/>
        </w:rPr>
        <w:t xml:space="preserve"> </w:t>
      </w:r>
      <w:proofErr w:type="spellStart"/>
      <w:r w:rsidRPr="007202BE">
        <w:rPr>
          <w:spacing w:val="-2"/>
          <w:lang w:eastAsia="zh-CN"/>
        </w:rPr>
        <w:t>Redmart</w:t>
      </w:r>
      <w:proofErr w:type="spellEnd"/>
      <w:r w:rsidR="00E155B9" w:rsidRPr="007202BE">
        <w:rPr>
          <w:spacing w:val="-2"/>
          <w:lang w:eastAsia="zh-CN"/>
        </w:rPr>
        <w:t>,</w:t>
      </w:r>
      <w:r w:rsidRPr="007202BE">
        <w:rPr>
          <w:spacing w:val="-2"/>
          <w:lang w:eastAsia="zh-CN"/>
        </w:rPr>
        <w:t xml:space="preserve"> in early 2016. However, </w:t>
      </w:r>
      <w:proofErr w:type="spellStart"/>
      <w:r w:rsidRPr="007202BE">
        <w:rPr>
          <w:spacing w:val="-2"/>
          <w:lang w:eastAsia="zh-CN"/>
        </w:rPr>
        <w:t>Redmart</w:t>
      </w:r>
      <w:proofErr w:type="spellEnd"/>
      <w:r w:rsidRPr="007202BE">
        <w:rPr>
          <w:spacing w:val="-2"/>
          <w:lang w:eastAsia="zh-CN"/>
        </w:rPr>
        <w:t xml:space="preserve"> had turned down the offer, considering the price too low. This initiative suggested that Amazon might launch its grocery service</w:t>
      </w:r>
      <w:r w:rsidR="009E4C98" w:rsidRPr="007202BE">
        <w:rPr>
          <w:spacing w:val="-2"/>
          <w:lang w:eastAsia="zh-CN"/>
        </w:rPr>
        <w:t>,</w:t>
      </w:r>
      <w:r w:rsidRPr="007202BE">
        <w:rPr>
          <w:spacing w:val="-2"/>
          <w:lang w:eastAsia="zh-CN"/>
        </w:rPr>
        <w:t xml:space="preserve"> </w:t>
      </w:r>
      <w:proofErr w:type="spellStart"/>
      <w:r w:rsidRPr="007202BE">
        <w:rPr>
          <w:spacing w:val="-2"/>
          <w:lang w:eastAsia="zh-CN"/>
        </w:rPr>
        <w:t>AmazonFresh</w:t>
      </w:r>
      <w:proofErr w:type="spellEnd"/>
      <w:r w:rsidR="009E4C98" w:rsidRPr="007202BE">
        <w:rPr>
          <w:spacing w:val="-2"/>
          <w:lang w:eastAsia="zh-CN"/>
        </w:rPr>
        <w:t>,</w:t>
      </w:r>
      <w:r w:rsidRPr="007202BE">
        <w:rPr>
          <w:spacing w:val="-2"/>
          <w:lang w:eastAsia="zh-CN"/>
        </w:rPr>
        <w:t xml:space="preserve"> in the region. Given its strong financial ability and years of online retail experience, </w:t>
      </w:r>
      <w:r w:rsidR="009E4C98" w:rsidRPr="007202BE">
        <w:rPr>
          <w:spacing w:val="-2"/>
          <w:lang w:eastAsia="zh-CN"/>
        </w:rPr>
        <w:t xml:space="preserve">Amazon </w:t>
      </w:r>
      <w:r w:rsidR="00E155B9" w:rsidRPr="007202BE">
        <w:rPr>
          <w:spacing w:val="-2"/>
          <w:lang w:eastAsia="zh-CN"/>
        </w:rPr>
        <w:t xml:space="preserve">could likely accomplish the strategic move into </w:t>
      </w:r>
      <w:r w:rsidRPr="007202BE">
        <w:rPr>
          <w:spacing w:val="-2"/>
          <w:lang w:eastAsia="zh-CN"/>
        </w:rPr>
        <w:t xml:space="preserve">Southeast Asia </w:t>
      </w:r>
      <w:r w:rsidR="00E155B9" w:rsidRPr="007202BE">
        <w:rPr>
          <w:spacing w:val="-2"/>
          <w:lang w:eastAsia="zh-CN"/>
        </w:rPr>
        <w:t xml:space="preserve">without much </w:t>
      </w:r>
      <w:r w:rsidRPr="007202BE">
        <w:rPr>
          <w:spacing w:val="-2"/>
          <w:lang w:eastAsia="zh-CN"/>
        </w:rPr>
        <w:t>difficult</w:t>
      </w:r>
      <w:r w:rsidR="00E155B9" w:rsidRPr="007202BE">
        <w:rPr>
          <w:spacing w:val="-2"/>
          <w:lang w:eastAsia="zh-CN"/>
        </w:rPr>
        <w:t>y, and this move w</w:t>
      </w:r>
      <w:r w:rsidRPr="007202BE">
        <w:rPr>
          <w:spacing w:val="-2"/>
          <w:lang w:eastAsia="zh-CN"/>
        </w:rPr>
        <w:t>ould definitely amplify e-commerce competition in the region.</w:t>
      </w:r>
      <w:r w:rsidR="007202BE" w:rsidRPr="007202BE">
        <w:rPr>
          <w:rStyle w:val="EndnoteReference"/>
          <w:spacing w:val="-2"/>
          <w:lang w:eastAsia="zh-CN"/>
        </w:rPr>
        <w:endnoteReference w:id="83"/>
      </w:r>
      <w:r w:rsidRPr="007202BE">
        <w:rPr>
          <w:spacing w:val="-2"/>
          <w:lang w:eastAsia="zh-CN"/>
        </w:rPr>
        <w:t xml:space="preserve"> </w:t>
      </w:r>
    </w:p>
    <w:p w14:paraId="7A69BC28" w14:textId="77777777" w:rsidR="000031D2" w:rsidRPr="00A52F7C" w:rsidRDefault="000031D2" w:rsidP="00377EC8">
      <w:pPr>
        <w:pStyle w:val="BodyTextMain"/>
        <w:rPr>
          <w:lang w:eastAsia="zh-CN"/>
        </w:rPr>
      </w:pPr>
    </w:p>
    <w:p w14:paraId="544DB35A" w14:textId="77777777" w:rsidR="000031D2" w:rsidRPr="00A52F7C" w:rsidRDefault="000031D2" w:rsidP="00377EC8">
      <w:pPr>
        <w:pStyle w:val="BodyTextMain"/>
        <w:rPr>
          <w:lang w:eastAsia="zh-CN"/>
        </w:rPr>
      </w:pPr>
    </w:p>
    <w:p w14:paraId="253B0747" w14:textId="31C7F4BD" w:rsidR="000031D2" w:rsidRPr="00A52F7C" w:rsidRDefault="000031D2" w:rsidP="00617065">
      <w:pPr>
        <w:pStyle w:val="Casehead1"/>
        <w:outlineLvl w:val="0"/>
      </w:pPr>
      <w:r w:rsidRPr="00A52F7C">
        <w:t>THE ROAD AHEAD</w:t>
      </w:r>
    </w:p>
    <w:p w14:paraId="6492E231" w14:textId="77777777" w:rsidR="000031D2" w:rsidRPr="00A52F7C" w:rsidRDefault="000031D2" w:rsidP="005169F6">
      <w:pPr>
        <w:pStyle w:val="BodyTextMain"/>
      </w:pPr>
    </w:p>
    <w:p w14:paraId="691D2CCB" w14:textId="77777777" w:rsidR="007202BE" w:rsidRDefault="000031D2" w:rsidP="005169F6">
      <w:pPr>
        <w:pStyle w:val="BodyTextMain"/>
        <w:rPr>
          <w:lang w:eastAsia="zh-CN"/>
        </w:rPr>
      </w:pPr>
      <w:r w:rsidRPr="00A52F7C">
        <w:t xml:space="preserve">Given </w:t>
      </w:r>
      <w:r w:rsidR="00FA5CDC" w:rsidRPr="00A52F7C">
        <w:t xml:space="preserve">their </w:t>
      </w:r>
      <w:r w:rsidRPr="00A52F7C">
        <w:t>potential synergies, acqui</w:t>
      </w:r>
      <w:r w:rsidR="00FA5CDC" w:rsidRPr="00A52F7C">
        <w:t xml:space="preserve">ring </w:t>
      </w:r>
      <w:r w:rsidRPr="00A52F7C">
        <w:t xml:space="preserve">the market leader </w:t>
      </w:r>
      <w:proofErr w:type="spellStart"/>
      <w:r w:rsidRPr="00A52F7C">
        <w:t>Lazada</w:t>
      </w:r>
      <w:proofErr w:type="spellEnd"/>
      <w:r w:rsidRPr="00A52F7C">
        <w:t xml:space="preserve"> seemed to be an appropriate strategic move for Alibaba to extend its geographical reach </w:t>
      </w:r>
      <w:r w:rsidR="00FA5CDC" w:rsidRPr="00A52F7C">
        <w:t>in</w:t>
      </w:r>
      <w:r w:rsidRPr="00A52F7C">
        <w:t>to the promising Southeast Asia</w:t>
      </w:r>
      <w:r w:rsidR="00FA5CDC" w:rsidRPr="00A52F7C">
        <w:t>n</w:t>
      </w:r>
      <w:r w:rsidRPr="00A52F7C">
        <w:t xml:space="preserve"> e-commerce market. </w:t>
      </w:r>
      <w:proofErr w:type="spellStart"/>
      <w:r w:rsidRPr="00A52F7C">
        <w:t>Lazada’s</w:t>
      </w:r>
      <w:proofErr w:type="spellEnd"/>
      <w:r w:rsidRPr="00A52F7C">
        <w:t xml:space="preserve"> competitive advantages in the region, particularly its brand recognition</w:t>
      </w:r>
      <w:r w:rsidR="00FA5CDC" w:rsidRPr="00A52F7C">
        <w:t>,</w:t>
      </w:r>
      <w:r w:rsidRPr="00A52F7C">
        <w:t xml:space="preserve"> would take years for Alibaba if it chose to build them from scratch</w:t>
      </w:r>
      <w:r w:rsidR="009F460F">
        <w:t>—</w:t>
      </w:r>
      <w:r w:rsidR="00FA5CDC" w:rsidRPr="00A52F7C">
        <w:t>that is, through</w:t>
      </w:r>
      <w:r w:rsidRPr="00A52F7C">
        <w:t xml:space="preserve"> </w:t>
      </w:r>
      <w:proofErr w:type="gramStart"/>
      <w:r w:rsidRPr="00A52F7C">
        <w:t>greenfield</w:t>
      </w:r>
      <w:proofErr w:type="gramEnd"/>
      <w:r w:rsidRPr="00A52F7C">
        <w:t xml:space="preserve"> investments. For </w:t>
      </w:r>
      <w:proofErr w:type="spellStart"/>
      <w:r w:rsidRPr="00A52F7C">
        <w:t>Lazada</w:t>
      </w:r>
      <w:proofErr w:type="spellEnd"/>
      <w:r w:rsidRPr="00A52F7C">
        <w:t xml:space="preserve">, the acquisition provided opportunities to </w:t>
      </w:r>
      <w:r w:rsidR="00E5399F">
        <w:t>use</w:t>
      </w:r>
      <w:r w:rsidR="00E5399F" w:rsidRPr="00A52F7C">
        <w:t xml:space="preserve"> </w:t>
      </w:r>
      <w:r w:rsidRPr="00A52F7C">
        <w:t xml:space="preserve">Alibaba’s strong online retail knowledge and other resources to position itself competitively ahead of </w:t>
      </w:r>
      <w:r w:rsidR="00FA5CDC" w:rsidRPr="00A52F7C">
        <w:t xml:space="preserve">its </w:t>
      </w:r>
      <w:r w:rsidRPr="00A52F7C">
        <w:t xml:space="preserve">competitors. With Alibaba’s backing, </w:t>
      </w:r>
      <w:proofErr w:type="spellStart"/>
      <w:r w:rsidRPr="00A52F7C">
        <w:t>Lazada</w:t>
      </w:r>
      <w:proofErr w:type="spellEnd"/>
      <w:r w:rsidRPr="00A52F7C">
        <w:t xml:space="preserve"> was able to build a stronger fortress to fight against the intensified competition in the region, particularly from the anticipated entry of</w:t>
      </w:r>
      <w:r w:rsidRPr="00A52F7C">
        <w:rPr>
          <w:lang w:eastAsia="zh-CN"/>
        </w:rPr>
        <w:t xml:space="preserve"> </w:t>
      </w:r>
      <w:r w:rsidRPr="00A52F7C">
        <w:t xml:space="preserve">Amazon. Nevertheless, </w:t>
      </w:r>
      <w:proofErr w:type="spellStart"/>
      <w:r w:rsidRPr="00A52F7C">
        <w:t>Lazada</w:t>
      </w:r>
      <w:proofErr w:type="spellEnd"/>
      <w:r w:rsidRPr="00A52F7C">
        <w:t xml:space="preserve"> occupied only 20 per cent of the Southeast Asia</w:t>
      </w:r>
      <w:r w:rsidR="009F460F">
        <w:t>n</w:t>
      </w:r>
      <w:r w:rsidRPr="00A52F7C">
        <w:t xml:space="preserve"> e-commerce market, and </w:t>
      </w:r>
      <w:r w:rsidR="00FA5CDC" w:rsidRPr="00A52F7C">
        <w:t>the market—like the</w:t>
      </w:r>
      <w:r w:rsidRPr="00A52F7C">
        <w:t xml:space="preserve"> geographical conditions</w:t>
      </w:r>
      <w:r w:rsidR="00FA5CDC" w:rsidRPr="00A52F7C">
        <w:t>—</w:t>
      </w:r>
      <w:r w:rsidRPr="00A52F7C">
        <w:t>was very fragmented</w:t>
      </w:r>
      <w:r w:rsidR="00FA5CDC" w:rsidRPr="00A52F7C">
        <w:t>;</w:t>
      </w:r>
      <w:r w:rsidRPr="00A52F7C">
        <w:t xml:space="preserve"> </w:t>
      </w:r>
      <w:proofErr w:type="spellStart"/>
      <w:r w:rsidRPr="00A52F7C">
        <w:t>Lazada</w:t>
      </w:r>
      <w:proofErr w:type="spellEnd"/>
      <w:r w:rsidRPr="00A52F7C">
        <w:t xml:space="preserve"> would have to </w:t>
      </w:r>
      <w:r w:rsidRPr="00A52F7C">
        <w:lastRenderedPageBreak/>
        <w:t xml:space="preserve">double its efforts to consolidate its competitive position </w:t>
      </w:r>
      <w:r w:rsidR="00FA5CDC" w:rsidRPr="00A52F7C">
        <w:t xml:space="preserve">and </w:t>
      </w:r>
      <w:r w:rsidRPr="00A52F7C">
        <w:t xml:space="preserve">increase </w:t>
      </w:r>
      <w:r w:rsidR="009F460F">
        <w:t xml:space="preserve">its </w:t>
      </w:r>
      <w:r w:rsidRPr="00A52F7C">
        <w:t xml:space="preserve">market share. </w:t>
      </w:r>
      <w:r w:rsidR="00FA5CDC" w:rsidRPr="00A52F7C">
        <w:t>There were also reports</w:t>
      </w:r>
      <w:r w:rsidRPr="00A52F7C">
        <w:t xml:space="preserve"> </w:t>
      </w:r>
      <w:r w:rsidR="00FA5CDC" w:rsidRPr="00A52F7C">
        <w:rPr>
          <w:lang w:eastAsia="zh-CN"/>
        </w:rPr>
        <w:t xml:space="preserve">early </w:t>
      </w:r>
      <w:r w:rsidRPr="00A52F7C">
        <w:rPr>
          <w:lang w:eastAsia="zh-CN"/>
        </w:rPr>
        <w:t>in 2017</w:t>
      </w:r>
      <w:r w:rsidR="00FA5CDC" w:rsidRPr="00A52F7C">
        <w:rPr>
          <w:lang w:eastAsia="zh-CN"/>
        </w:rPr>
        <w:t xml:space="preserve"> that</w:t>
      </w:r>
      <w:r w:rsidRPr="00A52F7C">
        <w:rPr>
          <w:lang w:eastAsia="zh-CN"/>
        </w:rPr>
        <w:t xml:space="preserve"> Amazon </w:t>
      </w:r>
      <w:r w:rsidR="00FA5CDC" w:rsidRPr="00A52F7C">
        <w:rPr>
          <w:lang w:eastAsia="zh-CN"/>
        </w:rPr>
        <w:t>would</w:t>
      </w:r>
      <w:r w:rsidRPr="00A52F7C">
        <w:rPr>
          <w:lang w:eastAsia="zh-CN"/>
        </w:rPr>
        <w:t xml:space="preserve"> delay its entry in</w:t>
      </w:r>
      <w:r w:rsidR="00FA5CDC" w:rsidRPr="00A52F7C">
        <w:rPr>
          <w:lang w:eastAsia="zh-CN"/>
        </w:rPr>
        <w:t>to</w:t>
      </w:r>
      <w:r w:rsidRPr="00A52F7C">
        <w:rPr>
          <w:lang w:eastAsia="zh-CN"/>
        </w:rPr>
        <w:t xml:space="preserve"> Singapore to a later date.</w:t>
      </w:r>
      <w:r w:rsidRPr="00A52F7C">
        <w:rPr>
          <w:rStyle w:val="EndnoteReference"/>
          <w:lang w:eastAsia="zh-CN"/>
        </w:rPr>
        <w:endnoteReference w:id="84"/>
      </w:r>
      <w:r w:rsidRPr="00A52F7C">
        <w:rPr>
          <w:lang w:eastAsia="zh-CN"/>
        </w:rPr>
        <w:t xml:space="preserve"> </w:t>
      </w:r>
    </w:p>
    <w:p w14:paraId="3DFC2828" w14:textId="77777777" w:rsidR="007202BE" w:rsidRDefault="007202BE" w:rsidP="005169F6">
      <w:pPr>
        <w:pStyle w:val="BodyTextMain"/>
        <w:rPr>
          <w:lang w:eastAsia="zh-CN"/>
        </w:rPr>
      </w:pPr>
    </w:p>
    <w:p w14:paraId="06F03467" w14:textId="4F2E4AE6" w:rsidR="000E2E31" w:rsidRPr="00A52F7C" w:rsidRDefault="00090D3B" w:rsidP="005169F6">
      <w:pPr>
        <w:pStyle w:val="BodyTextMain"/>
        <w:rPr>
          <w:lang w:eastAsia="zh-CN"/>
        </w:rPr>
      </w:pPr>
      <w:r w:rsidRPr="00A52F7C">
        <w:rPr>
          <w:lang w:eastAsia="zh-CN"/>
        </w:rPr>
        <w:t xml:space="preserve">Alibaba and </w:t>
      </w:r>
      <w:proofErr w:type="spellStart"/>
      <w:r w:rsidRPr="00A52F7C">
        <w:rPr>
          <w:lang w:eastAsia="zh-CN"/>
        </w:rPr>
        <w:t>Lazada</w:t>
      </w:r>
      <w:proofErr w:type="spellEnd"/>
      <w:r w:rsidR="005A6B83" w:rsidRPr="00A52F7C">
        <w:rPr>
          <w:lang w:eastAsia="zh-CN"/>
        </w:rPr>
        <w:t xml:space="preserve"> </w:t>
      </w:r>
      <w:r w:rsidRPr="00A52F7C">
        <w:rPr>
          <w:lang w:eastAsia="zh-CN"/>
        </w:rPr>
        <w:t xml:space="preserve">had to </w:t>
      </w:r>
      <w:r w:rsidR="00FA5CDC" w:rsidRPr="00A52F7C">
        <w:rPr>
          <w:lang w:eastAsia="zh-CN"/>
        </w:rPr>
        <w:t>determine</w:t>
      </w:r>
      <w:r w:rsidRPr="00A52F7C">
        <w:rPr>
          <w:lang w:eastAsia="zh-CN"/>
        </w:rPr>
        <w:t xml:space="preserve"> </w:t>
      </w:r>
      <w:r w:rsidR="00FA5CDC" w:rsidRPr="00A52F7C">
        <w:rPr>
          <w:lang w:eastAsia="zh-CN"/>
        </w:rPr>
        <w:t xml:space="preserve">what this </w:t>
      </w:r>
      <w:r w:rsidRPr="00A52F7C">
        <w:rPr>
          <w:lang w:eastAsia="zh-CN"/>
        </w:rPr>
        <w:t xml:space="preserve">delay </w:t>
      </w:r>
      <w:r w:rsidR="00FA5CDC" w:rsidRPr="00A52F7C">
        <w:rPr>
          <w:lang w:eastAsia="zh-CN"/>
        </w:rPr>
        <w:t xml:space="preserve">meant: either that </w:t>
      </w:r>
      <w:r w:rsidRPr="00A52F7C">
        <w:rPr>
          <w:lang w:eastAsia="zh-CN"/>
        </w:rPr>
        <w:t>they</w:t>
      </w:r>
      <w:r w:rsidR="005A6B83" w:rsidRPr="00A52F7C">
        <w:rPr>
          <w:lang w:eastAsia="zh-CN"/>
        </w:rPr>
        <w:t xml:space="preserve"> ha</w:t>
      </w:r>
      <w:r w:rsidR="006F5B8E" w:rsidRPr="00A52F7C">
        <w:rPr>
          <w:lang w:eastAsia="zh-CN"/>
        </w:rPr>
        <w:t>d</w:t>
      </w:r>
      <w:r w:rsidR="005A6B83" w:rsidRPr="00A52F7C">
        <w:rPr>
          <w:lang w:eastAsia="zh-CN"/>
        </w:rPr>
        <w:t xml:space="preserve"> successfully created unbeatable competitive advantages</w:t>
      </w:r>
      <w:r w:rsidR="00FA5CDC" w:rsidRPr="00A52F7C">
        <w:rPr>
          <w:lang w:eastAsia="zh-CN"/>
        </w:rPr>
        <w:t>—</w:t>
      </w:r>
      <w:r w:rsidR="00A52F7C" w:rsidRPr="00A52F7C">
        <w:rPr>
          <w:lang w:eastAsia="zh-CN"/>
        </w:rPr>
        <w:t>pre-empting</w:t>
      </w:r>
      <w:r w:rsidR="006F5B8E" w:rsidRPr="00A52F7C">
        <w:rPr>
          <w:lang w:eastAsia="zh-CN"/>
        </w:rPr>
        <w:t xml:space="preserve"> </w:t>
      </w:r>
      <w:r w:rsidR="005A6B83" w:rsidRPr="00A52F7C">
        <w:rPr>
          <w:lang w:eastAsia="zh-CN"/>
        </w:rPr>
        <w:t>even the world’s largest e-commerce player</w:t>
      </w:r>
      <w:r w:rsidR="00FA5CDC" w:rsidRPr="00A52F7C">
        <w:rPr>
          <w:lang w:eastAsia="zh-CN"/>
        </w:rPr>
        <w:t>—</w:t>
      </w:r>
      <w:r w:rsidRPr="00A52F7C">
        <w:rPr>
          <w:lang w:eastAsia="zh-CN"/>
        </w:rPr>
        <w:t xml:space="preserve">and </w:t>
      </w:r>
      <w:r w:rsidR="00FA5CDC" w:rsidRPr="00A52F7C">
        <w:rPr>
          <w:lang w:eastAsia="zh-CN"/>
        </w:rPr>
        <w:t xml:space="preserve">had </w:t>
      </w:r>
      <w:r w:rsidR="005A6B83" w:rsidRPr="00A52F7C">
        <w:rPr>
          <w:lang w:eastAsia="zh-CN"/>
        </w:rPr>
        <w:t>already won the e</w:t>
      </w:r>
      <w:r w:rsidR="009F460F">
        <w:rPr>
          <w:lang w:eastAsia="zh-CN"/>
        </w:rPr>
        <w:noBreakHyphen/>
      </w:r>
      <w:r w:rsidR="005A6B83" w:rsidRPr="00A52F7C">
        <w:rPr>
          <w:lang w:eastAsia="zh-CN"/>
        </w:rPr>
        <w:t>commerce battle in Southeast Asia</w:t>
      </w:r>
      <w:r w:rsidRPr="00A52F7C">
        <w:rPr>
          <w:lang w:eastAsia="zh-CN"/>
        </w:rPr>
        <w:t xml:space="preserve"> o</w:t>
      </w:r>
      <w:r w:rsidR="006F5B8E" w:rsidRPr="00A52F7C">
        <w:rPr>
          <w:lang w:eastAsia="zh-CN"/>
        </w:rPr>
        <w:t>r</w:t>
      </w:r>
      <w:r w:rsidRPr="00A52F7C">
        <w:rPr>
          <w:lang w:eastAsia="zh-CN"/>
        </w:rPr>
        <w:t xml:space="preserve"> that</w:t>
      </w:r>
      <w:r w:rsidR="005A6B83" w:rsidRPr="00A52F7C">
        <w:rPr>
          <w:lang w:eastAsia="zh-CN"/>
        </w:rPr>
        <w:t xml:space="preserve"> Amazon</w:t>
      </w:r>
      <w:r w:rsidRPr="00A52F7C">
        <w:rPr>
          <w:lang w:eastAsia="zh-CN"/>
        </w:rPr>
        <w:t xml:space="preserve"> was</w:t>
      </w:r>
      <w:r w:rsidR="005A6B83" w:rsidRPr="00A52F7C">
        <w:rPr>
          <w:lang w:eastAsia="zh-CN"/>
        </w:rPr>
        <w:t xml:space="preserve"> planning </w:t>
      </w:r>
      <w:r w:rsidR="008115DA" w:rsidRPr="00A52F7C">
        <w:rPr>
          <w:lang w:eastAsia="zh-CN"/>
        </w:rPr>
        <w:t xml:space="preserve">an even </w:t>
      </w:r>
      <w:r w:rsidR="005A6B83" w:rsidRPr="00A52F7C">
        <w:rPr>
          <w:lang w:eastAsia="zh-CN"/>
        </w:rPr>
        <w:t>bigger</w:t>
      </w:r>
      <w:r w:rsidR="008115DA" w:rsidRPr="00A52F7C">
        <w:rPr>
          <w:lang w:eastAsia="zh-CN"/>
        </w:rPr>
        <w:t xml:space="preserve"> strategic move</w:t>
      </w:r>
      <w:r w:rsidRPr="00A52F7C">
        <w:rPr>
          <w:lang w:eastAsia="zh-CN"/>
        </w:rPr>
        <w:t xml:space="preserve"> to counter them in this new </w:t>
      </w:r>
      <w:r w:rsidR="008115DA" w:rsidRPr="00A52F7C">
        <w:rPr>
          <w:lang w:eastAsia="zh-CN"/>
        </w:rPr>
        <w:t>e-commerce market</w:t>
      </w:r>
      <w:r w:rsidR="00FA5CDC" w:rsidRPr="00A52F7C">
        <w:rPr>
          <w:lang w:eastAsia="zh-CN"/>
        </w:rPr>
        <w:t xml:space="preserve"> frontier</w:t>
      </w:r>
      <w:r w:rsidR="0016304C" w:rsidRPr="00A52F7C">
        <w:rPr>
          <w:lang w:eastAsia="zh-CN"/>
        </w:rPr>
        <w:t>.</w:t>
      </w:r>
    </w:p>
    <w:p w14:paraId="486AA2E9" w14:textId="77777777" w:rsidR="00005154" w:rsidRPr="00A52F7C" w:rsidRDefault="00005154" w:rsidP="005169F6">
      <w:pPr>
        <w:pStyle w:val="BodyTextMain"/>
        <w:rPr>
          <w:lang w:eastAsia="zh-CN"/>
        </w:rPr>
      </w:pPr>
    </w:p>
    <w:p w14:paraId="6D6BF412" w14:textId="3FC21E29" w:rsidR="00DA1856" w:rsidRPr="00A52F7C" w:rsidRDefault="00DA1856" w:rsidP="005169F6">
      <w:pPr>
        <w:pStyle w:val="BodyTextMain"/>
        <w:rPr>
          <w:lang w:eastAsia="zh-CN"/>
        </w:rPr>
      </w:pPr>
      <w:r w:rsidRPr="00A52F7C">
        <w:rPr>
          <w:lang w:eastAsia="zh-CN"/>
        </w:rPr>
        <w:br w:type="page"/>
      </w:r>
    </w:p>
    <w:p w14:paraId="666011DE" w14:textId="461EC033" w:rsidR="00F07535" w:rsidRPr="00A52F7C" w:rsidRDefault="00D735F4" w:rsidP="005169F6">
      <w:pPr>
        <w:pStyle w:val="ExhibitHeading"/>
        <w:rPr>
          <w:lang w:eastAsia="zh-CN"/>
        </w:rPr>
      </w:pPr>
      <w:r w:rsidRPr="00A52F7C">
        <w:lastRenderedPageBreak/>
        <w:t xml:space="preserve">Exhibit 1: </w:t>
      </w:r>
      <w:r w:rsidR="00F07535" w:rsidRPr="00A52F7C">
        <w:t>Transaction scale</w:t>
      </w:r>
      <w:r w:rsidR="004F7806" w:rsidRPr="00A52F7C">
        <w:t xml:space="preserve"> AND GROWTH</w:t>
      </w:r>
      <w:r w:rsidR="00F07535" w:rsidRPr="00A52F7C">
        <w:t xml:space="preserve"> of China’s online retail market </w:t>
      </w:r>
    </w:p>
    <w:p w14:paraId="549BBA8D" w14:textId="77777777" w:rsidR="00F07535" w:rsidRPr="00A52F7C" w:rsidRDefault="00F07535" w:rsidP="005169F6">
      <w:pPr>
        <w:pStyle w:val="ExhibitText"/>
        <w:rPr>
          <w:lang w:eastAsia="zh-CN"/>
        </w:rPr>
      </w:pPr>
    </w:p>
    <w:tbl>
      <w:tblPr>
        <w:tblW w:w="8540" w:type="dxa"/>
        <w:tblInd w:w="108" w:type="dxa"/>
        <w:tblLook w:val="04A0" w:firstRow="1" w:lastRow="0" w:firstColumn="1" w:lastColumn="0" w:noHBand="0" w:noVBand="1"/>
      </w:tblPr>
      <w:tblGrid>
        <w:gridCol w:w="820"/>
        <w:gridCol w:w="3860"/>
        <w:gridCol w:w="3860"/>
      </w:tblGrid>
      <w:tr w:rsidR="00FE2CF3" w:rsidRPr="00A52F7C" w14:paraId="103DAE09" w14:textId="77777777" w:rsidTr="00C85E0A">
        <w:trPr>
          <w:trHeight w:val="600"/>
        </w:trPr>
        <w:tc>
          <w:tcPr>
            <w:tcW w:w="820" w:type="dxa"/>
            <w:tcBorders>
              <w:top w:val="single" w:sz="4" w:space="0" w:color="auto"/>
              <w:left w:val="nil"/>
              <w:bottom w:val="single" w:sz="4" w:space="0" w:color="auto"/>
              <w:right w:val="nil"/>
            </w:tcBorders>
            <w:shd w:val="clear" w:color="auto" w:fill="auto"/>
            <w:vAlign w:val="center"/>
            <w:hideMark/>
          </w:tcPr>
          <w:p w14:paraId="4AC5D150" w14:textId="77777777" w:rsidR="00FE2CF3" w:rsidRPr="00A52F7C" w:rsidRDefault="00FE2CF3" w:rsidP="00C85E0A">
            <w:pPr>
              <w:pStyle w:val="ExhibitText"/>
              <w:jc w:val="center"/>
              <w:rPr>
                <w:rFonts w:eastAsia="SimSun"/>
                <w:b/>
                <w:bCs/>
                <w:lang w:eastAsia="zh-CN"/>
              </w:rPr>
            </w:pPr>
            <w:r w:rsidRPr="00A52F7C">
              <w:rPr>
                <w:rFonts w:eastAsia="SimSun"/>
                <w:lang w:eastAsia="zh-CN"/>
              </w:rPr>
              <w:t>Year</w:t>
            </w:r>
          </w:p>
        </w:tc>
        <w:tc>
          <w:tcPr>
            <w:tcW w:w="3860" w:type="dxa"/>
            <w:tcBorders>
              <w:top w:val="single" w:sz="4" w:space="0" w:color="auto"/>
              <w:left w:val="nil"/>
              <w:bottom w:val="single" w:sz="4" w:space="0" w:color="auto"/>
              <w:right w:val="nil"/>
            </w:tcBorders>
            <w:shd w:val="clear" w:color="auto" w:fill="auto"/>
            <w:vAlign w:val="center"/>
            <w:hideMark/>
          </w:tcPr>
          <w:p w14:paraId="21FBCDA5" w14:textId="2534FE26" w:rsidR="00FE2CF3" w:rsidRPr="00A52F7C" w:rsidRDefault="00FE2CF3" w:rsidP="00C85E0A">
            <w:pPr>
              <w:pStyle w:val="ExhibitText"/>
              <w:jc w:val="center"/>
              <w:rPr>
                <w:rFonts w:eastAsia="SimSun"/>
                <w:b/>
                <w:bCs/>
                <w:lang w:eastAsia="zh-CN"/>
              </w:rPr>
            </w:pPr>
            <w:r w:rsidRPr="00A52F7C">
              <w:rPr>
                <w:rFonts w:eastAsia="SimSun"/>
                <w:lang w:eastAsia="zh-CN"/>
              </w:rPr>
              <w:t xml:space="preserve">Transaction Scale of Online </w:t>
            </w:r>
            <w:r w:rsidR="00FA5CDC" w:rsidRPr="00A52F7C">
              <w:rPr>
                <w:rFonts w:eastAsia="SimSun"/>
                <w:lang w:eastAsia="zh-CN"/>
              </w:rPr>
              <w:t>Shopping</w:t>
            </w:r>
            <w:r w:rsidR="00FA5CDC" w:rsidRPr="00A52F7C">
              <w:rPr>
                <w:rFonts w:eastAsia="SimSun"/>
                <w:lang w:eastAsia="zh-CN"/>
              </w:rPr>
              <w:br/>
            </w:r>
            <w:r w:rsidRPr="00A52F7C">
              <w:rPr>
                <w:rFonts w:eastAsia="SimSun"/>
                <w:lang w:eastAsia="zh-CN"/>
              </w:rPr>
              <w:t>(</w:t>
            </w:r>
            <w:r w:rsidR="00FA5CDC" w:rsidRPr="00A52F7C">
              <w:rPr>
                <w:rFonts w:eastAsia="SimSun"/>
                <w:lang w:eastAsia="zh-CN"/>
              </w:rPr>
              <w:t>in ¥</w:t>
            </w:r>
            <w:r w:rsidRPr="00A52F7C">
              <w:rPr>
                <w:rFonts w:eastAsia="SimSun"/>
                <w:lang w:eastAsia="zh-CN"/>
              </w:rPr>
              <w:t xml:space="preserve"> trillion</w:t>
            </w:r>
            <w:r w:rsidR="00FA5CDC" w:rsidRPr="00A52F7C">
              <w:rPr>
                <w:rFonts w:eastAsia="SimSun"/>
                <w:lang w:eastAsia="zh-CN"/>
              </w:rPr>
              <w:t>s</w:t>
            </w:r>
            <w:r w:rsidRPr="00A52F7C">
              <w:rPr>
                <w:rFonts w:eastAsia="SimSun"/>
                <w:lang w:eastAsia="zh-CN"/>
              </w:rPr>
              <w:t>)</w:t>
            </w:r>
          </w:p>
        </w:tc>
        <w:tc>
          <w:tcPr>
            <w:tcW w:w="3860" w:type="dxa"/>
            <w:tcBorders>
              <w:top w:val="single" w:sz="4" w:space="0" w:color="auto"/>
              <w:left w:val="nil"/>
              <w:bottom w:val="single" w:sz="4" w:space="0" w:color="auto"/>
              <w:right w:val="nil"/>
            </w:tcBorders>
            <w:shd w:val="clear" w:color="auto" w:fill="auto"/>
            <w:vAlign w:val="center"/>
            <w:hideMark/>
          </w:tcPr>
          <w:p w14:paraId="540CF5C7" w14:textId="77777777" w:rsidR="00FE2CF3" w:rsidRPr="00A52F7C" w:rsidRDefault="00FE2CF3" w:rsidP="00C85E0A">
            <w:pPr>
              <w:pStyle w:val="ExhibitText"/>
              <w:jc w:val="center"/>
              <w:rPr>
                <w:rFonts w:eastAsia="SimSun"/>
                <w:b/>
                <w:bCs/>
                <w:lang w:eastAsia="zh-CN"/>
              </w:rPr>
            </w:pPr>
            <w:r w:rsidRPr="00A52F7C">
              <w:rPr>
                <w:rFonts w:eastAsia="SimSun"/>
                <w:lang w:eastAsia="zh-CN"/>
              </w:rPr>
              <w:t>Overall Growth Rate of Online Retail Market (%)</w:t>
            </w:r>
          </w:p>
        </w:tc>
      </w:tr>
      <w:tr w:rsidR="00FE2CF3" w:rsidRPr="00A52F7C" w14:paraId="68216DE2" w14:textId="77777777" w:rsidTr="00FE2CF3">
        <w:trPr>
          <w:trHeight w:val="300"/>
        </w:trPr>
        <w:tc>
          <w:tcPr>
            <w:tcW w:w="820" w:type="dxa"/>
            <w:tcBorders>
              <w:top w:val="nil"/>
              <w:left w:val="nil"/>
              <w:bottom w:val="nil"/>
              <w:right w:val="nil"/>
            </w:tcBorders>
            <w:shd w:val="clear" w:color="auto" w:fill="auto"/>
            <w:vAlign w:val="bottom"/>
            <w:hideMark/>
          </w:tcPr>
          <w:p w14:paraId="294A4179" w14:textId="77777777" w:rsidR="00FE2CF3" w:rsidRPr="00A52F7C" w:rsidRDefault="00FE2CF3" w:rsidP="00C85E0A">
            <w:pPr>
              <w:pStyle w:val="ExhibitText"/>
              <w:jc w:val="center"/>
              <w:rPr>
                <w:rFonts w:eastAsia="SimSun"/>
                <w:b/>
                <w:bCs/>
                <w:lang w:eastAsia="zh-CN"/>
              </w:rPr>
            </w:pPr>
            <w:r w:rsidRPr="00A52F7C">
              <w:rPr>
                <w:rFonts w:eastAsia="SimSun"/>
                <w:lang w:eastAsia="zh-CN"/>
              </w:rPr>
              <w:t>2011</w:t>
            </w:r>
          </w:p>
        </w:tc>
        <w:tc>
          <w:tcPr>
            <w:tcW w:w="3860" w:type="dxa"/>
            <w:tcBorders>
              <w:top w:val="nil"/>
              <w:left w:val="nil"/>
              <w:bottom w:val="nil"/>
              <w:right w:val="nil"/>
            </w:tcBorders>
            <w:shd w:val="clear" w:color="auto" w:fill="auto"/>
            <w:vAlign w:val="bottom"/>
            <w:hideMark/>
          </w:tcPr>
          <w:p w14:paraId="20BE8D42" w14:textId="77777777" w:rsidR="00FE2CF3" w:rsidRPr="00A52F7C" w:rsidRDefault="00FE2CF3" w:rsidP="00EF4C5B">
            <w:pPr>
              <w:pStyle w:val="ExhibitText"/>
              <w:jc w:val="center"/>
              <w:rPr>
                <w:rFonts w:eastAsia="SimSun"/>
                <w:lang w:eastAsia="zh-CN"/>
              </w:rPr>
            </w:pPr>
            <w:r w:rsidRPr="00A52F7C">
              <w:rPr>
                <w:rFonts w:eastAsia="SimSun"/>
                <w:lang w:eastAsia="zh-CN"/>
              </w:rPr>
              <w:t>0.8</w:t>
            </w:r>
          </w:p>
        </w:tc>
        <w:tc>
          <w:tcPr>
            <w:tcW w:w="3860" w:type="dxa"/>
            <w:tcBorders>
              <w:top w:val="nil"/>
              <w:left w:val="nil"/>
              <w:bottom w:val="nil"/>
              <w:right w:val="nil"/>
            </w:tcBorders>
            <w:shd w:val="clear" w:color="auto" w:fill="auto"/>
            <w:vAlign w:val="bottom"/>
            <w:hideMark/>
          </w:tcPr>
          <w:p w14:paraId="493DEFB2" w14:textId="77777777" w:rsidR="00FE2CF3" w:rsidRPr="00A52F7C" w:rsidRDefault="00FE2CF3" w:rsidP="00EF4C5B">
            <w:pPr>
              <w:pStyle w:val="ExhibitText"/>
              <w:jc w:val="center"/>
              <w:rPr>
                <w:rFonts w:eastAsia="SimSun"/>
                <w:lang w:eastAsia="zh-CN"/>
              </w:rPr>
            </w:pPr>
            <w:r w:rsidRPr="00A52F7C">
              <w:rPr>
                <w:rFonts w:eastAsia="SimSun"/>
                <w:lang w:eastAsia="zh-CN"/>
              </w:rPr>
              <w:t>70.2</w:t>
            </w:r>
          </w:p>
        </w:tc>
      </w:tr>
      <w:tr w:rsidR="00FE2CF3" w:rsidRPr="00A52F7C" w14:paraId="22161C62" w14:textId="77777777" w:rsidTr="00FE2CF3">
        <w:trPr>
          <w:trHeight w:val="300"/>
        </w:trPr>
        <w:tc>
          <w:tcPr>
            <w:tcW w:w="820" w:type="dxa"/>
            <w:tcBorders>
              <w:top w:val="nil"/>
              <w:left w:val="nil"/>
              <w:bottom w:val="nil"/>
              <w:right w:val="nil"/>
            </w:tcBorders>
            <w:shd w:val="clear" w:color="auto" w:fill="auto"/>
            <w:vAlign w:val="bottom"/>
            <w:hideMark/>
          </w:tcPr>
          <w:p w14:paraId="6581585B" w14:textId="77777777" w:rsidR="00FE2CF3" w:rsidRPr="00A52F7C" w:rsidRDefault="00FE2CF3" w:rsidP="00C85E0A">
            <w:pPr>
              <w:pStyle w:val="ExhibitText"/>
              <w:jc w:val="center"/>
              <w:rPr>
                <w:rFonts w:eastAsia="SimSun"/>
                <w:b/>
                <w:bCs/>
                <w:lang w:eastAsia="zh-CN"/>
              </w:rPr>
            </w:pPr>
            <w:r w:rsidRPr="00A52F7C">
              <w:rPr>
                <w:rFonts w:eastAsia="SimSun"/>
                <w:lang w:eastAsia="zh-CN"/>
              </w:rPr>
              <w:t>2012</w:t>
            </w:r>
          </w:p>
        </w:tc>
        <w:tc>
          <w:tcPr>
            <w:tcW w:w="3860" w:type="dxa"/>
            <w:tcBorders>
              <w:top w:val="nil"/>
              <w:left w:val="nil"/>
              <w:bottom w:val="nil"/>
              <w:right w:val="nil"/>
            </w:tcBorders>
            <w:shd w:val="clear" w:color="auto" w:fill="auto"/>
            <w:vAlign w:val="bottom"/>
            <w:hideMark/>
          </w:tcPr>
          <w:p w14:paraId="2E27926C" w14:textId="77777777" w:rsidR="00FE2CF3" w:rsidRPr="00A52F7C" w:rsidRDefault="00FE2CF3" w:rsidP="00EF4C5B">
            <w:pPr>
              <w:pStyle w:val="ExhibitText"/>
              <w:jc w:val="center"/>
              <w:rPr>
                <w:rFonts w:eastAsia="SimSun"/>
                <w:lang w:eastAsia="zh-CN"/>
              </w:rPr>
            </w:pPr>
            <w:r w:rsidRPr="00A52F7C">
              <w:rPr>
                <w:rFonts w:eastAsia="SimSun"/>
                <w:lang w:eastAsia="zh-CN"/>
              </w:rPr>
              <w:t>1.2</w:t>
            </w:r>
          </w:p>
        </w:tc>
        <w:tc>
          <w:tcPr>
            <w:tcW w:w="3860" w:type="dxa"/>
            <w:tcBorders>
              <w:top w:val="nil"/>
              <w:left w:val="nil"/>
              <w:bottom w:val="nil"/>
              <w:right w:val="nil"/>
            </w:tcBorders>
            <w:shd w:val="clear" w:color="auto" w:fill="auto"/>
            <w:vAlign w:val="bottom"/>
            <w:hideMark/>
          </w:tcPr>
          <w:p w14:paraId="3F28FA46" w14:textId="77777777" w:rsidR="00FE2CF3" w:rsidRPr="00A52F7C" w:rsidRDefault="00FE2CF3" w:rsidP="00EF4C5B">
            <w:pPr>
              <w:pStyle w:val="ExhibitText"/>
              <w:jc w:val="center"/>
              <w:rPr>
                <w:rFonts w:eastAsia="SimSun"/>
                <w:lang w:eastAsia="zh-CN"/>
              </w:rPr>
            </w:pPr>
            <w:r w:rsidRPr="00A52F7C">
              <w:rPr>
                <w:rFonts w:eastAsia="SimSun"/>
                <w:lang w:eastAsia="zh-CN"/>
              </w:rPr>
              <w:t>51.3</w:t>
            </w:r>
          </w:p>
        </w:tc>
      </w:tr>
      <w:tr w:rsidR="00FE2CF3" w:rsidRPr="00A52F7C" w14:paraId="2E160F91" w14:textId="77777777" w:rsidTr="00FE2CF3">
        <w:trPr>
          <w:trHeight w:val="300"/>
        </w:trPr>
        <w:tc>
          <w:tcPr>
            <w:tcW w:w="820" w:type="dxa"/>
            <w:tcBorders>
              <w:top w:val="nil"/>
              <w:left w:val="nil"/>
              <w:bottom w:val="nil"/>
              <w:right w:val="nil"/>
            </w:tcBorders>
            <w:shd w:val="clear" w:color="auto" w:fill="auto"/>
            <w:vAlign w:val="bottom"/>
            <w:hideMark/>
          </w:tcPr>
          <w:p w14:paraId="454BA3FB" w14:textId="77777777" w:rsidR="00FE2CF3" w:rsidRPr="00A52F7C" w:rsidRDefault="00FE2CF3" w:rsidP="00C85E0A">
            <w:pPr>
              <w:pStyle w:val="ExhibitText"/>
              <w:jc w:val="center"/>
              <w:rPr>
                <w:rFonts w:eastAsia="SimSun"/>
                <w:b/>
                <w:bCs/>
                <w:lang w:eastAsia="zh-CN"/>
              </w:rPr>
            </w:pPr>
            <w:r w:rsidRPr="00A52F7C">
              <w:rPr>
                <w:rFonts w:eastAsia="SimSun"/>
                <w:lang w:eastAsia="zh-CN"/>
              </w:rPr>
              <w:t>2013</w:t>
            </w:r>
          </w:p>
        </w:tc>
        <w:tc>
          <w:tcPr>
            <w:tcW w:w="3860" w:type="dxa"/>
            <w:tcBorders>
              <w:top w:val="nil"/>
              <w:left w:val="nil"/>
              <w:bottom w:val="nil"/>
              <w:right w:val="nil"/>
            </w:tcBorders>
            <w:shd w:val="clear" w:color="auto" w:fill="auto"/>
            <w:vAlign w:val="bottom"/>
            <w:hideMark/>
          </w:tcPr>
          <w:p w14:paraId="01DEBFDC" w14:textId="77777777" w:rsidR="00FE2CF3" w:rsidRPr="00A52F7C" w:rsidRDefault="00FE2CF3" w:rsidP="00EF4C5B">
            <w:pPr>
              <w:pStyle w:val="ExhibitText"/>
              <w:jc w:val="center"/>
              <w:rPr>
                <w:rFonts w:eastAsia="SimSun"/>
                <w:lang w:eastAsia="zh-CN"/>
              </w:rPr>
            </w:pPr>
            <w:r w:rsidRPr="00A52F7C">
              <w:rPr>
                <w:rFonts w:eastAsia="SimSun"/>
                <w:lang w:eastAsia="zh-CN"/>
              </w:rPr>
              <w:t>1.9</w:t>
            </w:r>
          </w:p>
        </w:tc>
        <w:tc>
          <w:tcPr>
            <w:tcW w:w="3860" w:type="dxa"/>
            <w:tcBorders>
              <w:top w:val="nil"/>
              <w:left w:val="nil"/>
              <w:bottom w:val="nil"/>
              <w:right w:val="nil"/>
            </w:tcBorders>
            <w:shd w:val="clear" w:color="auto" w:fill="auto"/>
            <w:vAlign w:val="bottom"/>
            <w:hideMark/>
          </w:tcPr>
          <w:p w14:paraId="59730F12" w14:textId="77777777" w:rsidR="00FE2CF3" w:rsidRPr="00A52F7C" w:rsidRDefault="00FE2CF3" w:rsidP="00EF4C5B">
            <w:pPr>
              <w:pStyle w:val="ExhibitText"/>
              <w:jc w:val="center"/>
              <w:rPr>
                <w:rFonts w:eastAsia="SimSun"/>
                <w:lang w:eastAsia="zh-CN"/>
              </w:rPr>
            </w:pPr>
            <w:r w:rsidRPr="00A52F7C">
              <w:rPr>
                <w:rFonts w:eastAsia="SimSun"/>
                <w:lang w:eastAsia="zh-CN"/>
              </w:rPr>
              <w:t>59.4</w:t>
            </w:r>
          </w:p>
        </w:tc>
      </w:tr>
      <w:tr w:rsidR="00FE2CF3" w:rsidRPr="00A52F7C" w14:paraId="5AE3B9D7" w14:textId="77777777" w:rsidTr="00FE2CF3">
        <w:trPr>
          <w:trHeight w:val="300"/>
        </w:trPr>
        <w:tc>
          <w:tcPr>
            <w:tcW w:w="820" w:type="dxa"/>
            <w:tcBorders>
              <w:top w:val="nil"/>
              <w:left w:val="nil"/>
              <w:bottom w:val="nil"/>
              <w:right w:val="nil"/>
            </w:tcBorders>
            <w:shd w:val="clear" w:color="auto" w:fill="auto"/>
            <w:vAlign w:val="bottom"/>
            <w:hideMark/>
          </w:tcPr>
          <w:p w14:paraId="1F5FF8FB" w14:textId="77777777" w:rsidR="00FE2CF3" w:rsidRPr="00A52F7C" w:rsidRDefault="00FE2CF3" w:rsidP="00C85E0A">
            <w:pPr>
              <w:pStyle w:val="ExhibitText"/>
              <w:jc w:val="center"/>
              <w:rPr>
                <w:rFonts w:eastAsia="SimSun"/>
                <w:b/>
                <w:bCs/>
                <w:lang w:eastAsia="zh-CN"/>
              </w:rPr>
            </w:pPr>
            <w:r w:rsidRPr="00A52F7C">
              <w:rPr>
                <w:rFonts w:eastAsia="SimSun"/>
                <w:lang w:eastAsia="zh-CN"/>
              </w:rPr>
              <w:t>2014</w:t>
            </w:r>
          </w:p>
        </w:tc>
        <w:tc>
          <w:tcPr>
            <w:tcW w:w="3860" w:type="dxa"/>
            <w:tcBorders>
              <w:top w:val="nil"/>
              <w:left w:val="nil"/>
              <w:bottom w:val="nil"/>
              <w:right w:val="nil"/>
            </w:tcBorders>
            <w:shd w:val="clear" w:color="auto" w:fill="auto"/>
            <w:vAlign w:val="bottom"/>
            <w:hideMark/>
          </w:tcPr>
          <w:p w14:paraId="3FDF7DB7" w14:textId="77777777" w:rsidR="00FE2CF3" w:rsidRPr="00A52F7C" w:rsidRDefault="00FE2CF3" w:rsidP="00EF4C5B">
            <w:pPr>
              <w:pStyle w:val="ExhibitText"/>
              <w:jc w:val="center"/>
              <w:rPr>
                <w:rFonts w:eastAsia="SimSun"/>
                <w:lang w:eastAsia="zh-CN"/>
              </w:rPr>
            </w:pPr>
            <w:r w:rsidRPr="00A52F7C">
              <w:rPr>
                <w:rFonts w:eastAsia="SimSun"/>
                <w:lang w:eastAsia="zh-CN"/>
              </w:rPr>
              <w:t>2.8</w:t>
            </w:r>
          </w:p>
        </w:tc>
        <w:tc>
          <w:tcPr>
            <w:tcW w:w="3860" w:type="dxa"/>
            <w:tcBorders>
              <w:top w:val="nil"/>
              <w:left w:val="nil"/>
              <w:bottom w:val="nil"/>
              <w:right w:val="nil"/>
            </w:tcBorders>
            <w:shd w:val="clear" w:color="auto" w:fill="auto"/>
            <w:vAlign w:val="bottom"/>
            <w:hideMark/>
          </w:tcPr>
          <w:p w14:paraId="7BE6A8B9" w14:textId="77777777" w:rsidR="00FE2CF3" w:rsidRPr="00A52F7C" w:rsidRDefault="00FE2CF3" w:rsidP="00EF4C5B">
            <w:pPr>
              <w:pStyle w:val="ExhibitText"/>
              <w:jc w:val="center"/>
              <w:rPr>
                <w:rFonts w:eastAsia="SimSun"/>
                <w:lang w:eastAsia="zh-CN"/>
              </w:rPr>
            </w:pPr>
            <w:r w:rsidRPr="00A52F7C">
              <w:rPr>
                <w:rFonts w:eastAsia="SimSun"/>
                <w:lang w:eastAsia="zh-CN"/>
              </w:rPr>
              <w:t>46.9</w:t>
            </w:r>
          </w:p>
        </w:tc>
      </w:tr>
      <w:tr w:rsidR="00FE2CF3" w:rsidRPr="00A52F7C" w14:paraId="19DFDC4D" w14:textId="77777777" w:rsidTr="00FE2CF3">
        <w:trPr>
          <w:trHeight w:val="300"/>
        </w:trPr>
        <w:tc>
          <w:tcPr>
            <w:tcW w:w="820" w:type="dxa"/>
            <w:tcBorders>
              <w:top w:val="nil"/>
              <w:left w:val="nil"/>
              <w:bottom w:val="nil"/>
              <w:right w:val="nil"/>
            </w:tcBorders>
            <w:shd w:val="clear" w:color="auto" w:fill="auto"/>
            <w:vAlign w:val="bottom"/>
            <w:hideMark/>
          </w:tcPr>
          <w:p w14:paraId="6D5D5807" w14:textId="77777777" w:rsidR="00FE2CF3" w:rsidRPr="00A52F7C" w:rsidRDefault="00FE2CF3" w:rsidP="00C85E0A">
            <w:pPr>
              <w:pStyle w:val="ExhibitText"/>
              <w:jc w:val="center"/>
              <w:rPr>
                <w:rFonts w:eastAsia="SimSun"/>
                <w:b/>
                <w:bCs/>
                <w:lang w:eastAsia="zh-CN"/>
              </w:rPr>
            </w:pPr>
            <w:r w:rsidRPr="00A52F7C">
              <w:rPr>
                <w:rFonts w:eastAsia="SimSun"/>
                <w:lang w:eastAsia="zh-CN"/>
              </w:rPr>
              <w:t>2015</w:t>
            </w:r>
          </w:p>
        </w:tc>
        <w:tc>
          <w:tcPr>
            <w:tcW w:w="3860" w:type="dxa"/>
            <w:tcBorders>
              <w:top w:val="nil"/>
              <w:left w:val="nil"/>
              <w:bottom w:val="nil"/>
              <w:right w:val="nil"/>
            </w:tcBorders>
            <w:shd w:val="clear" w:color="auto" w:fill="auto"/>
            <w:vAlign w:val="bottom"/>
            <w:hideMark/>
          </w:tcPr>
          <w:p w14:paraId="3106E61A" w14:textId="77777777" w:rsidR="00FE2CF3" w:rsidRPr="00A52F7C" w:rsidRDefault="00FE2CF3" w:rsidP="00EF4C5B">
            <w:pPr>
              <w:pStyle w:val="ExhibitText"/>
              <w:jc w:val="center"/>
              <w:rPr>
                <w:rFonts w:eastAsia="SimSun"/>
                <w:lang w:eastAsia="zh-CN"/>
              </w:rPr>
            </w:pPr>
            <w:r w:rsidRPr="00A52F7C">
              <w:rPr>
                <w:rFonts w:eastAsia="SimSun"/>
                <w:lang w:eastAsia="zh-CN"/>
              </w:rPr>
              <w:t>3.8</w:t>
            </w:r>
          </w:p>
        </w:tc>
        <w:tc>
          <w:tcPr>
            <w:tcW w:w="3860" w:type="dxa"/>
            <w:tcBorders>
              <w:top w:val="nil"/>
              <w:left w:val="nil"/>
              <w:bottom w:val="nil"/>
              <w:right w:val="nil"/>
            </w:tcBorders>
            <w:shd w:val="clear" w:color="auto" w:fill="auto"/>
            <w:vAlign w:val="bottom"/>
            <w:hideMark/>
          </w:tcPr>
          <w:p w14:paraId="70B63A1A" w14:textId="77777777" w:rsidR="00FE2CF3" w:rsidRPr="00A52F7C" w:rsidRDefault="00FE2CF3" w:rsidP="00EF4C5B">
            <w:pPr>
              <w:pStyle w:val="ExhibitText"/>
              <w:jc w:val="center"/>
              <w:rPr>
                <w:rFonts w:eastAsia="SimSun"/>
                <w:lang w:eastAsia="zh-CN"/>
              </w:rPr>
            </w:pPr>
            <w:r w:rsidRPr="00A52F7C">
              <w:rPr>
                <w:rFonts w:eastAsia="SimSun"/>
                <w:lang w:eastAsia="zh-CN"/>
              </w:rPr>
              <w:t>36.2</w:t>
            </w:r>
          </w:p>
        </w:tc>
      </w:tr>
      <w:tr w:rsidR="00FE2CF3" w:rsidRPr="00A52F7C" w14:paraId="47D6D5F1" w14:textId="77777777" w:rsidTr="00FE2CF3">
        <w:trPr>
          <w:trHeight w:val="300"/>
        </w:trPr>
        <w:tc>
          <w:tcPr>
            <w:tcW w:w="820" w:type="dxa"/>
            <w:tcBorders>
              <w:top w:val="nil"/>
              <w:left w:val="nil"/>
              <w:bottom w:val="nil"/>
              <w:right w:val="nil"/>
            </w:tcBorders>
            <w:shd w:val="clear" w:color="auto" w:fill="auto"/>
            <w:vAlign w:val="bottom"/>
            <w:hideMark/>
          </w:tcPr>
          <w:p w14:paraId="3C133C55" w14:textId="77777777" w:rsidR="00FE2CF3" w:rsidRPr="00A52F7C" w:rsidRDefault="00FE2CF3" w:rsidP="00C85E0A">
            <w:pPr>
              <w:pStyle w:val="ExhibitText"/>
              <w:jc w:val="center"/>
              <w:rPr>
                <w:rFonts w:eastAsia="SimSun"/>
                <w:b/>
                <w:bCs/>
                <w:lang w:eastAsia="zh-CN"/>
              </w:rPr>
            </w:pPr>
            <w:r w:rsidRPr="00A52F7C">
              <w:rPr>
                <w:rFonts w:eastAsia="SimSun"/>
                <w:lang w:eastAsia="zh-CN"/>
              </w:rPr>
              <w:t>2016E</w:t>
            </w:r>
          </w:p>
        </w:tc>
        <w:tc>
          <w:tcPr>
            <w:tcW w:w="3860" w:type="dxa"/>
            <w:tcBorders>
              <w:top w:val="nil"/>
              <w:left w:val="nil"/>
              <w:bottom w:val="nil"/>
              <w:right w:val="nil"/>
            </w:tcBorders>
            <w:shd w:val="clear" w:color="auto" w:fill="auto"/>
            <w:vAlign w:val="bottom"/>
            <w:hideMark/>
          </w:tcPr>
          <w:p w14:paraId="48FE51DC" w14:textId="5C9A878F" w:rsidR="00FE2CF3" w:rsidRPr="00A52F7C" w:rsidRDefault="00FE2CF3" w:rsidP="00EF4C5B">
            <w:pPr>
              <w:pStyle w:val="ExhibitText"/>
              <w:jc w:val="center"/>
              <w:rPr>
                <w:rFonts w:eastAsia="SimSun"/>
                <w:lang w:eastAsia="zh-CN"/>
              </w:rPr>
            </w:pPr>
            <w:r w:rsidRPr="00A52F7C">
              <w:rPr>
                <w:rFonts w:eastAsia="SimSun"/>
                <w:lang w:eastAsia="zh-CN"/>
              </w:rPr>
              <w:t>5.0</w:t>
            </w:r>
          </w:p>
        </w:tc>
        <w:tc>
          <w:tcPr>
            <w:tcW w:w="3860" w:type="dxa"/>
            <w:tcBorders>
              <w:top w:val="nil"/>
              <w:left w:val="nil"/>
              <w:bottom w:val="nil"/>
              <w:right w:val="nil"/>
            </w:tcBorders>
            <w:shd w:val="clear" w:color="auto" w:fill="auto"/>
            <w:vAlign w:val="bottom"/>
            <w:hideMark/>
          </w:tcPr>
          <w:p w14:paraId="5F973B9D" w14:textId="77777777" w:rsidR="00FE2CF3" w:rsidRPr="00A52F7C" w:rsidRDefault="00FE2CF3" w:rsidP="00EF4C5B">
            <w:pPr>
              <w:pStyle w:val="ExhibitText"/>
              <w:jc w:val="center"/>
              <w:rPr>
                <w:rFonts w:eastAsia="SimSun"/>
                <w:lang w:eastAsia="zh-CN"/>
              </w:rPr>
            </w:pPr>
            <w:r w:rsidRPr="00A52F7C">
              <w:rPr>
                <w:rFonts w:eastAsia="SimSun"/>
                <w:lang w:eastAsia="zh-CN"/>
              </w:rPr>
              <w:t>30.7</w:t>
            </w:r>
          </w:p>
        </w:tc>
      </w:tr>
      <w:tr w:rsidR="00FE2CF3" w:rsidRPr="00A52F7C" w14:paraId="393B4976" w14:textId="77777777" w:rsidTr="00FE2CF3">
        <w:trPr>
          <w:trHeight w:val="300"/>
        </w:trPr>
        <w:tc>
          <w:tcPr>
            <w:tcW w:w="820" w:type="dxa"/>
            <w:tcBorders>
              <w:top w:val="nil"/>
              <w:left w:val="nil"/>
              <w:bottom w:val="nil"/>
              <w:right w:val="nil"/>
            </w:tcBorders>
            <w:shd w:val="clear" w:color="auto" w:fill="auto"/>
            <w:vAlign w:val="bottom"/>
            <w:hideMark/>
          </w:tcPr>
          <w:p w14:paraId="17DA6B93" w14:textId="77777777" w:rsidR="00FE2CF3" w:rsidRPr="00A52F7C" w:rsidRDefault="00FE2CF3" w:rsidP="00C85E0A">
            <w:pPr>
              <w:pStyle w:val="ExhibitText"/>
              <w:jc w:val="center"/>
              <w:rPr>
                <w:rFonts w:eastAsia="SimSun"/>
                <w:b/>
                <w:bCs/>
                <w:lang w:eastAsia="zh-CN"/>
              </w:rPr>
            </w:pPr>
            <w:r w:rsidRPr="00A52F7C">
              <w:rPr>
                <w:rFonts w:eastAsia="SimSun"/>
                <w:lang w:eastAsia="zh-CN"/>
              </w:rPr>
              <w:t>2017E</w:t>
            </w:r>
          </w:p>
        </w:tc>
        <w:tc>
          <w:tcPr>
            <w:tcW w:w="3860" w:type="dxa"/>
            <w:tcBorders>
              <w:top w:val="nil"/>
              <w:left w:val="nil"/>
              <w:bottom w:val="nil"/>
              <w:right w:val="nil"/>
            </w:tcBorders>
            <w:shd w:val="clear" w:color="auto" w:fill="auto"/>
            <w:vAlign w:val="bottom"/>
            <w:hideMark/>
          </w:tcPr>
          <w:p w14:paraId="315DA4E5" w14:textId="77777777" w:rsidR="00FE2CF3" w:rsidRPr="00A52F7C" w:rsidRDefault="00FE2CF3" w:rsidP="00EF4C5B">
            <w:pPr>
              <w:pStyle w:val="ExhibitText"/>
              <w:jc w:val="center"/>
              <w:rPr>
                <w:rFonts w:eastAsia="SimSun"/>
                <w:lang w:eastAsia="zh-CN"/>
              </w:rPr>
            </w:pPr>
            <w:r w:rsidRPr="00A52F7C">
              <w:rPr>
                <w:rFonts w:eastAsia="SimSun"/>
                <w:lang w:eastAsia="zh-CN"/>
              </w:rPr>
              <w:t>6.2</w:t>
            </w:r>
          </w:p>
        </w:tc>
        <w:tc>
          <w:tcPr>
            <w:tcW w:w="3860" w:type="dxa"/>
            <w:tcBorders>
              <w:top w:val="nil"/>
              <w:left w:val="nil"/>
              <w:bottom w:val="nil"/>
              <w:right w:val="nil"/>
            </w:tcBorders>
            <w:shd w:val="clear" w:color="auto" w:fill="auto"/>
            <w:vAlign w:val="bottom"/>
            <w:hideMark/>
          </w:tcPr>
          <w:p w14:paraId="708BAB66" w14:textId="77777777" w:rsidR="00FE2CF3" w:rsidRPr="00A52F7C" w:rsidRDefault="00FE2CF3" w:rsidP="00EF4C5B">
            <w:pPr>
              <w:pStyle w:val="ExhibitText"/>
              <w:jc w:val="center"/>
              <w:rPr>
                <w:rFonts w:eastAsia="SimSun"/>
                <w:lang w:eastAsia="zh-CN"/>
              </w:rPr>
            </w:pPr>
            <w:r w:rsidRPr="00A52F7C">
              <w:rPr>
                <w:rFonts w:eastAsia="SimSun"/>
                <w:lang w:eastAsia="zh-CN"/>
              </w:rPr>
              <w:t>25.4</w:t>
            </w:r>
          </w:p>
        </w:tc>
      </w:tr>
      <w:tr w:rsidR="00FE2CF3" w:rsidRPr="00A52F7C" w14:paraId="75CD35EC" w14:textId="77777777" w:rsidTr="00FE2CF3">
        <w:trPr>
          <w:trHeight w:val="300"/>
        </w:trPr>
        <w:tc>
          <w:tcPr>
            <w:tcW w:w="820" w:type="dxa"/>
            <w:tcBorders>
              <w:top w:val="nil"/>
              <w:left w:val="nil"/>
              <w:bottom w:val="single" w:sz="4" w:space="0" w:color="auto"/>
              <w:right w:val="nil"/>
            </w:tcBorders>
            <w:shd w:val="clear" w:color="auto" w:fill="auto"/>
            <w:vAlign w:val="bottom"/>
            <w:hideMark/>
          </w:tcPr>
          <w:p w14:paraId="327E12CD" w14:textId="77777777" w:rsidR="00FE2CF3" w:rsidRPr="00A52F7C" w:rsidRDefault="00FE2CF3" w:rsidP="00C85E0A">
            <w:pPr>
              <w:pStyle w:val="ExhibitText"/>
              <w:jc w:val="center"/>
              <w:rPr>
                <w:rFonts w:eastAsia="SimSun"/>
                <w:b/>
                <w:bCs/>
                <w:lang w:eastAsia="zh-CN"/>
              </w:rPr>
            </w:pPr>
            <w:r w:rsidRPr="00A52F7C">
              <w:rPr>
                <w:rFonts w:eastAsia="SimSun"/>
                <w:lang w:eastAsia="zh-CN"/>
              </w:rPr>
              <w:t>2018E</w:t>
            </w:r>
          </w:p>
        </w:tc>
        <w:tc>
          <w:tcPr>
            <w:tcW w:w="3860" w:type="dxa"/>
            <w:tcBorders>
              <w:top w:val="nil"/>
              <w:left w:val="nil"/>
              <w:bottom w:val="single" w:sz="4" w:space="0" w:color="auto"/>
              <w:right w:val="nil"/>
            </w:tcBorders>
            <w:shd w:val="clear" w:color="auto" w:fill="auto"/>
            <w:vAlign w:val="bottom"/>
            <w:hideMark/>
          </w:tcPr>
          <w:p w14:paraId="29A421A2" w14:textId="77777777" w:rsidR="00FE2CF3" w:rsidRPr="00A52F7C" w:rsidRDefault="00FE2CF3" w:rsidP="00EF4C5B">
            <w:pPr>
              <w:pStyle w:val="ExhibitText"/>
              <w:jc w:val="center"/>
              <w:rPr>
                <w:rFonts w:eastAsia="SimSun"/>
                <w:lang w:eastAsia="zh-CN"/>
              </w:rPr>
            </w:pPr>
            <w:r w:rsidRPr="00A52F7C">
              <w:rPr>
                <w:rFonts w:eastAsia="SimSun"/>
                <w:lang w:eastAsia="zh-CN"/>
              </w:rPr>
              <w:t>7.5</w:t>
            </w:r>
          </w:p>
        </w:tc>
        <w:tc>
          <w:tcPr>
            <w:tcW w:w="3860" w:type="dxa"/>
            <w:tcBorders>
              <w:top w:val="nil"/>
              <w:left w:val="nil"/>
              <w:bottom w:val="single" w:sz="4" w:space="0" w:color="auto"/>
              <w:right w:val="nil"/>
            </w:tcBorders>
            <w:shd w:val="clear" w:color="auto" w:fill="auto"/>
            <w:vAlign w:val="bottom"/>
            <w:hideMark/>
          </w:tcPr>
          <w:p w14:paraId="18AB118E" w14:textId="77777777" w:rsidR="00FE2CF3" w:rsidRPr="00A52F7C" w:rsidRDefault="00FE2CF3" w:rsidP="00EF4C5B">
            <w:pPr>
              <w:pStyle w:val="ExhibitText"/>
              <w:jc w:val="center"/>
              <w:rPr>
                <w:rFonts w:eastAsia="SimSun"/>
                <w:lang w:eastAsia="zh-CN"/>
              </w:rPr>
            </w:pPr>
            <w:r w:rsidRPr="00A52F7C">
              <w:rPr>
                <w:rFonts w:eastAsia="SimSun"/>
                <w:lang w:eastAsia="zh-CN"/>
              </w:rPr>
              <w:t>20.4</w:t>
            </w:r>
          </w:p>
        </w:tc>
      </w:tr>
    </w:tbl>
    <w:p w14:paraId="0E7BCC95" w14:textId="77777777" w:rsidR="00FE2CF3" w:rsidRPr="00A52F7C" w:rsidRDefault="00FE2CF3" w:rsidP="005169F6">
      <w:pPr>
        <w:pStyle w:val="ExhibitText"/>
        <w:rPr>
          <w:lang w:eastAsia="zh-CN"/>
        </w:rPr>
      </w:pPr>
    </w:p>
    <w:p w14:paraId="0F19CBEC" w14:textId="4BD2F1F1" w:rsidR="00FA5CDC" w:rsidRPr="00A52F7C" w:rsidRDefault="00FA5CDC">
      <w:pPr>
        <w:pStyle w:val="Footnote"/>
      </w:pPr>
      <w:r w:rsidRPr="00A52F7C">
        <w:t>Note:</w:t>
      </w:r>
      <w:r w:rsidR="007202BE">
        <w:t xml:space="preserve"> E = estimated;</w:t>
      </w:r>
      <w:r w:rsidRPr="00A52F7C">
        <w:t xml:space="preserve"> </w:t>
      </w:r>
      <w:r w:rsidR="007202BE">
        <w:t xml:space="preserve">¥1.00 = US$0.15 in </w:t>
      </w:r>
      <w:r w:rsidR="005F5A27" w:rsidRPr="00A52F7C">
        <w:t xml:space="preserve">January </w:t>
      </w:r>
      <w:r w:rsidR="007202BE">
        <w:t xml:space="preserve">31, </w:t>
      </w:r>
      <w:r w:rsidR="005F5A27" w:rsidRPr="00A52F7C">
        <w:t>2017.</w:t>
      </w:r>
    </w:p>
    <w:p w14:paraId="5CCD97E4" w14:textId="6FD02276" w:rsidR="00895412" w:rsidRPr="007202BE" w:rsidRDefault="00FE12F7">
      <w:pPr>
        <w:pStyle w:val="Footnote"/>
        <w:rPr>
          <w:spacing w:val="-4"/>
        </w:rPr>
      </w:pPr>
      <w:r w:rsidRPr="007202BE">
        <w:rPr>
          <w:spacing w:val="-4"/>
        </w:rPr>
        <w:t xml:space="preserve">Source: </w:t>
      </w:r>
      <w:r w:rsidR="0037758B" w:rsidRPr="007202BE">
        <w:rPr>
          <w:spacing w:val="-4"/>
        </w:rPr>
        <w:t xml:space="preserve">Created by the case authors based on </w:t>
      </w:r>
      <w:r w:rsidR="00FA5CDC" w:rsidRPr="007202BE">
        <w:rPr>
          <w:spacing w:val="-4"/>
        </w:rPr>
        <w:t xml:space="preserve">Deloitte, </w:t>
      </w:r>
      <w:r w:rsidR="00FE2CF3" w:rsidRPr="007202BE">
        <w:rPr>
          <w:i/>
          <w:spacing w:val="-4"/>
        </w:rPr>
        <w:t>China E-Retail Market Report 2016</w:t>
      </w:r>
      <w:r w:rsidR="00FE2CF3" w:rsidRPr="007202BE">
        <w:rPr>
          <w:spacing w:val="-4"/>
        </w:rPr>
        <w:t>,</w:t>
      </w:r>
      <w:r w:rsidR="003363B9" w:rsidRPr="007202BE">
        <w:rPr>
          <w:spacing w:val="-4"/>
        </w:rPr>
        <w:t xml:space="preserve"> </w:t>
      </w:r>
      <w:r w:rsidR="00FA5CDC" w:rsidRPr="007202BE">
        <w:rPr>
          <w:spacing w:val="-4"/>
        </w:rPr>
        <w:t xml:space="preserve">2017, </w:t>
      </w:r>
      <w:r w:rsidR="003C7ED1" w:rsidRPr="007202BE">
        <w:rPr>
          <w:spacing w:val="-4"/>
        </w:rPr>
        <w:t xml:space="preserve">5, </w:t>
      </w:r>
      <w:r w:rsidR="00FE2CF3" w:rsidRPr="007202BE">
        <w:rPr>
          <w:spacing w:val="-4"/>
        </w:rPr>
        <w:t>accessed July 13, 2017, https://www2.deloitte.com/content/dam/Deloitte/cn/Documents/cip/deloitte-cn-cip-china-online-retail-market-report-en-170123.pdf.</w:t>
      </w:r>
    </w:p>
    <w:p w14:paraId="45E3FDA4" w14:textId="77777777" w:rsidR="00D67A99" w:rsidRPr="00A52F7C" w:rsidRDefault="00D67A99" w:rsidP="005169F6">
      <w:pPr>
        <w:pStyle w:val="ExhibitText"/>
      </w:pPr>
    </w:p>
    <w:p w14:paraId="1F9B2691" w14:textId="77777777" w:rsidR="00DA1856" w:rsidRPr="00A52F7C" w:rsidRDefault="00DA1856" w:rsidP="005169F6">
      <w:pPr>
        <w:pStyle w:val="ExhibitText"/>
      </w:pPr>
    </w:p>
    <w:p w14:paraId="44471C19" w14:textId="485AD9CE" w:rsidR="00D67A99" w:rsidRPr="00A52F7C" w:rsidRDefault="00D67A99" w:rsidP="005169F6">
      <w:pPr>
        <w:pStyle w:val="ExhibitHeading"/>
      </w:pPr>
      <w:r w:rsidRPr="00A52F7C">
        <w:t xml:space="preserve">Exhibit 2: </w:t>
      </w:r>
      <w:r w:rsidR="00982E07" w:rsidRPr="00A52F7C">
        <w:t>Alibaba</w:t>
      </w:r>
      <w:r w:rsidR="005F5A27" w:rsidRPr="00A52F7C">
        <w:t>’s</w:t>
      </w:r>
      <w:r w:rsidR="00982E07" w:rsidRPr="00A52F7C">
        <w:t xml:space="preserve"> Gross </w:t>
      </w:r>
      <w:r w:rsidR="005F5A27" w:rsidRPr="00A52F7C">
        <w:t xml:space="preserve">Merchandise </w:t>
      </w:r>
      <w:r w:rsidR="00982E07" w:rsidRPr="00A52F7C">
        <w:t>V</w:t>
      </w:r>
      <w:r w:rsidR="00946907" w:rsidRPr="00A52F7C">
        <w:t>OLUME</w:t>
      </w:r>
      <w:r w:rsidR="00982E07" w:rsidRPr="00A52F7C">
        <w:t xml:space="preserve"> growth</w:t>
      </w:r>
    </w:p>
    <w:p w14:paraId="61BAFA4D" w14:textId="77777777" w:rsidR="000D2718" w:rsidRPr="00A52F7C" w:rsidRDefault="000D2718" w:rsidP="005169F6">
      <w:pPr>
        <w:pStyle w:val="ExhibitText"/>
      </w:pPr>
    </w:p>
    <w:tbl>
      <w:tblPr>
        <w:tblW w:w="3512" w:type="dxa"/>
        <w:jc w:val="center"/>
        <w:tblLook w:val="04A0" w:firstRow="1" w:lastRow="0" w:firstColumn="1" w:lastColumn="0" w:noHBand="0" w:noVBand="1"/>
      </w:tblPr>
      <w:tblGrid>
        <w:gridCol w:w="1636"/>
        <w:gridCol w:w="1876"/>
      </w:tblGrid>
      <w:tr w:rsidR="000D2718" w:rsidRPr="00A52F7C" w14:paraId="3141A31C" w14:textId="77777777" w:rsidTr="00DA1856">
        <w:trPr>
          <w:trHeight w:val="300"/>
          <w:jc w:val="center"/>
        </w:trPr>
        <w:tc>
          <w:tcPr>
            <w:tcW w:w="1636" w:type="dxa"/>
            <w:tcBorders>
              <w:top w:val="single" w:sz="4" w:space="0" w:color="auto"/>
              <w:left w:val="nil"/>
              <w:bottom w:val="single" w:sz="4" w:space="0" w:color="auto"/>
              <w:right w:val="nil"/>
            </w:tcBorders>
            <w:shd w:val="clear" w:color="auto" w:fill="auto"/>
            <w:noWrap/>
            <w:vAlign w:val="bottom"/>
            <w:hideMark/>
          </w:tcPr>
          <w:p w14:paraId="4150C8D2" w14:textId="77777777" w:rsidR="000D2718" w:rsidRPr="00A52F7C" w:rsidRDefault="000D2718" w:rsidP="00C85E0A">
            <w:pPr>
              <w:pStyle w:val="ExhibitText"/>
              <w:jc w:val="center"/>
              <w:rPr>
                <w:rFonts w:eastAsia="SimSun"/>
                <w:b/>
                <w:bCs/>
                <w:lang w:eastAsia="zh-CN"/>
              </w:rPr>
            </w:pPr>
            <w:r w:rsidRPr="00A52F7C">
              <w:rPr>
                <w:rFonts w:eastAsia="SimSun"/>
                <w:lang w:eastAsia="zh-CN"/>
              </w:rPr>
              <w:t>Quarter-Year</w:t>
            </w:r>
          </w:p>
        </w:tc>
        <w:tc>
          <w:tcPr>
            <w:tcW w:w="1876" w:type="dxa"/>
            <w:tcBorders>
              <w:top w:val="single" w:sz="4" w:space="0" w:color="auto"/>
              <w:left w:val="nil"/>
              <w:bottom w:val="single" w:sz="4" w:space="0" w:color="auto"/>
              <w:right w:val="nil"/>
            </w:tcBorders>
            <w:shd w:val="clear" w:color="auto" w:fill="auto"/>
            <w:noWrap/>
            <w:vAlign w:val="bottom"/>
            <w:hideMark/>
          </w:tcPr>
          <w:p w14:paraId="5334F256" w14:textId="14515DF4" w:rsidR="000D2718" w:rsidRPr="00A52F7C" w:rsidRDefault="000D2718" w:rsidP="00EF4C5B">
            <w:pPr>
              <w:pStyle w:val="ExhibitText"/>
              <w:jc w:val="center"/>
              <w:rPr>
                <w:rFonts w:eastAsia="SimSun"/>
                <w:lang w:eastAsia="zh-CN"/>
              </w:rPr>
            </w:pPr>
            <w:r w:rsidRPr="00A52F7C">
              <w:rPr>
                <w:rFonts w:eastAsia="SimSun"/>
                <w:lang w:eastAsia="zh-CN"/>
              </w:rPr>
              <w:t>Growth</w:t>
            </w:r>
          </w:p>
        </w:tc>
      </w:tr>
      <w:tr w:rsidR="000D2718" w:rsidRPr="00A52F7C" w14:paraId="1A804C44" w14:textId="77777777" w:rsidTr="00DA1856">
        <w:trPr>
          <w:trHeight w:val="300"/>
          <w:jc w:val="center"/>
        </w:trPr>
        <w:tc>
          <w:tcPr>
            <w:tcW w:w="1636" w:type="dxa"/>
            <w:tcBorders>
              <w:top w:val="nil"/>
              <w:left w:val="nil"/>
              <w:bottom w:val="nil"/>
              <w:right w:val="nil"/>
            </w:tcBorders>
            <w:shd w:val="clear" w:color="auto" w:fill="auto"/>
            <w:noWrap/>
            <w:vAlign w:val="bottom"/>
            <w:hideMark/>
          </w:tcPr>
          <w:p w14:paraId="3E1B4928" w14:textId="77777777" w:rsidR="000D2718" w:rsidRPr="00A52F7C" w:rsidRDefault="000D2718" w:rsidP="00C85E0A">
            <w:pPr>
              <w:pStyle w:val="ExhibitText"/>
              <w:jc w:val="center"/>
              <w:rPr>
                <w:rFonts w:eastAsia="SimSun"/>
                <w:b/>
                <w:bCs/>
                <w:lang w:eastAsia="zh-CN"/>
              </w:rPr>
            </w:pPr>
            <w:r w:rsidRPr="00A52F7C">
              <w:rPr>
                <w:rFonts w:eastAsia="SimSun"/>
                <w:lang w:eastAsia="zh-CN"/>
              </w:rPr>
              <w:t>4Q15</w:t>
            </w:r>
          </w:p>
        </w:tc>
        <w:tc>
          <w:tcPr>
            <w:tcW w:w="1876" w:type="dxa"/>
            <w:tcBorders>
              <w:top w:val="nil"/>
              <w:left w:val="nil"/>
              <w:bottom w:val="nil"/>
              <w:right w:val="nil"/>
            </w:tcBorders>
            <w:shd w:val="clear" w:color="auto" w:fill="auto"/>
            <w:noWrap/>
            <w:vAlign w:val="bottom"/>
            <w:hideMark/>
          </w:tcPr>
          <w:p w14:paraId="37D25128" w14:textId="77777777" w:rsidR="000D2718" w:rsidRPr="00A52F7C" w:rsidRDefault="000D2718" w:rsidP="00EF4C5B">
            <w:pPr>
              <w:pStyle w:val="ExhibitText"/>
              <w:jc w:val="center"/>
              <w:rPr>
                <w:rFonts w:eastAsia="SimSun"/>
                <w:lang w:eastAsia="zh-CN"/>
              </w:rPr>
            </w:pPr>
            <w:r w:rsidRPr="00A52F7C">
              <w:rPr>
                <w:rFonts w:eastAsia="SimSun"/>
                <w:lang w:eastAsia="zh-CN"/>
              </w:rPr>
              <w:t>40%</w:t>
            </w:r>
          </w:p>
        </w:tc>
      </w:tr>
      <w:tr w:rsidR="000D2718" w:rsidRPr="00A52F7C" w14:paraId="619AA11C" w14:textId="77777777" w:rsidTr="00DA1856">
        <w:trPr>
          <w:trHeight w:val="300"/>
          <w:jc w:val="center"/>
        </w:trPr>
        <w:tc>
          <w:tcPr>
            <w:tcW w:w="1636" w:type="dxa"/>
            <w:tcBorders>
              <w:top w:val="nil"/>
              <w:left w:val="nil"/>
              <w:bottom w:val="nil"/>
              <w:right w:val="nil"/>
            </w:tcBorders>
            <w:shd w:val="clear" w:color="auto" w:fill="auto"/>
            <w:noWrap/>
            <w:vAlign w:val="bottom"/>
            <w:hideMark/>
          </w:tcPr>
          <w:p w14:paraId="46FA9349" w14:textId="77777777" w:rsidR="000D2718" w:rsidRPr="00A52F7C" w:rsidRDefault="000D2718" w:rsidP="00C85E0A">
            <w:pPr>
              <w:pStyle w:val="ExhibitText"/>
              <w:jc w:val="center"/>
              <w:rPr>
                <w:rFonts w:eastAsia="SimSun"/>
                <w:b/>
                <w:bCs/>
                <w:lang w:eastAsia="zh-CN"/>
              </w:rPr>
            </w:pPr>
            <w:r w:rsidRPr="00A52F7C">
              <w:rPr>
                <w:rFonts w:eastAsia="SimSun"/>
                <w:lang w:eastAsia="zh-CN"/>
              </w:rPr>
              <w:t>1Q16</w:t>
            </w:r>
          </w:p>
        </w:tc>
        <w:tc>
          <w:tcPr>
            <w:tcW w:w="1876" w:type="dxa"/>
            <w:tcBorders>
              <w:top w:val="nil"/>
              <w:left w:val="nil"/>
              <w:bottom w:val="nil"/>
              <w:right w:val="nil"/>
            </w:tcBorders>
            <w:shd w:val="clear" w:color="auto" w:fill="auto"/>
            <w:noWrap/>
            <w:vAlign w:val="bottom"/>
            <w:hideMark/>
          </w:tcPr>
          <w:p w14:paraId="15F13568" w14:textId="77777777" w:rsidR="000D2718" w:rsidRPr="00A52F7C" w:rsidRDefault="000D2718" w:rsidP="00EF4C5B">
            <w:pPr>
              <w:pStyle w:val="ExhibitText"/>
              <w:jc w:val="center"/>
              <w:rPr>
                <w:rFonts w:eastAsia="SimSun"/>
                <w:lang w:eastAsia="zh-CN"/>
              </w:rPr>
            </w:pPr>
            <w:r w:rsidRPr="00A52F7C">
              <w:rPr>
                <w:rFonts w:eastAsia="SimSun"/>
                <w:lang w:eastAsia="zh-CN"/>
              </w:rPr>
              <w:t>34%</w:t>
            </w:r>
          </w:p>
        </w:tc>
      </w:tr>
      <w:tr w:rsidR="000D2718" w:rsidRPr="00A52F7C" w14:paraId="74870CBB" w14:textId="77777777" w:rsidTr="00DA1856">
        <w:trPr>
          <w:trHeight w:val="300"/>
          <w:jc w:val="center"/>
        </w:trPr>
        <w:tc>
          <w:tcPr>
            <w:tcW w:w="1636" w:type="dxa"/>
            <w:tcBorders>
              <w:top w:val="nil"/>
              <w:left w:val="nil"/>
              <w:bottom w:val="nil"/>
              <w:right w:val="nil"/>
            </w:tcBorders>
            <w:shd w:val="clear" w:color="auto" w:fill="auto"/>
            <w:noWrap/>
            <w:vAlign w:val="bottom"/>
            <w:hideMark/>
          </w:tcPr>
          <w:p w14:paraId="04239035" w14:textId="77777777" w:rsidR="000D2718" w:rsidRPr="00A52F7C" w:rsidRDefault="000D2718" w:rsidP="00C85E0A">
            <w:pPr>
              <w:pStyle w:val="ExhibitText"/>
              <w:jc w:val="center"/>
              <w:rPr>
                <w:rFonts w:eastAsia="SimSun"/>
                <w:b/>
                <w:bCs/>
                <w:lang w:eastAsia="zh-CN"/>
              </w:rPr>
            </w:pPr>
            <w:r w:rsidRPr="00A52F7C">
              <w:rPr>
                <w:rFonts w:eastAsia="SimSun"/>
                <w:lang w:eastAsia="zh-CN"/>
              </w:rPr>
              <w:t>2Q16</w:t>
            </w:r>
          </w:p>
        </w:tc>
        <w:tc>
          <w:tcPr>
            <w:tcW w:w="1876" w:type="dxa"/>
            <w:tcBorders>
              <w:top w:val="nil"/>
              <w:left w:val="nil"/>
              <w:bottom w:val="nil"/>
              <w:right w:val="nil"/>
            </w:tcBorders>
            <w:shd w:val="clear" w:color="auto" w:fill="auto"/>
            <w:noWrap/>
            <w:vAlign w:val="bottom"/>
            <w:hideMark/>
          </w:tcPr>
          <w:p w14:paraId="635FFD58" w14:textId="77777777" w:rsidR="000D2718" w:rsidRPr="00A52F7C" w:rsidRDefault="000D2718" w:rsidP="00EF4C5B">
            <w:pPr>
              <w:pStyle w:val="ExhibitText"/>
              <w:jc w:val="center"/>
              <w:rPr>
                <w:rFonts w:eastAsia="SimSun"/>
                <w:lang w:eastAsia="zh-CN"/>
              </w:rPr>
            </w:pPr>
            <w:r w:rsidRPr="00A52F7C">
              <w:rPr>
                <w:rFonts w:eastAsia="SimSun"/>
                <w:lang w:eastAsia="zh-CN"/>
              </w:rPr>
              <w:t>28%</w:t>
            </w:r>
          </w:p>
        </w:tc>
      </w:tr>
      <w:tr w:rsidR="000D2718" w:rsidRPr="00A52F7C" w14:paraId="544317E0" w14:textId="77777777" w:rsidTr="00DA1856">
        <w:trPr>
          <w:trHeight w:val="300"/>
          <w:jc w:val="center"/>
        </w:trPr>
        <w:tc>
          <w:tcPr>
            <w:tcW w:w="1636" w:type="dxa"/>
            <w:tcBorders>
              <w:top w:val="nil"/>
              <w:left w:val="nil"/>
              <w:bottom w:val="nil"/>
              <w:right w:val="nil"/>
            </w:tcBorders>
            <w:shd w:val="clear" w:color="auto" w:fill="auto"/>
            <w:noWrap/>
            <w:vAlign w:val="bottom"/>
            <w:hideMark/>
          </w:tcPr>
          <w:p w14:paraId="7C00541F" w14:textId="77777777" w:rsidR="000D2718" w:rsidRPr="00A52F7C" w:rsidRDefault="000D2718" w:rsidP="00C85E0A">
            <w:pPr>
              <w:pStyle w:val="ExhibitText"/>
              <w:jc w:val="center"/>
              <w:rPr>
                <w:rFonts w:eastAsia="SimSun"/>
                <w:b/>
                <w:bCs/>
                <w:lang w:eastAsia="zh-CN"/>
              </w:rPr>
            </w:pPr>
            <w:r w:rsidRPr="00A52F7C">
              <w:rPr>
                <w:rFonts w:eastAsia="SimSun"/>
                <w:lang w:eastAsia="zh-CN"/>
              </w:rPr>
              <w:t>3Q16</w:t>
            </w:r>
          </w:p>
        </w:tc>
        <w:tc>
          <w:tcPr>
            <w:tcW w:w="1876" w:type="dxa"/>
            <w:tcBorders>
              <w:top w:val="nil"/>
              <w:left w:val="nil"/>
              <w:bottom w:val="nil"/>
              <w:right w:val="nil"/>
            </w:tcBorders>
            <w:shd w:val="clear" w:color="auto" w:fill="auto"/>
            <w:noWrap/>
            <w:vAlign w:val="bottom"/>
            <w:hideMark/>
          </w:tcPr>
          <w:p w14:paraId="33A82292" w14:textId="77777777" w:rsidR="000D2718" w:rsidRPr="00A52F7C" w:rsidRDefault="000D2718" w:rsidP="00EF4C5B">
            <w:pPr>
              <w:pStyle w:val="ExhibitText"/>
              <w:jc w:val="center"/>
              <w:rPr>
                <w:rFonts w:eastAsia="SimSun"/>
                <w:lang w:eastAsia="zh-CN"/>
              </w:rPr>
            </w:pPr>
            <w:r w:rsidRPr="00A52F7C">
              <w:rPr>
                <w:rFonts w:eastAsia="SimSun"/>
                <w:lang w:eastAsia="zh-CN"/>
              </w:rPr>
              <w:t>23%</w:t>
            </w:r>
          </w:p>
        </w:tc>
      </w:tr>
      <w:tr w:rsidR="000D2718" w:rsidRPr="00A52F7C" w14:paraId="292BF41B" w14:textId="77777777" w:rsidTr="00DA1856">
        <w:trPr>
          <w:trHeight w:val="300"/>
          <w:jc w:val="center"/>
        </w:trPr>
        <w:tc>
          <w:tcPr>
            <w:tcW w:w="1636" w:type="dxa"/>
            <w:tcBorders>
              <w:top w:val="nil"/>
              <w:left w:val="nil"/>
              <w:bottom w:val="single" w:sz="4" w:space="0" w:color="auto"/>
              <w:right w:val="nil"/>
            </w:tcBorders>
            <w:shd w:val="clear" w:color="auto" w:fill="auto"/>
            <w:noWrap/>
            <w:vAlign w:val="bottom"/>
            <w:hideMark/>
          </w:tcPr>
          <w:p w14:paraId="2CF7C83D" w14:textId="77777777" w:rsidR="000D2718" w:rsidRPr="00A52F7C" w:rsidRDefault="000D2718" w:rsidP="00C85E0A">
            <w:pPr>
              <w:pStyle w:val="ExhibitText"/>
              <w:jc w:val="center"/>
              <w:rPr>
                <w:rFonts w:eastAsia="SimSun"/>
                <w:b/>
                <w:bCs/>
                <w:lang w:eastAsia="zh-CN"/>
              </w:rPr>
            </w:pPr>
            <w:r w:rsidRPr="00A52F7C">
              <w:rPr>
                <w:rFonts w:eastAsia="SimSun"/>
                <w:lang w:eastAsia="zh-CN"/>
              </w:rPr>
              <w:t>4Q16</w:t>
            </w:r>
          </w:p>
        </w:tc>
        <w:tc>
          <w:tcPr>
            <w:tcW w:w="1876" w:type="dxa"/>
            <w:tcBorders>
              <w:top w:val="nil"/>
              <w:left w:val="nil"/>
              <w:bottom w:val="single" w:sz="4" w:space="0" w:color="auto"/>
              <w:right w:val="nil"/>
            </w:tcBorders>
            <w:shd w:val="clear" w:color="auto" w:fill="auto"/>
            <w:noWrap/>
            <w:vAlign w:val="bottom"/>
            <w:hideMark/>
          </w:tcPr>
          <w:p w14:paraId="38C99A29" w14:textId="77777777" w:rsidR="000D2718" w:rsidRPr="00A52F7C" w:rsidRDefault="000D2718" w:rsidP="00EF4C5B">
            <w:pPr>
              <w:pStyle w:val="ExhibitText"/>
              <w:jc w:val="center"/>
              <w:rPr>
                <w:rFonts w:eastAsia="SimSun"/>
                <w:lang w:eastAsia="zh-CN"/>
              </w:rPr>
            </w:pPr>
            <w:r w:rsidRPr="00A52F7C">
              <w:rPr>
                <w:rFonts w:eastAsia="SimSun"/>
                <w:lang w:eastAsia="zh-CN"/>
              </w:rPr>
              <w:t>24%</w:t>
            </w:r>
          </w:p>
        </w:tc>
      </w:tr>
    </w:tbl>
    <w:p w14:paraId="5D2140F9" w14:textId="77777777" w:rsidR="000D2718" w:rsidRPr="00A52F7C" w:rsidRDefault="000D2718" w:rsidP="005169F6">
      <w:pPr>
        <w:pStyle w:val="ExhibitText"/>
      </w:pPr>
    </w:p>
    <w:p w14:paraId="59B1DAEB" w14:textId="1EC6FBE2" w:rsidR="00982E07" w:rsidRPr="00A52F7C" w:rsidRDefault="000D2718">
      <w:pPr>
        <w:pStyle w:val="Footnote"/>
      </w:pPr>
      <w:r w:rsidRPr="00A52F7C">
        <w:t>S</w:t>
      </w:r>
      <w:r w:rsidR="00982E07" w:rsidRPr="00A52F7C">
        <w:t xml:space="preserve">ource: </w:t>
      </w:r>
      <w:r w:rsidR="0037758B" w:rsidRPr="00A52F7C">
        <w:t xml:space="preserve">Created by the case authors based on </w:t>
      </w:r>
      <w:r w:rsidR="00946907" w:rsidRPr="00A52F7C">
        <w:t>Adrian Stevens, “Will Alibaba’s Fiscal 1Q17 Earnings Top Analysts’ Estimate</w:t>
      </w:r>
      <w:proofErr w:type="gramStart"/>
      <w:r w:rsidR="00946907" w:rsidRPr="00A52F7C">
        <w:t>?,</w:t>
      </w:r>
      <w:proofErr w:type="gramEnd"/>
      <w:r w:rsidR="00946907" w:rsidRPr="00A52F7C">
        <w:t xml:space="preserve">” </w:t>
      </w:r>
      <w:r w:rsidR="00982E07" w:rsidRPr="00A52F7C">
        <w:t xml:space="preserve">Market Realist, </w:t>
      </w:r>
      <w:r w:rsidR="00946907" w:rsidRPr="00BA3D71">
        <w:t>August 3, 2016, accessed July 13, 2017</w:t>
      </w:r>
      <w:r w:rsidR="00946907" w:rsidRPr="00A52F7C">
        <w:t>, http://marketrealist.com/2016/08/will-alibabas-gmv-growth-rate-slow.</w:t>
      </w:r>
    </w:p>
    <w:p w14:paraId="1457E829" w14:textId="77777777" w:rsidR="00982E07" w:rsidRPr="00A52F7C" w:rsidRDefault="00982E07" w:rsidP="005169F6">
      <w:pPr>
        <w:pStyle w:val="ExhibitText"/>
        <w:rPr>
          <w:lang w:eastAsia="zh-CN"/>
        </w:rPr>
      </w:pPr>
    </w:p>
    <w:p w14:paraId="1E2352C8" w14:textId="4C2B8EC8" w:rsidR="00DA1856" w:rsidRPr="00A52F7C" w:rsidRDefault="00DA1856">
      <w:pPr>
        <w:spacing w:after="200" w:line="276" w:lineRule="auto"/>
        <w:rPr>
          <w:sz w:val="22"/>
          <w:szCs w:val="22"/>
          <w:lang w:eastAsia="zh-CN"/>
        </w:rPr>
      </w:pPr>
      <w:r w:rsidRPr="00A52F7C">
        <w:rPr>
          <w:lang w:eastAsia="zh-CN"/>
        </w:rPr>
        <w:br w:type="page"/>
      </w:r>
    </w:p>
    <w:p w14:paraId="3EC3276C" w14:textId="52B9E00C" w:rsidR="00197829" w:rsidRPr="00A52F7C" w:rsidRDefault="00D67A99" w:rsidP="005169F6">
      <w:pPr>
        <w:pStyle w:val="ExhibitHeading"/>
        <w:rPr>
          <w:lang w:eastAsia="zh-CN"/>
        </w:rPr>
      </w:pPr>
      <w:r w:rsidRPr="00A52F7C">
        <w:lastRenderedPageBreak/>
        <w:t xml:space="preserve">Exhibit 3: </w:t>
      </w:r>
      <w:r w:rsidR="00982E07" w:rsidRPr="00A52F7C">
        <w:t>E-Commerce Market Size in Southeast Asia</w:t>
      </w:r>
      <w:r w:rsidR="00F26049" w:rsidRPr="00A52F7C">
        <w:t xml:space="preserve"> IN 2015</w:t>
      </w:r>
    </w:p>
    <w:p w14:paraId="5FCC40A9" w14:textId="77777777" w:rsidR="00197829" w:rsidRPr="00A52F7C" w:rsidRDefault="00197829" w:rsidP="005169F6">
      <w:pPr>
        <w:pStyle w:val="ExhibitText"/>
        <w:rPr>
          <w:lang w:eastAsia="zh-CN"/>
        </w:rPr>
      </w:pPr>
    </w:p>
    <w:tbl>
      <w:tblPr>
        <w:tblW w:w="9160" w:type="dxa"/>
        <w:tblInd w:w="108" w:type="dxa"/>
        <w:tblLook w:val="04A0" w:firstRow="1" w:lastRow="0" w:firstColumn="1" w:lastColumn="0" w:noHBand="0" w:noVBand="1"/>
      </w:tblPr>
      <w:tblGrid>
        <w:gridCol w:w="1462"/>
        <w:gridCol w:w="1040"/>
        <w:gridCol w:w="986"/>
        <w:gridCol w:w="1046"/>
        <w:gridCol w:w="1240"/>
        <w:gridCol w:w="1152"/>
        <w:gridCol w:w="1111"/>
        <w:gridCol w:w="1123"/>
      </w:tblGrid>
      <w:tr w:rsidR="008F108B" w:rsidRPr="00A52F7C" w14:paraId="0A18329D" w14:textId="77777777" w:rsidTr="00EF4C5B">
        <w:trPr>
          <w:trHeight w:val="300"/>
        </w:trPr>
        <w:tc>
          <w:tcPr>
            <w:tcW w:w="1320" w:type="dxa"/>
            <w:tcBorders>
              <w:top w:val="single" w:sz="4" w:space="0" w:color="auto"/>
              <w:left w:val="nil"/>
              <w:bottom w:val="single" w:sz="4" w:space="0" w:color="auto"/>
              <w:right w:val="nil"/>
            </w:tcBorders>
            <w:shd w:val="clear" w:color="auto" w:fill="auto"/>
            <w:vAlign w:val="bottom"/>
            <w:hideMark/>
          </w:tcPr>
          <w:p w14:paraId="7913C046" w14:textId="29444E4B" w:rsidR="008F108B" w:rsidRPr="00A52F7C" w:rsidRDefault="008F108B" w:rsidP="00DA1856">
            <w:pPr>
              <w:pStyle w:val="ExhibitText"/>
              <w:rPr>
                <w:rFonts w:eastAsia="SimSun"/>
                <w:lang w:eastAsia="zh-CN"/>
              </w:rPr>
            </w:pPr>
          </w:p>
        </w:tc>
        <w:tc>
          <w:tcPr>
            <w:tcW w:w="1060" w:type="dxa"/>
            <w:tcBorders>
              <w:top w:val="single" w:sz="4" w:space="0" w:color="auto"/>
              <w:left w:val="nil"/>
              <w:bottom w:val="single" w:sz="4" w:space="0" w:color="auto"/>
              <w:right w:val="nil"/>
            </w:tcBorders>
            <w:shd w:val="clear" w:color="auto" w:fill="auto"/>
            <w:vAlign w:val="bottom"/>
            <w:hideMark/>
          </w:tcPr>
          <w:p w14:paraId="05C43159" w14:textId="77777777" w:rsidR="008F108B" w:rsidRPr="00A52F7C" w:rsidRDefault="008F108B" w:rsidP="00C85E0A">
            <w:pPr>
              <w:pStyle w:val="ExhibitText"/>
              <w:jc w:val="center"/>
              <w:rPr>
                <w:rFonts w:eastAsia="SimSun"/>
                <w:b/>
                <w:bCs/>
                <w:lang w:eastAsia="zh-CN"/>
              </w:rPr>
            </w:pPr>
            <w:r w:rsidRPr="00A52F7C">
              <w:rPr>
                <w:rFonts w:eastAsia="SimSun"/>
                <w:lang w:eastAsia="zh-CN"/>
              </w:rPr>
              <w:t>Thailand</w:t>
            </w:r>
          </w:p>
        </w:tc>
        <w:tc>
          <w:tcPr>
            <w:tcW w:w="1000" w:type="dxa"/>
            <w:tcBorders>
              <w:top w:val="single" w:sz="4" w:space="0" w:color="auto"/>
              <w:left w:val="nil"/>
              <w:bottom w:val="single" w:sz="4" w:space="0" w:color="auto"/>
              <w:right w:val="nil"/>
            </w:tcBorders>
            <w:shd w:val="clear" w:color="auto" w:fill="auto"/>
            <w:vAlign w:val="bottom"/>
            <w:hideMark/>
          </w:tcPr>
          <w:p w14:paraId="52A5D6CF" w14:textId="77777777" w:rsidR="008F108B" w:rsidRPr="00A52F7C" w:rsidRDefault="008F108B" w:rsidP="00C85E0A">
            <w:pPr>
              <w:pStyle w:val="ExhibitText"/>
              <w:jc w:val="center"/>
              <w:rPr>
                <w:rFonts w:eastAsia="SimSun"/>
                <w:b/>
                <w:bCs/>
                <w:lang w:eastAsia="zh-CN"/>
              </w:rPr>
            </w:pPr>
            <w:r w:rsidRPr="00A52F7C">
              <w:rPr>
                <w:rFonts w:eastAsia="SimSun"/>
                <w:lang w:eastAsia="zh-CN"/>
              </w:rPr>
              <w:t>Vietnam</w:t>
            </w:r>
          </w:p>
        </w:tc>
        <w:tc>
          <w:tcPr>
            <w:tcW w:w="1060" w:type="dxa"/>
            <w:tcBorders>
              <w:top w:val="single" w:sz="4" w:space="0" w:color="auto"/>
              <w:left w:val="nil"/>
              <w:bottom w:val="single" w:sz="4" w:space="0" w:color="auto"/>
              <w:right w:val="nil"/>
            </w:tcBorders>
            <w:shd w:val="clear" w:color="auto" w:fill="auto"/>
            <w:vAlign w:val="bottom"/>
            <w:hideMark/>
          </w:tcPr>
          <w:p w14:paraId="3F2E94DF" w14:textId="77777777" w:rsidR="008F108B" w:rsidRPr="00A52F7C" w:rsidRDefault="008F108B" w:rsidP="00C85E0A">
            <w:pPr>
              <w:pStyle w:val="ExhibitText"/>
              <w:jc w:val="center"/>
              <w:rPr>
                <w:rFonts w:eastAsia="SimSun"/>
                <w:b/>
                <w:bCs/>
                <w:lang w:eastAsia="zh-CN"/>
              </w:rPr>
            </w:pPr>
            <w:r w:rsidRPr="00A52F7C">
              <w:rPr>
                <w:rFonts w:eastAsia="SimSun"/>
                <w:lang w:eastAsia="zh-CN"/>
              </w:rPr>
              <w:t>Malaysia</w:t>
            </w:r>
          </w:p>
        </w:tc>
        <w:tc>
          <w:tcPr>
            <w:tcW w:w="1260" w:type="dxa"/>
            <w:tcBorders>
              <w:top w:val="single" w:sz="4" w:space="0" w:color="auto"/>
              <w:left w:val="nil"/>
              <w:bottom w:val="single" w:sz="4" w:space="0" w:color="auto"/>
              <w:right w:val="nil"/>
            </w:tcBorders>
            <w:shd w:val="clear" w:color="auto" w:fill="auto"/>
            <w:vAlign w:val="bottom"/>
            <w:hideMark/>
          </w:tcPr>
          <w:p w14:paraId="79120866" w14:textId="77777777" w:rsidR="008F108B" w:rsidRPr="00A52F7C" w:rsidRDefault="008F108B" w:rsidP="00C85E0A">
            <w:pPr>
              <w:pStyle w:val="ExhibitText"/>
              <w:jc w:val="center"/>
              <w:rPr>
                <w:rFonts w:eastAsia="SimSun"/>
                <w:b/>
                <w:bCs/>
                <w:lang w:eastAsia="zh-CN"/>
              </w:rPr>
            </w:pPr>
            <w:r w:rsidRPr="00A52F7C">
              <w:rPr>
                <w:rFonts w:eastAsia="SimSun"/>
                <w:lang w:eastAsia="zh-CN"/>
              </w:rPr>
              <w:t>Philippines</w:t>
            </w:r>
          </w:p>
        </w:tc>
        <w:tc>
          <w:tcPr>
            <w:tcW w:w="1160" w:type="dxa"/>
            <w:tcBorders>
              <w:top w:val="single" w:sz="4" w:space="0" w:color="auto"/>
              <w:left w:val="nil"/>
              <w:bottom w:val="single" w:sz="4" w:space="0" w:color="auto"/>
              <w:right w:val="nil"/>
            </w:tcBorders>
            <w:shd w:val="clear" w:color="auto" w:fill="auto"/>
            <w:vAlign w:val="bottom"/>
            <w:hideMark/>
          </w:tcPr>
          <w:p w14:paraId="43D925A5" w14:textId="77777777" w:rsidR="008F108B" w:rsidRPr="00A52F7C" w:rsidRDefault="008F108B" w:rsidP="00C85E0A">
            <w:pPr>
              <w:pStyle w:val="ExhibitText"/>
              <w:jc w:val="center"/>
              <w:rPr>
                <w:rFonts w:eastAsia="SimSun"/>
                <w:b/>
                <w:bCs/>
                <w:lang w:eastAsia="zh-CN"/>
              </w:rPr>
            </w:pPr>
            <w:r w:rsidRPr="00A52F7C">
              <w:rPr>
                <w:rFonts w:eastAsia="SimSun"/>
                <w:lang w:eastAsia="zh-CN"/>
              </w:rPr>
              <w:t>Singapore</w:t>
            </w:r>
          </w:p>
        </w:tc>
        <w:tc>
          <w:tcPr>
            <w:tcW w:w="1120" w:type="dxa"/>
            <w:tcBorders>
              <w:top w:val="single" w:sz="4" w:space="0" w:color="auto"/>
              <w:left w:val="nil"/>
              <w:bottom w:val="single" w:sz="4" w:space="0" w:color="auto"/>
              <w:right w:val="nil"/>
            </w:tcBorders>
            <w:shd w:val="clear" w:color="auto" w:fill="auto"/>
            <w:vAlign w:val="bottom"/>
            <w:hideMark/>
          </w:tcPr>
          <w:p w14:paraId="7C85F6B1" w14:textId="77777777" w:rsidR="008F108B" w:rsidRPr="00A52F7C" w:rsidRDefault="008F108B" w:rsidP="00C85E0A">
            <w:pPr>
              <w:pStyle w:val="ExhibitText"/>
              <w:jc w:val="center"/>
              <w:rPr>
                <w:rFonts w:eastAsia="SimSun"/>
                <w:b/>
                <w:bCs/>
                <w:lang w:eastAsia="zh-CN"/>
              </w:rPr>
            </w:pPr>
            <w:r w:rsidRPr="00A52F7C">
              <w:rPr>
                <w:rFonts w:eastAsia="SimSun"/>
                <w:lang w:eastAsia="zh-CN"/>
              </w:rPr>
              <w:t>Indonesia</w:t>
            </w:r>
          </w:p>
        </w:tc>
        <w:tc>
          <w:tcPr>
            <w:tcW w:w="1180" w:type="dxa"/>
            <w:tcBorders>
              <w:top w:val="single" w:sz="4" w:space="0" w:color="auto"/>
              <w:left w:val="nil"/>
              <w:bottom w:val="single" w:sz="4" w:space="0" w:color="auto"/>
              <w:right w:val="nil"/>
            </w:tcBorders>
            <w:shd w:val="clear" w:color="auto" w:fill="auto"/>
            <w:vAlign w:val="bottom"/>
            <w:hideMark/>
          </w:tcPr>
          <w:p w14:paraId="3A55D6A4" w14:textId="77777777" w:rsidR="008F108B" w:rsidRPr="00A52F7C" w:rsidRDefault="008F108B" w:rsidP="00C85E0A">
            <w:pPr>
              <w:pStyle w:val="ExhibitText"/>
              <w:jc w:val="center"/>
              <w:rPr>
                <w:rFonts w:eastAsia="SimSun"/>
                <w:b/>
                <w:bCs/>
                <w:lang w:eastAsia="zh-CN"/>
              </w:rPr>
            </w:pPr>
            <w:r w:rsidRPr="00A52F7C">
              <w:rPr>
                <w:rFonts w:eastAsia="SimSun"/>
                <w:lang w:eastAsia="zh-CN"/>
              </w:rPr>
              <w:t>ASEAN-6</w:t>
            </w:r>
          </w:p>
        </w:tc>
      </w:tr>
      <w:tr w:rsidR="008F108B" w:rsidRPr="00A52F7C" w14:paraId="2F9994EE" w14:textId="77777777" w:rsidTr="0010031B">
        <w:trPr>
          <w:trHeight w:val="600"/>
        </w:trPr>
        <w:tc>
          <w:tcPr>
            <w:tcW w:w="1320" w:type="dxa"/>
            <w:tcBorders>
              <w:top w:val="nil"/>
              <w:left w:val="nil"/>
              <w:bottom w:val="single" w:sz="4" w:space="0" w:color="auto"/>
              <w:right w:val="nil"/>
            </w:tcBorders>
            <w:shd w:val="clear" w:color="auto" w:fill="auto"/>
            <w:vAlign w:val="bottom"/>
            <w:hideMark/>
          </w:tcPr>
          <w:p w14:paraId="5D5A6D20" w14:textId="3FD5091F" w:rsidR="008F108B" w:rsidRPr="00A52F7C" w:rsidRDefault="008F108B" w:rsidP="00EF4C5B">
            <w:pPr>
              <w:pStyle w:val="ExhibitText"/>
              <w:rPr>
                <w:rFonts w:eastAsia="SimSun"/>
                <w:lang w:eastAsia="zh-CN"/>
              </w:rPr>
            </w:pPr>
            <w:r w:rsidRPr="00A52F7C">
              <w:rPr>
                <w:rFonts w:eastAsia="SimSun"/>
                <w:lang w:eastAsia="zh-CN"/>
              </w:rPr>
              <w:t>Market Size (</w:t>
            </w:r>
            <w:r w:rsidR="005F5A27" w:rsidRPr="00A52F7C">
              <w:rPr>
                <w:rFonts w:eastAsia="SimSun"/>
                <w:lang w:eastAsia="zh-CN"/>
              </w:rPr>
              <w:t>US</w:t>
            </w:r>
            <w:r w:rsidR="000558A2">
              <w:rPr>
                <w:rFonts w:eastAsia="SimSun"/>
                <w:lang w:eastAsia="zh-CN"/>
              </w:rPr>
              <w:t>$</w:t>
            </w:r>
            <w:r w:rsidR="005F5A27" w:rsidRPr="00A52F7C">
              <w:rPr>
                <w:rFonts w:eastAsia="SimSun"/>
                <w:lang w:eastAsia="zh-CN"/>
              </w:rPr>
              <w:t xml:space="preserve"> </w:t>
            </w:r>
            <w:r w:rsidRPr="00A52F7C">
              <w:rPr>
                <w:rFonts w:eastAsia="SimSun"/>
                <w:lang w:eastAsia="zh-CN"/>
              </w:rPr>
              <w:t>millions)</w:t>
            </w:r>
          </w:p>
        </w:tc>
        <w:tc>
          <w:tcPr>
            <w:tcW w:w="1060" w:type="dxa"/>
            <w:tcBorders>
              <w:top w:val="nil"/>
              <w:left w:val="nil"/>
              <w:bottom w:val="single" w:sz="4" w:space="0" w:color="auto"/>
              <w:right w:val="nil"/>
            </w:tcBorders>
            <w:shd w:val="clear" w:color="auto" w:fill="auto"/>
            <w:vAlign w:val="center"/>
            <w:hideMark/>
          </w:tcPr>
          <w:p w14:paraId="71195863" w14:textId="31E99721" w:rsidR="008F108B" w:rsidRPr="00A52F7C" w:rsidRDefault="008F108B" w:rsidP="0010031B">
            <w:pPr>
              <w:pStyle w:val="ExhibitText"/>
              <w:jc w:val="right"/>
              <w:rPr>
                <w:rFonts w:eastAsia="SimSun"/>
                <w:b/>
                <w:bCs/>
                <w:lang w:eastAsia="zh-CN"/>
              </w:rPr>
            </w:pPr>
            <w:r w:rsidRPr="00A52F7C">
              <w:rPr>
                <w:rFonts w:eastAsia="SimSun"/>
                <w:lang w:eastAsia="zh-CN"/>
              </w:rPr>
              <w:t>$1,440</w:t>
            </w:r>
          </w:p>
        </w:tc>
        <w:tc>
          <w:tcPr>
            <w:tcW w:w="1000" w:type="dxa"/>
            <w:tcBorders>
              <w:top w:val="nil"/>
              <w:left w:val="nil"/>
              <w:bottom w:val="single" w:sz="4" w:space="0" w:color="auto"/>
              <w:right w:val="nil"/>
            </w:tcBorders>
            <w:shd w:val="clear" w:color="auto" w:fill="auto"/>
            <w:vAlign w:val="center"/>
            <w:hideMark/>
          </w:tcPr>
          <w:p w14:paraId="7460C027" w14:textId="69579884" w:rsidR="008F108B" w:rsidRPr="00A52F7C" w:rsidRDefault="008F108B" w:rsidP="0010031B">
            <w:pPr>
              <w:pStyle w:val="ExhibitText"/>
              <w:jc w:val="right"/>
              <w:rPr>
                <w:rFonts w:eastAsia="SimSun"/>
                <w:b/>
                <w:bCs/>
                <w:lang w:eastAsia="zh-CN"/>
              </w:rPr>
            </w:pPr>
            <w:r w:rsidRPr="00A52F7C">
              <w:rPr>
                <w:rFonts w:eastAsia="SimSun"/>
                <w:lang w:eastAsia="zh-CN"/>
              </w:rPr>
              <w:t>$690</w:t>
            </w:r>
          </w:p>
        </w:tc>
        <w:tc>
          <w:tcPr>
            <w:tcW w:w="1060" w:type="dxa"/>
            <w:tcBorders>
              <w:top w:val="nil"/>
              <w:left w:val="nil"/>
              <w:bottom w:val="single" w:sz="4" w:space="0" w:color="auto"/>
              <w:right w:val="nil"/>
            </w:tcBorders>
            <w:shd w:val="clear" w:color="auto" w:fill="auto"/>
            <w:vAlign w:val="center"/>
            <w:hideMark/>
          </w:tcPr>
          <w:p w14:paraId="3EB8917A" w14:textId="6082DD63" w:rsidR="008F108B" w:rsidRPr="00A52F7C" w:rsidRDefault="008F108B" w:rsidP="0010031B">
            <w:pPr>
              <w:pStyle w:val="ExhibitText"/>
              <w:jc w:val="right"/>
              <w:rPr>
                <w:rFonts w:eastAsia="SimSun"/>
                <w:b/>
                <w:bCs/>
                <w:lang w:eastAsia="zh-CN"/>
              </w:rPr>
            </w:pPr>
            <w:r w:rsidRPr="00A52F7C">
              <w:rPr>
                <w:rFonts w:eastAsia="SimSun"/>
                <w:lang w:eastAsia="zh-CN"/>
              </w:rPr>
              <w:t>$510</w:t>
            </w:r>
          </w:p>
        </w:tc>
        <w:tc>
          <w:tcPr>
            <w:tcW w:w="1260" w:type="dxa"/>
            <w:tcBorders>
              <w:top w:val="nil"/>
              <w:left w:val="nil"/>
              <w:bottom w:val="single" w:sz="4" w:space="0" w:color="auto"/>
              <w:right w:val="nil"/>
            </w:tcBorders>
            <w:shd w:val="clear" w:color="auto" w:fill="auto"/>
            <w:vAlign w:val="center"/>
            <w:hideMark/>
          </w:tcPr>
          <w:p w14:paraId="49B1D228" w14:textId="17740C37" w:rsidR="008F108B" w:rsidRPr="00A52F7C" w:rsidRDefault="008F108B" w:rsidP="0010031B">
            <w:pPr>
              <w:pStyle w:val="ExhibitText"/>
              <w:jc w:val="right"/>
              <w:rPr>
                <w:rFonts w:eastAsia="SimSun"/>
                <w:b/>
                <w:bCs/>
                <w:lang w:eastAsia="zh-CN"/>
              </w:rPr>
            </w:pPr>
            <w:r w:rsidRPr="00A52F7C">
              <w:rPr>
                <w:rFonts w:eastAsia="SimSun"/>
                <w:lang w:eastAsia="zh-CN"/>
              </w:rPr>
              <w:t>$350</w:t>
            </w:r>
          </w:p>
        </w:tc>
        <w:tc>
          <w:tcPr>
            <w:tcW w:w="1160" w:type="dxa"/>
            <w:tcBorders>
              <w:top w:val="nil"/>
              <w:left w:val="nil"/>
              <w:bottom w:val="single" w:sz="4" w:space="0" w:color="auto"/>
              <w:right w:val="nil"/>
            </w:tcBorders>
            <w:shd w:val="clear" w:color="auto" w:fill="auto"/>
            <w:vAlign w:val="center"/>
            <w:hideMark/>
          </w:tcPr>
          <w:p w14:paraId="45D82465" w14:textId="5A054703" w:rsidR="008F108B" w:rsidRPr="00A52F7C" w:rsidRDefault="008F108B" w:rsidP="0010031B">
            <w:pPr>
              <w:pStyle w:val="ExhibitText"/>
              <w:jc w:val="right"/>
              <w:rPr>
                <w:rFonts w:eastAsia="SimSun"/>
                <w:b/>
                <w:bCs/>
                <w:lang w:eastAsia="zh-CN"/>
              </w:rPr>
            </w:pPr>
            <w:r w:rsidRPr="00A52F7C">
              <w:rPr>
                <w:rFonts w:eastAsia="SimSun"/>
                <w:lang w:eastAsia="zh-CN"/>
              </w:rPr>
              <w:t>$970</w:t>
            </w:r>
          </w:p>
        </w:tc>
        <w:tc>
          <w:tcPr>
            <w:tcW w:w="1120" w:type="dxa"/>
            <w:tcBorders>
              <w:top w:val="nil"/>
              <w:left w:val="nil"/>
              <w:bottom w:val="single" w:sz="4" w:space="0" w:color="auto"/>
              <w:right w:val="nil"/>
            </w:tcBorders>
            <w:shd w:val="clear" w:color="auto" w:fill="auto"/>
            <w:vAlign w:val="center"/>
            <w:hideMark/>
          </w:tcPr>
          <w:p w14:paraId="0FF904B2" w14:textId="17821E4D" w:rsidR="008F108B" w:rsidRPr="00A52F7C" w:rsidRDefault="008F108B" w:rsidP="0010031B">
            <w:pPr>
              <w:pStyle w:val="ExhibitText"/>
              <w:jc w:val="right"/>
              <w:rPr>
                <w:rFonts w:eastAsia="SimSun"/>
                <w:b/>
                <w:bCs/>
                <w:lang w:eastAsia="zh-CN"/>
              </w:rPr>
            </w:pPr>
            <w:r w:rsidRPr="00A52F7C">
              <w:rPr>
                <w:rFonts w:eastAsia="SimSun"/>
                <w:lang w:eastAsia="zh-CN"/>
              </w:rPr>
              <w:t>$1,680</w:t>
            </w:r>
          </w:p>
        </w:tc>
        <w:tc>
          <w:tcPr>
            <w:tcW w:w="1180" w:type="dxa"/>
            <w:tcBorders>
              <w:top w:val="nil"/>
              <w:left w:val="nil"/>
              <w:bottom w:val="single" w:sz="4" w:space="0" w:color="auto"/>
              <w:right w:val="nil"/>
            </w:tcBorders>
            <w:shd w:val="clear" w:color="auto" w:fill="auto"/>
            <w:vAlign w:val="center"/>
            <w:hideMark/>
          </w:tcPr>
          <w:p w14:paraId="5F35D783" w14:textId="75D12C23" w:rsidR="008F108B" w:rsidRPr="00A52F7C" w:rsidRDefault="008F108B" w:rsidP="0010031B">
            <w:pPr>
              <w:pStyle w:val="ExhibitText"/>
              <w:jc w:val="right"/>
              <w:rPr>
                <w:rFonts w:eastAsia="SimSun"/>
                <w:b/>
                <w:bCs/>
                <w:lang w:eastAsia="zh-CN"/>
              </w:rPr>
            </w:pPr>
            <w:r w:rsidRPr="00A52F7C">
              <w:rPr>
                <w:rFonts w:eastAsia="SimSun"/>
                <w:lang w:eastAsia="zh-CN"/>
              </w:rPr>
              <w:t>$5,640</w:t>
            </w:r>
          </w:p>
        </w:tc>
      </w:tr>
      <w:tr w:rsidR="008F108B" w:rsidRPr="00A52F7C" w14:paraId="177C1EE2" w14:textId="77777777" w:rsidTr="0010031B">
        <w:trPr>
          <w:trHeight w:val="600"/>
        </w:trPr>
        <w:tc>
          <w:tcPr>
            <w:tcW w:w="1320" w:type="dxa"/>
            <w:tcBorders>
              <w:top w:val="nil"/>
              <w:left w:val="nil"/>
              <w:bottom w:val="nil"/>
              <w:right w:val="nil"/>
            </w:tcBorders>
            <w:shd w:val="clear" w:color="auto" w:fill="auto"/>
            <w:vAlign w:val="bottom"/>
            <w:hideMark/>
          </w:tcPr>
          <w:p w14:paraId="31F34E38" w14:textId="77777777" w:rsidR="008F108B" w:rsidRPr="00A52F7C" w:rsidRDefault="008F108B" w:rsidP="00EF4C5B">
            <w:pPr>
              <w:pStyle w:val="ExhibitText"/>
              <w:rPr>
                <w:rFonts w:eastAsia="SimSun"/>
                <w:lang w:eastAsia="zh-CN"/>
              </w:rPr>
            </w:pPr>
            <w:r w:rsidRPr="00A52F7C">
              <w:rPr>
                <w:rFonts w:eastAsia="SimSun"/>
                <w:lang w:eastAsia="zh-CN"/>
              </w:rPr>
              <w:t>Rocket Internet</w:t>
            </w:r>
          </w:p>
        </w:tc>
        <w:tc>
          <w:tcPr>
            <w:tcW w:w="1060" w:type="dxa"/>
            <w:tcBorders>
              <w:top w:val="nil"/>
              <w:left w:val="nil"/>
              <w:bottom w:val="nil"/>
              <w:right w:val="nil"/>
            </w:tcBorders>
            <w:shd w:val="clear" w:color="auto" w:fill="auto"/>
            <w:vAlign w:val="center"/>
            <w:hideMark/>
          </w:tcPr>
          <w:p w14:paraId="5E0C996D" w14:textId="4C334B2D" w:rsidR="008F108B" w:rsidRPr="00A52F7C" w:rsidRDefault="008F108B" w:rsidP="0010031B">
            <w:pPr>
              <w:pStyle w:val="ExhibitText"/>
              <w:jc w:val="right"/>
              <w:rPr>
                <w:rFonts w:eastAsia="SimSun"/>
                <w:b/>
                <w:bCs/>
                <w:lang w:eastAsia="zh-CN"/>
              </w:rPr>
            </w:pPr>
            <w:r w:rsidRPr="00A52F7C">
              <w:rPr>
                <w:rFonts w:eastAsia="SimSun"/>
                <w:lang w:eastAsia="zh-CN"/>
              </w:rPr>
              <w:t>17%</w:t>
            </w:r>
          </w:p>
        </w:tc>
        <w:tc>
          <w:tcPr>
            <w:tcW w:w="1000" w:type="dxa"/>
            <w:tcBorders>
              <w:top w:val="nil"/>
              <w:left w:val="nil"/>
              <w:bottom w:val="nil"/>
              <w:right w:val="nil"/>
            </w:tcBorders>
            <w:shd w:val="clear" w:color="auto" w:fill="auto"/>
            <w:vAlign w:val="center"/>
            <w:hideMark/>
          </w:tcPr>
          <w:p w14:paraId="2466D7B2" w14:textId="3CA5B1F9" w:rsidR="008F108B" w:rsidRPr="00A52F7C" w:rsidRDefault="008F108B" w:rsidP="0010031B">
            <w:pPr>
              <w:pStyle w:val="ExhibitText"/>
              <w:jc w:val="right"/>
              <w:rPr>
                <w:rFonts w:eastAsia="SimSun"/>
                <w:b/>
                <w:bCs/>
                <w:lang w:eastAsia="zh-CN"/>
              </w:rPr>
            </w:pPr>
            <w:r w:rsidRPr="00A52F7C">
              <w:rPr>
                <w:rFonts w:eastAsia="SimSun"/>
                <w:lang w:eastAsia="zh-CN"/>
              </w:rPr>
              <w:t>9%</w:t>
            </w:r>
          </w:p>
        </w:tc>
        <w:tc>
          <w:tcPr>
            <w:tcW w:w="1060" w:type="dxa"/>
            <w:tcBorders>
              <w:top w:val="nil"/>
              <w:left w:val="nil"/>
              <w:bottom w:val="nil"/>
              <w:right w:val="nil"/>
            </w:tcBorders>
            <w:shd w:val="clear" w:color="auto" w:fill="auto"/>
            <w:vAlign w:val="center"/>
            <w:hideMark/>
          </w:tcPr>
          <w:p w14:paraId="186D8D20" w14:textId="232E0B91" w:rsidR="008F108B" w:rsidRPr="00A52F7C" w:rsidRDefault="008F108B" w:rsidP="0010031B">
            <w:pPr>
              <w:pStyle w:val="ExhibitText"/>
              <w:jc w:val="right"/>
              <w:rPr>
                <w:rFonts w:eastAsia="SimSun"/>
                <w:b/>
                <w:bCs/>
                <w:lang w:eastAsia="zh-CN"/>
              </w:rPr>
            </w:pPr>
            <w:r w:rsidRPr="00A52F7C">
              <w:rPr>
                <w:rFonts w:eastAsia="SimSun"/>
                <w:lang w:eastAsia="zh-CN"/>
              </w:rPr>
              <w:t>28%</w:t>
            </w:r>
          </w:p>
        </w:tc>
        <w:tc>
          <w:tcPr>
            <w:tcW w:w="1260" w:type="dxa"/>
            <w:tcBorders>
              <w:top w:val="nil"/>
              <w:left w:val="nil"/>
              <w:bottom w:val="nil"/>
              <w:right w:val="nil"/>
            </w:tcBorders>
            <w:shd w:val="clear" w:color="auto" w:fill="auto"/>
            <w:vAlign w:val="center"/>
            <w:hideMark/>
          </w:tcPr>
          <w:p w14:paraId="3DCBC6B6" w14:textId="0406B43E" w:rsidR="008F108B" w:rsidRPr="00A52F7C" w:rsidRDefault="008F108B" w:rsidP="0010031B">
            <w:pPr>
              <w:pStyle w:val="ExhibitText"/>
              <w:jc w:val="right"/>
              <w:rPr>
                <w:rFonts w:eastAsia="SimSun"/>
                <w:b/>
                <w:bCs/>
                <w:lang w:eastAsia="zh-CN"/>
              </w:rPr>
            </w:pPr>
            <w:r w:rsidRPr="00A52F7C">
              <w:rPr>
                <w:rFonts w:eastAsia="SimSun"/>
                <w:lang w:eastAsia="zh-CN"/>
              </w:rPr>
              <w:t>34%</w:t>
            </w:r>
          </w:p>
        </w:tc>
        <w:tc>
          <w:tcPr>
            <w:tcW w:w="1160" w:type="dxa"/>
            <w:tcBorders>
              <w:top w:val="nil"/>
              <w:left w:val="nil"/>
              <w:bottom w:val="nil"/>
              <w:right w:val="nil"/>
            </w:tcBorders>
            <w:shd w:val="clear" w:color="auto" w:fill="auto"/>
            <w:vAlign w:val="center"/>
            <w:hideMark/>
          </w:tcPr>
          <w:p w14:paraId="4D9315E6" w14:textId="614FEDB1" w:rsidR="008F108B" w:rsidRPr="00A52F7C" w:rsidRDefault="008F108B" w:rsidP="0010031B">
            <w:pPr>
              <w:pStyle w:val="ExhibitText"/>
              <w:jc w:val="right"/>
              <w:rPr>
                <w:rFonts w:eastAsia="SimSun"/>
                <w:b/>
                <w:bCs/>
                <w:lang w:eastAsia="zh-CN"/>
              </w:rPr>
            </w:pPr>
            <w:r w:rsidRPr="00A52F7C">
              <w:rPr>
                <w:rFonts w:eastAsia="SimSun"/>
                <w:lang w:eastAsia="zh-CN"/>
              </w:rPr>
              <w:t>6%</w:t>
            </w:r>
          </w:p>
        </w:tc>
        <w:tc>
          <w:tcPr>
            <w:tcW w:w="1120" w:type="dxa"/>
            <w:tcBorders>
              <w:top w:val="nil"/>
              <w:left w:val="nil"/>
              <w:bottom w:val="nil"/>
              <w:right w:val="nil"/>
            </w:tcBorders>
            <w:shd w:val="clear" w:color="auto" w:fill="auto"/>
            <w:vAlign w:val="center"/>
            <w:hideMark/>
          </w:tcPr>
          <w:p w14:paraId="1EBBF3F8" w14:textId="30D3DF68" w:rsidR="008F108B" w:rsidRPr="00A52F7C" w:rsidRDefault="008F108B" w:rsidP="0010031B">
            <w:pPr>
              <w:pStyle w:val="ExhibitText"/>
              <w:jc w:val="right"/>
              <w:rPr>
                <w:rFonts w:eastAsia="SimSun"/>
                <w:b/>
                <w:bCs/>
                <w:lang w:eastAsia="zh-CN"/>
              </w:rPr>
            </w:pPr>
            <w:r w:rsidRPr="00A52F7C">
              <w:rPr>
                <w:rFonts w:eastAsia="SimSun"/>
                <w:lang w:eastAsia="zh-CN"/>
              </w:rPr>
              <w:t>29%</w:t>
            </w:r>
          </w:p>
        </w:tc>
        <w:tc>
          <w:tcPr>
            <w:tcW w:w="1180" w:type="dxa"/>
            <w:tcBorders>
              <w:top w:val="nil"/>
              <w:left w:val="nil"/>
              <w:bottom w:val="nil"/>
              <w:right w:val="nil"/>
            </w:tcBorders>
            <w:shd w:val="clear" w:color="auto" w:fill="auto"/>
            <w:vAlign w:val="center"/>
            <w:hideMark/>
          </w:tcPr>
          <w:p w14:paraId="2B8B3BA6" w14:textId="0EBED9FB" w:rsidR="008F108B" w:rsidRPr="00A52F7C" w:rsidRDefault="008F108B" w:rsidP="0010031B">
            <w:pPr>
              <w:pStyle w:val="ExhibitText"/>
              <w:jc w:val="right"/>
              <w:rPr>
                <w:rFonts w:eastAsia="SimSun"/>
                <w:b/>
                <w:bCs/>
                <w:lang w:eastAsia="zh-CN"/>
              </w:rPr>
            </w:pPr>
            <w:r w:rsidRPr="00A52F7C">
              <w:rPr>
                <w:rFonts w:eastAsia="SimSun"/>
                <w:lang w:eastAsia="zh-CN"/>
              </w:rPr>
              <w:t>21%</w:t>
            </w:r>
          </w:p>
        </w:tc>
      </w:tr>
      <w:tr w:rsidR="008F108B" w:rsidRPr="00A52F7C" w14:paraId="0AE2F6C4" w14:textId="77777777" w:rsidTr="0010031B">
        <w:trPr>
          <w:trHeight w:val="300"/>
        </w:trPr>
        <w:tc>
          <w:tcPr>
            <w:tcW w:w="1320" w:type="dxa"/>
            <w:tcBorders>
              <w:top w:val="nil"/>
              <w:left w:val="nil"/>
              <w:bottom w:val="nil"/>
              <w:right w:val="nil"/>
            </w:tcBorders>
            <w:shd w:val="clear" w:color="auto" w:fill="auto"/>
            <w:vAlign w:val="bottom"/>
            <w:hideMark/>
          </w:tcPr>
          <w:p w14:paraId="0FB973D6" w14:textId="77777777" w:rsidR="008F108B" w:rsidRPr="00A52F7C" w:rsidRDefault="008F108B" w:rsidP="00EF4C5B">
            <w:pPr>
              <w:pStyle w:val="ExhibitText"/>
              <w:rPr>
                <w:rFonts w:eastAsia="SimSun"/>
                <w:lang w:eastAsia="zh-CN"/>
              </w:rPr>
            </w:pPr>
            <w:r w:rsidRPr="00A52F7C">
              <w:rPr>
                <w:rFonts w:eastAsia="SimSun"/>
                <w:lang w:eastAsia="zh-CN"/>
              </w:rPr>
              <w:t>Foreign</w:t>
            </w:r>
          </w:p>
        </w:tc>
        <w:tc>
          <w:tcPr>
            <w:tcW w:w="1060" w:type="dxa"/>
            <w:tcBorders>
              <w:top w:val="nil"/>
              <w:left w:val="nil"/>
              <w:bottom w:val="nil"/>
              <w:right w:val="nil"/>
            </w:tcBorders>
            <w:shd w:val="clear" w:color="auto" w:fill="auto"/>
            <w:vAlign w:val="center"/>
            <w:hideMark/>
          </w:tcPr>
          <w:p w14:paraId="589D80E7" w14:textId="66D7D815" w:rsidR="008F108B" w:rsidRPr="00A52F7C" w:rsidRDefault="008F108B" w:rsidP="0010031B">
            <w:pPr>
              <w:pStyle w:val="ExhibitText"/>
              <w:jc w:val="right"/>
              <w:rPr>
                <w:rFonts w:eastAsia="SimSun"/>
                <w:b/>
                <w:bCs/>
                <w:lang w:eastAsia="zh-CN"/>
              </w:rPr>
            </w:pPr>
            <w:r w:rsidRPr="00A52F7C">
              <w:rPr>
                <w:rFonts w:eastAsia="SimSun"/>
                <w:lang w:eastAsia="zh-CN"/>
              </w:rPr>
              <w:t>23%</w:t>
            </w:r>
          </w:p>
        </w:tc>
        <w:tc>
          <w:tcPr>
            <w:tcW w:w="1000" w:type="dxa"/>
            <w:tcBorders>
              <w:top w:val="nil"/>
              <w:left w:val="nil"/>
              <w:bottom w:val="nil"/>
              <w:right w:val="nil"/>
            </w:tcBorders>
            <w:shd w:val="clear" w:color="auto" w:fill="auto"/>
            <w:vAlign w:val="center"/>
            <w:hideMark/>
          </w:tcPr>
          <w:p w14:paraId="2D67058C" w14:textId="3BA970D1" w:rsidR="008F108B" w:rsidRPr="00A52F7C" w:rsidRDefault="008F108B" w:rsidP="0010031B">
            <w:pPr>
              <w:pStyle w:val="ExhibitText"/>
              <w:jc w:val="right"/>
              <w:rPr>
                <w:rFonts w:eastAsia="SimSun"/>
                <w:b/>
                <w:bCs/>
                <w:lang w:eastAsia="zh-CN"/>
              </w:rPr>
            </w:pPr>
            <w:r w:rsidRPr="00A52F7C">
              <w:rPr>
                <w:rFonts w:eastAsia="SimSun"/>
                <w:lang w:eastAsia="zh-CN"/>
              </w:rPr>
              <w:t>0%</w:t>
            </w:r>
          </w:p>
        </w:tc>
        <w:tc>
          <w:tcPr>
            <w:tcW w:w="1060" w:type="dxa"/>
            <w:tcBorders>
              <w:top w:val="nil"/>
              <w:left w:val="nil"/>
              <w:bottom w:val="nil"/>
              <w:right w:val="nil"/>
            </w:tcBorders>
            <w:shd w:val="clear" w:color="auto" w:fill="auto"/>
            <w:vAlign w:val="center"/>
            <w:hideMark/>
          </w:tcPr>
          <w:p w14:paraId="644C875A" w14:textId="387E8A4D" w:rsidR="008F108B" w:rsidRPr="00A52F7C" w:rsidRDefault="008F108B" w:rsidP="0010031B">
            <w:pPr>
              <w:pStyle w:val="ExhibitText"/>
              <w:jc w:val="right"/>
              <w:rPr>
                <w:rFonts w:eastAsia="SimSun"/>
                <w:b/>
                <w:bCs/>
                <w:lang w:eastAsia="zh-CN"/>
              </w:rPr>
            </w:pPr>
            <w:r w:rsidRPr="00A52F7C">
              <w:rPr>
                <w:rFonts w:eastAsia="SimSun"/>
                <w:lang w:eastAsia="zh-CN"/>
              </w:rPr>
              <w:t>44%</w:t>
            </w:r>
          </w:p>
        </w:tc>
        <w:tc>
          <w:tcPr>
            <w:tcW w:w="1260" w:type="dxa"/>
            <w:tcBorders>
              <w:top w:val="nil"/>
              <w:left w:val="nil"/>
              <w:bottom w:val="nil"/>
              <w:right w:val="nil"/>
            </w:tcBorders>
            <w:shd w:val="clear" w:color="auto" w:fill="auto"/>
            <w:vAlign w:val="center"/>
            <w:hideMark/>
          </w:tcPr>
          <w:p w14:paraId="66F16A13" w14:textId="103D5F15" w:rsidR="008F108B" w:rsidRPr="00A52F7C" w:rsidRDefault="008F108B" w:rsidP="0010031B">
            <w:pPr>
              <w:pStyle w:val="ExhibitText"/>
              <w:jc w:val="right"/>
              <w:rPr>
                <w:rFonts w:eastAsia="SimSun"/>
                <w:b/>
                <w:bCs/>
                <w:lang w:eastAsia="zh-CN"/>
              </w:rPr>
            </w:pPr>
            <w:r w:rsidRPr="00A52F7C">
              <w:rPr>
                <w:rFonts w:eastAsia="SimSun"/>
                <w:lang w:eastAsia="zh-CN"/>
              </w:rPr>
              <w:t>3%</w:t>
            </w:r>
          </w:p>
        </w:tc>
        <w:tc>
          <w:tcPr>
            <w:tcW w:w="1160" w:type="dxa"/>
            <w:tcBorders>
              <w:top w:val="nil"/>
              <w:left w:val="nil"/>
              <w:bottom w:val="nil"/>
              <w:right w:val="nil"/>
            </w:tcBorders>
            <w:shd w:val="clear" w:color="auto" w:fill="auto"/>
            <w:vAlign w:val="center"/>
            <w:hideMark/>
          </w:tcPr>
          <w:p w14:paraId="567F47B2" w14:textId="525E814E" w:rsidR="008F108B" w:rsidRPr="00A52F7C" w:rsidRDefault="008F108B" w:rsidP="0010031B">
            <w:pPr>
              <w:pStyle w:val="ExhibitText"/>
              <w:jc w:val="right"/>
              <w:rPr>
                <w:rFonts w:eastAsia="SimSun"/>
                <w:b/>
                <w:bCs/>
                <w:lang w:eastAsia="zh-CN"/>
              </w:rPr>
            </w:pPr>
            <w:r w:rsidRPr="00A52F7C">
              <w:rPr>
                <w:rFonts w:eastAsia="SimSun"/>
                <w:lang w:eastAsia="zh-CN"/>
              </w:rPr>
              <w:t>42%</w:t>
            </w:r>
          </w:p>
        </w:tc>
        <w:tc>
          <w:tcPr>
            <w:tcW w:w="1120" w:type="dxa"/>
            <w:tcBorders>
              <w:top w:val="nil"/>
              <w:left w:val="nil"/>
              <w:bottom w:val="nil"/>
              <w:right w:val="nil"/>
            </w:tcBorders>
            <w:shd w:val="clear" w:color="auto" w:fill="auto"/>
            <w:vAlign w:val="center"/>
            <w:hideMark/>
          </w:tcPr>
          <w:p w14:paraId="6BEE6DF9" w14:textId="4B2E644F" w:rsidR="008F108B" w:rsidRPr="00A52F7C" w:rsidRDefault="008F108B" w:rsidP="0010031B">
            <w:pPr>
              <w:pStyle w:val="ExhibitText"/>
              <w:jc w:val="right"/>
              <w:rPr>
                <w:rFonts w:eastAsia="SimSun"/>
                <w:b/>
                <w:bCs/>
                <w:lang w:eastAsia="zh-CN"/>
              </w:rPr>
            </w:pPr>
            <w:r w:rsidRPr="00A52F7C">
              <w:rPr>
                <w:rFonts w:eastAsia="SimSun"/>
                <w:lang w:eastAsia="zh-CN"/>
              </w:rPr>
              <w:t>8%</w:t>
            </w:r>
          </w:p>
        </w:tc>
        <w:tc>
          <w:tcPr>
            <w:tcW w:w="1180" w:type="dxa"/>
            <w:tcBorders>
              <w:top w:val="nil"/>
              <w:left w:val="nil"/>
              <w:bottom w:val="nil"/>
              <w:right w:val="nil"/>
            </w:tcBorders>
            <w:shd w:val="clear" w:color="auto" w:fill="auto"/>
            <w:vAlign w:val="center"/>
            <w:hideMark/>
          </w:tcPr>
          <w:p w14:paraId="34FDE264" w14:textId="4ABD2C07" w:rsidR="008F108B" w:rsidRPr="00A52F7C" w:rsidRDefault="008F108B" w:rsidP="0010031B">
            <w:pPr>
              <w:pStyle w:val="ExhibitText"/>
              <w:jc w:val="right"/>
              <w:rPr>
                <w:rFonts w:eastAsia="SimSun"/>
                <w:b/>
                <w:bCs/>
                <w:lang w:eastAsia="zh-CN"/>
              </w:rPr>
            </w:pPr>
            <w:r w:rsidRPr="00A52F7C">
              <w:rPr>
                <w:rFonts w:eastAsia="SimSun"/>
                <w:lang w:eastAsia="zh-CN"/>
              </w:rPr>
              <w:t>20%</w:t>
            </w:r>
          </w:p>
        </w:tc>
      </w:tr>
      <w:tr w:rsidR="008F108B" w:rsidRPr="00A52F7C" w14:paraId="1CD222D3" w14:textId="77777777" w:rsidTr="0010031B">
        <w:trPr>
          <w:trHeight w:val="300"/>
        </w:trPr>
        <w:tc>
          <w:tcPr>
            <w:tcW w:w="1320" w:type="dxa"/>
            <w:tcBorders>
              <w:top w:val="nil"/>
              <w:left w:val="nil"/>
              <w:bottom w:val="nil"/>
              <w:right w:val="nil"/>
            </w:tcBorders>
            <w:shd w:val="clear" w:color="auto" w:fill="auto"/>
            <w:vAlign w:val="bottom"/>
            <w:hideMark/>
          </w:tcPr>
          <w:p w14:paraId="402167EA" w14:textId="77777777" w:rsidR="008F108B" w:rsidRPr="00A52F7C" w:rsidRDefault="008F108B" w:rsidP="00EF4C5B">
            <w:pPr>
              <w:pStyle w:val="ExhibitText"/>
              <w:rPr>
                <w:rFonts w:eastAsia="SimSun"/>
                <w:lang w:eastAsia="zh-CN"/>
              </w:rPr>
            </w:pPr>
            <w:r w:rsidRPr="00A52F7C">
              <w:rPr>
                <w:rFonts w:eastAsia="SimSun"/>
                <w:lang w:eastAsia="zh-CN"/>
              </w:rPr>
              <w:t>Local</w:t>
            </w:r>
          </w:p>
        </w:tc>
        <w:tc>
          <w:tcPr>
            <w:tcW w:w="1060" w:type="dxa"/>
            <w:tcBorders>
              <w:top w:val="nil"/>
              <w:left w:val="nil"/>
              <w:bottom w:val="nil"/>
              <w:right w:val="nil"/>
            </w:tcBorders>
            <w:shd w:val="clear" w:color="auto" w:fill="auto"/>
            <w:vAlign w:val="center"/>
            <w:hideMark/>
          </w:tcPr>
          <w:p w14:paraId="5C9C4403" w14:textId="01899C90" w:rsidR="008F108B" w:rsidRPr="00A52F7C" w:rsidRDefault="008F108B" w:rsidP="0010031B">
            <w:pPr>
              <w:pStyle w:val="ExhibitText"/>
              <w:jc w:val="right"/>
              <w:rPr>
                <w:rFonts w:eastAsia="SimSun"/>
                <w:b/>
                <w:bCs/>
                <w:lang w:eastAsia="zh-CN"/>
              </w:rPr>
            </w:pPr>
            <w:r w:rsidRPr="00A52F7C">
              <w:rPr>
                <w:rFonts w:eastAsia="SimSun"/>
                <w:lang w:eastAsia="zh-CN"/>
              </w:rPr>
              <w:t>13%</w:t>
            </w:r>
          </w:p>
        </w:tc>
        <w:tc>
          <w:tcPr>
            <w:tcW w:w="1000" w:type="dxa"/>
            <w:tcBorders>
              <w:top w:val="nil"/>
              <w:left w:val="nil"/>
              <w:bottom w:val="nil"/>
              <w:right w:val="nil"/>
            </w:tcBorders>
            <w:shd w:val="clear" w:color="auto" w:fill="auto"/>
            <w:vAlign w:val="center"/>
            <w:hideMark/>
          </w:tcPr>
          <w:p w14:paraId="71EA1648" w14:textId="6E59CB81" w:rsidR="008F108B" w:rsidRPr="00A52F7C" w:rsidRDefault="008F108B" w:rsidP="0010031B">
            <w:pPr>
              <w:pStyle w:val="ExhibitText"/>
              <w:jc w:val="right"/>
              <w:rPr>
                <w:rFonts w:eastAsia="SimSun"/>
                <w:b/>
                <w:bCs/>
                <w:lang w:eastAsia="zh-CN"/>
              </w:rPr>
            </w:pPr>
            <w:r w:rsidRPr="00A52F7C">
              <w:rPr>
                <w:rFonts w:eastAsia="SimSun"/>
                <w:lang w:eastAsia="zh-CN"/>
              </w:rPr>
              <w:t>25%</w:t>
            </w:r>
          </w:p>
        </w:tc>
        <w:tc>
          <w:tcPr>
            <w:tcW w:w="1060" w:type="dxa"/>
            <w:tcBorders>
              <w:top w:val="nil"/>
              <w:left w:val="nil"/>
              <w:bottom w:val="nil"/>
              <w:right w:val="nil"/>
            </w:tcBorders>
            <w:shd w:val="clear" w:color="auto" w:fill="auto"/>
            <w:vAlign w:val="center"/>
            <w:hideMark/>
          </w:tcPr>
          <w:p w14:paraId="3C65B747" w14:textId="698C7088" w:rsidR="008F108B" w:rsidRPr="00A52F7C" w:rsidRDefault="008F108B" w:rsidP="0010031B">
            <w:pPr>
              <w:pStyle w:val="ExhibitText"/>
              <w:jc w:val="right"/>
              <w:rPr>
                <w:rFonts w:eastAsia="SimSun"/>
                <w:b/>
                <w:bCs/>
                <w:lang w:eastAsia="zh-CN"/>
              </w:rPr>
            </w:pPr>
            <w:r w:rsidRPr="00A52F7C">
              <w:rPr>
                <w:rFonts w:eastAsia="SimSun"/>
                <w:lang w:eastAsia="zh-CN"/>
              </w:rPr>
              <w:t>0%</w:t>
            </w:r>
          </w:p>
        </w:tc>
        <w:tc>
          <w:tcPr>
            <w:tcW w:w="1260" w:type="dxa"/>
            <w:tcBorders>
              <w:top w:val="nil"/>
              <w:left w:val="nil"/>
              <w:bottom w:val="nil"/>
              <w:right w:val="nil"/>
            </w:tcBorders>
            <w:shd w:val="clear" w:color="auto" w:fill="auto"/>
            <w:vAlign w:val="center"/>
            <w:hideMark/>
          </w:tcPr>
          <w:p w14:paraId="2534E0A8" w14:textId="1D7550B8" w:rsidR="008F108B" w:rsidRPr="00A52F7C" w:rsidRDefault="008F108B" w:rsidP="0010031B">
            <w:pPr>
              <w:pStyle w:val="ExhibitText"/>
              <w:jc w:val="right"/>
              <w:rPr>
                <w:rFonts w:eastAsia="SimSun"/>
                <w:b/>
                <w:bCs/>
                <w:lang w:eastAsia="zh-CN"/>
              </w:rPr>
            </w:pPr>
            <w:r w:rsidRPr="00A52F7C">
              <w:rPr>
                <w:rFonts w:eastAsia="SimSun"/>
                <w:lang w:eastAsia="zh-CN"/>
              </w:rPr>
              <w:t>2%</w:t>
            </w:r>
          </w:p>
        </w:tc>
        <w:tc>
          <w:tcPr>
            <w:tcW w:w="1160" w:type="dxa"/>
            <w:tcBorders>
              <w:top w:val="nil"/>
              <w:left w:val="nil"/>
              <w:bottom w:val="nil"/>
              <w:right w:val="nil"/>
            </w:tcBorders>
            <w:shd w:val="clear" w:color="auto" w:fill="auto"/>
            <w:vAlign w:val="center"/>
            <w:hideMark/>
          </w:tcPr>
          <w:p w14:paraId="789B59E8" w14:textId="0E937DA8" w:rsidR="008F108B" w:rsidRPr="00A52F7C" w:rsidRDefault="008F108B" w:rsidP="0010031B">
            <w:pPr>
              <w:pStyle w:val="ExhibitText"/>
              <w:jc w:val="right"/>
              <w:rPr>
                <w:rFonts w:eastAsia="SimSun"/>
                <w:b/>
                <w:bCs/>
                <w:lang w:eastAsia="zh-CN"/>
              </w:rPr>
            </w:pPr>
            <w:r w:rsidRPr="00A52F7C">
              <w:rPr>
                <w:rFonts w:eastAsia="SimSun"/>
                <w:lang w:eastAsia="zh-CN"/>
              </w:rPr>
              <w:t>19%</w:t>
            </w:r>
          </w:p>
        </w:tc>
        <w:tc>
          <w:tcPr>
            <w:tcW w:w="1120" w:type="dxa"/>
            <w:tcBorders>
              <w:top w:val="nil"/>
              <w:left w:val="nil"/>
              <w:bottom w:val="nil"/>
              <w:right w:val="nil"/>
            </w:tcBorders>
            <w:shd w:val="clear" w:color="auto" w:fill="auto"/>
            <w:vAlign w:val="center"/>
            <w:hideMark/>
          </w:tcPr>
          <w:p w14:paraId="7AD5010E" w14:textId="4DCB0822" w:rsidR="008F108B" w:rsidRPr="00A52F7C" w:rsidRDefault="008F108B" w:rsidP="0010031B">
            <w:pPr>
              <w:pStyle w:val="ExhibitText"/>
              <w:jc w:val="right"/>
              <w:rPr>
                <w:rFonts w:eastAsia="SimSun"/>
                <w:b/>
                <w:bCs/>
                <w:lang w:eastAsia="zh-CN"/>
              </w:rPr>
            </w:pPr>
            <w:r w:rsidRPr="00A52F7C">
              <w:rPr>
                <w:rFonts w:eastAsia="SimSun"/>
                <w:lang w:eastAsia="zh-CN"/>
              </w:rPr>
              <w:t>17%</w:t>
            </w:r>
          </w:p>
        </w:tc>
        <w:tc>
          <w:tcPr>
            <w:tcW w:w="1180" w:type="dxa"/>
            <w:tcBorders>
              <w:top w:val="nil"/>
              <w:left w:val="nil"/>
              <w:bottom w:val="nil"/>
              <w:right w:val="nil"/>
            </w:tcBorders>
            <w:shd w:val="clear" w:color="auto" w:fill="auto"/>
            <w:vAlign w:val="center"/>
            <w:hideMark/>
          </w:tcPr>
          <w:p w14:paraId="589665F4" w14:textId="1DB41101" w:rsidR="008F108B" w:rsidRPr="00A52F7C" w:rsidRDefault="008F108B" w:rsidP="0010031B">
            <w:pPr>
              <w:pStyle w:val="ExhibitText"/>
              <w:jc w:val="right"/>
              <w:rPr>
                <w:rFonts w:eastAsia="SimSun"/>
                <w:b/>
                <w:bCs/>
                <w:lang w:eastAsia="zh-CN"/>
              </w:rPr>
            </w:pPr>
            <w:r w:rsidRPr="00A52F7C">
              <w:rPr>
                <w:rFonts w:eastAsia="SimSun"/>
                <w:lang w:eastAsia="zh-CN"/>
              </w:rPr>
              <w:t>12</w:t>
            </w:r>
            <w:r w:rsidR="00CA64C8" w:rsidRPr="00A52F7C">
              <w:rPr>
                <w:rFonts w:eastAsia="SimSun"/>
                <w:lang w:eastAsia="zh-CN"/>
              </w:rPr>
              <w:t>%</w:t>
            </w:r>
          </w:p>
        </w:tc>
      </w:tr>
      <w:tr w:rsidR="008F108B" w:rsidRPr="00A52F7C" w14:paraId="56FA7837" w14:textId="77777777" w:rsidTr="0010031B">
        <w:trPr>
          <w:trHeight w:val="300"/>
        </w:trPr>
        <w:tc>
          <w:tcPr>
            <w:tcW w:w="1320" w:type="dxa"/>
            <w:tcBorders>
              <w:top w:val="nil"/>
              <w:left w:val="nil"/>
              <w:bottom w:val="single" w:sz="4" w:space="0" w:color="auto"/>
              <w:right w:val="nil"/>
            </w:tcBorders>
            <w:shd w:val="clear" w:color="auto" w:fill="auto"/>
            <w:vAlign w:val="bottom"/>
            <w:hideMark/>
          </w:tcPr>
          <w:p w14:paraId="448EC2AE" w14:textId="61FA3686" w:rsidR="008F108B" w:rsidRPr="00A52F7C" w:rsidRDefault="008F108B" w:rsidP="00EF4C5B">
            <w:pPr>
              <w:pStyle w:val="ExhibitText"/>
              <w:rPr>
                <w:rFonts w:eastAsia="SimSun"/>
                <w:lang w:eastAsia="zh-CN"/>
              </w:rPr>
            </w:pPr>
            <w:r w:rsidRPr="00A52F7C">
              <w:rPr>
                <w:rFonts w:eastAsia="SimSun"/>
                <w:lang w:eastAsia="zh-CN"/>
              </w:rPr>
              <w:t>Others</w:t>
            </w:r>
            <w:r w:rsidRPr="00A52F7C">
              <w:rPr>
                <w:rFonts w:eastAsia="SimSun"/>
                <w:vertAlign w:val="superscript"/>
                <w:lang w:eastAsia="zh-CN"/>
              </w:rPr>
              <w:t>*</w:t>
            </w:r>
          </w:p>
        </w:tc>
        <w:tc>
          <w:tcPr>
            <w:tcW w:w="1060" w:type="dxa"/>
            <w:tcBorders>
              <w:top w:val="nil"/>
              <w:left w:val="nil"/>
              <w:bottom w:val="single" w:sz="4" w:space="0" w:color="auto"/>
              <w:right w:val="nil"/>
            </w:tcBorders>
            <w:shd w:val="clear" w:color="auto" w:fill="auto"/>
            <w:vAlign w:val="center"/>
            <w:hideMark/>
          </w:tcPr>
          <w:p w14:paraId="33CF78BC" w14:textId="1747E841" w:rsidR="008F108B" w:rsidRPr="00A52F7C" w:rsidRDefault="008F108B" w:rsidP="0010031B">
            <w:pPr>
              <w:pStyle w:val="ExhibitText"/>
              <w:jc w:val="right"/>
              <w:rPr>
                <w:rFonts w:eastAsia="SimSun"/>
                <w:b/>
                <w:bCs/>
                <w:lang w:eastAsia="zh-CN"/>
              </w:rPr>
            </w:pPr>
            <w:r w:rsidRPr="00A52F7C">
              <w:rPr>
                <w:rFonts w:eastAsia="SimSun"/>
                <w:lang w:eastAsia="zh-CN"/>
              </w:rPr>
              <w:t>47%</w:t>
            </w:r>
          </w:p>
        </w:tc>
        <w:tc>
          <w:tcPr>
            <w:tcW w:w="1000" w:type="dxa"/>
            <w:tcBorders>
              <w:top w:val="nil"/>
              <w:left w:val="nil"/>
              <w:bottom w:val="single" w:sz="4" w:space="0" w:color="auto"/>
              <w:right w:val="nil"/>
            </w:tcBorders>
            <w:shd w:val="clear" w:color="auto" w:fill="auto"/>
            <w:vAlign w:val="center"/>
            <w:hideMark/>
          </w:tcPr>
          <w:p w14:paraId="395790E0" w14:textId="05E0FBF1" w:rsidR="008F108B" w:rsidRPr="00A52F7C" w:rsidRDefault="008F108B" w:rsidP="0010031B">
            <w:pPr>
              <w:pStyle w:val="ExhibitText"/>
              <w:jc w:val="right"/>
              <w:rPr>
                <w:rFonts w:eastAsia="SimSun"/>
                <w:b/>
                <w:bCs/>
                <w:lang w:eastAsia="zh-CN"/>
              </w:rPr>
            </w:pPr>
            <w:r w:rsidRPr="00A52F7C">
              <w:rPr>
                <w:rFonts w:eastAsia="SimSun"/>
                <w:lang w:eastAsia="zh-CN"/>
              </w:rPr>
              <w:t>66%</w:t>
            </w:r>
          </w:p>
        </w:tc>
        <w:tc>
          <w:tcPr>
            <w:tcW w:w="1060" w:type="dxa"/>
            <w:tcBorders>
              <w:top w:val="nil"/>
              <w:left w:val="nil"/>
              <w:bottom w:val="single" w:sz="4" w:space="0" w:color="auto"/>
              <w:right w:val="nil"/>
            </w:tcBorders>
            <w:shd w:val="clear" w:color="auto" w:fill="auto"/>
            <w:vAlign w:val="center"/>
            <w:hideMark/>
          </w:tcPr>
          <w:p w14:paraId="6F5DAD46" w14:textId="4BC5F2F6" w:rsidR="008F108B" w:rsidRPr="00A52F7C" w:rsidRDefault="008F108B" w:rsidP="0010031B">
            <w:pPr>
              <w:pStyle w:val="ExhibitText"/>
              <w:jc w:val="right"/>
              <w:rPr>
                <w:rFonts w:eastAsia="SimSun"/>
                <w:b/>
                <w:bCs/>
                <w:lang w:eastAsia="zh-CN"/>
              </w:rPr>
            </w:pPr>
            <w:r w:rsidRPr="00A52F7C">
              <w:rPr>
                <w:rFonts w:eastAsia="SimSun"/>
                <w:lang w:eastAsia="zh-CN"/>
              </w:rPr>
              <w:t>28%</w:t>
            </w:r>
          </w:p>
        </w:tc>
        <w:tc>
          <w:tcPr>
            <w:tcW w:w="1260" w:type="dxa"/>
            <w:tcBorders>
              <w:top w:val="nil"/>
              <w:left w:val="nil"/>
              <w:bottom w:val="single" w:sz="4" w:space="0" w:color="auto"/>
              <w:right w:val="nil"/>
            </w:tcBorders>
            <w:shd w:val="clear" w:color="auto" w:fill="auto"/>
            <w:vAlign w:val="center"/>
            <w:hideMark/>
          </w:tcPr>
          <w:p w14:paraId="77CD56B4" w14:textId="38A65D24" w:rsidR="008F108B" w:rsidRPr="00A52F7C" w:rsidRDefault="008F108B" w:rsidP="0010031B">
            <w:pPr>
              <w:pStyle w:val="ExhibitText"/>
              <w:jc w:val="right"/>
              <w:rPr>
                <w:rFonts w:eastAsia="SimSun"/>
                <w:b/>
                <w:bCs/>
                <w:lang w:eastAsia="zh-CN"/>
              </w:rPr>
            </w:pPr>
            <w:r w:rsidRPr="00A52F7C">
              <w:rPr>
                <w:rFonts w:eastAsia="SimSun"/>
                <w:lang w:eastAsia="zh-CN"/>
              </w:rPr>
              <w:t>61%</w:t>
            </w:r>
          </w:p>
        </w:tc>
        <w:tc>
          <w:tcPr>
            <w:tcW w:w="1160" w:type="dxa"/>
            <w:tcBorders>
              <w:top w:val="nil"/>
              <w:left w:val="nil"/>
              <w:bottom w:val="single" w:sz="4" w:space="0" w:color="auto"/>
              <w:right w:val="nil"/>
            </w:tcBorders>
            <w:shd w:val="clear" w:color="auto" w:fill="auto"/>
            <w:vAlign w:val="center"/>
            <w:hideMark/>
          </w:tcPr>
          <w:p w14:paraId="1B843666" w14:textId="4B485439" w:rsidR="008F108B" w:rsidRPr="00A52F7C" w:rsidRDefault="008F108B" w:rsidP="0010031B">
            <w:pPr>
              <w:pStyle w:val="ExhibitText"/>
              <w:jc w:val="right"/>
              <w:rPr>
                <w:rFonts w:eastAsia="SimSun"/>
                <w:b/>
                <w:bCs/>
                <w:lang w:eastAsia="zh-CN"/>
              </w:rPr>
            </w:pPr>
            <w:r w:rsidRPr="00A52F7C">
              <w:rPr>
                <w:rFonts w:eastAsia="SimSun"/>
                <w:lang w:eastAsia="zh-CN"/>
              </w:rPr>
              <w:t>33%</w:t>
            </w:r>
          </w:p>
        </w:tc>
        <w:tc>
          <w:tcPr>
            <w:tcW w:w="1120" w:type="dxa"/>
            <w:tcBorders>
              <w:top w:val="nil"/>
              <w:left w:val="nil"/>
              <w:bottom w:val="single" w:sz="4" w:space="0" w:color="auto"/>
              <w:right w:val="nil"/>
            </w:tcBorders>
            <w:shd w:val="clear" w:color="auto" w:fill="auto"/>
            <w:vAlign w:val="center"/>
            <w:hideMark/>
          </w:tcPr>
          <w:p w14:paraId="3A279609" w14:textId="0103ED9A" w:rsidR="008F108B" w:rsidRPr="00A52F7C" w:rsidRDefault="008F108B" w:rsidP="0010031B">
            <w:pPr>
              <w:pStyle w:val="ExhibitText"/>
              <w:jc w:val="right"/>
              <w:rPr>
                <w:rFonts w:eastAsia="SimSun"/>
                <w:b/>
                <w:bCs/>
                <w:lang w:eastAsia="zh-CN"/>
              </w:rPr>
            </w:pPr>
            <w:r w:rsidRPr="00A52F7C">
              <w:rPr>
                <w:rFonts w:eastAsia="SimSun"/>
                <w:lang w:eastAsia="zh-CN"/>
              </w:rPr>
              <w:t>46%</w:t>
            </w:r>
          </w:p>
        </w:tc>
        <w:tc>
          <w:tcPr>
            <w:tcW w:w="1180" w:type="dxa"/>
            <w:tcBorders>
              <w:top w:val="nil"/>
              <w:left w:val="nil"/>
              <w:bottom w:val="single" w:sz="4" w:space="0" w:color="auto"/>
              <w:right w:val="nil"/>
            </w:tcBorders>
            <w:shd w:val="clear" w:color="auto" w:fill="auto"/>
            <w:vAlign w:val="center"/>
            <w:hideMark/>
          </w:tcPr>
          <w:p w14:paraId="1BB3ACD7" w14:textId="1FFD220B" w:rsidR="008F108B" w:rsidRPr="00A52F7C" w:rsidRDefault="008F108B" w:rsidP="0010031B">
            <w:pPr>
              <w:pStyle w:val="ExhibitText"/>
              <w:jc w:val="right"/>
              <w:rPr>
                <w:rFonts w:eastAsia="SimSun"/>
                <w:b/>
                <w:bCs/>
                <w:lang w:eastAsia="zh-CN"/>
              </w:rPr>
            </w:pPr>
            <w:r w:rsidRPr="00A52F7C">
              <w:rPr>
                <w:rFonts w:eastAsia="SimSun"/>
                <w:lang w:eastAsia="zh-CN"/>
              </w:rPr>
              <w:t>47</w:t>
            </w:r>
            <w:r w:rsidR="00CA64C8" w:rsidRPr="00A52F7C">
              <w:rPr>
                <w:rFonts w:eastAsia="SimSun"/>
                <w:lang w:eastAsia="zh-CN"/>
              </w:rPr>
              <w:t>%</w:t>
            </w:r>
          </w:p>
        </w:tc>
      </w:tr>
    </w:tbl>
    <w:p w14:paraId="39D978D9" w14:textId="77777777" w:rsidR="00197829" w:rsidRPr="00A52F7C" w:rsidRDefault="00197829" w:rsidP="005169F6">
      <w:pPr>
        <w:pStyle w:val="ExhibitText"/>
        <w:rPr>
          <w:lang w:eastAsia="zh-CN"/>
        </w:rPr>
      </w:pPr>
    </w:p>
    <w:p w14:paraId="3796BA09" w14:textId="339FC1A1" w:rsidR="00197829" w:rsidRPr="00A52F7C" w:rsidRDefault="005F5A27" w:rsidP="005169F6">
      <w:pPr>
        <w:pStyle w:val="Footnote"/>
      </w:pPr>
      <w:r w:rsidRPr="00A52F7C">
        <w:t xml:space="preserve">Note: </w:t>
      </w:r>
      <w:r w:rsidR="008F108B" w:rsidRPr="00A52F7C">
        <w:t>*</w:t>
      </w:r>
      <w:r w:rsidR="0010031B">
        <w:t xml:space="preserve"> </w:t>
      </w:r>
      <w:r w:rsidRPr="00A52F7C">
        <w:t xml:space="preserve">Others included </w:t>
      </w:r>
      <w:r w:rsidR="008F108B" w:rsidRPr="00A52F7C">
        <w:t>minor domestic and foreign players</w:t>
      </w:r>
      <w:r w:rsidR="00D3063B">
        <w:t>; ASEAN</w:t>
      </w:r>
      <w:r w:rsidR="00CC7FF7">
        <w:t>-6</w:t>
      </w:r>
      <w:r w:rsidR="00D3063B">
        <w:t xml:space="preserve"> = </w:t>
      </w:r>
      <w:r w:rsidR="00D3063B" w:rsidRPr="00D3063B">
        <w:t>Association of Southeast Asian Nations</w:t>
      </w:r>
      <w:r w:rsidR="00CC7FF7">
        <w:t xml:space="preserve"> plus Australia, China, India, Japan, New Zealand, and South</w:t>
      </w:r>
      <w:r w:rsidR="00CC7FF7" w:rsidRPr="00CC7FF7">
        <w:t xml:space="preserve"> </w:t>
      </w:r>
      <w:r w:rsidR="00CC7FF7">
        <w:t>Korea</w:t>
      </w:r>
      <w:r w:rsidRPr="00A52F7C">
        <w:t>.</w:t>
      </w:r>
    </w:p>
    <w:p w14:paraId="112D8651" w14:textId="26BDEF6E" w:rsidR="00982E07" w:rsidRPr="00A52F7C" w:rsidRDefault="00982E07" w:rsidP="005169F6">
      <w:pPr>
        <w:pStyle w:val="Footnote"/>
      </w:pPr>
      <w:r w:rsidRPr="00A52F7C">
        <w:t xml:space="preserve">Source: </w:t>
      </w:r>
      <w:r w:rsidR="00264553" w:rsidRPr="00A52F7C">
        <w:t xml:space="preserve">Created by the case authors based on Yuki </w:t>
      </w:r>
      <w:proofErr w:type="spellStart"/>
      <w:r w:rsidR="00264553" w:rsidRPr="00A52F7C">
        <w:t>Hanai</w:t>
      </w:r>
      <w:proofErr w:type="spellEnd"/>
      <w:r w:rsidR="00264553" w:rsidRPr="00A52F7C">
        <w:t>, “It</w:t>
      </w:r>
      <w:r w:rsidR="00A52F7C" w:rsidRPr="00A52F7C">
        <w:t>’</w:t>
      </w:r>
      <w:r w:rsidR="00264553" w:rsidRPr="00A52F7C">
        <w:t xml:space="preserve">s </w:t>
      </w:r>
      <w:r w:rsidR="005F5A27" w:rsidRPr="00A52F7C">
        <w:t xml:space="preserve">Foreign vs. Local in </w:t>
      </w:r>
      <w:r w:rsidR="00264553" w:rsidRPr="00A52F7C">
        <w:t xml:space="preserve">Southeast </w:t>
      </w:r>
      <w:r w:rsidR="005F5A27" w:rsidRPr="00A52F7C">
        <w:t>Asia’s E-Commerce Market</w:t>
      </w:r>
      <w:r w:rsidR="00264553" w:rsidRPr="00A52F7C">
        <w:t xml:space="preserve">,” </w:t>
      </w:r>
      <w:r w:rsidR="00264553" w:rsidRPr="00BA3D71">
        <w:rPr>
          <w:i/>
        </w:rPr>
        <w:t>Nikkei Asian Review</w:t>
      </w:r>
      <w:r w:rsidR="00264553" w:rsidRPr="00A52F7C">
        <w:t xml:space="preserve">, March 10, 2016, accessed July 13, 2017, </w:t>
      </w:r>
      <w:r w:rsidR="004822AC" w:rsidRPr="004822AC">
        <w:t>https://asia.nikkei.com/Business/Trends/It-s-foreign-vs.-local-in-Southeast-Asia-s-e-commerce-market</w:t>
      </w:r>
      <w:r w:rsidR="00264553" w:rsidRPr="00A52F7C">
        <w:t>.</w:t>
      </w:r>
    </w:p>
    <w:p w14:paraId="5847F867" w14:textId="77777777" w:rsidR="00D67A99" w:rsidRPr="00A52F7C" w:rsidRDefault="00D67A99" w:rsidP="005169F6">
      <w:pPr>
        <w:pStyle w:val="ExhibitText"/>
      </w:pPr>
    </w:p>
    <w:p w14:paraId="11622463" w14:textId="77777777" w:rsidR="00DA1856" w:rsidRPr="00A52F7C" w:rsidRDefault="00DA1856" w:rsidP="005169F6">
      <w:pPr>
        <w:pStyle w:val="ExhibitText"/>
      </w:pPr>
    </w:p>
    <w:p w14:paraId="7E6F6CB4" w14:textId="6ACBBF27" w:rsidR="00D67A99" w:rsidRPr="00A52F7C" w:rsidRDefault="00D67A99" w:rsidP="005169F6">
      <w:pPr>
        <w:pStyle w:val="ExhibitHeading"/>
      </w:pPr>
      <w:r w:rsidRPr="00A52F7C">
        <w:t xml:space="preserve">Exhibit 4: </w:t>
      </w:r>
      <w:r w:rsidR="00E76CCC" w:rsidRPr="00A52F7C">
        <w:t>Lazada</w:t>
      </w:r>
      <w:r w:rsidR="005F5A27" w:rsidRPr="00A52F7C">
        <w:t>—</w:t>
      </w:r>
      <w:r w:rsidR="00E76CCC" w:rsidRPr="00A52F7C">
        <w:t xml:space="preserve">selected key financial </w:t>
      </w:r>
      <w:r w:rsidR="005F5A27" w:rsidRPr="00A52F7C">
        <w:t xml:space="preserve">indicators </w:t>
      </w:r>
      <w:r w:rsidR="00B5473E" w:rsidRPr="00A52F7C">
        <w:t xml:space="preserve">(IN </w:t>
      </w:r>
      <w:r w:rsidR="005F5A27" w:rsidRPr="00A52F7C">
        <w:t>US</w:t>
      </w:r>
      <w:r w:rsidR="000558A2">
        <w:t>$</w:t>
      </w:r>
      <w:r w:rsidR="005F5A27" w:rsidRPr="00A52F7C">
        <w:t xml:space="preserve"> </w:t>
      </w:r>
      <w:r w:rsidR="00B5473E" w:rsidRPr="00A52F7C">
        <w:t>MILLION</w:t>
      </w:r>
      <w:r w:rsidR="005F5A27" w:rsidRPr="00A52F7C">
        <w:t>s)</w:t>
      </w:r>
    </w:p>
    <w:p w14:paraId="4AD69C98" w14:textId="77777777" w:rsidR="00E76CCC" w:rsidRPr="00A52F7C" w:rsidRDefault="00E76CCC" w:rsidP="005169F6">
      <w:pPr>
        <w:pStyle w:val="ExhibitText"/>
        <w:rPr>
          <w:lang w:eastAsia="zh-CN"/>
        </w:rPr>
      </w:pPr>
    </w:p>
    <w:tbl>
      <w:tblPr>
        <w:tblW w:w="5820" w:type="dxa"/>
        <w:jc w:val="center"/>
        <w:tblLook w:val="04A0" w:firstRow="1" w:lastRow="0" w:firstColumn="1" w:lastColumn="0" w:noHBand="0" w:noVBand="1"/>
      </w:tblPr>
      <w:tblGrid>
        <w:gridCol w:w="2916"/>
        <w:gridCol w:w="912"/>
        <w:gridCol w:w="996"/>
        <w:gridCol w:w="996"/>
      </w:tblGrid>
      <w:tr w:rsidR="00DA1856" w:rsidRPr="00A52F7C" w14:paraId="0735FD87" w14:textId="77777777" w:rsidTr="0010031B">
        <w:trPr>
          <w:trHeight w:val="300"/>
          <w:jc w:val="center"/>
        </w:trPr>
        <w:tc>
          <w:tcPr>
            <w:tcW w:w="2916" w:type="dxa"/>
            <w:tcBorders>
              <w:top w:val="single" w:sz="4" w:space="0" w:color="auto"/>
              <w:left w:val="nil"/>
              <w:bottom w:val="single" w:sz="4" w:space="0" w:color="auto"/>
              <w:right w:val="nil"/>
            </w:tcBorders>
            <w:shd w:val="clear" w:color="auto" w:fill="auto"/>
            <w:noWrap/>
            <w:vAlign w:val="center"/>
            <w:hideMark/>
          </w:tcPr>
          <w:p w14:paraId="6E5DA949" w14:textId="77777777" w:rsidR="00DA1856" w:rsidRPr="00A52F7C" w:rsidRDefault="00DA1856" w:rsidP="00EB7706">
            <w:pPr>
              <w:pStyle w:val="ExhibitText"/>
              <w:jc w:val="left"/>
              <w:rPr>
                <w:rFonts w:eastAsia="SimSun"/>
                <w:lang w:eastAsia="zh-CN"/>
              </w:rPr>
            </w:pPr>
            <w:r w:rsidRPr="00A52F7C">
              <w:rPr>
                <w:rFonts w:eastAsia="SimSun"/>
                <w:lang w:eastAsia="zh-CN"/>
              </w:rPr>
              <w:t>Key Financial Indicators</w:t>
            </w:r>
          </w:p>
        </w:tc>
        <w:tc>
          <w:tcPr>
            <w:tcW w:w="912" w:type="dxa"/>
            <w:tcBorders>
              <w:top w:val="single" w:sz="4" w:space="0" w:color="auto"/>
              <w:left w:val="nil"/>
              <w:bottom w:val="single" w:sz="4" w:space="0" w:color="auto"/>
              <w:right w:val="nil"/>
            </w:tcBorders>
            <w:shd w:val="clear" w:color="auto" w:fill="auto"/>
            <w:noWrap/>
            <w:vAlign w:val="center"/>
            <w:hideMark/>
          </w:tcPr>
          <w:p w14:paraId="1A34593F" w14:textId="77777777" w:rsidR="00DA1856" w:rsidRPr="00A52F7C" w:rsidRDefault="00DA1856" w:rsidP="00EB7706">
            <w:pPr>
              <w:pStyle w:val="ExhibitText"/>
              <w:jc w:val="right"/>
              <w:rPr>
                <w:rFonts w:eastAsia="SimSun"/>
                <w:b/>
                <w:bCs/>
                <w:lang w:eastAsia="zh-CN"/>
              </w:rPr>
            </w:pPr>
            <w:r w:rsidRPr="00A52F7C">
              <w:rPr>
                <w:rFonts w:eastAsia="SimSun"/>
                <w:lang w:eastAsia="zh-CN"/>
              </w:rPr>
              <w:t>2013</w:t>
            </w:r>
          </w:p>
        </w:tc>
        <w:tc>
          <w:tcPr>
            <w:tcW w:w="996" w:type="dxa"/>
            <w:tcBorders>
              <w:top w:val="single" w:sz="4" w:space="0" w:color="auto"/>
              <w:left w:val="nil"/>
              <w:bottom w:val="single" w:sz="4" w:space="0" w:color="auto"/>
              <w:right w:val="nil"/>
            </w:tcBorders>
            <w:shd w:val="clear" w:color="auto" w:fill="auto"/>
            <w:noWrap/>
            <w:vAlign w:val="center"/>
            <w:hideMark/>
          </w:tcPr>
          <w:p w14:paraId="655085F3" w14:textId="77777777" w:rsidR="00DA1856" w:rsidRPr="00A52F7C" w:rsidRDefault="00DA1856" w:rsidP="00EB7706">
            <w:pPr>
              <w:pStyle w:val="ExhibitText"/>
              <w:jc w:val="right"/>
              <w:rPr>
                <w:rFonts w:eastAsia="SimSun"/>
                <w:b/>
                <w:bCs/>
                <w:lang w:eastAsia="zh-CN"/>
              </w:rPr>
            </w:pPr>
            <w:r w:rsidRPr="00A52F7C">
              <w:rPr>
                <w:rFonts w:eastAsia="SimSun"/>
                <w:lang w:eastAsia="zh-CN"/>
              </w:rPr>
              <w:t>2014</w:t>
            </w:r>
          </w:p>
        </w:tc>
        <w:tc>
          <w:tcPr>
            <w:tcW w:w="996" w:type="dxa"/>
            <w:tcBorders>
              <w:top w:val="single" w:sz="4" w:space="0" w:color="auto"/>
              <w:left w:val="nil"/>
              <w:bottom w:val="single" w:sz="4" w:space="0" w:color="auto"/>
              <w:right w:val="nil"/>
            </w:tcBorders>
            <w:shd w:val="clear" w:color="auto" w:fill="auto"/>
            <w:noWrap/>
            <w:vAlign w:val="center"/>
            <w:hideMark/>
          </w:tcPr>
          <w:p w14:paraId="5D2FA0BB" w14:textId="77777777" w:rsidR="00DA1856" w:rsidRPr="00A52F7C" w:rsidRDefault="00DA1856" w:rsidP="00EB7706">
            <w:pPr>
              <w:pStyle w:val="ExhibitText"/>
              <w:jc w:val="right"/>
              <w:rPr>
                <w:rFonts w:eastAsia="SimSun"/>
                <w:b/>
                <w:bCs/>
                <w:lang w:eastAsia="zh-CN"/>
              </w:rPr>
            </w:pPr>
            <w:r w:rsidRPr="00A52F7C">
              <w:rPr>
                <w:rFonts w:eastAsia="SimSun"/>
                <w:lang w:eastAsia="zh-CN"/>
              </w:rPr>
              <w:t>2015</w:t>
            </w:r>
          </w:p>
        </w:tc>
      </w:tr>
      <w:tr w:rsidR="00DA1856" w:rsidRPr="00A52F7C" w14:paraId="54C7501D" w14:textId="77777777" w:rsidTr="0010031B">
        <w:trPr>
          <w:trHeight w:val="300"/>
          <w:jc w:val="center"/>
        </w:trPr>
        <w:tc>
          <w:tcPr>
            <w:tcW w:w="2916" w:type="dxa"/>
            <w:tcBorders>
              <w:top w:val="nil"/>
              <w:left w:val="nil"/>
              <w:bottom w:val="nil"/>
              <w:right w:val="nil"/>
            </w:tcBorders>
            <w:shd w:val="clear" w:color="auto" w:fill="auto"/>
            <w:noWrap/>
            <w:vAlign w:val="center"/>
            <w:hideMark/>
          </w:tcPr>
          <w:p w14:paraId="3D4BE47B" w14:textId="31645FEA" w:rsidR="00DA1856" w:rsidRPr="00A52F7C" w:rsidRDefault="00DA1856" w:rsidP="00EB7706">
            <w:pPr>
              <w:pStyle w:val="ExhibitText"/>
              <w:jc w:val="left"/>
              <w:rPr>
                <w:rFonts w:eastAsia="SimSun"/>
                <w:lang w:eastAsia="zh-CN"/>
              </w:rPr>
            </w:pPr>
            <w:r w:rsidRPr="00A52F7C">
              <w:rPr>
                <w:rFonts w:eastAsia="SimSun"/>
                <w:lang w:eastAsia="zh-CN"/>
              </w:rPr>
              <w:t xml:space="preserve">Net </w:t>
            </w:r>
            <w:r w:rsidR="005F5A27" w:rsidRPr="00A52F7C">
              <w:rPr>
                <w:rFonts w:eastAsia="SimSun"/>
                <w:lang w:eastAsia="zh-CN"/>
              </w:rPr>
              <w:t>Revenue</w:t>
            </w:r>
          </w:p>
        </w:tc>
        <w:tc>
          <w:tcPr>
            <w:tcW w:w="912" w:type="dxa"/>
            <w:tcBorders>
              <w:top w:val="nil"/>
              <w:left w:val="nil"/>
              <w:bottom w:val="nil"/>
              <w:right w:val="nil"/>
            </w:tcBorders>
            <w:shd w:val="clear" w:color="auto" w:fill="auto"/>
            <w:noWrap/>
            <w:vAlign w:val="center"/>
            <w:hideMark/>
          </w:tcPr>
          <w:p w14:paraId="2389249E" w14:textId="77777777" w:rsidR="00DA1856" w:rsidRPr="00A52F7C" w:rsidRDefault="00DA1856" w:rsidP="00EB7706">
            <w:pPr>
              <w:pStyle w:val="ExhibitText"/>
              <w:jc w:val="right"/>
              <w:rPr>
                <w:rFonts w:eastAsia="SimSun"/>
                <w:lang w:eastAsia="zh-CN"/>
              </w:rPr>
            </w:pPr>
            <w:r w:rsidRPr="00A52F7C">
              <w:rPr>
                <w:rFonts w:eastAsia="SimSun"/>
                <w:lang w:eastAsia="zh-CN"/>
              </w:rPr>
              <w:t>75.5</w:t>
            </w:r>
          </w:p>
        </w:tc>
        <w:tc>
          <w:tcPr>
            <w:tcW w:w="996" w:type="dxa"/>
            <w:tcBorders>
              <w:top w:val="nil"/>
              <w:left w:val="nil"/>
              <w:bottom w:val="nil"/>
              <w:right w:val="nil"/>
            </w:tcBorders>
            <w:shd w:val="clear" w:color="auto" w:fill="auto"/>
            <w:noWrap/>
            <w:vAlign w:val="center"/>
            <w:hideMark/>
          </w:tcPr>
          <w:p w14:paraId="5F4E8462" w14:textId="77777777" w:rsidR="00DA1856" w:rsidRPr="00A52F7C" w:rsidRDefault="00DA1856" w:rsidP="00EB7706">
            <w:pPr>
              <w:pStyle w:val="ExhibitText"/>
              <w:jc w:val="right"/>
              <w:rPr>
                <w:rFonts w:eastAsia="SimSun"/>
                <w:lang w:eastAsia="zh-CN"/>
              </w:rPr>
            </w:pPr>
            <w:r w:rsidRPr="00A52F7C">
              <w:rPr>
                <w:rFonts w:eastAsia="SimSun"/>
                <w:lang w:eastAsia="zh-CN"/>
              </w:rPr>
              <w:t>154.3</w:t>
            </w:r>
          </w:p>
        </w:tc>
        <w:tc>
          <w:tcPr>
            <w:tcW w:w="996" w:type="dxa"/>
            <w:tcBorders>
              <w:top w:val="nil"/>
              <w:left w:val="nil"/>
              <w:bottom w:val="nil"/>
              <w:right w:val="nil"/>
            </w:tcBorders>
            <w:shd w:val="clear" w:color="auto" w:fill="auto"/>
            <w:noWrap/>
            <w:vAlign w:val="center"/>
            <w:hideMark/>
          </w:tcPr>
          <w:p w14:paraId="62398C46" w14:textId="77777777" w:rsidR="00DA1856" w:rsidRPr="00A52F7C" w:rsidRDefault="00DA1856" w:rsidP="00EB7706">
            <w:pPr>
              <w:pStyle w:val="ExhibitText"/>
              <w:jc w:val="right"/>
              <w:rPr>
                <w:rFonts w:eastAsia="SimSun"/>
                <w:lang w:eastAsia="zh-CN"/>
              </w:rPr>
            </w:pPr>
            <w:r w:rsidRPr="00A52F7C">
              <w:rPr>
                <w:rFonts w:eastAsia="SimSun"/>
                <w:lang w:eastAsia="zh-CN"/>
              </w:rPr>
              <w:t>275.0</w:t>
            </w:r>
          </w:p>
        </w:tc>
      </w:tr>
      <w:tr w:rsidR="00DA1856" w:rsidRPr="00A52F7C" w14:paraId="3FAA8AA5" w14:textId="77777777" w:rsidTr="0010031B">
        <w:trPr>
          <w:trHeight w:val="300"/>
          <w:jc w:val="center"/>
        </w:trPr>
        <w:tc>
          <w:tcPr>
            <w:tcW w:w="2916" w:type="dxa"/>
            <w:tcBorders>
              <w:top w:val="nil"/>
              <w:left w:val="nil"/>
              <w:bottom w:val="nil"/>
              <w:right w:val="nil"/>
            </w:tcBorders>
            <w:shd w:val="clear" w:color="auto" w:fill="auto"/>
            <w:noWrap/>
            <w:vAlign w:val="center"/>
            <w:hideMark/>
          </w:tcPr>
          <w:p w14:paraId="7D595DF2" w14:textId="77777777" w:rsidR="00DA1856" w:rsidRPr="00A52F7C" w:rsidRDefault="00DA1856" w:rsidP="00EB7706">
            <w:pPr>
              <w:pStyle w:val="ExhibitText"/>
              <w:jc w:val="left"/>
              <w:rPr>
                <w:rFonts w:eastAsia="SimSun"/>
                <w:lang w:eastAsia="zh-CN"/>
              </w:rPr>
            </w:pPr>
            <w:r w:rsidRPr="00A52F7C">
              <w:rPr>
                <w:rFonts w:eastAsia="SimSun"/>
                <w:lang w:eastAsia="zh-CN"/>
              </w:rPr>
              <w:t>Gross Profit</w:t>
            </w:r>
          </w:p>
        </w:tc>
        <w:tc>
          <w:tcPr>
            <w:tcW w:w="912" w:type="dxa"/>
            <w:tcBorders>
              <w:top w:val="nil"/>
              <w:left w:val="nil"/>
              <w:bottom w:val="nil"/>
              <w:right w:val="nil"/>
            </w:tcBorders>
            <w:shd w:val="clear" w:color="auto" w:fill="auto"/>
            <w:noWrap/>
            <w:vAlign w:val="center"/>
            <w:hideMark/>
          </w:tcPr>
          <w:p w14:paraId="6875FEF4" w14:textId="77777777" w:rsidR="00DA1856" w:rsidRPr="00A52F7C" w:rsidRDefault="00DA1856" w:rsidP="00EB7706">
            <w:pPr>
              <w:pStyle w:val="ExhibitText"/>
              <w:jc w:val="right"/>
              <w:rPr>
                <w:rFonts w:eastAsia="SimSun"/>
                <w:lang w:eastAsia="zh-CN"/>
              </w:rPr>
            </w:pPr>
            <w:r w:rsidRPr="00A52F7C">
              <w:rPr>
                <w:rFonts w:eastAsia="SimSun"/>
                <w:lang w:eastAsia="zh-CN"/>
              </w:rPr>
              <w:t>5.2</w:t>
            </w:r>
          </w:p>
        </w:tc>
        <w:tc>
          <w:tcPr>
            <w:tcW w:w="996" w:type="dxa"/>
            <w:tcBorders>
              <w:top w:val="nil"/>
              <w:left w:val="nil"/>
              <w:bottom w:val="nil"/>
              <w:right w:val="nil"/>
            </w:tcBorders>
            <w:shd w:val="clear" w:color="auto" w:fill="auto"/>
            <w:noWrap/>
            <w:vAlign w:val="center"/>
            <w:hideMark/>
          </w:tcPr>
          <w:p w14:paraId="11C2C22A" w14:textId="77777777" w:rsidR="00DA1856" w:rsidRPr="00A52F7C" w:rsidRDefault="00DA1856" w:rsidP="00EB7706">
            <w:pPr>
              <w:pStyle w:val="ExhibitText"/>
              <w:jc w:val="right"/>
              <w:rPr>
                <w:rFonts w:eastAsia="SimSun"/>
                <w:lang w:eastAsia="zh-CN"/>
              </w:rPr>
            </w:pPr>
            <w:r w:rsidRPr="00A52F7C">
              <w:rPr>
                <w:rFonts w:eastAsia="SimSun"/>
                <w:lang w:eastAsia="zh-CN"/>
              </w:rPr>
              <w:t>22.4</w:t>
            </w:r>
          </w:p>
        </w:tc>
        <w:tc>
          <w:tcPr>
            <w:tcW w:w="996" w:type="dxa"/>
            <w:tcBorders>
              <w:top w:val="nil"/>
              <w:left w:val="nil"/>
              <w:bottom w:val="nil"/>
              <w:right w:val="nil"/>
            </w:tcBorders>
            <w:shd w:val="clear" w:color="auto" w:fill="auto"/>
            <w:noWrap/>
            <w:vAlign w:val="center"/>
            <w:hideMark/>
          </w:tcPr>
          <w:p w14:paraId="779F91D5" w14:textId="77777777" w:rsidR="00DA1856" w:rsidRPr="00A52F7C" w:rsidRDefault="00DA1856" w:rsidP="00EB7706">
            <w:pPr>
              <w:pStyle w:val="ExhibitText"/>
              <w:jc w:val="right"/>
              <w:rPr>
                <w:rFonts w:eastAsia="SimSun"/>
                <w:lang w:eastAsia="zh-CN"/>
              </w:rPr>
            </w:pPr>
            <w:r w:rsidRPr="00A52F7C">
              <w:rPr>
                <w:rFonts w:eastAsia="SimSun"/>
                <w:lang w:eastAsia="zh-CN"/>
              </w:rPr>
              <w:t>67.0</w:t>
            </w:r>
          </w:p>
        </w:tc>
      </w:tr>
      <w:tr w:rsidR="00DA1856" w:rsidRPr="00A52F7C" w14:paraId="0CF2DDB8" w14:textId="77777777" w:rsidTr="0010031B">
        <w:trPr>
          <w:trHeight w:val="300"/>
          <w:jc w:val="center"/>
        </w:trPr>
        <w:tc>
          <w:tcPr>
            <w:tcW w:w="2916" w:type="dxa"/>
            <w:tcBorders>
              <w:top w:val="nil"/>
              <w:left w:val="nil"/>
              <w:bottom w:val="nil"/>
              <w:right w:val="nil"/>
            </w:tcBorders>
            <w:shd w:val="clear" w:color="auto" w:fill="auto"/>
            <w:noWrap/>
            <w:vAlign w:val="center"/>
            <w:hideMark/>
          </w:tcPr>
          <w:p w14:paraId="0C95B5EF" w14:textId="2C9BDE16" w:rsidR="00DA1856" w:rsidRPr="00A52F7C" w:rsidRDefault="00DA1856" w:rsidP="00EB7706">
            <w:pPr>
              <w:pStyle w:val="ExhibitText"/>
              <w:jc w:val="left"/>
              <w:rPr>
                <w:rFonts w:eastAsia="SimSun"/>
                <w:lang w:eastAsia="zh-CN"/>
              </w:rPr>
            </w:pPr>
            <w:r w:rsidRPr="00A52F7C">
              <w:rPr>
                <w:rFonts w:eastAsia="SimSun"/>
                <w:lang w:eastAsia="zh-CN"/>
              </w:rPr>
              <w:t>Adjusted EBITDA</w:t>
            </w:r>
            <w:r w:rsidR="00567284" w:rsidRPr="00C85E0A">
              <w:rPr>
                <w:rFonts w:eastAsia="SimSun"/>
                <w:vertAlign w:val="superscript"/>
                <w:lang w:eastAsia="zh-CN"/>
              </w:rPr>
              <w:t>*</w:t>
            </w:r>
          </w:p>
        </w:tc>
        <w:tc>
          <w:tcPr>
            <w:tcW w:w="912" w:type="dxa"/>
            <w:tcBorders>
              <w:top w:val="nil"/>
              <w:left w:val="nil"/>
              <w:bottom w:val="nil"/>
              <w:right w:val="nil"/>
            </w:tcBorders>
            <w:shd w:val="clear" w:color="auto" w:fill="auto"/>
            <w:noWrap/>
            <w:vAlign w:val="center"/>
            <w:hideMark/>
          </w:tcPr>
          <w:p w14:paraId="66714B11" w14:textId="5F9722F4" w:rsidR="00DA1856" w:rsidRPr="00A52F7C" w:rsidRDefault="004822AC" w:rsidP="0010031B">
            <w:pPr>
              <w:pStyle w:val="ExhibitText"/>
              <w:ind w:right="-33"/>
              <w:jc w:val="right"/>
              <w:rPr>
                <w:rFonts w:eastAsia="SimSun"/>
                <w:lang w:eastAsia="zh-CN"/>
              </w:rPr>
            </w:pPr>
            <w:r>
              <w:rPr>
                <w:rFonts w:eastAsia="SimSun"/>
                <w:lang w:eastAsia="zh-CN"/>
              </w:rPr>
              <w:t>(</w:t>
            </w:r>
            <w:r w:rsidR="00DA1856" w:rsidRPr="00A52F7C">
              <w:rPr>
                <w:rFonts w:eastAsia="SimSun"/>
                <w:lang w:eastAsia="zh-CN"/>
              </w:rPr>
              <w:t>58.5</w:t>
            </w:r>
            <w:r>
              <w:rPr>
                <w:rFonts w:eastAsia="SimSun"/>
                <w:lang w:eastAsia="zh-CN"/>
              </w:rPr>
              <w:t>)</w:t>
            </w:r>
          </w:p>
        </w:tc>
        <w:tc>
          <w:tcPr>
            <w:tcW w:w="996" w:type="dxa"/>
            <w:tcBorders>
              <w:top w:val="nil"/>
              <w:left w:val="nil"/>
              <w:bottom w:val="nil"/>
              <w:right w:val="nil"/>
            </w:tcBorders>
            <w:shd w:val="clear" w:color="auto" w:fill="auto"/>
            <w:noWrap/>
            <w:vAlign w:val="center"/>
            <w:hideMark/>
          </w:tcPr>
          <w:p w14:paraId="2359C2B0" w14:textId="4424DC3B" w:rsidR="00DA1856" w:rsidRPr="00A52F7C" w:rsidRDefault="004822AC" w:rsidP="00EB7706">
            <w:pPr>
              <w:pStyle w:val="ExhibitText"/>
              <w:jc w:val="right"/>
              <w:rPr>
                <w:rFonts w:eastAsia="SimSun"/>
                <w:lang w:eastAsia="zh-CN"/>
              </w:rPr>
            </w:pPr>
            <w:r>
              <w:rPr>
                <w:rFonts w:eastAsia="SimSun"/>
                <w:lang w:eastAsia="zh-CN"/>
              </w:rPr>
              <w:t>(</w:t>
            </w:r>
            <w:r w:rsidR="00DA1856" w:rsidRPr="00A52F7C">
              <w:rPr>
                <w:rFonts w:eastAsia="SimSun"/>
                <w:lang w:eastAsia="zh-CN"/>
              </w:rPr>
              <w:t>142.5</w:t>
            </w:r>
            <w:r>
              <w:rPr>
                <w:rFonts w:eastAsia="SimSun"/>
                <w:lang w:eastAsia="zh-CN"/>
              </w:rPr>
              <w:t>)</w:t>
            </w:r>
          </w:p>
        </w:tc>
        <w:tc>
          <w:tcPr>
            <w:tcW w:w="996" w:type="dxa"/>
            <w:tcBorders>
              <w:top w:val="nil"/>
              <w:left w:val="nil"/>
              <w:bottom w:val="nil"/>
              <w:right w:val="nil"/>
            </w:tcBorders>
            <w:shd w:val="clear" w:color="auto" w:fill="auto"/>
            <w:noWrap/>
            <w:vAlign w:val="center"/>
            <w:hideMark/>
          </w:tcPr>
          <w:p w14:paraId="458EA8E9" w14:textId="5521AB5C" w:rsidR="00DA1856" w:rsidRPr="00A52F7C" w:rsidRDefault="004822AC" w:rsidP="00EB7706">
            <w:pPr>
              <w:pStyle w:val="ExhibitText"/>
              <w:jc w:val="right"/>
              <w:rPr>
                <w:rFonts w:eastAsia="SimSun"/>
                <w:lang w:eastAsia="zh-CN"/>
              </w:rPr>
            </w:pPr>
            <w:r>
              <w:rPr>
                <w:rFonts w:eastAsia="SimSun"/>
                <w:lang w:eastAsia="zh-CN"/>
              </w:rPr>
              <w:t>(</w:t>
            </w:r>
            <w:r w:rsidR="00DA1856" w:rsidRPr="00A52F7C">
              <w:rPr>
                <w:rFonts w:eastAsia="SimSun"/>
                <w:lang w:eastAsia="zh-CN"/>
              </w:rPr>
              <w:t>296.5</w:t>
            </w:r>
            <w:r>
              <w:rPr>
                <w:rFonts w:eastAsia="SimSun"/>
                <w:lang w:eastAsia="zh-CN"/>
              </w:rPr>
              <w:t>)</w:t>
            </w:r>
          </w:p>
        </w:tc>
      </w:tr>
      <w:tr w:rsidR="00DA1856" w:rsidRPr="00A52F7C" w14:paraId="2C767049" w14:textId="77777777" w:rsidTr="0010031B">
        <w:trPr>
          <w:trHeight w:val="300"/>
          <w:jc w:val="center"/>
        </w:trPr>
        <w:tc>
          <w:tcPr>
            <w:tcW w:w="2916" w:type="dxa"/>
            <w:tcBorders>
              <w:top w:val="nil"/>
              <w:left w:val="nil"/>
              <w:bottom w:val="nil"/>
              <w:right w:val="nil"/>
            </w:tcBorders>
            <w:shd w:val="clear" w:color="auto" w:fill="auto"/>
            <w:noWrap/>
            <w:vAlign w:val="center"/>
            <w:hideMark/>
          </w:tcPr>
          <w:p w14:paraId="5C30A4F9" w14:textId="77777777" w:rsidR="00DA1856" w:rsidRPr="00A52F7C" w:rsidRDefault="00DA1856" w:rsidP="00EB7706">
            <w:pPr>
              <w:pStyle w:val="ExhibitText"/>
              <w:jc w:val="left"/>
              <w:rPr>
                <w:rFonts w:eastAsia="SimSun"/>
                <w:lang w:eastAsia="zh-CN"/>
              </w:rPr>
            </w:pPr>
            <w:r w:rsidRPr="00A52F7C">
              <w:rPr>
                <w:rFonts w:eastAsia="SimSun"/>
                <w:lang w:eastAsia="zh-CN"/>
              </w:rPr>
              <w:t>Cash</w:t>
            </w:r>
          </w:p>
        </w:tc>
        <w:tc>
          <w:tcPr>
            <w:tcW w:w="912" w:type="dxa"/>
            <w:tcBorders>
              <w:top w:val="nil"/>
              <w:left w:val="nil"/>
              <w:bottom w:val="nil"/>
              <w:right w:val="nil"/>
            </w:tcBorders>
            <w:shd w:val="clear" w:color="auto" w:fill="auto"/>
            <w:noWrap/>
            <w:vAlign w:val="center"/>
            <w:hideMark/>
          </w:tcPr>
          <w:p w14:paraId="5135C916" w14:textId="77777777" w:rsidR="00DA1856" w:rsidRPr="00A52F7C" w:rsidRDefault="00DA1856" w:rsidP="00EB7706">
            <w:pPr>
              <w:pStyle w:val="ExhibitText"/>
              <w:jc w:val="right"/>
              <w:rPr>
                <w:rFonts w:eastAsia="SimSun"/>
                <w:lang w:eastAsia="zh-CN"/>
              </w:rPr>
            </w:pPr>
            <w:r w:rsidRPr="00A52F7C">
              <w:rPr>
                <w:rFonts w:eastAsia="SimSun"/>
                <w:lang w:eastAsia="zh-CN"/>
              </w:rPr>
              <w:t>251.8</w:t>
            </w:r>
          </w:p>
        </w:tc>
        <w:tc>
          <w:tcPr>
            <w:tcW w:w="996" w:type="dxa"/>
            <w:tcBorders>
              <w:top w:val="nil"/>
              <w:left w:val="nil"/>
              <w:bottom w:val="nil"/>
              <w:right w:val="nil"/>
            </w:tcBorders>
            <w:shd w:val="clear" w:color="auto" w:fill="auto"/>
            <w:noWrap/>
            <w:vAlign w:val="center"/>
            <w:hideMark/>
          </w:tcPr>
          <w:p w14:paraId="177028A9" w14:textId="77777777" w:rsidR="00DA1856" w:rsidRPr="00A52F7C" w:rsidRDefault="00DA1856" w:rsidP="00EB7706">
            <w:pPr>
              <w:pStyle w:val="ExhibitText"/>
              <w:jc w:val="right"/>
              <w:rPr>
                <w:rFonts w:eastAsia="SimSun"/>
                <w:lang w:eastAsia="zh-CN"/>
              </w:rPr>
            </w:pPr>
            <w:r w:rsidRPr="00A52F7C">
              <w:rPr>
                <w:rFonts w:eastAsia="SimSun"/>
                <w:lang w:eastAsia="zh-CN"/>
              </w:rPr>
              <w:t>198.0</w:t>
            </w:r>
          </w:p>
        </w:tc>
        <w:tc>
          <w:tcPr>
            <w:tcW w:w="996" w:type="dxa"/>
            <w:tcBorders>
              <w:top w:val="nil"/>
              <w:left w:val="nil"/>
              <w:bottom w:val="nil"/>
              <w:right w:val="nil"/>
            </w:tcBorders>
            <w:shd w:val="clear" w:color="auto" w:fill="auto"/>
            <w:noWrap/>
            <w:vAlign w:val="center"/>
            <w:hideMark/>
          </w:tcPr>
          <w:p w14:paraId="44D4A2CD" w14:textId="77777777" w:rsidR="00DA1856" w:rsidRPr="00A52F7C" w:rsidRDefault="00DA1856" w:rsidP="00EB7706">
            <w:pPr>
              <w:pStyle w:val="ExhibitText"/>
              <w:jc w:val="right"/>
              <w:rPr>
                <w:rFonts w:eastAsia="SimSun"/>
                <w:lang w:eastAsia="zh-CN"/>
              </w:rPr>
            </w:pPr>
            <w:r w:rsidRPr="00A52F7C">
              <w:rPr>
                <w:rFonts w:eastAsia="SimSun"/>
                <w:lang w:eastAsia="zh-CN"/>
              </w:rPr>
              <w:t>75.4</w:t>
            </w:r>
          </w:p>
        </w:tc>
      </w:tr>
      <w:tr w:rsidR="00DA1856" w:rsidRPr="00A52F7C" w14:paraId="6A14D51B" w14:textId="77777777" w:rsidTr="0010031B">
        <w:trPr>
          <w:trHeight w:val="300"/>
          <w:jc w:val="center"/>
        </w:trPr>
        <w:tc>
          <w:tcPr>
            <w:tcW w:w="2916" w:type="dxa"/>
            <w:tcBorders>
              <w:top w:val="nil"/>
              <w:left w:val="nil"/>
              <w:bottom w:val="single" w:sz="4" w:space="0" w:color="auto"/>
              <w:right w:val="nil"/>
            </w:tcBorders>
            <w:shd w:val="clear" w:color="auto" w:fill="auto"/>
            <w:noWrap/>
            <w:vAlign w:val="center"/>
            <w:hideMark/>
          </w:tcPr>
          <w:p w14:paraId="56BE63E1" w14:textId="77777777" w:rsidR="00DA1856" w:rsidRPr="00A52F7C" w:rsidRDefault="00DA1856" w:rsidP="00EB7706">
            <w:pPr>
              <w:pStyle w:val="ExhibitText"/>
              <w:jc w:val="left"/>
              <w:rPr>
                <w:rFonts w:eastAsia="SimSun"/>
                <w:lang w:eastAsia="zh-CN"/>
              </w:rPr>
            </w:pPr>
            <w:r w:rsidRPr="00A52F7C">
              <w:rPr>
                <w:rFonts w:eastAsia="SimSun"/>
                <w:lang w:eastAsia="zh-CN"/>
              </w:rPr>
              <w:t>Gross Merchandise Value</w:t>
            </w:r>
          </w:p>
        </w:tc>
        <w:tc>
          <w:tcPr>
            <w:tcW w:w="912" w:type="dxa"/>
            <w:tcBorders>
              <w:top w:val="nil"/>
              <w:left w:val="nil"/>
              <w:bottom w:val="single" w:sz="4" w:space="0" w:color="auto"/>
              <w:right w:val="nil"/>
            </w:tcBorders>
            <w:shd w:val="clear" w:color="auto" w:fill="auto"/>
            <w:noWrap/>
            <w:vAlign w:val="center"/>
            <w:hideMark/>
          </w:tcPr>
          <w:p w14:paraId="610A93E4" w14:textId="07B7BFCB" w:rsidR="00DA1856" w:rsidRPr="00A52F7C" w:rsidRDefault="003034B6" w:rsidP="00EB7706">
            <w:pPr>
              <w:pStyle w:val="ExhibitText"/>
              <w:jc w:val="right"/>
              <w:rPr>
                <w:rFonts w:eastAsia="SimSun"/>
                <w:lang w:eastAsia="zh-CN"/>
              </w:rPr>
            </w:pPr>
            <w:r>
              <w:rPr>
                <w:rFonts w:eastAsia="SimSun"/>
                <w:lang w:eastAsia="zh-CN"/>
              </w:rPr>
              <w:t>95.0</w:t>
            </w:r>
          </w:p>
        </w:tc>
        <w:tc>
          <w:tcPr>
            <w:tcW w:w="996" w:type="dxa"/>
            <w:tcBorders>
              <w:top w:val="nil"/>
              <w:left w:val="nil"/>
              <w:bottom w:val="single" w:sz="4" w:space="0" w:color="auto"/>
              <w:right w:val="nil"/>
            </w:tcBorders>
            <w:shd w:val="clear" w:color="auto" w:fill="auto"/>
            <w:noWrap/>
            <w:vAlign w:val="center"/>
            <w:hideMark/>
          </w:tcPr>
          <w:p w14:paraId="6DD873E8" w14:textId="2F457A48" w:rsidR="00DA1856" w:rsidRPr="00A52F7C" w:rsidRDefault="000A5A62" w:rsidP="00EB7706">
            <w:pPr>
              <w:pStyle w:val="ExhibitText"/>
              <w:jc w:val="right"/>
              <w:rPr>
                <w:rFonts w:eastAsia="SimSun"/>
                <w:lang w:eastAsia="zh-CN"/>
              </w:rPr>
            </w:pPr>
            <w:r>
              <w:rPr>
                <w:rFonts w:eastAsia="SimSun"/>
                <w:lang w:eastAsia="zh-CN"/>
              </w:rPr>
              <w:t>383.8</w:t>
            </w:r>
          </w:p>
        </w:tc>
        <w:tc>
          <w:tcPr>
            <w:tcW w:w="996" w:type="dxa"/>
            <w:tcBorders>
              <w:top w:val="nil"/>
              <w:left w:val="nil"/>
              <w:bottom w:val="single" w:sz="4" w:space="0" w:color="auto"/>
              <w:right w:val="nil"/>
            </w:tcBorders>
            <w:shd w:val="clear" w:color="auto" w:fill="auto"/>
            <w:noWrap/>
            <w:vAlign w:val="center"/>
            <w:hideMark/>
          </w:tcPr>
          <w:p w14:paraId="23E38292" w14:textId="1770E417" w:rsidR="00DA1856" w:rsidRPr="00A52F7C" w:rsidRDefault="003034B6" w:rsidP="00EB7706">
            <w:pPr>
              <w:pStyle w:val="ExhibitText"/>
              <w:jc w:val="right"/>
              <w:rPr>
                <w:rFonts w:eastAsia="SimSun"/>
                <w:lang w:eastAsia="zh-CN"/>
              </w:rPr>
            </w:pPr>
            <w:r>
              <w:rPr>
                <w:rFonts w:eastAsia="SimSun"/>
                <w:lang w:eastAsia="zh-CN"/>
              </w:rPr>
              <w:t>1,024.7</w:t>
            </w:r>
          </w:p>
        </w:tc>
      </w:tr>
    </w:tbl>
    <w:p w14:paraId="1339E385" w14:textId="77777777" w:rsidR="00DA1856" w:rsidRPr="00A52F7C" w:rsidRDefault="00DA1856" w:rsidP="005169F6">
      <w:pPr>
        <w:pStyle w:val="ExhibitText"/>
        <w:rPr>
          <w:lang w:eastAsia="zh-CN"/>
        </w:rPr>
      </w:pPr>
    </w:p>
    <w:p w14:paraId="1AFA4666" w14:textId="4A7C0224" w:rsidR="00567284" w:rsidRDefault="00567284" w:rsidP="005169F6">
      <w:pPr>
        <w:pStyle w:val="Footnote"/>
      </w:pPr>
      <w:r w:rsidRPr="00A52F7C">
        <w:t>Note:</w:t>
      </w:r>
      <w:r>
        <w:t xml:space="preserve"> </w:t>
      </w:r>
      <w:r w:rsidRPr="00C85E0A">
        <w:rPr>
          <w:vertAlign w:val="superscript"/>
        </w:rPr>
        <w:t>*</w:t>
      </w:r>
      <w:r w:rsidRPr="00567284">
        <w:t xml:space="preserve">EBITDA </w:t>
      </w:r>
      <w:r>
        <w:t>= e</w:t>
      </w:r>
      <w:r w:rsidRPr="00567284">
        <w:t>arnings before interest, taxes, depreciation, and amortization</w:t>
      </w:r>
      <w:r>
        <w:t>.</w:t>
      </w:r>
    </w:p>
    <w:p w14:paraId="7DE443A7" w14:textId="02D76A82" w:rsidR="00E76CCC" w:rsidRPr="00A52F7C" w:rsidRDefault="00E76CCC" w:rsidP="005169F6">
      <w:pPr>
        <w:pStyle w:val="Footnote"/>
      </w:pPr>
      <w:r w:rsidRPr="00A52F7C">
        <w:t xml:space="preserve">Source: </w:t>
      </w:r>
      <w:r w:rsidR="00BF301A" w:rsidRPr="00A52F7C">
        <w:t xml:space="preserve">Created by </w:t>
      </w:r>
      <w:r w:rsidR="005B78AB">
        <w:t xml:space="preserve">the </w:t>
      </w:r>
      <w:r w:rsidR="00BF301A" w:rsidRPr="00A52F7C">
        <w:t xml:space="preserve">case authors based on </w:t>
      </w:r>
      <w:r w:rsidR="005F5A27" w:rsidRPr="00A52F7C">
        <w:t xml:space="preserve">Rocket Internet, </w:t>
      </w:r>
      <w:r w:rsidR="00CA75C3" w:rsidRPr="00BA3D71">
        <w:rPr>
          <w:i/>
        </w:rPr>
        <w:t>Annual Report 2015</w:t>
      </w:r>
      <w:r w:rsidR="005F5A27" w:rsidRPr="00A52F7C">
        <w:t xml:space="preserve">, </w:t>
      </w:r>
      <w:r w:rsidR="00D3063B">
        <w:t xml:space="preserve">69, </w:t>
      </w:r>
      <w:r w:rsidR="00CA75C3" w:rsidRPr="00A52F7C">
        <w:t xml:space="preserve">accessed </w:t>
      </w:r>
      <w:r w:rsidR="003034B6">
        <w:t>January 31, 2018</w:t>
      </w:r>
      <w:r w:rsidR="00CA75C3" w:rsidRPr="00A52F7C">
        <w:t>, https://www.rocket-internet.com/sites/default/files/investors/Rocket%20Internet%20Annual%20Report%202015.pdf</w:t>
      </w:r>
      <w:r w:rsidR="005C0827">
        <w:t>;</w:t>
      </w:r>
      <w:r w:rsidR="005C0827" w:rsidRPr="005C0827">
        <w:t xml:space="preserve"> Roc</w:t>
      </w:r>
      <w:r w:rsidR="00030971">
        <w:t xml:space="preserve">ket Internet, </w:t>
      </w:r>
      <w:r w:rsidR="00030971" w:rsidRPr="00C85E0A">
        <w:rPr>
          <w:i/>
        </w:rPr>
        <w:t>Annual Report 2014</w:t>
      </w:r>
      <w:r w:rsidR="005C0827" w:rsidRPr="005C0827">
        <w:t xml:space="preserve">, </w:t>
      </w:r>
      <w:r w:rsidR="00D3063B">
        <w:t xml:space="preserve">63, </w:t>
      </w:r>
      <w:r w:rsidR="005C0827" w:rsidRPr="005C0827">
        <w:t>accessed</w:t>
      </w:r>
      <w:r w:rsidR="00030971">
        <w:t xml:space="preserve"> January 31, 2018,</w:t>
      </w:r>
      <w:r w:rsidR="00030971" w:rsidRPr="00030971">
        <w:t xml:space="preserve"> https://www.rocket-internet.com/sites/default/files/investors/Rocket%20Annual%20Report%202014.pdf</w:t>
      </w:r>
      <w:r w:rsidR="00CA75C3" w:rsidRPr="00A52F7C">
        <w:t>.</w:t>
      </w:r>
    </w:p>
    <w:p w14:paraId="00F6FB14" w14:textId="77777777" w:rsidR="00D67A99" w:rsidRPr="00A52F7C" w:rsidRDefault="00D67A99" w:rsidP="005169F6">
      <w:pPr>
        <w:pStyle w:val="ExhibitText"/>
      </w:pPr>
    </w:p>
    <w:p w14:paraId="2EDA2C5A" w14:textId="77777777" w:rsidR="00DA1856" w:rsidRPr="00A52F7C" w:rsidRDefault="00DA1856" w:rsidP="005169F6">
      <w:pPr>
        <w:pStyle w:val="ExhibitText"/>
      </w:pPr>
    </w:p>
    <w:p w14:paraId="209D3D8E" w14:textId="4D75906A" w:rsidR="00D67A99" w:rsidRPr="00A52F7C" w:rsidRDefault="00D67A99" w:rsidP="005169F6">
      <w:pPr>
        <w:pStyle w:val="ExhibitHeading"/>
        <w:rPr>
          <w:lang w:eastAsia="zh-CN"/>
        </w:rPr>
      </w:pPr>
      <w:r w:rsidRPr="000E7D1F">
        <w:t>Exhibit</w:t>
      </w:r>
      <w:r w:rsidRPr="00A52F7C">
        <w:t xml:space="preserve"> 5: </w:t>
      </w:r>
      <w:r w:rsidR="00D26064" w:rsidRPr="00A52F7C">
        <w:t>Southeast Asia Population by Age Group</w:t>
      </w:r>
      <w:r w:rsidR="00144DA8" w:rsidRPr="00A52F7C">
        <w:rPr>
          <w:lang w:eastAsia="zh-CN"/>
        </w:rPr>
        <w:t xml:space="preserve"> (%)</w:t>
      </w:r>
    </w:p>
    <w:p w14:paraId="1D29149D" w14:textId="77777777" w:rsidR="00D26064" w:rsidRPr="00A52F7C" w:rsidRDefault="00D26064" w:rsidP="005169F6">
      <w:pPr>
        <w:pStyle w:val="ExhibitText"/>
        <w:rPr>
          <w:lang w:eastAsia="zh-CN"/>
        </w:rPr>
      </w:pPr>
    </w:p>
    <w:tbl>
      <w:tblPr>
        <w:tblW w:w="4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4"/>
        <w:gridCol w:w="785"/>
        <w:gridCol w:w="785"/>
        <w:gridCol w:w="785"/>
        <w:gridCol w:w="785"/>
        <w:gridCol w:w="484"/>
      </w:tblGrid>
      <w:tr w:rsidR="0010031B" w:rsidRPr="00A52F7C" w14:paraId="502E0E52" w14:textId="77777777" w:rsidTr="0010031B">
        <w:trPr>
          <w:trHeight w:val="300"/>
          <w:jc w:val="center"/>
        </w:trPr>
        <w:tc>
          <w:tcPr>
            <w:tcW w:w="1268" w:type="dxa"/>
            <w:vMerge w:val="restart"/>
            <w:shd w:val="clear" w:color="auto" w:fill="auto"/>
            <w:noWrap/>
            <w:vAlign w:val="bottom"/>
            <w:hideMark/>
          </w:tcPr>
          <w:p w14:paraId="53B6A97C" w14:textId="77777777" w:rsidR="0010031B" w:rsidRPr="00A52F7C" w:rsidRDefault="0010031B" w:rsidP="00BA3D71">
            <w:pPr>
              <w:pStyle w:val="ExhibitText"/>
              <w:jc w:val="center"/>
              <w:rPr>
                <w:rFonts w:eastAsia="SimSun"/>
              </w:rPr>
            </w:pPr>
          </w:p>
        </w:tc>
        <w:tc>
          <w:tcPr>
            <w:tcW w:w="3608" w:type="dxa"/>
            <w:gridSpan w:val="5"/>
            <w:shd w:val="clear" w:color="auto" w:fill="auto"/>
            <w:noWrap/>
            <w:vAlign w:val="center"/>
            <w:hideMark/>
          </w:tcPr>
          <w:p w14:paraId="2190EF03" w14:textId="27F2BC83" w:rsidR="0010031B" w:rsidRPr="00A52F7C" w:rsidRDefault="0010031B" w:rsidP="0010031B">
            <w:pPr>
              <w:pStyle w:val="ExhibitText"/>
              <w:jc w:val="center"/>
              <w:rPr>
                <w:rFonts w:eastAsia="SimSun"/>
                <w:lang w:eastAsia="zh-CN"/>
              </w:rPr>
            </w:pPr>
            <w:r w:rsidRPr="00A52F7C">
              <w:rPr>
                <w:rFonts w:eastAsia="SimSun"/>
              </w:rPr>
              <w:t>Age</w:t>
            </w:r>
            <w:r w:rsidRPr="00A52F7C">
              <w:rPr>
                <w:rFonts w:eastAsia="SimSun"/>
                <w:lang w:eastAsia="zh-CN"/>
              </w:rPr>
              <w:t xml:space="preserve"> (Years)</w:t>
            </w:r>
          </w:p>
        </w:tc>
      </w:tr>
      <w:tr w:rsidR="0010031B" w:rsidRPr="00A52F7C" w14:paraId="572F8100" w14:textId="77777777" w:rsidTr="0010031B">
        <w:trPr>
          <w:trHeight w:val="300"/>
          <w:jc w:val="center"/>
        </w:trPr>
        <w:tc>
          <w:tcPr>
            <w:tcW w:w="0" w:type="auto"/>
            <w:vMerge/>
            <w:shd w:val="clear" w:color="auto" w:fill="auto"/>
            <w:noWrap/>
            <w:vAlign w:val="bottom"/>
            <w:hideMark/>
          </w:tcPr>
          <w:p w14:paraId="11E83D87" w14:textId="77777777" w:rsidR="0010031B" w:rsidRPr="00A52F7C" w:rsidRDefault="0010031B" w:rsidP="00BA3D71">
            <w:pPr>
              <w:pStyle w:val="ExhibitText"/>
              <w:jc w:val="center"/>
              <w:rPr>
                <w:rFonts w:eastAsia="SimSun"/>
              </w:rPr>
            </w:pPr>
          </w:p>
        </w:tc>
        <w:tc>
          <w:tcPr>
            <w:tcW w:w="0" w:type="auto"/>
            <w:shd w:val="clear" w:color="auto" w:fill="auto"/>
            <w:noWrap/>
            <w:vAlign w:val="center"/>
            <w:hideMark/>
          </w:tcPr>
          <w:p w14:paraId="158D2070" w14:textId="09D5C308" w:rsidR="0010031B" w:rsidRPr="00A52F7C" w:rsidRDefault="0010031B" w:rsidP="0010031B">
            <w:pPr>
              <w:pStyle w:val="ExhibitText"/>
              <w:jc w:val="right"/>
              <w:rPr>
                <w:rFonts w:eastAsia="SimSun"/>
              </w:rPr>
            </w:pPr>
            <w:r w:rsidRPr="00A52F7C">
              <w:rPr>
                <w:rFonts w:eastAsia="SimSun"/>
              </w:rPr>
              <w:t>15–24</w:t>
            </w:r>
          </w:p>
        </w:tc>
        <w:tc>
          <w:tcPr>
            <w:tcW w:w="0" w:type="auto"/>
            <w:shd w:val="clear" w:color="auto" w:fill="auto"/>
            <w:noWrap/>
            <w:vAlign w:val="center"/>
            <w:hideMark/>
          </w:tcPr>
          <w:p w14:paraId="62222B99" w14:textId="68A7C818" w:rsidR="0010031B" w:rsidRPr="00A52F7C" w:rsidRDefault="0010031B" w:rsidP="0010031B">
            <w:pPr>
              <w:pStyle w:val="ExhibitText"/>
              <w:jc w:val="right"/>
              <w:rPr>
                <w:rFonts w:eastAsia="SimSun"/>
              </w:rPr>
            </w:pPr>
            <w:r w:rsidRPr="00A52F7C">
              <w:rPr>
                <w:rFonts w:eastAsia="SimSun"/>
              </w:rPr>
              <w:t>25–34</w:t>
            </w:r>
          </w:p>
        </w:tc>
        <w:tc>
          <w:tcPr>
            <w:tcW w:w="0" w:type="auto"/>
            <w:shd w:val="clear" w:color="auto" w:fill="auto"/>
            <w:noWrap/>
            <w:vAlign w:val="center"/>
            <w:hideMark/>
          </w:tcPr>
          <w:p w14:paraId="53EF6E4A" w14:textId="07B437C9" w:rsidR="0010031B" w:rsidRPr="00A52F7C" w:rsidRDefault="0010031B" w:rsidP="0010031B">
            <w:pPr>
              <w:pStyle w:val="ExhibitText"/>
              <w:jc w:val="right"/>
              <w:rPr>
                <w:rFonts w:eastAsia="SimSun"/>
              </w:rPr>
            </w:pPr>
            <w:r w:rsidRPr="00A52F7C">
              <w:rPr>
                <w:rFonts w:eastAsia="SimSun"/>
              </w:rPr>
              <w:t>35–44</w:t>
            </w:r>
          </w:p>
        </w:tc>
        <w:tc>
          <w:tcPr>
            <w:tcW w:w="0" w:type="auto"/>
            <w:shd w:val="clear" w:color="auto" w:fill="auto"/>
            <w:noWrap/>
            <w:vAlign w:val="center"/>
            <w:hideMark/>
          </w:tcPr>
          <w:p w14:paraId="2366E154" w14:textId="27CCBF30" w:rsidR="0010031B" w:rsidRPr="00A52F7C" w:rsidRDefault="0010031B" w:rsidP="0010031B">
            <w:pPr>
              <w:pStyle w:val="ExhibitText"/>
              <w:jc w:val="right"/>
              <w:rPr>
                <w:rFonts w:eastAsia="SimSun"/>
              </w:rPr>
            </w:pPr>
            <w:r w:rsidRPr="00A52F7C">
              <w:rPr>
                <w:rFonts w:eastAsia="SimSun"/>
              </w:rPr>
              <w:t>45–55</w:t>
            </w:r>
          </w:p>
        </w:tc>
        <w:tc>
          <w:tcPr>
            <w:tcW w:w="0" w:type="auto"/>
            <w:shd w:val="clear" w:color="auto" w:fill="auto"/>
            <w:noWrap/>
            <w:vAlign w:val="center"/>
            <w:hideMark/>
          </w:tcPr>
          <w:p w14:paraId="3CDF2231" w14:textId="77777777" w:rsidR="0010031B" w:rsidRPr="00A52F7C" w:rsidRDefault="0010031B" w:rsidP="0010031B">
            <w:pPr>
              <w:pStyle w:val="ExhibitText"/>
              <w:jc w:val="right"/>
              <w:rPr>
                <w:rFonts w:eastAsia="SimSun"/>
              </w:rPr>
            </w:pPr>
            <w:r w:rsidRPr="00A52F7C">
              <w:rPr>
                <w:rFonts w:eastAsia="SimSun"/>
              </w:rPr>
              <w:t>55+</w:t>
            </w:r>
          </w:p>
        </w:tc>
      </w:tr>
      <w:tr w:rsidR="00397D71" w:rsidRPr="00A52F7C" w14:paraId="203C52C8" w14:textId="77777777" w:rsidTr="0010031B">
        <w:trPr>
          <w:trHeight w:val="300"/>
          <w:jc w:val="center"/>
        </w:trPr>
        <w:tc>
          <w:tcPr>
            <w:tcW w:w="0" w:type="auto"/>
            <w:shd w:val="clear" w:color="auto" w:fill="auto"/>
            <w:noWrap/>
            <w:vAlign w:val="center"/>
            <w:hideMark/>
          </w:tcPr>
          <w:p w14:paraId="5474B69D" w14:textId="77777777" w:rsidR="00397D71" w:rsidRPr="00A52F7C" w:rsidRDefault="00397D71" w:rsidP="0010031B">
            <w:pPr>
              <w:pStyle w:val="ExhibitText"/>
              <w:jc w:val="left"/>
              <w:rPr>
                <w:rFonts w:eastAsia="SimSun"/>
              </w:rPr>
            </w:pPr>
            <w:r w:rsidRPr="00A52F7C">
              <w:rPr>
                <w:rFonts w:eastAsia="SimSun"/>
              </w:rPr>
              <w:t>Singapore</w:t>
            </w:r>
          </w:p>
        </w:tc>
        <w:tc>
          <w:tcPr>
            <w:tcW w:w="0" w:type="auto"/>
            <w:shd w:val="clear" w:color="auto" w:fill="auto"/>
            <w:noWrap/>
            <w:vAlign w:val="center"/>
            <w:hideMark/>
          </w:tcPr>
          <w:p w14:paraId="1C8E882B" w14:textId="3232236D" w:rsidR="00397D71" w:rsidRPr="00A52F7C" w:rsidRDefault="00397D71" w:rsidP="0010031B">
            <w:pPr>
              <w:pStyle w:val="ExhibitText"/>
              <w:jc w:val="right"/>
              <w:rPr>
                <w:rFonts w:eastAsia="SimSun"/>
                <w:b/>
                <w:bCs/>
                <w:lang w:eastAsia="zh-CN"/>
              </w:rPr>
            </w:pPr>
            <w:r w:rsidRPr="00A52F7C">
              <w:rPr>
                <w:rFonts w:eastAsia="SimSun"/>
              </w:rPr>
              <w:t>24</w:t>
            </w:r>
          </w:p>
        </w:tc>
        <w:tc>
          <w:tcPr>
            <w:tcW w:w="0" w:type="auto"/>
            <w:shd w:val="clear" w:color="auto" w:fill="auto"/>
            <w:noWrap/>
            <w:vAlign w:val="center"/>
            <w:hideMark/>
          </w:tcPr>
          <w:p w14:paraId="230A9903" w14:textId="2636B406" w:rsidR="00397D71" w:rsidRPr="00A52F7C" w:rsidRDefault="00397D71" w:rsidP="0010031B">
            <w:pPr>
              <w:pStyle w:val="ExhibitText"/>
              <w:jc w:val="right"/>
              <w:rPr>
                <w:rFonts w:eastAsia="SimSun"/>
                <w:b/>
                <w:bCs/>
                <w:lang w:eastAsia="zh-CN"/>
              </w:rPr>
            </w:pPr>
            <w:r w:rsidRPr="00A52F7C">
              <w:rPr>
                <w:rFonts w:eastAsia="SimSun"/>
              </w:rPr>
              <w:t>27</w:t>
            </w:r>
          </w:p>
        </w:tc>
        <w:tc>
          <w:tcPr>
            <w:tcW w:w="0" w:type="auto"/>
            <w:shd w:val="clear" w:color="auto" w:fill="auto"/>
            <w:noWrap/>
            <w:vAlign w:val="center"/>
            <w:hideMark/>
          </w:tcPr>
          <w:p w14:paraId="689CD530" w14:textId="6AC5745C" w:rsidR="00397D71" w:rsidRPr="00A52F7C" w:rsidRDefault="00397D71" w:rsidP="0010031B">
            <w:pPr>
              <w:pStyle w:val="ExhibitText"/>
              <w:jc w:val="right"/>
              <w:rPr>
                <w:rFonts w:eastAsia="SimSun"/>
                <w:b/>
                <w:bCs/>
                <w:lang w:eastAsia="zh-CN"/>
              </w:rPr>
            </w:pPr>
            <w:r w:rsidRPr="00A52F7C">
              <w:rPr>
                <w:rFonts w:eastAsia="SimSun"/>
              </w:rPr>
              <w:t>25</w:t>
            </w:r>
          </w:p>
        </w:tc>
        <w:tc>
          <w:tcPr>
            <w:tcW w:w="0" w:type="auto"/>
            <w:shd w:val="clear" w:color="auto" w:fill="auto"/>
            <w:noWrap/>
            <w:vAlign w:val="center"/>
            <w:hideMark/>
          </w:tcPr>
          <w:p w14:paraId="63AB8F1E" w14:textId="548E66AE" w:rsidR="00397D71" w:rsidRPr="00A52F7C" w:rsidRDefault="00397D71" w:rsidP="0010031B">
            <w:pPr>
              <w:pStyle w:val="ExhibitText"/>
              <w:jc w:val="right"/>
              <w:rPr>
                <w:rFonts w:eastAsia="SimSun"/>
                <w:b/>
                <w:bCs/>
                <w:lang w:eastAsia="zh-CN"/>
              </w:rPr>
            </w:pPr>
            <w:r w:rsidRPr="00A52F7C">
              <w:rPr>
                <w:rFonts w:eastAsia="SimSun"/>
              </w:rPr>
              <w:t>17</w:t>
            </w:r>
          </w:p>
        </w:tc>
        <w:tc>
          <w:tcPr>
            <w:tcW w:w="0" w:type="auto"/>
            <w:shd w:val="clear" w:color="auto" w:fill="auto"/>
            <w:noWrap/>
            <w:vAlign w:val="center"/>
            <w:hideMark/>
          </w:tcPr>
          <w:p w14:paraId="479E5554" w14:textId="7D9F27A3" w:rsidR="00397D71" w:rsidRPr="00A52F7C" w:rsidRDefault="00397D71" w:rsidP="0010031B">
            <w:pPr>
              <w:pStyle w:val="ExhibitText"/>
              <w:jc w:val="right"/>
              <w:rPr>
                <w:rFonts w:eastAsia="SimSun"/>
                <w:b/>
                <w:bCs/>
                <w:lang w:eastAsia="zh-CN"/>
              </w:rPr>
            </w:pPr>
            <w:r w:rsidRPr="00A52F7C">
              <w:rPr>
                <w:rFonts w:eastAsia="SimSun"/>
              </w:rPr>
              <w:t>7</w:t>
            </w:r>
          </w:p>
        </w:tc>
      </w:tr>
      <w:tr w:rsidR="00397D71" w:rsidRPr="00A52F7C" w14:paraId="6EA7C468" w14:textId="77777777" w:rsidTr="0010031B">
        <w:trPr>
          <w:trHeight w:val="300"/>
          <w:jc w:val="center"/>
        </w:trPr>
        <w:tc>
          <w:tcPr>
            <w:tcW w:w="0" w:type="auto"/>
            <w:shd w:val="clear" w:color="auto" w:fill="auto"/>
            <w:noWrap/>
            <w:vAlign w:val="center"/>
            <w:hideMark/>
          </w:tcPr>
          <w:p w14:paraId="45407F46" w14:textId="77777777" w:rsidR="00397D71" w:rsidRPr="00A52F7C" w:rsidRDefault="00397D71" w:rsidP="0010031B">
            <w:pPr>
              <w:pStyle w:val="ExhibitText"/>
              <w:jc w:val="left"/>
              <w:rPr>
                <w:rFonts w:eastAsia="SimSun"/>
              </w:rPr>
            </w:pPr>
            <w:r w:rsidRPr="00A52F7C">
              <w:rPr>
                <w:rFonts w:eastAsia="SimSun"/>
              </w:rPr>
              <w:t>Malaysia</w:t>
            </w:r>
          </w:p>
        </w:tc>
        <w:tc>
          <w:tcPr>
            <w:tcW w:w="0" w:type="auto"/>
            <w:shd w:val="clear" w:color="auto" w:fill="auto"/>
            <w:noWrap/>
            <w:vAlign w:val="center"/>
            <w:hideMark/>
          </w:tcPr>
          <w:p w14:paraId="565F783F" w14:textId="4885DC2C" w:rsidR="00397D71" w:rsidRPr="00A52F7C" w:rsidRDefault="00397D71" w:rsidP="0010031B">
            <w:pPr>
              <w:pStyle w:val="ExhibitText"/>
              <w:jc w:val="right"/>
              <w:rPr>
                <w:rFonts w:eastAsia="SimSun"/>
                <w:b/>
                <w:bCs/>
                <w:lang w:eastAsia="zh-CN"/>
              </w:rPr>
            </w:pPr>
            <w:r w:rsidRPr="00A52F7C">
              <w:rPr>
                <w:rFonts w:eastAsia="SimSun"/>
              </w:rPr>
              <w:t>37</w:t>
            </w:r>
          </w:p>
        </w:tc>
        <w:tc>
          <w:tcPr>
            <w:tcW w:w="0" w:type="auto"/>
            <w:shd w:val="clear" w:color="auto" w:fill="auto"/>
            <w:noWrap/>
            <w:vAlign w:val="center"/>
            <w:hideMark/>
          </w:tcPr>
          <w:p w14:paraId="2794DE3B" w14:textId="1BA51A21" w:rsidR="00397D71" w:rsidRPr="00A52F7C" w:rsidRDefault="00397D71" w:rsidP="0010031B">
            <w:pPr>
              <w:pStyle w:val="ExhibitText"/>
              <w:jc w:val="right"/>
              <w:rPr>
                <w:rFonts w:eastAsia="SimSun"/>
                <w:b/>
                <w:bCs/>
                <w:lang w:eastAsia="zh-CN"/>
              </w:rPr>
            </w:pPr>
            <w:r w:rsidRPr="00A52F7C">
              <w:rPr>
                <w:rFonts w:eastAsia="SimSun"/>
              </w:rPr>
              <w:t>26</w:t>
            </w:r>
          </w:p>
        </w:tc>
        <w:tc>
          <w:tcPr>
            <w:tcW w:w="0" w:type="auto"/>
            <w:shd w:val="clear" w:color="auto" w:fill="auto"/>
            <w:noWrap/>
            <w:vAlign w:val="center"/>
            <w:hideMark/>
          </w:tcPr>
          <w:p w14:paraId="151E5301" w14:textId="340DEB14" w:rsidR="00397D71" w:rsidRPr="00A52F7C" w:rsidRDefault="00397D71" w:rsidP="0010031B">
            <w:pPr>
              <w:pStyle w:val="ExhibitText"/>
              <w:jc w:val="right"/>
              <w:rPr>
                <w:rFonts w:eastAsia="SimSun"/>
                <w:b/>
                <w:bCs/>
                <w:lang w:eastAsia="zh-CN"/>
              </w:rPr>
            </w:pPr>
            <w:r w:rsidRPr="00A52F7C">
              <w:rPr>
                <w:rFonts w:eastAsia="SimSun"/>
              </w:rPr>
              <w:t>22</w:t>
            </w:r>
          </w:p>
        </w:tc>
        <w:tc>
          <w:tcPr>
            <w:tcW w:w="0" w:type="auto"/>
            <w:shd w:val="clear" w:color="auto" w:fill="auto"/>
            <w:noWrap/>
            <w:vAlign w:val="center"/>
            <w:hideMark/>
          </w:tcPr>
          <w:p w14:paraId="47631179" w14:textId="7605FA86" w:rsidR="00397D71" w:rsidRPr="00A52F7C" w:rsidRDefault="00397D71" w:rsidP="0010031B">
            <w:pPr>
              <w:pStyle w:val="ExhibitText"/>
              <w:jc w:val="right"/>
              <w:rPr>
                <w:rFonts w:eastAsia="SimSun"/>
                <w:b/>
                <w:bCs/>
                <w:lang w:eastAsia="zh-CN"/>
              </w:rPr>
            </w:pPr>
            <w:r w:rsidRPr="00A52F7C">
              <w:rPr>
                <w:rFonts w:eastAsia="SimSun"/>
              </w:rPr>
              <w:t>10</w:t>
            </w:r>
          </w:p>
        </w:tc>
        <w:tc>
          <w:tcPr>
            <w:tcW w:w="0" w:type="auto"/>
            <w:shd w:val="clear" w:color="auto" w:fill="auto"/>
            <w:noWrap/>
            <w:vAlign w:val="center"/>
            <w:hideMark/>
          </w:tcPr>
          <w:p w14:paraId="3EA22D11" w14:textId="5DC08695" w:rsidR="00397D71" w:rsidRPr="00A52F7C" w:rsidRDefault="00397D71" w:rsidP="0010031B">
            <w:pPr>
              <w:pStyle w:val="ExhibitText"/>
              <w:jc w:val="right"/>
              <w:rPr>
                <w:rFonts w:eastAsia="SimSun"/>
                <w:b/>
                <w:bCs/>
                <w:lang w:eastAsia="zh-CN"/>
              </w:rPr>
            </w:pPr>
            <w:r w:rsidRPr="00A52F7C">
              <w:rPr>
                <w:rFonts w:eastAsia="SimSun"/>
              </w:rPr>
              <w:t>5</w:t>
            </w:r>
          </w:p>
        </w:tc>
      </w:tr>
      <w:tr w:rsidR="00397D71" w:rsidRPr="00A52F7C" w14:paraId="04DA3D04" w14:textId="77777777" w:rsidTr="0010031B">
        <w:trPr>
          <w:trHeight w:val="300"/>
          <w:jc w:val="center"/>
        </w:trPr>
        <w:tc>
          <w:tcPr>
            <w:tcW w:w="0" w:type="auto"/>
            <w:shd w:val="clear" w:color="auto" w:fill="auto"/>
            <w:noWrap/>
            <w:vAlign w:val="center"/>
            <w:hideMark/>
          </w:tcPr>
          <w:p w14:paraId="3526C4D1" w14:textId="77777777" w:rsidR="00397D71" w:rsidRPr="00A52F7C" w:rsidRDefault="00397D71" w:rsidP="0010031B">
            <w:pPr>
              <w:pStyle w:val="ExhibitText"/>
              <w:jc w:val="left"/>
              <w:rPr>
                <w:rFonts w:eastAsia="SimSun"/>
              </w:rPr>
            </w:pPr>
            <w:r w:rsidRPr="00A52F7C">
              <w:rPr>
                <w:rFonts w:eastAsia="SimSun"/>
              </w:rPr>
              <w:t>Philippines</w:t>
            </w:r>
          </w:p>
        </w:tc>
        <w:tc>
          <w:tcPr>
            <w:tcW w:w="0" w:type="auto"/>
            <w:shd w:val="clear" w:color="auto" w:fill="auto"/>
            <w:noWrap/>
            <w:vAlign w:val="center"/>
            <w:hideMark/>
          </w:tcPr>
          <w:p w14:paraId="2B59434B" w14:textId="525C5A14" w:rsidR="00397D71" w:rsidRPr="00A52F7C" w:rsidRDefault="00397D71" w:rsidP="0010031B">
            <w:pPr>
              <w:pStyle w:val="ExhibitText"/>
              <w:jc w:val="right"/>
              <w:rPr>
                <w:rFonts w:eastAsia="SimSun"/>
                <w:b/>
                <w:bCs/>
                <w:lang w:eastAsia="zh-CN"/>
              </w:rPr>
            </w:pPr>
            <w:r w:rsidRPr="00A52F7C">
              <w:rPr>
                <w:rFonts w:eastAsia="SimSun"/>
              </w:rPr>
              <w:t>40</w:t>
            </w:r>
          </w:p>
        </w:tc>
        <w:tc>
          <w:tcPr>
            <w:tcW w:w="0" w:type="auto"/>
            <w:shd w:val="clear" w:color="auto" w:fill="auto"/>
            <w:noWrap/>
            <w:vAlign w:val="center"/>
            <w:hideMark/>
          </w:tcPr>
          <w:p w14:paraId="1A776505" w14:textId="27E83690" w:rsidR="00397D71" w:rsidRPr="00A52F7C" w:rsidRDefault="00397D71" w:rsidP="0010031B">
            <w:pPr>
              <w:pStyle w:val="ExhibitText"/>
              <w:jc w:val="right"/>
              <w:rPr>
                <w:rFonts w:eastAsia="SimSun"/>
                <w:b/>
                <w:bCs/>
                <w:lang w:eastAsia="zh-CN"/>
              </w:rPr>
            </w:pPr>
            <w:r w:rsidRPr="00A52F7C">
              <w:rPr>
                <w:rFonts w:eastAsia="SimSun"/>
              </w:rPr>
              <w:t>31</w:t>
            </w:r>
          </w:p>
        </w:tc>
        <w:tc>
          <w:tcPr>
            <w:tcW w:w="0" w:type="auto"/>
            <w:shd w:val="clear" w:color="auto" w:fill="auto"/>
            <w:noWrap/>
            <w:vAlign w:val="center"/>
            <w:hideMark/>
          </w:tcPr>
          <w:p w14:paraId="716B434F" w14:textId="15002946" w:rsidR="00397D71" w:rsidRPr="00A52F7C" w:rsidRDefault="00397D71" w:rsidP="0010031B">
            <w:pPr>
              <w:pStyle w:val="ExhibitText"/>
              <w:jc w:val="right"/>
              <w:rPr>
                <w:rFonts w:eastAsia="SimSun"/>
                <w:b/>
                <w:bCs/>
                <w:lang w:eastAsia="zh-CN"/>
              </w:rPr>
            </w:pPr>
            <w:r w:rsidRPr="00A52F7C">
              <w:rPr>
                <w:rFonts w:eastAsia="SimSun"/>
              </w:rPr>
              <w:t>16</w:t>
            </w:r>
          </w:p>
        </w:tc>
        <w:tc>
          <w:tcPr>
            <w:tcW w:w="0" w:type="auto"/>
            <w:shd w:val="clear" w:color="auto" w:fill="auto"/>
            <w:noWrap/>
            <w:vAlign w:val="center"/>
            <w:hideMark/>
          </w:tcPr>
          <w:p w14:paraId="3B022D61" w14:textId="5E68D44C" w:rsidR="00397D71" w:rsidRPr="00A52F7C" w:rsidRDefault="00397D71" w:rsidP="0010031B">
            <w:pPr>
              <w:pStyle w:val="ExhibitText"/>
              <w:jc w:val="right"/>
              <w:rPr>
                <w:rFonts w:eastAsia="SimSun"/>
                <w:b/>
                <w:bCs/>
                <w:lang w:eastAsia="zh-CN"/>
              </w:rPr>
            </w:pPr>
            <w:r w:rsidRPr="00A52F7C">
              <w:rPr>
                <w:rFonts w:eastAsia="SimSun"/>
              </w:rPr>
              <w:t>9</w:t>
            </w:r>
          </w:p>
        </w:tc>
        <w:tc>
          <w:tcPr>
            <w:tcW w:w="0" w:type="auto"/>
            <w:shd w:val="clear" w:color="auto" w:fill="auto"/>
            <w:noWrap/>
            <w:vAlign w:val="center"/>
            <w:hideMark/>
          </w:tcPr>
          <w:p w14:paraId="5D93A97E" w14:textId="3DF7F166" w:rsidR="00397D71" w:rsidRPr="00A52F7C" w:rsidRDefault="00397D71" w:rsidP="0010031B">
            <w:pPr>
              <w:pStyle w:val="ExhibitText"/>
              <w:jc w:val="right"/>
              <w:rPr>
                <w:rFonts w:eastAsia="SimSun"/>
                <w:b/>
                <w:bCs/>
                <w:lang w:eastAsia="zh-CN"/>
              </w:rPr>
            </w:pPr>
            <w:r w:rsidRPr="00A52F7C">
              <w:rPr>
                <w:rFonts w:eastAsia="SimSun"/>
              </w:rPr>
              <w:t>4</w:t>
            </w:r>
          </w:p>
        </w:tc>
      </w:tr>
      <w:tr w:rsidR="00397D71" w:rsidRPr="00A52F7C" w14:paraId="002722ED" w14:textId="77777777" w:rsidTr="0010031B">
        <w:trPr>
          <w:trHeight w:val="300"/>
          <w:jc w:val="center"/>
        </w:trPr>
        <w:tc>
          <w:tcPr>
            <w:tcW w:w="0" w:type="auto"/>
            <w:shd w:val="clear" w:color="auto" w:fill="auto"/>
            <w:noWrap/>
            <w:vAlign w:val="center"/>
            <w:hideMark/>
          </w:tcPr>
          <w:p w14:paraId="436367B1" w14:textId="77777777" w:rsidR="00397D71" w:rsidRPr="00A52F7C" w:rsidRDefault="00397D71" w:rsidP="0010031B">
            <w:pPr>
              <w:pStyle w:val="ExhibitText"/>
              <w:jc w:val="left"/>
              <w:rPr>
                <w:rFonts w:eastAsia="SimSun"/>
              </w:rPr>
            </w:pPr>
            <w:r w:rsidRPr="00A52F7C">
              <w:rPr>
                <w:rFonts w:eastAsia="SimSun"/>
              </w:rPr>
              <w:t>Vietnam</w:t>
            </w:r>
          </w:p>
        </w:tc>
        <w:tc>
          <w:tcPr>
            <w:tcW w:w="0" w:type="auto"/>
            <w:shd w:val="clear" w:color="auto" w:fill="auto"/>
            <w:noWrap/>
            <w:vAlign w:val="center"/>
            <w:hideMark/>
          </w:tcPr>
          <w:p w14:paraId="578DD5B4" w14:textId="3BF87FCB" w:rsidR="00397D71" w:rsidRPr="00A52F7C" w:rsidRDefault="00397D71" w:rsidP="0010031B">
            <w:pPr>
              <w:pStyle w:val="ExhibitText"/>
              <w:jc w:val="right"/>
              <w:rPr>
                <w:rFonts w:eastAsia="SimSun"/>
                <w:b/>
                <w:bCs/>
                <w:lang w:eastAsia="zh-CN"/>
              </w:rPr>
            </w:pPr>
            <w:r w:rsidRPr="00A52F7C">
              <w:rPr>
                <w:rFonts w:eastAsia="SimSun"/>
              </w:rPr>
              <w:t>42</w:t>
            </w:r>
          </w:p>
        </w:tc>
        <w:tc>
          <w:tcPr>
            <w:tcW w:w="0" w:type="auto"/>
            <w:shd w:val="clear" w:color="auto" w:fill="auto"/>
            <w:noWrap/>
            <w:vAlign w:val="center"/>
            <w:hideMark/>
          </w:tcPr>
          <w:p w14:paraId="774C4383" w14:textId="1281EC3C" w:rsidR="00397D71" w:rsidRPr="00A52F7C" w:rsidRDefault="00397D71" w:rsidP="0010031B">
            <w:pPr>
              <w:pStyle w:val="ExhibitText"/>
              <w:jc w:val="right"/>
              <w:rPr>
                <w:rFonts w:eastAsia="SimSun"/>
                <w:b/>
                <w:bCs/>
                <w:lang w:eastAsia="zh-CN"/>
              </w:rPr>
            </w:pPr>
            <w:r w:rsidRPr="00A52F7C">
              <w:rPr>
                <w:rFonts w:eastAsia="SimSun"/>
              </w:rPr>
              <w:t>32</w:t>
            </w:r>
          </w:p>
        </w:tc>
        <w:tc>
          <w:tcPr>
            <w:tcW w:w="0" w:type="auto"/>
            <w:shd w:val="clear" w:color="auto" w:fill="auto"/>
            <w:noWrap/>
            <w:vAlign w:val="center"/>
            <w:hideMark/>
          </w:tcPr>
          <w:p w14:paraId="43C6F2B9" w14:textId="423C0F16" w:rsidR="00397D71" w:rsidRPr="00A52F7C" w:rsidRDefault="00397D71" w:rsidP="0010031B">
            <w:pPr>
              <w:pStyle w:val="ExhibitText"/>
              <w:jc w:val="right"/>
              <w:rPr>
                <w:rFonts w:eastAsia="SimSun"/>
                <w:b/>
                <w:bCs/>
                <w:lang w:eastAsia="zh-CN"/>
              </w:rPr>
            </w:pPr>
            <w:r w:rsidRPr="00A52F7C">
              <w:rPr>
                <w:rFonts w:eastAsia="SimSun"/>
              </w:rPr>
              <w:t>14</w:t>
            </w:r>
          </w:p>
        </w:tc>
        <w:tc>
          <w:tcPr>
            <w:tcW w:w="0" w:type="auto"/>
            <w:shd w:val="clear" w:color="auto" w:fill="auto"/>
            <w:noWrap/>
            <w:vAlign w:val="center"/>
            <w:hideMark/>
          </w:tcPr>
          <w:p w14:paraId="425A800B" w14:textId="76A55DEB" w:rsidR="00397D71" w:rsidRPr="00A52F7C" w:rsidRDefault="00397D71" w:rsidP="0010031B">
            <w:pPr>
              <w:pStyle w:val="ExhibitText"/>
              <w:jc w:val="right"/>
              <w:rPr>
                <w:rFonts w:eastAsia="SimSun"/>
                <w:b/>
                <w:bCs/>
                <w:lang w:eastAsia="zh-CN"/>
              </w:rPr>
            </w:pPr>
            <w:r w:rsidRPr="00A52F7C">
              <w:rPr>
                <w:rFonts w:eastAsia="SimSun"/>
              </w:rPr>
              <w:t>8</w:t>
            </w:r>
          </w:p>
        </w:tc>
        <w:tc>
          <w:tcPr>
            <w:tcW w:w="0" w:type="auto"/>
            <w:shd w:val="clear" w:color="auto" w:fill="auto"/>
            <w:noWrap/>
            <w:vAlign w:val="center"/>
            <w:hideMark/>
          </w:tcPr>
          <w:p w14:paraId="24EF01DC" w14:textId="6BF4A5C7" w:rsidR="00397D71" w:rsidRPr="00A52F7C" w:rsidRDefault="00397D71" w:rsidP="0010031B">
            <w:pPr>
              <w:pStyle w:val="ExhibitText"/>
              <w:jc w:val="right"/>
              <w:rPr>
                <w:rFonts w:eastAsia="SimSun"/>
                <w:b/>
                <w:bCs/>
                <w:lang w:eastAsia="zh-CN"/>
              </w:rPr>
            </w:pPr>
            <w:r w:rsidRPr="00A52F7C">
              <w:rPr>
                <w:rFonts w:eastAsia="SimSun"/>
              </w:rPr>
              <w:t>4</w:t>
            </w:r>
          </w:p>
        </w:tc>
      </w:tr>
      <w:tr w:rsidR="00397D71" w:rsidRPr="00A52F7C" w14:paraId="3CADB4A4" w14:textId="77777777" w:rsidTr="0010031B">
        <w:trPr>
          <w:trHeight w:val="300"/>
          <w:jc w:val="center"/>
        </w:trPr>
        <w:tc>
          <w:tcPr>
            <w:tcW w:w="0" w:type="auto"/>
            <w:shd w:val="clear" w:color="auto" w:fill="auto"/>
            <w:noWrap/>
            <w:vAlign w:val="center"/>
            <w:hideMark/>
          </w:tcPr>
          <w:p w14:paraId="787394F1" w14:textId="77777777" w:rsidR="00397D71" w:rsidRPr="00A52F7C" w:rsidRDefault="00397D71" w:rsidP="0010031B">
            <w:pPr>
              <w:pStyle w:val="ExhibitText"/>
              <w:jc w:val="left"/>
              <w:rPr>
                <w:rFonts w:eastAsia="SimSun"/>
              </w:rPr>
            </w:pPr>
            <w:r w:rsidRPr="00A52F7C">
              <w:rPr>
                <w:rFonts w:eastAsia="SimSun"/>
              </w:rPr>
              <w:t>Indonesia</w:t>
            </w:r>
          </w:p>
        </w:tc>
        <w:tc>
          <w:tcPr>
            <w:tcW w:w="0" w:type="auto"/>
            <w:shd w:val="clear" w:color="auto" w:fill="auto"/>
            <w:noWrap/>
            <w:vAlign w:val="center"/>
            <w:hideMark/>
          </w:tcPr>
          <w:p w14:paraId="0525E043" w14:textId="474B5002" w:rsidR="00397D71" w:rsidRPr="00A52F7C" w:rsidRDefault="00397D71" w:rsidP="0010031B">
            <w:pPr>
              <w:pStyle w:val="ExhibitText"/>
              <w:jc w:val="right"/>
              <w:rPr>
                <w:rFonts w:eastAsia="SimSun"/>
                <w:b/>
                <w:bCs/>
                <w:lang w:eastAsia="zh-CN"/>
              </w:rPr>
            </w:pPr>
            <w:r w:rsidRPr="00A52F7C">
              <w:rPr>
                <w:rFonts w:eastAsia="SimSun"/>
              </w:rPr>
              <w:t>43</w:t>
            </w:r>
          </w:p>
        </w:tc>
        <w:tc>
          <w:tcPr>
            <w:tcW w:w="0" w:type="auto"/>
            <w:shd w:val="clear" w:color="auto" w:fill="auto"/>
            <w:noWrap/>
            <w:vAlign w:val="center"/>
            <w:hideMark/>
          </w:tcPr>
          <w:p w14:paraId="19190BD6" w14:textId="1D507CEF" w:rsidR="00397D71" w:rsidRPr="00A52F7C" w:rsidRDefault="00397D71" w:rsidP="0010031B">
            <w:pPr>
              <w:pStyle w:val="ExhibitText"/>
              <w:jc w:val="right"/>
              <w:rPr>
                <w:rFonts w:eastAsia="SimSun"/>
                <w:b/>
                <w:bCs/>
                <w:lang w:eastAsia="zh-CN"/>
              </w:rPr>
            </w:pPr>
            <w:r w:rsidRPr="00A52F7C">
              <w:rPr>
                <w:rFonts w:eastAsia="SimSun"/>
              </w:rPr>
              <w:t>27</w:t>
            </w:r>
          </w:p>
        </w:tc>
        <w:tc>
          <w:tcPr>
            <w:tcW w:w="0" w:type="auto"/>
            <w:shd w:val="clear" w:color="auto" w:fill="auto"/>
            <w:noWrap/>
            <w:vAlign w:val="center"/>
            <w:hideMark/>
          </w:tcPr>
          <w:p w14:paraId="70E7CBA2" w14:textId="151BA2BA" w:rsidR="00397D71" w:rsidRPr="00A52F7C" w:rsidRDefault="00397D71" w:rsidP="0010031B">
            <w:pPr>
              <w:pStyle w:val="ExhibitText"/>
              <w:jc w:val="right"/>
              <w:rPr>
                <w:rFonts w:eastAsia="SimSun"/>
                <w:b/>
                <w:bCs/>
                <w:lang w:eastAsia="zh-CN"/>
              </w:rPr>
            </w:pPr>
            <w:r w:rsidRPr="00A52F7C">
              <w:rPr>
                <w:rFonts w:eastAsia="SimSun"/>
              </w:rPr>
              <w:t>19</w:t>
            </w:r>
          </w:p>
        </w:tc>
        <w:tc>
          <w:tcPr>
            <w:tcW w:w="0" w:type="auto"/>
            <w:shd w:val="clear" w:color="auto" w:fill="auto"/>
            <w:noWrap/>
            <w:vAlign w:val="center"/>
            <w:hideMark/>
          </w:tcPr>
          <w:p w14:paraId="077BFD37" w14:textId="4110F94E" w:rsidR="00397D71" w:rsidRPr="00A52F7C" w:rsidRDefault="00397D71" w:rsidP="0010031B">
            <w:pPr>
              <w:pStyle w:val="ExhibitText"/>
              <w:jc w:val="right"/>
              <w:rPr>
                <w:rFonts w:eastAsia="SimSun"/>
                <w:b/>
                <w:bCs/>
                <w:lang w:eastAsia="zh-CN"/>
              </w:rPr>
            </w:pPr>
            <w:r w:rsidRPr="00A52F7C">
              <w:rPr>
                <w:rFonts w:eastAsia="SimSun"/>
              </w:rPr>
              <w:t>8</w:t>
            </w:r>
          </w:p>
        </w:tc>
        <w:tc>
          <w:tcPr>
            <w:tcW w:w="0" w:type="auto"/>
            <w:shd w:val="clear" w:color="auto" w:fill="auto"/>
            <w:noWrap/>
            <w:vAlign w:val="center"/>
            <w:hideMark/>
          </w:tcPr>
          <w:p w14:paraId="3AADE818" w14:textId="2388A753" w:rsidR="00397D71" w:rsidRPr="00A52F7C" w:rsidRDefault="00397D71" w:rsidP="0010031B">
            <w:pPr>
              <w:pStyle w:val="ExhibitText"/>
              <w:jc w:val="right"/>
              <w:rPr>
                <w:rFonts w:eastAsia="SimSun"/>
                <w:b/>
                <w:bCs/>
                <w:lang w:eastAsia="zh-CN"/>
              </w:rPr>
            </w:pPr>
            <w:r w:rsidRPr="00A52F7C">
              <w:rPr>
                <w:rFonts w:eastAsia="SimSun"/>
              </w:rPr>
              <w:t>3</w:t>
            </w:r>
          </w:p>
        </w:tc>
      </w:tr>
      <w:tr w:rsidR="00397D71" w:rsidRPr="00A52F7C" w14:paraId="02ADEDF4" w14:textId="77777777" w:rsidTr="0010031B">
        <w:trPr>
          <w:trHeight w:val="300"/>
          <w:jc w:val="center"/>
        </w:trPr>
        <w:tc>
          <w:tcPr>
            <w:tcW w:w="0" w:type="auto"/>
            <w:shd w:val="clear" w:color="auto" w:fill="auto"/>
            <w:noWrap/>
            <w:vAlign w:val="center"/>
            <w:hideMark/>
          </w:tcPr>
          <w:p w14:paraId="6EF7BBD6" w14:textId="77777777" w:rsidR="00397D71" w:rsidRPr="00A52F7C" w:rsidRDefault="00397D71" w:rsidP="0010031B">
            <w:pPr>
              <w:pStyle w:val="ExhibitText"/>
              <w:jc w:val="left"/>
              <w:rPr>
                <w:rFonts w:eastAsia="SimSun"/>
              </w:rPr>
            </w:pPr>
            <w:r w:rsidRPr="00A52F7C">
              <w:rPr>
                <w:rFonts w:eastAsia="SimSun"/>
              </w:rPr>
              <w:t>Thailand</w:t>
            </w:r>
          </w:p>
        </w:tc>
        <w:tc>
          <w:tcPr>
            <w:tcW w:w="0" w:type="auto"/>
            <w:shd w:val="clear" w:color="auto" w:fill="auto"/>
            <w:noWrap/>
            <w:vAlign w:val="center"/>
            <w:hideMark/>
          </w:tcPr>
          <w:p w14:paraId="30EDECCA" w14:textId="2F493E96" w:rsidR="00397D71" w:rsidRPr="00A52F7C" w:rsidRDefault="00397D71" w:rsidP="0010031B">
            <w:pPr>
              <w:pStyle w:val="ExhibitText"/>
              <w:jc w:val="right"/>
              <w:rPr>
                <w:rFonts w:eastAsia="SimSun"/>
                <w:b/>
                <w:bCs/>
                <w:lang w:eastAsia="zh-CN"/>
              </w:rPr>
            </w:pPr>
            <w:r w:rsidRPr="00A52F7C">
              <w:rPr>
                <w:rFonts w:eastAsia="SimSun"/>
              </w:rPr>
              <w:t>45</w:t>
            </w:r>
          </w:p>
        </w:tc>
        <w:tc>
          <w:tcPr>
            <w:tcW w:w="0" w:type="auto"/>
            <w:shd w:val="clear" w:color="auto" w:fill="auto"/>
            <w:noWrap/>
            <w:vAlign w:val="center"/>
            <w:hideMark/>
          </w:tcPr>
          <w:p w14:paraId="32A1D887" w14:textId="38212642" w:rsidR="00397D71" w:rsidRPr="00A52F7C" w:rsidRDefault="00397D71" w:rsidP="0010031B">
            <w:pPr>
              <w:pStyle w:val="ExhibitText"/>
              <w:jc w:val="right"/>
              <w:rPr>
                <w:rFonts w:eastAsia="SimSun"/>
                <w:b/>
                <w:bCs/>
                <w:lang w:eastAsia="zh-CN"/>
              </w:rPr>
            </w:pPr>
            <w:r w:rsidRPr="00A52F7C">
              <w:rPr>
                <w:rFonts w:eastAsia="SimSun"/>
              </w:rPr>
              <w:t>29</w:t>
            </w:r>
          </w:p>
        </w:tc>
        <w:tc>
          <w:tcPr>
            <w:tcW w:w="0" w:type="auto"/>
            <w:shd w:val="clear" w:color="auto" w:fill="auto"/>
            <w:noWrap/>
            <w:vAlign w:val="center"/>
            <w:hideMark/>
          </w:tcPr>
          <w:p w14:paraId="05FC700A" w14:textId="603E63FA" w:rsidR="00397D71" w:rsidRPr="00A52F7C" w:rsidRDefault="00397D71" w:rsidP="0010031B">
            <w:pPr>
              <w:pStyle w:val="ExhibitText"/>
              <w:jc w:val="right"/>
              <w:rPr>
                <w:rFonts w:eastAsia="SimSun"/>
                <w:b/>
                <w:bCs/>
                <w:lang w:eastAsia="zh-CN"/>
              </w:rPr>
            </w:pPr>
            <w:r w:rsidRPr="00A52F7C">
              <w:rPr>
                <w:rFonts w:eastAsia="SimSun"/>
              </w:rPr>
              <w:t>14</w:t>
            </w:r>
          </w:p>
        </w:tc>
        <w:tc>
          <w:tcPr>
            <w:tcW w:w="0" w:type="auto"/>
            <w:shd w:val="clear" w:color="auto" w:fill="auto"/>
            <w:noWrap/>
            <w:vAlign w:val="center"/>
            <w:hideMark/>
          </w:tcPr>
          <w:p w14:paraId="4062DD90" w14:textId="433905C5" w:rsidR="00397D71" w:rsidRPr="00A52F7C" w:rsidRDefault="00397D71" w:rsidP="0010031B">
            <w:pPr>
              <w:pStyle w:val="ExhibitText"/>
              <w:jc w:val="right"/>
              <w:rPr>
                <w:rFonts w:eastAsia="SimSun"/>
                <w:b/>
                <w:bCs/>
                <w:lang w:eastAsia="zh-CN"/>
              </w:rPr>
            </w:pPr>
            <w:r w:rsidRPr="00A52F7C">
              <w:rPr>
                <w:rFonts w:eastAsia="SimSun"/>
              </w:rPr>
              <w:t>7</w:t>
            </w:r>
          </w:p>
        </w:tc>
        <w:tc>
          <w:tcPr>
            <w:tcW w:w="0" w:type="auto"/>
            <w:shd w:val="clear" w:color="auto" w:fill="auto"/>
            <w:noWrap/>
            <w:vAlign w:val="center"/>
            <w:hideMark/>
          </w:tcPr>
          <w:p w14:paraId="2BDAC46A" w14:textId="4C87E182" w:rsidR="00397D71" w:rsidRPr="00A52F7C" w:rsidRDefault="00397D71" w:rsidP="0010031B">
            <w:pPr>
              <w:pStyle w:val="ExhibitText"/>
              <w:jc w:val="right"/>
              <w:rPr>
                <w:rFonts w:eastAsia="SimSun"/>
                <w:b/>
                <w:bCs/>
                <w:lang w:eastAsia="zh-CN"/>
              </w:rPr>
            </w:pPr>
            <w:r w:rsidRPr="00A52F7C">
              <w:rPr>
                <w:rFonts w:eastAsia="SimSun"/>
              </w:rPr>
              <w:t>5</w:t>
            </w:r>
          </w:p>
        </w:tc>
      </w:tr>
    </w:tbl>
    <w:p w14:paraId="76EE2D63" w14:textId="1940B8A2" w:rsidR="00D26064" w:rsidRPr="00A52F7C" w:rsidRDefault="00397D71" w:rsidP="005169F6">
      <w:pPr>
        <w:pStyle w:val="ExhibitText"/>
        <w:rPr>
          <w:kern w:val="0"/>
        </w:rPr>
      </w:pPr>
      <w:r w:rsidRPr="00A52F7C" w:rsidDel="00397D71">
        <w:rPr>
          <w:lang w:eastAsia="zh-CN"/>
        </w:rPr>
        <w:t xml:space="preserve"> </w:t>
      </w:r>
    </w:p>
    <w:p w14:paraId="38B25E31" w14:textId="30E69C72" w:rsidR="00DA1856" w:rsidRPr="00C85E0A" w:rsidRDefault="00D26064" w:rsidP="005169F6">
      <w:pPr>
        <w:pStyle w:val="Footnote"/>
      </w:pPr>
      <w:r w:rsidRPr="00A52F7C">
        <w:t xml:space="preserve">Source: </w:t>
      </w:r>
      <w:r w:rsidR="00397D71" w:rsidRPr="00A52F7C">
        <w:t xml:space="preserve">Created by </w:t>
      </w:r>
      <w:r w:rsidR="005B78AB">
        <w:t xml:space="preserve">the </w:t>
      </w:r>
      <w:r w:rsidR="00BF301A" w:rsidRPr="00A52F7C">
        <w:t xml:space="preserve">case </w:t>
      </w:r>
      <w:r w:rsidR="00397D71" w:rsidRPr="00A52F7C">
        <w:t xml:space="preserve">authors based on </w:t>
      </w:r>
      <w:r w:rsidR="00B9075D" w:rsidRPr="00A52F7C">
        <w:t xml:space="preserve">Paul </w:t>
      </w:r>
      <w:proofErr w:type="spellStart"/>
      <w:r w:rsidR="00B9075D" w:rsidRPr="00A52F7C">
        <w:t>Srivorakul</w:t>
      </w:r>
      <w:proofErr w:type="spellEnd"/>
      <w:r w:rsidR="00B9075D" w:rsidRPr="00A52F7C">
        <w:t xml:space="preserve">, </w:t>
      </w:r>
      <w:r w:rsidR="00B9075D" w:rsidRPr="00BA3D71">
        <w:rPr>
          <w:i/>
        </w:rPr>
        <w:t xml:space="preserve">The ASEAN </w:t>
      </w:r>
      <w:r w:rsidR="00BF301A" w:rsidRPr="00BA3D71">
        <w:rPr>
          <w:i/>
        </w:rPr>
        <w:t>E</w:t>
      </w:r>
      <w:r w:rsidR="00B9075D" w:rsidRPr="00BA3D71">
        <w:rPr>
          <w:i/>
        </w:rPr>
        <w:t xml:space="preserve">-Commerce Inflection Year 2015: What </w:t>
      </w:r>
      <w:r w:rsidR="00BF301A" w:rsidRPr="00BA3D71">
        <w:rPr>
          <w:i/>
        </w:rPr>
        <w:t xml:space="preserve">Are </w:t>
      </w:r>
      <w:r w:rsidR="00B9075D" w:rsidRPr="00BA3D71">
        <w:rPr>
          <w:i/>
        </w:rPr>
        <w:t>Needed for a Big Leap</w:t>
      </w:r>
      <w:proofErr w:type="gramStart"/>
      <w:r w:rsidR="00B9075D" w:rsidRPr="00BA3D71">
        <w:rPr>
          <w:i/>
        </w:rPr>
        <w:t>?</w:t>
      </w:r>
      <w:r w:rsidR="00B9075D" w:rsidRPr="00A52F7C">
        <w:t>,</w:t>
      </w:r>
      <w:proofErr w:type="gramEnd"/>
      <w:r w:rsidR="00B9075D" w:rsidRPr="00A52F7C">
        <w:t xml:space="preserve"> Ardent Capital, December 2015, accessed July 13, 2017, https://www.set.or.th/th/news/thailand_focus/files/2015/Paul.pdf.</w:t>
      </w:r>
      <w:r w:rsidR="00DA1856" w:rsidRPr="00A52F7C">
        <w:br w:type="page"/>
      </w:r>
    </w:p>
    <w:p w14:paraId="471BD5C6" w14:textId="50C3B808" w:rsidR="00D67A99" w:rsidRPr="00A52F7C" w:rsidRDefault="00D67A99" w:rsidP="005169F6">
      <w:pPr>
        <w:pStyle w:val="ExhibitHeading"/>
      </w:pPr>
      <w:r w:rsidRPr="00A52F7C">
        <w:lastRenderedPageBreak/>
        <w:t xml:space="preserve">Exhibit 6: </w:t>
      </w:r>
      <w:r w:rsidR="00D26064" w:rsidRPr="00A52F7C">
        <w:t xml:space="preserve">Foreign Direct </w:t>
      </w:r>
      <w:r w:rsidR="00D26064" w:rsidRPr="00EB7706">
        <w:t>Investment</w:t>
      </w:r>
      <w:r w:rsidR="00D26064" w:rsidRPr="00A52F7C">
        <w:t xml:space="preserve"> into Southeast Asia region</w:t>
      </w:r>
      <w:r w:rsidR="008C1743" w:rsidRPr="00A52F7C">
        <w:t xml:space="preserve"> AND </w:t>
      </w:r>
      <w:proofErr w:type="gramStart"/>
      <w:r w:rsidR="00BF301A" w:rsidRPr="00A52F7C">
        <w:t>CHINA</w:t>
      </w:r>
      <w:proofErr w:type="gramEnd"/>
      <w:r w:rsidR="00BF301A" w:rsidRPr="00A52F7C">
        <w:br/>
      </w:r>
      <w:r w:rsidR="008C1743" w:rsidRPr="00A52F7C">
        <w:t>(</w:t>
      </w:r>
      <w:r w:rsidR="00BF301A" w:rsidRPr="00A52F7C">
        <w:t xml:space="preserve">in US$ </w:t>
      </w:r>
      <w:r w:rsidR="008C1743" w:rsidRPr="00A52F7C">
        <w:t>BILLION</w:t>
      </w:r>
      <w:r w:rsidR="00BF301A" w:rsidRPr="00A52F7C">
        <w:t>s)</w:t>
      </w:r>
    </w:p>
    <w:p w14:paraId="2DD45DB6" w14:textId="77777777" w:rsidR="00D67A99" w:rsidRPr="00A52F7C" w:rsidRDefault="00D67A99" w:rsidP="005169F6">
      <w:pPr>
        <w:pStyle w:val="ExhibitText"/>
      </w:pPr>
    </w:p>
    <w:tbl>
      <w:tblPr>
        <w:tblW w:w="3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79"/>
        <w:gridCol w:w="1214"/>
      </w:tblGrid>
      <w:tr w:rsidR="001016A5" w:rsidRPr="00A52F7C" w14:paraId="1F2775F4" w14:textId="77777777" w:rsidTr="0010031B">
        <w:trPr>
          <w:trHeight w:val="300"/>
          <w:jc w:val="center"/>
        </w:trPr>
        <w:tc>
          <w:tcPr>
            <w:tcW w:w="993" w:type="dxa"/>
            <w:shd w:val="clear" w:color="auto" w:fill="auto"/>
            <w:noWrap/>
            <w:vAlign w:val="center"/>
            <w:hideMark/>
          </w:tcPr>
          <w:p w14:paraId="35C16D43" w14:textId="77777777" w:rsidR="001016A5" w:rsidRPr="00A52F7C" w:rsidRDefault="001016A5" w:rsidP="0010031B">
            <w:pPr>
              <w:pStyle w:val="ExhibitText"/>
              <w:jc w:val="center"/>
              <w:rPr>
                <w:rFonts w:eastAsia="SimSun"/>
                <w:b/>
                <w:bCs/>
                <w:lang w:eastAsia="zh-CN"/>
              </w:rPr>
            </w:pPr>
            <w:r w:rsidRPr="00A52F7C">
              <w:rPr>
                <w:rFonts w:eastAsia="SimSun"/>
                <w:lang w:eastAsia="zh-CN"/>
              </w:rPr>
              <w:t>Year</w:t>
            </w:r>
          </w:p>
        </w:tc>
        <w:tc>
          <w:tcPr>
            <w:tcW w:w="1479" w:type="dxa"/>
            <w:shd w:val="clear" w:color="auto" w:fill="auto"/>
            <w:noWrap/>
            <w:vAlign w:val="center"/>
            <w:hideMark/>
          </w:tcPr>
          <w:p w14:paraId="588968A6" w14:textId="06DDCC1A" w:rsidR="001016A5" w:rsidRPr="00A52F7C" w:rsidRDefault="001016A5" w:rsidP="0010031B">
            <w:pPr>
              <w:pStyle w:val="ExhibitText"/>
              <w:jc w:val="center"/>
              <w:rPr>
                <w:rFonts w:eastAsia="SimSun"/>
                <w:lang w:eastAsia="zh-CN"/>
              </w:rPr>
            </w:pPr>
            <w:r w:rsidRPr="00A52F7C">
              <w:rPr>
                <w:rFonts w:eastAsia="SimSun"/>
                <w:lang w:eastAsia="zh-CN"/>
              </w:rPr>
              <w:t>ASEAN-5</w:t>
            </w:r>
            <w:r w:rsidR="00A84724" w:rsidRPr="00A52F7C">
              <w:rPr>
                <w:rFonts w:eastAsia="SimSun"/>
                <w:vertAlign w:val="superscript"/>
                <w:lang w:eastAsia="zh-CN"/>
              </w:rPr>
              <w:t>*</w:t>
            </w:r>
          </w:p>
        </w:tc>
        <w:tc>
          <w:tcPr>
            <w:tcW w:w="1214" w:type="dxa"/>
            <w:shd w:val="clear" w:color="auto" w:fill="auto"/>
            <w:noWrap/>
            <w:vAlign w:val="center"/>
            <w:hideMark/>
          </w:tcPr>
          <w:p w14:paraId="2A8082D2" w14:textId="77777777" w:rsidR="001016A5" w:rsidRPr="00A52F7C" w:rsidRDefault="001016A5" w:rsidP="0010031B">
            <w:pPr>
              <w:pStyle w:val="ExhibitText"/>
              <w:jc w:val="center"/>
              <w:rPr>
                <w:rFonts w:eastAsia="SimSun"/>
                <w:lang w:eastAsia="zh-CN"/>
              </w:rPr>
            </w:pPr>
            <w:r w:rsidRPr="00A52F7C">
              <w:rPr>
                <w:rFonts w:eastAsia="SimSun"/>
                <w:lang w:eastAsia="zh-CN"/>
              </w:rPr>
              <w:t>China</w:t>
            </w:r>
          </w:p>
        </w:tc>
      </w:tr>
      <w:tr w:rsidR="001016A5" w:rsidRPr="00A52F7C" w14:paraId="7BA5F76A" w14:textId="77777777" w:rsidTr="0010031B">
        <w:trPr>
          <w:trHeight w:val="300"/>
          <w:jc w:val="center"/>
        </w:trPr>
        <w:tc>
          <w:tcPr>
            <w:tcW w:w="993" w:type="dxa"/>
            <w:shd w:val="clear" w:color="auto" w:fill="auto"/>
            <w:noWrap/>
            <w:vAlign w:val="center"/>
            <w:hideMark/>
          </w:tcPr>
          <w:p w14:paraId="47E4C5F1" w14:textId="77777777" w:rsidR="001016A5" w:rsidRPr="00A52F7C" w:rsidRDefault="001016A5" w:rsidP="0010031B">
            <w:pPr>
              <w:pStyle w:val="ExhibitText"/>
              <w:jc w:val="left"/>
              <w:rPr>
                <w:rFonts w:eastAsia="SimSun"/>
                <w:b/>
                <w:bCs/>
                <w:lang w:eastAsia="zh-CN"/>
              </w:rPr>
            </w:pPr>
            <w:r w:rsidRPr="00A52F7C">
              <w:rPr>
                <w:rFonts w:eastAsia="SimSun"/>
                <w:lang w:eastAsia="zh-CN"/>
              </w:rPr>
              <w:t>2004</w:t>
            </w:r>
          </w:p>
        </w:tc>
        <w:tc>
          <w:tcPr>
            <w:tcW w:w="1479" w:type="dxa"/>
            <w:shd w:val="clear" w:color="auto" w:fill="auto"/>
            <w:noWrap/>
            <w:vAlign w:val="center"/>
            <w:hideMark/>
          </w:tcPr>
          <w:p w14:paraId="2E8A8026" w14:textId="77777777" w:rsidR="001016A5" w:rsidRPr="00A52F7C" w:rsidRDefault="001016A5" w:rsidP="0010031B">
            <w:pPr>
              <w:pStyle w:val="ExhibitText"/>
              <w:jc w:val="right"/>
              <w:rPr>
                <w:rFonts w:eastAsia="SimSun"/>
                <w:b/>
                <w:bCs/>
                <w:lang w:eastAsia="zh-CN"/>
              </w:rPr>
            </w:pPr>
            <w:r w:rsidRPr="00A52F7C">
              <w:rPr>
                <w:rFonts w:eastAsia="SimSun"/>
                <w:lang w:eastAsia="zh-CN"/>
              </w:rPr>
              <w:t>44</w:t>
            </w:r>
          </w:p>
        </w:tc>
        <w:tc>
          <w:tcPr>
            <w:tcW w:w="1214" w:type="dxa"/>
            <w:shd w:val="clear" w:color="auto" w:fill="auto"/>
            <w:noWrap/>
            <w:vAlign w:val="center"/>
            <w:hideMark/>
          </w:tcPr>
          <w:p w14:paraId="1263043B" w14:textId="77777777" w:rsidR="001016A5" w:rsidRPr="00A52F7C" w:rsidRDefault="001016A5" w:rsidP="0010031B">
            <w:pPr>
              <w:pStyle w:val="ExhibitText"/>
              <w:jc w:val="right"/>
              <w:rPr>
                <w:rFonts w:eastAsia="SimSun"/>
                <w:b/>
                <w:bCs/>
                <w:lang w:eastAsia="zh-CN"/>
              </w:rPr>
            </w:pPr>
            <w:r w:rsidRPr="00A52F7C">
              <w:rPr>
                <w:rFonts w:eastAsia="SimSun"/>
                <w:lang w:eastAsia="zh-CN"/>
              </w:rPr>
              <w:t>60</w:t>
            </w:r>
          </w:p>
        </w:tc>
      </w:tr>
      <w:tr w:rsidR="001016A5" w:rsidRPr="00A52F7C" w14:paraId="4BC1DCCD" w14:textId="77777777" w:rsidTr="0010031B">
        <w:trPr>
          <w:trHeight w:val="300"/>
          <w:jc w:val="center"/>
        </w:trPr>
        <w:tc>
          <w:tcPr>
            <w:tcW w:w="993" w:type="dxa"/>
            <w:shd w:val="clear" w:color="auto" w:fill="auto"/>
            <w:noWrap/>
            <w:vAlign w:val="center"/>
            <w:hideMark/>
          </w:tcPr>
          <w:p w14:paraId="29118F40" w14:textId="77777777" w:rsidR="001016A5" w:rsidRPr="00A52F7C" w:rsidRDefault="001016A5" w:rsidP="0010031B">
            <w:pPr>
              <w:pStyle w:val="ExhibitText"/>
              <w:jc w:val="left"/>
              <w:rPr>
                <w:rFonts w:eastAsia="SimSun"/>
                <w:b/>
                <w:bCs/>
                <w:lang w:eastAsia="zh-CN"/>
              </w:rPr>
            </w:pPr>
            <w:r w:rsidRPr="00A52F7C">
              <w:rPr>
                <w:rFonts w:eastAsia="SimSun"/>
                <w:lang w:eastAsia="zh-CN"/>
              </w:rPr>
              <w:t>2005</w:t>
            </w:r>
          </w:p>
        </w:tc>
        <w:tc>
          <w:tcPr>
            <w:tcW w:w="1479" w:type="dxa"/>
            <w:shd w:val="clear" w:color="auto" w:fill="auto"/>
            <w:noWrap/>
            <w:vAlign w:val="center"/>
            <w:hideMark/>
          </w:tcPr>
          <w:p w14:paraId="21B159E7" w14:textId="77777777" w:rsidR="001016A5" w:rsidRPr="00A52F7C" w:rsidRDefault="001016A5" w:rsidP="0010031B">
            <w:pPr>
              <w:pStyle w:val="ExhibitText"/>
              <w:jc w:val="right"/>
              <w:rPr>
                <w:rFonts w:eastAsia="SimSun"/>
                <w:b/>
                <w:bCs/>
                <w:lang w:eastAsia="zh-CN"/>
              </w:rPr>
            </w:pPr>
            <w:r w:rsidRPr="00A52F7C">
              <w:rPr>
                <w:rFonts w:eastAsia="SimSun"/>
                <w:lang w:eastAsia="zh-CN"/>
              </w:rPr>
              <w:t>40</w:t>
            </w:r>
          </w:p>
        </w:tc>
        <w:tc>
          <w:tcPr>
            <w:tcW w:w="1214" w:type="dxa"/>
            <w:shd w:val="clear" w:color="auto" w:fill="auto"/>
            <w:noWrap/>
            <w:vAlign w:val="center"/>
            <w:hideMark/>
          </w:tcPr>
          <w:p w14:paraId="2BD2A99E" w14:textId="77777777" w:rsidR="001016A5" w:rsidRPr="00A52F7C" w:rsidRDefault="001016A5" w:rsidP="0010031B">
            <w:pPr>
              <w:pStyle w:val="ExhibitText"/>
              <w:jc w:val="right"/>
              <w:rPr>
                <w:rFonts w:eastAsia="SimSun"/>
                <w:b/>
                <w:bCs/>
                <w:lang w:eastAsia="zh-CN"/>
              </w:rPr>
            </w:pPr>
            <w:r w:rsidRPr="00A52F7C">
              <w:rPr>
                <w:rFonts w:eastAsia="SimSun"/>
                <w:lang w:eastAsia="zh-CN"/>
              </w:rPr>
              <w:t>72</w:t>
            </w:r>
          </w:p>
        </w:tc>
      </w:tr>
      <w:tr w:rsidR="001016A5" w:rsidRPr="00A52F7C" w14:paraId="0865697D" w14:textId="77777777" w:rsidTr="0010031B">
        <w:trPr>
          <w:trHeight w:val="300"/>
          <w:jc w:val="center"/>
        </w:trPr>
        <w:tc>
          <w:tcPr>
            <w:tcW w:w="993" w:type="dxa"/>
            <w:shd w:val="clear" w:color="auto" w:fill="auto"/>
            <w:noWrap/>
            <w:vAlign w:val="center"/>
            <w:hideMark/>
          </w:tcPr>
          <w:p w14:paraId="67408C79" w14:textId="77777777" w:rsidR="001016A5" w:rsidRPr="00A52F7C" w:rsidRDefault="001016A5" w:rsidP="0010031B">
            <w:pPr>
              <w:pStyle w:val="ExhibitText"/>
              <w:jc w:val="left"/>
              <w:rPr>
                <w:rFonts w:eastAsia="SimSun"/>
                <w:b/>
                <w:bCs/>
                <w:lang w:eastAsia="zh-CN"/>
              </w:rPr>
            </w:pPr>
            <w:r w:rsidRPr="00A52F7C">
              <w:rPr>
                <w:rFonts w:eastAsia="SimSun"/>
                <w:lang w:eastAsia="zh-CN"/>
              </w:rPr>
              <w:t>2006</w:t>
            </w:r>
          </w:p>
        </w:tc>
        <w:tc>
          <w:tcPr>
            <w:tcW w:w="1479" w:type="dxa"/>
            <w:shd w:val="clear" w:color="auto" w:fill="auto"/>
            <w:noWrap/>
            <w:vAlign w:val="center"/>
            <w:hideMark/>
          </w:tcPr>
          <w:p w14:paraId="3259DC4B" w14:textId="77777777" w:rsidR="001016A5" w:rsidRPr="00A52F7C" w:rsidRDefault="001016A5" w:rsidP="0010031B">
            <w:pPr>
              <w:pStyle w:val="ExhibitText"/>
              <w:jc w:val="right"/>
              <w:rPr>
                <w:rFonts w:eastAsia="SimSun"/>
                <w:b/>
                <w:bCs/>
                <w:lang w:eastAsia="zh-CN"/>
              </w:rPr>
            </w:pPr>
            <w:r w:rsidRPr="00A52F7C">
              <w:rPr>
                <w:rFonts w:eastAsia="SimSun"/>
                <w:lang w:eastAsia="zh-CN"/>
              </w:rPr>
              <w:t>60</w:t>
            </w:r>
          </w:p>
        </w:tc>
        <w:tc>
          <w:tcPr>
            <w:tcW w:w="1214" w:type="dxa"/>
            <w:shd w:val="clear" w:color="auto" w:fill="auto"/>
            <w:noWrap/>
            <w:vAlign w:val="center"/>
            <w:hideMark/>
          </w:tcPr>
          <w:p w14:paraId="3C64F706" w14:textId="77777777" w:rsidR="001016A5" w:rsidRPr="00A52F7C" w:rsidRDefault="001016A5" w:rsidP="0010031B">
            <w:pPr>
              <w:pStyle w:val="ExhibitText"/>
              <w:jc w:val="right"/>
              <w:rPr>
                <w:rFonts w:eastAsia="SimSun"/>
                <w:b/>
                <w:bCs/>
                <w:lang w:eastAsia="zh-CN"/>
              </w:rPr>
            </w:pPr>
            <w:r w:rsidRPr="00A52F7C">
              <w:rPr>
                <w:rFonts w:eastAsia="SimSun"/>
                <w:lang w:eastAsia="zh-CN"/>
              </w:rPr>
              <w:t>72</w:t>
            </w:r>
          </w:p>
        </w:tc>
      </w:tr>
      <w:tr w:rsidR="001016A5" w:rsidRPr="00A52F7C" w14:paraId="1BC7E496" w14:textId="77777777" w:rsidTr="0010031B">
        <w:trPr>
          <w:trHeight w:val="300"/>
          <w:jc w:val="center"/>
        </w:trPr>
        <w:tc>
          <w:tcPr>
            <w:tcW w:w="993" w:type="dxa"/>
            <w:shd w:val="clear" w:color="auto" w:fill="auto"/>
            <w:noWrap/>
            <w:vAlign w:val="center"/>
            <w:hideMark/>
          </w:tcPr>
          <w:p w14:paraId="358C9EC0" w14:textId="77777777" w:rsidR="001016A5" w:rsidRPr="00A52F7C" w:rsidRDefault="001016A5" w:rsidP="0010031B">
            <w:pPr>
              <w:pStyle w:val="ExhibitText"/>
              <w:jc w:val="left"/>
              <w:rPr>
                <w:rFonts w:eastAsia="SimSun"/>
                <w:b/>
                <w:bCs/>
                <w:lang w:eastAsia="zh-CN"/>
              </w:rPr>
            </w:pPr>
            <w:r w:rsidRPr="00A52F7C">
              <w:rPr>
                <w:rFonts w:eastAsia="SimSun"/>
                <w:lang w:eastAsia="zh-CN"/>
              </w:rPr>
              <w:t>2007</w:t>
            </w:r>
          </w:p>
        </w:tc>
        <w:tc>
          <w:tcPr>
            <w:tcW w:w="1479" w:type="dxa"/>
            <w:shd w:val="clear" w:color="auto" w:fill="auto"/>
            <w:noWrap/>
            <w:vAlign w:val="center"/>
            <w:hideMark/>
          </w:tcPr>
          <w:p w14:paraId="6EB30A62" w14:textId="77777777" w:rsidR="001016A5" w:rsidRPr="00A52F7C" w:rsidRDefault="001016A5" w:rsidP="0010031B">
            <w:pPr>
              <w:pStyle w:val="ExhibitText"/>
              <w:jc w:val="right"/>
              <w:rPr>
                <w:rFonts w:eastAsia="SimSun"/>
                <w:b/>
                <w:bCs/>
                <w:lang w:eastAsia="zh-CN"/>
              </w:rPr>
            </w:pPr>
            <w:r w:rsidRPr="00A52F7C">
              <w:rPr>
                <w:rFonts w:eastAsia="SimSun"/>
                <w:lang w:eastAsia="zh-CN"/>
              </w:rPr>
              <w:t>86</w:t>
            </w:r>
          </w:p>
        </w:tc>
        <w:tc>
          <w:tcPr>
            <w:tcW w:w="1214" w:type="dxa"/>
            <w:shd w:val="clear" w:color="auto" w:fill="auto"/>
            <w:noWrap/>
            <w:vAlign w:val="center"/>
            <w:hideMark/>
          </w:tcPr>
          <w:p w14:paraId="65A23B40" w14:textId="77777777" w:rsidR="001016A5" w:rsidRPr="00A52F7C" w:rsidRDefault="001016A5" w:rsidP="0010031B">
            <w:pPr>
              <w:pStyle w:val="ExhibitText"/>
              <w:jc w:val="right"/>
              <w:rPr>
                <w:rFonts w:eastAsia="SimSun"/>
                <w:b/>
                <w:bCs/>
                <w:lang w:eastAsia="zh-CN"/>
              </w:rPr>
            </w:pPr>
            <w:r w:rsidRPr="00A52F7C">
              <w:rPr>
                <w:rFonts w:eastAsia="SimSun"/>
                <w:lang w:eastAsia="zh-CN"/>
              </w:rPr>
              <w:t>80</w:t>
            </w:r>
          </w:p>
        </w:tc>
      </w:tr>
      <w:tr w:rsidR="001016A5" w:rsidRPr="00A52F7C" w14:paraId="7DBDFC9D" w14:textId="77777777" w:rsidTr="0010031B">
        <w:trPr>
          <w:trHeight w:val="300"/>
          <w:jc w:val="center"/>
        </w:trPr>
        <w:tc>
          <w:tcPr>
            <w:tcW w:w="993" w:type="dxa"/>
            <w:shd w:val="clear" w:color="auto" w:fill="auto"/>
            <w:noWrap/>
            <w:vAlign w:val="center"/>
            <w:hideMark/>
          </w:tcPr>
          <w:p w14:paraId="5E991C44" w14:textId="77777777" w:rsidR="001016A5" w:rsidRPr="00A52F7C" w:rsidRDefault="001016A5" w:rsidP="0010031B">
            <w:pPr>
              <w:pStyle w:val="ExhibitText"/>
              <w:jc w:val="left"/>
              <w:rPr>
                <w:rFonts w:eastAsia="SimSun"/>
                <w:b/>
                <w:bCs/>
                <w:lang w:eastAsia="zh-CN"/>
              </w:rPr>
            </w:pPr>
            <w:r w:rsidRPr="00A52F7C">
              <w:rPr>
                <w:rFonts w:eastAsia="SimSun"/>
                <w:lang w:eastAsia="zh-CN"/>
              </w:rPr>
              <w:t>2008</w:t>
            </w:r>
          </w:p>
        </w:tc>
        <w:tc>
          <w:tcPr>
            <w:tcW w:w="1479" w:type="dxa"/>
            <w:shd w:val="clear" w:color="auto" w:fill="auto"/>
            <w:noWrap/>
            <w:vAlign w:val="center"/>
            <w:hideMark/>
          </w:tcPr>
          <w:p w14:paraId="32DE4B60" w14:textId="77777777" w:rsidR="001016A5" w:rsidRPr="00A52F7C" w:rsidRDefault="001016A5" w:rsidP="0010031B">
            <w:pPr>
              <w:pStyle w:val="ExhibitText"/>
              <w:jc w:val="right"/>
              <w:rPr>
                <w:rFonts w:eastAsia="SimSun"/>
                <w:b/>
                <w:bCs/>
                <w:lang w:eastAsia="zh-CN"/>
              </w:rPr>
            </w:pPr>
            <w:r w:rsidRPr="00A52F7C">
              <w:rPr>
                <w:rFonts w:eastAsia="SimSun"/>
                <w:lang w:eastAsia="zh-CN"/>
              </w:rPr>
              <w:t>50</w:t>
            </w:r>
          </w:p>
        </w:tc>
        <w:tc>
          <w:tcPr>
            <w:tcW w:w="1214" w:type="dxa"/>
            <w:shd w:val="clear" w:color="auto" w:fill="auto"/>
            <w:noWrap/>
            <w:vAlign w:val="center"/>
            <w:hideMark/>
          </w:tcPr>
          <w:p w14:paraId="14FE6038" w14:textId="77777777" w:rsidR="001016A5" w:rsidRPr="00A52F7C" w:rsidRDefault="001016A5" w:rsidP="0010031B">
            <w:pPr>
              <w:pStyle w:val="ExhibitText"/>
              <w:jc w:val="right"/>
              <w:rPr>
                <w:rFonts w:eastAsia="SimSun"/>
                <w:b/>
                <w:bCs/>
                <w:lang w:eastAsia="zh-CN"/>
              </w:rPr>
            </w:pPr>
            <w:r w:rsidRPr="00A52F7C">
              <w:rPr>
                <w:rFonts w:eastAsia="SimSun"/>
                <w:lang w:eastAsia="zh-CN"/>
              </w:rPr>
              <w:t>108</w:t>
            </w:r>
          </w:p>
        </w:tc>
      </w:tr>
      <w:tr w:rsidR="001016A5" w:rsidRPr="00A52F7C" w14:paraId="4F26AA69" w14:textId="77777777" w:rsidTr="0010031B">
        <w:trPr>
          <w:trHeight w:val="300"/>
          <w:jc w:val="center"/>
        </w:trPr>
        <w:tc>
          <w:tcPr>
            <w:tcW w:w="993" w:type="dxa"/>
            <w:shd w:val="clear" w:color="auto" w:fill="auto"/>
            <w:noWrap/>
            <w:vAlign w:val="center"/>
            <w:hideMark/>
          </w:tcPr>
          <w:p w14:paraId="7C90FCAE" w14:textId="77777777" w:rsidR="001016A5" w:rsidRPr="00A52F7C" w:rsidRDefault="001016A5" w:rsidP="0010031B">
            <w:pPr>
              <w:pStyle w:val="ExhibitText"/>
              <w:jc w:val="left"/>
              <w:rPr>
                <w:rFonts w:eastAsia="SimSun"/>
                <w:b/>
                <w:bCs/>
                <w:lang w:eastAsia="zh-CN"/>
              </w:rPr>
            </w:pPr>
            <w:r w:rsidRPr="00A52F7C">
              <w:rPr>
                <w:rFonts w:eastAsia="SimSun"/>
                <w:lang w:eastAsia="zh-CN"/>
              </w:rPr>
              <w:t>2009</w:t>
            </w:r>
          </w:p>
        </w:tc>
        <w:tc>
          <w:tcPr>
            <w:tcW w:w="1479" w:type="dxa"/>
            <w:shd w:val="clear" w:color="auto" w:fill="auto"/>
            <w:noWrap/>
            <w:vAlign w:val="center"/>
            <w:hideMark/>
          </w:tcPr>
          <w:p w14:paraId="613AA3E8" w14:textId="77777777" w:rsidR="001016A5" w:rsidRPr="00A52F7C" w:rsidRDefault="001016A5" w:rsidP="0010031B">
            <w:pPr>
              <w:pStyle w:val="ExhibitText"/>
              <w:jc w:val="right"/>
              <w:rPr>
                <w:rFonts w:eastAsia="SimSun"/>
                <w:b/>
                <w:bCs/>
                <w:lang w:eastAsia="zh-CN"/>
              </w:rPr>
            </w:pPr>
            <w:r w:rsidRPr="00A52F7C">
              <w:rPr>
                <w:rFonts w:eastAsia="SimSun"/>
                <w:lang w:eastAsia="zh-CN"/>
              </w:rPr>
              <w:t>40</w:t>
            </w:r>
          </w:p>
        </w:tc>
        <w:tc>
          <w:tcPr>
            <w:tcW w:w="1214" w:type="dxa"/>
            <w:shd w:val="clear" w:color="auto" w:fill="auto"/>
            <w:noWrap/>
            <w:vAlign w:val="center"/>
            <w:hideMark/>
          </w:tcPr>
          <w:p w14:paraId="21AEEF7F" w14:textId="77777777" w:rsidR="001016A5" w:rsidRPr="00A52F7C" w:rsidRDefault="001016A5" w:rsidP="0010031B">
            <w:pPr>
              <w:pStyle w:val="ExhibitText"/>
              <w:jc w:val="right"/>
              <w:rPr>
                <w:rFonts w:eastAsia="SimSun"/>
                <w:b/>
                <w:bCs/>
                <w:lang w:eastAsia="zh-CN"/>
              </w:rPr>
            </w:pPr>
            <w:r w:rsidRPr="00A52F7C">
              <w:rPr>
                <w:rFonts w:eastAsia="SimSun"/>
                <w:lang w:eastAsia="zh-CN"/>
              </w:rPr>
              <w:t>92</w:t>
            </w:r>
          </w:p>
        </w:tc>
      </w:tr>
      <w:tr w:rsidR="001016A5" w:rsidRPr="00A52F7C" w14:paraId="376805C6" w14:textId="77777777" w:rsidTr="0010031B">
        <w:trPr>
          <w:trHeight w:val="300"/>
          <w:jc w:val="center"/>
        </w:trPr>
        <w:tc>
          <w:tcPr>
            <w:tcW w:w="993" w:type="dxa"/>
            <w:shd w:val="clear" w:color="auto" w:fill="auto"/>
            <w:noWrap/>
            <w:vAlign w:val="center"/>
            <w:hideMark/>
          </w:tcPr>
          <w:p w14:paraId="19645EBB" w14:textId="77777777" w:rsidR="001016A5" w:rsidRPr="00A52F7C" w:rsidRDefault="001016A5" w:rsidP="0010031B">
            <w:pPr>
              <w:pStyle w:val="ExhibitText"/>
              <w:jc w:val="left"/>
              <w:rPr>
                <w:rFonts w:eastAsia="SimSun"/>
                <w:b/>
                <w:bCs/>
                <w:lang w:eastAsia="zh-CN"/>
              </w:rPr>
            </w:pPr>
            <w:r w:rsidRPr="00A52F7C">
              <w:rPr>
                <w:rFonts w:eastAsia="SimSun"/>
                <w:lang w:eastAsia="zh-CN"/>
              </w:rPr>
              <w:t>2010</w:t>
            </w:r>
          </w:p>
        </w:tc>
        <w:tc>
          <w:tcPr>
            <w:tcW w:w="1479" w:type="dxa"/>
            <w:shd w:val="clear" w:color="auto" w:fill="auto"/>
            <w:noWrap/>
            <w:vAlign w:val="center"/>
            <w:hideMark/>
          </w:tcPr>
          <w:p w14:paraId="3A92E494" w14:textId="77777777" w:rsidR="001016A5" w:rsidRPr="00A52F7C" w:rsidRDefault="001016A5" w:rsidP="0010031B">
            <w:pPr>
              <w:pStyle w:val="ExhibitText"/>
              <w:jc w:val="right"/>
              <w:rPr>
                <w:rFonts w:eastAsia="SimSun"/>
                <w:b/>
                <w:bCs/>
                <w:lang w:eastAsia="zh-CN"/>
              </w:rPr>
            </w:pPr>
            <w:r w:rsidRPr="00A52F7C">
              <w:rPr>
                <w:rFonts w:eastAsia="SimSun"/>
                <w:lang w:eastAsia="zh-CN"/>
              </w:rPr>
              <w:t>98</w:t>
            </w:r>
          </w:p>
        </w:tc>
        <w:tc>
          <w:tcPr>
            <w:tcW w:w="1214" w:type="dxa"/>
            <w:shd w:val="clear" w:color="auto" w:fill="auto"/>
            <w:noWrap/>
            <w:vAlign w:val="center"/>
            <w:hideMark/>
          </w:tcPr>
          <w:p w14:paraId="3057E7E5" w14:textId="77777777" w:rsidR="001016A5" w:rsidRPr="00A52F7C" w:rsidRDefault="001016A5" w:rsidP="0010031B">
            <w:pPr>
              <w:pStyle w:val="ExhibitText"/>
              <w:jc w:val="right"/>
              <w:rPr>
                <w:rFonts w:eastAsia="SimSun"/>
                <w:b/>
                <w:bCs/>
                <w:lang w:eastAsia="zh-CN"/>
              </w:rPr>
            </w:pPr>
            <w:r w:rsidRPr="00A52F7C">
              <w:rPr>
                <w:rFonts w:eastAsia="SimSun"/>
                <w:lang w:eastAsia="zh-CN"/>
              </w:rPr>
              <w:t>116</w:t>
            </w:r>
          </w:p>
        </w:tc>
      </w:tr>
      <w:tr w:rsidR="001016A5" w:rsidRPr="00A52F7C" w14:paraId="23D4F429" w14:textId="77777777" w:rsidTr="0010031B">
        <w:trPr>
          <w:trHeight w:val="300"/>
          <w:jc w:val="center"/>
        </w:trPr>
        <w:tc>
          <w:tcPr>
            <w:tcW w:w="993" w:type="dxa"/>
            <w:shd w:val="clear" w:color="auto" w:fill="auto"/>
            <w:noWrap/>
            <w:vAlign w:val="center"/>
            <w:hideMark/>
          </w:tcPr>
          <w:p w14:paraId="2CB23EA5" w14:textId="77777777" w:rsidR="001016A5" w:rsidRPr="00A52F7C" w:rsidRDefault="001016A5" w:rsidP="0010031B">
            <w:pPr>
              <w:pStyle w:val="ExhibitText"/>
              <w:jc w:val="left"/>
              <w:rPr>
                <w:rFonts w:eastAsia="SimSun"/>
                <w:b/>
                <w:bCs/>
                <w:lang w:eastAsia="zh-CN"/>
              </w:rPr>
            </w:pPr>
            <w:r w:rsidRPr="00A52F7C">
              <w:rPr>
                <w:rFonts w:eastAsia="SimSun"/>
                <w:lang w:eastAsia="zh-CN"/>
              </w:rPr>
              <w:t>2011</w:t>
            </w:r>
          </w:p>
        </w:tc>
        <w:tc>
          <w:tcPr>
            <w:tcW w:w="1479" w:type="dxa"/>
            <w:shd w:val="clear" w:color="auto" w:fill="auto"/>
            <w:noWrap/>
            <w:vAlign w:val="center"/>
            <w:hideMark/>
          </w:tcPr>
          <w:p w14:paraId="4D19FEE1" w14:textId="77777777" w:rsidR="001016A5" w:rsidRPr="00A52F7C" w:rsidRDefault="001016A5" w:rsidP="0010031B">
            <w:pPr>
              <w:pStyle w:val="ExhibitText"/>
              <w:jc w:val="right"/>
              <w:rPr>
                <w:rFonts w:eastAsia="SimSun"/>
                <w:b/>
                <w:bCs/>
                <w:lang w:eastAsia="zh-CN"/>
              </w:rPr>
            </w:pPr>
            <w:r w:rsidRPr="00A52F7C">
              <w:rPr>
                <w:rFonts w:eastAsia="SimSun"/>
                <w:lang w:eastAsia="zh-CN"/>
              </w:rPr>
              <w:t>100</w:t>
            </w:r>
          </w:p>
        </w:tc>
        <w:tc>
          <w:tcPr>
            <w:tcW w:w="1214" w:type="dxa"/>
            <w:shd w:val="clear" w:color="auto" w:fill="auto"/>
            <w:noWrap/>
            <w:vAlign w:val="center"/>
            <w:hideMark/>
          </w:tcPr>
          <w:p w14:paraId="7953EDC1" w14:textId="77777777" w:rsidR="001016A5" w:rsidRPr="00A52F7C" w:rsidRDefault="001016A5" w:rsidP="0010031B">
            <w:pPr>
              <w:pStyle w:val="ExhibitText"/>
              <w:jc w:val="right"/>
              <w:rPr>
                <w:rFonts w:eastAsia="SimSun"/>
                <w:b/>
                <w:bCs/>
                <w:lang w:eastAsia="zh-CN"/>
              </w:rPr>
            </w:pPr>
            <w:r w:rsidRPr="00A52F7C">
              <w:rPr>
                <w:rFonts w:eastAsia="SimSun"/>
                <w:lang w:eastAsia="zh-CN"/>
              </w:rPr>
              <w:t>124</w:t>
            </w:r>
          </w:p>
        </w:tc>
      </w:tr>
      <w:tr w:rsidR="001016A5" w:rsidRPr="00A52F7C" w14:paraId="19B935BC" w14:textId="77777777" w:rsidTr="0010031B">
        <w:trPr>
          <w:trHeight w:val="300"/>
          <w:jc w:val="center"/>
        </w:trPr>
        <w:tc>
          <w:tcPr>
            <w:tcW w:w="993" w:type="dxa"/>
            <w:shd w:val="clear" w:color="auto" w:fill="auto"/>
            <w:noWrap/>
            <w:vAlign w:val="center"/>
            <w:hideMark/>
          </w:tcPr>
          <w:p w14:paraId="3BA783DD" w14:textId="77777777" w:rsidR="001016A5" w:rsidRPr="00A52F7C" w:rsidRDefault="001016A5" w:rsidP="0010031B">
            <w:pPr>
              <w:pStyle w:val="ExhibitText"/>
              <w:jc w:val="left"/>
              <w:rPr>
                <w:rFonts w:eastAsia="SimSun"/>
                <w:b/>
                <w:bCs/>
                <w:lang w:eastAsia="zh-CN"/>
              </w:rPr>
            </w:pPr>
            <w:r w:rsidRPr="00A52F7C">
              <w:rPr>
                <w:rFonts w:eastAsia="SimSun"/>
                <w:lang w:eastAsia="zh-CN"/>
              </w:rPr>
              <w:t>2012</w:t>
            </w:r>
          </w:p>
        </w:tc>
        <w:tc>
          <w:tcPr>
            <w:tcW w:w="1479" w:type="dxa"/>
            <w:shd w:val="clear" w:color="auto" w:fill="auto"/>
            <w:noWrap/>
            <w:vAlign w:val="center"/>
            <w:hideMark/>
          </w:tcPr>
          <w:p w14:paraId="247A8D41" w14:textId="77777777" w:rsidR="001016A5" w:rsidRPr="00A52F7C" w:rsidRDefault="001016A5" w:rsidP="0010031B">
            <w:pPr>
              <w:pStyle w:val="ExhibitText"/>
              <w:jc w:val="right"/>
              <w:rPr>
                <w:rFonts w:eastAsia="SimSun"/>
                <w:b/>
                <w:bCs/>
                <w:lang w:eastAsia="zh-CN"/>
              </w:rPr>
            </w:pPr>
            <w:r w:rsidRPr="00A52F7C">
              <w:rPr>
                <w:rFonts w:eastAsia="SimSun"/>
                <w:lang w:eastAsia="zh-CN"/>
              </w:rPr>
              <w:t>120</w:t>
            </w:r>
          </w:p>
        </w:tc>
        <w:tc>
          <w:tcPr>
            <w:tcW w:w="1214" w:type="dxa"/>
            <w:shd w:val="clear" w:color="auto" w:fill="auto"/>
            <w:noWrap/>
            <w:vAlign w:val="center"/>
            <w:hideMark/>
          </w:tcPr>
          <w:p w14:paraId="0C89B389" w14:textId="77777777" w:rsidR="001016A5" w:rsidRPr="00A52F7C" w:rsidRDefault="001016A5" w:rsidP="0010031B">
            <w:pPr>
              <w:pStyle w:val="ExhibitText"/>
              <w:jc w:val="right"/>
              <w:rPr>
                <w:rFonts w:eastAsia="SimSun"/>
                <w:b/>
                <w:bCs/>
                <w:lang w:eastAsia="zh-CN"/>
              </w:rPr>
            </w:pPr>
            <w:r w:rsidRPr="00A52F7C">
              <w:rPr>
                <w:rFonts w:eastAsia="SimSun"/>
                <w:lang w:eastAsia="zh-CN"/>
              </w:rPr>
              <w:t>120</w:t>
            </w:r>
          </w:p>
        </w:tc>
      </w:tr>
      <w:tr w:rsidR="001016A5" w:rsidRPr="00A52F7C" w14:paraId="26B3FE41" w14:textId="77777777" w:rsidTr="0010031B">
        <w:trPr>
          <w:trHeight w:val="300"/>
          <w:jc w:val="center"/>
        </w:trPr>
        <w:tc>
          <w:tcPr>
            <w:tcW w:w="993" w:type="dxa"/>
            <w:shd w:val="clear" w:color="auto" w:fill="auto"/>
            <w:noWrap/>
            <w:vAlign w:val="center"/>
            <w:hideMark/>
          </w:tcPr>
          <w:p w14:paraId="714F3227" w14:textId="77777777" w:rsidR="001016A5" w:rsidRPr="00A52F7C" w:rsidRDefault="001016A5" w:rsidP="0010031B">
            <w:pPr>
              <w:pStyle w:val="ExhibitText"/>
              <w:jc w:val="left"/>
              <w:rPr>
                <w:rFonts w:eastAsia="SimSun"/>
                <w:b/>
                <w:bCs/>
                <w:lang w:eastAsia="zh-CN"/>
              </w:rPr>
            </w:pPr>
            <w:r w:rsidRPr="00A52F7C">
              <w:rPr>
                <w:rFonts w:eastAsia="SimSun"/>
                <w:lang w:eastAsia="zh-CN"/>
              </w:rPr>
              <w:t>2013</w:t>
            </w:r>
          </w:p>
        </w:tc>
        <w:tc>
          <w:tcPr>
            <w:tcW w:w="1479" w:type="dxa"/>
            <w:shd w:val="clear" w:color="auto" w:fill="auto"/>
            <w:noWrap/>
            <w:vAlign w:val="center"/>
            <w:hideMark/>
          </w:tcPr>
          <w:p w14:paraId="0643FF9A" w14:textId="77777777" w:rsidR="001016A5" w:rsidRPr="00A52F7C" w:rsidRDefault="001016A5" w:rsidP="0010031B">
            <w:pPr>
              <w:pStyle w:val="ExhibitText"/>
              <w:jc w:val="right"/>
              <w:rPr>
                <w:rFonts w:eastAsia="SimSun"/>
                <w:b/>
                <w:bCs/>
                <w:lang w:eastAsia="zh-CN"/>
              </w:rPr>
            </w:pPr>
            <w:r w:rsidRPr="00A52F7C">
              <w:rPr>
                <w:rFonts w:eastAsia="SimSun"/>
                <w:lang w:eastAsia="zh-CN"/>
              </w:rPr>
              <w:t>130</w:t>
            </w:r>
          </w:p>
        </w:tc>
        <w:tc>
          <w:tcPr>
            <w:tcW w:w="1214" w:type="dxa"/>
            <w:shd w:val="clear" w:color="auto" w:fill="auto"/>
            <w:noWrap/>
            <w:vAlign w:val="center"/>
            <w:hideMark/>
          </w:tcPr>
          <w:p w14:paraId="79B16D1E" w14:textId="77777777" w:rsidR="001016A5" w:rsidRPr="00A52F7C" w:rsidRDefault="001016A5" w:rsidP="0010031B">
            <w:pPr>
              <w:pStyle w:val="ExhibitText"/>
              <w:jc w:val="right"/>
              <w:rPr>
                <w:rFonts w:eastAsia="SimSun"/>
                <w:b/>
                <w:bCs/>
                <w:lang w:eastAsia="zh-CN"/>
              </w:rPr>
            </w:pPr>
            <w:r w:rsidRPr="00A52F7C">
              <w:rPr>
                <w:rFonts w:eastAsia="SimSun"/>
                <w:lang w:eastAsia="zh-CN"/>
              </w:rPr>
              <w:t>118</w:t>
            </w:r>
          </w:p>
        </w:tc>
      </w:tr>
    </w:tbl>
    <w:p w14:paraId="02249797" w14:textId="77777777" w:rsidR="001016A5" w:rsidRPr="00A52F7C" w:rsidRDefault="001016A5" w:rsidP="005169F6">
      <w:pPr>
        <w:pStyle w:val="ExhibitText"/>
      </w:pPr>
    </w:p>
    <w:p w14:paraId="05EBC170" w14:textId="1D1DB2BA" w:rsidR="00A84724" w:rsidRPr="00A52F7C" w:rsidRDefault="005F45D7" w:rsidP="005169F6">
      <w:pPr>
        <w:pStyle w:val="Footnote"/>
      </w:pPr>
      <w:r w:rsidRPr="00A52F7C">
        <w:t xml:space="preserve">Note: </w:t>
      </w:r>
      <w:r w:rsidR="00A84724" w:rsidRPr="00A52F7C">
        <w:t>*</w:t>
      </w:r>
      <w:r w:rsidRPr="00A52F7C">
        <w:t xml:space="preserve">ASEAN-5 </w:t>
      </w:r>
      <w:r w:rsidR="00CC7FF7">
        <w:t xml:space="preserve">= </w:t>
      </w:r>
      <w:r w:rsidR="00CC7FF7" w:rsidRPr="00D3063B">
        <w:t>Association of Southeast Asian Nations</w:t>
      </w:r>
      <w:r w:rsidR="00CC7FF7" w:rsidRPr="00A52F7C">
        <w:t xml:space="preserve"> </w:t>
      </w:r>
      <w:r w:rsidR="00CC7FF7">
        <w:t xml:space="preserve">plus </w:t>
      </w:r>
      <w:r w:rsidR="00A84724" w:rsidRPr="00A52F7C">
        <w:t xml:space="preserve">Thailand, Singapore, </w:t>
      </w:r>
      <w:r w:rsidRPr="00A52F7C">
        <w:t xml:space="preserve">the </w:t>
      </w:r>
      <w:r w:rsidR="00A84724" w:rsidRPr="00A52F7C">
        <w:t>Philippines, Malaysia, and Indonesia</w:t>
      </w:r>
      <w:r w:rsidRPr="00A52F7C">
        <w:t>.</w:t>
      </w:r>
    </w:p>
    <w:p w14:paraId="4371414A" w14:textId="175E5793" w:rsidR="00D26064" w:rsidRPr="00A52F7C" w:rsidRDefault="00D26064" w:rsidP="005169F6">
      <w:pPr>
        <w:pStyle w:val="Footnote"/>
      </w:pPr>
      <w:r w:rsidRPr="00A52F7C">
        <w:t xml:space="preserve">Source: </w:t>
      </w:r>
      <w:r w:rsidR="005B78AB">
        <w:t xml:space="preserve">Created by the case authors based on </w:t>
      </w:r>
      <w:r w:rsidR="00A84724" w:rsidRPr="00A52F7C">
        <w:t>“</w:t>
      </w:r>
      <w:r w:rsidR="005F45D7" w:rsidRPr="00A52F7C">
        <w:t xml:space="preserve">ASEAN Outpacing </w:t>
      </w:r>
      <w:r w:rsidR="00A84724" w:rsidRPr="00A52F7C">
        <w:t xml:space="preserve">China,” </w:t>
      </w:r>
      <w:r w:rsidR="00A84724" w:rsidRPr="00BA3D71">
        <w:rPr>
          <w:i/>
        </w:rPr>
        <w:t>Southeast Asia Globe</w:t>
      </w:r>
      <w:r w:rsidR="00A84724" w:rsidRPr="00A52F7C">
        <w:t>, May 2, 2014, accessed July 13, 2017, http://sea-globe.com/foreign-direct-investments-china-focus-asean-2.</w:t>
      </w:r>
    </w:p>
    <w:p w14:paraId="38B8A135" w14:textId="77777777" w:rsidR="00D26064" w:rsidRPr="00A52F7C" w:rsidRDefault="00D26064" w:rsidP="005169F6">
      <w:pPr>
        <w:pStyle w:val="ExhibitText"/>
        <w:rPr>
          <w:lang w:eastAsia="zh-CN"/>
        </w:rPr>
      </w:pPr>
    </w:p>
    <w:p w14:paraId="06A3B2D3" w14:textId="77777777" w:rsidR="000B56E9" w:rsidRPr="00A52F7C" w:rsidRDefault="000B56E9" w:rsidP="005169F6">
      <w:pPr>
        <w:pStyle w:val="ExhibitText"/>
        <w:rPr>
          <w:lang w:eastAsia="zh-CN"/>
        </w:rPr>
      </w:pPr>
    </w:p>
    <w:p w14:paraId="5920B341" w14:textId="41A49216" w:rsidR="00D67A99" w:rsidRPr="00A52F7C" w:rsidRDefault="00D67A99" w:rsidP="005169F6">
      <w:pPr>
        <w:pStyle w:val="ExhibitHeading"/>
      </w:pPr>
      <w:r w:rsidRPr="00EB7706">
        <w:t>Exhibit</w:t>
      </w:r>
      <w:r w:rsidRPr="00A52F7C">
        <w:t xml:space="preserve"> 7: </w:t>
      </w:r>
      <w:r w:rsidR="00D26064" w:rsidRPr="00A52F7C">
        <w:t>ASEAN-6 Digital Population 2015</w:t>
      </w:r>
      <w:r w:rsidR="005F45D7" w:rsidRPr="00A52F7C">
        <w:t>–</w:t>
      </w:r>
      <w:r w:rsidR="00D26064" w:rsidRPr="00A52F7C">
        <w:t>2020</w:t>
      </w:r>
      <w:r w:rsidR="00B609B6" w:rsidRPr="00A52F7C">
        <w:t xml:space="preserve"> (</w:t>
      </w:r>
      <w:r w:rsidR="005F45D7" w:rsidRPr="00A52F7C">
        <w:t xml:space="preserve">in </w:t>
      </w:r>
      <w:r w:rsidR="00B609B6" w:rsidRPr="00A52F7C">
        <w:t>MILLION USERS)</w:t>
      </w:r>
      <w:r w:rsidR="00F00354" w:rsidRPr="00A52F7C">
        <w:rPr>
          <w:vertAlign w:val="superscript"/>
        </w:rPr>
        <w:t>*</w:t>
      </w:r>
    </w:p>
    <w:p w14:paraId="33B2D097" w14:textId="77777777" w:rsidR="0022597C" w:rsidRPr="00A52F7C" w:rsidRDefault="0022597C" w:rsidP="005169F6">
      <w:pPr>
        <w:pStyle w:val="ExhibitText"/>
      </w:pPr>
    </w:p>
    <w:tbl>
      <w:tblPr>
        <w:tblW w:w="5245" w:type="dxa"/>
        <w:jc w:val="center"/>
        <w:tblLook w:val="04A0" w:firstRow="1" w:lastRow="0" w:firstColumn="1" w:lastColumn="0" w:noHBand="0" w:noVBand="1"/>
      </w:tblPr>
      <w:tblGrid>
        <w:gridCol w:w="1297"/>
        <w:gridCol w:w="1268"/>
        <w:gridCol w:w="1268"/>
        <w:gridCol w:w="1412"/>
      </w:tblGrid>
      <w:tr w:rsidR="00EF75A5" w:rsidRPr="00A52F7C" w14:paraId="39DD7C02" w14:textId="77777777" w:rsidTr="00C85E0A">
        <w:trPr>
          <w:trHeight w:val="300"/>
          <w:jc w:val="center"/>
        </w:trPr>
        <w:tc>
          <w:tcPr>
            <w:tcW w:w="1297" w:type="dxa"/>
            <w:vMerge w:val="restart"/>
            <w:tcBorders>
              <w:top w:val="single" w:sz="4" w:space="0" w:color="auto"/>
              <w:left w:val="nil"/>
              <w:right w:val="nil"/>
            </w:tcBorders>
            <w:shd w:val="clear" w:color="auto" w:fill="auto"/>
            <w:noWrap/>
            <w:vAlign w:val="center"/>
            <w:hideMark/>
          </w:tcPr>
          <w:p w14:paraId="649ED59B" w14:textId="347E0EA6" w:rsidR="00EF75A5" w:rsidRPr="00A52F7C" w:rsidRDefault="00EF75A5" w:rsidP="00C85E0A">
            <w:pPr>
              <w:pStyle w:val="ExhibitText"/>
              <w:jc w:val="center"/>
              <w:rPr>
                <w:rFonts w:eastAsia="SimSun"/>
                <w:lang w:eastAsia="zh-CN"/>
              </w:rPr>
            </w:pPr>
            <w:r>
              <w:rPr>
                <w:rFonts w:eastAsia="SimSun"/>
                <w:lang w:eastAsia="zh-CN"/>
              </w:rPr>
              <w:t>ASEAN-6 Country</w:t>
            </w:r>
          </w:p>
        </w:tc>
        <w:tc>
          <w:tcPr>
            <w:tcW w:w="2536" w:type="dxa"/>
            <w:gridSpan w:val="2"/>
            <w:tcBorders>
              <w:top w:val="single" w:sz="4" w:space="0" w:color="auto"/>
              <w:left w:val="nil"/>
              <w:right w:val="nil"/>
            </w:tcBorders>
            <w:shd w:val="clear" w:color="auto" w:fill="auto"/>
            <w:noWrap/>
            <w:vAlign w:val="center"/>
            <w:hideMark/>
          </w:tcPr>
          <w:p w14:paraId="3C759478" w14:textId="77777777" w:rsidR="00EF75A5" w:rsidRPr="00A52F7C" w:rsidRDefault="00EF75A5" w:rsidP="00C85E0A">
            <w:pPr>
              <w:pStyle w:val="ExhibitText"/>
              <w:jc w:val="center"/>
              <w:rPr>
                <w:rFonts w:eastAsia="SimSun"/>
                <w:b/>
                <w:bCs/>
                <w:lang w:eastAsia="zh-CN"/>
              </w:rPr>
            </w:pPr>
            <w:r w:rsidRPr="00A52F7C">
              <w:rPr>
                <w:rFonts w:eastAsia="SimSun"/>
                <w:lang w:eastAsia="zh-CN"/>
              </w:rPr>
              <w:t>Number of Users</w:t>
            </w:r>
          </w:p>
        </w:tc>
        <w:tc>
          <w:tcPr>
            <w:tcW w:w="1412" w:type="dxa"/>
            <w:vMerge w:val="restart"/>
            <w:tcBorders>
              <w:top w:val="single" w:sz="4" w:space="0" w:color="auto"/>
              <w:left w:val="nil"/>
              <w:right w:val="nil"/>
            </w:tcBorders>
            <w:shd w:val="clear" w:color="auto" w:fill="auto"/>
            <w:noWrap/>
            <w:vAlign w:val="center"/>
            <w:hideMark/>
          </w:tcPr>
          <w:p w14:paraId="05CD8E6C" w14:textId="77777777" w:rsidR="00EF75A5" w:rsidRPr="00A52F7C" w:rsidRDefault="00EF75A5" w:rsidP="00C85E0A">
            <w:pPr>
              <w:pStyle w:val="ExhibitText"/>
              <w:jc w:val="center"/>
              <w:rPr>
                <w:rFonts w:eastAsia="SimSun"/>
                <w:b/>
                <w:bCs/>
                <w:lang w:eastAsia="zh-CN"/>
              </w:rPr>
            </w:pPr>
            <w:r w:rsidRPr="00A52F7C">
              <w:rPr>
                <w:rFonts w:eastAsia="SimSun"/>
                <w:lang w:eastAsia="zh-CN"/>
              </w:rPr>
              <w:t>CAGR (%)</w:t>
            </w:r>
          </w:p>
        </w:tc>
      </w:tr>
      <w:tr w:rsidR="00EF75A5" w:rsidRPr="00A52F7C" w14:paraId="4909A998" w14:textId="77777777" w:rsidTr="00C85E0A">
        <w:trPr>
          <w:trHeight w:val="300"/>
          <w:jc w:val="center"/>
        </w:trPr>
        <w:tc>
          <w:tcPr>
            <w:tcW w:w="1297" w:type="dxa"/>
            <w:vMerge/>
            <w:tcBorders>
              <w:left w:val="nil"/>
              <w:bottom w:val="single" w:sz="4" w:space="0" w:color="auto"/>
              <w:right w:val="nil"/>
            </w:tcBorders>
            <w:shd w:val="clear" w:color="auto" w:fill="auto"/>
            <w:noWrap/>
            <w:vAlign w:val="center"/>
            <w:hideMark/>
          </w:tcPr>
          <w:p w14:paraId="00EB2A1A" w14:textId="77777777" w:rsidR="00EF75A5" w:rsidRPr="00A52F7C" w:rsidRDefault="00EF75A5" w:rsidP="00C85E0A">
            <w:pPr>
              <w:pStyle w:val="ExhibitText"/>
              <w:jc w:val="center"/>
              <w:rPr>
                <w:rFonts w:eastAsia="SimSun"/>
                <w:lang w:eastAsia="zh-CN"/>
              </w:rPr>
            </w:pPr>
          </w:p>
        </w:tc>
        <w:tc>
          <w:tcPr>
            <w:tcW w:w="1268" w:type="dxa"/>
            <w:tcBorders>
              <w:top w:val="nil"/>
              <w:left w:val="nil"/>
              <w:bottom w:val="single" w:sz="4" w:space="0" w:color="auto"/>
              <w:right w:val="nil"/>
            </w:tcBorders>
            <w:shd w:val="clear" w:color="auto" w:fill="auto"/>
            <w:noWrap/>
            <w:vAlign w:val="center"/>
            <w:hideMark/>
          </w:tcPr>
          <w:p w14:paraId="58BAE4F6" w14:textId="77777777" w:rsidR="00EF75A5" w:rsidRPr="00A52F7C" w:rsidRDefault="00EF75A5" w:rsidP="00C85E0A">
            <w:pPr>
              <w:pStyle w:val="ExhibitText"/>
              <w:jc w:val="center"/>
              <w:rPr>
                <w:rFonts w:eastAsia="SimSun"/>
                <w:b/>
                <w:bCs/>
                <w:lang w:eastAsia="zh-CN"/>
              </w:rPr>
            </w:pPr>
            <w:r w:rsidRPr="00A52F7C">
              <w:rPr>
                <w:rFonts w:eastAsia="SimSun"/>
                <w:lang w:eastAsia="zh-CN"/>
              </w:rPr>
              <w:t>Year 2015</w:t>
            </w:r>
          </w:p>
        </w:tc>
        <w:tc>
          <w:tcPr>
            <w:tcW w:w="1268" w:type="dxa"/>
            <w:tcBorders>
              <w:top w:val="nil"/>
              <w:left w:val="nil"/>
              <w:bottom w:val="single" w:sz="4" w:space="0" w:color="auto"/>
              <w:right w:val="nil"/>
            </w:tcBorders>
            <w:shd w:val="clear" w:color="auto" w:fill="auto"/>
            <w:noWrap/>
            <w:vAlign w:val="center"/>
            <w:hideMark/>
          </w:tcPr>
          <w:p w14:paraId="14EE9015" w14:textId="77777777" w:rsidR="00EF75A5" w:rsidRPr="00A52F7C" w:rsidRDefault="00EF75A5" w:rsidP="00C85E0A">
            <w:pPr>
              <w:pStyle w:val="ExhibitText"/>
              <w:jc w:val="center"/>
              <w:rPr>
                <w:rFonts w:eastAsia="SimSun"/>
                <w:b/>
                <w:bCs/>
                <w:lang w:eastAsia="zh-CN"/>
              </w:rPr>
            </w:pPr>
            <w:r w:rsidRPr="00A52F7C">
              <w:rPr>
                <w:rFonts w:eastAsia="SimSun"/>
                <w:lang w:eastAsia="zh-CN"/>
              </w:rPr>
              <w:t>Year 2020</w:t>
            </w:r>
          </w:p>
        </w:tc>
        <w:tc>
          <w:tcPr>
            <w:tcW w:w="1412" w:type="dxa"/>
            <w:vMerge/>
            <w:tcBorders>
              <w:left w:val="nil"/>
              <w:bottom w:val="single" w:sz="4" w:space="0" w:color="auto"/>
              <w:right w:val="nil"/>
            </w:tcBorders>
            <w:shd w:val="clear" w:color="auto" w:fill="auto"/>
            <w:noWrap/>
            <w:vAlign w:val="center"/>
            <w:hideMark/>
          </w:tcPr>
          <w:p w14:paraId="1F1A24FC" w14:textId="61853FCA" w:rsidR="00EF75A5" w:rsidRPr="00A52F7C" w:rsidRDefault="00EF75A5" w:rsidP="00C85E0A">
            <w:pPr>
              <w:pStyle w:val="ExhibitText"/>
              <w:jc w:val="center"/>
              <w:rPr>
                <w:rFonts w:eastAsia="SimSun"/>
                <w:lang w:eastAsia="zh-CN"/>
              </w:rPr>
            </w:pPr>
          </w:p>
        </w:tc>
      </w:tr>
      <w:tr w:rsidR="00963D1D" w:rsidRPr="00A52F7C" w14:paraId="6458B363" w14:textId="77777777" w:rsidTr="00C85E0A">
        <w:trPr>
          <w:trHeight w:val="300"/>
          <w:jc w:val="center"/>
        </w:trPr>
        <w:tc>
          <w:tcPr>
            <w:tcW w:w="1297" w:type="dxa"/>
            <w:tcBorders>
              <w:top w:val="single" w:sz="4" w:space="0" w:color="auto"/>
              <w:left w:val="nil"/>
              <w:bottom w:val="nil"/>
              <w:right w:val="nil"/>
            </w:tcBorders>
            <w:shd w:val="clear" w:color="auto" w:fill="auto"/>
            <w:noWrap/>
            <w:vAlign w:val="center"/>
            <w:hideMark/>
          </w:tcPr>
          <w:p w14:paraId="12BC0217" w14:textId="77777777" w:rsidR="00963D1D" w:rsidRPr="00A52F7C" w:rsidRDefault="00963D1D" w:rsidP="005169F6">
            <w:pPr>
              <w:pStyle w:val="ExhibitText"/>
              <w:jc w:val="left"/>
              <w:rPr>
                <w:rFonts w:eastAsia="SimSun"/>
                <w:b/>
                <w:bCs/>
                <w:lang w:eastAsia="zh-CN"/>
              </w:rPr>
            </w:pPr>
            <w:r w:rsidRPr="00A52F7C">
              <w:rPr>
                <w:rFonts w:eastAsia="SimSun"/>
                <w:lang w:eastAsia="zh-CN"/>
              </w:rPr>
              <w:t>Indonesia</w:t>
            </w:r>
          </w:p>
        </w:tc>
        <w:tc>
          <w:tcPr>
            <w:tcW w:w="1268" w:type="dxa"/>
            <w:tcBorders>
              <w:top w:val="single" w:sz="4" w:space="0" w:color="auto"/>
              <w:left w:val="nil"/>
              <w:bottom w:val="nil"/>
              <w:right w:val="nil"/>
            </w:tcBorders>
            <w:shd w:val="clear" w:color="auto" w:fill="auto"/>
            <w:noWrap/>
            <w:vAlign w:val="center"/>
            <w:hideMark/>
          </w:tcPr>
          <w:p w14:paraId="51A8E5F9" w14:textId="77777777" w:rsidR="00963D1D" w:rsidRPr="00A52F7C" w:rsidRDefault="00963D1D" w:rsidP="00C85E0A">
            <w:pPr>
              <w:pStyle w:val="ExhibitText"/>
              <w:jc w:val="center"/>
              <w:rPr>
                <w:rFonts w:eastAsia="SimSun"/>
                <w:b/>
                <w:bCs/>
                <w:lang w:eastAsia="zh-CN"/>
              </w:rPr>
            </w:pPr>
            <w:r w:rsidRPr="00A52F7C">
              <w:rPr>
                <w:rFonts w:eastAsia="SimSun"/>
                <w:lang w:eastAsia="zh-CN"/>
              </w:rPr>
              <w:t>92</w:t>
            </w:r>
          </w:p>
        </w:tc>
        <w:tc>
          <w:tcPr>
            <w:tcW w:w="1268" w:type="dxa"/>
            <w:tcBorders>
              <w:top w:val="single" w:sz="4" w:space="0" w:color="auto"/>
              <w:left w:val="nil"/>
              <w:bottom w:val="nil"/>
              <w:right w:val="nil"/>
            </w:tcBorders>
            <w:shd w:val="clear" w:color="auto" w:fill="auto"/>
            <w:noWrap/>
            <w:vAlign w:val="center"/>
            <w:hideMark/>
          </w:tcPr>
          <w:p w14:paraId="578B7572" w14:textId="77777777" w:rsidR="00963D1D" w:rsidRPr="00A52F7C" w:rsidRDefault="00963D1D" w:rsidP="00C85E0A">
            <w:pPr>
              <w:pStyle w:val="ExhibitText"/>
              <w:jc w:val="center"/>
              <w:rPr>
                <w:rFonts w:eastAsia="SimSun"/>
                <w:b/>
                <w:bCs/>
                <w:lang w:eastAsia="zh-CN"/>
              </w:rPr>
            </w:pPr>
            <w:r w:rsidRPr="00A52F7C">
              <w:rPr>
                <w:rFonts w:eastAsia="SimSun"/>
                <w:lang w:eastAsia="zh-CN"/>
              </w:rPr>
              <w:t>215</w:t>
            </w:r>
          </w:p>
        </w:tc>
        <w:tc>
          <w:tcPr>
            <w:tcW w:w="1412" w:type="dxa"/>
            <w:tcBorders>
              <w:top w:val="single" w:sz="4" w:space="0" w:color="auto"/>
              <w:left w:val="nil"/>
              <w:bottom w:val="nil"/>
              <w:right w:val="nil"/>
            </w:tcBorders>
            <w:shd w:val="clear" w:color="auto" w:fill="auto"/>
            <w:noWrap/>
            <w:vAlign w:val="center"/>
            <w:hideMark/>
          </w:tcPr>
          <w:p w14:paraId="1C257726" w14:textId="77777777" w:rsidR="00963D1D" w:rsidRPr="00A52F7C" w:rsidRDefault="00963D1D" w:rsidP="00C85E0A">
            <w:pPr>
              <w:pStyle w:val="ExhibitText"/>
              <w:jc w:val="center"/>
              <w:rPr>
                <w:rFonts w:eastAsia="SimSun"/>
                <w:b/>
                <w:bCs/>
                <w:lang w:eastAsia="zh-CN"/>
              </w:rPr>
            </w:pPr>
            <w:r w:rsidRPr="00A52F7C">
              <w:rPr>
                <w:rFonts w:eastAsia="SimSun"/>
                <w:lang w:eastAsia="zh-CN"/>
              </w:rPr>
              <w:t>19</w:t>
            </w:r>
          </w:p>
        </w:tc>
      </w:tr>
      <w:tr w:rsidR="00963D1D" w:rsidRPr="00A52F7C" w14:paraId="2FE9DCCE" w14:textId="77777777" w:rsidTr="00C85E0A">
        <w:trPr>
          <w:trHeight w:val="300"/>
          <w:jc w:val="center"/>
        </w:trPr>
        <w:tc>
          <w:tcPr>
            <w:tcW w:w="1297" w:type="dxa"/>
            <w:tcBorders>
              <w:top w:val="nil"/>
              <w:left w:val="nil"/>
              <w:bottom w:val="nil"/>
              <w:right w:val="nil"/>
            </w:tcBorders>
            <w:shd w:val="clear" w:color="auto" w:fill="auto"/>
            <w:noWrap/>
            <w:vAlign w:val="center"/>
            <w:hideMark/>
          </w:tcPr>
          <w:p w14:paraId="39E6BADA" w14:textId="77777777" w:rsidR="00963D1D" w:rsidRPr="00A52F7C" w:rsidRDefault="00963D1D" w:rsidP="005169F6">
            <w:pPr>
              <w:pStyle w:val="ExhibitText"/>
              <w:jc w:val="left"/>
              <w:rPr>
                <w:rFonts w:eastAsia="SimSun"/>
                <w:b/>
                <w:bCs/>
                <w:lang w:eastAsia="zh-CN"/>
              </w:rPr>
            </w:pPr>
            <w:r w:rsidRPr="00A52F7C">
              <w:rPr>
                <w:rFonts w:eastAsia="SimSun"/>
                <w:lang w:eastAsia="zh-CN"/>
              </w:rPr>
              <w:t>Philippines</w:t>
            </w:r>
          </w:p>
        </w:tc>
        <w:tc>
          <w:tcPr>
            <w:tcW w:w="1268" w:type="dxa"/>
            <w:tcBorders>
              <w:top w:val="nil"/>
              <w:left w:val="nil"/>
              <w:bottom w:val="nil"/>
              <w:right w:val="nil"/>
            </w:tcBorders>
            <w:shd w:val="clear" w:color="auto" w:fill="auto"/>
            <w:noWrap/>
            <w:vAlign w:val="center"/>
            <w:hideMark/>
          </w:tcPr>
          <w:p w14:paraId="639B0786" w14:textId="77777777" w:rsidR="00963D1D" w:rsidRPr="00A52F7C" w:rsidRDefault="00963D1D" w:rsidP="00C85E0A">
            <w:pPr>
              <w:pStyle w:val="ExhibitText"/>
              <w:jc w:val="center"/>
              <w:rPr>
                <w:rFonts w:eastAsia="SimSun"/>
                <w:b/>
                <w:bCs/>
                <w:lang w:eastAsia="zh-CN"/>
              </w:rPr>
            </w:pPr>
            <w:r w:rsidRPr="00A52F7C">
              <w:rPr>
                <w:rFonts w:eastAsia="SimSun"/>
                <w:lang w:eastAsia="zh-CN"/>
              </w:rPr>
              <w:t>55</w:t>
            </w:r>
          </w:p>
        </w:tc>
        <w:tc>
          <w:tcPr>
            <w:tcW w:w="1268" w:type="dxa"/>
            <w:tcBorders>
              <w:top w:val="nil"/>
              <w:left w:val="nil"/>
              <w:bottom w:val="nil"/>
              <w:right w:val="nil"/>
            </w:tcBorders>
            <w:shd w:val="clear" w:color="auto" w:fill="auto"/>
            <w:noWrap/>
            <w:vAlign w:val="center"/>
            <w:hideMark/>
          </w:tcPr>
          <w:p w14:paraId="4D7C80B6" w14:textId="77777777" w:rsidR="00963D1D" w:rsidRPr="00A52F7C" w:rsidRDefault="00963D1D" w:rsidP="00C85E0A">
            <w:pPr>
              <w:pStyle w:val="ExhibitText"/>
              <w:jc w:val="center"/>
              <w:rPr>
                <w:rFonts w:eastAsia="SimSun"/>
                <w:b/>
                <w:bCs/>
                <w:lang w:eastAsia="zh-CN"/>
              </w:rPr>
            </w:pPr>
            <w:r w:rsidRPr="00A52F7C">
              <w:rPr>
                <w:rFonts w:eastAsia="SimSun"/>
                <w:lang w:eastAsia="zh-CN"/>
              </w:rPr>
              <w:t>93</w:t>
            </w:r>
          </w:p>
        </w:tc>
        <w:tc>
          <w:tcPr>
            <w:tcW w:w="1412" w:type="dxa"/>
            <w:tcBorders>
              <w:top w:val="nil"/>
              <w:left w:val="nil"/>
              <w:bottom w:val="nil"/>
              <w:right w:val="nil"/>
            </w:tcBorders>
            <w:shd w:val="clear" w:color="auto" w:fill="auto"/>
            <w:noWrap/>
            <w:vAlign w:val="center"/>
            <w:hideMark/>
          </w:tcPr>
          <w:p w14:paraId="3C62A893" w14:textId="77777777" w:rsidR="00963D1D" w:rsidRPr="00A52F7C" w:rsidRDefault="00963D1D" w:rsidP="00C85E0A">
            <w:pPr>
              <w:pStyle w:val="ExhibitText"/>
              <w:jc w:val="center"/>
              <w:rPr>
                <w:rFonts w:eastAsia="SimSun"/>
                <w:b/>
                <w:bCs/>
                <w:lang w:eastAsia="zh-CN"/>
              </w:rPr>
            </w:pPr>
            <w:r w:rsidRPr="00A52F7C">
              <w:rPr>
                <w:rFonts w:eastAsia="SimSun"/>
                <w:lang w:eastAsia="zh-CN"/>
              </w:rPr>
              <w:t>11</w:t>
            </w:r>
          </w:p>
        </w:tc>
      </w:tr>
      <w:tr w:rsidR="00963D1D" w:rsidRPr="00A52F7C" w14:paraId="540708EF" w14:textId="77777777" w:rsidTr="00C85E0A">
        <w:trPr>
          <w:trHeight w:val="300"/>
          <w:jc w:val="center"/>
        </w:trPr>
        <w:tc>
          <w:tcPr>
            <w:tcW w:w="1297" w:type="dxa"/>
            <w:tcBorders>
              <w:top w:val="nil"/>
              <w:left w:val="nil"/>
              <w:bottom w:val="nil"/>
              <w:right w:val="nil"/>
            </w:tcBorders>
            <w:shd w:val="clear" w:color="auto" w:fill="auto"/>
            <w:noWrap/>
            <w:vAlign w:val="center"/>
            <w:hideMark/>
          </w:tcPr>
          <w:p w14:paraId="39C896AA" w14:textId="77777777" w:rsidR="00963D1D" w:rsidRPr="00A52F7C" w:rsidRDefault="00963D1D" w:rsidP="005169F6">
            <w:pPr>
              <w:pStyle w:val="ExhibitText"/>
              <w:jc w:val="left"/>
              <w:rPr>
                <w:rFonts w:eastAsia="SimSun"/>
                <w:b/>
                <w:bCs/>
                <w:lang w:eastAsia="zh-CN"/>
              </w:rPr>
            </w:pPr>
            <w:r w:rsidRPr="00A52F7C">
              <w:rPr>
                <w:rFonts w:eastAsia="SimSun"/>
                <w:lang w:eastAsia="zh-CN"/>
              </w:rPr>
              <w:t>Vietnam</w:t>
            </w:r>
          </w:p>
        </w:tc>
        <w:tc>
          <w:tcPr>
            <w:tcW w:w="1268" w:type="dxa"/>
            <w:tcBorders>
              <w:top w:val="nil"/>
              <w:left w:val="nil"/>
              <w:bottom w:val="nil"/>
              <w:right w:val="nil"/>
            </w:tcBorders>
            <w:shd w:val="clear" w:color="auto" w:fill="auto"/>
            <w:noWrap/>
            <w:vAlign w:val="center"/>
            <w:hideMark/>
          </w:tcPr>
          <w:p w14:paraId="5F48CAB4" w14:textId="77777777" w:rsidR="00963D1D" w:rsidRPr="00A52F7C" w:rsidRDefault="00963D1D" w:rsidP="00C85E0A">
            <w:pPr>
              <w:pStyle w:val="ExhibitText"/>
              <w:jc w:val="center"/>
              <w:rPr>
                <w:rFonts w:eastAsia="SimSun"/>
                <w:b/>
                <w:bCs/>
                <w:lang w:eastAsia="zh-CN"/>
              </w:rPr>
            </w:pPr>
            <w:r w:rsidRPr="00A52F7C">
              <w:rPr>
                <w:rFonts w:eastAsia="SimSun"/>
                <w:lang w:eastAsia="zh-CN"/>
              </w:rPr>
              <w:t>44</w:t>
            </w:r>
          </w:p>
        </w:tc>
        <w:tc>
          <w:tcPr>
            <w:tcW w:w="1268" w:type="dxa"/>
            <w:tcBorders>
              <w:top w:val="nil"/>
              <w:left w:val="nil"/>
              <w:bottom w:val="nil"/>
              <w:right w:val="nil"/>
            </w:tcBorders>
            <w:shd w:val="clear" w:color="auto" w:fill="auto"/>
            <w:noWrap/>
            <w:vAlign w:val="center"/>
            <w:hideMark/>
          </w:tcPr>
          <w:p w14:paraId="06953828" w14:textId="77777777" w:rsidR="00963D1D" w:rsidRPr="00A52F7C" w:rsidRDefault="00963D1D" w:rsidP="00C85E0A">
            <w:pPr>
              <w:pStyle w:val="ExhibitText"/>
              <w:jc w:val="center"/>
              <w:rPr>
                <w:rFonts w:eastAsia="SimSun"/>
                <w:b/>
                <w:bCs/>
                <w:lang w:eastAsia="zh-CN"/>
              </w:rPr>
            </w:pPr>
            <w:r w:rsidRPr="00A52F7C">
              <w:rPr>
                <w:rFonts w:eastAsia="SimSun"/>
                <w:lang w:eastAsia="zh-CN"/>
              </w:rPr>
              <w:t>82</w:t>
            </w:r>
          </w:p>
        </w:tc>
        <w:tc>
          <w:tcPr>
            <w:tcW w:w="1412" w:type="dxa"/>
            <w:tcBorders>
              <w:top w:val="nil"/>
              <w:left w:val="nil"/>
              <w:bottom w:val="nil"/>
              <w:right w:val="nil"/>
            </w:tcBorders>
            <w:shd w:val="clear" w:color="auto" w:fill="auto"/>
            <w:noWrap/>
            <w:vAlign w:val="center"/>
            <w:hideMark/>
          </w:tcPr>
          <w:p w14:paraId="25980510" w14:textId="77777777" w:rsidR="00963D1D" w:rsidRPr="00A52F7C" w:rsidRDefault="00963D1D" w:rsidP="00C85E0A">
            <w:pPr>
              <w:pStyle w:val="ExhibitText"/>
              <w:jc w:val="center"/>
              <w:rPr>
                <w:rFonts w:eastAsia="SimSun"/>
                <w:b/>
                <w:bCs/>
                <w:lang w:eastAsia="zh-CN"/>
              </w:rPr>
            </w:pPr>
            <w:r w:rsidRPr="00A52F7C">
              <w:rPr>
                <w:rFonts w:eastAsia="SimSun"/>
                <w:lang w:eastAsia="zh-CN"/>
              </w:rPr>
              <w:t>13</w:t>
            </w:r>
          </w:p>
        </w:tc>
      </w:tr>
      <w:tr w:rsidR="00963D1D" w:rsidRPr="00A52F7C" w14:paraId="6F7E183F" w14:textId="77777777" w:rsidTr="00C85E0A">
        <w:trPr>
          <w:trHeight w:val="300"/>
          <w:jc w:val="center"/>
        </w:trPr>
        <w:tc>
          <w:tcPr>
            <w:tcW w:w="1297" w:type="dxa"/>
            <w:tcBorders>
              <w:top w:val="nil"/>
              <w:left w:val="nil"/>
              <w:bottom w:val="nil"/>
              <w:right w:val="nil"/>
            </w:tcBorders>
            <w:shd w:val="clear" w:color="auto" w:fill="auto"/>
            <w:noWrap/>
            <w:vAlign w:val="center"/>
            <w:hideMark/>
          </w:tcPr>
          <w:p w14:paraId="2CEE95A9" w14:textId="77777777" w:rsidR="00963D1D" w:rsidRPr="00A52F7C" w:rsidRDefault="00963D1D" w:rsidP="005169F6">
            <w:pPr>
              <w:pStyle w:val="ExhibitText"/>
              <w:jc w:val="left"/>
              <w:rPr>
                <w:rFonts w:eastAsia="SimSun"/>
                <w:b/>
                <w:bCs/>
                <w:lang w:eastAsia="zh-CN"/>
              </w:rPr>
            </w:pPr>
            <w:r w:rsidRPr="00A52F7C">
              <w:rPr>
                <w:rFonts w:eastAsia="SimSun"/>
                <w:lang w:eastAsia="zh-CN"/>
              </w:rPr>
              <w:t>Thailand</w:t>
            </w:r>
          </w:p>
        </w:tc>
        <w:tc>
          <w:tcPr>
            <w:tcW w:w="1268" w:type="dxa"/>
            <w:tcBorders>
              <w:top w:val="nil"/>
              <w:left w:val="nil"/>
              <w:bottom w:val="nil"/>
              <w:right w:val="nil"/>
            </w:tcBorders>
            <w:shd w:val="clear" w:color="auto" w:fill="auto"/>
            <w:noWrap/>
            <w:vAlign w:val="center"/>
            <w:hideMark/>
          </w:tcPr>
          <w:p w14:paraId="57F05041" w14:textId="77777777" w:rsidR="00963D1D" w:rsidRPr="00A52F7C" w:rsidRDefault="00963D1D" w:rsidP="00C85E0A">
            <w:pPr>
              <w:pStyle w:val="ExhibitText"/>
              <w:jc w:val="center"/>
              <w:rPr>
                <w:rFonts w:eastAsia="SimSun"/>
                <w:b/>
                <w:bCs/>
                <w:lang w:eastAsia="zh-CN"/>
              </w:rPr>
            </w:pPr>
            <w:r w:rsidRPr="00A52F7C">
              <w:rPr>
                <w:rFonts w:eastAsia="SimSun"/>
                <w:lang w:eastAsia="zh-CN"/>
              </w:rPr>
              <w:t>38</w:t>
            </w:r>
          </w:p>
        </w:tc>
        <w:tc>
          <w:tcPr>
            <w:tcW w:w="1268" w:type="dxa"/>
            <w:tcBorders>
              <w:top w:val="nil"/>
              <w:left w:val="nil"/>
              <w:bottom w:val="nil"/>
              <w:right w:val="nil"/>
            </w:tcBorders>
            <w:shd w:val="clear" w:color="auto" w:fill="auto"/>
            <w:noWrap/>
            <w:vAlign w:val="center"/>
            <w:hideMark/>
          </w:tcPr>
          <w:p w14:paraId="3943C1FA" w14:textId="77777777" w:rsidR="00963D1D" w:rsidRPr="00A52F7C" w:rsidRDefault="00963D1D" w:rsidP="00C85E0A">
            <w:pPr>
              <w:pStyle w:val="ExhibitText"/>
              <w:jc w:val="center"/>
              <w:rPr>
                <w:rFonts w:eastAsia="SimSun"/>
                <w:b/>
                <w:bCs/>
                <w:lang w:eastAsia="zh-CN"/>
              </w:rPr>
            </w:pPr>
            <w:r w:rsidRPr="00A52F7C">
              <w:rPr>
                <w:rFonts w:eastAsia="SimSun"/>
                <w:lang w:eastAsia="zh-CN"/>
              </w:rPr>
              <w:t>59</w:t>
            </w:r>
          </w:p>
        </w:tc>
        <w:tc>
          <w:tcPr>
            <w:tcW w:w="1412" w:type="dxa"/>
            <w:tcBorders>
              <w:top w:val="nil"/>
              <w:left w:val="nil"/>
              <w:bottom w:val="nil"/>
              <w:right w:val="nil"/>
            </w:tcBorders>
            <w:shd w:val="clear" w:color="auto" w:fill="auto"/>
            <w:noWrap/>
            <w:vAlign w:val="center"/>
            <w:hideMark/>
          </w:tcPr>
          <w:p w14:paraId="77757107" w14:textId="77777777" w:rsidR="00963D1D" w:rsidRPr="00A52F7C" w:rsidRDefault="00963D1D" w:rsidP="00C85E0A">
            <w:pPr>
              <w:pStyle w:val="ExhibitText"/>
              <w:jc w:val="center"/>
              <w:rPr>
                <w:rFonts w:eastAsia="SimSun"/>
                <w:b/>
                <w:bCs/>
                <w:lang w:eastAsia="zh-CN"/>
              </w:rPr>
            </w:pPr>
            <w:r w:rsidRPr="00A52F7C">
              <w:rPr>
                <w:rFonts w:eastAsia="SimSun"/>
                <w:lang w:eastAsia="zh-CN"/>
              </w:rPr>
              <w:t>9</w:t>
            </w:r>
          </w:p>
        </w:tc>
      </w:tr>
      <w:tr w:rsidR="00963D1D" w:rsidRPr="00A52F7C" w14:paraId="10C3FC46" w14:textId="77777777" w:rsidTr="00C85E0A">
        <w:trPr>
          <w:trHeight w:val="300"/>
          <w:jc w:val="center"/>
        </w:trPr>
        <w:tc>
          <w:tcPr>
            <w:tcW w:w="1297" w:type="dxa"/>
            <w:tcBorders>
              <w:top w:val="nil"/>
              <w:left w:val="nil"/>
              <w:bottom w:val="nil"/>
              <w:right w:val="nil"/>
            </w:tcBorders>
            <w:shd w:val="clear" w:color="auto" w:fill="auto"/>
            <w:noWrap/>
            <w:vAlign w:val="center"/>
            <w:hideMark/>
          </w:tcPr>
          <w:p w14:paraId="537508B8" w14:textId="77777777" w:rsidR="00963D1D" w:rsidRPr="00A52F7C" w:rsidRDefault="00963D1D" w:rsidP="005169F6">
            <w:pPr>
              <w:pStyle w:val="ExhibitText"/>
              <w:jc w:val="left"/>
              <w:rPr>
                <w:rFonts w:eastAsia="SimSun"/>
                <w:b/>
                <w:bCs/>
                <w:lang w:eastAsia="zh-CN"/>
              </w:rPr>
            </w:pPr>
            <w:r w:rsidRPr="00A52F7C">
              <w:rPr>
                <w:rFonts w:eastAsia="SimSun"/>
                <w:lang w:eastAsia="zh-CN"/>
              </w:rPr>
              <w:t>Malaysia</w:t>
            </w:r>
          </w:p>
        </w:tc>
        <w:tc>
          <w:tcPr>
            <w:tcW w:w="1268" w:type="dxa"/>
            <w:tcBorders>
              <w:top w:val="nil"/>
              <w:left w:val="nil"/>
              <w:bottom w:val="nil"/>
              <w:right w:val="nil"/>
            </w:tcBorders>
            <w:shd w:val="clear" w:color="auto" w:fill="auto"/>
            <w:noWrap/>
            <w:vAlign w:val="center"/>
            <w:hideMark/>
          </w:tcPr>
          <w:p w14:paraId="4BDC60F8" w14:textId="77777777" w:rsidR="00963D1D" w:rsidRPr="00A52F7C" w:rsidRDefault="00963D1D" w:rsidP="00C85E0A">
            <w:pPr>
              <w:pStyle w:val="ExhibitText"/>
              <w:jc w:val="center"/>
              <w:rPr>
                <w:rFonts w:eastAsia="SimSun"/>
                <w:b/>
                <w:bCs/>
                <w:lang w:eastAsia="zh-CN"/>
              </w:rPr>
            </w:pPr>
            <w:r w:rsidRPr="00A52F7C">
              <w:rPr>
                <w:rFonts w:eastAsia="SimSun"/>
                <w:lang w:eastAsia="zh-CN"/>
              </w:rPr>
              <w:t>22</w:t>
            </w:r>
          </w:p>
        </w:tc>
        <w:tc>
          <w:tcPr>
            <w:tcW w:w="1268" w:type="dxa"/>
            <w:tcBorders>
              <w:top w:val="nil"/>
              <w:left w:val="nil"/>
              <w:bottom w:val="nil"/>
              <w:right w:val="nil"/>
            </w:tcBorders>
            <w:shd w:val="clear" w:color="auto" w:fill="auto"/>
            <w:noWrap/>
            <w:vAlign w:val="center"/>
            <w:hideMark/>
          </w:tcPr>
          <w:p w14:paraId="6080FA09" w14:textId="77777777" w:rsidR="00963D1D" w:rsidRPr="00A52F7C" w:rsidRDefault="00963D1D" w:rsidP="00C85E0A">
            <w:pPr>
              <w:pStyle w:val="ExhibitText"/>
              <w:jc w:val="center"/>
              <w:rPr>
                <w:rFonts w:eastAsia="SimSun"/>
                <w:b/>
                <w:bCs/>
                <w:lang w:eastAsia="zh-CN"/>
              </w:rPr>
            </w:pPr>
            <w:r w:rsidRPr="00A52F7C">
              <w:rPr>
                <w:rFonts w:eastAsia="SimSun"/>
                <w:lang w:eastAsia="zh-CN"/>
              </w:rPr>
              <w:t>28</w:t>
            </w:r>
          </w:p>
        </w:tc>
        <w:tc>
          <w:tcPr>
            <w:tcW w:w="1412" w:type="dxa"/>
            <w:tcBorders>
              <w:top w:val="nil"/>
              <w:left w:val="nil"/>
              <w:bottom w:val="nil"/>
              <w:right w:val="nil"/>
            </w:tcBorders>
            <w:shd w:val="clear" w:color="auto" w:fill="auto"/>
            <w:noWrap/>
            <w:vAlign w:val="center"/>
            <w:hideMark/>
          </w:tcPr>
          <w:p w14:paraId="4F051358" w14:textId="77777777" w:rsidR="00963D1D" w:rsidRPr="00A52F7C" w:rsidRDefault="00963D1D" w:rsidP="00C85E0A">
            <w:pPr>
              <w:pStyle w:val="ExhibitText"/>
              <w:jc w:val="center"/>
              <w:rPr>
                <w:rFonts w:eastAsia="SimSun"/>
                <w:b/>
                <w:bCs/>
                <w:lang w:eastAsia="zh-CN"/>
              </w:rPr>
            </w:pPr>
            <w:r w:rsidRPr="00A52F7C">
              <w:rPr>
                <w:rFonts w:eastAsia="SimSun"/>
                <w:lang w:eastAsia="zh-CN"/>
              </w:rPr>
              <w:t>5</w:t>
            </w:r>
          </w:p>
        </w:tc>
      </w:tr>
      <w:tr w:rsidR="00963D1D" w:rsidRPr="00A52F7C" w14:paraId="4869E554" w14:textId="77777777" w:rsidTr="00C85E0A">
        <w:trPr>
          <w:trHeight w:val="300"/>
          <w:jc w:val="center"/>
        </w:trPr>
        <w:tc>
          <w:tcPr>
            <w:tcW w:w="1297" w:type="dxa"/>
            <w:tcBorders>
              <w:top w:val="nil"/>
              <w:left w:val="nil"/>
              <w:bottom w:val="single" w:sz="4" w:space="0" w:color="auto"/>
              <w:right w:val="nil"/>
            </w:tcBorders>
            <w:shd w:val="clear" w:color="auto" w:fill="auto"/>
            <w:noWrap/>
            <w:vAlign w:val="center"/>
            <w:hideMark/>
          </w:tcPr>
          <w:p w14:paraId="49B1D315" w14:textId="77777777" w:rsidR="00963D1D" w:rsidRPr="00A52F7C" w:rsidRDefault="00963D1D" w:rsidP="005169F6">
            <w:pPr>
              <w:pStyle w:val="ExhibitText"/>
              <w:jc w:val="left"/>
              <w:rPr>
                <w:rFonts w:eastAsia="SimSun"/>
                <w:b/>
                <w:bCs/>
                <w:lang w:eastAsia="zh-CN"/>
              </w:rPr>
            </w:pPr>
            <w:r w:rsidRPr="00A52F7C">
              <w:rPr>
                <w:rFonts w:eastAsia="SimSun"/>
                <w:lang w:eastAsia="zh-CN"/>
              </w:rPr>
              <w:t>Singapore</w:t>
            </w:r>
          </w:p>
        </w:tc>
        <w:tc>
          <w:tcPr>
            <w:tcW w:w="1268" w:type="dxa"/>
            <w:tcBorders>
              <w:top w:val="nil"/>
              <w:left w:val="nil"/>
              <w:bottom w:val="single" w:sz="4" w:space="0" w:color="auto"/>
              <w:right w:val="nil"/>
            </w:tcBorders>
            <w:shd w:val="clear" w:color="auto" w:fill="auto"/>
            <w:noWrap/>
            <w:vAlign w:val="center"/>
            <w:hideMark/>
          </w:tcPr>
          <w:p w14:paraId="45FBBBAC" w14:textId="77777777" w:rsidR="00963D1D" w:rsidRPr="00A52F7C" w:rsidRDefault="00963D1D" w:rsidP="00C85E0A">
            <w:pPr>
              <w:pStyle w:val="ExhibitText"/>
              <w:jc w:val="center"/>
              <w:rPr>
                <w:rFonts w:eastAsia="SimSun"/>
                <w:b/>
                <w:bCs/>
                <w:lang w:eastAsia="zh-CN"/>
              </w:rPr>
            </w:pPr>
            <w:r w:rsidRPr="00A52F7C">
              <w:rPr>
                <w:rFonts w:eastAsia="SimSun"/>
                <w:lang w:eastAsia="zh-CN"/>
              </w:rPr>
              <w:t>5</w:t>
            </w:r>
          </w:p>
        </w:tc>
        <w:tc>
          <w:tcPr>
            <w:tcW w:w="1268" w:type="dxa"/>
            <w:tcBorders>
              <w:top w:val="nil"/>
              <w:left w:val="nil"/>
              <w:bottom w:val="single" w:sz="4" w:space="0" w:color="auto"/>
              <w:right w:val="nil"/>
            </w:tcBorders>
            <w:shd w:val="clear" w:color="auto" w:fill="auto"/>
            <w:noWrap/>
            <w:vAlign w:val="center"/>
            <w:hideMark/>
          </w:tcPr>
          <w:p w14:paraId="655B96AA" w14:textId="77777777" w:rsidR="00963D1D" w:rsidRPr="00A52F7C" w:rsidRDefault="00963D1D" w:rsidP="00C85E0A">
            <w:pPr>
              <w:pStyle w:val="ExhibitText"/>
              <w:jc w:val="center"/>
              <w:rPr>
                <w:rFonts w:eastAsia="SimSun"/>
                <w:b/>
                <w:bCs/>
                <w:lang w:eastAsia="zh-CN"/>
              </w:rPr>
            </w:pPr>
            <w:r w:rsidRPr="00A52F7C">
              <w:rPr>
                <w:rFonts w:eastAsia="SimSun"/>
                <w:lang w:eastAsia="zh-CN"/>
              </w:rPr>
              <w:t>6</w:t>
            </w:r>
          </w:p>
        </w:tc>
        <w:tc>
          <w:tcPr>
            <w:tcW w:w="1412" w:type="dxa"/>
            <w:tcBorders>
              <w:top w:val="nil"/>
              <w:left w:val="nil"/>
              <w:bottom w:val="single" w:sz="4" w:space="0" w:color="auto"/>
              <w:right w:val="nil"/>
            </w:tcBorders>
            <w:shd w:val="clear" w:color="auto" w:fill="auto"/>
            <w:noWrap/>
            <w:vAlign w:val="center"/>
            <w:hideMark/>
          </w:tcPr>
          <w:p w14:paraId="05AFE827" w14:textId="77777777" w:rsidR="00963D1D" w:rsidRPr="00A52F7C" w:rsidRDefault="00963D1D" w:rsidP="00C85E0A">
            <w:pPr>
              <w:pStyle w:val="ExhibitText"/>
              <w:jc w:val="center"/>
              <w:rPr>
                <w:rFonts w:eastAsia="SimSun"/>
                <w:b/>
                <w:bCs/>
                <w:lang w:eastAsia="zh-CN"/>
              </w:rPr>
            </w:pPr>
            <w:r w:rsidRPr="00A52F7C">
              <w:rPr>
                <w:rFonts w:eastAsia="SimSun"/>
                <w:lang w:eastAsia="zh-CN"/>
              </w:rPr>
              <w:t>3</w:t>
            </w:r>
          </w:p>
        </w:tc>
      </w:tr>
    </w:tbl>
    <w:p w14:paraId="6DF8FFFA" w14:textId="77777777" w:rsidR="0022597C" w:rsidRDefault="0022597C" w:rsidP="005169F6">
      <w:pPr>
        <w:pStyle w:val="ExhibitText"/>
        <w:rPr>
          <w:lang w:eastAsia="zh-CN"/>
        </w:rPr>
      </w:pPr>
    </w:p>
    <w:tbl>
      <w:tblPr>
        <w:tblW w:w="4474" w:type="dxa"/>
        <w:jc w:val="center"/>
        <w:tblLook w:val="04A0" w:firstRow="1" w:lastRow="0" w:firstColumn="1" w:lastColumn="0" w:noHBand="0" w:noVBand="1"/>
      </w:tblPr>
      <w:tblGrid>
        <w:gridCol w:w="1755"/>
        <w:gridCol w:w="2719"/>
      </w:tblGrid>
      <w:tr w:rsidR="009F2DCC" w:rsidRPr="009F2DCC" w14:paraId="401C9ACA" w14:textId="77777777" w:rsidTr="00EB7706">
        <w:trPr>
          <w:trHeight w:val="240"/>
          <w:jc w:val="center"/>
        </w:trPr>
        <w:tc>
          <w:tcPr>
            <w:tcW w:w="1755" w:type="dxa"/>
            <w:vMerge w:val="restart"/>
            <w:tcBorders>
              <w:top w:val="single" w:sz="4" w:space="0" w:color="auto"/>
              <w:left w:val="nil"/>
              <w:bottom w:val="single" w:sz="4" w:space="0" w:color="000000"/>
              <w:right w:val="nil"/>
            </w:tcBorders>
            <w:shd w:val="clear" w:color="auto" w:fill="auto"/>
            <w:noWrap/>
            <w:vAlign w:val="center"/>
            <w:hideMark/>
          </w:tcPr>
          <w:p w14:paraId="55A5B50C" w14:textId="77777777" w:rsidR="009F2DCC" w:rsidRPr="009F2DCC" w:rsidRDefault="009F2DCC" w:rsidP="00EB7706">
            <w:pPr>
              <w:pStyle w:val="ExhibitText"/>
              <w:jc w:val="left"/>
              <w:rPr>
                <w:rFonts w:eastAsia="SimSun"/>
                <w:lang w:eastAsia="zh-CN"/>
              </w:rPr>
            </w:pPr>
            <w:r w:rsidRPr="009F2DCC">
              <w:rPr>
                <w:rFonts w:eastAsia="SimSun"/>
                <w:lang w:eastAsia="zh-CN"/>
              </w:rPr>
              <w:t>Region</w:t>
            </w:r>
          </w:p>
        </w:tc>
        <w:tc>
          <w:tcPr>
            <w:tcW w:w="2719" w:type="dxa"/>
            <w:tcBorders>
              <w:top w:val="single" w:sz="4" w:space="0" w:color="auto"/>
              <w:left w:val="nil"/>
              <w:bottom w:val="nil"/>
              <w:right w:val="nil"/>
            </w:tcBorders>
            <w:shd w:val="clear" w:color="auto" w:fill="auto"/>
            <w:noWrap/>
            <w:vAlign w:val="center"/>
            <w:hideMark/>
          </w:tcPr>
          <w:p w14:paraId="511F7D74" w14:textId="77777777" w:rsidR="009F2DCC" w:rsidRPr="009F2DCC" w:rsidRDefault="009F2DCC" w:rsidP="00EB7706">
            <w:pPr>
              <w:pStyle w:val="ExhibitText"/>
              <w:jc w:val="center"/>
              <w:rPr>
                <w:rFonts w:eastAsia="SimSun"/>
                <w:lang w:eastAsia="zh-CN"/>
              </w:rPr>
            </w:pPr>
            <w:r w:rsidRPr="009F2DCC">
              <w:rPr>
                <w:rFonts w:eastAsia="SimSun"/>
                <w:lang w:eastAsia="zh-CN"/>
              </w:rPr>
              <w:t>Growth in Internet Users</w:t>
            </w:r>
          </w:p>
        </w:tc>
      </w:tr>
      <w:tr w:rsidR="009F2DCC" w:rsidRPr="009F2DCC" w14:paraId="75F6F0EC" w14:textId="77777777" w:rsidTr="00EB7706">
        <w:trPr>
          <w:trHeight w:val="240"/>
          <w:jc w:val="center"/>
        </w:trPr>
        <w:tc>
          <w:tcPr>
            <w:tcW w:w="1755" w:type="dxa"/>
            <w:vMerge/>
            <w:tcBorders>
              <w:top w:val="single" w:sz="4" w:space="0" w:color="auto"/>
              <w:left w:val="nil"/>
              <w:bottom w:val="single" w:sz="4" w:space="0" w:color="000000"/>
              <w:right w:val="nil"/>
            </w:tcBorders>
            <w:vAlign w:val="center"/>
            <w:hideMark/>
          </w:tcPr>
          <w:p w14:paraId="246B1472" w14:textId="77777777" w:rsidR="009F2DCC" w:rsidRPr="009F2DCC" w:rsidRDefault="009F2DCC" w:rsidP="00EB7706">
            <w:pPr>
              <w:pStyle w:val="ExhibitText"/>
              <w:jc w:val="left"/>
              <w:rPr>
                <w:rFonts w:eastAsia="SimSun"/>
                <w:lang w:eastAsia="zh-CN"/>
              </w:rPr>
            </w:pPr>
          </w:p>
        </w:tc>
        <w:tc>
          <w:tcPr>
            <w:tcW w:w="2719" w:type="dxa"/>
            <w:tcBorders>
              <w:top w:val="nil"/>
              <w:left w:val="nil"/>
              <w:bottom w:val="single" w:sz="4" w:space="0" w:color="auto"/>
              <w:right w:val="nil"/>
            </w:tcBorders>
            <w:shd w:val="clear" w:color="auto" w:fill="auto"/>
            <w:noWrap/>
            <w:vAlign w:val="center"/>
            <w:hideMark/>
          </w:tcPr>
          <w:p w14:paraId="3AFC23D2" w14:textId="77777777" w:rsidR="009F2DCC" w:rsidRPr="009F2DCC" w:rsidRDefault="009F2DCC" w:rsidP="00EB7706">
            <w:pPr>
              <w:pStyle w:val="ExhibitText"/>
              <w:jc w:val="center"/>
              <w:rPr>
                <w:rFonts w:eastAsia="SimSun"/>
                <w:lang w:eastAsia="zh-CN"/>
              </w:rPr>
            </w:pPr>
            <w:r w:rsidRPr="009F2DCC">
              <w:rPr>
                <w:rFonts w:eastAsia="SimSun"/>
                <w:lang w:eastAsia="zh-CN"/>
              </w:rPr>
              <w:t>(CAGR%, Year 2015–2020)</w:t>
            </w:r>
          </w:p>
        </w:tc>
      </w:tr>
      <w:tr w:rsidR="009F2DCC" w:rsidRPr="009F2DCC" w14:paraId="0C0EDFA0" w14:textId="77777777" w:rsidTr="00EB7706">
        <w:trPr>
          <w:trHeight w:val="240"/>
          <w:jc w:val="center"/>
        </w:trPr>
        <w:tc>
          <w:tcPr>
            <w:tcW w:w="1755" w:type="dxa"/>
            <w:tcBorders>
              <w:top w:val="nil"/>
              <w:left w:val="nil"/>
              <w:bottom w:val="nil"/>
              <w:right w:val="nil"/>
            </w:tcBorders>
            <w:shd w:val="clear" w:color="auto" w:fill="auto"/>
            <w:noWrap/>
            <w:vAlign w:val="center"/>
            <w:hideMark/>
          </w:tcPr>
          <w:p w14:paraId="1D85926F" w14:textId="77777777" w:rsidR="009F2DCC" w:rsidRPr="009F2DCC" w:rsidRDefault="009F2DCC" w:rsidP="005169F6">
            <w:pPr>
              <w:pStyle w:val="ExhibitText"/>
              <w:jc w:val="left"/>
              <w:rPr>
                <w:rFonts w:eastAsia="SimSun"/>
                <w:lang w:eastAsia="zh-CN"/>
              </w:rPr>
            </w:pPr>
            <w:r w:rsidRPr="009F2DCC">
              <w:rPr>
                <w:rFonts w:eastAsia="SimSun"/>
                <w:lang w:eastAsia="zh-CN"/>
              </w:rPr>
              <w:t>Southeast Asia</w:t>
            </w:r>
          </w:p>
        </w:tc>
        <w:tc>
          <w:tcPr>
            <w:tcW w:w="2719" w:type="dxa"/>
            <w:tcBorders>
              <w:top w:val="nil"/>
              <w:left w:val="nil"/>
              <w:bottom w:val="nil"/>
              <w:right w:val="nil"/>
            </w:tcBorders>
            <w:shd w:val="clear" w:color="auto" w:fill="auto"/>
            <w:noWrap/>
            <w:vAlign w:val="center"/>
            <w:hideMark/>
          </w:tcPr>
          <w:p w14:paraId="284F7A2D" w14:textId="77777777" w:rsidR="009F2DCC" w:rsidRPr="009F2DCC" w:rsidRDefault="009F2DCC" w:rsidP="00EB7706">
            <w:pPr>
              <w:pStyle w:val="ExhibitText"/>
              <w:jc w:val="center"/>
              <w:rPr>
                <w:rFonts w:eastAsia="SimSun"/>
                <w:lang w:eastAsia="zh-CN"/>
              </w:rPr>
            </w:pPr>
            <w:r w:rsidRPr="009F2DCC">
              <w:rPr>
                <w:rFonts w:eastAsia="SimSun"/>
                <w:lang w:eastAsia="zh-CN"/>
              </w:rPr>
              <w:t>14</w:t>
            </w:r>
          </w:p>
        </w:tc>
      </w:tr>
      <w:tr w:rsidR="009F2DCC" w:rsidRPr="009F2DCC" w14:paraId="2DF521F3" w14:textId="77777777" w:rsidTr="00EB7706">
        <w:trPr>
          <w:trHeight w:val="240"/>
          <w:jc w:val="center"/>
        </w:trPr>
        <w:tc>
          <w:tcPr>
            <w:tcW w:w="1755" w:type="dxa"/>
            <w:tcBorders>
              <w:top w:val="nil"/>
              <w:left w:val="nil"/>
              <w:bottom w:val="nil"/>
              <w:right w:val="nil"/>
            </w:tcBorders>
            <w:shd w:val="clear" w:color="auto" w:fill="auto"/>
            <w:noWrap/>
            <w:vAlign w:val="center"/>
            <w:hideMark/>
          </w:tcPr>
          <w:p w14:paraId="31A5B758" w14:textId="77777777" w:rsidR="009F2DCC" w:rsidRPr="009F2DCC" w:rsidRDefault="009F2DCC" w:rsidP="005169F6">
            <w:pPr>
              <w:pStyle w:val="ExhibitText"/>
              <w:jc w:val="left"/>
              <w:rPr>
                <w:rFonts w:eastAsia="SimSun"/>
                <w:lang w:eastAsia="zh-CN"/>
              </w:rPr>
            </w:pPr>
            <w:r w:rsidRPr="009F2DCC">
              <w:rPr>
                <w:rFonts w:eastAsia="SimSun"/>
                <w:lang w:eastAsia="zh-CN"/>
              </w:rPr>
              <w:t>India</w:t>
            </w:r>
          </w:p>
        </w:tc>
        <w:tc>
          <w:tcPr>
            <w:tcW w:w="2719" w:type="dxa"/>
            <w:tcBorders>
              <w:top w:val="nil"/>
              <w:left w:val="nil"/>
              <w:bottom w:val="nil"/>
              <w:right w:val="nil"/>
            </w:tcBorders>
            <w:shd w:val="clear" w:color="auto" w:fill="auto"/>
            <w:noWrap/>
            <w:vAlign w:val="center"/>
            <w:hideMark/>
          </w:tcPr>
          <w:p w14:paraId="3D7789FA" w14:textId="77777777" w:rsidR="009F2DCC" w:rsidRPr="009F2DCC" w:rsidRDefault="009F2DCC" w:rsidP="00EB7706">
            <w:pPr>
              <w:pStyle w:val="ExhibitText"/>
              <w:jc w:val="center"/>
              <w:rPr>
                <w:rFonts w:eastAsia="SimSun"/>
                <w:lang w:eastAsia="zh-CN"/>
              </w:rPr>
            </w:pPr>
            <w:r w:rsidRPr="009F2DCC">
              <w:rPr>
                <w:rFonts w:eastAsia="SimSun"/>
                <w:lang w:eastAsia="zh-CN"/>
              </w:rPr>
              <w:t>14</w:t>
            </w:r>
          </w:p>
        </w:tc>
      </w:tr>
      <w:tr w:rsidR="009F2DCC" w:rsidRPr="009F2DCC" w14:paraId="18111128" w14:textId="77777777" w:rsidTr="00EB7706">
        <w:trPr>
          <w:trHeight w:val="240"/>
          <w:jc w:val="center"/>
        </w:trPr>
        <w:tc>
          <w:tcPr>
            <w:tcW w:w="1755" w:type="dxa"/>
            <w:tcBorders>
              <w:top w:val="nil"/>
              <w:left w:val="nil"/>
              <w:bottom w:val="nil"/>
              <w:right w:val="nil"/>
            </w:tcBorders>
            <w:shd w:val="clear" w:color="auto" w:fill="auto"/>
            <w:noWrap/>
            <w:vAlign w:val="center"/>
            <w:hideMark/>
          </w:tcPr>
          <w:p w14:paraId="302430DC" w14:textId="77777777" w:rsidR="009F2DCC" w:rsidRPr="009F2DCC" w:rsidRDefault="009F2DCC" w:rsidP="005169F6">
            <w:pPr>
              <w:pStyle w:val="ExhibitText"/>
              <w:jc w:val="left"/>
              <w:rPr>
                <w:rFonts w:eastAsia="SimSun"/>
                <w:lang w:eastAsia="zh-CN"/>
              </w:rPr>
            </w:pPr>
            <w:r w:rsidRPr="009F2DCC">
              <w:rPr>
                <w:rFonts w:eastAsia="SimSun"/>
                <w:lang w:eastAsia="zh-CN"/>
              </w:rPr>
              <w:t>China</w:t>
            </w:r>
          </w:p>
        </w:tc>
        <w:tc>
          <w:tcPr>
            <w:tcW w:w="2719" w:type="dxa"/>
            <w:tcBorders>
              <w:top w:val="nil"/>
              <w:left w:val="nil"/>
              <w:bottom w:val="nil"/>
              <w:right w:val="nil"/>
            </w:tcBorders>
            <w:shd w:val="clear" w:color="auto" w:fill="auto"/>
            <w:noWrap/>
            <w:vAlign w:val="center"/>
            <w:hideMark/>
          </w:tcPr>
          <w:p w14:paraId="777329A2" w14:textId="77777777" w:rsidR="009F2DCC" w:rsidRPr="009F2DCC" w:rsidRDefault="009F2DCC" w:rsidP="00EB7706">
            <w:pPr>
              <w:pStyle w:val="ExhibitText"/>
              <w:jc w:val="center"/>
              <w:rPr>
                <w:rFonts w:eastAsia="SimSun"/>
                <w:lang w:eastAsia="zh-CN"/>
              </w:rPr>
            </w:pPr>
            <w:r w:rsidRPr="009F2DCC">
              <w:rPr>
                <w:rFonts w:eastAsia="SimSun"/>
                <w:lang w:eastAsia="zh-CN"/>
              </w:rPr>
              <w:t>10</w:t>
            </w:r>
          </w:p>
        </w:tc>
      </w:tr>
      <w:tr w:rsidR="009F2DCC" w:rsidRPr="009F2DCC" w14:paraId="10738F15" w14:textId="77777777" w:rsidTr="00EB7706">
        <w:trPr>
          <w:trHeight w:val="240"/>
          <w:jc w:val="center"/>
        </w:trPr>
        <w:tc>
          <w:tcPr>
            <w:tcW w:w="1755" w:type="dxa"/>
            <w:tcBorders>
              <w:top w:val="nil"/>
              <w:left w:val="nil"/>
              <w:bottom w:val="nil"/>
              <w:right w:val="nil"/>
            </w:tcBorders>
            <w:shd w:val="clear" w:color="auto" w:fill="auto"/>
            <w:noWrap/>
            <w:vAlign w:val="center"/>
            <w:hideMark/>
          </w:tcPr>
          <w:p w14:paraId="61CBF52F" w14:textId="77777777" w:rsidR="009F2DCC" w:rsidRPr="009F2DCC" w:rsidRDefault="009F2DCC" w:rsidP="005169F6">
            <w:pPr>
              <w:pStyle w:val="ExhibitText"/>
              <w:jc w:val="left"/>
              <w:rPr>
                <w:rFonts w:eastAsia="SimSun"/>
                <w:lang w:eastAsia="zh-CN"/>
              </w:rPr>
            </w:pPr>
            <w:r w:rsidRPr="009F2DCC">
              <w:rPr>
                <w:rFonts w:eastAsia="SimSun"/>
                <w:lang w:eastAsia="zh-CN"/>
              </w:rPr>
              <w:t>United States</w:t>
            </w:r>
          </w:p>
        </w:tc>
        <w:tc>
          <w:tcPr>
            <w:tcW w:w="2719" w:type="dxa"/>
            <w:tcBorders>
              <w:top w:val="nil"/>
              <w:left w:val="nil"/>
              <w:bottom w:val="nil"/>
              <w:right w:val="nil"/>
            </w:tcBorders>
            <w:shd w:val="clear" w:color="auto" w:fill="auto"/>
            <w:noWrap/>
            <w:vAlign w:val="center"/>
            <w:hideMark/>
          </w:tcPr>
          <w:p w14:paraId="6889FB1E" w14:textId="77777777" w:rsidR="009F2DCC" w:rsidRPr="009F2DCC" w:rsidRDefault="009F2DCC" w:rsidP="00EB7706">
            <w:pPr>
              <w:pStyle w:val="ExhibitText"/>
              <w:jc w:val="center"/>
              <w:rPr>
                <w:rFonts w:eastAsia="SimSun"/>
                <w:lang w:eastAsia="zh-CN"/>
              </w:rPr>
            </w:pPr>
            <w:r w:rsidRPr="009F2DCC">
              <w:rPr>
                <w:rFonts w:eastAsia="SimSun"/>
                <w:lang w:eastAsia="zh-CN"/>
              </w:rPr>
              <w:t>1</w:t>
            </w:r>
          </w:p>
        </w:tc>
      </w:tr>
      <w:tr w:rsidR="009F2DCC" w:rsidRPr="009F2DCC" w14:paraId="6A783E29" w14:textId="77777777" w:rsidTr="00EB7706">
        <w:trPr>
          <w:trHeight w:val="240"/>
          <w:jc w:val="center"/>
        </w:trPr>
        <w:tc>
          <w:tcPr>
            <w:tcW w:w="1755" w:type="dxa"/>
            <w:tcBorders>
              <w:top w:val="nil"/>
              <w:left w:val="nil"/>
              <w:bottom w:val="single" w:sz="4" w:space="0" w:color="auto"/>
              <w:right w:val="nil"/>
            </w:tcBorders>
            <w:shd w:val="clear" w:color="auto" w:fill="auto"/>
            <w:noWrap/>
            <w:vAlign w:val="center"/>
            <w:hideMark/>
          </w:tcPr>
          <w:p w14:paraId="3C44E2A9" w14:textId="77777777" w:rsidR="009F2DCC" w:rsidRPr="009F2DCC" w:rsidRDefault="009F2DCC" w:rsidP="005169F6">
            <w:pPr>
              <w:pStyle w:val="ExhibitText"/>
              <w:jc w:val="left"/>
              <w:rPr>
                <w:rFonts w:eastAsia="SimSun"/>
                <w:lang w:eastAsia="zh-CN"/>
              </w:rPr>
            </w:pPr>
            <w:r w:rsidRPr="009F2DCC">
              <w:rPr>
                <w:rFonts w:eastAsia="SimSun"/>
                <w:lang w:eastAsia="zh-CN"/>
              </w:rPr>
              <w:t>European Union</w:t>
            </w:r>
          </w:p>
        </w:tc>
        <w:tc>
          <w:tcPr>
            <w:tcW w:w="2719" w:type="dxa"/>
            <w:tcBorders>
              <w:top w:val="nil"/>
              <w:left w:val="nil"/>
              <w:bottom w:val="single" w:sz="4" w:space="0" w:color="auto"/>
              <w:right w:val="nil"/>
            </w:tcBorders>
            <w:shd w:val="clear" w:color="auto" w:fill="auto"/>
            <w:noWrap/>
            <w:vAlign w:val="center"/>
            <w:hideMark/>
          </w:tcPr>
          <w:p w14:paraId="39B8328E" w14:textId="77777777" w:rsidR="009F2DCC" w:rsidRPr="009F2DCC" w:rsidRDefault="009F2DCC" w:rsidP="00EB7706">
            <w:pPr>
              <w:pStyle w:val="ExhibitText"/>
              <w:jc w:val="center"/>
              <w:rPr>
                <w:rFonts w:eastAsia="SimSun"/>
                <w:lang w:eastAsia="zh-CN"/>
              </w:rPr>
            </w:pPr>
            <w:r w:rsidRPr="009F2DCC">
              <w:rPr>
                <w:rFonts w:eastAsia="SimSun"/>
                <w:lang w:eastAsia="zh-CN"/>
              </w:rPr>
              <w:t>1</w:t>
            </w:r>
          </w:p>
        </w:tc>
      </w:tr>
    </w:tbl>
    <w:p w14:paraId="218F9418" w14:textId="33D4E5FC" w:rsidR="00963D1D" w:rsidRPr="00A52F7C" w:rsidRDefault="00963D1D" w:rsidP="005169F6">
      <w:pPr>
        <w:pStyle w:val="ExhibitText"/>
      </w:pPr>
    </w:p>
    <w:p w14:paraId="61A1868F" w14:textId="2959812C" w:rsidR="00F00354" w:rsidRPr="00A52F7C" w:rsidRDefault="005F45D7" w:rsidP="005169F6">
      <w:pPr>
        <w:pStyle w:val="Footnote"/>
      </w:pPr>
      <w:r w:rsidRPr="00BA3D71">
        <w:t>Note:</w:t>
      </w:r>
      <w:r w:rsidRPr="00A52F7C">
        <w:t xml:space="preserve"> </w:t>
      </w:r>
      <w:r w:rsidR="00F00354" w:rsidRPr="00BA3D71">
        <w:t>*</w:t>
      </w:r>
      <w:r w:rsidR="00F00354" w:rsidRPr="00A52F7C">
        <w:rPr>
          <w:vertAlign w:val="superscript"/>
        </w:rPr>
        <w:t xml:space="preserve"> </w:t>
      </w:r>
      <w:r w:rsidR="00654D41" w:rsidRPr="00BA3D71">
        <w:t xml:space="preserve">Number of users </w:t>
      </w:r>
      <w:r w:rsidR="00654D41" w:rsidRPr="00A52F7C">
        <w:t>a</w:t>
      </w:r>
      <w:r w:rsidR="00F00354" w:rsidRPr="00A52F7C">
        <w:t>ssum</w:t>
      </w:r>
      <w:r w:rsidR="00654D41" w:rsidRPr="00A52F7C">
        <w:t>ed</w:t>
      </w:r>
      <w:r w:rsidR="00F00354" w:rsidRPr="00A52F7C">
        <w:t xml:space="preserve"> that </w:t>
      </w:r>
      <w:r w:rsidR="00654D41" w:rsidRPr="00A52F7C">
        <w:t xml:space="preserve">Internet </w:t>
      </w:r>
      <w:r w:rsidR="00F00354" w:rsidRPr="00A52F7C">
        <w:t xml:space="preserve">penetration </w:t>
      </w:r>
      <w:r w:rsidR="00654D41" w:rsidRPr="00A52F7C">
        <w:t xml:space="preserve">would </w:t>
      </w:r>
      <w:r w:rsidR="00F00354" w:rsidRPr="00A52F7C">
        <w:t>reach approximately 92 per cent in Singapore</w:t>
      </w:r>
      <w:r w:rsidR="00654D41" w:rsidRPr="00A52F7C">
        <w:t>;</w:t>
      </w:r>
      <w:r w:rsidR="00F00354" w:rsidRPr="00A52F7C">
        <w:t xml:space="preserve"> 85 per cent in Vietnam, Thailand, </w:t>
      </w:r>
      <w:r w:rsidR="00654D41" w:rsidRPr="00A52F7C">
        <w:t xml:space="preserve">the </w:t>
      </w:r>
      <w:r w:rsidR="00F00354" w:rsidRPr="00A52F7C">
        <w:t>Philippines, and Malaysia</w:t>
      </w:r>
      <w:r w:rsidR="00654D41" w:rsidRPr="00A52F7C">
        <w:t>;</w:t>
      </w:r>
      <w:r w:rsidR="00F00354" w:rsidRPr="00A52F7C">
        <w:t xml:space="preserve"> and 78 per cent in Indonesia</w:t>
      </w:r>
      <w:r w:rsidR="00654D41" w:rsidRPr="00A52F7C">
        <w:t>.</w:t>
      </w:r>
      <w:r w:rsidR="00CC7FF7">
        <w:t xml:space="preserve"> ASEAN-6 = </w:t>
      </w:r>
      <w:r w:rsidR="00CC7FF7" w:rsidRPr="00D3063B">
        <w:t>Association of Southeast Asian Nations</w:t>
      </w:r>
      <w:r w:rsidR="00CC7FF7">
        <w:t xml:space="preserve"> plus Australia, China, India, Japan, New Zealand, and South</w:t>
      </w:r>
      <w:r w:rsidR="00CC7FF7" w:rsidRPr="00CC7FF7">
        <w:t xml:space="preserve"> </w:t>
      </w:r>
      <w:r w:rsidR="00CC7FF7">
        <w:t>Korea.</w:t>
      </w:r>
    </w:p>
    <w:p w14:paraId="3F5FCEC6" w14:textId="1150D8D4" w:rsidR="0040785B" w:rsidRPr="0040785B" w:rsidRDefault="00D26064" w:rsidP="005169F6">
      <w:pPr>
        <w:pStyle w:val="Footnote"/>
        <w:rPr>
          <w:spacing w:val="-2"/>
        </w:rPr>
      </w:pPr>
      <w:r w:rsidRPr="00A52F7C">
        <w:t xml:space="preserve">Source: </w:t>
      </w:r>
      <w:r w:rsidR="00647FD4">
        <w:rPr>
          <w:rFonts w:hint="eastAsia"/>
          <w:lang w:eastAsia="zh-CN"/>
        </w:rPr>
        <w:t>Created</w:t>
      </w:r>
      <w:r w:rsidR="00647FD4">
        <w:rPr>
          <w:lang w:eastAsia="zh-CN"/>
        </w:rPr>
        <w:t xml:space="preserve"> by the case authors based on </w:t>
      </w:r>
      <w:proofErr w:type="spellStart"/>
      <w:r w:rsidR="00654D41" w:rsidRPr="00A52F7C">
        <w:t>Nawar</w:t>
      </w:r>
      <w:proofErr w:type="spellEnd"/>
      <w:r w:rsidR="00654D41" w:rsidRPr="00A52F7C">
        <w:t xml:space="preserve"> </w:t>
      </w:r>
      <w:proofErr w:type="spellStart"/>
      <w:r w:rsidR="00654D41" w:rsidRPr="00A52F7C">
        <w:t>Najeeb</w:t>
      </w:r>
      <w:proofErr w:type="spellEnd"/>
      <w:r w:rsidR="00654D41" w:rsidRPr="00A52F7C">
        <w:t>, “E</w:t>
      </w:r>
      <w:r w:rsidR="00963D1D" w:rsidRPr="00A52F7C">
        <w:t>-</w:t>
      </w:r>
      <w:proofErr w:type="spellStart"/>
      <w:r w:rsidR="00963D1D" w:rsidRPr="00A52F7C">
        <w:t>conomy</w:t>
      </w:r>
      <w:proofErr w:type="spellEnd"/>
      <w:r w:rsidR="00963D1D" w:rsidRPr="00A52F7C">
        <w:t xml:space="preserve"> SEA: Unlocking the $200 </w:t>
      </w:r>
      <w:r w:rsidR="00654D41" w:rsidRPr="00A52F7C">
        <w:t>Billion Digital Opportunity</w:t>
      </w:r>
      <w:r w:rsidR="00963D1D" w:rsidRPr="00A52F7C">
        <w:t xml:space="preserve"> </w:t>
      </w:r>
      <w:r w:rsidR="00963D1D" w:rsidRPr="0040785B">
        <w:rPr>
          <w:spacing w:val="-2"/>
        </w:rPr>
        <w:t>in Southeast Asia,</w:t>
      </w:r>
      <w:r w:rsidR="00654D41" w:rsidRPr="0040785B">
        <w:rPr>
          <w:spacing w:val="-2"/>
        </w:rPr>
        <w:t>”</w:t>
      </w:r>
      <w:r w:rsidR="00963D1D" w:rsidRPr="0040785B">
        <w:rPr>
          <w:spacing w:val="-2"/>
        </w:rPr>
        <w:t xml:space="preserve"> </w:t>
      </w:r>
      <w:r w:rsidR="00CC7FF7" w:rsidRPr="0040785B">
        <w:rPr>
          <w:spacing w:val="-2"/>
        </w:rPr>
        <w:t>p</w:t>
      </w:r>
      <w:r w:rsidR="00654D41" w:rsidRPr="0040785B">
        <w:rPr>
          <w:spacing w:val="-2"/>
        </w:rPr>
        <w:t xml:space="preserve">resentation </w:t>
      </w:r>
      <w:r w:rsidR="00B02287" w:rsidRPr="0040785B">
        <w:rPr>
          <w:spacing w:val="-2"/>
        </w:rPr>
        <w:t xml:space="preserve">at </w:t>
      </w:r>
      <w:r w:rsidR="00654D41" w:rsidRPr="0040785B">
        <w:rPr>
          <w:spacing w:val="-2"/>
        </w:rPr>
        <w:t xml:space="preserve">Commonwealth Broadband Asia Forum 2016, </w:t>
      </w:r>
      <w:r w:rsidR="00B02287" w:rsidRPr="0040785B">
        <w:rPr>
          <w:spacing w:val="-2"/>
        </w:rPr>
        <w:t xml:space="preserve">Kuala Lumpur, </w:t>
      </w:r>
      <w:r w:rsidR="00963D1D" w:rsidRPr="0040785B">
        <w:rPr>
          <w:spacing w:val="-2"/>
        </w:rPr>
        <w:t xml:space="preserve">September 23, 2016, </w:t>
      </w:r>
      <w:r w:rsidR="0022597C" w:rsidRPr="0040785B">
        <w:rPr>
          <w:spacing w:val="-2"/>
        </w:rPr>
        <w:t xml:space="preserve">accessed July 13, 2017, </w:t>
      </w:r>
      <w:r w:rsidR="0040785B" w:rsidRPr="0040785B">
        <w:rPr>
          <w:spacing w:val="-2"/>
        </w:rPr>
        <w:t>www.cto.int/media/events/pst-ev/2016/broadbandasia/Nawar%20Najeeb%20Copy%20of%20Presentation</w:t>
      </w:r>
    </w:p>
    <w:p w14:paraId="00739CC6" w14:textId="7997608C" w:rsidR="00D26064" w:rsidRPr="0040785B" w:rsidRDefault="0022597C" w:rsidP="005169F6">
      <w:pPr>
        <w:pStyle w:val="Footnote"/>
        <w:rPr>
          <w:spacing w:val="-2"/>
        </w:rPr>
      </w:pPr>
      <w:r w:rsidRPr="0040785B">
        <w:rPr>
          <w:spacing w:val="-2"/>
        </w:rPr>
        <w:t>%20Copy%20economy%20SEA%20%20Unlocking%20200b%20opp%20MY%20Slides.pdf.</w:t>
      </w:r>
    </w:p>
    <w:p w14:paraId="34F208C4" w14:textId="20C84173" w:rsidR="00EB7706" w:rsidRDefault="00EB7706">
      <w:pPr>
        <w:spacing w:after="200" w:line="276" w:lineRule="auto"/>
        <w:rPr>
          <w:rFonts w:ascii="Arial" w:hAnsi="Arial" w:cs="Arial"/>
        </w:rPr>
      </w:pPr>
      <w:r>
        <w:br w:type="page"/>
      </w:r>
    </w:p>
    <w:p w14:paraId="474895BC" w14:textId="671A6AA1" w:rsidR="00FB1561" w:rsidRPr="00A52F7C" w:rsidRDefault="00FB1561" w:rsidP="00444D97">
      <w:pPr>
        <w:pStyle w:val="Casehead1"/>
        <w:outlineLvl w:val="0"/>
      </w:pPr>
      <w:r w:rsidRPr="00A52F7C">
        <w:lastRenderedPageBreak/>
        <w:t>endnotes</w:t>
      </w:r>
    </w:p>
    <w:sectPr w:rsidR="00FB1561" w:rsidRPr="00A52F7C"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DCA9F8" w16cid:durableId="1E5A2AE1"/>
  <w16cid:commentId w16cid:paraId="312D6248" w16cid:durableId="1E5A32C4"/>
  <w16cid:commentId w16cid:paraId="368493AD" w16cid:durableId="1E5A5B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A106D" w14:textId="77777777" w:rsidR="0032202E" w:rsidRDefault="0032202E" w:rsidP="00D75295">
      <w:r>
        <w:separator/>
      </w:r>
    </w:p>
  </w:endnote>
  <w:endnote w:type="continuationSeparator" w:id="0">
    <w:p w14:paraId="221ED4C1" w14:textId="77777777" w:rsidR="0032202E" w:rsidRDefault="0032202E" w:rsidP="00D75295">
      <w:r>
        <w:continuationSeparator/>
      </w:r>
    </w:p>
  </w:endnote>
  <w:endnote w:id="1">
    <w:p w14:paraId="7C9DA370" w14:textId="0964B3ED" w:rsidR="0032202E" w:rsidRPr="000074A2" w:rsidRDefault="0032202E" w:rsidP="005169F6">
      <w:pPr>
        <w:pStyle w:val="Footnote"/>
      </w:pPr>
      <w:r w:rsidRPr="000074A2">
        <w:rPr>
          <w:rStyle w:val="EndnoteReference"/>
        </w:rPr>
        <w:endnoteRef/>
      </w:r>
      <w:r w:rsidRPr="000074A2">
        <w:t xml:space="preserve"> This case has been written on the basis of published sources only. Consequently, the interpretation and perspectives presented in this case are not necessarily those of Alibaba Group or any of its employees.</w:t>
      </w:r>
    </w:p>
  </w:endnote>
  <w:endnote w:id="2">
    <w:p w14:paraId="2E107CE7" w14:textId="72A34727" w:rsidR="0032202E" w:rsidRPr="000074A2" w:rsidRDefault="0032202E" w:rsidP="005169F6">
      <w:pPr>
        <w:pStyle w:val="Footnote"/>
      </w:pPr>
      <w:r w:rsidRPr="000074A2">
        <w:rPr>
          <w:rStyle w:val="EndnoteReference"/>
        </w:rPr>
        <w:endnoteRef/>
      </w:r>
      <w:r w:rsidRPr="000074A2">
        <w:t xml:space="preserve"> </w:t>
      </w:r>
      <w:proofErr w:type="spellStart"/>
      <w:r w:rsidRPr="000074A2">
        <w:t>Saheli</w:t>
      </w:r>
      <w:proofErr w:type="spellEnd"/>
      <w:r w:rsidRPr="000074A2">
        <w:t xml:space="preserve"> Roy Choudhury and Arjun </w:t>
      </w:r>
      <w:proofErr w:type="spellStart"/>
      <w:r w:rsidRPr="000074A2">
        <w:t>Kharpal</w:t>
      </w:r>
      <w:proofErr w:type="spellEnd"/>
      <w:r w:rsidRPr="000074A2">
        <w:t xml:space="preserve">, “Alibaba Buys Controlling Stake in Southeast Asian </w:t>
      </w:r>
      <w:r>
        <w:t>R</w:t>
      </w:r>
      <w:r w:rsidRPr="000074A2">
        <w:t xml:space="preserve">etailer </w:t>
      </w:r>
      <w:proofErr w:type="spellStart"/>
      <w:r w:rsidRPr="000074A2">
        <w:t>Lazada</w:t>
      </w:r>
      <w:proofErr w:type="spellEnd"/>
      <w:r w:rsidRPr="000074A2">
        <w:t>,” CNBC, April 12, 2016, accessed June 21, 2017, www.cnbc.com/2016/04/12/alibaba-group-invests-1-billion-dollars-in-lazada-group-and-eyes-southeast-asia.html.</w:t>
      </w:r>
    </w:p>
  </w:endnote>
  <w:endnote w:id="3">
    <w:p w14:paraId="3E654130" w14:textId="72602019" w:rsidR="0036755C" w:rsidRDefault="0036755C" w:rsidP="0036755C">
      <w:pPr>
        <w:pStyle w:val="Footnote"/>
      </w:pPr>
      <w:r>
        <w:rPr>
          <w:rStyle w:val="EndnoteReference"/>
        </w:rPr>
        <w:endnoteRef/>
      </w:r>
      <w:r>
        <w:t xml:space="preserve"> </w:t>
      </w:r>
      <w:r w:rsidRPr="000074A2">
        <w:t xml:space="preserve">Jon Russell, “Amazon </w:t>
      </w:r>
      <w:r>
        <w:t>D</w:t>
      </w:r>
      <w:r w:rsidRPr="000074A2">
        <w:t xml:space="preserve">elays Its Entry into Southeast Asia,” </w:t>
      </w:r>
      <w:r>
        <w:t>T</w:t>
      </w:r>
      <w:r w:rsidRPr="000074A2">
        <w:t>ech</w:t>
      </w:r>
      <w:r>
        <w:t xml:space="preserve"> C</w:t>
      </w:r>
      <w:r w:rsidRPr="000074A2">
        <w:t>runch, March 22, 2017, accessed June 22, 2017, https://techcrunch.com/2017/03/22/amazon-southeast-asia-launch-schedule-slips.</w:t>
      </w:r>
    </w:p>
  </w:endnote>
  <w:endnote w:id="4">
    <w:p w14:paraId="2BBDA4DB" w14:textId="42D52E5E" w:rsidR="0032202E" w:rsidRPr="000074A2" w:rsidRDefault="0032202E" w:rsidP="005169F6">
      <w:pPr>
        <w:pStyle w:val="Footnote"/>
      </w:pPr>
      <w:r w:rsidRPr="000074A2">
        <w:rPr>
          <w:rStyle w:val="EndnoteReference"/>
        </w:rPr>
        <w:endnoteRef/>
      </w:r>
      <w:r w:rsidRPr="000074A2">
        <w:t xml:space="preserve"> Rebecca </w:t>
      </w:r>
      <w:proofErr w:type="spellStart"/>
      <w:r w:rsidRPr="000074A2">
        <w:t>Fannin</w:t>
      </w:r>
      <w:proofErr w:type="spellEnd"/>
      <w:r w:rsidRPr="000074A2">
        <w:t xml:space="preserve">, “How I Did It: Jack Ma, Alibaba.com,” </w:t>
      </w:r>
      <w:r>
        <w:t>I</w:t>
      </w:r>
      <w:r w:rsidRPr="000074A2">
        <w:t>nc., January 1, 2008, accessed June 5, 2017, https://www.inc.com/magazine/20080101/how-i-did-it-jack-ma-alibaba.html.</w:t>
      </w:r>
    </w:p>
  </w:endnote>
  <w:endnote w:id="5">
    <w:p w14:paraId="26E66542" w14:textId="0AA93CE4" w:rsidR="0032202E" w:rsidRPr="000074A2" w:rsidRDefault="0032202E" w:rsidP="005169F6">
      <w:pPr>
        <w:pStyle w:val="Footnote"/>
      </w:pPr>
      <w:r w:rsidRPr="000074A2">
        <w:rPr>
          <w:rStyle w:val="EndnoteReference"/>
        </w:rPr>
        <w:endnoteRef/>
      </w:r>
      <w:r w:rsidRPr="000074A2">
        <w:t xml:space="preserve"> Jillian </w:t>
      </w:r>
      <w:proofErr w:type="spellStart"/>
      <w:r w:rsidRPr="000074A2">
        <w:t>D’Onfro</w:t>
      </w:r>
      <w:proofErr w:type="spellEnd"/>
      <w:r w:rsidRPr="000074A2">
        <w:t xml:space="preserve">, “How Jack Ma Went </w:t>
      </w:r>
      <w:r>
        <w:t>f</w:t>
      </w:r>
      <w:r w:rsidRPr="000074A2">
        <w:t xml:space="preserve">rom Being </w:t>
      </w:r>
      <w:r>
        <w:t>a</w:t>
      </w:r>
      <w:r w:rsidRPr="000074A2">
        <w:t xml:space="preserve"> </w:t>
      </w:r>
      <w:r>
        <w:t>P</w:t>
      </w:r>
      <w:r w:rsidRPr="000074A2">
        <w:t xml:space="preserve">oor School Teacher to Turning Alibaba Into </w:t>
      </w:r>
      <w:r>
        <w:t>a</w:t>
      </w:r>
      <w:r w:rsidRPr="000074A2">
        <w:t xml:space="preserve"> $160</w:t>
      </w:r>
      <w:r>
        <w:t xml:space="preserve"> B</w:t>
      </w:r>
      <w:r w:rsidRPr="000074A2">
        <w:t xml:space="preserve">illion Behemoth,” </w:t>
      </w:r>
      <w:r>
        <w:t>B</w:t>
      </w:r>
      <w:r w:rsidRPr="000074A2">
        <w:t>usiness</w:t>
      </w:r>
      <w:r>
        <w:t xml:space="preserve"> I</w:t>
      </w:r>
      <w:r w:rsidRPr="000074A2">
        <w:t>nsider, Sep</w:t>
      </w:r>
      <w:r>
        <w:t>t</w:t>
      </w:r>
      <w:r w:rsidRPr="000074A2">
        <w:t>ember 14, 2014, accessed June 5, 2017, www.businessinsider.com/the-story-of-jack-ma-founder-of-alibaba-2014-9.</w:t>
      </w:r>
    </w:p>
  </w:endnote>
  <w:endnote w:id="6">
    <w:p w14:paraId="36D304E7" w14:textId="65521990" w:rsidR="0032202E" w:rsidRPr="000074A2" w:rsidRDefault="0032202E" w:rsidP="005169F6">
      <w:pPr>
        <w:pStyle w:val="Footnote"/>
      </w:pPr>
      <w:r w:rsidRPr="000074A2">
        <w:rPr>
          <w:rStyle w:val="EndnoteReference"/>
        </w:rPr>
        <w:endnoteRef/>
      </w:r>
      <w:r w:rsidRPr="000074A2">
        <w:t xml:space="preserve"> All currency amounts are in</w:t>
      </w:r>
      <w:r w:rsidR="0036755C">
        <w:t xml:space="preserve"> US$ unless otherwise specified; US$1.00 = CN¥8.28 on March 31, 1999. </w:t>
      </w:r>
    </w:p>
  </w:endnote>
  <w:endnote w:id="7">
    <w:p w14:paraId="38A6FD20" w14:textId="31F32DF3" w:rsidR="0032202E" w:rsidRPr="000074A2" w:rsidRDefault="0032202E" w:rsidP="005169F6">
      <w:pPr>
        <w:pStyle w:val="Footnote"/>
      </w:pPr>
      <w:r w:rsidRPr="000074A2">
        <w:rPr>
          <w:rStyle w:val="EndnoteReference"/>
        </w:rPr>
        <w:endnoteRef/>
      </w:r>
      <w:r w:rsidRPr="000074A2">
        <w:t xml:space="preserve"> Charles Clark</w:t>
      </w:r>
      <w:r>
        <w:t xml:space="preserve"> and Madeline Stone</w:t>
      </w:r>
      <w:r w:rsidRPr="000074A2">
        <w:t xml:space="preserve">, “The Incredible </w:t>
      </w:r>
      <w:r>
        <w:t>a</w:t>
      </w:r>
      <w:r w:rsidRPr="000074A2">
        <w:t xml:space="preserve">nd Inspiring Life Story </w:t>
      </w:r>
      <w:r>
        <w:t>o</w:t>
      </w:r>
      <w:r w:rsidRPr="000074A2">
        <w:t xml:space="preserve">f Alibaba Founder Jack Ma, One </w:t>
      </w:r>
      <w:r>
        <w:t>o</w:t>
      </w:r>
      <w:r w:rsidRPr="000074A2">
        <w:t xml:space="preserve">f </w:t>
      </w:r>
      <w:r>
        <w:t>t</w:t>
      </w:r>
      <w:r w:rsidRPr="000074A2">
        <w:t xml:space="preserve">he Richest People in China,” </w:t>
      </w:r>
      <w:r>
        <w:t>B</w:t>
      </w:r>
      <w:r w:rsidRPr="000074A2">
        <w:t>usiness</w:t>
      </w:r>
      <w:r>
        <w:t xml:space="preserve"> I</w:t>
      </w:r>
      <w:r w:rsidRPr="000074A2">
        <w:t xml:space="preserve">nsider, March 2, 2017, accessed June 5, 2017, </w:t>
      </w:r>
      <w:r w:rsidRPr="005B56F6">
        <w:t>www.businessinsider.com/inspiring-life-story-of-alibaba-founder-jack-ma-2017-2</w:t>
      </w:r>
      <w:r w:rsidRPr="000074A2">
        <w:t>.</w:t>
      </w:r>
    </w:p>
  </w:endnote>
  <w:endnote w:id="8">
    <w:p w14:paraId="7A5CC653" w14:textId="31117197" w:rsidR="0032202E" w:rsidRPr="00BA3D71" w:rsidRDefault="0032202E" w:rsidP="00866D0C">
      <w:pPr>
        <w:pStyle w:val="Footnote"/>
      </w:pPr>
      <w:r w:rsidRPr="000074A2">
        <w:rPr>
          <w:rStyle w:val="EndnoteReference"/>
        </w:rPr>
        <w:endnoteRef/>
      </w:r>
      <w:r w:rsidRPr="000074A2">
        <w:t xml:space="preserve"> </w:t>
      </w:r>
      <w:proofErr w:type="spellStart"/>
      <w:r w:rsidRPr="000074A2">
        <w:t>Fannin</w:t>
      </w:r>
      <w:proofErr w:type="spellEnd"/>
      <w:r w:rsidRPr="000074A2">
        <w:t xml:space="preserve">, </w:t>
      </w:r>
      <w:r>
        <w:t>op. cit</w:t>
      </w:r>
      <w:r w:rsidRPr="00BA3D71">
        <w:t>.</w:t>
      </w:r>
    </w:p>
  </w:endnote>
  <w:endnote w:id="9">
    <w:p w14:paraId="47642DB4" w14:textId="2C826F5E" w:rsidR="0032202E" w:rsidRPr="00BA3D71" w:rsidRDefault="0032202E" w:rsidP="00BA3D71">
      <w:pPr>
        <w:pStyle w:val="Footnote"/>
      </w:pPr>
      <w:r w:rsidRPr="0010031B">
        <w:rPr>
          <w:rStyle w:val="EndnoteReference"/>
        </w:rPr>
        <w:endnoteRef/>
      </w:r>
      <w:r w:rsidRPr="00BA3D71">
        <w:rPr>
          <w:i/>
          <w:vertAlign w:val="superscript"/>
        </w:rPr>
        <w:t xml:space="preserve"> </w:t>
      </w:r>
      <w:r w:rsidRPr="00CD18F5">
        <w:t xml:space="preserve">Clark and Stone, </w:t>
      </w:r>
      <w:r w:rsidRPr="000F6AD7">
        <w:t>op. cit</w:t>
      </w:r>
      <w:r w:rsidRPr="00BA3D71">
        <w:rPr>
          <w:i/>
        </w:rPr>
        <w:t>.</w:t>
      </w:r>
    </w:p>
  </w:endnote>
  <w:endnote w:id="10">
    <w:p w14:paraId="34F9789B" w14:textId="34F9FD59" w:rsidR="0032202E" w:rsidRPr="000074A2" w:rsidRDefault="0032202E" w:rsidP="005169F6">
      <w:pPr>
        <w:pStyle w:val="Footnote"/>
      </w:pPr>
      <w:r w:rsidRPr="000074A2">
        <w:rPr>
          <w:rStyle w:val="EndnoteReference"/>
        </w:rPr>
        <w:endnoteRef/>
      </w:r>
      <w:r w:rsidRPr="000074A2">
        <w:t xml:space="preserve"> “What is Alibaba,” </w:t>
      </w:r>
      <w:r w:rsidRPr="005169F6">
        <w:rPr>
          <w:i/>
        </w:rPr>
        <w:t>Wall Street Journal</w:t>
      </w:r>
      <w:r>
        <w:t xml:space="preserve">, </w:t>
      </w:r>
      <w:r w:rsidRPr="000074A2">
        <w:t>accessed June 5, 2017, http://projects.wsj.com/alibaba/.</w:t>
      </w:r>
    </w:p>
  </w:endnote>
  <w:endnote w:id="11">
    <w:p w14:paraId="3FA55185" w14:textId="7D866721" w:rsidR="0032202E" w:rsidRPr="000074A2" w:rsidRDefault="0032202E" w:rsidP="005169F6">
      <w:pPr>
        <w:pStyle w:val="Footnote"/>
      </w:pPr>
      <w:r w:rsidRPr="000074A2">
        <w:rPr>
          <w:rStyle w:val="EndnoteReference"/>
        </w:rPr>
        <w:endnoteRef/>
      </w:r>
      <w:r w:rsidRPr="000074A2">
        <w:t xml:space="preserve"> </w:t>
      </w:r>
      <w:proofErr w:type="spellStart"/>
      <w:r w:rsidRPr="000074A2">
        <w:t>Fannin</w:t>
      </w:r>
      <w:proofErr w:type="spellEnd"/>
      <w:r w:rsidRPr="000074A2">
        <w:t xml:space="preserve">, </w:t>
      </w:r>
      <w:r>
        <w:t>op. cit</w:t>
      </w:r>
      <w:r w:rsidRPr="000074A2">
        <w:t>.</w:t>
      </w:r>
    </w:p>
  </w:endnote>
  <w:endnote w:id="12">
    <w:p w14:paraId="0CC4D369" w14:textId="7AEBA4F1" w:rsidR="0032202E" w:rsidRPr="000074A2" w:rsidRDefault="0032202E" w:rsidP="005169F6">
      <w:pPr>
        <w:pStyle w:val="Footnote"/>
      </w:pPr>
      <w:r w:rsidRPr="000074A2">
        <w:rPr>
          <w:rStyle w:val="EndnoteReference"/>
        </w:rPr>
        <w:endnoteRef/>
      </w:r>
      <w:r w:rsidRPr="000074A2">
        <w:t xml:space="preserve"> </w:t>
      </w:r>
      <w:proofErr w:type="spellStart"/>
      <w:r w:rsidRPr="000074A2">
        <w:t>D’Onfro</w:t>
      </w:r>
      <w:proofErr w:type="spellEnd"/>
      <w:r w:rsidRPr="000074A2">
        <w:t xml:space="preserve">, </w:t>
      </w:r>
      <w:r>
        <w:t>op. cit</w:t>
      </w:r>
      <w:r w:rsidRPr="000074A2">
        <w:t>.</w:t>
      </w:r>
    </w:p>
  </w:endnote>
  <w:endnote w:id="13">
    <w:p w14:paraId="4B05560E" w14:textId="527A547F" w:rsidR="0032202E" w:rsidRPr="000074A2" w:rsidRDefault="0032202E" w:rsidP="005169F6">
      <w:pPr>
        <w:pStyle w:val="Footnote"/>
      </w:pPr>
      <w:r w:rsidRPr="000074A2">
        <w:rPr>
          <w:rStyle w:val="EndnoteReference"/>
        </w:rPr>
        <w:endnoteRef/>
      </w:r>
      <w:r w:rsidRPr="000074A2">
        <w:t xml:space="preserve"> </w:t>
      </w:r>
      <w:proofErr w:type="spellStart"/>
      <w:r w:rsidRPr="000074A2">
        <w:t>Fannin</w:t>
      </w:r>
      <w:proofErr w:type="spellEnd"/>
      <w:r w:rsidRPr="000074A2">
        <w:t xml:space="preserve">, </w:t>
      </w:r>
      <w:r>
        <w:t>op. cit</w:t>
      </w:r>
      <w:r w:rsidRPr="000074A2">
        <w:t>.</w:t>
      </w:r>
    </w:p>
  </w:endnote>
  <w:endnote w:id="14">
    <w:p w14:paraId="718B601E" w14:textId="6C7A6E60" w:rsidR="0032202E" w:rsidRPr="000074A2" w:rsidRDefault="0032202E" w:rsidP="005169F6">
      <w:pPr>
        <w:pStyle w:val="Footnote"/>
      </w:pPr>
      <w:r w:rsidRPr="000074A2">
        <w:rPr>
          <w:rStyle w:val="EndnoteReference"/>
        </w:rPr>
        <w:endnoteRef/>
      </w:r>
      <w:r w:rsidRPr="000074A2">
        <w:t xml:space="preserve"> “The </w:t>
      </w:r>
      <w:r>
        <w:t>W</w:t>
      </w:r>
      <w:r w:rsidRPr="000074A2">
        <w:t xml:space="preserve">orld’s Biggest Public Companies,” </w:t>
      </w:r>
      <w:r w:rsidRPr="005169F6">
        <w:rPr>
          <w:i/>
        </w:rPr>
        <w:t>Forbes</w:t>
      </w:r>
      <w:r>
        <w:t xml:space="preserve">, </w:t>
      </w:r>
      <w:r w:rsidRPr="000074A2">
        <w:t>accessed June 5, 2017, https://www.forbes.com/global2000/list/#header:marketValue_sortreverse:true.</w:t>
      </w:r>
    </w:p>
  </w:endnote>
  <w:endnote w:id="15">
    <w:p w14:paraId="36D1B358" w14:textId="3A085D49" w:rsidR="0032202E" w:rsidRPr="000074A2" w:rsidRDefault="0032202E" w:rsidP="005169F6">
      <w:pPr>
        <w:pStyle w:val="Footnote"/>
      </w:pPr>
      <w:r w:rsidRPr="000074A2">
        <w:rPr>
          <w:rStyle w:val="EndnoteReference"/>
        </w:rPr>
        <w:endnoteRef/>
      </w:r>
      <w:r w:rsidRPr="000074A2">
        <w:t xml:space="preserve"> “China Internet Users</w:t>
      </w:r>
      <w:r>
        <w:t xml:space="preserve"> (</w:t>
      </w:r>
      <w:r w:rsidRPr="000074A2">
        <w:t>2016</w:t>
      </w:r>
      <w:r>
        <w:t>)</w:t>
      </w:r>
      <w:r w:rsidRPr="000074A2">
        <w:t xml:space="preserve">,” </w:t>
      </w:r>
      <w:r>
        <w:t>Internet Live Stats</w:t>
      </w:r>
      <w:r w:rsidRPr="000074A2">
        <w:t>, accessed June 5, 2017, www.internetlivestats.com/internet-users/china.</w:t>
      </w:r>
    </w:p>
  </w:endnote>
  <w:endnote w:id="16">
    <w:p w14:paraId="79934633" w14:textId="2FE95B67" w:rsidR="0032202E" w:rsidRPr="000074A2" w:rsidRDefault="0032202E" w:rsidP="005169F6">
      <w:pPr>
        <w:pStyle w:val="Footnote"/>
      </w:pPr>
      <w:r w:rsidRPr="000074A2">
        <w:rPr>
          <w:rStyle w:val="EndnoteReference"/>
        </w:rPr>
        <w:endnoteRef/>
      </w:r>
      <w:r w:rsidRPr="000074A2">
        <w:t xml:space="preserve"> BI Intelligence, “JD.com Is Gaining Ground on Alibaba,” </w:t>
      </w:r>
      <w:r>
        <w:t>B</w:t>
      </w:r>
      <w:r w:rsidRPr="000074A2">
        <w:t>usiness</w:t>
      </w:r>
      <w:r>
        <w:t xml:space="preserve"> I</w:t>
      </w:r>
      <w:r w:rsidRPr="000074A2">
        <w:t>nsider, March 6, 2017, accessed June 5, 2017, www.businessinsider.com/jdcom-is-gaining-ground-on-alibaba-2017-3.</w:t>
      </w:r>
    </w:p>
  </w:endnote>
  <w:endnote w:id="17">
    <w:p w14:paraId="7AEE351C" w14:textId="6DEF887E" w:rsidR="0032202E" w:rsidRPr="000074A2" w:rsidRDefault="0032202E" w:rsidP="005169F6">
      <w:pPr>
        <w:pStyle w:val="Footnote"/>
      </w:pPr>
      <w:r w:rsidRPr="000074A2">
        <w:rPr>
          <w:rStyle w:val="EndnoteReference"/>
        </w:rPr>
        <w:endnoteRef/>
      </w:r>
      <w:r w:rsidRPr="000074A2">
        <w:t xml:space="preserve"> “Annual </w:t>
      </w:r>
      <w:r>
        <w:t>R</w:t>
      </w:r>
      <w:r w:rsidRPr="000074A2">
        <w:t>evenue of Alibaba Group from 2010 to 2017</w:t>
      </w:r>
      <w:r>
        <w:t xml:space="preserve"> (in million yuan)</w:t>
      </w:r>
      <w:r w:rsidRPr="000074A2">
        <w:t xml:space="preserve">,” </w:t>
      </w:r>
      <w:r>
        <w:t xml:space="preserve">Statista, </w:t>
      </w:r>
      <w:r w:rsidRPr="000074A2">
        <w:t>accessed June 5, 2017, https://www.statista.com/statistics/225614/net-revenue-of-alibaba.</w:t>
      </w:r>
    </w:p>
  </w:endnote>
  <w:endnote w:id="18">
    <w:p w14:paraId="2996028F" w14:textId="195434D9" w:rsidR="0032202E" w:rsidRPr="000074A2" w:rsidRDefault="0032202E" w:rsidP="005169F6">
      <w:pPr>
        <w:pStyle w:val="Footnote"/>
      </w:pPr>
      <w:r w:rsidRPr="000074A2">
        <w:rPr>
          <w:rStyle w:val="EndnoteReference"/>
        </w:rPr>
        <w:endnoteRef/>
      </w:r>
      <w:r w:rsidRPr="000074A2">
        <w:t xml:space="preserve"> J. William Carpenter, “Alibaba </w:t>
      </w:r>
      <w:r>
        <w:t>v</w:t>
      </w:r>
      <w:r w:rsidRPr="000074A2">
        <w:t>s. JD.com: The Battle for China,” Investopedia, March 5, 2016, accessed June 5, 2017, www.investopedia.com/articles/investing/030516/alibaba-vs-jdcom-battle-china-baba-jd.asp.</w:t>
      </w:r>
    </w:p>
  </w:endnote>
  <w:endnote w:id="19">
    <w:p w14:paraId="17A4016D" w14:textId="0D986EDF" w:rsidR="0032202E" w:rsidRPr="000074A2" w:rsidRDefault="0032202E" w:rsidP="005169F6">
      <w:pPr>
        <w:pStyle w:val="Footnote"/>
      </w:pPr>
      <w:r w:rsidRPr="000074A2">
        <w:rPr>
          <w:rStyle w:val="EndnoteReference"/>
        </w:rPr>
        <w:endnoteRef/>
      </w:r>
      <w:r w:rsidRPr="000074A2">
        <w:t xml:space="preserve"> “Stung By Debt, China’s Economic Growth to </w:t>
      </w:r>
      <w:r>
        <w:t>S</w:t>
      </w:r>
      <w:r w:rsidRPr="000074A2">
        <w:t xml:space="preserve">low to 6.5% in 2017,” </w:t>
      </w:r>
      <w:r w:rsidRPr="00C5790D">
        <w:rPr>
          <w:i/>
        </w:rPr>
        <w:t>The Star</w:t>
      </w:r>
      <w:r w:rsidRPr="000074A2">
        <w:t>, April 20, 2017, accessed June 6, 2017, www.thestar.com.my/business/business-news/2017/04/20/china-economic-growth-to-slow-in-2017.</w:t>
      </w:r>
    </w:p>
  </w:endnote>
  <w:endnote w:id="20">
    <w:p w14:paraId="210457EE" w14:textId="2BE20E32" w:rsidR="0032202E" w:rsidRPr="000074A2" w:rsidRDefault="0032202E" w:rsidP="005169F6">
      <w:pPr>
        <w:pStyle w:val="Footnote"/>
      </w:pPr>
      <w:r w:rsidRPr="000074A2">
        <w:rPr>
          <w:rStyle w:val="EndnoteReference"/>
        </w:rPr>
        <w:endnoteRef/>
      </w:r>
      <w:r w:rsidRPr="000074A2">
        <w:t xml:space="preserve"> Adrian Stevens, “Why Analysts Expect Alibaba’s Earnings to Rise in Fiscal 2017,” </w:t>
      </w:r>
      <w:r>
        <w:t>M</w:t>
      </w:r>
      <w:r w:rsidRPr="000074A2">
        <w:t>arket</w:t>
      </w:r>
      <w:r>
        <w:t xml:space="preserve"> R</w:t>
      </w:r>
      <w:r w:rsidRPr="000074A2">
        <w:t>ealist, August 3, 2016, accessed June 5, 2017, http://marketrealist.com/2016/08/will-alibabas-gmv-growth-rate-slow.</w:t>
      </w:r>
    </w:p>
  </w:endnote>
  <w:endnote w:id="21">
    <w:p w14:paraId="0F64A3C3" w14:textId="77777777" w:rsidR="001C66E2" w:rsidRPr="000074A2" w:rsidRDefault="001C66E2" w:rsidP="001C66E2">
      <w:pPr>
        <w:pStyle w:val="Footnote"/>
      </w:pPr>
      <w:r w:rsidRPr="000074A2">
        <w:rPr>
          <w:rStyle w:val="EndnoteReference"/>
        </w:rPr>
        <w:endnoteRef/>
      </w:r>
      <w:r w:rsidRPr="000074A2">
        <w:t xml:space="preserve"> </w:t>
      </w:r>
      <w:r>
        <w:t>Ibid</w:t>
      </w:r>
      <w:r w:rsidRPr="000074A2">
        <w:t>.</w:t>
      </w:r>
    </w:p>
  </w:endnote>
  <w:endnote w:id="22">
    <w:p w14:paraId="76EC92D9" w14:textId="76AB63B8" w:rsidR="0032202E" w:rsidRPr="000074A2" w:rsidRDefault="0032202E" w:rsidP="005169F6">
      <w:pPr>
        <w:pStyle w:val="Footnote"/>
      </w:pPr>
      <w:r w:rsidRPr="000074A2">
        <w:rPr>
          <w:rStyle w:val="EndnoteReference"/>
        </w:rPr>
        <w:endnoteRef/>
      </w:r>
      <w:r w:rsidRPr="000074A2">
        <w:t xml:space="preserve"> Sunny Sen, “Jack Ma Has Global Plans </w:t>
      </w:r>
      <w:r>
        <w:t>f</w:t>
      </w:r>
      <w:r w:rsidRPr="000074A2">
        <w:t xml:space="preserve">or Alibaba, Expansion in India, Australia, New Zealand,” </w:t>
      </w:r>
      <w:r w:rsidRPr="00BA3D71">
        <w:rPr>
          <w:i/>
        </w:rPr>
        <w:t>Hindustan Times</w:t>
      </w:r>
      <w:r w:rsidRPr="000074A2">
        <w:t>, February 6, 2017, accessed June 5, 2017, www.hindustantimes.com/business-news/jack-ma-has-global-plans-for-alibaba-expansion-in-india-australia-new-zealand/story-Ma5RPaUCzbzdAm1e0DyDYI.html.</w:t>
      </w:r>
    </w:p>
  </w:endnote>
  <w:endnote w:id="23">
    <w:p w14:paraId="6BBC0DCD" w14:textId="66D0413C" w:rsidR="0032202E" w:rsidRPr="000074A2" w:rsidRDefault="0032202E" w:rsidP="005169F6">
      <w:pPr>
        <w:pStyle w:val="Footnote"/>
      </w:pPr>
      <w:r w:rsidRPr="000074A2">
        <w:rPr>
          <w:rStyle w:val="EndnoteReference"/>
        </w:rPr>
        <w:endnoteRef/>
      </w:r>
      <w:r w:rsidRPr="000074A2">
        <w:t xml:space="preserve"> </w:t>
      </w:r>
      <w:r>
        <w:t xml:space="preserve">Alibaba Group, </w:t>
      </w:r>
      <w:r w:rsidRPr="000074A2">
        <w:t>“Alibaba Group Announces December Quarter 2016 Results,” January 24, 2017, accessed June 6, 2017, www.alibabagroup.com/en/news/press_pdf/p170124.pdf.</w:t>
      </w:r>
    </w:p>
  </w:endnote>
  <w:endnote w:id="24">
    <w:p w14:paraId="44786A7B" w14:textId="683BBEB4" w:rsidR="0032202E" w:rsidRPr="000074A2" w:rsidRDefault="0032202E" w:rsidP="005169F6">
      <w:pPr>
        <w:pStyle w:val="Footnote"/>
      </w:pPr>
      <w:r w:rsidRPr="000074A2">
        <w:rPr>
          <w:rStyle w:val="EndnoteReference"/>
        </w:rPr>
        <w:endnoteRef/>
      </w:r>
      <w:r w:rsidRPr="000074A2">
        <w:t xml:space="preserve"> </w:t>
      </w:r>
      <w:r>
        <w:t xml:space="preserve">Nicholas </w:t>
      </w:r>
      <w:proofErr w:type="spellStart"/>
      <w:r>
        <w:t>Mushaike</w:t>
      </w:r>
      <w:proofErr w:type="spellEnd"/>
      <w:r>
        <w:t xml:space="preserve">, </w:t>
      </w:r>
      <w:r w:rsidRPr="000074A2">
        <w:t xml:space="preserve">“Alibaba: Set </w:t>
      </w:r>
      <w:proofErr w:type="gramStart"/>
      <w:r w:rsidRPr="000074A2">
        <w:t>To</w:t>
      </w:r>
      <w:proofErr w:type="gramEnd"/>
      <w:r w:rsidRPr="000074A2">
        <w:t xml:space="preserve"> Dominate Outside of China,” </w:t>
      </w:r>
      <w:r>
        <w:t>S</w:t>
      </w:r>
      <w:r w:rsidRPr="000074A2">
        <w:t>eeking</w:t>
      </w:r>
      <w:r>
        <w:t xml:space="preserve"> A</w:t>
      </w:r>
      <w:r w:rsidRPr="000074A2">
        <w:t>lpha, April 18, 2016, accessed June 6, 2017, https://seekingalpha.com/article/3965990-alibaba-set-dominate-outside-china.</w:t>
      </w:r>
    </w:p>
  </w:endnote>
  <w:endnote w:id="25">
    <w:p w14:paraId="1AD1D825" w14:textId="5485668C" w:rsidR="0032202E" w:rsidRPr="0040785B" w:rsidRDefault="0032202E" w:rsidP="005169F6">
      <w:pPr>
        <w:pStyle w:val="Footnote"/>
        <w:rPr>
          <w:spacing w:val="-2"/>
        </w:rPr>
      </w:pPr>
      <w:r w:rsidRPr="0040785B">
        <w:rPr>
          <w:rStyle w:val="EndnoteReference"/>
          <w:spacing w:val="-2"/>
        </w:rPr>
        <w:endnoteRef/>
      </w:r>
      <w:r w:rsidRPr="0040785B">
        <w:rPr>
          <w:spacing w:val="-2"/>
        </w:rPr>
        <w:t xml:space="preserve"> </w:t>
      </w:r>
      <w:proofErr w:type="spellStart"/>
      <w:r w:rsidRPr="0040785B">
        <w:rPr>
          <w:spacing w:val="-2"/>
        </w:rPr>
        <w:t>Trefis</w:t>
      </w:r>
      <w:proofErr w:type="spellEnd"/>
      <w:r w:rsidRPr="0040785B">
        <w:rPr>
          <w:spacing w:val="-2"/>
        </w:rPr>
        <w:t xml:space="preserve"> Team, “A Closer Look at Alibaba’s Longer Term Strategy,” Investing (blog), </w:t>
      </w:r>
      <w:r w:rsidRPr="0040785B">
        <w:rPr>
          <w:i/>
          <w:spacing w:val="-2"/>
        </w:rPr>
        <w:t>Forbes</w:t>
      </w:r>
      <w:r w:rsidRPr="0040785B">
        <w:rPr>
          <w:spacing w:val="-2"/>
        </w:rPr>
        <w:t>, October 13, 2016, accessed June 6, 2017, https://www.forbes.com/sites/greatspeculations/2016/10/13/a-closer-look-at-alibabas-long-term-strategy/#e4868942bc0e.</w:t>
      </w:r>
    </w:p>
  </w:endnote>
  <w:endnote w:id="26">
    <w:p w14:paraId="78BDE87C" w14:textId="62DC536E" w:rsidR="0032202E" w:rsidRPr="000074A2" w:rsidRDefault="0032202E" w:rsidP="005169F6">
      <w:pPr>
        <w:pStyle w:val="Footnote"/>
      </w:pPr>
      <w:r w:rsidRPr="000074A2">
        <w:rPr>
          <w:rStyle w:val="EndnoteReference"/>
        </w:rPr>
        <w:endnoteRef/>
      </w:r>
      <w:r w:rsidRPr="000074A2">
        <w:t xml:space="preserve"> Bob Bryan, “Alibaba Just Proved It’s More </w:t>
      </w:r>
      <w:r>
        <w:t>t</w:t>
      </w:r>
      <w:r w:rsidRPr="000074A2">
        <w:t xml:space="preserve">han Just Some Chinese Company,” </w:t>
      </w:r>
      <w:r>
        <w:t>B</w:t>
      </w:r>
      <w:r w:rsidRPr="000074A2">
        <w:t>usiness</w:t>
      </w:r>
      <w:r>
        <w:t xml:space="preserve"> I</w:t>
      </w:r>
      <w:r w:rsidRPr="000074A2">
        <w:t>nsider, November 15, 2015, accessed June 6, 2017, www.businessinsider.com/alibaba-international-expansion-2015-11.</w:t>
      </w:r>
    </w:p>
  </w:endnote>
  <w:endnote w:id="27">
    <w:p w14:paraId="451B444B" w14:textId="3A550B93" w:rsidR="0032202E" w:rsidRPr="000074A2" w:rsidRDefault="0032202E" w:rsidP="0040785B">
      <w:pPr>
        <w:pStyle w:val="Footnote"/>
      </w:pPr>
      <w:r w:rsidRPr="000074A2">
        <w:rPr>
          <w:rStyle w:val="EndnoteReference"/>
        </w:rPr>
        <w:endnoteRef/>
      </w:r>
      <w:r w:rsidRPr="000074A2">
        <w:t xml:space="preserve"> </w:t>
      </w:r>
      <w:r>
        <w:t xml:space="preserve">Susan Cunningham, </w:t>
      </w:r>
      <w:r w:rsidRPr="000074A2">
        <w:t>“Rocket Internet</w:t>
      </w:r>
      <w:r>
        <w:t>—</w:t>
      </w:r>
      <w:r w:rsidRPr="000074A2">
        <w:t xml:space="preserve">First Mover in Asia,” </w:t>
      </w:r>
      <w:r w:rsidRPr="005169F6">
        <w:t>Forbes Asia</w:t>
      </w:r>
      <w:r w:rsidRPr="00595BD9">
        <w:t xml:space="preserve"> </w:t>
      </w:r>
      <w:r>
        <w:t xml:space="preserve">(blog), </w:t>
      </w:r>
      <w:r w:rsidRPr="00BA3D71">
        <w:rPr>
          <w:i/>
        </w:rPr>
        <w:t>Forbes</w:t>
      </w:r>
      <w:r w:rsidRPr="000074A2">
        <w:t>, October 5, 2014, accessed June 4, 2017,</w:t>
      </w:r>
      <w:r>
        <w:t xml:space="preserve"> </w:t>
      </w:r>
      <w:r w:rsidRPr="000074A2">
        <w:t>https://www.forbes.com/sites/susancunningham/2014/10/05/rocket-internet-first-mover-in-asia/#144e52bc20c9.</w:t>
      </w:r>
    </w:p>
  </w:endnote>
  <w:endnote w:id="28">
    <w:p w14:paraId="16B4A0B3" w14:textId="0ADA20EE" w:rsidR="0032202E" w:rsidRPr="000074A2" w:rsidRDefault="0032202E" w:rsidP="005169F6">
      <w:pPr>
        <w:pStyle w:val="Footnote"/>
      </w:pPr>
      <w:r w:rsidRPr="000074A2">
        <w:rPr>
          <w:rStyle w:val="EndnoteReference"/>
        </w:rPr>
        <w:endnoteRef/>
      </w:r>
      <w:r w:rsidRPr="000074A2">
        <w:t xml:space="preserve"> </w:t>
      </w:r>
      <w:proofErr w:type="spellStart"/>
      <w:r w:rsidRPr="000074A2">
        <w:t>Chairmaine</w:t>
      </w:r>
      <w:proofErr w:type="spellEnd"/>
      <w:r w:rsidRPr="000074A2">
        <w:t xml:space="preserve"> Li, “Doing </w:t>
      </w:r>
      <w:r>
        <w:t>I</w:t>
      </w:r>
      <w:r w:rsidRPr="000074A2">
        <w:t xml:space="preserve">t the Rocket Internet </w:t>
      </w:r>
      <w:r>
        <w:t>W</w:t>
      </w:r>
      <w:r w:rsidRPr="000074A2">
        <w:t xml:space="preserve">ay: An </w:t>
      </w:r>
      <w:proofErr w:type="gramStart"/>
      <w:r w:rsidRPr="000074A2">
        <w:t>Inside</w:t>
      </w:r>
      <w:proofErr w:type="gramEnd"/>
      <w:r w:rsidRPr="000074A2">
        <w:t xml:space="preserve"> Look at What It’s Like to Build Companies</w:t>
      </w:r>
      <w:r>
        <w:t xml:space="preserve"> at</w:t>
      </w:r>
      <w:r w:rsidRPr="000074A2">
        <w:t xml:space="preserve"> Lightning Speed,” </w:t>
      </w:r>
      <w:r>
        <w:t>T</w:t>
      </w:r>
      <w:r w:rsidRPr="000074A2">
        <w:t>ech.eu, August 28, 2014, accessed June 4, 2017, http://tech.eu/features/2553/rocket-internet-profile-modus-operandi.</w:t>
      </w:r>
    </w:p>
  </w:endnote>
  <w:endnote w:id="29">
    <w:p w14:paraId="091AEBF2" w14:textId="00686DF9" w:rsidR="0032202E" w:rsidRPr="000074A2" w:rsidRDefault="0032202E" w:rsidP="005169F6">
      <w:pPr>
        <w:pStyle w:val="Footnote"/>
      </w:pPr>
      <w:r w:rsidRPr="000074A2">
        <w:rPr>
          <w:rStyle w:val="EndnoteReference"/>
        </w:rPr>
        <w:endnoteRef/>
      </w:r>
      <w:r w:rsidRPr="000074A2">
        <w:t xml:space="preserve"> Jon Russel</w:t>
      </w:r>
      <w:r>
        <w:t>l</w:t>
      </w:r>
      <w:r w:rsidRPr="000074A2">
        <w:t>, “T-</w:t>
      </w:r>
      <w:r>
        <w:t>M</w:t>
      </w:r>
      <w:r w:rsidRPr="000074A2">
        <w:t xml:space="preserve">inus 10: Rocket Internet’s </w:t>
      </w:r>
      <w:r>
        <w:t>E</w:t>
      </w:r>
      <w:r w:rsidRPr="000074A2">
        <w:t xml:space="preserve">commerce </w:t>
      </w:r>
      <w:r>
        <w:t>C</w:t>
      </w:r>
      <w:r w:rsidRPr="000074A2">
        <w:t xml:space="preserve">lones </w:t>
      </w:r>
      <w:r>
        <w:t>A</w:t>
      </w:r>
      <w:r w:rsidRPr="000074A2">
        <w:t xml:space="preserve">re </w:t>
      </w:r>
      <w:r>
        <w:t>A</w:t>
      </w:r>
      <w:r w:rsidRPr="000074A2">
        <w:t xml:space="preserve">iming to </w:t>
      </w:r>
      <w:r>
        <w:t>C</w:t>
      </w:r>
      <w:r w:rsidRPr="000074A2">
        <w:t xml:space="preserve">onquer Southeast Asia,” </w:t>
      </w:r>
      <w:r>
        <w:t>T</w:t>
      </w:r>
      <w:r w:rsidRPr="000074A2">
        <w:t>he</w:t>
      </w:r>
      <w:r>
        <w:t xml:space="preserve"> N</w:t>
      </w:r>
      <w:r w:rsidRPr="000074A2">
        <w:t>ext</w:t>
      </w:r>
      <w:r>
        <w:t xml:space="preserve"> W</w:t>
      </w:r>
      <w:r w:rsidRPr="000074A2">
        <w:t>eb, March 21, 2012, accessed June 4, 2017, https://thenextweb.com/asia/2012/03/20/t-minus-10-rocket-internets-ecommerce-clones-are-aiming-to-conquer-southeast-asia/#.tnw_zYSQZtgI.</w:t>
      </w:r>
    </w:p>
  </w:endnote>
  <w:endnote w:id="30">
    <w:p w14:paraId="1AE47A9C" w14:textId="24F3C4DE" w:rsidR="0032202E" w:rsidRPr="000074A2" w:rsidRDefault="0032202E" w:rsidP="005169F6">
      <w:pPr>
        <w:pStyle w:val="Footnote"/>
      </w:pPr>
      <w:r w:rsidRPr="000074A2">
        <w:rPr>
          <w:rStyle w:val="EndnoteReference"/>
        </w:rPr>
        <w:endnoteRef/>
      </w:r>
      <w:r w:rsidRPr="000074A2">
        <w:t xml:space="preserve"> Marguerite </w:t>
      </w:r>
      <w:proofErr w:type="spellStart"/>
      <w:r w:rsidRPr="000074A2">
        <w:t>Imbert</w:t>
      </w:r>
      <w:proofErr w:type="spellEnd"/>
      <w:r w:rsidRPr="000074A2">
        <w:t xml:space="preserve">, “The McKinsey Grad Cloning Amazon: Can You Pass the </w:t>
      </w:r>
      <w:proofErr w:type="spellStart"/>
      <w:r w:rsidRPr="000074A2">
        <w:t>Lazada</w:t>
      </w:r>
      <w:proofErr w:type="spellEnd"/>
      <w:proofErr w:type="gramStart"/>
      <w:r w:rsidRPr="000074A2">
        <w:t>?,</w:t>
      </w:r>
      <w:proofErr w:type="gramEnd"/>
      <w:r w:rsidRPr="000074A2">
        <w:t xml:space="preserve">” </w:t>
      </w:r>
      <w:proofErr w:type="spellStart"/>
      <w:r>
        <w:t>H</w:t>
      </w:r>
      <w:r w:rsidRPr="000074A2">
        <w:t>eureka</w:t>
      </w:r>
      <w:proofErr w:type="spellEnd"/>
      <w:r w:rsidRPr="000074A2">
        <w:t>, March 23, 2012, accessed June 4, 2017, http://theheureka.com/maximilian-bittner-the-mckinsey-grad-cloning-amazon.</w:t>
      </w:r>
    </w:p>
  </w:endnote>
  <w:endnote w:id="31">
    <w:p w14:paraId="7CED8D33" w14:textId="1849CE4D" w:rsidR="0032202E" w:rsidRPr="000074A2" w:rsidRDefault="0032202E" w:rsidP="005169F6">
      <w:pPr>
        <w:pStyle w:val="Footnote"/>
      </w:pPr>
      <w:r w:rsidRPr="000074A2">
        <w:rPr>
          <w:rStyle w:val="EndnoteReference"/>
        </w:rPr>
        <w:endnoteRef/>
      </w:r>
      <w:r w:rsidRPr="000074A2">
        <w:t xml:space="preserve"> </w:t>
      </w:r>
      <w:proofErr w:type="spellStart"/>
      <w:r>
        <w:t>Lazada</w:t>
      </w:r>
      <w:proofErr w:type="spellEnd"/>
      <w:r>
        <w:t xml:space="preserve">, </w:t>
      </w:r>
      <w:r w:rsidRPr="000074A2">
        <w:t>“</w:t>
      </w:r>
      <w:proofErr w:type="spellStart"/>
      <w:r w:rsidRPr="000074A2">
        <w:t>Lazada</w:t>
      </w:r>
      <w:proofErr w:type="spellEnd"/>
      <w:r w:rsidRPr="000074A2">
        <w:t xml:space="preserve"> Group Announces Annualized GMV of USD 1.3</w:t>
      </w:r>
      <w:r>
        <w:t xml:space="preserve"> B</w:t>
      </w:r>
      <w:r w:rsidRPr="000074A2">
        <w:t>illion Ahead of Southeast Asia-</w:t>
      </w:r>
      <w:r>
        <w:t>W</w:t>
      </w:r>
      <w:r w:rsidRPr="000074A2">
        <w:t xml:space="preserve">ide Birthday Campaign,” </w:t>
      </w:r>
      <w:r>
        <w:t>news</w:t>
      </w:r>
      <w:r w:rsidRPr="000074A2">
        <w:t xml:space="preserve"> release, March 14, 2016, accessed June 4, 2017, </w:t>
      </w:r>
      <w:r w:rsidRPr="00566634">
        <w:t>https://www.lazada.com/sites/default/files/press-releases/2016_03_01_Lazada_Group_announces_annualized_GMV_of_US_1_3_billion_ahead_of_Southeast_Asia_wide_birthday_campaign.pdf</w:t>
      </w:r>
      <w:r w:rsidRPr="000074A2">
        <w:t>.</w:t>
      </w:r>
    </w:p>
  </w:endnote>
  <w:endnote w:id="32">
    <w:p w14:paraId="0A32B0F9" w14:textId="77777777" w:rsidR="008837C1" w:rsidRPr="000074A2" w:rsidRDefault="008837C1" w:rsidP="008837C1">
      <w:pPr>
        <w:pStyle w:val="Footnote"/>
      </w:pPr>
      <w:r w:rsidRPr="000074A2">
        <w:rPr>
          <w:rStyle w:val="EndnoteReference"/>
        </w:rPr>
        <w:endnoteRef/>
      </w:r>
      <w:r w:rsidRPr="000074A2">
        <w:t xml:space="preserve"> </w:t>
      </w:r>
      <w:r w:rsidRPr="0040785B">
        <w:t>“</w:t>
      </w:r>
      <w:proofErr w:type="spellStart"/>
      <w:r w:rsidRPr="0040785B">
        <w:t>Lazada</w:t>
      </w:r>
      <w:proofErr w:type="spellEnd"/>
      <w:r w:rsidRPr="0040785B">
        <w:t xml:space="preserve"> Group,” Wikipedia, accessed June 5, 2017, https://www.lazada.com/</w:t>
      </w:r>
      <w:r>
        <w:t>.</w:t>
      </w:r>
    </w:p>
  </w:endnote>
  <w:endnote w:id="33">
    <w:p w14:paraId="46590B41" w14:textId="589F92E3" w:rsidR="0032202E" w:rsidRPr="000074A2" w:rsidRDefault="0032202E" w:rsidP="005169F6">
      <w:pPr>
        <w:pStyle w:val="Footnote"/>
      </w:pPr>
      <w:r w:rsidRPr="000074A2">
        <w:rPr>
          <w:rStyle w:val="EndnoteReference"/>
        </w:rPr>
        <w:endnoteRef/>
      </w:r>
      <w:r w:rsidRPr="000074A2">
        <w:t xml:space="preserve"> </w:t>
      </w:r>
      <w:proofErr w:type="spellStart"/>
      <w:r>
        <w:t>Lazada</w:t>
      </w:r>
      <w:proofErr w:type="spellEnd"/>
      <w:r>
        <w:t>, op. cit</w:t>
      </w:r>
      <w:r w:rsidRPr="000074A2">
        <w:t>.</w:t>
      </w:r>
    </w:p>
  </w:endnote>
  <w:endnote w:id="34">
    <w:p w14:paraId="5C431DF8" w14:textId="77777777" w:rsidR="008837C1" w:rsidRPr="000074A2" w:rsidRDefault="008837C1" w:rsidP="008837C1">
      <w:pPr>
        <w:pStyle w:val="Footnote"/>
      </w:pPr>
      <w:r w:rsidRPr="000074A2">
        <w:rPr>
          <w:rStyle w:val="EndnoteReference"/>
        </w:rPr>
        <w:endnoteRef/>
      </w:r>
      <w:r w:rsidRPr="000074A2">
        <w:t xml:space="preserve"> </w:t>
      </w:r>
      <w:proofErr w:type="spellStart"/>
      <w:r>
        <w:t>Lazada</w:t>
      </w:r>
      <w:proofErr w:type="spellEnd"/>
      <w:r>
        <w:t>, op. cit</w:t>
      </w:r>
      <w:r w:rsidRPr="000074A2">
        <w:t>.</w:t>
      </w:r>
    </w:p>
  </w:endnote>
  <w:endnote w:id="35">
    <w:p w14:paraId="1F830633" w14:textId="18866F9F" w:rsidR="0032202E" w:rsidRPr="000074A2" w:rsidRDefault="0032202E" w:rsidP="005169F6">
      <w:pPr>
        <w:pStyle w:val="Footnote"/>
      </w:pPr>
      <w:r w:rsidRPr="000074A2">
        <w:rPr>
          <w:rStyle w:val="EndnoteReference"/>
        </w:rPr>
        <w:endnoteRef/>
      </w:r>
      <w:r w:rsidRPr="000074A2">
        <w:t xml:space="preserve"> Rocket Internet, </w:t>
      </w:r>
      <w:r w:rsidRPr="00BA3D71">
        <w:rPr>
          <w:i/>
        </w:rPr>
        <w:t>Rocket Internet Annual Report 2015</w:t>
      </w:r>
      <w:r w:rsidRPr="000074A2">
        <w:t xml:space="preserve">, </w:t>
      </w:r>
      <w:r>
        <w:t xml:space="preserve">2016, </w:t>
      </w:r>
      <w:r w:rsidRPr="000074A2">
        <w:t xml:space="preserve">accessed June 5, 2017, </w:t>
      </w:r>
      <w:r w:rsidRPr="00566634">
        <w:t>https://www.rocket-internet.com/sites/default/files/investors/Rocket%20Internet%20Annual%20Report%202015.pdf</w:t>
      </w:r>
      <w:r w:rsidRPr="000074A2">
        <w:t>.</w:t>
      </w:r>
    </w:p>
  </w:endnote>
  <w:endnote w:id="36">
    <w:p w14:paraId="39481EF4" w14:textId="25C9A1B5" w:rsidR="0032202E" w:rsidRPr="000074A2" w:rsidRDefault="0032202E" w:rsidP="005169F6">
      <w:pPr>
        <w:pStyle w:val="Footnote"/>
      </w:pPr>
      <w:r w:rsidRPr="000074A2">
        <w:rPr>
          <w:rStyle w:val="EndnoteReference"/>
        </w:rPr>
        <w:endnoteRef/>
      </w:r>
      <w:r w:rsidRPr="000074A2">
        <w:t xml:space="preserve"> “</w:t>
      </w:r>
      <w:proofErr w:type="spellStart"/>
      <w:r w:rsidRPr="000074A2">
        <w:t>Lazada</w:t>
      </w:r>
      <w:proofErr w:type="spellEnd"/>
      <w:r w:rsidRPr="000074A2">
        <w:t xml:space="preserve"> E-</w:t>
      </w:r>
      <w:r>
        <w:t>C</w:t>
      </w:r>
      <w:r w:rsidRPr="000074A2">
        <w:t xml:space="preserve">ommerce Statistics </w:t>
      </w:r>
      <w:r>
        <w:t>a</w:t>
      </w:r>
      <w:r w:rsidRPr="000074A2">
        <w:t xml:space="preserve">cross Southeast Asia,” </w:t>
      </w:r>
      <w:proofErr w:type="spellStart"/>
      <w:r>
        <w:t>Lazada</w:t>
      </w:r>
      <w:proofErr w:type="spellEnd"/>
      <w:r>
        <w:t xml:space="preserve"> Southeast Asia, </w:t>
      </w:r>
      <w:r w:rsidRPr="000074A2">
        <w:t>accessed June 5, 2017, www.lazada.com.ph/lazada-statistics/.</w:t>
      </w:r>
    </w:p>
  </w:endnote>
  <w:endnote w:id="37">
    <w:p w14:paraId="6D14E34C" w14:textId="77777777" w:rsidR="008837C1" w:rsidRPr="000074A2" w:rsidRDefault="008837C1" w:rsidP="008837C1">
      <w:pPr>
        <w:pStyle w:val="Footnote"/>
      </w:pPr>
      <w:r w:rsidRPr="000074A2">
        <w:rPr>
          <w:rStyle w:val="EndnoteReference"/>
        </w:rPr>
        <w:endnoteRef/>
      </w:r>
      <w:r w:rsidRPr="000074A2">
        <w:t xml:space="preserve"> Jon Russe</w:t>
      </w:r>
      <w:r>
        <w:t>l</w:t>
      </w:r>
      <w:r w:rsidRPr="000074A2">
        <w:t>l, “</w:t>
      </w:r>
      <w:proofErr w:type="spellStart"/>
      <w:r w:rsidRPr="000074A2">
        <w:t>Spiraling</w:t>
      </w:r>
      <w:proofErr w:type="spellEnd"/>
      <w:r w:rsidRPr="000074A2">
        <w:t xml:space="preserve"> Losses Show </w:t>
      </w:r>
      <w:proofErr w:type="spellStart"/>
      <w:r w:rsidRPr="000074A2">
        <w:t>Lazada</w:t>
      </w:r>
      <w:proofErr w:type="spellEnd"/>
      <w:r w:rsidRPr="000074A2">
        <w:t xml:space="preserve"> Desperately Needed Alibaba Investment,” </w:t>
      </w:r>
      <w:r>
        <w:t>T</w:t>
      </w:r>
      <w:r w:rsidRPr="000074A2">
        <w:t>ech</w:t>
      </w:r>
      <w:r>
        <w:t xml:space="preserve"> C</w:t>
      </w:r>
      <w:r w:rsidRPr="000074A2">
        <w:t>runch, April 14, 2016, accessed June 5, 2017</w:t>
      </w:r>
      <w:r>
        <w:t xml:space="preserve">, </w:t>
      </w:r>
      <w:r w:rsidRPr="000074A2">
        <w:t>https://techcrunch.com/2016/04/14/spiralling-losses-show-lazada-desperately-needed-alibaba-investment.</w:t>
      </w:r>
    </w:p>
  </w:endnote>
  <w:endnote w:id="38">
    <w:p w14:paraId="536A8C1C" w14:textId="5A1E6E33" w:rsidR="0032202E" w:rsidRPr="000074A2" w:rsidRDefault="0032202E" w:rsidP="005169F6">
      <w:pPr>
        <w:pStyle w:val="Footnote"/>
      </w:pPr>
      <w:r w:rsidRPr="000074A2">
        <w:rPr>
          <w:rStyle w:val="EndnoteReference"/>
        </w:rPr>
        <w:endnoteRef/>
      </w:r>
      <w:r w:rsidRPr="000074A2">
        <w:t xml:space="preserve"> Rocket Internet, </w:t>
      </w:r>
      <w:r w:rsidRPr="00BA3D71">
        <w:rPr>
          <w:i/>
        </w:rPr>
        <w:t>Rocket Internet Annual Report 2015</w:t>
      </w:r>
      <w:r>
        <w:t>, op. cit</w:t>
      </w:r>
      <w:r w:rsidRPr="000074A2">
        <w:t>.</w:t>
      </w:r>
    </w:p>
  </w:endnote>
  <w:endnote w:id="39">
    <w:p w14:paraId="4C45FB10" w14:textId="36811252" w:rsidR="0032202E" w:rsidRPr="000074A2" w:rsidRDefault="0032202E" w:rsidP="005169F6">
      <w:pPr>
        <w:pStyle w:val="Footnote"/>
      </w:pPr>
      <w:r w:rsidRPr="000074A2">
        <w:rPr>
          <w:rStyle w:val="EndnoteReference"/>
        </w:rPr>
        <w:endnoteRef/>
      </w:r>
      <w:r w:rsidRPr="000074A2">
        <w:t xml:space="preserve"> Russe</w:t>
      </w:r>
      <w:r>
        <w:t>l</w:t>
      </w:r>
      <w:r w:rsidRPr="000074A2">
        <w:t>l, “</w:t>
      </w:r>
      <w:proofErr w:type="spellStart"/>
      <w:r w:rsidRPr="000074A2">
        <w:t>Spiraling</w:t>
      </w:r>
      <w:proofErr w:type="spellEnd"/>
      <w:r w:rsidRPr="000074A2">
        <w:t xml:space="preserve"> Losses Show </w:t>
      </w:r>
      <w:proofErr w:type="spellStart"/>
      <w:r w:rsidRPr="000074A2">
        <w:t>Lazada</w:t>
      </w:r>
      <w:proofErr w:type="spellEnd"/>
      <w:r w:rsidRPr="000074A2">
        <w:t xml:space="preserve"> Desperately Needed Alibaba Investment,” </w:t>
      </w:r>
      <w:r>
        <w:t>op. cit.</w:t>
      </w:r>
    </w:p>
  </w:endnote>
  <w:endnote w:id="40">
    <w:p w14:paraId="5D44E68D" w14:textId="77777777" w:rsidR="00C748A5" w:rsidRPr="000074A2" w:rsidRDefault="00C748A5" w:rsidP="00C748A5">
      <w:pPr>
        <w:pStyle w:val="Footnote"/>
      </w:pPr>
      <w:r w:rsidRPr="000074A2">
        <w:rPr>
          <w:rStyle w:val="EndnoteReference"/>
        </w:rPr>
        <w:endnoteRef/>
      </w:r>
      <w:r w:rsidRPr="000074A2">
        <w:t xml:space="preserve"> Jon Russe</w:t>
      </w:r>
      <w:r>
        <w:t>l</w:t>
      </w:r>
      <w:r w:rsidRPr="000074A2">
        <w:t>l,</w:t>
      </w:r>
      <w:r>
        <w:t xml:space="preserve"> “</w:t>
      </w:r>
      <w:r w:rsidRPr="000074A2">
        <w:t xml:space="preserve">Alibaba $1B Investment Came Just </w:t>
      </w:r>
      <w:r>
        <w:t>i</w:t>
      </w:r>
      <w:r w:rsidRPr="000074A2">
        <w:t xml:space="preserve">n Time </w:t>
      </w:r>
      <w:r>
        <w:t>f</w:t>
      </w:r>
      <w:r w:rsidRPr="000074A2">
        <w:t xml:space="preserve">or Cash-Strapped </w:t>
      </w:r>
      <w:proofErr w:type="spellStart"/>
      <w:r w:rsidRPr="000074A2">
        <w:t>Lazada</w:t>
      </w:r>
      <w:proofErr w:type="spellEnd"/>
      <w:r w:rsidRPr="000074A2">
        <w:t xml:space="preserve">,” </w:t>
      </w:r>
      <w:r>
        <w:t>T</w:t>
      </w:r>
      <w:r w:rsidRPr="000074A2">
        <w:t>ech</w:t>
      </w:r>
      <w:r>
        <w:t xml:space="preserve"> C</w:t>
      </w:r>
      <w:r w:rsidRPr="000074A2">
        <w:t>runch, April 13, 2016, accessed June 6, 2017, https://techcrunch.com/2016/04/13/alizada.</w:t>
      </w:r>
    </w:p>
  </w:endnote>
  <w:endnote w:id="41">
    <w:p w14:paraId="34E866D7" w14:textId="608B5503" w:rsidR="0032202E" w:rsidRPr="000074A2" w:rsidRDefault="0032202E" w:rsidP="005169F6">
      <w:pPr>
        <w:pStyle w:val="Footnote"/>
      </w:pPr>
      <w:r w:rsidRPr="000074A2">
        <w:rPr>
          <w:rStyle w:val="EndnoteReference"/>
        </w:rPr>
        <w:endnoteRef/>
      </w:r>
      <w:r w:rsidRPr="000074A2">
        <w:t xml:space="preserve"> Russe</w:t>
      </w:r>
      <w:r>
        <w:t>l</w:t>
      </w:r>
      <w:r w:rsidRPr="000074A2">
        <w:t>l,</w:t>
      </w:r>
      <w:r>
        <w:t xml:space="preserve"> “</w:t>
      </w:r>
      <w:r w:rsidRPr="000074A2">
        <w:t xml:space="preserve">Alibaba $1B Investment Came Just </w:t>
      </w:r>
      <w:r>
        <w:t>i</w:t>
      </w:r>
      <w:r w:rsidRPr="000074A2">
        <w:t xml:space="preserve">n Time </w:t>
      </w:r>
      <w:r>
        <w:t>f</w:t>
      </w:r>
      <w:r w:rsidRPr="000074A2">
        <w:t xml:space="preserve">or Cash-Strapped </w:t>
      </w:r>
      <w:proofErr w:type="spellStart"/>
      <w:r w:rsidRPr="000074A2">
        <w:t>Lazada</w:t>
      </w:r>
      <w:proofErr w:type="spellEnd"/>
      <w:r w:rsidRPr="000074A2">
        <w:t>,”</w:t>
      </w:r>
      <w:r>
        <w:t xml:space="preserve"> op. cit</w:t>
      </w:r>
      <w:r w:rsidRPr="000074A2">
        <w:t>.</w:t>
      </w:r>
    </w:p>
  </w:endnote>
  <w:endnote w:id="42">
    <w:p w14:paraId="666CC2A9" w14:textId="17E96E7A" w:rsidR="0032202E" w:rsidRPr="000074A2" w:rsidRDefault="0032202E" w:rsidP="005169F6">
      <w:pPr>
        <w:pStyle w:val="Footnote"/>
      </w:pPr>
      <w:r w:rsidRPr="000074A2">
        <w:rPr>
          <w:rStyle w:val="EndnoteReference"/>
        </w:rPr>
        <w:endnoteRef/>
      </w:r>
      <w:r w:rsidRPr="000074A2">
        <w:t xml:space="preserve"> </w:t>
      </w:r>
      <w:r>
        <w:t xml:space="preserve">Rocket Internet, </w:t>
      </w:r>
      <w:r w:rsidRPr="000074A2">
        <w:t xml:space="preserve">“Rocket Internet Portfolio Companies Show Continued Growth and Improvement in Profitability 2015,” </w:t>
      </w:r>
      <w:r>
        <w:t xml:space="preserve">news release, </w:t>
      </w:r>
      <w:r w:rsidRPr="000074A2">
        <w:t>Apr</w:t>
      </w:r>
      <w:r>
        <w:t>i</w:t>
      </w:r>
      <w:r w:rsidRPr="000074A2">
        <w:t xml:space="preserve">l 14, 2016, accessed June 6, 2017, http://rocketinternet.pr.co/126308-rocket-internet-portfolio-companies-show-continued-growth-and-improvement-in-profitability-in-2015. </w:t>
      </w:r>
    </w:p>
  </w:endnote>
  <w:endnote w:id="43">
    <w:p w14:paraId="0FADBF8F" w14:textId="7C02EA02" w:rsidR="0032202E" w:rsidRPr="000074A2" w:rsidRDefault="0032202E" w:rsidP="005169F6">
      <w:pPr>
        <w:pStyle w:val="Footnote"/>
      </w:pPr>
      <w:r w:rsidRPr="000074A2">
        <w:rPr>
          <w:rStyle w:val="EndnoteReference"/>
        </w:rPr>
        <w:endnoteRef/>
      </w:r>
      <w:r w:rsidRPr="000074A2">
        <w:t xml:space="preserve"> </w:t>
      </w:r>
      <w:r>
        <w:t xml:space="preserve">Alibaba Group, </w:t>
      </w:r>
      <w:r w:rsidRPr="000074A2">
        <w:t xml:space="preserve">“Transaction Makes Alibaba a Leading </w:t>
      </w:r>
      <w:proofErr w:type="spellStart"/>
      <w:r w:rsidRPr="000074A2">
        <w:t>eCommerce</w:t>
      </w:r>
      <w:proofErr w:type="spellEnd"/>
      <w:r w:rsidRPr="000074A2">
        <w:t xml:space="preserve"> Platform in Southeast Asia,” </w:t>
      </w:r>
      <w:r>
        <w:t>B</w:t>
      </w:r>
      <w:r w:rsidRPr="000074A2">
        <w:t>usiness</w:t>
      </w:r>
      <w:r>
        <w:t xml:space="preserve"> W</w:t>
      </w:r>
      <w:r w:rsidRPr="000074A2">
        <w:t>ire</w:t>
      </w:r>
      <w:r>
        <w:t xml:space="preserve">, news release, </w:t>
      </w:r>
      <w:r w:rsidRPr="000074A2">
        <w:t>April 12, 2016, accessed June 7, 2017, www.businesswire.com/news/home/20160411006370/en/Alibaba-Acquires-Controlling-Stake-eCommerce-Platform-Lazada.</w:t>
      </w:r>
    </w:p>
  </w:endnote>
  <w:endnote w:id="44">
    <w:p w14:paraId="0D06C15F" w14:textId="415D41D1" w:rsidR="0032202E" w:rsidRPr="000074A2" w:rsidRDefault="0032202E" w:rsidP="005169F6">
      <w:pPr>
        <w:pStyle w:val="Footnote"/>
      </w:pPr>
      <w:r w:rsidRPr="000074A2">
        <w:rPr>
          <w:rStyle w:val="EndnoteReference"/>
        </w:rPr>
        <w:endnoteRef/>
      </w:r>
      <w:r w:rsidRPr="000074A2">
        <w:t xml:space="preserve"> Mill</w:t>
      </w:r>
      <w:r>
        <w:t>w</w:t>
      </w:r>
      <w:r w:rsidRPr="000074A2">
        <w:t>ard,</w:t>
      </w:r>
      <w:r>
        <w:t xml:space="preserve"> op. cit</w:t>
      </w:r>
      <w:r w:rsidRPr="000074A2">
        <w:t>.</w:t>
      </w:r>
    </w:p>
  </w:endnote>
  <w:endnote w:id="45">
    <w:p w14:paraId="787A03C8" w14:textId="557D85A9" w:rsidR="0032202E" w:rsidRPr="000074A2" w:rsidRDefault="0032202E" w:rsidP="005169F6">
      <w:pPr>
        <w:pStyle w:val="Footnote"/>
      </w:pPr>
      <w:r w:rsidRPr="000074A2">
        <w:rPr>
          <w:rStyle w:val="EndnoteReference"/>
        </w:rPr>
        <w:endnoteRef/>
      </w:r>
      <w:r w:rsidRPr="000074A2">
        <w:t xml:space="preserve"> </w:t>
      </w:r>
      <w:r>
        <w:t xml:space="preserve">Alibaba Group, </w:t>
      </w:r>
      <w:r w:rsidRPr="000074A2">
        <w:t xml:space="preserve">“Transaction Makes Alibaba a Leading </w:t>
      </w:r>
      <w:proofErr w:type="spellStart"/>
      <w:r w:rsidRPr="000074A2">
        <w:t>eCommerce</w:t>
      </w:r>
      <w:proofErr w:type="spellEnd"/>
      <w:r w:rsidRPr="000074A2">
        <w:t xml:space="preserve"> Platform in Southeast Asia,” </w:t>
      </w:r>
      <w:r>
        <w:t>op. cit</w:t>
      </w:r>
      <w:r w:rsidRPr="000074A2">
        <w:t>.</w:t>
      </w:r>
    </w:p>
  </w:endnote>
  <w:endnote w:id="46">
    <w:p w14:paraId="6496A4E7" w14:textId="77777777" w:rsidR="00E25A4B" w:rsidRPr="000074A2" w:rsidRDefault="00E25A4B" w:rsidP="00E25A4B">
      <w:pPr>
        <w:pStyle w:val="Footnote"/>
      </w:pPr>
      <w:r w:rsidRPr="000074A2">
        <w:rPr>
          <w:rStyle w:val="EndnoteReference"/>
        </w:rPr>
        <w:endnoteRef/>
      </w:r>
      <w:r w:rsidRPr="000074A2">
        <w:t xml:space="preserve"> Jon </w:t>
      </w:r>
      <w:proofErr w:type="spellStart"/>
      <w:r w:rsidRPr="000074A2">
        <w:t>Fernquest</w:t>
      </w:r>
      <w:proofErr w:type="spellEnd"/>
      <w:r>
        <w:t xml:space="preserve"> and </w:t>
      </w:r>
      <w:proofErr w:type="spellStart"/>
      <w:r w:rsidRPr="00BB5F1F">
        <w:t>Suchit</w:t>
      </w:r>
      <w:proofErr w:type="spellEnd"/>
      <w:r w:rsidRPr="00BB5F1F">
        <w:t xml:space="preserve"> </w:t>
      </w:r>
      <w:proofErr w:type="spellStart"/>
      <w:r w:rsidRPr="00BB5F1F">
        <w:t>Leesa-nguansuk</w:t>
      </w:r>
      <w:proofErr w:type="spellEnd"/>
      <w:r w:rsidRPr="000074A2">
        <w:t>, “</w:t>
      </w:r>
      <w:proofErr w:type="spellStart"/>
      <w:r w:rsidRPr="000074A2">
        <w:t>Lazada</w:t>
      </w:r>
      <w:proofErr w:type="spellEnd"/>
      <w:r w:rsidRPr="000074A2">
        <w:t xml:space="preserve">: Alibaba </w:t>
      </w:r>
      <w:r>
        <w:t>a</w:t>
      </w:r>
      <w:r w:rsidRPr="000074A2">
        <w:t xml:space="preserve">s Bridge </w:t>
      </w:r>
      <w:r>
        <w:t>t</w:t>
      </w:r>
      <w:r w:rsidRPr="000074A2">
        <w:t xml:space="preserve">o China &amp; Big Data Provider,” </w:t>
      </w:r>
      <w:r w:rsidRPr="00BA3D71">
        <w:rPr>
          <w:i/>
        </w:rPr>
        <w:t>Bangkok Post</w:t>
      </w:r>
      <w:r w:rsidRPr="000074A2">
        <w:t>, July 5, 2016, accessed June 7, 2017, www.bangkokpost.com/learning/advanced/1028138/lazada-alibaba-as-bridge-to-china-big-data-provider.</w:t>
      </w:r>
    </w:p>
  </w:endnote>
  <w:endnote w:id="47">
    <w:p w14:paraId="549E388E" w14:textId="2758215E" w:rsidR="0032202E" w:rsidRPr="000074A2" w:rsidRDefault="0032202E" w:rsidP="005169F6">
      <w:pPr>
        <w:pStyle w:val="Footnote"/>
      </w:pPr>
      <w:r w:rsidRPr="000074A2">
        <w:rPr>
          <w:rStyle w:val="EndnoteReference"/>
        </w:rPr>
        <w:endnoteRef/>
      </w:r>
      <w:r w:rsidRPr="000074A2">
        <w:t xml:space="preserve"> Eileen Yu, “</w:t>
      </w:r>
      <w:proofErr w:type="spellStart"/>
      <w:r w:rsidRPr="000074A2">
        <w:t>Lazada</w:t>
      </w:r>
      <w:proofErr w:type="spellEnd"/>
      <w:r w:rsidRPr="000074A2">
        <w:t xml:space="preserve"> Quietly Confident </w:t>
      </w:r>
      <w:r>
        <w:t>a</w:t>
      </w:r>
      <w:r w:rsidRPr="000074A2">
        <w:t xml:space="preserve">mid </w:t>
      </w:r>
      <w:proofErr w:type="spellStart"/>
      <w:r w:rsidRPr="000074A2">
        <w:t>Rumored</w:t>
      </w:r>
      <w:proofErr w:type="spellEnd"/>
      <w:r w:rsidRPr="000074A2">
        <w:t xml:space="preserve"> Amazon Southeast Asia Entry,” </w:t>
      </w:r>
      <w:r>
        <w:t>ZDN</w:t>
      </w:r>
      <w:r w:rsidRPr="000074A2">
        <w:t>et, December 2, 2016, accessed June 7, 2017, www.zdnet.com/article/lazada-quietly-confident-amid-rumoured-amazon-southeast-asia-entry.</w:t>
      </w:r>
    </w:p>
  </w:endnote>
  <w:endnote w:id="48">
    <w:p w14:paraId="4428E328" w14:textId="7B04E80A" w:rsidR="0032202E" w:rsidRPr="000074A2" w:rsidRDefault="0032202E" w:rsidP="005169F6">
      <w:pPr>
        <w:pStyle w:val="Footnote"/>
      </w:pPr>
      <w:r w:rsidRPr="000074A2">
        <w:rPr>
          <w:rStyle w:val="EndnoteReference"/>
        </w:rPr>
        <w:endnoteRef/>
      </w:r>
      <w:r w:rsidRPr="000074A2">
        <w:t xml:space="preserve"> “</w:t>
      </w:r>
      <w:proofErr w:type="spellStart"/>
      <w:r w:rsidRPr="000074A2">
        <w:t>Lazada</w:t>
      </w:r>
      <w:proofErr w:type="spellEnd"/>
      <w:r w:rsidRPr="000074A2">
        <w:t xml:space="preserve"> Singapore </w:t>
      </w:r>
      <w:r>
        <w:t>S</w:t>
      </w:r>
      <w:r w:rsidRPr="000074A2">
        <w:t xml:space="preserve">ends Top Five Sellers to Alibaba’s Campus,” </w:t>
      </w:r>
      <w:r>
        <w:t>Y</w:t>
      </w:r>
      <w:r w:rsidRPr="000074A2">
        <w:t>ahoo</w:t>
      </w:r>
      <w:r>
        <w:t>!</w:t>
      </w:r>
      <w:r w:rsidRPr="00BB5F1F">
        <w:t xml:space="preserve"> </w:t>
      </w:r>
      <w:r>
        <w:t>F</w:t>
      </w:r>
      <w:r w:rsidRPr="000074A2">
        <w:t>inance, February 16</w:t>
      </w:r>
      <w:r>
        <w:t xml:space="preserve">, </w:t>
      </w:r>
      <w:r w:rsidRPr="000074A2">
        <w:t>2017, accessed June 7, 2017, https://finance.yahoo.com/news/lazada-singapore-sends-top-five-064300052.html.</w:t>
      </w:r>
    </w:p>
  </w:endnote>
  <w:endnote w:id="49">
    <w:p w14:paraId="7C979A25" w14:textId="35D16434" w:rsidR="0032202E" w:rsidRPr="000074A2" w:rsidRDefault="0032202E" w:rsidP="005169F6">
      <w:pPr>
        <w:pStyle w:val="Footnote"/>
      </w:pPr>
      <w:r w:rsidRPr="000074A2">
        <w:rPr>
          <w:rStyle w:val="EndnoteReference"/>
        </w:rPr>
        <w:endnoteRef/>
      </w:r>
      <w:r w:rsidRPr="000074A2">
        <w:t xml:space="preserve"> </w:t>
      </w:r>
      <w:proofErr w:type="spellStart"/>
      <w:r w:rsidRPr="000074A2">
        <w:t>Fernquest</w:t>
      </w:r>
      <w:proofErr w:type="spellEnd"/>
      <w:r w:rsidRPr="00BB5F1F">
        <w:t xml:space="preserve"> and </w:t>
      </w:r>
      <w:proofErr w:type="spellStart"/>
      <w:r w:rsidRPr="00BB5F1F">
        <w:t>Leesa-nguansuk</w:t>
      </w:r>
      <w:proofErr w:type="spellEnd"/>
      <w:r w:rsidRPr="000074A2">
        <w:t>,</w:t>
      </w:r>
      <w:r>
        <w:t xml:space="preserve"> op. cit</w:t>
      </w:r>
      <w:r w:rsidRPr="000074A2">
        <w:t>.</w:t>
      </w:r>
    </w:p>
  </w:endnote>
  <w:endnote w:id="50">
    <w:p w14:paraId="66B9D8D0" w14:textId="48C00C10" w:rsidR="0032202E" w:rsidRPr="000074A2" w:rsidRDefault="0032202E" w:rsidP="005169F6">
      <w:pPr>
        <w:pStyle w:val="Footnote"/>
      </w:pPr>
      <w:r w:rsidRPr="000074A2">
        <w:rPr>
          <w:rStyle w:val="EndnoteReference"/>
        </w:rPr>
        <w:endnoteRef/>
      </w:r>
      <w:r w:rsidRPr="000074A2">
        <w:t xml:space="preserve"> A.</w:t>
      </w:r>
      <w:r w:rsidR="00C5790D">
        <w:t xml:space="preserve"> </w:t>
      </w:r>
      <w:r w:rsidRPr="000074A2">
        <w:t xml:space="preserve">T. Kearney, </w:t>
      </w:r>
      <w:r w:rsidRPr="00BA3D71">
        <w:rPr>
          <w:i/>
        </w:rPr>
        <w:t>Lifting the Barriers to E-Commerce in ASEAN</w:t>
      </w:r>
      <w:r>
        <w:t xml:space="preserve"> (A.</w:t>
      </w:r>
      <w:r w:rsidR="00C5790D">
        <w:t xml:space="preserve"> </w:t>
      </w:r>
      <w:r>
        <w:t xml:space="preserve">T. Kearney and CIMB </w:t>
      </w:r>
      <w:proofErr w:type="spellStart"/>
      <w:r>
        <w:t>Asean</w:t>
      </w:r>
      <w:proofErr w:type="spellEnd"/>
      <w:r>
        <w:t xml:space="preserve"> Research Institute,</w:t>
      </w:r>
      <w:r w:rsidRPr="000074A2" w:rsidDel="00BB5F1F">
        <w:t xml:space="preserve"> </w:t>
      </w:r>
      <w:r>
        <w:t>2015</w:t>
      </w:r>
      <w:r w:rsidRPr="000074A2">
        <w:t>, accessed June 7, 2017</w:t>
      </w:r>
      <w:r>
        <w:t xml:space="preserve">, </w:t>
      </w:r>
      <w:r w:rsidRPr="00BB5F1F">
        <w:t>https://www.atkearney.co.uk/documents/10192/5540871/Lifting+the+Barriers+to+E-Commerce+in+ASEAN.pdf/d977df60-3a86-42a6-8d19-1efd92010d52</w:t>
      </w:r>
      <w:r w:rsidRPr="000074A2">
        <w:t>.</w:t>
      </w:r>
    </w:p>
  </w:endnote>
  <w:endnote w:id="51">
    <w:p w14:paraId="51BDC1A3" w14:textId="4565C5F8" w:rsidR="0032202E" w:rsidRPr="000074A2" w:rsidRDefault="0032202E" w:rsidP="005169F6">
      <w:pPr>
        <w:pStyle w:val="Footnote"/>
      </w:pPr>
      <w:r w:rsidRPr="000074A2">
        <w:rPr>
          <w:rStyle w:val="EndnoteReference"/>
        </w:rPr>
        <w:endnoteRef/>
      </w:r>
      <w:r w:rsidRPr="000074A2">
        <w:t xml:space="preserve"> “How to Top </w:t>
      </w:r>
      <w:proofErr w:type="gramStart"/>
      <w:r w:rsidRPr="000074A2">
        <w:t>Up</w:t>
      </w:r>
      <w:proofErr w:type="gramEnd"/>
      <w:r w:rsidRPr="000074A2">
        <w:t xml:space="preserve"> </w:t>
      </w:r>
      <w:r>
        <w:t>U</w:t>
      </w:r>
      <w:r w:rsidRPr="000074A2">
        <w:t xml:space="preserve">sing </w:t>
      </w:r>
      <w:proofErr w:type="spellStart"/>
      <w:r w:rsidRPr="000074A2">
        <w:t>Bayad</w:t>
      </w:r>
      <w:proofErr w:type="spellEnd"/>
      <w:r w:rsidRPr="000074A2">
        <w:t xml:space="preserve"> </w:t>
      </w:r>
      <w:proofErr w:type="spellStart"/>
      <w:r w:rsidRPr="000074A2">
        <w:t>Center</w:t>
      </w:r>
      <w:proofErr w:type="spellEnd"/>
      <w:r w:rsidRPr="000074A2">
        <w:t xml:space="preserve"> Bills Payment Service,” </w:t>
      </w:r>
      <w:proofErr w:type="spellStart"/>
      <w:r>
        <w:t>Alipay</w:t>
      </w:r>
      <w:proofErr w:type="spellEnd"/>
      <w:r>
        <w:t xml:space="preserve">, </w:t>
      </w:r>
      <w:r w:rsidRPr="000074A2">
        <w:t>accessed June 8, 2017, https://www.hellopay.com.ph/top-up-using-bayad-center-bills-payment-service.html.</w:t>
      </w:r>
    </w:p>
  </w:endnote>
  <w:endnote w:id="52">
    <w:p w14:paraId="22DAC964" w14:textId="2FA7EA32" w:rsidR="0032202E" w:rsidRPr="000074A2" w:rsidRDefault="0032202E" w:rsidP="005169F6">
      <w:pPr>
        <w:pStyle w:val="Footnote"/>
      </w:pPr>
      <w:r w:rsidRPr="000074A2">
        <w:rPr>
          <w:rStyle w:val="EndnoteReference"/>
        </w:rPr>
        <w:endnoteRef/>
      </w:r>
      <w:r w:rsidRPr="000074A2">
        <w:t xml:space="preserve"> </w:t>
      </w:r>
      <w:proofErr w:type="spellStart"/>
      <w:r w:rsidRPr="000074A2">
        <w:t>Sainul</w:t>
      </w:r>
      <w:proofErr w:type="spellEnd"/>
      <w:r w:rsidRPr="000074A2">
        <w:t xml:space="preserve"> </w:t>
      </w:r>
      <w:proofErr w:type="spellStart"/>
      <w:r w:rsidRPr="000074A2">
        <w:t>Abudheen</w:t>
      </w:r>
      <w:proofErr w:type="spellEnd"/>
      <w:r w:rsidRPr="000074A2">
        <w:t xml:space="preserve"> K</w:t>
      </w:r>
      <w:r>
        <w:t>.</w:t>
      </w:r>
      <w:r w:rsidRPr="000074A2">
        <w:t>, “</w:t>
      </w:r>
      <w:proofErr w:type="spellStart"/>
      <w:r w:rsidRPr="000074A2">
        <w:t>Lazada’s</w:t>
      </w:r>
      <w:proofErr w:type="spellEnd"/>
      <w:r w:rsidRPr="000074A2">
        <w:t xml:space="preserve"> Payment Platform </w:t>
      </w:r>
      <w:proofErr w:type="spellStart"/>
      <w:r w:rsidRPr="000074A2">
        <w:t>Hellopay</w:t>
      </w:r>
      <w:proofErr w:type="spellEnd"/>
      <w:r w:rsidRPr="000074A2">
        <w:t xml:space="preserve"> Merges </w:t>
      </w:r>
      <w:r>
        <w:t>w</w:t>
      </w:r>
      <w:r w:rsidRPr="000074A2">
        <w:t>ith Alibaba’s Ant Financial</w:t>
      </w:r>
      <w:r>
        <w:t>,</w:t>
      </w:r>
      <w:r w:rsidRPr="000074A2">
        <w:t xml:space="preserve"> Rebranded </w:t>
      </w:r>
      <w:r>
        <w:t>a</w:t>
      </w:r>
      <w:r w:rsidRPr="000074A2">
        <w:t xml:space="preserve">s </w:t>
      </w:r>
      <w:proofErr w:type="spellStart"/>
      <w:r w:rsidRPr="000074A2">
        <w:t>Alipay</w:t>
      </w:r>
      <w:proofErr w:type="spellEnd"/>
      <w:r w:rsidRPr="000074A2">
        <w:t xml:space="preserve">,” </w:t>
      </w:r>
      <w:r>
        <w:t>E</w:t>
      </w:r>
      <w:r w:rsidRPr="000074A2">
        <w:t>27, April 19, 2017, accessed June 8, 2017, https://e27.co/ant-financial-merges-lazadas-hellopay-20170419.</w:t>
      </w:r>
    </w:p>
  </w:endnote>
  <w:endnote w:id="53">
    <w:p w14:paraId="2626042C" w14:textId="5C365D09" w:rsidR="0032202E" w:rsidRPr="0040785B" w:rsidRDefault="0032202E" w:rsidP="005169F6">
      <w:pPr>
        <w:pStyle w:val="Footnote"/>
        <w:rPr>
          <w:spacing w:val="-2"/>
        </w:rPr>
      </w:pPr>
      <w:r w:rsidRPr="0040785B">
        <w:rPr>
          <w:rStyle w:val="EndnoteReference"/>
          <w:spacing w:val="-2"/>
        </w:rPr>
        <w:endnoteRef/>
      </w:r>
      <w:r w:rsidRPr="0040785B">
        <w:rPr>
          <w:spacing w:val="-2"/>
        </w:rPr>
        <w:t xml:space="preserve"> SP </w:t>
      </w:r>
      <w:proofErr w:type="spellStart"/>
      <w:r w:rsidRPr="0040785B">
        <w:rPr>
          <w:spacing w:val="-2"/>
        </w:rPr>
        <w:t>eCommerce</w:t>
      </w:r>
      <w:proofErr w:type="spellEnd"/>
      <w:r w:rsidRPr="0040785B">
        <w:rPr>
          <w:spacing w:val="-2"/>
        </w:rPr>
        <w:t xml:space="preserve">, </w:t>
      </w:r>
      <w:r w:rsidRPr="0040785B">
        <w:rPr>
          <w:i/>
          <w:spacing w:val="-2"/>
        </w:rPr>
        <w:t>The Changing Face of E-commerce and Logistics in Asia Pacific</w:t>
      </w:r>
      <w:r w:rsidRPr="0040785B">
        <w:rPr>
          <w:spacing w:val="-2"/>
        </w:rPr>
        <w:t xml:space="preserve"> (Singapore Post Limited, 2014), accessed June 8, 2017, https://www.singpost.com/sites/default/files/knowledge_centre_files/2015/10/141114_wp_changingface_apac.pdf.</w:t>
      </w:r>
    </w:p>
  </w:endnote>
  <w:endnote w:id="54">
    <w:p w14:paraId="702C9DB1" w14:textId="6CABB94A" w:rsidR="0032202E" w:rsidRPr="000074A2" w:rsidRDefault="0032202E" w:rsidP="005169F6">
      <w:pPr>
        <w:pStyle w:val="Footnote"/>
      </w:pPr>
      <w:r w:rsidRPr="000074A2">
        <w:rPr>
          <w:rStyle w:val="EndnoteReference"/>
        </w:rPr>
        <w:endnoteRef/>
      </w:r>
      <w:r w:rsidRPr="000074A2">
        <w:t xml:space="preserve"> Giovanni Puglisi, “</w:t>
      </w:r>
      <w:proofErr w:type="spellStart"/>
      <w:r w:rsidRPr="000074A2">
        <w:t>Lazada</w:t>
      </w:r>
      <w:proofErr w:type="spellEnd"/>
      <w:r w:rsidRPr="000074A2">
        <w:t xml:space="preserve"> and Alibaba Partnership Will Bring Significant Synergies,” </w:t>
      </w:r>
      <w:r w:rsidRPr="00BA3D71">
        <w:rPr>
          <w:i/>
        </w:rPr>
        <w:t>International Finance Magazine</w:t>
      </w:r>
      <w:r w:rsidRPr="000074A2">
        <w:t xml:space="preserve">, June 6, 2016, accessed </w:t>
      </w:r>
      <w:r>
        <w:t>January 31, 2018</w:t>
      </w:r>
      <w:r w:rsidRPr="000074A2">
        <w:t xml:space="preserve">, </w:t>
      </w:r>
      <w:r w:rsidRPr="00E825F0">
        <w:t>www.internationalfinance.com/in-the-news/business-leaders/lazada-and-alibaba-partnership-will-bring-significant-synergies</w:t>
      </w:r>
      <w:r w:rsidRPr="000074A2">
        <w:t>.</w:t>
      </w:r>
    </w:p>
  </w:endnote>
  <w:endnote w:id="55">
    <w:p w14:paraId="407BE35C" w14:textId="6C5C6DA7" w:rsidR="0032202E" w:rsidRPr="000074A2" w:rsidRDefault="0032202E" w:rsidP="005169F6">
      <w:pPr>
        <w:pStyle w:val="Footnote"/>
      </w:pPr>
      <w:r w:rsidRPr="000074A2">
        <w:rPr>
          <w:rStyle w:val="EndnoteReference"/>
        </w:rPr>
        <w:endnoteRef/>
      </w:r>
      <w:r w:rsidRPr="000074A2">
        <w:t xml:space="preserve"> “Alibaba Set </w:t>
      </w:r>
      <w:r>
        <w:t>t</w:t>
      </w:r>
      <w:r w:rsidRPr="000074A2">
        <w:t xml:space="preserve">o Transform KLIA </w:t>
      </w:r>
      <w:proofErr w:type="spellStart"/>
      <w:r w:rsidRPr="000074A2">
        <w:t>Aeropolis</w:t>
      </w:r>
      <w:proofErr w:type="spellEnd"/>
      <w:r w:rsidRPr="000074A2">
        <w:t xml:space="preserve"> </w:t>
      </w:r>
      <w:r>
        <w:t>i</w:t>
      </w:r>
      <w:r w:rsidRPr="000074A2">
        <w:t>nto E-</w:t>
      </w:r>
      <w:proofErr w:type="spellStart"/>
      <w:r w:rsidRPr="000074A2">
        <w:t>Fulfillment</w:t>
      </w:r>
      <w:proofErr w:type="spellEnd"/>
      <w:r w:rsidRPr="000074A2">
        <w:t xml:space="preserve"> Hub,” </w:t>
      </w:r>
      <w:proofErr w:type="spellStart"/>
      <w:r>
        <w:t>B</w:t>
      </w:r>
      <w:r w:rsidRPr="000074A2">
        <w:t>ernama</w:t>
      </w:r>
      <w:proofErr w:type="spellEnd"/>
      <w:r w:rsidRPr="000074A2">
        <w:t>, March 22, 2017, accessed June 8, 2017, www.bernama.com/bernama/v8/bu/newsbusiness.php?id=1340400.</w:t>
      </w:r>
    </w:p>
  </w:endnote>
  <w:endnote w:id="56">
    <w:p w14:paraId="0158AB6F" w14:textId="5524542D" w:rsidR="0032202E" w:rsidRPr="000074A2" w:rsidRDefault="0032202E" w:rsidP="005169F6">
      <w:pPr>
        <w:pStyle w:val="Footnote"/>
      </w:pPr>
      <w:r w:rsidRPr="000074A2">
        <w:rPr>
          <w:rStyle w:val="EndnoteReference"/>
        </w:rPr>
        <w:endnoteRef/>
      </w:r>
      <w:r w:rsidRPr="000074A2">
        <w:t xml:space="preserve"> Alice MacGregor, “Alibaba Announces Digital Free-Trade Initiative </w:t>
      </w:r>
      <w:r>
        <w:t>i</w:t>
      </w:r>
      <w:r w:rsidRPr="000074A2">
        <w:t xml:space="preserve">n Malaysia,” </w:t>
      </w:r>
      <w:r>
        <w:t>T</w:t>
      </w:r>
      <w:r w:rsidRPr="000074A2">
        <w:t>he</w:t>
      </w:r>
      <w:r>
        <w:t xml:space="preserve"> S</w:t>
      </w:r>
      <w:r w:rsidRPr="000074A2">
        <w:t>tack, March 22, 2017, accessed June 4, 2017, https://thestack.com/cloud/2017/03/22/alibaba-announces-digital-free-trade-initiative-in-malaysia.</w:t>
      </w:r>
    </w:p>
  </w:endnote>
  <w:endnote w:id="57">
    <w:p w14:paraId="698076D3" w14:textId="6DBE14EB" w:rsidR="0032202E" w:rsidRPr="000074A2" w:rsidRDefault="0032202E" w:rsidP="005169F6">
      <w:pPr>
        <w:pStyle w:val="Footnote"/>
      </w:pPr>
      <w:r w:rsidRPr="000074A2">
        <w:rPr>
          <w:rStyle w:val="EndnoteReference"/>
        </w:rPr>
        <w:endnoteRef/>
      </w:r>
      <w:r w:rsidRPr="000074A2">
        <w:t xml:space="preserve"> </w:t>
      </w:r>
      <w:r>
        <w:t xml:space="preserve">Cynthia Luo, </w:t>
      </w:r>
      <w:r w:rsidRPr="000074A2">
        <w:t xml:space="preserve">“Why Amazon Will Probably Never Enter Southeast Asia,” </w:t>
      </w:r>
      <w:r>
        <w:t>E</w:t>
      </w:r>
      <w:r w:rsidRPr="000074A2">
        <w:t>commerce</w:t>
      </w:r>
      <w:r>
        <w:t xml:space="preserve"> IQ</w:t>
      </w:r>
      <w:r w:rsidRPr="000074A2">
        <w:t>, March 27, 2017, accessed June 4, 2017, https://ecommerceiq.asia/amazon-not-entering-southeast-asia.</w:t>
      </w:r>
    </w:p>
  </w:endnote>
  <w:endnote w:id="58">
    <w:p w14:paraId="28C5DAAF" w14:textId="30355BA8" w:rsidR="0032202E" w:rsidRPr="000074A2" w:rsidRDefault="0032202E" w:rsidP="005169F6">
      <w:pPr>
        <w:pStyle w:val="Footnote"/>
      </w:pPr>
      <w:r w:rsidRPr="000074A2">
        <w:rPr>
          <w:rStyle w:val="EndnoteReference"/>
        </w:rPr>
        <w:endnoteRef/>
      </w:r>
      <w:r w:rsidRPr="000074A2">
        <w:t xml:space="preserve"> </w:t>
      </w:r>
      <w:proofErr w:type="spellStart"/>
      <w:r w:rsidRPr="000074A2">
        <w:t>Zarina</w:t>
      </w:r>
      <w:proofErr w:type="spellEnd"/>
      <w:r w:rsidRPr="000074A2">
        <w:t xml:space="preserve"> </w:t>
      </w:r>
      <w:proofErr w:type="spellStart"/>
      <w:r w:rsidRPr="000074A2">
        <w:t>Zakariah</w:t>
      </w:r>
      <w:proofErr w:type="spellEnd"/>
      <w:r w:rsidRPr="000074A2">
        <w:t xml:space="preserve"> </w:t>
      </w:r>
      <w:r>
        <w:t>and</w:t>
      </w:r>
      <w:r w:rsidRPr="000074A2">
        <w:t xml:space="preserve"> </w:t>
      </w:r>
      <w:proofErr w:type="spellStart"/>
      <w:r w:rsidRPr="000074A2">
        <w:t>Laili</w:t>
      </w:r>
      <w:proofErr w:type="spellEnd"/>
      <w:r w:rsidRPr="000074A2">
        <w:t xml:space="preserve"> Ismail, “Jack Ma: Digital Free Trade Zone Proof </w:t>
      </w:r>
      <w:proofErr w:type="spellStart"/>
      <w:r w:rsidRPr="000074A2">
        <w:t>Govts</w:t>
      </w:r>
      <w:proofErr w:type="spellEnd"/>
      <w:r w:rsidRPr="000074A2">
        <w:t xml:space="preserve"> </w:t>
      </w:r>
      <w:r>
        <w:t>a</w:t>
      </w:r>
      <w:r w:rsidRPr="000074A2">
        <w:t xml:space="preserve">nd Businesses Can Work Together,” </w:t>
      </w:r>
      <w:r w:rsidRPr="00BA3D71">
        <w:rPr>
          <w:i/>
        </w:rPr>
        <w:t>New Straits Times</w:t>
      </w:r>
      <w:r>
        <w:t xml:space="preserve">, </w:t>
      </w:r>
      <w:r w:rsidRPr="000074A2">
        <w:t>March 22, 2017</w:t>
      </w:r>
      <w:r>
        <w:t xml:space="preserve">, </w:t>
      </w:r>
      <w:r w:rsidRPr="000074A2">
        <w:t>accessed June 4, 2017, https://www.nst.com.my/news/2017/03/223395/jack-ma-digital-free-trade-zone-proof-govts-and-businesses-can-work-together.</w:t>
      </w:r>
    </w:p>
  </w:endnote>
  <w:endnote w:id="59">
    <w:p w14:paraId="760B7409" w14:textId="0A09FF3F" w:rsidR="0032202E" w:rsidRPr="000074A2" w:rsidRDefault="0032202E" w:rsidP="005169F6">
      <w:pPr>
        <w:pStyle w:val="Footnote"/>
      </w:pPr>
      <w:r w:rsidRPr="000074A2">
        <w:rPr>
          <w:rStyle w:val="EndnoteReference"/>
        </w:rPr>
        <w:endnoteRef/>
      </w:r>
      <w:r w:rsidRPr="000074A2">
        <w:t xml:space="preserve"> </w:t>
      </w:r>
      <w:proofErr w:type="spellStart"/>
      <w:r w:rsidRPr="000074A2">
        <w:t>Chairmaine</w:t>
      </w:r>
      <w:proofErr w:type="spellEnd"/>
      <w:r w:rsidRPr="000074A2">
        <w:t xml:space="preserve"> Ng, “New E-Commerce Membership Programme </w:t>
      </w:r>
      <w:proofErr w:type="spellStart"/>
      <w:r w:rsidRPr="000074A2">
        <w:t>Live</w:t>
      </w:r>
      <w:r>
        <w:t>U</w:t>
      </w:r>
      <w:r w:rsidRPr="000074A2">
        <w:t>p</w:t>
      </w:r>
      <w:proofErr w:type="spellEnd"/>
      <w:r w:rsidRPr="000074A2">
        <w:t xml:space="preserve"> Launches </w:t>
      </w:r>
      <w:r>
        <w:t>t</w:t>
      </w:r>
      <w:r w:rsidRPr="000074A2">
        <w:t xml:space="preserve">o Pre-Empt Amazon Entry,” </w:t>
      </w:r>
      <w:r w:rsidRPr="00BA3D71">
        <w:rPr>
          <w:i/>
        </w:rPr>
        <w:t>New Straits Times</w:t>
      </w:r>
      <w:r w:rsidRPr="000074A2">
        <w:t>, April 20, 2017, accessed June 8, 2017, www.straitstimes.com/lifestyle/new-e-commerce-membership-programme-liveup-launches-to-pre-empt-amazon-entry.</w:t>
      </w:r>
    </w:p>
  </w:endnote>
  <w:endnote w:id="60">
    <w:p w14:paraId="11211CA0" w14:textId="7F2F0AD4" w:rsidR="0032202E" w:rsidRPr="000074A2" w:rsidRDefault="0032202E" w:rsidP="005169F6">
      <w:pPr>
        <w:pStyle w:val="Footnote"/>
      </w:pPr>
      <w:r w:rsidRPr="000074A2">
        <w:rPr>
          <w:rStyle w:val="EndnoteReference"/>
        </w:rPr>
        <w:endnoteRef/>
      </w:r>
      <w:r w:rsidRPr="000074A2">
        <w:t xml:space="preserve"> </w:t>
      </w:r>
      <w:proofErr w:type="spellStart"/>
      <w:r w:rsidRPr="000074A2">
        <w:t>Uptin</w:t>
      </w:r>
      <w:proofErr w:type="spellEnd"/>
      <w:r w:rsidRPr="000074A2">
        <w:t xml:space="preserve"> </w:t>
      </w:r>
      <w:proofErr w:type="spellStart"/>
      <w:r w:rsidRPr="000074A2">
        <w:t>Saiidi</w:t>
      </w:r>
      <w:proofErr w:type="spellEnd"/>
      <w:r w:rsidRPr="000074A2">
        <w:t xml:space="preserve">, “Alibaba-Backed </w:t>
      </w:r>
      <w:proofErr w:type="spellStart"/>
      <w:r w:rsidRPr="000074A2">
        <w:t>Lazada</w:t>
      </w:r>
      <w:proofErr w:type="spellEnd"/>
      <w:r w:rsidRPr="000074A2">
        <w:t xml:space="preserve"> Partners with Unilever to Capture Southeast Asia’s Online Retail Growth,” CNBC, March 29, 2017, accessed June 8, 2017, www.cnbc.com/2017/03/29/lazada-and-unilever-partner-on-e-commerce-in-southeast-asia.html.</w:t>
      </w:r>
    </w:p>
  </w:endnote>
  <w:endnote w:id="61">
    <w:p w14:paraId="12A994AA" w14:textId="77777777" w:rsidR="00E25A4B" w:rsidRPr="000074A2" w:rsidRDefault="00E25A4B" w:rsidP="00E25A4B">
      <w:pPr>
        <w:pStyle w:val="Footnote"/>
      </w:pPr>
      <w:r w:rsidRPr="000074A2">
        <w:rPr>
          <w:rStyle w:val="EndnoteReference"/>
        </w:rPr>
        <w:endnoteRef/>
      </w:r>
      <w:r w:rsidRPr="000074A2">
        <w:t xml:space="preserve"> </w:t>
      </w:r>
      <w:r>
        <w:t xml:space="preserve">Unilever, </w:t>
      </w:r>
      <w:r w:rsidRPr="000074A2">
        <w:t xml:space="preserve">“Unilever and </w:t>
      </w:r>
      <w:proofErr w:type="spellStart"/>
      <w:r w:rsidRPr="000074A2">
        <w:t>Lazada</w:t>
      </w:r>
      <w:proofErr w:type="spellEnd"/>
      <w:r w:rsidRPr="000074A2">
        <w:t xml:space="preserve"> Forge First in </w:t>
      </w:r>
      <w:proofErr w:type="spellStart"/>
      <w:r w:rsidRPr="000074A2">
        <w:t>eCommerce</w:t>
      </w:r>
      <w:proofErr w:type="spellEnd"/>
      <w:r w:rsidRPr="000074A2">
        <w:t xml:space="preserve"> Cross-Functional Alliance,” </w:t>
      </w:r>
      <w:r>
        <w:t xml:space="preserve">news release, </w:t>
      </w:r>
      <w:r w:rsidRPr="000074A2">
        <w:t>March 29, 2017, accessed June 8, 2017, https://www.unilever.com/news/Press-releases/2017/Unilever-Lazada-forge-first-in-e-commerce-cross-functional-alliance.html.</w:t>
      </w:r>
    </w:p>
  </w:endnote>
  <w:endnote w:id="62">
    <w:p w14:paraId="1FE9F321" w14:textId="6143747F" w:rsidR="00C5790D" w:rsidRDefault="0032202E" w:rsidP="005169F6">
      <w:pPr>
        <w:pStyle w:val="Footnote"/>
      </w:pPr>
      <w:r w:rsidRPr="000074A2">
        <w:rPr>
          <w:rStyle w:val="EndnoteReference"/>
        </w:rPr>
        <w:endnoteRef/>
      </w:r>
      <w:r w:rsidRPr="000074A2">
        <w:t xml:space="preserve"> </w:t>
      </w:r>
      <w:proofErr w:type="spellStart"/>
      <w:r w:rsidRPr="004A40B8">
        <w:t>Nawar</w:t>
      </w:r>
      <w:proofErr w:type="spellEnd"/>
      <w:r w:rsidRPr="004A40B8">
        <w:t xml:space="preserve"> </w:t>
      </w:r>
      <w:proofErr w:type="spellStart"/>
      <w:r w:rsidRPr="004A40B8">
        <w:t>Najeeb</w:t>
      </w:r>
      <w:proofErr w:type="spellEnd"/>
      <w:r w:rsidRPr="004A40B8">
        <w:t>, “E-</w:t>
      </w:r>
      <w:proofErr w:type="spellStart"/>
      <w:r w:rsidRPr="004A40B8">
        <w:t>conomy</w:t>
      </w:r>
      <w:proofErr w:type="spellEnd"/>
      <w:r w:rsidRPr="004A40B8">
        <w:t xml:space="preserve"> SEA: Unlocking the $200 Billion Digital Opportunity in Southeast Asia,” </w:t>
      </w:r>
      <w:r>
        <w:t>p</w:t>
      </w:r>
      <w:r w:rsidRPr="004A40B8">
        <w:t xml:space="preserve">resentation at Commonwealth Broadband Asia Forum 2016, Kuala Lumpur, September 23, 2016, accessed </w:t>
      </w:r>
      <w:r>
        <w:t>July 13</w:t>
      </w:r>
      <w:r w:rsidRPr="004A40B8">
        <w:t xml:space="preserve">, 2017, </w:t>
      </w:r>
      <w:r w:rsidR="00C5790D" w:rsidRPr="00C5790D">
        <w:t>www.cto.int/media/events/pst-ev/2016/broadbandasia/Nawar%20Najeeb%20Copy%20of%20Presentation%20Copy</w:t>
      </w:r>
    </w:p>
    <w:p w14:paraId="260A7656" w14:textId="0C1F180A" w:rsidR="0032202E" w:rsidRPr="000074A2" w:rsidRDefault="0032202E" w:rsidP="005169F6">
      <w:pPr>
        <w:pStyle w:val="Footnote"/>
      </w:pPr>
      <w:r w:rsidRPr="004A40B8">
        <w:t>%20economy%20SEA%20%20Unlocking%20200b%20opp%20MY%20Slides.pdf.</w:t>
      </w:r>
      <w:r w:rsidRPr="004A40B8" w:rsidDel="004A40B8">
        <w:t xml:space="preserve"> </w:t>
      </w:r>
    </w:p>
  </w:endnote>
  <w:endnote w:id="63">
    <w:p w14:paraId="2AABE356" w14:textId="3F3570FC" w:rsidR="0032202E" w:rsidRPr="000074A2" w:rsidRDefault="0032202E" w:rsidP="005169F6">
      <w:pPr>
        <w:pStyle w:val="Footnote"/>
      </w:pPr>
      <w:r w:rsidRPr="000074A2">
        <w:rPr>
          <w:rStyle w:val="EndnoteReference"/>
        </w:rPr>
        <w:endnoteRef/>
      </w:r>
      <w:r w:rsidRPr="000074A2">
        <w:t xml:space="preserve"> Singapore Economic Development Board, “Southeast Asia’s Middle Class Is Diverse, Confiden</w:t>
      </w:r>
      <w:r>
        <w:t>t</w:t>
      </w:r>
      <w:r w:rsidRPr="000074A2">
        <w:t xml:space="preserve">, </w:t>
      </w:r>
      <w:r>
        <w:t>a</w:t>
      </w:r>
      <w:r w:rsidRPr="000074A2">
        <w:t xml:space="preserve">nd Growing Richer </w:t>
      </w:r>
      <w:r>
        <w:t>b</w:t>
      </w:r>
      <w:r w:rsidRPr="000074A2">
        <w:t xml:space="preserve">y </w:t>
      </w:r>
      <w:r>
        <w:t>t</w:t>
      </w:r>
      <w:r w:rsidRPr="000074A2">
        <w:t xml:space="preserve">he Day,” </w:t>
      </w:r>
      <w:r>
        <w:t>Quartz</w:t>
      </w:r>
      <w:r w:rsidRPr="000074A2">
        <w:t>, accessed June 4, 2017, https://qz.com/591380/southeast-asias-middle-class-is-diverse-confident-and-growing-richer-by-the-day.</w:t>
      </w:r>
    </w:p>
  </w:endnote>
  <w:endnote w:id="64">
    <w:p w14:paraId="6D0526A4" w14:textId="003C43B9" w:rsidR="0032202E" w:rsidRPr="00C5790D" w:rsidRDefault="0032202E" w:rsidP="005169F6">
      <w:pPr>
        <w:pStyle w:val="Footnote"/>
        <w:rPr>
          <w:spacing w:val="-4"/>
        </w:rPr>
      </w:pPr>
      <w:r w:rsidRPr="00C5790D">
        <w:rPr>
          <w:rStyle w:val="EndnoteReference"/>
          <w:spacing w:val="-4"/>
        </w:rPr>
        <w:endnoteRef/>
      </w:r>
      <w:r w:rsidRPr="00C5790D">
        <w:rPr>
          <w:spacing w:val="-4"/>
        </w:rPr>
        <w:t xml:space="preserve"> Rocket Internet, “</w:t>
      </w:r>
      <w:proofErr w:type="spellStart"/>
      <w:r w:rsidRPr="00C5790D">
        <w:rPr>
          <w:spacing w:val="-4"/>
        </w:rPr>
        <w:t>Lazada</w:t>
      </w:r>
      <w:proofErr w:type="spellEnd"/>
      <w:r w:rsidRPr="00C5790D">
        <w:rPr>
          <w:spacing w:val="-4"/>
        </w:rPr>
        <w:t xml:space="preserve">—Largest E-Commerce Platform in Southeast Asia,” in </w:t>
      </w:r>
      <w:r w:rsidRPr="00C5790D">
        <w:rPr>
          <w:i/>
          <w:spacing w:val="-4"/>
        </w:rPr>
        <w:t>2014 Annual Results Presentation</w:t>
      </w:r>
      <w:r w:rsidRPr="00C5790D">
        <w:rPr>
          <w:spacing w:val="-4"/>
        </w:rPr>
        <w:t>, May 14, 2015, accessed June 4, 2017, https://www.rocket-internet.com/sites/default/files/investors/May_2015_-_Rocket_Results_FY_2014.pdf.</w:t>
      </w:r>
    </w:p>
  </w:endnote>
  <w:endnote w:id="65">
    <w:p w14:paraId="35BC1288" w14:textId="24B10AB6" w:rsidR="0032202E" w:rsidRPr="000074A2" w:rsidRDefault="0032202E" w:rsidP="005169F6">
      <w:pPr>
        <w:pStyle w:val="Footnote"/>
      </w:pPr>
      <w:r w:rsidRPr="000074A2">
        <w:rPr>
          <w:rStyle w:val="EndnoteReference"/>
        </w:rPr>
        <w:endnoteRef/>
      </w:r>
      <w:r w:rsidRPr="000074A2">
        <w:t xml:space="preserve"> “</w:t>
      </w:r>
      <w:r>
        <w:t>ASEAN Fact #5: ASEAN</w:t>
      </w:r>
      <w:r w:rsidRPr="000074A2">
        <w:t xml:space="preserve"> to Become One of Largest Consumers in Emerging World,” Frontier Strategy Group</w:t>
      </w:r>
      <w:r>
        <w:t xml:space="preserve"> (blog)</w:t>
      </w:r>
      <w:r w:rsidRPr="000074A2">
        <w:t xml:space="preserve">, February </w:t>
      </w:r>
      <w:r>
        <w:t xml:space="preserve">16, </w:t>
      </w:r>
      <w:r w:rsidRPr="000074A2">
        <w:t xml:space="preserve">2015, accessed June 4, 2017, </w:t>
      </w:r>
      <w:r w:rsidRPr="00721C65">
        <w:t>http://blog.frontierstrategygroup.com/2015/02/asean-fact-5-asean-become-one-largest-consumers-emerging-world</w:t>
      </w:r>
      <w:r w:rsidRPr="000074A2">
        <w:t>.</w:t>
      </w:r>
    </w:p>
  </w:endnote>
  <w:endnote w:id="66">
    <w:p w14:paraId="1A6F777F" w14:textId="36F4BAC4" w:rsidR="0032202E" w:rsidRPr="0040785B" w:rsidRDefault="0032202E" w:rsidP="005169F6">
      <w:pPr>
        <w:pStyle w:val="Footnote"/>
        <w:rPr>
          <w:spacing w:val="-4"/>
        </w:rPr>
      </w:pPr>
      <w:r w:rsidRPr="0040785B">
        <w:rPr>
          <w:rStyle w:val="EndnoteReference"/>
          <w:spacing w:val="-4"/>
        </w:rPr>
        <w:endnoteRef/>
      </w:r>
      <w:r w:rsidRPr="0040785B">
        <w:rPr>
          <w:spacing w:val="-4"/>
        </w:rPr>
        <w:t xml:space="preserve"> Deloitte, </w:t>
      </w:r>
      <w:r w:rsidRPr="0040785B">
        <w:rPr>
          <w:i/>
          <w:spacing w:val="-4"/>
        </w:rPr>
        <w:t>Advancing the ASEAN Economic Community—The Digital Economy and the Free Flow of Data</w:t>
      </w:r>
      <w:r w:rsidRPr="0040785B">
        <w:rPr>
          <w:spacing w:val="-4"/>
        </w:rPr>
        <w:t xml:space="preserve"> (Deloitte and US-ASEAN Business Council Inc., 2016), accessed June 4, 2017, https://www2.deloitte.com/content/dam/Deloitte/sg/Documents/about-deloitte/sea-about-aec-digital-economy-free-flow-of-data-2016.pdf.</w:t>
      </w:r>
    </w:p>
  </w:endnote>
  <w:endnote w:id="67">
    <w:p w14:paraId="6993626E" w14:textId="08D33EA0" w:rsidR="0032202E" w:rsidRPr="000074A2" w:rsidRDefault="0032202E" w:rsidP="005169F6">
      <w:pPr>
        <w:pStyle w:val="Footnote"/>
      </w:pPr>
      <w:r w:rsidRPr="000074A2">
        <w:rPr>
          <w:rStyle w:val="EndnoteReference"/>
        </w:rPr>
        <w:endnoteRef/>
      </w:r>
      <w:r w:rsidRPr="000074A2">
        <w:t xml:space="preserve"> Florian Hope, Sebastian </w:t>
      </w:r>
      <w:proofErr w:type="spellStart"/>
      <w:r w:rsidRPr="000074A2">
        <w:t>Lamy</w:t>
      </w:r>
      <w:proofErr w:type="spellEnd"/>
      <w:r w:rsidRPr="000074A2">
        <w:t xml:space="preserve">, </w:t>
      </w:r>
      <w:r>
        <w:t xml:space="preserve">and </w:t>
      </w:r>
      <w:r w:rsidRPr="000074A2">
        <w:t xml:space="preserve">Alessandro </w:t>
      </w:r>
      <w:proofErr w:type="spellStart"/>
      <w:r w:rsidRPr="000074A2">
        <w:t>Cannarsi</w:t>
      </w:r>
      <w:proofErr w:type="spellEnd"/>
      <w:r w:rsidRPr="000074A2">
        <w:t>, “Can Southeast Asia Live Up to its E-Commerce Potential</w:t>
      </w:r>
      <w:proofErr w:type="gramStart"/>
      <w:r w:rsidRPr="000074A2">
        <w:t>?,</w:t>
      </w:r>
      <w:proofErr w:type="gramEnd"/>
      <w:r w:rsidRPr="000074A2">
        <w:t xml:space="preserve">” </w:t>
      </w:r>
      <w:r>
        <w:t>Bain and Company</w:t>
      </w:r>
      <w:r w:rsidRPr="000074A2">
        <w:t>, March 16, 2016, accessed June 4, 2017, www.bain.com/publications/articles/can-se-asia-live-up-to-its-ecommerce-potential.aspx.</w:t>
      </w:r>
    </w:p>
  </w:endnote>
  <w:endnote w:id="68">
    <w:p w14:paraId="6DE39B33" w14:textId="77777777" w:rsidR="00D63D0B" w:rsidRPr="000074A2" w:rsidRDefault="00D63D0B" w:rsidP="00D63D0B">
      <w:pPr>
        <w:pStyle w:val="Footnote"/>
      </w:pPr>
      <w:r w:rsidRPr="000074A2">
        <w:rPr>
          <w:rStyle w:val="EndnoteReference"/>
        </w:rPr>
        <w:endnoteRef/>
      </w:r>
      <w:r w:rsidRPr="000074A2">
        <w:t xml:space="preserve"> </w:t>
      </w:r>
      <w:proofErr w:type="spellStart"/>
      <w:r w:rsidRPr="004A40B8">
        <w:t>Najeeb</w:t>
      </w:r>
      <w:proofErr w:type="gramStart"/>
      <w:r w:rsidRPr="004A40B8">
        <w:t>,</w:t>
      </w:r>
      <w:r>
        <w:t>op</w:t>
      </w:r>
      <w:proofErr w:type="spellEnd"/>
      <w:proofErr w:type="gramEnd"/>
      <w:r>
        <w:t>. cit</w:t>
      </w:r>
      <w:r w:rsidRPr="004C65C2">
        <w:t>.</w:t>
      </w:r>
    </w:p>
  </w:endnote>
  <w:endnote w:id="69">
    <w:p w14:paraId="427011EF" w14:textId="238E245E" w:rsidR="0032202E" w:rsidRPr="000074A2" w:rsidRDefault="0032202E" w:rsidP="005169F6">
      <w:pPr>
        <w:pStyle w:val="Footnote"/>
      </w:pPr>
      <w:r w:rsidRPr="000074A2">
        <w:rPr>
          <w:rStyle w:val="EndnoteReference"/>
        </w:rPr>
        <w:endnoteRef/>
      </w:r>
      <w:r w:rsidRPr="000074A2">
        <w:t xml:space="preserve"> “</w:t>
      </w:r>
      <w:proofErr w:type="spellStart"/>
      <w:r>
        <w:t>Giosis</w:t>
      </w:r>
      <w:proofErr w:type="spellEnd"/>
      <w:r w:rsidRPr="000074A2">
        <w:t xml:space="preserve">,” </w:t>
      </w:r>
      <w:proofErr w:type="spellStart"/>
      <w:r>
        <w:t>C</w:t>
      </w:r>
      <w:r w:rsidRPr="000074A2">
        <w:t>runchbase</w:t>
      </w:r>
      <w:proofErr w:type="spellEnd"/>
      <w:r w:rsidRPr="000074A2">
        <w:t>, April 23, 2014, accessed June 8, 2017, https://www.crunchbase.com/organization/giosis#/entity.</w:t>
      </w:r>
    </w:p>
  </w:endnote>
  <w:endnote w:id="70">
    <w:p w14:paraId="66A65328" w14:textId="35236B2F" w:rsidR="0032202E" w:rsidRPr="000074A2" w:rsidRDefault="0032202E" w:rsidP="005169F6">
      <w:pPr>
        <w:pStyle w:val="Footnote"/>
      </w:pPr>
      <w:r w:rsidRPr="000074A2">
        <w:rPr>
          <w:rStyle w:val="EndnoteReference"/>
        </w:rPr>
        <w:endnoteRef/>
      </w:r>
      <w:r w:rsidRPr="000074A2">
        <w:t xml:space="preserve"> Rumi </w:t>
      </w:r>
      <w:proofErr w:type="spellStart"/>
      <w:r w:rsidRPr="000074A2">
        <w:t>Harda</w:t>
      </w:r>
      <w:r>
        <w:t>sm</w:t>
      </w:r>
      <w:r w:rsidRPr="000074A2">
        <w:t>alani</w:t>
      </w:r>
      <w:proofErr w:type="spellEnd"/>
      <w:r w:rsidRPr="000074A2">
        <w:t xml:space="preserve">, “Qoo10 in </w:t>
      </w:r>
      <w:r>
        <w:t>T</w:t>
      </w:r>
      <w:r w:rsidRPr="000074A2">
        <w:t xml:space="preserve">alks with </w:t>
      </w:r>
      <w:r>
        <w:t>M</w:t>
      </w:r>
      <w:r w:rsidRPr="000074A2">
        <w:t xml:space="preserve">alls to </w:t>
      </w:r>
      <w:r>
        <w:t>S</w:t>
      </w:r>
      <w:r w:rsidRPr="000074A2">
        <w:t xml:space="preserve">cale </w:t>
      </w:r>
      <w:proofErr w:type="gramStart"/>
      <w:r>
        <w:t>U</w:t>
      </w:r>
      <w:r w:rsidRPr="000074A2">
        <w:t>p</w:t>
      </w:r>
      <w:proofErr w:type="gramEnd"/>
      <w:r w:rsidRPr="000074A2">
        <w:t xml:space="preserve"> </w:t>
      </w:r>
      <w:r>
        <w:t>O</w:t>
      </w:r>
      <w:r w:rsidRPr="000074A2">
        <w:t xml:space="preserve">nline </w:t>
      </w:r>
      <w:r>
        <w:t>P</w:t>
      </w:r>
      <w:r w:rsidRPr="000074A2">
        <w:t xml:space="preserve">latform,” </w:t>
      </w:r>
      <w:r>
        <w:t>T</w:t>
      </w:r>
      <w:r w:rsidRPr="000074A2">
        <w:t>oday</w:t>
      </w:r>
      <w:r>
        <w:t xml:space="preserve"> O</w:t>
      </w:r>
      <w:r w:rsidRPr="000074A2">
        <w:t>nline, April 21, 2015, accessed June 8, 2017, www.todayonline.com/business/qoo10-talks-malls-scale-online-platform.</w:t>
      </w:r>
    </w:p>
  </w:endnote>
  <w:endnote w:id="71">
    <w:p w14:paraId="30CA9893" w14:textId="6B12C7B8" w:rsidR="0032202E" w:rsidRPr="001F5A83" w:rsidRDefault="0032202E" w:rsidP="001F5A83">
      <w:pPr>
        <w:pStyle w:val="Footnote"/>
        <w:rPr>
          <w:lang w:val="en-CA"/>
        </w:rPr>
      </w:pPr>
      <w:r w:rsidRPr="001F5A83">
        <w:rPr>
          <w:rStyle w:val="EndnoteReference"/>
        </w:rPr>
        <w:endnoteRef/>
      </w:r>
      <w:r w:rsidRPr="001F5A83">
        <w:t xml:space="preserve"> SG$ = </w:t>
      </w:r>
      <w:r w:rsidR="00D63D0B">
        <w:rPr>
          <w:lang w:val="en-CA"/>
        </w:rPr>
        <w:t xml:space="preserve">SGD = Singapore dollar; SG$1.00 = US$0.74 </w:t>
      </w:r>
      <w:r w:rsidRPr="001F5A83">
        <w:rPr>
          <w:lang w:val="en-CA"/>
        </w:rPr>
        <w:t>on April 1, 2015.</w:t>
      </w:r>
    </w:p>
  </w:endnote>
  <w:endnote w:id="72">
    <w:p w14:paraId="55BFB25D" w14:textId="77777777" w:rsidR="00D63D0B" w:rsidRPr="000074A2" w:rsidRDefault="00D63D0B" w:rsidP="00D63D0B">
      <w:pPr>
        <w:pStyle w:val="Footnote"/>
      </w:pPr>
      <w:r w:rsidRPr="000074A2">
        <w:rPr>
          <w:rStyle w:val="EndnoteReference"/>
        </w:rPr>
        <w:endnoteRef/>
      </w:r>
      <w:r w:rsidRPr="000074A2">
        <w:t xml:space="preserve"> </w:t>
      </w:r>
      <w:proofErr w:type="spellStart"/>
      <w:r w:rsidRPr="000074A2">
        <w:t>Harda</w:t>
      </w:r>
      <w:r>
        <w:t>s</w:t>
      </w:r>
      <w:r w:rsidRPr="000074A2">
        <w:t>malani</w:t>
      </w:r>
      <w:proofErr w:type="spellEnd"/>
      <w:r w:rsidRPr="000074A2">
        <w:t>,</w:t>
      </w:r>
      <w:r>
        <w:t xml:space="preserve"> op. cit</w:t>
      </w:r>
      <w:r w:rsidRPr="000074A2">
        <w:t>.</w:t>
      </w:r>
    </w:p>
  </w:endnote>
  <w:endnote w:id="73">
    <w:p w14:paraId="7628E75E" w14:textId="07CEA59A" w:rsidR="0032202E" w:rsidRPr="000074A2" w:rsidRDefault="0032202E" w:rsidP="005169F6">
      <w:pPr>
        <w:pStyle w:val="Footnote"/>
      </w:pPr>
      <w:r w:rsidRPr="000074A2">
        <w:rPr>
          <w:rStyle w:val="EndnoteReference"/>
        </w:rPr>
        <w:endnoteRef/>
      </w:r>
      <w:r w:rsidRPr="000074A2">
        <w:t xml:space="preserve"> “About JD.com,” </w:t>
      </w:r>
      <w:r>
        <w:t>JD</w:t>
      </w:r>
      <w:r w:rsidRPr="000074A2">
        <w:t>.com, accessed June 8, 2017, http://ir.jd.com/phoenix.zhtml?c=253315&amp;p=irol-homeprofile.</w:t>
      </w:r>
    </w:p>
  </w:endnote>
  <w:endnote w:id="74">
    <w:p w14:paraId="593B1EFF" w14:textId="22A8F4C0" w:rsidR="0032202E" w:rsidRPr="000074A2" w:rsidRDefault="0032202E" w:rsidP="005169F6">
      <w:pPr>
        <w:pStyle w:val="Footnote"/>
      </w:pPr>
      <w:r w:rsidRPr="000074A2">
        <w:rPr>
          <w:rStyle w:val="EndnoteReference"/>
        </w:rPr>
        <w:endnoteRef/>
      </w:r>
      <w:r w:rsidRPr="000074A2">
        <w:t xml:space="preserve"> BI Intelligence, </w:t>
      </w:r>
      <w:r>
        <w:t>op. cit</w:t>
      </w:r>
      <w:r w:rsidRPr="000074A2">
        <w:t>.</w:t>
      </w:r>
    </w:p>
  </w:endnote>
  <w:endnote w:id="75">
    <w:p w14:paraId="20EFD881" w14:textId="77777777" w:rsidR="004A3D5E" w:rsidRPr="000074A2" w:rsidRDefault="004A3D5E" w:rsidP="004A3D5E">
      <w:pPr>
        <w:pStyle w:val="Footnote"/>
      </w:pPr>
      <w:r w:rsidRPr="000074A2">
        <w:rPr>
          <w:rStyle w:val="EndnoteReference"/>
        </w:rPr>
        <w:endnoteRef/>
      </w:r>
      <w:r w:rsidRPr="000074A2">
        <w:t xml:space="preserve"> “Mission &amp; Values,” </w:t>
      </w:r>
      <w:r>
        <w:t>JD</w:t>
      </w:r>
      <w:r w:rsidRPr="000074A2">
        <w:t>.com, accessed June 9, 2017, http://corporate.jd.com/missionValues.</w:t>
      </w:r>
    </w:p>
  </w:endnote>
  <w:endnote w:id="76">
    <w:p w14:paraId="1774C05E" w14:textId="553876B8" w:rsidR="0032202E" w:rsidRPr="000074A2" w:rsidRDefault="0032202E" w:rsidP="005169F6">
      <w:pPr>
        <w:pStyle w:val="Footnote"/>
      </w:pPr>
      <w:r w:rsidRPr="000074A2">
        <w:rPr>
          <w:rStyle w:val="EndnoteReference"/>
        </w:rPr>
        <w:endnoteRef/>
      </w:r>
      <w:r w:rsidRPr="000074A2">
        <w:t xml:space="preserve"> Leighton </w:t>
      </w:r>
      <w:proofErr w:type="spellStart"/>
      <w:r w:rsidRPr="000074A2">
        <w:t>Cosseboom</w:t>
      </w:r>
      <w:proofErr w:type="spellEnd"/>
      <w:r w:rsidRPr="000074A2">
        <w:t xml:space="preserve">, “China’s Ecommerce Giant JD Sets </w:t>
      </w:r>
      <w:r w:rsidR="00185E84" w:rsidRPr="000074A2">
        <w:t>up</w:t>
      </w:r>
      <w:r w:rsidRPr="000074A2">
        <w:t xml:space="preserve"> Shop </w:t>
      </w:r>
      <w:r>
        <w:t>i</w:t>
      </w:r>
      <w:r w:rsidRPr="000074A2">
        <w:t xml:space="preserve">n Indonesia,” </w:t>
      </w:r>
      <w:r>
        <w:t>T</w:t>
      </w:r>
      <w:r w:rsidRPr="000074A2">
        <w:t>ech</w:t>
      </w:r>
      <w:r>
        <w:t xml:space="preserve"> i</w:t>
      </w:r>
      <w:r w:rsidRPr="000074A2">
        <w:t>n</w:t>
      </w:r>
      <w:r>
        <w:t xml:space="preserve"> A</w:t>
      </w:r>
      <w:r w:rsidRPr="000074A2">
        <w:t>sia, October 27, 2015, accessed June 9, 2017, https://www.techinasia.com/indonesia-ecommerce-news-jd.</w:t>
      </w:r>
    </w:p>
  </w:endnote>
  <w:endnote w:id="77">
    <w:p w14:paraId="020ABF6B" w14:textId="77777777" w:rsidR="007202BE" w:rsidRPr="000074A2" w:rsidRDefault="007202BE" w:rsidP="007202BE">
      <w:pPr>
        <w:pStyle w:val="Footnote"/>
      </w:pPr>
      <w:r w:rsidRPr="000074A2">
        <w:rPr>
          <w:rStyle w:val="EndnoteReference"/>
        </w:rPr>
        <w:endnoteRef/>
      </w:r>
      <w:r w:rsidRPr="000074A2">
        <w:t xml:space="preserve"> “</w:t>
      </w:r>
      <w:proofErr w:type="spellStart"/>
      <w:r w:rsidRPr="000074A2">
        <w:t>Profil</w:t>
      </w:r>
      <w:proofErr w:type="spellEnd"/>
      <w:r w:rsidRPr="000074A2">
        <w:t xml:space="preserve"> Perusahaan</w:t>
      </w:r>
      <w:r>
        <w:t xml:space="preserve"> [Company Profile]</w:t>
      </w:r>
      <w:r w:rsidRPr="000074A2">
        <w:t xml:space="preserve">,” </w:t>
      </w:r>
      <w:r>
        <w:t>JD</w:t>
      </w:r>
      <w:r w:rsidRPr="000074A2">
        <w:t>.id, accessed June 9, 2017, https://www.jd.id/help/question-22.html.</w:t>
      </w:r>
    </w:p>
  </w:endnote>
  <w:endnote w:id="78">
    <w:p w14:paraId="1DF563CD" w14:textId="39223B39" w:rsidR="0032202E" w:rsidRPr="000074A2" w:rsidRDefault="0032202E" w:rsidP="005169F6">
      <w:pPr>
        <w:pStyle w:val="Footnote"/>
      </w:pPr>
      <w:r w:rsidRPr="000074A2">
        <w:rPr>
          <w:rStyle w:val="EndnoteReference"/>
        </w:rPr>
        <w:endnoteRef/>
      </w:r>
      <w:r w:rsidRPr="000074A2">
        <w:t xml:space="preserve"> </w:t>
      </w:r>
      <w:proofErr w:type="spellStart"/>
      <w:r w:rsidRPr="000074A2">
        <w:t>Rakuten</w:t>
      </w:r>
      <w:proofErr w:type="spellEnd"/>
      <w:r w:rsidRPr="000074A2">
        <w:t xml:space="preserve"> Inc., “</w:t>
      </w:r>
      <w:proofErr w:type="spellStart"/>
      <w:r w:rsidRPr="000074A2">
        <w:t>Rakuten</w:t>
      </w:r>
      <w:proofErr w:type="spellEnd"/>
      <w:r w:rsidRPr="000074A2">
        <w:t xml:space="preserve"> Set to Ignite Online Shopping in Malaysia,” </w:t>
      </w:r>
      <w:r>
        <w:t>news release,</w:t>
      </w:r>
      <w:r w:rsidRPr="000074A2">
        <w:t xml:space="preserve"> October 31, 2012, accessed June</w:t>
      </w:r>
      <w:r>
        <w:t> </w:t>
      </w:r>
      <w:r w:rsidRPr="000074A2">
        <w:t>9,</w:t>
      </w:r>
      <w:r>
        <w:t> </w:t>
      </w:r>
      <w:r w:rsidRPr="000074A2">
        <w:t>2017, https://global.rakuten.com/corp/news/press/2012/1031_01.html.</w:t>
      </w:r>
    </w:p>
  </w:endnote>
  <w:endnote w:id="79">
    <w:p w14:paraId="6B366C14" w14:textId="44C6F830" w:rsidR="0032202E" w:rsidRPr="000074A2" w:rsidRDefault="0032202E" w:rsidP="005169F6">
      <w:pPr>
        <w:pStyle w:val="Footnote"/>
      </w:pPr>
      <w:r w:rsidRPr="000074A2">
        <w:rPr>
          <w:rStyle w:val="EndnoteReference"/>
        </w:rPr>
        <w:endnoteRef/>
      </w:r>
      <w:r w:rsidRPr="000074A2">
        <w:t xml:space="preserve"> </w:t>
      </w:r>
      <w:proofErr w:type="spellStart"/>
      <w:r w:rsidRPr="000074A2">
        <w:t>Rakuten</w:t>
      </w:r>
      <w:proofErr w:type="spellEnd"/>
      <w:r w:rsidRPr="000074A2">
        <w:t xml:space="preserve"> Inc., “</w:t>
      </w:r>
      <w:proofErr w:type="spellStart"/>
      <w:r w:rsidRPr="000074A2">
        <w:t>Rakuten</w:t>
      </w:r>
      <w:proofErr w:type="spellEnd"/>
      <w:r w:rsidRPr="000074A2">
        <w:t xml:space="preserve"> to Launch E-Commerce Service in Malaysia,” </w:t>
      </w:r>
      <w:r>
        <w:t>news release</w:t>
      </w:r>
      <w:r w:rsidRPr="000074A2">
        <w:t>, March 24, 2012, accessed June</w:t>
      </w:r>
      <w:r>
        <w:t> </w:t>
      </w:r>
      <w:r w:rsidRPr="000074A2">
        <w:t>9,</w:t>
      </w:r>
      <w:r>
        <w:t> </w:t>
      </w:r>
      <w:r w:rsidRPr="000074A2">
        <w:t>2017, https://global.rakuten.com/corp/news/press/2012/0524_01.html.</w:t>
      </w:r>
    </w:p>
  </w:endnote>
  <w:endnote w:id="80">
    <w:p w14:paraId="4F528A6B" w14:textId="1365CB70" w:rsidR="0032202E" w:rsidRPr="00185E84" w:rsidRDefault="0032202E" w:rsidP="005169F6">
      <w:pPr>
        <w:pStyle w:val="Footnote"/>
        <w:rPr>
          <w:spacing w:val="-4"/>
        </w:rPr>
      </w:pPr>
      <w:r w:rsidRPr="00185E84">
        <w:rPr>
          <w:rStyle w:val="EndnoteReference"/>
          <w:spacing w:val="-4"/>
        </w:rPr>
        <w:endnoteRef/>
      </w:r>
      <w:r w:rsidRPr="00185E84">
        <w:rPr>
          <w:spacing w:val="-4"/>
        </w:rPr>
        <w:t xml:space="preserve"> “About Amazon Prime,” Amazon, accessed June 9, 2017, https://www.amazon.com/gp/help/customer/display.html?nodeId=200444160.</w:t>
      </w:r>
    </w:p>
  </w:endnote>
  <w:endnote w:id="81">
    <w:p w14:paraId="497183E0" w14:textId="202C1DE2" w:rsidR="0032202E" w:rsidRPr="000074A2" w:rsidRDefault="0032202E" w:rsidP="005169F6">
      <w:pPr>
        <w:pStyle w:val="Footnote"/>
      </w:pPr>
      <w:r w:rsidRPr="000074A2">
        <w:rPr>
          <w:rStyle w:val="EndnoteReference"/>
        </w:rPr>
        <w:endnoteRef/>
      </w:r>
      <w:r w:rsidRPr="000074A2">
        <w:t xml:space="preserve"> “Key </w:t>
      </w:r>
      <w:r>
        <w:t>C</w:t>
      </w:r>
      <w:r w:rsidRPr="000074A2">
        <w:t xml:space="preserve">onsiderations for Selling Internationally on Amazon,” </w:t>
      </w:r>
      <w:r>
        <w:t xml:space="preserve">Amazon Services, </w:t>
      </w:r>
      <w:r w:rsidRPr="000074A2">
        <w:t>accessed June 9, 2017, https://services.amazon.com/global-selling/selling-internationally-overview.html.</w:t>
      </w:r>
    </w:p>
  </w:endnote>
  <w:endnote w:id="82">
    <w:p w14:paraId="50D345EC" w14:textId="3098BCE5" w:rsidR="0032202E" w:rsidRPr="000074A2" w:rsidRDefault="0032202E" w:rsidP="005169F6">
      <w:pPr>
        <w:pStyle w:val="Footnote"/>
      </w:pPr>
      <w:r w:rsidRPr="000074A2">
        <w:rPr>
          <w:rStyle w:val="EndnoteReference"/>
        </w:rPr>
        <w:endnoteRef/>
      </w:r>
      <w:r w:rsidRPr="000074A2">
        <w:t xml:space="preserve"> Jon Russel</w:t>
      </w:r>
      <w:r>
        <w:t>l</w:t>
      </w:r>
      <w:r w:rsidRPr="000074A2">
        <w:t xml:space="preserve">, “Amazon Plans </w:t>
      </w:r>
      <w:r>
        <w:t>t</w:t>
      </w:r>
      <w:r w:rsidRPr="000074A2">
        <w:t xml:space="preserve">o Enter Southeast Asia </w:t>
      </w:r>
      <w:r>
        <w:t>w</w:t>
      </w:r>
      <w:r w:rsidRPr="000074A2">
        <w:t xml:space="preserve">ith Singapore Launch in Q1 2017,” </w:t>
      </w:r>
      <w:r>
        <w:t>T</w:t>
      </w:r>
      <w:r w:rsidRPr="000074A2">
        <w:t>ech</w:t>
      </w:r>
      <w:r>
        <w:t xml:space="preserve"> C</w:t>
      </w:r>
      <w:r w:rsidRPr="000074A2">
        <w:t>runch, November 1, 2016, accessed June 9, 2017, https://techcrunch.com/2016/11/01/amazon-southeast-asia/.</w:t>
      </w:r>
    </w:p>
  </w:endnote>
  <w:endnote w:id="83">
    <w:p w14:paraId="2F3672D2" w14:textId="77777777" w:rsidR="007202BE" w:rsidRPr="000074A2" w:rsidRDefault="007202BE" w:rsidP="007202BE">
      <w:pPr>
        <w:pStyle w:val="Footnote"/>
      </w:pPr>
      <w:r w:rsidRPr="000074A2">
        <w:rPr>
          <w:rStyle w:val="EndnoteReference"/>
        </w:rPr>
        <w:endnoteRef/>
      </w:r>
      <w:r w:rsidRPr="000074A2">
        <w:t xml:space="preserve"> Judith </w:t>
      </w:r>
      <w:proofErr w:type="spellStart"/>
      <w:r w:rsidRPr="000074A2">
        <w:t>Balea</w:t>
      </w:r>
      <w:proofErr w:type="spellEnd"/>
      <w:r w:rsidRPr="000074A2">
        <w:t xml:space="preserve">, “It’s </w:t>
      </w:r>
      <w:r>
        <w:t>C</w:t>
      </w:r>
      <w:r w:rsidRPr="000074A2">
        <w:t>onfirmed: Alibaba-</w:t>
      </w:r>
      <w:r>
        <w:t>B</w:t>
      </w:r>
      <w:r w:rsidRPr="000074A2">
        <w:t xml:space="preserve">acked </w:t>
      </w:r>
      <w:proofErr w:type="spellStart"/>
      <w:r w:rsidRPr="000074A2">
        <w:t>Lazada</w:t>
      </w:r>
      <w:proofErr w:type="spellEnd"/>
      <w:r w:rsidRPr="000074A2">
        <w:t xml:space="preserve"> </w:t>
      </w:r>
      <w:r>
        <w:t>I</w:t>
      </w:r>
      <w:r w:rsidRPr="000074A2">
        <w:t xml:space="preserve">s </w:t>
      </w:r>
      <w:r>
        <w:t>B</w:t>
      </w:r>
      <w:r w:rsidRPr="000074A2">
        <w:t xml:space="preserve">uying </w:t>
      </w:r>
      <w:proofErr w:type="spellStart"/>
      <w:r w:rsidRPr="000074A2">
        <w:t>Redmart</w:t>
      </w:r>
      <w:proofErr w:type="spellEnd"/>
      <w:r w:rsidRPr="000074A2">
        <w:t xml:space="preserve">,” </w:t>
      </w:r>
      <w:r>
        <w:t>T</w:t>
      </w:r>
      <w:r w:rsidRPr="000074A2">
        <w:t>ech</w:t>
      </w:r>
      <w:r>
        <w:t xml:space="preserve"> i</w:t>
      </w:r>
      <w:r w:rsidRPr="000074A2">
        <w:t>n</w:t>
      </w:r>
      <w:r>
        <w:t xml:space="preserve"> A</w:t>
      </w:r>
      <w:r w:rsidRPr="000074A2">
        <w:t>sia, November 2, 2016, accessed June 9, 2017, https://www.techinasia.com/its-confirmed-alibaba-backed-lazada-is-buying-redmart.</w:t>
      </w:r>
    </w:p>
  </w:endnote>
  <w:endnote w:id="84">
    <w:p w14:paraId="7B494D53" w14:textId="21B2A6DC" w:rsidR="0032202E" w:rsidRPr="00373CD7" w:rsidRDefault="0032202E" w:rsidP="005169F6">
      <w:pPr>
        <w:pStyle w:val="Footnote"/>
        <w:rPr>
          <w:lang w:eastAsia="zh-CN"/>
        </w:rPr>
      </w:pPr>
      <w:r w:rsidRPr="000074A2">
        <w:rPr>
          <w:rStyle w:val="EndnoteReference"/>
        </w:rPr>
        <w:endnoteRef/>
      </w:r>
      <w:r w:rsidR="00185E84">
        <w:t xml:space="preserve"> </w:t>
      </w:r>
      <w:r w:rsidRPr="000074A2">
        <w:t xml:space="preserve">Russell, </w:t>
      </w:r>
      <w:r w:rsidR="0036755C">
        <w:t xml:space="preserve">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ヒラギノ明朝 Pro W3">
    <w:charset w:val="80"/>
    <w:family w:val="roman"/>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0AA3B" w14:textId="77777777" w:rsidR="0032202E" w:rsidRDefault="0032202E" w:rsidP="00D75295">
      <w:r>
        <w:separator/>
      </w:r>
    </w:p>
  </w:footnote>
  <w:footnote w:type="continuationSeparator" w:id="0">
    <w:p w14:paraId="66755341" w14:textId="77777777" w:rsidR="0032202E" w:rsidRDefault="0032202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B4D0" w14:textId="01E7CCF4" w:rsidR="0032202E" w:rsidRDefault="0032202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25BFB">
      <w:rPr>
        <w:rFonts w:ascii="Arial" w:hAnsi="Arial"/>
        <w:b/>
        <w:noProof/>
      </w:rPr>
      <w:t>15</w:t>
    </w:r>
    <w:r>
      <w:rPr>
        <w:rFonts w:ascii="Arial" w:hAnsi="Arial"/>
        <w:b/>
      </w:rPr>
      <w:fldChar w:fldCharType="end"/>
    </w:r>
    <w:r>
      <w:rPr>
        <w:rFonts w:ascii="Arial" w:hAnsi="Arial"/>
        <w:b/>
      </w:rPr>
      <w:tab/>
      <w:t>9B18M064</w:t>
    </w:r>
  </w:p>
  <w:p w14:paraId="4FCC577E" w14:textId="77777777" w:rsidR="0032202E" w:rsidRPr="00C92CC4" w:rsidRDefault="0032202E">
    <w:pPr>
      <w:pStyle w:val="Header"/>
      <w:rPr>
        <w:sz w:val="18"/>
        <w:szCs w:val="18"/>
      </w:rPr>
    </w:pPr>
  </w:p>
  <w:p w14:paraId="6D4564FF" w14:textId="77777777" w:rsidR="0032202E" w:rsidRPr="00C92CC4" w:rsidRDefault="0032202E">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C614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1ED1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B823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F6BE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9623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0EF8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C5B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EA64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4CF3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EE89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642AD"/>
    <w:multiLevelType w:val="hybridMultilevel"/>
    <w:tmpl w:val="55D65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C65F8"/>
    <w:multiLevelType w:val="hybridMultilevel"/>
    <w:tmpl w:val="45C2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5CA6151F"/>
    <w:multiLevelType w:val="hybridMultilevel"/>
    <w:tmpl w:val="128CD2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E1E78BC"/>
    <w:multiLevelType w:val="hybridMultilevel"/>
    <w:tmpl w:val="44D0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1"/>
  </w:num>
  <w:num w:numId="15">
    <w:abstractNumId w:val="22"/>
  </w:num>
  <w:num w:numId="16">
    <w:abstractNumId w:val="25"/>
  </w:num>
  <w:num w:numId="17">
    <w:abstractNumId w:val="16"/>
  </w:num>
  <w:num w:numId="18">
    <w:abstractNumId w:val="26"/>
  </w:num>
  <w:num w:numId="19">
    <w:abstractNumId w:val="11"/>
  </w:num>
  <w:num w:numId="20">
    <w:abstractNumId w:val="10"/>
  </w:num>
  <w:num w:numId="21">
    <w:abstractNumId w:val="27"/>
  </w:num>
  <w:num w:numId="22">
    <w:abstractNumId w:val="19"/>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4"/>
  </w:num>
  <w:num w:numId="29">
    <w:abstractNumId w:val="17"/>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CA" w:vendorID="64" w:dllVersion="6" w:nlCheck="1" w:checkStyle="0"/>
  <w:activeWritingStyle w:appName="MSWord" w:lang="ja-JP"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03"/>
    <w:rsid w:val="0000085A"/>
    <w:rsid w:val="00000993"/>
    <w:rsid w:val="00000ED8"/>
    <w:rsid w:val="000031D2"/>
    <w:rsid w:val="00003823"/>
    <w:rsid w:val="00005154"/>
    <w:rsid w:val="0000635E"/>
    <w:rsid w:val="00006861"/>
    <w:rsid w:val="000074A2"/>
    <w:rsid w:val="00012B38"/>
    <w:rsid w:val="00013360"/>
    <w:rsid w:val="00013EE5"/>
    <w:rsid w:val="00016246"/>
    <w:rsid w:val="000214F1"/>
    <w:rsid w:val="000216CE"/>
    <w:rsid w:val="00021A7D"/>
    <w:rsid w:val="00022414"/>
    <w:rsid w:val="00023CD8"/>
    <w:rsid w:val="000243A5"/>
    <w:rsid w:val="000253F8"/>
    <w:rsid w:val="00025DC7"/>
    <w:rsid w:val="00026486"/>
    <w:rsid w:val="000279AC"/>
    <w:rsid w:val="00030971"/>
    <w:rsid w:val="000342D0"/>
    <w:rsid w:val="00035148"/>
    <w:rsid w:val="00040A5C"/>
    <w:rsid w:val="00041C95"/>
    <w:rsid w:val="00043D98"/>
    <w:rsid w:val="0004497B"/>
    <w:rsid w:val="00044ECC"/>
    <w:rsid w:val="00045954"/>
    <w:rsid w:val="000531C9"/>
    <w:rsid w:val="000531D3"/>
    <w:rsid w:val="00053A0D"/>
    <w:rsid w:val="00054E97"/>
    <w:rsid w:val="000558A2"/>
    <w:rsid w:val="0005646B"/>
    <w:rsid w:val="0006002F"/>
    <w:rsid w:val="00060872"/>
    <w:rsid w:val="000655B3"/>
    <w:rsid w:val="00065DF6"/>
    <w:rsid w:val="00067659"/>
    <w:rsid w:val="0007111A"/>
    <w:rsid w:val="00071A10"/>
    <w:rsid w:val="000737FA"/>
    <w:rsid w:val="000739BF"/>
    <w:rsid w:val="000779C2"/>
    <w:rsid w:val="0008102D"/>
    <w:rsid w:val="0008158B"/>
    <w:rsid w:val="00081D2A"/>
    <w:rsid w:val="00083FDA"/>
    <w:rsid w:val="00086038"/>
    <w:rsid w:val="0008648D"/>
    <w:rsid w:val="00086DAC"/>
    <w:rsid w:val="0008745A"/>
    <w:rsid w:val="00087FBB"/>
    <w:rsid w:val="00090D3B"/>
    <w:rsid w:val="00091C97"/>
    <w:rsid w:val="00094875"/>
    <w:rsid w:val="00094C0E"/>
    <w:rsid w:val="0009650E"/>
    <w:rsid w:val="00097871"/>
    <w:rsid w:val="000A15E8"/>
    <w:rsid w:val="000A5A62"/>
    <w:rsid w:val="000A693F"/>
    <w:rsid w:val="000B1439"/>
    <w:rsid w:val="000B1EA1"/>
    <w:rsid w:val="000B3FCB"/>
    <w:rsid w:val="000B4074"/>
    <w:rsid w:val="000B41E4"/>
    <w:rsid w:val="000B4324"/>
    <w:rsid w:val="000B56E9"/>
    <w:rsid w:val="000B69D5"/>
    <w:rsid w:val="000B7847"/>
    <w:rsid w:val="000C02EF"/>
    <w:rsid w:val="000C0A48"/>
    <w:rsid w:val="000C0FAF"/>
    <w:rsid w:val="000C2D65"/>
    <w:rsid w:val="000C585C"/>
    <w:rsid w:val="000C6EA4"/>
    <w:rsid w:val="000C70A3"/>
    <w:rsid w:val="000C732B"/>
    <w:rsid w:val="000C76C2"/>
    <w:rsid w:val="000D0815"/>
    <w:rsid w:val="000D0E04"/>
    <w:rsid w:val="000D1938"/>
    <w:rsid w:val="000D2718"/>
    <w:rsid w:val="000D4BCE"/>
    <w:rsid w:val="000D74C4"/>
    <w:rsid w:val="000E0A0B"/>
    <w:rsid w:val="000E0AB4"/>
    <w:rsid w:val="000E2E31"/>
    <w:rsid w:val="000E41F8"/>
    <w:rsid w:val="000E5420"/>
    <w:rsid w:val="000E7D1F"/>
    <w:rsid w:val="000F0216"/>
    <w:rsid w:val="000F049C"/>
    <w:rsid w:val="000F0A7F"/>
    <w:rsid w:val="000F0C22"/>
    <w:rsid w:val="000F13DB"/>
    <w:rsid w:val="000F2F91"/>
    <w:rsid w:val="000F3632"/>
    <w:rsid w:val="000F42D3"/>
    <w:rsid w:val="000F56C3"/>
    <w:rsid w:val="000F5C6B"/>
    <w:rsid w:val="000F6AD7"/>
    <w:rsid w:val="000F6B09"/>
    <w:rsid w:val="000F6FDC"/>
    <w:rsid w:val="000F730B"/>
    <w:rsid w:val="00100239"/>
    <w:rsid w:val="0010031B"/>
    <w:rsid w:val="00100691"/>
    <w:rsid w:val="001016A5"/>
    <w:rsid w:val="00101D03"/>
    <w:rsid w:val="00102E00"/>
    <w:rsid w:val="00103642"/>
    <w:rsid w:val="00104567"/>
    <w:rsid w:val="001104B1"/>
    <w:rsid w:val="0011166A"/>
    <w:rsid w:val="00111E5E"/>
    <w:rsid w:val="001129D1"/>
    <w:rsid w:val="00113489"/>
    <w:rsid w:val="00113980"/>
    <w:rsid w:val="00116406"/>
    <w:rsid w:val="00116A21"/>
    <w:rsid w:val="001215A5"/>
    <w:rsid w:val="0012560E"/>
    <w:rsid w:val="0012732D"/>
    <w:rsid w:val="00127458"/>
    <w:rsid w:val="001313BC"/>
    <w:rsid w:val="0013263D"/>
    <w:rsid w:val="00135A7A"/>
    <w:rsid w:val="0014149E"/>
    <w:rsid w:val="001435CC"/>
    <w:rsid w:val="00144006"/>
    <w:rsid w:val="00144DA8"/>
    <w:rsid w:val="00145D14"/>
    <w:rsid w:val="00150587"/>
    <w:rsid w:val="00151263"/>
    <w:rsid w:val="00152C4D"/>
    <w:rsid w:val="00153CC1"/>
    <w:rsid w:val="00153D2C"/>
    <w:rsid w:val="00154FC9"/>
    <w:rsid w:val="00156490"/>
    <w:rsid w:val="00160993"/>
    <w:rsid w:val="00161FF6"/>
    <w:rsid w:val="00162192"/>
    <w:rsid w:val="0016304C"/>
    <w:rsid w:val="00170665"/>
    <w:rsid w:val="00170E2A"/>
    <w:rsid w:val="0017324F"/>
    <w:rsid w:val="00173EDC"/>
    <w:rsid w:val="0017525D"/>
    <w:rsid w:val="001754B0"/>
    <w:rsid w:val="00176B9F"/>
    <w:rsid w:val="00176D41"/>
    <w:rsid w:val="001771DA"/>
    <w:rsid w:val="0018222A"/>
    <w:rsid w:val="00185E84"/>
    <w:rsid w:val="0019241A"/>
    <w:rsid w:val="00194522"/>
    <w:rsid w:val="00195D3B"/>
    <w:rsid w:val="00197829"/>
    <w:rsid w:val="001A3D13"/>
    <w:rsid w:val="001A4DB6"/>
    <w:rsid w:val="001A5335"/>
    <w:rsid w:val="001A63C8"/>
    <w:rsid w:val="001A752D"/>
    <w:rsid w:val="001B0E47"/>
    <w:rsid w:val="001B3E05"/>
    <w:rsid w:val="001B445F"/>
    <w:rsid w:val="001B5AA4"/>
    <w:rsid w:val="001C2429"/>
    <w:rsid w:val="001C3907"/>
    <w:rsid w:val="001C3C4F"/>
    <w:rsid w:val="001C434A"/>
    <w:rsid w:val="001C4466"/>
    <w:rsid w:val="001C4EB1"/>
    <w:rsid w:val="001C66E2"/>
    <w:rsid w:val="001D0B04"/>
    <w:rsid w:val="001D22E2"/>
    <w:rsid w:val="001D6B04"/>
    <w:rsid w:val="001E0AEB"/>
    <w:rsid w:val="001E270B"/>
    <w:rsid w:val="001E4E04"/>
    <w:rsid w:val="001E4EFA"/>
    <w:rsid w:val="001E5FC6"/>
    <w:rsid w:val="001E6531"/>
    <w:rsid w:val="001E6BAD"/>
    <w:rsid w:val="001E7E11"/>
    <w:rsid w:val="001F012B"/>
    <w:rsid w:val="001F262E"/>
    <w:rsid w:val="001F4973"/>
    <w:rsid w:val="001F57B0"/>
    <w:rsid w:val="001F5A83"/>
    <w:rsid w:val="001F5DED"/>
    <w:rsid w:val="00200A10"/>
    <w:rsid w:val="00203AA1"/>
    <w:rsid w:val="002052D0"/>
    <w:rsid w:val="00205504"/>
    <w:rsid w:val="002074DB"/>
    <w:rsid w:val="002129F1"/>
    <w:rsid w:val="00213E98"/>
    <w:rsid w:val="00216F75"/>
    <w:rsid w:val="00220DD3"/>
    <w:rsid w:val="0022597C"/>
    <w:rsid w:val="002266F9"/>
    <w:rsid w:val="002341BE"/>
    <w:rsid w:val="0023510A"/>
    <w:rsid w:val="002360E8"/>
    <w:rsid w:val="002379F1"/>
    <w:rsid w:val="00240A11"/>
    <w:rsid w:val="00243BA3"/>
    <w:rsid w:val="00252711"/>
    <w:rsid w:val="00254300"/>
    <w:rsid w:val="00255933"/>
    <w:rsid w:val="00261F8A"/>
    <w:rsid w:val="00264553"/>
    <w:rsid w:val="00266098"/>
    <w:rsid w:val="002663AE"/>
    <w:rsid w:val="002675EC"/>
    <w:rsid w:val="00270048"/>
    <w:rsid w:val="00274694"/>
    <w:rsid w:val="0027696A"/>
    <w:rsid w:val="00281D36"/>
    <w:rsid w:val="00281D95"/>
    <w:rsid w:val="00281DF5"/>
    <w:rsid w:val="00282606"/>
    <w:rsid w:val="002834C1"/>
    <w:rsid w:val="002928F6"/>
    <w:rsid w:val="00294024"/>
    <w:rsid w:val="00295BC6"/>
    <w:rsid w:val="002A0362"/>
    <w:rsid w:val="002A7348"/>
    <w:rsid w:val="002B09EB"/>
    <w:rsid w:val="002B19FA"/>
    <w:rsid w:val="002B29E4"/>
    <w:rsid w:val="002B3901"/>
    <w:rsid w:val="002B4269"/>
    <w:rsid w:val="002B5466"/>
    <w:rsid w:val="002B706D"/>
    <w:rsid w:val="002C0DD1"/>
    <w:rsid w:val="002C4AFF"/>
    <w:rsid w:val="002C5727"/>
    <w:rsid w:val="002C694D"/>
    <w:rsid w:val="002D175B"/>
    <w:rsid w:val="002D2A11"/>
    <w:rsid w:val="002D320A"/>
    <w:rsid w:val="002E1731"/>
    <w:rsid w:val="002E1C53"/>
    <w:rsid w:val="002E25AD"/>
    <w:rsid w:val="002E46BE"/>
    <w:rsid w:val="002E50D9"/>
    <w:rsid w:val="002E646B"/>
    <w:rsid w:val="002F0159"/>
    <w:rsid w:val="002F33F5"/>
    <w:rsid w:val="002F3E89"/>
    <w:rsid w:val="002F41B4"/>
    <w:rsid w:val="002F460C"/>
    <w:rsid w:val="002F48D6"/>
    <w:rsid w:val="002F7261"/>
    <w:rsid w:val="00303061"/>
    <w:rsid w:val="003034B6"/>
    <w:rsid w:val="00303C72"/>
    <w:rsid w:val="00304393"/>
    <w:rsid w:val="003044B0"/>
    <w:rsid w:val="0030533C"/>
    <w:rsid w:val="0030569D"/>
    <w:rsid w:val="00310222"/>
    <w:rsid w:val="00310E3B"/>
    <w:rsid w:val="00311665"/>
    <w:rsid w:val="00312B06"/>
    <w:rsid w:val="0032202E"/>
    <w:rsid w:val="00322843"/>
    <w:rsid w:val="00323E98"/>
    <w:rsid w:val="00325446"/>
    <w:rsid w:val="00325DF6"/>
    <w:rsid w:val="00326953"/>
    <w:rsid w:val="003276DD"/>
    <w:rsid w:val="00330DD8"/>
    <w:rsid w:val="0033119E"/>
    <w:rsid w:val="003316F8"/>
    <w:rsid w:val="0033512E"/>
    <w:rsid w:val="003363B9"/>
    <w:rsid w:val="0034034E"/>
    <w:rsid w:val="0034058A"/>
    <w:rsid w:val="00341A1F"/>
    <w:rsid w:val="0034270D"/>
    <w:rsid w:val="00342D8B"/>
    <w:rsid w:val="00343032"/>
    <w:rsid w:val="00345126"/>
    <w:rsid w:val="003453BA"/>
    <w:rsid w:val="0034681B"/>
    <w:rsid w:val="003476FB"/>
    <w:rsid w:val="00347AF7"/>
    <w:rsid w:val="00351368"/>
    <w:rsid w:val="003513EA"/>
    <w:rsid w:val="003519B1"/>
    <w:rsid w:val="00351A1D"/>
    <w:rsid w:val="003521EF"/>
    <w:rsid w:val="00352646"/>
    <w:rsid w:val="00354899"/>
    <w:rsid w:val="0035540D"/>
    <w:rsid w:val="00355B9D"/>
    <w:rsid w:val="00355FD6"/>
    <w:rsid w:val="00356344"/>
    <w:rsid w:val="00357FDF"/>
    <w:rsid w:val="003602F1"/>
    <w:rsid w:val="00361C8E"/>
    <w:rsid w:val="00364A5C"/>
    <w:rsid w:val="00366321"/>
    <w:rsid w:val="0036688C"/>
    <w:rsid w:val="0036755C"/>
    <w:rsid w:val="00367CEB"/>
    <w:rsid w:val="0037016E"/>
    <w:rsid w:val="00370C58"/>
    <w:rsid w:val="00371362"/>
    <w:rsid w:val="00373CA3"/>
    <w:rsid w:val="00373CD7"/>
    <w:rsid w:val="00373FB1"/>
    <w:rsid w:val="0037583F"/>
    <w:rsid w:val="00375B2A"/>
    <w:rsid w:val="0037619C"/>
    <w:rsid w:val="00376A3F"/>
    <w:rsid w:val="00376B41"/>
    <w:rsid w:val="0037758B"/>
    <w:rsid w:val="00377EC8"/>
    <w:rsid w:val="00382320"/>
    <w:rsid w:val="003824FD"/>
    <w:rsid w:val="00384791"/>
    <w:rsid w:val="00386C1B"/>
    <w:rsid w:val="00387A91"/>
    <w:rsid w:val="0039078C"/>
    <w:rsid w:val="003916BD"/>
    <w:rsid w:val="00397D71"/>
    <w:rsid w:val="003A397F"/>
    <w:rsid w:val="003A4031"/>
    <w:rsid w:val="003A49C8"/>
    <w:rsid w:val="003B18C3"/>
    <w:rsid w:val="003B1A5B"/>
    <w:rsid w:val="003B1FC3"/>
    <w:rsid w:val="003B2EB5"/>
    <w:rsid w:val="003B30D8"/>
    <w:rsid w:val="003B5ACB"/>
    <w:rsid w:val="003B7119"/>
    <w:rsid w:val="003B7EF2"/>
    <w:rsid w:val="003C2582"/>
    <w:rsid w:val="003C29A1"/>
    <w:rsid w:val="003C3325"/>
    <w:rsid w:val="003C3E3A"/>
    <w:rsid w:val="003C3FA4"/>
    <w:rsid w:val="003C58DD"/>
    <w:rsid w:val="003C6152"/>
    <w:rsid w:val="003C7ED1"/>
    <w:rsid w:val="003D2580"/>
    <w:rsid w:val="003D2EA6"/>
    <w:rsid w:val="003D31EB"/>
    <w:rsid w:val="003D3DF8"/>
    <w:rsid w:val="003D42F0"/>
    <w:rsid w:val="003D49F5"/>
    <w:rsid w:val="003E027C"/>
    <w:rsid w:val="003E0667"/>
    <w:rsid w:val="003E6168"/>
    <w:rsid w:val="003E635A"/>
    <w:rsid w:val="003F0618"/>
    <w:rsid w:val="003F06AB"/>
    <w:rsid w:val="003F26F1"/>
    <w:rsid w:val="003F2B0C"/>
    <w:rsid w:val="003F4314"/>
    <w:rsid w:val="003F6C13"/>
    <w:rsid w:val="0040060E"/>
    <w:rsid w:val="00401888"/>
    <w:rsid w:val="004067DF"/>
    <w:rsid w:val="004069FB"/>
    <w:rsid w:val="00406E08"/>
    <w:rsid w:val="0040785B"/>
    <w:rsid w:val="00412D68"/>
    <w:rsid w:val="0041536C"/>
    <w:rsid w:val="00421061"/>
    <w:rsid w:val="004221E4"/>
    <w:rsid w:val="00422611"/>
    <w:rsid w:val="00423281"/>
    <w:rsid w:val="00423F27"/>
    <w:rsid w:val="00424F46"/>
    <w:rsid w:val="004267BF"/>
    <w:rsid w:val="00427323"/>
    <w:rsid w:val="004313A9"/>
    <w:rsid w:val="00434ABE"/>
    <w:rsid w:val="00435D0D"/>
    <w:rsid w:val="00436A4C"/>
    <w:rsid w:val="00441E9A"/>
    <w:rsid w:val="004431A1"/>
    <w:rsid w:val="004440F6"/>
    <w:rsid w:val="00444D97"/>
    <w:rsid w:val="0044571E"/>
    <w:rsid w:val="00450DDD"/>
    <w:rsid w:val="00450EC7"/>
    <w:rsid w:val="004527BF"/>
    <w:rsid w:val="0046067F"/>
    <w:rsid w:val="00471088"/>
    <w:rsid w:val="00472109"/>
    <w:rsid w:val="00472CD1"/>
    <w:rsid w:val="004737AD"/>
    <w:rsid w:val="0047597A"/>
    <w:rsid w:val="004801F4"/>
    <w:rsid w:val="0048153F"/>
    <w:rsid w:val="004822AC"/>
    <w:rsid w:val="00483AF9"/>
    <w:rsid w:val="0048434B"/>
    <w:rsid w:val="00487C7E"/>
    <w:rsid w:val="004908ED"/>
    <w:rsid w:val="00490F6A"/>
    <w:rsid w:val="004969C4"/>
    <w:rsid w:val="0049757F"/>
    <w:rsid w:val="004A1970"/>
    <w:rsid w:val="004A2FD2"/>
    <w:rsid w:val="004A3D5E"/>
    <w:rsid w:val="004A40B8"/>
    <w:rsid w:val="004A4845"/>
    <w:rsid w:val="004A6EBB"/>
    <w:rsid w:val="004A6EBE"/>
    <w:rsid w:val="004A706A"/>
    <w:rsid w:val="004A753B"/>
    <w:rsid w:val="004B0D03"/>
    <w:rsid w:val="004B1CCB"/>
    <w:rsid w:val="004B62C5"/>
    <w:rsid w:val="004B6589"/>
    <w:rsid w:val="004C16A8"/>
    <w:rsid w:val="004C1822"/>
    <w:rsid w:val="004C2A5E"/>
    <w:rsid w:val="004C6266"/>
    <w:rsid w:val="004C65C2"/>
    <w:rsid w:val="004C6A1E"/>
    <w:rsid w:val="004C7263"/>
    <w:rsid w:val="004D73A5"/>
    <w:rsid w:val="004E6ACF"/>
    <w:rsid w:val="004E7FA1"/>
    <w:rsid w:val="004F0901"/>
    <w:rsid w:val="004F0F70"/>
    <w:rsid w:val="004F5AAA"/>
    <w:rsid w:val="004F5B3E"/>
    <w:rsid w:val="004F5D7A"/>
    <w:rsid w:val="004F5EB1"/>
    <w:rsid w:val="004F6AB1"/>
    <w:rsid w:val="004F7806"/>
    <w:rsid w:val="00500DF2"/>
    <w:rsid w:val="00501AB4"/>
    <w:rsid w:val="005038F8"/>
    <w:rsid w:val="00505F3E"/>
    <w:rsid w:val="00506F68"/>
    <w:rsid w:val="00511C55"/>
    <w:rsid w:val="0051311F"/>
    <w:rsid w:val="0051402A"/>
    <w:rsid w:val="005169F6"/>
    <w:rsid w:val="00521CC4"/>
    <w:rsid w:val="0052484B"/>
    <w:rsid w:val="00525E14"/>
    <w:rsid w:val="00526B06"/>
    <w:rsid w:val="0052743D"/>
    <w:rsid w:val="00527CF8"/>
    <w:rsid w:val="0053090A"/>
    <w:rsid w:val="0053110F"/>
    <w:rsid w:val="0053180A"/>
    <w:rsid w:val="00532CF5"/>
    <w:rsid w:val="005335D0"/>
    <w:rsid w:val="00534BC3"/>
    <w:rsid w:val="005373D9"/>
    <w:rsid w:val="00542D60"/>
    <w:rsid w:val="00551AF9"/>
    <w:rsid w:val="005528CB"/>
    <w:rsid w:val="00554813"/>
    <w:rsid w:val="00554CB0"/>
    <w:rsid w:val="005563BC"/>
    <w:rsid w:val="00556DAB"/>
    <w:rsid w:val="0056309E"/>
    <w:rsid w:val="00566634"/>
    <w:rsid w:val="00566771"/>
    <w:rsid w:val="00566936"/>
    <w:rsid w:val="00566DF2"/>
    <w:rsid w:val="00567284"/>
    <w:rsid w:val="00567D60"/>
    <w:rsid w:val="00570EC7"/>
    <w:rsid w:val="00571F5B"/>
    <w:rsid w:val="0057230E"/>
    <w:rsid w:val="00572A41"/>
    <w:rsid w:val="005736FC"/>
    <w:rsid w:val="00575170"/>
    <w:rsid w:val="00581E2E"/>
    <w:rsid w:val="005828EC"/>
    <w:rsid w:val="00584B50"/>
    <w:rsid w:val="00584F15"/>
    <w:rsid w:val="00585A2D"/>
    <w:rsid w:val="00585B26"/>
    <w:rsid w:val="00585CF0"/>
    <w:rsid w:val="005872AF"/>
    <w:rsid w:val="0059022F"/>
    <w:rsid w:val="00592508"/>
    <w:rsid w:val="005929E3"/>
    <w:rsid w:val="00592E2C"/>
    <w:rsid w:val="005939E4"/>
    <w:rsid w:val="00594166"/>
    <w:rsid w:val="005941FB"/>
    <w:rsid w:val="00595BD9"/>
    <w:rsid w:val="00595BE2"/>
    <w:rsid w:val="005A0E08"/>
    <w:rsid w:val="005A2B73"/>
    <w:rsid w:val="005A37D7"/>
    <w:rsid w:val="005A5720"/>
    <w:rsid w:val="005A64F3"/>
    <w:rsid w:val="005A6B83"/>
    <w:rsid w:val="005A7FFB"/>
    <w:rsid w:val="005B1CFB"/>
    <w:rsid w:val="005B5462"/>
    <w:rsid w:val="005B56F6"/>
    <w:rsid w:val="005B5FC0"/>
    <w:rsid w:val="005B60D3"/>
    <w:rsid w:val="005B78AB"/>
    <w:rsid w:val="005C0827"/>
    <w:rsid w:val="005C2FFD"/>
    <w:rsid w:val="005C5235"/>
    <w:rsid w:val="005C61AB"/>
    <w:rsid w:val="005D014D"/>
    <w:rsid w:val="005D06C0"/>
    <w:rsid w:val="005D29A5"/>
    <w:rsid w:val="005D4477"/>
    <w:rsid w:val="005D7DA8"/>
    <w:rsid w:val="005E1CF4"/>
    <w:rsid w:val="005F2854"/>
    <w:rsid w:val="005F45D7"/>
    <w:rsid w:val="005F4E47"/>
    <w:rsid w:val="005F5A27"/>
    <w:rsid w:val="005F7603"/>
    <w:rsid w:val="00600114"/>
    <w:rsid w:val="00601B97"/>
    <w:rsid w:val="00601F0A"/>
    <w:rsid w:val="00604B64"/>
    <w:rsid w:val="00605908"/>
    <w:rsid w:val="00610CFA"/>
    <w:rsid w:val="00611424"/>
    <w:rsid w:val="00611633"/>
    <w:rsid w:val="0061204E"/>
    <w:rsid w:val="00612668"/>
    <w:rsid w:val="00612EAF"/>
    <w:rsid w:val="00613D97"/>
    <w:rsid w:val="00614BA0"/>
    <w:rsid w:val="00615030"/>
    <w:rsid w:val="00615582"/>
    <w:rsid w:val="006163F7"/>
    <w:rsid w:val="00617065"/>
    <w:rsid w:val="00621F4D"/>
    <w:rsid w:val="00623324"/>
    <w:rsid w:val="00623B3F"/>
    <w:rsid w:val="006324C2"/>
    <w:rsid w:val="0063325A"/>
    <w:rsid w:val="006340AF"/>
    <w:rsid w:val="00637294"/>
    <w:rsid w:val="006427FE"/>
    <w:rsid w:val="006436D3"/>
    <w:rsid w:val="00643C74"/>
    <w:rsid w:val="00647FD4"/>
    <w:rsid w:val="00650FC6"/>
    <w:rsid w:val="00652606"/>
    <w:rsid w:val="00652A5E"/>
    <w:rsid w:val="00654D41"/>
    <w:rsid w:val="00656139"/>
    <w:rsid w:val="006572CC"/>
    <w:rsid w:val="0066408D"/>
    <w:rsid w:val="0066435B"/>
    <w:rsid w:val="00670CFE"/>
    <w:rsid w:val="00670D40"/>
    <w:rsid w:val="00670D5F"/>
    <w:rsid w:val="00671491"/>
    <w:rsid w:val="00671A40"/>
    <w:rsid w:val="00671BFC"/>
    <w:rsid w:val="00674DC8"/>
    <w:rsid w:val="006757C8"/>
    <w:rsid w:val="006761FD"/>
    <w:rsid w:val="00680A1E"/>
    <w:rsid w:val="00682754"/>
    <w:rsid w:val="00691F09"/>
    <w:rsid w:val="006A0643"/>
    <w:rsid w:val="006A0E06"/>
    <w:rsid w:val="006A118D"/>
    <w:rsid w:val="006A2922"/>
    <w:rsid w:val="006A29AB"/>
    <w:rsid w:val="006A58A9"/>
    <w:rsid w:val="006A606D"/>
    <w:rsid w:val="006A6B84"/>
    <w:rsid w:val="006A7F25"/>
    <w:rsid w:val="006B5F8D"/>
    <w:rsid w:val="006B693D"/>
    <w:rsid w:val="006C0371"/>
    <w:rsid w:val="006C08B6"/>
    <w:rsid w:val="006C0B1A"/>
    <w:rsid w:val="006C1F0B"/>
    <w:rsid w:val="006C257B"/>
    <w:rsid w:val="006C4384"/>
    <w:rsid w:val="006C5CF1"/>
    <w:rsid w:val="006C6065"/>
    <w:rsid w:val="006C6CBA"/>
    <w:rsid w:val="006C7547"/>
    <w:rsid w:val="006C7F9F"/>
    <w:rsid w:val="006D4390"/>
    <w:rsid w:val="006D6FCA"/>
    <w:rsid w:val="006E0489"/>
    <w:rsid w:val="006E2F6D"/>
    <w:rsid w:val="006E39FD"/>
    <w:rsid w:val="006E579E"/>
    <w:rsid w:val="006E58F6"/>
    <w:rsid w:val="006E6979"/>
    <w:rsid w:val="006E757A"/>
    <w:rsid w:val="006E77E1"/>
    <w:rsid w:val="006E7D4F"/>
    <w:rsid w:val="006E7E4D"/>
    <w:rsid w:val="006F131D"/>
    <w:rsid w:val="006F1BCB"/>
    <w:rsid w:val="006F2235"/>
    <w:rsid w:val="006F38B8"/>
    <w:rsid w:val="006F5B8E"/>
    <w:rsid w:val="006F5C3A"/>
    <w:rsid w:val="006F7FAF"/>
    <w:rsid w:val="00707C4D"/>
    <w:rsid w:val="007202BE"/>
    <w:rsid w:val="007214CB"/>
    <w:rsid w:val="00721953"/>
    <w:rsid w:val="00721C65"/>
    <w:rsid w:val="0072372A"/>
    <w:rsid w:val="00724E24"/>
    <w:rsid w:val="00725675"/>
    <w:rsid w:val="00727148"/>
    <w:rsid w:val="0073217D"/>
    <w:rsid w:val="0073395C"/>
    <w:rsid w:val="0073546B"/>
    <w:rsid w:val="007374B0"/>
    <w:rsid w:val="00742264"/>
    <w:rsid w:val="007473D2"/>
    <w:rsid w:val="00750653"/>
    <w:rsid w:val="007512D5"/>
    <w:rsid w:val="00752412"/>
    <w:rsid w:val="00752BCD"/>
    <w:rsid w:val="00753624"/>
    <w:rsid w:val="00753B6B"/>
    <w:rsid w:val="007553DC"/>
    <w:rsid w:val="007602E7"/>
    <w:rsid w:val="00761323"/>
    <w:rsid w:val="00762D83"/>
    <w:rsid w:val="007664ED"/>
    <w:rsid w:val="00766B05"/>
    <w:rsid w:val="00766DA1"/>
    <w:rsid w:val="00771854"/>
    <w:rsid w:val="00771F9F"/>
    <w:rsid w:val="00775C5A"/>
    <w:rsid w:val="00780E0B"/>
    <w:rsid w:val="0078230D"/>
    <w:rsid w:val="007851EE"/>
    <w:rsid w:val="007866A6"/>
    <w:rsid w:val="00787173"/>
    <w:rsid w:val="007923CE"/>
    <w:rsid w:val="007A130D"/>
    <w:rsid w:val="007A5DCC"/>
    <w:rsid w:val="007A6409"/>
    <w:rsid w:val="007B2517"/>
    <w:rsid w:val="007B346D"/>
    <w:rsid w:val="007B5180"/>
    <w:rsid w:val="007C1B1C"/>
    <w:rsid w:val="007C24B4"/>
    <w:rsid w:val="007C4948"/>
    <w:rsid w:val="007C4BE5"/>
    <w:rsid w:val="007C6862"/>
    <w:rsid w:val="007C7820"/>
    <w:rsid w:val="007D4102"/>
    <w:rsid w:val="007D5FB9"/>
    <w:rsid w:val="007D6073"/>
    <w:rsid w:val="007D686D"/>
    <w:rsid w:val="007E218C"/>
    <w:rsid w:val="007E24FD"/>
    <w:rsid w:val="007E3C4F"/>
    <w:rsid w:val="007E3E1E"/>
    <w:rsid w:val="007E5921"/>
    <w:rsid w:val="007F2296"/>
    <w:rsid w:val="007F291E"/>
    <w:rsid w:val="007F3BDD"/>
    <w:rsid w:val="00803DEA"/>
    <w:rsid w:val="0080485F"/>
    <w:rsid w:val="00810611"/>
    <w:rsid w:val="00810C9F"/>
    <w:rsid w:val="008113B9"/>
    <w:rsid w:val="008115DA"/>
    <w:rsid w:val="0081240F"/>
    <w:rsid w:val="00812579"/>
    <w:rsid w:val="008146F7"/>
    <w:rsid w:val="00815E49"/>
    <w:rsid w:val="00816452"/>
    <w:rsid w:val="00816B01"/>
    <w:rsid w:val="00820823"/>
    <w:rsid w:val="00821ED3"/>
    <w:rsid w:val="00821FFC"/>
    <w:rsid w:val="00823660"/>
    <w:rsid w:val="00825F8E"/>
    <w:rsid w:val="008271CA"/>
    <w:rsid w:val="00832DD9"/>
    <w:rsid w:val="00835143"/>
    <w:rsid w:val="00841118"/>
    <w:rsid w:val="00844ADD"/>
    <w:rsid w:val="008455E3"/>
    <w:rsid w:val="00845B00"/>
    <w:rsid w:val="008467D5"/>
    <w:rsid w:val="0085200D"/>
    <w:rsid w:val="00855195"/>
    <w:rsid w:val="00856D9F"/>
    <w:rsid w:val="00857862"/>
    <w:rsid w:val="0086124F"/>
    <w:rsid w:val="00862322"/>
    <w:rsid w:val="008640FB"/>
    <w:rsid w:val="00864DA8"/>
    <w:rsid w:val="00865553"/>
    <w:rsid w:val="008656C3"/>
    <w:rsid w:val="00866D0C"/>
    <w:rsid w:val="00866F6D"/>
    <w:rsid w:val="008672D3"/>
    <w:rsid w:val="008702BA"/>
    <w:rsid w:val="00872C83"/>
    <w:rsid w:val="0087323A"/>
    <w:rsid w:val="00874539"/>
    <w:rsid w:val="00880B86"/>
    <w:rsid w:val="00881EFD"/>
    <w:rsid w:val="008837C1"/>
    <w:rsid w:val="00884CD6"/>
    <w:rsid w:val="00886053"/>
    <w:rsid w:val="00886191"/>
    <w:rsid w:val="00887C4E"/>
    <w:rsid w:val="00890372"/>
    <w:rsid w:val="0089348E"/>
    <w:rsid w:val="00895412"/>
    <w:rsid w:val="00895BB8"/>
    <w:rsid w:val="008A05DF"/>
    <w:rsid w:val="008A4DC4"/>
    <w:rsid w:val="008A5120"/>
    <w:rsid w:val="008A6F7B"/>
    <w:rsid w:val="008B69E1"/>
    <w:rsid w:val="008B74DD"/>
    <w:rsid w:val="008C0018"/>
    <w:rsid w:val="008C1096"/>
    <w:rsid w:val="008C1743"/>
    <w:rsid w:val="008C4D88"/>
    <w:rsid w:val="008C60A5"/>
    <w:rsid w:val="008C63C8"/>
    <w:rsid w:val="008D2008"/>
    <w:rsid w:val="008E1526"/>
    <w:rsid w:val="008E4C9A"/>
    <w:rsid w:val="008E5294"/>
    <w:rsid w:val="008E669A"/>
    <w:rsid w:val="008E6F3D"/>
    <w:rsid w:val="008E6F41"/>
    <w:rsid w:val="008F108B"/>
    <w:rsid w:val="008F68AB"/>
    <w:rsid w:val="008F7DFF"/>
    <w:rsid w:val="00902142"/>
    <w:rsid w:val="009027CA"/>
    <w:rsid w:val="0090399F"/>
    <w:rsid w:val="0090534D"/>
    <w:rsid w:val="009059BD"/>
    <w:rsid w:val="00905EED"/>
    <w:rsid w:val="009067A4"/>
    <w:rsid w:val="0090722E"/>
    <w:rsid w:val="0091093B"/>
    <w:rsid w:val="00911939"/>
    <w:rsid w:val="00914A7D"/>
    <w:rsid w:val="009161A6"/>
    <w:rsid w:val="0092030D"/>
    <w:rsid w:val="00921134"/>
    <w:rsid w:val="009215A5"/>
    <w:rsid w:val="0092271C"/>
    <w:rsid w:val="00926F75"/>
    <w:rsid w:val="00930881"/>
    <w:rsid w:val="00931D43"/>
    <w:rsid w:val="009328F5"/>
    <w:rsid w:val="009340DB"/>
    <w:rsid w:val="0093553A"/>
    <w:rsid w:val="00936372"/>
    <w:rsid w:val="00943CA2"/>
    <w:rsid w:val="00943DCC"/>
    <w:rsid w:val="009446C3"/>
    <w:rsid w:val="00944F25"/>
    <w:rsid w:val="00945BCB"/>
    <w:rsid w:val="00946907"/>
    <w:rsid w:val="009470A4"/>
    <w:rsid w:val="00950389"/>
    <w:rsid w:val="00954C97"/>
    <w:rsid w:val="00960AEF"/>
    <w:rsid w:val="00960CBE"/>
    <w:rsid w:val="00961AC1"/>
    <w:rsid w:val="00962BC3"/>
    <w:rsid w:val="00963D1D"/>
    <w:rsid w:val="00963FE4"/>
    <w:rsid w:val="0096599F"/>
    <w:rsid w:val="00967D50"/>
    <w:rsid w:val="0097075E"/>
    <w:rsid w:val="00970B46"/>
    <w:rsid w:val="00972498"/>
    <w:rsid w:val="00972ACF"/>
    <w:rsid w:val="00973741"/>
    <w:rsid w:val="00974CC6"/>
    <w:rsid w:val="00975FE1"/>
    <w:rsid w:val="00976AD4"/>
    <w:rsid w:val="00976C4F"/>
    <w:rsid w:val="0097761C"/>
    <w:rsid w:val="00980F65"/>
    <w:rsid w:val="009814FC"/>
    <w:rsid w:val="00982E07"/>
    <w:rsid w:val="009843DB"/>
    <w:rsid w:val="00984EB8"/>
    <w:rsid w:val="00985B52"/>
    <w:rsid w:val="0098702C"/>
    <w:rsid w:val="00991C72"/>
    <w:rsid w:val="00995011"/>
    <w:rsid w:val="00995FE7"/>
    <w:rsid w:val="009A01D5"/>
    <w:rsid w:val="009A1791"/>
    <w:rsid w:val="009A1D8B"/>
    <w:rsid w:val="009A26EF"/>
    <w:rsid w:val="009A2FE0"/>
    <w:rsid w:val="009A2FE3"/>
    <w:rsid w:val="009A312F"/>
    <w:rsid w:val="009A5348"/>
    <w:rsid w:val="009A6FC6"/>
    <w:rsid w:val="009A76A8"/>
    <w:rsid w:val="009B00DA"/>
    <w:rsid w:val="009B22F2"/>
    <w:rsid w:val="009B7675"/>
    <w:rsid w:val="009C0F47"/>
    <w:rsid w:val="009C1267"/>
    <w:rsid w:val="009C4026"/>
    <w:rsid w:val="009C639D"/>
    <w:rsid w:val="009C76D5"/>
    <w:rsid w:val="009D05F9"/>
    <w:rsid w:val="009D1916"/>
    <w:rsid w:val="009D2A35"/>
    <w:rsid w:val="009D6DED"/>
    <w:rsid w:val="009D6F38"/>
    <w:rsid w:val="009D73B2"/>
    <w:rsid w:val="009E0701"/>
    <w:rsid w:val="009E16A8"/>
    <w:rsid w:val="009E3D7A"/>
    <w:rsid w:val="009E4C98"/>
    <w:rsid w:val="009E63A8"/>
    <w:rsid w:val="009E724F"/>
    <w:rsid w:val="009F00F7"/>
    <w:rsid w:val="009F0EC2"/>
    <w:rsid w:val="009F2765"/>
    <w:rsid w:val="009F2DCC"/>
    <w:rsid w:val="009F460F"/>
    <w:rsid w:val="009F7AA4"/>
    <w:rsid w:val="009F7B5C"/>
    <w:rsid w:val="00A018C5"/>
    <w:rsid w:val="00A01D64"/>
    <w:rsid w:val="00A031EF"/>
    <w:rsid w:val="00A10838"/>
    <w:rsid w:val="00A10A83"/>
    <w:rsid w:val="00A11027"/>
    <w:rsid w:val="00A13C8B"/>
    <w:rsid w:val="00A13EDF"/>
    <w:rsid w:val="00A20DAC"/>
    <w:rsid w:val="00A22721"/>
    <w:rsid w:val="00A260D3"/>
    <w:rsid w:val="00A3080B"/>
    <w:rsid w:val="00A3233D"/>
    <w:rsid w:val="00A35A7F"/>
    <w:rsid w:val="00A41D2E"/>
    <w:rsid w:val="00A4204E"/>
    <w:rsid w:val="00A46F29"/>
    <w:rsid w:val="00A47D2D"/>
    <w:rsid w:val="00A50DD5"/>
    <w:rsid w:val="00A51A18"/>
    <w:rsid w:val="00A52F7C"/>
    <w:rsid w:val="00A549E5"/>
    <w:rsid w:val="00A55837"/>
    <w:rsid w:val="00A559DB"/>
    <w:rsid w:val="00A55D56"/>
    <w:rsid w:val="00A57CF8"/>
    <w:rsid w:val="00A57EB7"/>
    <w:rsid w:val="00A6071E"/>
    <w:rsid w:val="00A60E80"/>
    <w:rsid w:val="00A610BA"/>
    <w:rsid w:val="00A62D46"/>
    <w:rsid w:val="00A63A47"/>
    <w:rsid w:val="00A6513E"/>
    <w:rsid w:val="00A65E67"/>
    <w:rsid w:val="00A7156F"/>
    <w:rsid w:val="00A71704"/>
    <w:rsid w:val="00A721BF"/>
    <w:rsid w:val="00A744EA"/>
    <w:rsid w:val="00A76044"/>
    <w:rsid w:val="00A771D3"/>
    <w:rsid w:val="00A776FE"/>
    <w:rsid w:val="00A84724"/>
    <w:rsid w:val="00A85905"/>
    <w:rsid w:val="00A94398"/>
    <w:rsid w:val="00A95B31"/>
    <w:rsid w:val="00A95D8E"/>
    <w:rsid w:val="00A95DC4"/>
    <w:rsid w:val="00A97849"/>
    <w:rsid w:val="00AA06BF"/>
    <w:rsid w:val="00AA1986"/>
    <w:rsid w:val="00AA36EF"/>
    <w:rsid w:val="00AA4282"/>
    <w:rsid w:val="00AA716B"/>
    <w:rsid w:val="00AB326B"/>
    <w:rsid w:val="00AB44D6"/>
    <w:rsid w:val="00AB5016"/>
    <w:rsid w:val="00AB5D22"/>
    <w:rsid w:val="00AB6921"/>
    <w:rsid w:val="00AB7C32"/>
    <w:rsid w:val="00AC012D"/>
    <w:rsid w:val="00AD15ED"/>
    <w:rsid w:val="00AD1C79"/>
    <w:rsid w:val="00AD415B"/>
    <w:rsid w:val="00AD43D6"/>
    <w:rsid w:val="00AD7D0A"/>
    <w:rsid w:val="00AE0C67"/>
    <w:rsid w:val="00AF329A"/>
    <w:rsid w:val="00AF35FC"/>
    <w:rsid w:val="00B02287"/>
    <w:rsid w:val="00B03639"/>
    <w:rsid w:val="00B03706"/>
    <w:rsid w:val="00B03E3A"/>
    <w:rsid w:val="00B05A1C"/>
    <w:rsid w:val="00B0652A"/>
    <w:rsid w:val="00B179E2"/>
    <w:rsid w:val="00B23F94"/>
    <w:rsid w:val="00B2430E"/>
    <w:rsid w:val="00B26A9D"/>
    <w:rsid w:val="00B27E01"/>
    <w:rsid w:val="00B30879"/>
    <w:rsid w:val="00B32403"/>
    <w:rsid w:val="00B33934"/>
    <w:rsid w:val="00B33F6D"/>
    <w:rsid w:val="00B34482"/>
    <w:rsid w:val="00B3757D"/>
    <w:rsid w:val="00B40937"/>
    <w:rsid w:val="00B423EF"/>
    <w:rsid w:val="00B43C4D"/>
    <w:rsid w:val="00B44DE4"/>
    <w:rsid w:val="00B453DE"/>
    <w:rsid w:val="00B45691"/>
    <w:rsid w:val="00B4742F"/>
    <w:rsid w:val="00B5165C"/>
    <w:rsid w:val="00B53D84"/>
    <w:rsid w:val="00B5473E"/>
    <w:rsid w:val="00B566C6"/>
    <w:rsid w:val="00B609B6"/>
    <w:rsid w:val="00B61CBB"/>
    <w:rsid w:val="00B62BD3"/>
    <w:rsid w:val="00B65A0E"/>
    <w:rsid w:val="00B66844"/>
    <w:rsid w:val="00B66A07"/>
    <w:rsid w:val="00B71C53"/>
    <w:rsid w:val="00B72E2E"/>
    <w:rsid w:val="00B7332F"/>
    <w:rsid w:val="00B74428"/>
    <w:rsid w:val="00B75A35"/>
    <w:rsid w:val="00B76D14"/>
    <w:rsid w:val="00B80350"/>
    <w:rsid w:val="00B82293"/>
    <w:rsid w:val="00B862F9"/>
    <w:rsid w:val="00B86388"/>
    <w:rsid w:val="00B87FB2"/>
    <w:rsid w:val="00B901F9"/>
    <w:rsid w:val="00B9075D"/>
    <w:rsid w:val="00B92549"/>
    <w:rsid w:val="00B94932"/>
    <w:rsid w:val="00B9564E"/>
    <w:rsid w:val="00B95763"/>
    <w:rsid w:val="00B97BA2"/>
    <w:rsid w:val="00BA1D42"/>
    <w:rsid w:val="00BA234B"/>
    <w:rsid w:val="00BA2B13"/>
    <w:rsid w:val="00BA2D29"/>
    <w:rsid w:val="00BA3D1E"/>
    <w:rsid w:val="00BA3D71"/>
    <w:rsid w:val="00BB0B0D"/>
    <w:rsid w:val="00BB1B4A"/>
    <w:rsid w:val="00BB4553"/>
    <w:rsid w:val="00BB46DF"/>
    <w:rsid w:val="00BB4A6D"/>
    <w:rsid w:val="00BB4F0D"/>
    <w:rsid w:val="00BB5F1F"/>
    <w:rsid w:val="00BB6710"/>
    <w:rsid w:val="00BB7786"/>
    <w:rsid w:val="00BC2B9B"/>
    <w:rsid w:val="00BC684A"/>
    <w:rsid w:val="00BD09CD"/>
    <w:rsid w:val="00BD23C3"/>
    <w:rsid w:val="00BD3934"/>
    <w:rsid w:val="00BD3D44"/>
    <w:rsid w:val="00BD58CB"/>
    <w:rsid w:val="00BD5D9D"/>
    <w:rsid w:val="00BD6EFB"/>
    <w:rsid w:val="00BE1DBE"/>
    <w:rsid w:val="00BE2C3B"/>
    <w:rsid w:val="00BE2FFE"/>
    <w:rsid w:val="00BE3171"/>
    <w:rsid w:val="00BE5130"/>
    <w:rsid w:val="00BE5598"/>
    <w:rsid w:val="00BF11C7"/>
    <w:rsid w:val="00BF2D47"/>
    <w:rsid w:val="00BF301A"/>
    <w:rsid w:val="00BF565C"/>
    <w:rsid w:val="00C01262"/>
    <w:rsid w:val="00C0144F"/>
    <w:rsid w:val="00C02850"/>
    <w:rsid w:val="00C02AA8"/>
    <w:rsid w:val="00C03256"/>
    <w:rsid w:val="00C04C6C"/>
    <w:rsid w:val="00C0551B"/>
    <w:rsid w:val="00C1034D"/>
    <w:rsid w:val="00C112F6"/>
    <w:rsid w:val="00C12E46"/>
    <w:rsid w:val="00C12F27"/>
    <w:rsid w:val="00C12F94"/>
    <w:rsid w:val="00C13DA8"/>
    <w:rsid w:val="00C15BE2"/>
    <w:rsid w:val="00C164AA"/>
    <w:rsid w:val="00C17425"/>
    <w:rsid w:val="00C17D74"/>
    <w:rsid w:val="00C22219"/>
    <w:rsid w:val="00C245FE"/>
    <w:rsid w:val="00C24828"/>
    <w:rsid w:val="00C24DAB"/>
    <w:rsid w:val="00C25BFB"/>
    <w:rsid w:val="00C25CC6"/>
    <w:rsid w:val="00C31004"/>
    <w:rsid w:val="00C31A96"/>
    <w:rsid w:val="00C3416A"/>
    <w:rsid w:val="00C3447F"/>
    <w:rsid w:val="00C34525"/>
    <w:rsid w:val="00C373AD"/>
    <w:rsid w:val="00C379CE"/>
    <w:rsid w:val="00C43A9A"/>
    <w:rsid w:val="00C45328"/>
    <w:rsid w:val="00C46192"/>
    <w:rsid w:val="00C465D2"/>
    <w:rsid w:val="00C46969"/>
    <w:rsid w:val="00C5122E"/>
    <w:rsid w:val="00C518D8"/>
    <w:rsid w:val="00C55076"/>
    <w:rsid w:val="00C5790D"/>
    <w:rsid w:val="00C61E62"/>
    <w:rsid w:val="00C62A52"/>
    <w:rsid w:val="00C63A04"/>
    <w:rsid w:val="00C66B89"/>
    <w:rsid w:val="00C700C4"/>
    <w:rsid w:val="00C71A11"/>
    <w:rsid w:val="00C748A5"/>
    <w:rsid w:val="00C81491"/>
    <w:rsid w:val="00C81524"/>
    <w:rsid w:val="00C81676"/>
    <w:rsid w:val="00C81872"/>
    <w:rsid w:val="00C82B4C"/>
    <w:rsid w:val="00C83AC5"/>
    <w:rsid w:val="00C84D67"/>
    <w:rsid w:val="00C85E0A"/>
    <w:rsid w:val="00C9020A"/>
    <w:rsid w:val="00C92CC4"/>
    <w:rsid w:val="00C9360B"/>
    <w:rsid w:val="00C94DAB"/>
    <w:rsid w:val="00C975CD"/>
    <w:rsid w:val="00CA0AFB"/>
    <w:rsid w:val="00CA1860"/>
    <w:rsid w:val="00CA2213"/>
    <w:rsid w:val="00CA2CE1"/>
    <w:rsid w:val="00CA3976"/>
    <w:rsid w:val="00CA535B"/>
    <w:rsid w:val="00CA546E"/>
    <w:rsid w:val="00CA64C8"/>
    <w:rsid w:val="00CA757B"/>
    <w:rsid w:val="00CA75C3"/>
    <w:rsid w:val="00CB036D"/>
    <w:rsid w:val="00CB1E38"/>
    <w:rsid w:val="00CB6E53"/>
    <w:rsid w:val="00CB6E62"/>
    <w:rsid w:val="00CB7CC6"/>
    <w:rsid w:val="00CC0ED0"/>
    <w:rsid w:val="00CC0FD5"/>
    <w:rsid w:val="00CC1787"/>
    <w:rsid w:val="00CC182C"/>
    <w:rsid w:val="00CC4190"/>
    <w:rsid w:val="00CC5353"/>
    <w:rsid w:val="00CC7FF7"/>
    <w:rsid w:val="00CD0824"/>
    <w:rsid w:val="00CD18F5"/>
    <w:rsid w:val="00CD2726"/>
    <w:rsid w:val="00CD2908"/>
    <w:rsid w:val="00CD6C83"/>
    <w:rsid w:val="00CD77FC"/>
    <w:rsid w:val="00CE1494"/>
    <w:rsid w:val="00CE14DC"/>
    <w:rsid w:val="00CE2103"/>
    <w:rsid w:val="00CE2590"/>
    <w:rsid w:val="00CE2727"/>
    <w:rsid w:val="00CE5565"/>
    <w:rsid w:val="00CF043B"/>
    <w:rsid w:val="00CF502E"/>
    <w:rsid w:val="00CF6D46"/>
    <w:rsid w:val="00D0363A"/>
    <w:rsid w:val="00D03A82"/>
    <w:rsid w:val="00D10119"/>
    <w:rsid w:val="00D1119D"/>
    <w:rsid w:val="00D12069"/>
    <w:rsid w:val="00D1272A"/>
    <w:rsid w:val="00D127E6"/>
    <w:rsid w:val="00D131BD"/>
    <w:rsid w:val="00D15344"/>
    <w:rsid w:val="00D16ADE"/>
    <w:rsid w:val="00D203A2"/>
    <w:rsid w:val="00D20977"/>
    <w:rsid w:val="00D24EFB"/>
    <w:rsid w:val="00D25037"/>
    <w:rsid w:val="00D25735"/>
    <w:rsid w:val="00D26064"/>
    <w:rsid w:val="00D27634"/>
    <w:rsid w:val="00D3063B"/>
    <w:rsid w:val="00D30AB9"/>
    <w:rsid w:val="00D3101E"/>
    <w:rsid w:val="00D31BEC"/>
    <w:rsid w:val="00D35704"/>
    <w:rsid w:val="00D360AD"/>
    <w:rsid w:val="00D3776E"/>
    <w:rsid w:val="00D37817"/>
    <w:rsid w:val="00D37E3F"/>
    <w:rsid w:val="00D427BE"/>
    <w:rsid w:val="00D5710E"/>
    <w:rsid w:val="00D600CF"/>
    <w:rsid w:val="00D60B04"/>
    <w:rsid w:val="00D63150"/>
    <w:rsid w:val="00D63D0B"/>
    <w:rsid w:val="00D64A32"/>
    <w:rsid w:val="00D64EFC"/>
    <w:rsid w:val="00D65328"/>
    <w:rsid w:val="00D66F46"/>
    <w:rsid w:val="00D67A99"/>
    <w:rsid w:val="00D70BB7"/>
    <w:rsid w:val="00D71146"/>
    <w:rsid w:val="00D73146"/>
    <w:rsid w:val="00D735F4"/>
    <w:rsid w:val="00D74318"/>
    <w:rsid w:val="00D743EE"/>
    <w:rsid w:val="00D75295"/>
    <w:rsid w:val="00D756B1"/>
    <w:rsid w:val="00D75D9A"/>
    <w:rsid w:val="00D76CE9"/>
    <w:rsid w:val="00D8039F"/>
    <w:rsid w:val="00D8040B"/>
    <w:rsid w:val="00D84E93"/>
    <w:rsid w:val="00D94644"/>
    <w:rsid w:val="00D95AC9"/>
    <w:rsid w:val="00D97D41"/>
    <w:rsid w:val="00D97F12"/>
    <w:rsid w:val="00D97FBF"/>
    <w:rsid w:val="00DA1856"/>
    <w:rsid w:val="00DA2AF5"/>
    <w:rsid w:val="00DA413B"/>
    <w:rsid w:val="00DA59F5"/>
    <w:rsid w:val="00DB0019"/>
    <w:rsid w:val="00DB4129"/>
    <w:rsid w:val="00DB42E7"/>
    <w:rsid w:val="00DB47F2"/>
    <w:rsid w:val="00DB47FD"/>
    <w:rsid w:val="00DB556E"/>
    <w:rsid w:val="00DB5957"/>
    <w:rsid w:val="00DB6204"/>
    <w:rsid w:val="00DB70A5"/>
    <w:rsid w:val="00DB7F95"/>
    <w:rsid w:val="00DC07F4"/>
    <w:rsid w:val="00DC0BDE"/>
    <w:rsid w:val="00DC2D2E"/>
    <w:rsid w:val="00DC31CE"/>
    <w:rsid w:val="00DC39F4"/>
    <w:rsid w:val="00DC3A22"/>
    <w:rsid w:val="00DC46BA"/>
    <w:rsid w:val="00DD0C9A"/>
    <w:rsid w:val="00DD21FA"/>
    <w:rsid w:val="00DD5279"/>
    <w:rsid w:val="00DD534E"/>
    <w:rsid w:val="00DD7BB6"/>
    <w:rsid w:val="00DD7DEE"/>
    <w:rsid w:val="00DE2230"/>
    <w:rsid w:val="00DF118B"/>
    <w:rsid w:val="00DF11C7"/>
    <w:rsid w:val="00DF1711"/>
    <w:rsid w:val="00DF21A1"/>
    <w:rsid w:val="00DF32C2"/>
    <w:rsid w:val="00DF7C71"/>
    <w:rsid w:val="00E014F7"/>
    <w:rsid w:val="00E0219C"/>
    <w:rsid w:val="00E04E62"/>
    <w:rsid w:val="00E06C20"/>
    <w:rsid w:val="00E100D6"/>
    <w:rsid w:val="00E11C59"/>
    <w:rsid w:val="00E125E9"/>
    <w:rsid w:val="00E141CC"/>
    <w:rsid w:val="00E154E5"/>
    <w:rsid w:val="00E155B9"/>
    <w:rsid w:val="00E16710"/>
    <w:rsid w:val="00E1699F"/>
    <w:rsid w:val="00E17E17"/>
    <w:rsid w:val="00E20CF9"/>
    <w:rsid w:val="00E21164"/>
    <w:rsid w:val="00E22C78"/>
    <w:rsid w:val="00E2337D"/>
    <w:rsid w:val="00E25A4B"/>
    <w:rsid w:val="00E3122E"/>
    <w:rsid w:val="00E31A53"/>
    <w:rsid w:val="00E31E24"/>
    <w:rsid w:val="00E3380E"/>
    <w:rsid w:val="00E34B33"/>
    <w:rsid w:val="00E3665F"/>
    <w:rsid w:val="00E375F7"/>
    <w:rsid w:val="00E431F3"/>
    <w:rsid w:val="00E46F6E"/>
    <w:rsid w:val="00E471A7"/>
    <w:rsid w:val="00E50405"/>
    <w:rsid w:val="00E511B5"/>
    <w:rsid w:val="00E5399F"/>
    <w:rsid w:val="00E568D8"/>
    <w:rsid w:val="00E56A6E"/>
    <w:rsid w:val="00E60065"/>
    <w:rsid w:val="00E635CF"/>
    <w:rsid w:val="00E63A3A"/>
    <w:rsid w:val="00E655CB"/>
    <w:rsid w:val="00E667E2"/>
    <w:rsid w:val="00E67411"/>
    <w:rsid w:val="00E7530B"/>
    <w:rsid w:val="00E76CCC"/>
    <w:rsid w:val="00E8070D"/>
    <w:rsid w:val="00E80ED1"/>
    <w:rsid w:val="00E825F0"/>
    <w:rsid w:val="00E86D8A"/>
    <w:rsid w:val="00E87C84"/>
    <w:rsid w:val="00E913ED"/>
    <w:rsid w:val="00E92D65"/>
    <w:rsid w:val="00E96B0D"/>
    <w:rsid w:val="00EA0F88"/>
    <w:rsid w:val="00EA3A33"/>
    <w:rsid w:val="00EA42F6"/>
    <w:rsid w:val="00EA5D14"/>
    <w:rsid w:val="00EA7A4D"/>
    <w:rsid w:val="00EB0773"/>
    <w:rsid w:val="00EB1AB9"/>
    <w:rsid w:val="00EB1EF2"/>
    <w:rsid w:val="00EB29E8"/>
    <w:rsid w:val="00EB5410"/>
    <w:rsid w:val="00EB5AB9"/>
    <w:rsid w:val="00EB5B61"/>
    <w:rsid w:val="00EB65D3"/>
    <w:rsid w:val="00EB6842"/>
    <w:rsid w:val="00EB7706"/>
    <w:rsid w:val="00EB77C6"/>
    <w:rsid w:val="00EC0901"/>
    <w:rsid w:val="00EC2203"/>
    <w:rsid w:val="00EC25C6"/>
    <w:rsid w:val="00EC6E0A"/>
    <w:rsid w:val="00EC7FF4"/>
    <w:rsid w:val="00ED10F4"/>
    <w:rsid w:val="00ED4E18"/>
    <w:rsid w:val="00ED60BE"/>
    <w:rsid w:val="00ED6FFB"/>
    <w:rsid w:val="00ED7AF4"/>
    <w:rsid w:val="00EE1F37"/>
    <w:rsid w:val="00EE22A6"/>
    <w:rsid w:val="00EE255B"/>
    <w:rsid w:val="00EE2F0B"/>
    <w:rsid w:val="00EE4E37"/>
    <w:rsid w:val="00EE6B22"/>
    <w:rsid w:val="00EF1082"/>
    <w:rsid w:val="00EF203D"/>
    <w:rsid w:val="00EF2EE2"/>
    <w:rsid w:val="00EF4C5B"/>
    <w:rsid w:val="00EF4D0B"/>
    <w:rsid w:val="00EF75A5"/>
    <w:rsid w:val="00F00354"/>
    <w:rsid w:val="00F005C8"/>
    <w:rsid w:val="00F00A77"/>
    <w:rsid w:val="00F01154"/>
    <w:rsid w:val="00F0159C"/>
    <w:rsid w:val="00F02678"/>
    <w:rsid w:val="00F03060"/>
    <w:rsid w:val="00F0618F"/>
    <w:rsid w:val="00F072EF"/>
    <w:rsid w:val="00F07535"/>
    <w:rsid w:val="00F105B7"/>
    <w:rsid w:val="00F1080E"/>
    <w:rsid w:val="00F11A21"/>
    <w:rsid w:val="00F12C80"/>
    <w:rsid w:val="00F13517"/>
    <w:rsid w:val="00F1497A"/>
    <w:rsid w:val="00F16402"/>
    <w:rsid w:val="00F16445"/>
    <w:rsid w:val="00F17A21"/>
    <w:rsid w:val="00F202D5"/>
    <w:rsid w:val="00F21DFE"/>
    <w:rsid w:val="00F22D5D"/>
    <w:rsid w:val="00F22FE1"/>
    <w:rsid w:val="00F23F1E"/>
    <w:rsid w:val="00F241C1"/>
    <w:rsid w:val="00F2584E"/>
    <w:rsid w:val="00F26049"/>
    <w:rsid w:val="00F27DF6"/>
    <w:rsid w:val="00F30CD9"/>
    <w:rsid w:val="00F33F48"/>
    <w:rsid w:val="00F34EA8"/>
    <w:rsid w:val="00F36864"/>
    <w:rsid w:val="00F3798F"/>
    <w:rsid w:val="00F40395"/>
    <w:rsid w:val="00F40B21"/>
    <w:rsid w:val="00F41E98"/>
    <w:rsid w:val="00F42141"/>
    <w:rsid w:val="00F43E38"/>
    <w:rsid w:val="00F440D3"/>
    <w:rsid w:val="00F47D60"/>
    <w:rsid w:val="00F5011F"/>
    <w:rsid w:val="00F50E91"/>
    <w:rsid w:val="00F514AE"/>
    <w:rsid w:val="00F549D0"/>
    <w:rsid w:val="00F55CB7"/>
    <w:rsid w:val="00F55EBE"/>
    <w:rsid w:val="00F56B46"/>
    <w:rsid w:val="00F57D29"/>
    <w:rsid w:val="00F61472"/>
    <w:rsid w:val="00F62676"/>
    <w:rsid w:val="00F6318B"/>
    <w:rsid w:val="00F633AE"/>
    <w:rsid w:val="00F6573E"/>
    <w:rsid w:val="00F70AE0"/>
    <w:rsid w:val="00F715D2"/>
    <w:rsid w:val="00F77DAF"/>
    <w:rsid w:val="00F80DFE"/>
    <w:rsid w:val="00F82530"/>
    <w:rsid w:val="00F83379"/>
    <w:rsid w:val="00F8363E"/>
    <w:rsid w:val="00F8709A"/>
    <w:rsid w:val="00F9271A"/>
    <w:rsid w:val="00F92A99"/>
    <w:rsid w:val="00F92AF6"/>
    <w:rsid w:val="00F92C24"/>
    <w:rsid w:val="00F96201"/>
    <w:rsid w:val="00F96374"/>
    <w:rsid w:val="00FA1E91"/>
    <w:rsid w:val="00FA4704"/>
    <w:rsid w:val="00FA5CDC"/>
    <w:rsid w:val="00FA6AB8"/>
    <w:rsid w:val="00FB011D"/>
    <w:rsid w:val="00FB1561"/>
    <w:rsid w:val="00FB4FD7"/>
    <w:rsid w:val="00FB4FDE"/>
    <w:rsid w:val="00FC1EC6"/>
    <w:rsid w:val="00FC30E9"/>
    <w:rsid w:val="00FC38E0"/>
    <w:rsid w:val="00FC4084"/>
    <w:rsid w:val="00FD0B18"/>
    <w:rsid w:val="00FD0F82"/>
    <w:rsid w:val="00FD45C1"/>
    <w:rsid w:val="00FE12F7"/>
    <w:rsid w:val="00FE1B9D"/>
    <w:rsid w:val="00FE2CF3"/>
    <w:rsid w:val="00FE326F"/>
    <w:rsid w:val="00FE714F"/>
    <w:rsid w:val="00FF0F0D"/>
    <w:rsid w:val="00FF1561"/>
    <w:rsid w:val="00FF368D"/>
    <w:rsid w:val="00FF3DAC"/>
    <w:rsid w:val="00FF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71275A"/>
  <w15:docId w15:val="{B077D660-3C46-4E99-A824-365CE9A5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1D95"/>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F03060"/>
    <w:pPr>
      <w:jc w:val="both"/>
    </w:pPr>
    <w:rPr>
      <w:rFonts w:ascii="Arial" w:hAnsi="Arial" w:cs="Arial"/>
      <w:sz w:val="17"/>
      <w:szCs w:val="17"/>
    </w:rPr>
  </w:style>
  <w:style w:type="character" w:customStyle="1" w:styleId="FootnoteChar">
    <w:name w:val="Footnote Char"/>
    <w:basedOn w:val="FootnoteTextChar"/>
    <w:link w:val="Footnote"/>
    <w:rsid w:val="00F03060"/>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FollowedHyperlink">
    <w:name w:val="FollowedHyperlink"/>
    <w:basedOn w:val="DefaultParagraphFont"/>
    <w:uiPriority w:val="99"/>
    <w:semiHidden/>
    <w:unhideWhenUsed/>
    <w:rsid w:val="00444D97"/>
    <w:rPr>
      <w:color w:val="800080" w:themeColor="followedHyperlink"/>
      <w:u w:val="single"/>
    </w:rPr>
  </w:style>
  <w:style w:type="paragraph" w:styleId="DocumentMap">
    <w:name w:val="Document Map"/>
    <w:basedOn w:val="Normal"/>
    <w:link w:val="DocumentMapChar"/>
    <w:uiPriority w:val="99"/>
    <w:semiHidden/>
    <w:unhideWhenUsed/>
    <w:rsid w:val="00444D97"/>
    <w:rPr>
      <w:sz w:val="24"/>
      <w:szCs w:val="24"/>
    </w:rPr>
  </w:style>
  <w:style w:type="character" w:customStyle="1" w:styleId="DocumentMapChar">
    <w:name w:val="Document Map Char"/>
    <w:basedOn w:val="DefaultParagraphFont"/>
    <w:link w:val="DocumentMap"/>
    <w:uiPriority w:val="99"/>
    <w:semiHidden/>
    <w:rsid w:val="00444D9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2520">
      <w:bodyDiv w:val="1"/>
      <w:marLeft w:val="0"/>
      <w:marRight w:val="0"/>
      <w:marTop w:val="0"/>
      <w:marBottom w:val="0"/>
      <w:divBdr>
        <w:top w:val="none" w:sz="0" w:space="0" w:color="auto"/>
        <w:left w:val="none" w:sz="0" w:space="0" w:color="auto"/>
        <w:bottom w:val="none" w:sz="0" w:space="0" w:color="auto"/>
        <w:right w:val="none" w:sz="0" w:space="0" w:color="auto"/>
      </w:divBdr>
    </w:div>
    <w:div w:id="464079188">
      <w:bodyDiv w:val="1"/>
      <w:marLeft w:val="0"/>
      <w:marRight w:val="0"/>
      <w:marTop w:val="0"/>
      <w:marBottom w:val="0"/>
      <w:divBdr>
        <w:top w:val="none" w:sz="0" w:space="0" w:color="auto"/>
        <w:left w:val="none" w:sz="0" w:space="0" w:color="auto"/>
        <w:bottom w:val="none" w:sz="0" w:space="0" w:color="auto"/>
        <w:right w:val="none" w:sz="0" w:space="0" w:color="auto"/>
      </w:divBdr>
    </w:div>
    <w:div w:id="684014224">
      <w:bodyDiv w:val="1"/>
      <w:marLeft w:val="0"/>
      <w:marRight w:val="0"/>
      <w:marTop w:val="0"/>
      <w:marBottom w:val="0"/>
      <w:divBdr>
        <w:top w:val="none" w:sz="0" w:space="0" w:color="auto"/>
        <w:left w:val="none" w:sz="0" w:space="0" w:color="auto"/>
        <w:bottom w:val="none" w:sz="0" w:space="0" w:color="auto"/>
        <w:right w:val="none" w:sz="0" w:space="0" w:color="auto"/>
      </w:divBdr>
    </w:div>
    <w:div w:id="704716707">
      <w:bodyDiv w:val="1"/>
      <w:marLeft w:val="0"/>
      <w:marRight w:val="0"/>
      <w:marTop w:val="0"/>
      <w:marBottom w:val="0"/>
      <w:divBdr>
        <w:top w:val="none" w:sz="0" w:space="0" w:color="auto"/>
        <w:left w:val="none" w:sz="0" w:space="0" w:color="auto"/>
        <w:bottom w:val="none" w:sz="0" w:space="0" w:color="auto"/>
        <w:right w:val="none" w:sz="0" w:space="0" w:color="auto"/>
      </w:divBdr>
    </w:div>
    <w:div w:id="918634731">
      <w:bodyDiv w:val="1"/>
      <w:marLeft w:val="0"/>
      <w:marRight w:val="0"/>
      <w:marTop w:val="0"/>
      <w:marBottom w:val="0"/>
      <w:divBdr>
        <w:top w:val="none" w:sz="0" w:space="0" w:color="auto"/>
        <w:left w:val="none" w:sz="0" w:space="0" w:color="auto"/>
        <w:bottom w:val="none" w:sz="0" w:space="0" w:color="auto"/>
        <w:right w:val="none" w:sz="0" w:space="0" w:color="auto"/>
      </w:divBdr>
    </w:div>
    <w:div w:id="1144928061">
      <w:bodyDiv w:val="1"/>
      <w:marLeft w:val="0"/>
      <w:marRight w:val="0"/>
      <w:marTop w:val="0"/>
      <w:marBottom w:val="0"/>
      <w:divBdr>
        <w:top w:val="none" w:sz="0" w:space="0" w:color="auto"/>
        <w:left w:val="none" w:sz="0" w:space="0" w:color="auto"/>
        <w:bottom w:val="none" w:sz="0" w:space="0" w:color="auto"/>
        <w:right w:val="none" w:sz="0" w:space="0" w:color="auto"/>
      </w:divBdr>
    </w:div>
    <w:div w:id="1336033161">
      <w:bodyDiv w:val="1"/>
      <w:marLeft w:val="0"/>
      <w:marRight w:val="0"/>
      <w:marTop w:val="0"/>
      <w:marBottom w:val="0"/>
      <w:divBdr>
        <w:top w:val="none" w:sz="0" w:space="0" w:color="auto"/>
        <w:left w:val="none" w:sz="0" w:space="0" w:color="auto"/>
        <w:bottom w:val="none" w:sz="0" w:space="0" w:color="auto"/>
        <w:right w:val="none" w:sz="0" w:space="0" w:color="auto"/>
      </w:divBdr>
    </w:div>
    <w:div w:id="1392121614">
      <w:bodyDiv w:val="1"/>
      <w:marLeft w:val="0"/>
      <w:marRight w:val="0"/>
      <w:marTop w:val="0"/>
      <w:marBottom w:val="0"/>
      <w:divBdr>
        <w:top w:val="none" w:sz="0" w:space="0" w:color="auto"/>
        <w:left w:val="none" w:sz="0" w:space="0" w:color="auto"/>
        <w:bottom w:val="none" w:sz="0" w:space="0" w:color="auto"/>
        <w:right w:val="none" w:sz="0" w:space="0" w:color="auto"/>
      </w:divBdr>
    </w:div>
    <w:div w:id="1516920083">
      <w:bodyDiv w:val="1"/>
      <w:marLeft w:val="0"/>
      <w:marRight w:val="0"/>
      <w:marTop w:val="0"/>
      <w:marBottom w:val="0"/>
      <w:divBdr>
        <w:top w:val="none" w:sz="0" w:space="0" w:color="auto"/>
        <w:left w:val="none" w:sz="0" w:space="0" w:color="auto"/>
        <w:bottom w:val="none" w:sz="0" w:space="0" w:color="auto"/>
        <w:right w:val="none" w:sz="0" w:space="0" w:color="auto"/>
      </w:divBdr>
    </w:div>
    <w:div w:id="1622608031">
      <w:bodyDiv w:val="1"/>
      <w:marLeft w:val="0"/>
      <w:marRight w:val="0"/>
      <w:marTop w:val="0"/>
      <w:marBottom w:val="0"/>
      <w:divBdr>
        <w:top w:val="none" w:sz="0" w:space="0" w:color="auto"/>
        <w:left w:val="none" w:sz="0" w:space="0" w:color="auto"/>
        <w:bottom w:val="none" w:sz="0" w:space="0" w:color="auto"/>
        <w:right w:val="none" w:sz="0" w:space="0" w:color="auto"/>
      </w:divBdr>
    </w:div>
    <w:div w:id="1642418013">
      <w:bodyDiv w:val="1"/>
      <w:marLeft w:val="0"/>
      <w:marRight w:val="0"/>
      <w:marTop w:val="0"/>
      <w:marBottom w:val="0"/>
      <w:divBdr>
        <w:top w:val="none" w:sz="0" w:space="0" w:color="auto"/>
        <w:left w:val="none" w:sz="0" w:space="0" w:color="auto"/>
        <w:bottom w:val="none" w:sz="0" w:space="0" w:color="auto"/>
        <w:right w:val="none" w:sz="0" w:space="0" w:color="auto"/>
      </w:divBdr>
    </w:div>
    <w:div w:id="1707294754">
      <w:bodyDiv w:val="1"/>
      <w:marLeft w:val="0"/>
      <w:marRight w:val="0"/>
      <w:marTop w:val="0"/>
      <w:marBottom w:val="0"/>
      <w:divBdr>
        <w:top w:val="none" w:sz="0" w:space="0" w:color="auto"/>
        <w:left w:val="none" w:sz="0" w:space="0" w:color="auto"/>
        <w:bottom w:val="none" w:sz="0" w:space="0" w:color="auto"/>
        <w:right w:val="none" w:sz="0" w:space="0" w:color="auto"/>
      </w:divBdr>
    </w:div>
    <w:div w:id="213073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43FD620-8C7D-4906-A04B-2B4CA640896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DD9EC8-56CB-4382-8D0B-08B35E1FF4A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73EEF-2EF9-4815-87F2-9017DC42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5035</Words>
  <Characters>28705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6</cp:revision>
  <cp:lastPrinted>2018-04-19T18:10:00Z</cp:lastPrinted>
  <dcterms:created xsi:type="dcterms:W3CDTF">2018-04-05T18:53:00Z</dcterms:created>
  <dcterms:modified xsi:type="dcterms:W3CDTF">2018-04-19T18:11:00Z</dcterms:modified>
</cp:coreProperties>
</file>