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4758A6" w14:textId="77777777" w:rsidR="004949BF" w:rsidRPr="00CB4F3B" w:rsidRDefault="004949BF" w:rsidP="0081747E">
      <w:pPr>
        <w:widowControl w:val="0"/>
        <w:pBdr>
          <w:bottom w:val="single" w:sz="18" w:space="1" w:color="auto"/>
        </w:pBdr>
        <w:tabs>
          <w:tab w:val="left" w:pos="-1440"/>
          <w:tab w:val="left" w:pos="-720"/>
          <w:tab w:val="left" w:pos="1"/>
        </w:tabs>
        <w:jc w:val="both"/>
        <w:rPr>
          <w:rFonts w:ascii="Arial" w:hAnsi="Arial"/>
          <w:b/>
          <w:sz w:val="24"/>
          <w:lang w:val="en-GB"/>
        </w:rPr>
      </w:pPr>
      <w:r w:rsidRPr="00CB4F3B">
        <w:rPr>
          <w:rFonts w:ascii="Arial" w:hAnsi="Arial"/>
          <w:b/>
          <w:noProof/>
          <w:sz w:val="24"/>
        </w:rPr>
        <w:drawing>
          <wp:inline distT="0" distB="0" distL="0" distR="0" wp14:anchorId="5C8F6262" wp14:editId="03BE35E0">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7"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3820C76D" w14:textId="13E56BD7" w:rsidR="004949BF" w:rsidRPr="00CB4F3B" w:rsidRDefault="00C633DC" w:rsidP="0081747E">
      <w:pPr>
        <w:pStyle w:val="ProductNumber"/>
        <w:widowControl w:val="0"/>
        <w:rPr>
          <w:lang w:val="en-GB"/>
        </w:rPr>
      </w:pPr>
      <w:r>
        <w:rPr>
          <w:lang w:val="en-GB"/>
        </w:rPr>
        <w:t>9B18M066</w:t>
      </w:r>
    </w:p>
    <w:p w14:paraId="475DAF3D" w14:textId="77777777" w:rsidR="00D75295" w:rsidRPr="00CB4F3B" w:rsidRDefault="00D75295" w:rsidP="0081747E">
      <w:pPr>
        <w:widowControl w:val="0"/>
        <w:jc w:val="right"/>
        <w:rPr>
          <w:rFonts w:ascii="Arial" w:hAnsi="Arial"/>
          <w:b/>
          <w:sz w:val="28"/>
          <w:szCs w:val="28"/>
          <w:lang w:val="en-GB"/>
        </w:rPr>
      </w:pPr>
    </w:p>
    <w:p w14:paraId="70189D49" w14:textId="77777777" w:rsidR="00013360" w:rsidRPr="00CB4F3B" w:rsidRDefault="00013360" w:rsidP="0081747E">
      <w:pPr>
        <w:widowControl w:val="0"/>
        <w:jc w:val="right"/>
        <w:rPr>
          <w:rFonts w:ascii="Arial" w:hAnsi="Arial"/>
          <w:b/>
          <w:sz w:val="28"/>
          <w:szCs w:val="28"/>
          <w:lang w:val="en-GB"/>
        </w:rPr>
      </w:pPr>
    </w:p>
    <w:p w14:paraId="7B56E976" w14:textId="2A7352C2" w:rsidR="00013360" w:rsidRPr="00CB4F3B" w:rsidRDefault="00BD45E2" w:rsidP="0081747E">
      <w:pPr>
        <w:pStyle w:val="CaseTitle"/>
        <w:widowControl w:val="0"/>
        <w:spacing w:after="0" w:line="240" w:lineRule="auto"/>
        <w:rPr>
          <w:sz w:val="20"/>
          <w:szCs w:val="20"/>
          <w:lang w:val="en-GB"/>
        </w:rPr>
      </w:pPr>
      <w:r w:rsidRPr="00CB4F3B">
        <w:rPr>
          <w:color w:val="000000" w:themeColor="text1"/>
          <w:lang w:val="en-GB"/>
        </w:rPr>
        <w:t>FUNSKOOL INDIA: DEFEND, LEAD</w:t>
      </w:r>
      <w:r w:rsidR="00205035" w:rsidRPr="00CB4F3B">
        <w:rPr>
          <w:color w:val="000000" w:themeColor="text1"/>
          <w:lang w:val="en-GB"/>
        </w:rPr>
        <w:t>,</w:t>
      </w:r>
      <w:r w:rsidRPr="00CB4F3B">
        <w:rPr>
          <w:color w:val="000000" w:themeColor="text1"/>
          <w:lang w:val="en-GB"/>
        </w:rPr>
        <w:t xml:space="preserve"> AND COUNTER RIVALS</w:t>
      </w:r>
    </w:p>
    <w:p w14:paraId="50473C17" w14:textId="77777777" w:rsidR="00CA3976" w:rsidRPr="00CB4F3B" w:rsidRDefault="00CA3976" w:rsidP="0081747E">
      <w:pPr>
        <w:pStyle w:val="CaseTitle"/>
        <w:widowControl w:val="0"/>
        <w:spacing w:after="0" w:line="240" w:lineRule="auto"/>
        <w:rPr>
          <w:sz w:val="20"/>
          <w:szCs w:val="20"/>
          <w:lang w:val="en-GB"/>
        </w:rPr>
      </w:pPr>
    </w:p>
    <w:p w14:paraId="57D931AB" w14:textId="77777777" w:rsidR="00013360" w:rsidRPr="00CB4F3B" w:rsidRDefault="00013360" w:rsidP="0081747E">
      <w:pPr>
        <w:pStyle w:val="CaseTitle"/>
        <w:widowControl w:val="0"/>
        <w:spacing w:after="0" w:line="240" w:lineRule="auto"/>
        <w:rPr>
          <w:sz w:val="20"/>
          <w:szCs w:val="20"/>
          <w:lang w:val="en-GB"/>
        </w:rPr>
      </w:pPr>
    </w:p>
    <w:p w14:paraId="42535BDE" w14:textId="253AB63E" w:rsidR="00627C63" w:rsidRPr="00CB4F3B" w:rsidRDefault="00F94C30" w:rsidP="0081747E">
      <w:pPr>
        <w:pStyle w:val="StyleCopyrightStatementAfter0ptBottomSinglesolidline1"/>
        <w:widowControl w:val="0"/>
        <w:rPr>
          <w:lang w:val="en-GB"/>
        </w:rPr>
      </w:pPr>
      <w:r w:rsidRPr="00CB4F3B">
        <w:rPr>
          <w:lang w:val="en-GB"/>
        </w:rPr>
        <w:t>Rakesh Gupta, Valiaparampil Joseph Sebastian, Sandeep Puri</w:t>
      </w:r>
      <w:r w:rsidR="00205035" w:rsidRPr="00CB4F3B">
        <w:rPr>
          <w:lang w:val="en-GB"/>
        </w:rPr>
        <w:t>,</w:t>
      </w:r>
      <w:r w:rsidRPr="00CB4F3B">
        <w:rPr>
          <w:lang w:val="en-GB"/>
        </w:rPr>
        <w:t xml:space="preserve"> and Kirthivasan Sathya Narayanan </w:t>
      </w:r>
      <w:r w:rsidR="004B632F" w:rsidRPr="00CB4F3B">
        <w:rPr>
          <w:lang w:val="en-GB"/>
        </w:rPr>
        <w:t xml:space="preserve">wrote this </w:t>
      </w:r>
      <w:r w:rsidR="00152682" w:rsidRPr="00CB4F3B">
        <w:rPr>
          <w:lang w:val="en-GB"/>
        </w:rPr>
        <w:t>case</w:t>
      </w:r>
      <w:r w:rsidR="004B632F" w:rsidRPr="00CB4F3B">
        <w:rPr>
          <w:lang w:val="en-GB"/>
        </w:rPr>
        <w:t xml:space="preserve"> </w:t>
      </w:r>
      <w:r w:rsidR="00152682" w:rsidRPr="00CB4F3B">
        <w:rPr>
          <w:lang w:val="en-GB"/>
        </w:rPr>
        <w:t>solely to provide material for class discussion. The</w:t>
      </w:r>
      <w:r w:rsidR="001C7777" w:rsidRPr="00CB4F3B">
        <w:rPr>
          <w:lang w:val="en-GB"/>
        </w:rPr>
        <w:t xml:space="preserve"> author</w:t>
      </w:r>
      <w:r w:rsidR="001A22D1" w:rsidRPr="00CB4F3B">
        <w:rPr>
          <w:lang w:val="en-GB"/>
        </w:rPr>
        <w:t>s</w:t>
      </w:r>
      <w:r w:rsidR="00152682" w:rsidRPr="00CB4F3B">
        <w:rPr>
          <w:lang w:val="en-GB"/>
        </w:rPr>
        <w:t xml:space="preserve"> do not intend to illustrate either effective or ineffective handling of a managerial situation. The author</w:t>
      </w:r>
      <w:r w:rsidR="001A22D1" w:rsidRPr="00CB4F3B">
        <w:rPr>
          <w:lang w:val="en-GB"/>
        </w:rPr>
        <w:t>s</w:t>
      </w:r>
      <w:r w:rsidR="00152682" w:rsidRPr="00CB4F3B">
        <w:rPr>
          <w:lang w:val="en-GB"/>
        </w:rPr>
        <w:t xml:space="preserve"> may have disguised certain names and other identifying information to protect confidentiality.</w:t>
      </w:r>
    </w:p>
    <w:p w14:paraId="12F818F6" w14:textId="77777777" w:rsidR="00F94C30" w:rsidRPr="00CB4F3B" w:rsidRDefault="00F94C30" w:rsidP="0081747E">
      <w:pPr>
        <w:pStyle w:val="StyleStyleCopyrightStatementAfter0ptBottomSinglesolid"/>
        <w:widowControl w:val="0"/>
        <w:rPr>
          <w:rFonts w:cs="Arial"/>
          <w:szCs w:val="16"/>
          <w:lang w:val="en-GB"/>
        </w:rPr>
      </w:pPr>
    </w:p>
    <w:p w14:paraId="5EB39EB2" w14:textId="77777777" w:rsidR="004949BF" w:rsidRPr="00CB4F3B" w:rsidRDefault="004949BF" w:rsidP="0081747E">
      <w:pPr>
        <w:pStyle w:val="StyleStyleCopyrightStatementAfter0ptBottomSinglesolid"/>
        <w:widowControl w:val="0"/>
        <w:rPr>
          <w:rFonts w:cs="Arial"/>
          <w:szCs w:val="16"/>
          <w:lang w:val="en-GB"/>
        </w:rPr>
      </w:pPr>
      <w:r w:rsidRPr="00CB4F3B">
        <w:rPr>
          <w:rFonts w:cs="Arial"/>
          <w:szCs w:val="16"/>
          <w:lang w:val="en-GB"/>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2BDBE9BB" w14:textId="77777777" w:rsidR="004949BF" w:rsidRPr="00CB4F3B" w:rsidRDefault="004949BF" w:rsidP="0081747E">
      <w:pPr>
        <w:pStyle w:val="StyleStyleCopyrightStatementAfter0ptBottomSinglesolid"/>
        <w:widowControl w:val="0"/>
        <w:rPr>
          <w:rFonts w:cs="Arial"/>
          <w:szCs w:val="16"/>
          <w:lang w:val="en-GB"/>
        </w:rPr>
      </w:pPr>
    </w:p>
    <w:p w14:paraId="59084170" w14:textId="09F58C31" w:rsidR="00751E0B" w:rsidRPr="00CB4F3B" w:rsidRDefault="004949BF" w:rsidP="0081747E">
      <w:pPr>
        <w:pStyle w:val="StyleStyleCopyrightStatementAfter0ptBottomSinglesolid"/>
        <w:widowControl w:val="0"/>
        <w:rPr>
          <w:lang w:val="en-GB"/>
        </w:rPr>
      </w:pPr>
      <w:r w:rsidRPr="00CB4F3B">
        <w:rPr>
          <w:rFonts w:cs="Arial"/>
          <w:szCs w:val="16"/>
          <w:lang w:val="en-GB"/>
        </w:rPr>
        <w:t>Copyright © 2018, Ivey Business School Foundation</w:t>
      </w:r>
      <w:r w:rsidRPr="00CB4F3B">
        <w:rPr>
          <w:rFonts w:cs="Arial"/>
          <w:szCs w:val="16"/>
          <w:lang w:val="en-GB"/>
        </w:rPr>
        <w:tab/>
        <w:t>Version: 2018-</w:t>
      </w:r>
      <w:r w:rsidR="00757EC9">
        <w:rPr>
          <w:rFonts w:cs="Arial"/>
          <w:szCs w:val="16"/>
          <w:lang w:val="en-GB"/>
        </w:rPr>
        <w:t>04-</w:t>
      </w:r>
      <w:r w:rsidR="00783C90">
        <w:rPr>
          <w:rFonts w:cs="Arial"/>
          <w:szCs w:val="16"/>
          <w:lang w:val="en-GB"/>
        </w:rPr>
        <w:t>17</w:t>
      </w:r>
    </w:p>
    <w:p w14:paraId="2CC33F01" w14:textId="71F3A829" w:rsidR="00751E0B" w:rsidRPr="00CB4F3B" w:rsidRDefault="00751E0B" w:rsidP="0081747E">
      <w:pPr>
        <w:pStyle w:val="StyleCopyrightStatementAfter0ptBottomSinglesolidline1"/>
        <w:widowControl w:val="0"/>
        <w:rPr>
          <w:rFonts w:ascii="Times New Roman" w:hAnsi="Times New Roman"/>
          <w:lang w:val="en-GB"/>
        </w:rPr>
      </w:pPr>
    </w:p>
    <w:p w14:paraId="2045DCA3" w14:textId="77777777" w:rsidR="00D20F95" w:rsidRPr="00CB4F3B" w:rsidRDefault="00D20F95" w:rsidP="0081747E">
      <w:pPr>
        <w:pStyle w:val="StyleCopyrightStatementAfter0ptBottomSinglesolidline1"/>
        <w:widowControl w:val="0"/>
        <w:rPr>
          <w:rFonts w:ascii="Times New Roman" w:hAnsi="Times New Roman"/>
          <w:lang w:val="en-GB"/>
        </w:rPr>
      </w:pPr>
    </w:p>
    <w:p w14:paraId="25D433A3" w14:textId="0C524A87" w:rsidR="00F94C30" w:rsidRDefault="00F94C30" w:rsidP="0081747E">
      <w:pPr>
        <w:pStyle w:val="BodyTextMain"/>
        <w:widowControl w:val="0"/>
        <w:jc w:val="right"/>
        <w:rPr>
          <w:lang w:val="en-GB"/>
        </w:rPr>
      </w:pPr>
      <w:r w:rsidRPr="00CB4F3B">
        <w:rPr>
          <w:lang w:val="en-GB"/>
        </w:rPr>
        <w:t>Toys play a critical role in the growth and development of children. Each of our toys ha</w:t>
      </w:r>
      <w:r w:rsidR="002227B8" w:rsidRPr="00CB4F3B">
        <w:rPr>
          <w:lang w:val="en-GB"/>
        </w:rPr>
        <w:t>s</w:t>
      </w:r>
      <w:r w:rsidRPr="00CB4F3B">
        <w:rPr>
          <w:lang w:val="en-GB"/>
        </w:rPr>
        <w:t xml:space="preserve"> an intrinsic value and contribute</w:t>
      </w:r>
      <w:r w:rsidR="002227B8" w:rsidRPr="00CB4F3B">
        <w:rPr>
          <w:lang w:val="en-GB"/>
        </w:rPr>
        <w:t>s</w:t>
      </w:r>
      <w:r w:rsidRPr="00CB4F3B">
        <w:rPr>
          <w:lang w:val="en-GB"/>
        </w:rPr>
        <w:t xml:space="preserve"> to the physical, mental and psychological development of a child. Exposing children to a range of world-class toys and developing their interpersonal skills is our mission.</w:t>
      </w:r>
    </w:p>
    <w:p w14:paraId="58CDBFD1" w14:textId="10B79A95" w:rsidR="00F94C30" w:rsidRPr="00CB4F3B" w:rsidRDefault="00757EC9" w:rsidP="0081747E">
      <w:pPr>
        <w:pStyle w:val="BodyTextMain"/>
        <w:widowControl w:val="0"/>
        <w:jc w:val="right"/>
        <w:rPr>
          <w:lang w:val="en-GB"/>
        </w:rPr>
      </w:pPr>
      <w:r>
        <w:rPr>
          <w:lang w:val="en-GB"/>
        </w:rPr>
        <w:t>–</w:t>
      </w:r>
      <w:r w:rsidR="00F94C30" w:rsidRPr="00CB4F3B">
        <w:rPr>
          <w:lang w:val="en-GB"/>
        </w:rPr>
        <w:t>John Baby, CEO of Funskool India Limited</w:t>
      </w:r>
    </w:p>
    <w:p w14:paraId="68449954" w14:textId="77777777" w:rsidR="00F94C30" w:rsidRPr="00CB4F3B" w:rsidRDefault="00F94C30" w:rsidP="0081747E">
      <w:pPr>
        <w:pStyle w:val="BodyTextMain"/>
        <w:widowControl w:val="0"/>
        <w:rPr>
          <w:sz w:val="18"/>
          <w:lang w:val="en-GB"/>
        </w:rPr>
      </w:pPr>
    </w:p>
    <w:p w14:paraId="2ABB14A4" w14:textId="7462811A" w:rsidR="00D065BF" w:rsidRPr="00C633DC" w:rsidRDefault="00E42CF6" w:rsidP="0081747E">
      <w:pPr>
        <w:pStyle w:val="BodyTextMain"/>
        <w:widowControl w:val="0"/>
        <w:rPr>
          <w:lang w:val="en-GB"/>
        </w:rPr>
      </w:pPr>
      <w:r w:rsidRPr="00C633DC">
        <w:rPr>
          <w:lang w:val="en-GB"/>
        </w:rPr>
        <w:t xml:space="preserve">In </w:t>
      </w:r>
      <w:r w:rsidR="00F94C30" w:rsidRPr="00C633DC">
        <w:rPr>
          <w:lang w:val="en-GB"/>
        </w:rPr>
        <w:t xml:space="preserve">April 2017, John Baby, the chief executive officer (CEO) of Funskool India Limited (Funskool), </w:t>
      </w:r>
      <w:r w:rsidR="002227B8" w:rsidRPr="00C633DC">
        <w:rPr>
          <w:lang w:val="en-GB"/>
        </w:rPr>
        <w:t xml:space="preserve">was </w:t>
      </w:r>
      <w:r w:rsidRPr="00C633DC">
        <w:rPr>
          <w:lang w:val="en-GB"/>
        </w:rPr>
        <w:t>brows</w:t>
      </w:r>
      <w:r w:rsidR="002227B8" w:rsidRPr="00C633DC">
        <w:rPr>
          <w:lang w:val="en-GB"/>
        </w:rPr>
        <w:t>ing</w:t>
      </w:r>
      <w:r w:rsidRPr="00C633DC">
        <w:rPr>
          <w:lang w:val="en-GB"/>
        </w:rPr>
        <w:t xml:space="preserve"> through the slides of </w:t>
      </w:r>
      <w:r w:rsidR="00F94C30" w:rsidRPr="00C633DC">
        <w:rPr>
          <w:lang w:val="en-GB"/>
        </w:rPr>
        <w:t xml:space="preserve">the presentation </w:t>
      </w:r>
      <w:r w:rsidR="002227B8" w:rsidRPr="00C633DC">
        <w:rPr>
          <w:lang w:val="en-GB"/>
        </w:rPr>
        <w:t xml:space="preserve">he had </w:t>
      </w:r>
      <w:r w:rsidR="00F94C30" w:rsidRPr="00C633DC">
        <w:rPr>
          <w:lang w:val="en-GB"/>
        </w:rPr>
        <w:t xml:space="preserve">prepared for </w:t>
      </w:r>
      <w:r w:rsidRPr="00C633DC">
        <w:rPr>
          <w:lang w:val="en-GB"/>
        </w:rPr>
        <w:t>a</w:t>
      </w:r>
      <w:r w:rsidR="002227B8" w:rsidRPr="00C633DC">
        <w:rPr>
          <w:lang w:val="en-GB"/>
        </w:rPr>
        <w:t>n upcoming</w:t>
      </w:r>
      <w:r w:rsidRPr="00C633DC">
        <w:rPr>
          <w:lang w:val="en-GB"/>
        </w:rPr>
        <w:t xml:space="preserve"> </w:t>
      </w:r>
      <w:r w:rsidR="00F94C30" w:rsidRPr="00C633DC">
        <w:rPr>
          <w:lang w:val="en-GB"/>
        </w:rPr>
        <w:t>board meeting</w:t>
      </w:r>
      <w:r w:rsidR="002227B8" w:rsidRPr="00C633DC">
        <w:rPr>
          <w:lang w:val="en-GB"/>
        </w:rPr>
        <w:t>. As he did so</w:t>
      </w:r>
      <w:r w:rsidRPr="00C633DC">
        <w:rPr>
          <w:lang w:val="en-GB"/>
        </w:rPr>
        <w:t>,</w:t>
      </w:r>
      <w:r w:rsidR="00F94C30" w:rsidRPr="00C633DC">
        <w:rPr>
          <w:lang w:val="en-GB"/>
        </w:rPr>
        <w:t xml:space="preserve"> </w:t>
      </w:r>
      <w:r w:rsidRPr="00C633DC">
        <w:rPr>
          <w:lang w:val="en-GB"/>
        </w:rPr>
        <w:t xml:space="preserve">he </w:t>
      </w:r>
      <w:r w:rsidR="00F94C30" w:rsidRPr="00C633DC">
        <w:rPr>
          <w:lang w:val="en-GB"/>
        </w:rPr>
        <w:t xml:space="preserve">reminisced </w:t>
      </w:r>
      <w:r w:rsidRPr="00C633DC">
        <w:rPr>
          <w:lang w:val="en-GB"/>
        </w:rPr>
        <w:t xml:space="preserve">about </w:t>
      </w:r>
      <w:r w:rsidR="00F94C30" w:rsidRPr="00C633DC">
        <w:rPr>
          <w:lang w:val="en-GB"/>
        </w:rPr>
        <w:t>the company</w:t>
      </w:r>
      <w:r w:rsidR="003944DC" w:rsidRPr="00C633DC">
        <w:rPr>
          <w:lang w:val="en-GB"/>
        </w:rPr>
        <w:t>’s evolution</w:t>
      </w:r>
      <w:r w:rsidR="00F94C30" w:rsidRPr="00C633DC">
        <w:rPr>
          <w:lang w:val="en-GB"/>
        </w:rPr>
        <w:t xml:space="preserve">. </w:t>
      </w:r>
      <w:r w:rsidR="002227B8" w:rsidRPr="00C633DC">
        <w:rPr>
          <w:lang w:val="en-GB"/>
        </w:rPr>
        <w:t>Most of</w:t>
      </w:r>
      <w:r w:rsidR="00F94C30" w:rsidRPr="00C633DC">
        <w:rPr>
          <w:lang w:val="en-GB"/>
        </w:rPr>
        <w:t xml:space="preserve"> Funskool’s </w:t>
      </w:r>
      <w:r w:rsidR="003944DC" w:rsidRPr="00C633DC">
        <w:rPr>
          <w:lang w:val="en-GB"/>
        </w:rPr>
        <w:t xml:space="preserve">competitors </w:t>
      </w:r>
      <w:r w:rsidR="00F94C30" w:rsidRPr="00C633DC">
        <w:rPr>
          <w:lang w:val="en-GB"/>
        </w:rPr>
        <w:t xml:space="preserve">in India </w:t>
      </w:r>
      <w:r w:rsidR="002227B8" w:rsidRPr="00C633DC">
        <w:rPr>
          <w:lang w:val="en-GB"/>
        </w:rPr>
        <w:t>had succumbed</w:t>
      </w:r>
      <w:r w:rsidRPr="00C633DC">
        <w:rPr>
          <w:lang w:val="en-GB"/>
        </w:rPr>
        <w:t xml:space="preserve"> to </w:t>
      </w:r>
      <w:r w:rsidR="00F94C30" w:rsidRPr="00C633DC">
        <w:rPr>
          <w:lang w:val="en-GB"/>
        </w:rPr>
        <w:t xml:space="preserve">Chinese imports and </w:t>
      </w:r>
      <w:r w:rsidR="003944DC" w:rsidRPr="00C633DC">
        <w:rPr>
          <w:lang w:val="en-GB"/>
        </w:rPr>
        <w:t>shut down</w:t>
      </w:r>
      <w:r w:rsidR="00F94C30" w:rsidRPr="00C633DC">
        <w:rPr>
          <w:lang w:val="en-GB"/>
        </w:rPr>
        <w:t xml:space="preserve">, </w:t>
      </w:r>
      <w:r w:rsidR="002227B8" w:rsidRPr="00C633DC">
        <w:rPr>
          <w:lang w:val="en-GB"/>
        </w:rPr>
        <w:t xml:space="preserve">but </w:t>
      </w:r>
      <w:r w:rsidR="00F94C30" w:rsidRPr="00C633DC">
        <w:rPr>
          <w:lang w:val="en-GB"/>
        </w:rPr>
        <w:t xml:space="preserve">Baby’s company </w:t>
      </w:r>
      <w:r w:rsidR="002227B8" w:rsidRPr="00C633DC">
        <w:rPr>
          <w:lang w:val="en-GB"/>
        </w:rPr>
        <w:t xml:space="preserve">had </w:t>
      </w:r>
      <w:r w:rsidR="00F94C30" w:rsidRPr="00C633DC">
        <w:rPr>
          <w:lang w:val="en-GB"/>
        </w:rPr>
        <w:t xml:space="preserve">withstood this onslaught. Funskool ended the </w:t>
      </w:r>
      <w:r w:rsidR="0033454A" w:rsidRPr="00C633DC">
        <w:rPr>
          <w:lang w:val="en-GB"/>
        </w:rPr>
        <w:t xml:space="preserve">2016 </w:t>
      </w:r>
      <w:r w:rsidR="00F94C30" w:rsidRPr="00C633DC">
        <w:rPr>
          <w:lang w:val="en-GB"/>
        </w:rPr>
        <w:t>financial year (FY) with net revenue</w:t>
      </w:r>
      <w:r w:rsidR="002227B8" w:rsidRPr="00C633DC">
        <w:rPr>
          <w:lang w:val="en-GB"/>
        </w:rPr>
        <w:t>s</w:t>
      </w:r>
      <w:r w:rsidR="00F94C30" w:rsidRPr="00C633DC">
        <w:rPr>
          <w:lang w:val="en-GB"/>
        </w:rPr>
        <w:t xml:space="preserve"> of </w:t>
      </w:r>
      <w:r w:rsidR="00F94C30" w:rsidRPr="00C633DC">
        <w:rPr>
          <w:rFonts w:ascii="Arial" w:hAnsi="Arial" w:cs="Arial"/>
          <w:sz w:val="20"/>
          <w:szCs w:val="20"/>
          <w:lang w:val="en-GB"/>
        </w:rPr>
        <w:t>₹</w:t>
      </w:r>
      <w:r w:rsidR="006E765A" w:rsidRPr="00C633DC">
        <w:rPr>
          <w:lang w:val="en-GB"/>
        </w:rPr>
        <w:t>1.9 billion</w:t>
      </w:r>
      <w:r w:rsidR="002227B8" w:rsidRPr="00C633DC">
        <w:rPr>
          <w:lang w:val="en-GB"/>
        </w:rPr>
        <w:t>.</w:t>
      </w:r>
      <w:r w:rsidR="00D065BF" w:rsidRPr="00C633DC">
        <w:rPr>
          <w:rStyle w:val="FootnoteReference"/>
          <w:lang w:val="en-GB"/>
        </w:rPr>
        <w:footnoteReference w:id="1"/>
      </w:r>
      <w:r w:rsidR="00D065BF" w:rsidRPr="00C633DC">
        <w:rPr>
          <w:lang w:val="en-GB"/>
        </w:rPr>
        <w:t xml:space="preserve"> Over the previous few years, sales had been growing at a healthy rate of more than 20 per cent</w:t>
      </w:r>
      <w:r w:rsidR="00EA6AF0" w:rsidRPr="00C633DC">
        <w:rPr>
          <w:lang w:val="en-GB"/>
        </w:rPr>
        <w:t xml:space="preserve"> annually</w:t>
      </w:r>
      <w:r w:rsidR="00D065BF" w:rsidRPr="00C633DC">
        <w:rPr>
          <w:lang w:val="en-GB"/>
        </w:rPr>
        <w:t xml:space="preserve">—more than </w:t>
      </w:r>
      <w:r w:rsidR="00CB4F3B" w:rsidRPr="00C633DC">
        <w:rPr>
          <w:lang w:val="en-GB"/>
        </w:rPr>
        <w:t xml:space="preserve">five </w:t>
      </w:r>
      <w:r w:rsidR="00D065BF" w:rsidRPr="00C633DC">
        <w:rPr>
          <w:lang w:val="en-GB"/>
        </w:rPr>
        <w:t xml:space="preserve">times the rate of the traditional toy category (see Exhibit 1). </w:t>
      </w:r>
    </w:p>
    <w:p w14:paraId="6613AB59" w14:textId="77777777" w:rsidR="00D065BF" w:rsidRPr="00757EC9" w:rsidRDefault="00D065BF" w:rsidP="0081747E">
      <w:pPr>
        <w:pStyle w:val="BodyTextMain"/>
        <w:widowControl w:val="0"/>
        <w:rPr>
          <w:spacing w:val="-2"/>
          <w:sz w:val="18"/>
          <w:lang w:val="en-GB"/>
        </w:rPr>
      </w:pPr>
    </w:p>
    <w:p w14:paraId="1BA15205" w14:textId="426BB3F7" w:rsidR="00D065BF" w:rsidRPr="00757EC9" w:rsidRDefault="00D065BF" w:rsidP="0081747E">
      <w:pPr>
        <w:pStyle w:val="BodyTextMain"/>
        <w:widowControl w:val="0"/>
        <w:rPr>
          <w:spacing w:val="-2"/>
          <w:lang w:val="en-GB"/>
        </w:rPr>
      </w:pPr>
      <w:r w:rsidRPr="00757EC9">
        <w:rPr>
          <w:spacing w:val="-2"/>
          <w:lang w:val="en-GB"/>
        </w:rPr>
        <w:t xml:space="preserve">The Indian toy market witnessed sustained phenomenal growth because </w:t>
      </w:r>
      <w:r w:rsidR="00CB4F3B" w:rsidRPr="00757EC9">
        <w:rPr>
          <w:spacing w:val="-2"/>
          <w:lang w:val="en-GB"/>
        </w:rPr>
        <w:t>of rising disposable incomes, changing consumer habits, and</w:t>
      </w:r>
      <w:r w:rsidR="00CB4F3B" w:rsidRPr="00757EC9" w:rsidDel="00CB4F3B">
        <w:rPr>
          <w:spacing w:val="-2"/>
          <w:lang w:val="en-GB"/>
        </w:rPr>
        <w:t xml:space="preserve"> </w:t>
      </w:r>
      <w:r w:rsidRPr="00757EC9">
        <w:rPr>
          <w:spacing w:val="-2"/>
          <w:lang w:val="en-GB"/>
        </w:rPr>
        <w:t xml:space="preserve">a child population (0–14 years old) </w:t>
      </w:r>
      <w:r w:rsidR="00C17D40" w:rsidRPr="00757EC9">
        <w:rPr>
          <w:spacing w:val="-2"/>
          <w:lang w:val="en-GB"/>
        </w:rPr>
        <w:t xml:space="preserve">that </w:t>
      </w:r>
      <w:r w:rsidR="00CB4F3B" w:rsidRPr="00757EC9">
        <w:rPr>
          <w:spacing w:val="-2"/>
          <w:lang w:val="en-GB"/>
        </w:rPr>
        <w:t xml:space="preserve">was </w:t>
      </w:r>
      <w:r w:rsidRPr="00757EC9">
        <w:rPr>
          <w:spacing w:val="-2"/>
          <w:lang w:val="en-GB"/>
        </w:rPr>
        <w:t xml:space="preserve">approaching 40 per cent of the total Indian population. Funskool took advantage of these opportunities by introducing international toy brands, which it distributed after joining various partnerships over the years. However, favourable future growth projections of the Indian toy market, as well as the slowdown of </w:t>
      </w:r>
      <w:r w:rsidR="00CB4F3B" w:rsidRPr="00757EC9">
        <w:rPr>
          <w:spacing w:val="-2"/>
          <w:lang w:val="en-GB"/>
        </w:rPr>
        <w:t xml:space="preserve">Western </w:t>
      </w:r>
      <w:r w:rsidRPr="00757EC9">
        <w:rPr>
          <w:spacing w:val="-2"/>
          <w:lang w:val="en-GB"/>
        </w:rPr>
        <w:t xml:space="preserve">markets, had tempted many global toy brands to enter the Indian market, and many more were considering an entry in the near future. These changes were likely to expose Funskool to potential threats from its current partners. </w:t>
      </w:r>
    </w:p>
    <w:p w14:paraId="6FA6AB13" w14:textId="77777777" w:rsidR="00D065BF" w:rsidRPr="00757EC9" w:rsidRDefault="00D065BF" w:rsidP="0081747E">
      <w:pPr>
        <w:pStyle w:val="BodyTextMain"/>
        <w:widowControl w:val="0"/>
        <w:rPr>
          <w:spacing w:val="-2"/>
          <w:sz w:val="18"/>
          <w:lang w:val="en-GB"/>
        </w:rPr>
      </w:pPr>
    </w:p>
    <w:p w14:paraId="6B36EA43" w14:textId="3DE2AFD5" w:rsidR="00D065BF" w:rsidRPr="00CB4F3B" w:rsidRDefault="00D065BF" w:rsidP="0081747E">
      <w:pPr>
        <w:pStyle w:val="BodyTextMain"/>
        <w:widowControl w:val="0"/>
        <w:rPr>
          <w:spacing w:val="-2"/>
          <w:lang w:val="en-GB"/>
        </w:rPr>
      </w:pPr>
      <w:r w:rsidRPr="00CB4F3B">
        <w:rPr>
          <w:spacing w:val="-2"/>
          <w:lang w:val="en-GB"/>
        </w:rPr>
        <w:t>Another emerging trend was also worrisome. The rising digital video games segment, which accounted for less than 20 per cent of the total toy market in 2011, was projected to surpass the traditional toy category by 2018.</w:t>
      </w:r>
      <w:r w:rsidRPr="00CB4F3B">
        <w:rPr>
          <w:rStyle w:val="FootnoteReference"/>
          <w:spacing w:val="-2"/>
          <w:lang w:val="en-GB"/>
        </w:rPr>
        <w:footnoteReference w:id="2"/>
      </w:r>
      <w:r w:rsidRPr="00CB4F3B">
        <w:rPr>
          <w:spacing w:val="-2"/>
          <w:lang w:val="en-GB"/>
        </w:rPr>
        <w:t xml:space="preserve"> Funskool had no presence in this segment, which was likely to push the company off its growth curve. Moreover, Chinese toy companies were being forced to improve quality and move up to higher market segments</w:t>
      </w:r>
      <w:r w:rsidRPr="00CB4F3B" w:rsidDel="00B248CA">
        <w:rPr>
          <w:spacing w:val="-2"/>
          <w:lang w:val="en-GB"/>
        </w:rPr>
        <w:t xml:space="preserve"> </w:t>
      </w:r>
      <w:r w:rsidRPr="00CB4F3B">
        <w:rPr>
          <w:spacing w:val="-2"/>
          <w:lang w:val="en-GB"/>
        </w:rPr>
        <w:t>because of rising manufacturing costs, thereby becoming likely new Funskool competitors.</w:t>
      </w:r>
    </w:p>
    <w:p w14:paraId="64295244" w14:textId="77777777" w:rsidR="00D065BF" w:rsidRPr="00CB4F3B" w:rsidRDefault="00D065BF" w:rsidP="0081747E">
      <w:pPr>
        <w:pStyle w:val="BodyTextMain"/>
        <w:widowControl w:val="0"/>
        <w:rPr>
          <w:sz w:val="18"/>
          <w:lang w:val="en-GB"/>
        </w:rPr>
      </w:pPr>
    </w:p>
    <w:p w14:paraId="34C60F2A" w14:textId="47606E27" w:rsidR="00D065BF" w:rsidRPr="00783C90" w:rsidRDefault="00D065BF" w:rsidP="0081747E">
      <w:pPr>
        <w:pStyle w:val="BodyTextMain"/>
        <w:widowControl w:val="0"/>
        <w:rPr>
          <w:spacing w:val="-4"/>
          <w:lang w:val="en-GB"/>
        </w:rPr>
      </w:pPr>
      <w:r w:rsidRPr="00783C90">
        <w:rPr>
          <w:spacing w:val="-4"/>
          <w:lang w:val="en-GB"/>
        </w:rPr>
        <w:t xml:space="preserve">Being aware of future trends in the Indian toy industry, Baby foresaw these potential threats to Funskool’s market leadership, which he saw as hurdles in his company’s quest of achieve sales revenue of </w:t>
      </w:r>
      <w:r w:rsidRPr="00783C90">
        <w:rPr>
          <w:rFonts w:ascii="Arial" w:hAnsi="Arial" w:cs="Arial"/>
          <w:spacing w:val="-4"/>
          <w:sz w:val="20"/>
          <w:szCs w:val="20"/>
          <w:lang w:val="en-GB"/>
        </w:rPr>
        <w:t>₹</w:t>
      </w:r>
      <w:r w:rsidRPr="00783C90">
        <w:rPr>
          <w:spacing w:val="-4"/>
          <w:lang w:val="en-GB"/>
        </w:rPr>
        <w:t xml:space="preserve">5 billion by 2020. How could Funskool augment the revenue obtained from the sale of its own brands? With Chinese competitors </w:t>
      </w:r>
      <w:r w:rsidRPr="00783C90">
        <w:rPr>
          <w:spacing w:val="-4"/>
          <w:lang w:val="en-GB"/>
        </w:rPr>
        <w:lastRenderedPageBreak/>
        <w:t xml:space="preserve">targeting consumers higher up the segment, should Funskool instead embrace customers in the lower economic levels? Should it enter the digital space to prevent a growth stall and catapult itself to the next stage in the growth cycle? The company </w:t>
      </w:r>
      <w:r w:rsidR="00CB4F3B" w:rsidRPr="00783C90">
        <w:rPr>
          <w:spacing w:val="-4"/>
          <w:lang w:val="en-GB"/>
        </w:rPr>
        <w:t xml:space="preserve">needed </w:t>
      </w:r>
      <w:r w:rsidRPr="00783C90">
        <w:rPr>
          <w:spacing w:val="-4"/>
          <w:lang w:val="en-GB"/>
        </w:rPr>
        <w:t xml:space="preserve">to make some decisions and take steps to face these emerging challenges. </w:t>
      </w:r>
    </w:p>
    <w:p w14:paraId="2D409DCB" w14:textId="77777777" w:rsidR="00D065BF" w:rsidRPr="00CB4F3B" w:rsidRDefault="00D065BF" w:rsidP="0081747E">
      <w:pPr>
        <w:pStyle w:val="BodyTextMain"/>
        <w:widowControl w:val="0"/>
        <w:rPr>
          <w:sz w:val="20"/>
          <w:lang w:val="en-GB"/>
        </w:rPr>
      </w:pPr>
    </w:p>
    <w:p w14:paraId="22F23EED" w14:textId="77777777" w:rsidR="00D065BF" w:rsidRPr="00CB4F3B" w:rsidRDefault="00D065BF" w:rsidP="0081747E">
      <w:pPr>
        <w:pStyle w:val="BodyTextMain"/>
        <w:widowControl w:val="0"/>
        <w:rPr>
          <w:sz w:val="20"/>
          <w:lang w:val="en-GB"/>
        </w:rPr>
      </w:pPr>
    </w:p>
    <w:p w14:paraId="4264DD31" w14:textId="77777777" w:rsidR="00D065BF" w:rsidRPr="00CB4F3B" w:rsidRDefault="00D065BF" w:rsidP="0081747E">
      <w:pPr>
        <w:pStyle w:val="Casehead1"/>
        <w:widowControl w:val="0"/>
        <w:rPr>
          <w:lang w:val="en-GB"/>
        </w:rPr>
      </w:pPr>
      <w:r w:rsidRPr="00CB4F3B">
        <w:rPr>
          <w:lang w:val="en-GB"/>
        </w:rPr>
        <w:t>FUNSKOOL: THE BEGINNING</w:t>
      </w:r>
    </w:p>
    <w:p w14:paraId="32868B80" w14:textId="77777777" w:rsidR="00D065BF" w:rsidRPr="00CB4F3B" w:rsidRDefault="00D065BF" w:rsidP="0081747E">
      <w:pPr>
        <w:pStyle w:val="BodyTextMain"/>
        <w:widowControl w:val="0"/>
        <w:rPr>
          <w:sz w:val="20"/>
          <w:lang w:val="en-GB"/>
        </w:rPr>
      </w:pPr>
    </w:p>
    <w:p w14:paraId="6EA27A26" w14:textId="44BFBCB1" w:rsidR="00D065BF" w:rsidRPr="00CB4F3B" w:rsidRDefault="00D065BF" w:rsidP="0081747E">
      <w:pPr>
        <w:pStyle w:val="BodyTextMain"/>
        <w:widowControl w:val="0"/>
        <w:rPr>
          <w:lang w:val="en-GB"/>
        </w:rPr>
      </w:pPr>
      <w:r w:rsidRPr="00CB4F3B">
        <w:rPr>
          <w:lang w:val="en-GB"/>
        </w:rPr>
        <w:t>In 1946, a young entrepreneur named K. M. Mammen Mappillai opened a small toy balloon</w:t>
      </w:r>
      <w:r w:rsidR="00CB4F3B">
        <w:rPr>
          <w:lang w:val="en-GB"/>
        </w:rPr>
        <w:t>-</w:t>
      </w:r>
      <w:r w:rsidRPr="00CB4F3B">
        <w:rPr>
          <w:lang w:val="en-GB"/>
        </w:rPr>
        <w:t>manufacturing unit in Chennai, India. This unit laid the foundation of what was eventually to become India’s leading multinational tire manufacturer, Madras Rubber Factory (MRF). However, the company’s connection with toy manufacturing did</w:t>
      </w:r>
      <w:r w:rsidR="00783C90">
        <w:rPr>
          <w:lang w:val="en-GB"/>
        </w:rPr>
        <w:t xml:space="preserve"> </w:t>
      </w:r>
      <w:r w:rsidRPr="00CB4F3B">
        <w:rPr>
          <w:lang w:val="en-GB"/>
        </w:rPr>
        <w:t>n</w:t>
      </w:r>
      <w:r w:rsidR="00783C90">
        <w:rPr>
          <w:lang w:val="en-GB"/>
        </w:rPr>
        <w:t>o</w:t>
      </w:r>
      <w:r w:rsidRPr="00CB4F3B">
        <w:rPr>
          <w:lang w:val="en-GB"/>
        </w:rPr>
        <w:t>t end with the success of the tire business. In June 1986, Funskool was established as a joint venture between MRF and Hasbro, a leading American multinational toy company. Mappillai’s son</w:t>
      </w:r>
      <w:r w:rsidR="00C17D40">
        <w:rPr>
          <w:lang w:val="en-GB"/>
        </w:rPr>
        <w:t>,</w:t>
      </w:r>
      <w:r w:rsidRPr="00CB4F3B">
        <w:rPr>
          <w:lang w:val="en-GB"/>
        </w:rPr>
        <w:t xml:space="preserve"> Ravi Mammen</w:t>
      </w:r>
      <w:r w:rsidR="00C17D40">
        <w:rPr>
          <w:lang w:val="en-GB"/>
        </w:rPr>
        <w:t>,</w:t>
      </w:r>
      <w:r w:rsidRPr="00CB4F3B">
        <w:rPr>
          <w:lang w:val="en-GB"/>
        </w:rPr>
        <w:t xml:space="preserve"> was appointed head of the new company. The scope of the joint venture was both technical and commercial. MRF and its associates had a 60 per cent stake in the new company</w:t>
      </w:r>
      <w:r w:rsidR="00CB4F3B">
        <w:rPr>
          <w:lang w:val="en-GB"/>
        </w:rPr>
        <w:t>,</w:t>
      </w:r>
      <w:r w:rsidRPr="00CB4F3B">
        <w:rPr>
          <w:lang w:val="en-GB"/>
        </w:rPr>
        <w:t xml:space="preserve"> and Hasbro owned the remaining 40 per cent. The joint venture was mutually beneficial to both partners. MRF </w:t>
      </w:r>
      <w:r w:rsidR="00CB4F3B">
        <w:rPr>
          <w:lang w:val="en-GB"/>
        </w:rPr>
        <w:t>gained</w:t>
      </w:r>
      <w:r w:rsidR="00CB4F3B" w:rsidRPr="00CB4F3B">
        <w:rPr>
          <w:lang w:val="en-GB"/>
        </w:rPr>
        <w:t xml:space="preserve"> </w:t>
      </w:r>
      <w:r w:rsidRPr="00CB4F3B">
        <w:rPr>
          <w:lang w:val="en-GB"/>
        </w:rPr>
        <w:t>access to world-class design and technology</w:t>
      </w:r>
      <w:r w:rsidR="00CB4F3B">
        <w:rPr>
          <w:lang w:val="en-GB"/>
        </w:rPr>
        <w:t>,</w:t>
      </w:r>
      <w:r w:rsidRPr="00CB4F3B">
        <w:rPr>
          <w:lang w:val="en-GB"/>
        </w:rPr>
        <w:t xml:space="preserve"> while Hasbro </w:t>
      </w:r>
      <w:r w:rsidR="00CB4F3B" w:rsidRPr="00CB4F3B">
        <w:rPr>
          <w:lang w:val="en-GB"/>
        </w:rPr>
        <w:t>gain</w:t>
      </w:r>
      <w:r w:rsidR="00CB4F3B">
        <w:rPr>
          <w:lang w:val="en-GB"/>
        </w:rPr>
        <w:t>ed</w:t>
      </w:r>
      <w:r w:rsidR="00CB4F3B" w:rsidRPr="00CB4F3B">
        <w:rPr>
          <w:lang w:val="en-GB"/>
        </w:rPr>
        <w:t xml:space="preserve"> </w:t>
      </w:r>
      <w:r w:rsidRPr="00CB4F3B">
        <w:rPr>
          <w:lang w:val="en-GB"/>
        </w:rPr>
        <w:t>access to the Indian market, which</w:t>
      </w:r>
      <w:r w:rsidR="00CB4F3B">
        <w:rPr>
          <w:lang w:val="en-GB"/>
        </w:rPr>
        <w:t>, at the time,</w:t>
      </w:r>
      <w:r w:rsidRPr="00CB4F3B">
        <w:rPr>
          <w:lang w:val="en-GB"/>
        </w:rPr>
        <w:t xml:space="preserve"> had high import restrictions </w:t>
      </w:r>
      <w:r w:rsidR="004B530B">
        <w:rPr>
          <w:lang w:val="en-GB"/>
        </w:rPr>
        <w:t>on</w:t>
      </w:r>
      <w:r w:rsidR="004B530B" w:rsidRPr="00CB4F3B">
        <w:rPr>
          <w:lang w:val="en-GB"/>
        </w:rPr>
        <w:t xml:space="preserve"> </w:t>
      </w:r>
      <w:r w:rsidRPr="00CB4F3B">
        <w:rPr>
          <w:lang w:val="en-GB"/>
        </w:rPr>
        <w:t>toys.</w:t>
      </w:r>
    </w:p>
    <w:p w14:paraId="6A34FD09" w14:textId="77777777" w:rsidR="00D065BF" w:rsidRPr="00CB4F3B" w:rsidRDefault="00D065BF" w:rsidP="0081747E">
      <w:pPr>
        <w:pStyle w:val="BodyTextMain"/>
        <w:widowControl w:val="0"/>
        <w:rPr>
          <w:sz w:val="20"/>
          <w:lang w:val="en-GB"/>
        </w:rPr>
      </w:pPr>
    </w:p>
    <w:p w14:paraId="0DDC3E94" w14:textId="53EE5B68" w:rsidR="00D065BF" w:rsidRPr="00C633DC" w:rsidRDefault="00D065BF" w:rsidP="0081747E">
      <w:pPr>
        <w:pStyle w:val="BodyTextMain"/>
        <w:widowControl w:val="0"/>
        <w:rPr>
          <w:lang w:val="en-GB"/>
        </w:rPr>
      </w:pPr>
      <w:r w:rsidRPr="00C633DC">
        <w:rPr>
          <w:lang w:val="en-GB"/>
        </w:rPr>
        <w:t xml:space="preserve">Toy manufacturing was a complex process, requiring different moulds for different parts of a toy. The number of moulds could range from </w:t>
      </w:r>
      <w:r w:rsidR="00C02774" w:rsidRPr="00C633DC">
        <w:rPr>
          <w:lang w:val="en-GB"/>
        </w:rPr>
        <w:t xml:space="preserve">five </w:t>
      </w:r>
      <w:r w:rsidRPr="00C633DC">
        <w:rPr>
          <w:lang w:val="en-GB"/>
        </w:rPr>
        <w:t>to 13, depending on the complexity of the toy’s design. In the late 1980s, mould making was a costly process</w:t>
      </w:r>
      <w:r w:rsidR="00C02774" w:rsidRPr="00C633DC">
        <w:rPr>
          <w:lang w:val="en-GB"/>
        </w:rPr>
        <w:t>,</w:t>
      </w:r>
      <w:r w:rsidRPr="00C633DC">
        <w:rPr>
          <w:lang w:val="en-GB"/>
        </w:rPr>
        <w:t xml:space="preserve"> and the technology was still nascent in India. Hasbro leased old moulds from its manufacturing plants to Funskool, thereby largely reducing the manufacturing cost. In 1986, the first manufacturing unit for the company was established in Goa. The location was chosen because it had a tax holiday of 10 years from the government</w:t>
      </w:r>
      <w:r w:rsidR="00C02774" w:rsidRPr="00C633DC">
        <w:rPr>
          <w:lang w:val="en-GB"/>
        </w:rPr>
        <w:t>,</w:t>
      </w:r>
      <w:r w:rsidRPr="00C633DC">
        <w:rPr>
          <w:lang w:val="en-GB"/>
        </w:rPr>
        <w:t xml:space="preserve"> and Funskool’s parent company, MRF, had already established a tire manufacturing facility in the state. Commercial production started in 1987, with MRF manufacturing toys designed and sold by Hasbro in international markets and subsequently launching them in India. One of the joint venture’s toys that had gained immense popularity in the American market was G</w:t>
      </w:r>
      <w:r w:rsidR="006066A2" w:rsidRPr="00C633DC">
        <w:rPr>
          <w:lang w:val="en-GB"/>
        </w:rPr>
        <w:t xml:space="preserve">. </w:t>
      </w:r>
      <w:r w:rsidRPr="00C633DC">
        <w:rPr>
          <w:lang w:val="en-GB"/>
        </w:rPr>
        <w:t>I</w:t>
      </w:r>
      <w:r w:rsidR="006066A2" w:rsidRPr="00C633DC">
        <w:rPr>
          <w:lang w:val="en-GB"/>
        </w:rPr>
        <w:t>.</w:t>
      </w:r>
      <w:r w:rsidRPr="00C633DC">
        <w:rPr>
          <w:lang w:val="en-GB"/>
        </w:rPr>
        <w:t xml:space="preserve"> Joe</w:t>
      </w:r>
      <w:r w:rsidR="006066A2" w:rsidRPr="00C633DC">
        <w:rPr>
          <w:lang w:val="en-GB"/>
        </w:rPr>
        <w:t>, a military action figure</w:t>
      </w:r>
      <w:r w:rsidRPr="00C633DC">
        <w:rPr>
          <w:lang w:val="en-GB"/>
        </w:rPr>
        <w:t xml:space="preserve">. </w:t>
      </w:r>
    </w:p>
    <w:p w14:paraId="5559745A" w14:textId="77777777" w:rsidR="00D065BF" w:rsidRPr="00C633DC" w:rsidRDefault="00D065BF" w:rsidP="0081747E">
      <w:pPr>
        <w:pStyle w:val="BodyTextMain"/>
        <w:widowControl w:val="0"/>
        <w:rPr>
          <w:sz w:val="20"/>
          <w:lang w:val="en-GB"/>
        </w:rPr>
      </w:pPr>
    </w:p>
    <w:p w14:paraId="63D19090" w14:textId="4CE9CC84" w:rsidR="00D065BF" w:rsidRPr="00CB4F3B" w:rsidRDefault="00D065BF" w:rsidP="0081747E">
      <w:pPr>
        <w:pStyle w:val="BodyTextMain"/>
        <w:widowControl w:val="0"/>
        <w:rPr>
          <w:lang w:val="en-GB"/>
        </w:rPr>
      </w:pPr>
      <w:r w:rsidRPr="00CB4F3B">
        <w:rPr>
          <w:lang w:val="en-GB"/>
        </w:rPr>
        <w:t xml:space="preserve">Funskool began establishing itself as a major company in the market. However, in 1992, it received a major blow when Mammen, the company’s head, passed away at the young age of 39. This unexpected crisis led to a lot of confusion at Funskool, and operations stagnated. The apparent neglect and lack of interest led many foreign companies to urge MRF to sell its stakes in Funskool and Hasbro threatened to leave the joint venture. However, Mappillai ignored calls to sell the company, stating that Funskool was close to his son’s heart and he would retain it in memory of his son. </w:t>
      </w:r>
    </w:p>
    <w:p w14:paraId="79A3C56B" w14:textId="77777777" w:rsidR="00D065BF" w:rsidRPr="00CB4F3B" w:rsidRDefault="00D065BF" w:rsidP="0081747E">
      <w:pPr>
        <w:pStyle w:val="BodyTextMain"/>
        <w:widowControl w:val="0"/>
        <w:rPr>
          <w:sz w:val="20"/>
          <w:lang w:val="en-GB"/>
        </w:rPr>
      </w:pPr>
    </w:p>
    <w:p w14:paraId="1AD9834C" w14:textId="77777777" w:rsidR="00D065BF" w:rsidRPr="00CB4F3B" w:rsidRDefault="00D065BF" w:rsidP="0081747E">
      <w:pPr>
        <w:pStyle w:val="BodyTextMain"/>
        <w:widowControl w:val="0"/>
        <w:rPr>
          <w:sz w:val="20"/>
          <w:lang w:val="en-GB"/>
        </w:rPr>
      </w:pPr>
    </w:p>
    <w:p w14:paraId="258EC3F7" w14:textId="77777777" w:rsidR="00D065BF" w:rsidRPr="00CB4F3B" w:rsidRDefault="00D065BF" w:rsidP="0081747E">
      <w:pPr>
        <w:pStyle w:val="Casehead1"/>
        <w:widowControl w:val="0"/>
        <w:rPr>
          <w:lang w:val="en-GB"/>
        </w:rPr>
      </w:pPr>
      <w:r w:rsidRPr="00CB4F3B">
        <w:rPr>
          <w:lang w:val="en-GB"/>
        </w:rPr>
        <w:t>FUNSKOOL: THE GROWTH PHASE</w:t>
      </w:r>
    </w:p>
    <w:p w14:paraId="7100ADE6" w14:textId="77777777" w:rsidR="00D065BF" w:rsidRPr="00CB4F3B" w:rsidRDefault="00D065BF" w:rsidP="0081747E">
      <w:pPr>
        <w:pStyle w:val="BodyTextMain"/>
        <w:widowControl w:val="0"/>
        <w:rPr>
          <w:sz w:val="20"/>
          <w:lang w:val="en-GB"/>
        </w:rPr>
      </w:pPr>
    </w:p>
    <w:p w14:paraId="421C4239" w14:textId="4E8CDC03" w:rsidR="00D065BF" w:rsidRPr="00CB4F3B" w:rsidRDefault="00D065BF" w:rsidP="0081747E">
      <w:pPr>
        <w:pStyle w:val="BodyTextMain"/>
        <w:widowControl w:val="0"/>
        <w:rPr>
          <w:lang w:val="en-GB"/>
        </w:rPr>
      </w:pPr>
      <w:r w:rsidRPr="00CB4F3B">
        <w:rPr>
          <w:lang w:val="en-GB"/>
        </w:rPr>
        <w:t xml:space="preserve">In 1993, Oscar Braganza took over as chief executive officer (CEO) of the company. He initiated major changes in the existing marketing and pricing structures. The prices of toys were dropped to make them competitive in the Indian market. After this step, sales picked up slowly and the company broke even for the first time during FY 1994–95. </w:t>
      </w:r>
    </w:p>
    <w:p w14:paraId="51254D50" w14:textId="77777777" w:rsidR="00D065BF" w:rsidRPr="00CB4F3B" w:rsidRDefault="00D065BF" w:rsidP="0081747E">
      <w:pPr>
        <w:pStyle w:val="BodyTextMain"/>
        <w:widowControl w:val="0"/>
        <w:rPr>
          <w:sz w:val="20"/>
          <w:lang w:val="en-GB"/>
        </w:rPr>
      </w:pPr>
    </w:p>
    <w:p w14:paraId="1F13D047" w14:textId="195AE39A" w:rsidR="00D065BF" w:rsidRDefault="00D065BF" w:rsidP="0081747E">
      <w:pPr>
        <w:pStyle w:val="BodyTextMain"/>
        <w:widowControl w:val="0"/>
        <w:rPr>
          <w:lang w:val="en-GB"/>
        </w:rPr>
      </w:pPr>
      <w:r w:rsidRPr="00CB4F3B">
        <w:rPr>
          <w:lang w:val="en-GB"/>
        </w:rPr>
        <w:t>In 1995, Raphael Kurian took over as the new CEO of Funskool. The period after 1995 saw systems being put in place and the expansion of the distribution network. FY 1997–98 saw the establishment of a second manufacturing unit in Ranipet near Chennai. The company’s strategy during this period was to increase the company’s top line, but made no attempt to increase market share. Prices of most products, however, were set up to increase app</w:t>
      </w:r>
      <w:r w:rsidR="00783C90">
        <w:rPr>
          <w:lang w:val="en-GB"/>
        </w:rPr>
        <w:t>roximately 5 per cent annually.</w:t>
      </w:r>
    </w:p>
    <w:p w14:paraId="779E922E" w14:textId="77777777" w:rsidR="00783C90" w:rsidRPr="00CB4F3B" w:rsidRDefault="00783C90" w:rsidP="0081747E">
      <w:pPr>
        <w:pStyle w:val="BodyTextMain"/>
        <w:widowControl w:val="0"/>
        <w:rPr>
          <w:lang w:val="en-GB"/>
        </w:rPr>
      </w:pPr>
    </w:p>
    <w:p w14:paraId="562A01F1" w14:textId="22F388E9" w:rsidR="00D065BF" w:rsidRPr="00CB4F3B" w:rsidRDefault="00D065BF" w:rsidP="0081747E">
      <w:pPr>
        <w:pStyle w:val="BodyTextMain"/>
        <w:widowControl w:val="0"/>
        <w:rPr>
          <w:lang w:val="en-GB"/>
        </w:rPr>
      </w:pPr>
      <w:r w:rsidRPr="00CB4F3B">
        <w:rPr>
          <w:lang w:val="en-GB"/>
        </w:rPr>
        <w:lastRenderedPageBreak/>
        <w:t>In the early 2000s, popular cartoon animations from past and present gained immense popularity on Indian television, including Tom and Jerry,</w:t>
      </w:r>
      <w:r w:rsidR="00CB4F3B" w:rsidRPr="00CB4F3B">
        <w:rPr>
          <w:lang w:val="en-GB"/>
        </w:rPr>
        <w:t xml:space="preserve"> </w:t>
      </w:r>
      <w:r w:rsidRPr="00CB4F3B">
        <w:rPr>
          <w:lang w:val="en-GB"/>
        </w:rPr>
        <w:t>Donald Duck, Mickey Mouse, Digimon, Bob the Builder, Pokémon, Power</w:t>
      </w:r>
      <w:r w:rsidR="006066A2">
        <w:rPr>
          <w:lang w:val="en-GB"/>
        </w:rPr>
        <w:t>p</w:t>
      </w:r>
      <w:r w:rsidRPr="00CB4F3B">
        <w:rPr>
          <w:lang w:val="en-GB"/>
        </w:rPr>
        <w:t xml:space="preserve">uff Girls, and Power Rangers. This </w:t>
      </w:r>
      <w:r w:rsidR="00D53078">
        <w:rPr>
          <w:lang w:val="en-GB"/>
        </w:rPr>
        <w:t xml:space="preserve">trend </w:t>
      </w:r>
      <w:r w:rsidRPr="00CB4F3B">
        <w:rPr>
          <w:lang w:val="en-GB"/>
        </w:rPr>
        <w:t xml:space="preserve">led to an increase in demand for toys </w:t>
      </w:r>
      <w:r w:rsidR="00D53078">
        <w:rPr>
          <w:lang w:val="en-GB"/>
        </w:rPr>
        <w:t>based on</w:t>
      </w:r>
      <w:r w:rsidR="00D53078" w:rsidRPr="00CB4F3B">
        <w:rPr>
          <w:lang w:val="en-GB"/>
        </w:rPr>
        <w:t xml:space="preserve"> </w:t>
      </w:r>
      <w:r w:rsidRPr="00CB4F3B">
        <w:rPr>
          <w:lang w:val="en-GB"/>
        </w:rPr>
        <w:t xml:space="preserve">various cartoon characters. Funskool was quick to capitalize on this wave and started manufacturing these toys through licensing agreements with other international toymakers. Funskool obtained </w:t>
      </w:r>
      <w:r w:rsidR="00D53078" w:rsidRPr="00CB4F3B">
        <w:rPr>
          <w:lang w:val="en-GB"/>
        </w:rPr>
        <w:t>licen</w:t>
      </w:r>
      <w:r w:rsidR="00D53078">
        <w:rPr>
          <w:lang w:val="en-GB"/>
        </w:rPr>
        <w:t>c</w:t>
      </w:r>
      <w:r w:rsidR="00D53078" w:rsidRPr="00CB4F3B">
        <w:rPr>
          <w:lang w:val="en-GB"/>
        </w:rPr>
        <w:t xml:space="preserve">es </w:t>
      </w:r>
      <w:r w:rsidRPr="00CB4F3B">
        <w:rPr>
          <w:lang w:val="en-GB"/>
        </w:rPr>
        <w:t>to make toys such as Bob the Builder, Pokémon, Power</w:t>
      </w:r>
      <w:r w:rsidR="00E15C37">
        <w:rPr>
          <w:lang w:val="en-GB"/>
        </w:rPr>
        <w:t>p</w:t>
      </w:r>
      <w:r w:rsidRPr="00CB4F3B">
        <w:rPr>
          <w:lang w:val="en-GB"/>
        </w:rPr>
        <w:t xml:space="preserve">uff Girls, and Thomas the Tank Engine. </w:t>
      </w:r>
    </w:p>
    <w:p w14:paraId="249965B3" w14:textId="77777777" w:rsidR="00D065BF" w:rsidRPr="00CB4F3B" w:rsidRDefault="00D065BF" w:rsidP="0081747E">
      <w:pPr>
        <w:pStyle w:val="BodyTextMain"/>
        <w:widowControl w:val="0"/>
        <w:rPr>
          <w:sz w:val="20"/>
          <w:lang w:val="en-GB"/>
        </w:rPr>
      </w:pPr>
    </w:p>
    <w:p w14:paraId="2BDF5421" w14:textId="0DAC23CD" w:rsidR="00D065BF" w:rsidRPr="00CB4F3B" w:rsidRDefault="00E15C37" w:rsidP="0081747E">
      <w:pPr>
        <w:pStyle w:val="BodyTextMain"/>
        <w:widowControl w:val="0"/>
        <w:rPr>
          <w:lang w:val="en-GB"/>
        </w:rPr>
      </w:pPr>
      <w:r>
        <w:rPr>
          <w:lang w:val="en-GB"/>
        </w:rPr>
        <w:t xml:space="preserve">In 2000, </w:t>
      </w:r>
      <w:r w:rsidR="00D065BF" w:rsidRPr="00CB4F3B">
        <w:rPr>
          <w:lang w:val="en-GB"/>
        </w:rPr>
        <w:t xml:space="preserve">Funskool differentiated itself from other local manufacturers by adopting Bureau of Indian Standards (BIS) norms for </w:t>
      </w:r>
      <w:r w:rsidR="00D53078">
        <w:rPr>
          <w:lang w:val="en-GB"/>
        </w:rPr>
        <w:t xml:space="preserve">the </w:t>
      </w:r>
      <w:r w:rsidR="00D065BF" w:rsidRPr="00CB4F3B">
        <w:rPr>
          <w:lang w:val="en-GB"/>
        </w:rPr>
        <w:t xml:space="preserve">quality and safety of toys. Although the Indian government did not mandate adoption of </w:t>
      </w:r>
      <w:r w:rsidR="00641FA9">
        <w:rPr>
          <w:lang w:val="en-GB"/>
        </w:rPr>
        <w:t xml:space="preserve">these </w:t>
      </w:r>
      <w:r w:rsidR="00D065BF" w:rsidRPr="00CB4F3B">
        <w:rPr>
          <w:lang w:val="en-GB"/>
        </w:rPr>
        <w:t>standard</w:t>
      </w:r>
      <w:r w:rsidR="00641FA9">
        <w:rPr>
          <w:lang w:val="en-GB"/>
        </w:rPr>
        <w:t>s</w:t>
      </w:r>
      <w:r w:rsidR="00D065BF" w:rsidRPr="00CB4F3B">
        <w:rPr>
          <w:lang w:val="en-GB"/>
        </w:rPr>
        <w:t xml:space="preserve"> for the entire toy industry, Funskool decided that </w:t>
      </w:r>
      <w:r w:rsidR="009A2448">
        <w:rPr>
          <w:lang w:val="en-GB"/>
        </w:rPr>
        <w:t>voluntar</w:t>
      </w:r>
      <w:r w:rsidR="001C0F83">
        <w:rPr>
          <w:lang w:val="en-GB"/>
        </w:rPr>
        <w:t xml:space="preserve">y </w:t>
      </w:r>
      <w:r w:rsidR="009A2448">
        <w:rPr>
          <w:lang w:val="en-GB"/>
        </w:rPr>
        <w:t>compliance with</w:t>
      </w:r>
      <w:r w:rsidR="001C0F83">
        <w:rPr>
          <w:lang w:val="en-GB"/>
        </w:rPr>
        <w:t xml:space="preserve"> </w:t>
      </w:r>
      <w:r w:rsidR="00D065BF" w:rsidRPr="00CB4F3B">
        <w:rPr>
          <w:lang w:val="en-GB"/>
        </w:rPr>
        <w:t xml:space="preserve">the standards would help set the company’s products above low-priced toys. Explaining the rationale behind this move, Kurian, Funskool’s CEO at the time, remarked, “The BIS standards will help establish greater awareness levels among consumers while also increase the market share of organized players in the market.” As a result </w:t>
      </w:r>
      <w:r w:rsidR="009A2448">
        <w:rPr>
          <w:lang w:val="en-GB"/>
        </w:rPr>
        <w:t xml:space="preserve">being </w:t>
      </w:r>
      <w:r w:rsidR="00D065BF" w:rsidRPr="00CB4F3B">
        <w:rPr>
          <w:lang w:val="en-GB"/>
        </w:rPr>
        <w:t>BIS</w:t>
      </w:r>
      <w:r w:rsidR="009A2448">
        <w:rPr>
          <w:lang w:val="en-GB"/>
        </w:rPr>
        <w:t>-compliant</w:t>
      </w:r>
      <w:r w:rsidR="00D065BF" w:rsidRPr="00CB4F3B">
        <w:rPr>
          <w:lang w:val="en-GB"/>
        </w:rPr>
        <w:t xml:space="preserve">, Funskool was able to sign several export contracts from international firms such as John Adams Leisure Ltd. </w:t>
      </w:r>
    </w:p>
    <w:p w14:paraId="31AB3022" w14:textId="77777777" w:rsidR="00D065BF" w:rsidRPr="00CB4F3B" w:rsidRDefault="00D065BF" w:rsidP="0081747E">
      <w:pPr>
        <w:pStyle w:val="BodyTextMain"/>
        <w:widowControl w:val="0"/>
        <w:rPr>
          <w:sz w:val="20"/>
          <w:lang w:val="en-GB"/>
        </w:rPr>
      </w:pPr>
    </w:p>
    <w:p w14:paraId="0F626065" w14:textId="77777777" w:rsidR="00D065BF" w:rsidRPr="00CB4F3B" w:rsidRDefault="00D065BF" w:rsidP="0081747E">
      <w:pPr>
        <w:pStyle w:val="BodyTextMain"/>
        <w:widowControl w:val="0"/>
        <w:rPr>
          <w:sz w:val="20"/>
          <w:lang w:val="en-GB"/>
        </w:rPr>
      </w:pPr>
    </w:p>
    <w:p w14:paraId="4C18C693" w14:textId="77777777" w:rsidR="00D065BF" w:rsidRPr="00CB4F3B" w:rsidRDefault="00D065BF" w:rsidP="0081747E">
      <w:pPr>
        <w:pStyle w:val="Casehead1"/>
        <w:widowControl w:val="0"/>
        <w:rPr>
          <w:lang w:val="en-GB"/>
        </w:rPr>
      </w:pPr>
      <w:r w:rsidRPr="00CB4F3B">
        <w:rPr>
          <w:lang w:val="en-GB"/>
        </w:rPr>
        <w:t>FUNSKOOL: STRATEGIC SHIFT</w:t>
      </w:r>
    </w:p>
    <w:p w14:paraId="6D86E4F8" w14:textId="77777777" w:rsidR="00D065BF" w:rsidRPr="00CB4F3B" w:rsidRDefault="00D065BF" w:rsidP="0081747E">
      <w:pPr>
        <w:pStyle w:val="BodyTextMain"/>
        <w:widowControl w:val="0"/>
        <w:rPr>
          <w:sz w:val="20"/>
          <w:lang w:val="en-GB"/>
        </w:rPr>
      </w:pPr>
    </w:p>
    <w:p w14:paraId="6B0AE9B0" w14:textId="1FE63768" w:rsidR="00D065BF" w:rsidRPr="00CB4F3B" w:rsidRDefault="00D065BF" w:rsidP="0081747E">
      <w:pPr>
        <w:pStyle w:val="BodyTextMain"/>
        <w:widowControl w:val="0"/>
        <w:rPr>
          <w:lang w:val="en-GB"/>
        </w:rPr>
      </w:pPr>
      <w:r w:rsidRPr="00CB4F3B">
        <w:rPr>
          <w:lang w:val="en-GB"/>
        </w:rPr>
        <w:t>In 2006, Baby was appointed the new CEO of Funskool and made many strategic decisions to turn the company into a force in the Indian toy industry. Until then, Funskool had relied heavily on licensed toys for its revenues and growth, but Baby took initiatives aimed at building Funskool’s own brand, apart from the Hasbro line of products. Funskool started manufacturing its own branded puzzles of famous cartoon characters, such as Scooby</w:t>
      </w:r>
      <w:r w:rsidR="001C0F83">
        <w:rPr>
          <w:lang w:val="en-GB"/>
        </w:rPr>
        <w:t>-</w:t>
      </w:r>
      <w:r w:rsidRPr="00CB4F3B">
        <w:rPr>
          <w:lang w:val="en-GB"/>
        </w:rPr>
        <w:t>Doo. Baby explained the importance of increasing the company’s market share: “You go to a distributor, you go to a seller; if you don’t have substantial market share, nobody gives you value. This is why I think market share is important. Once you have market share, you can afford to increase the price of your toys, but this doesn’t work the other way around.”</w:t>
      </w:r>
    </w:p>
    <w:p w14:paraId="1CB3FED9" w14:textId="77777777" w:rsidR="00D065BF" w:rsidRPr="00CB4F3B" w:rsidRDefault="00D065BF" w:rsidP="0081747E">
      <w:pPr>
        <w:pStyle w:val="BodyTextMain"/>
        <w:widowControl w:val="0"/>
        <w:rPr>
          <w:sz w:val="20"/>
          <w:lang w:val="en-GB"/>
        </w:rPr>
      </w:pPr>
    </w:p>
    <w:p w14:paraId="404492B0" w14:textId="34B750D2" w:rsidR="00D065BF" w:rsidRPr="00C633DC" w:rsidRDefault="00D065BF" w:rsidP="0081747E">
      <w:pPr>
        <w:pStyle w:val="BodyTextMain"/>
        <w:widowControl w:val="0"/>
        <w:rPr>
          <w:lang w:val="en-GB"/>
        </w:rPr>
      </w:pPr>
      <w:r w:rsidRPr="00C633DC">
        <w:rPr>
          <w:lang w:val="en-GB"/>
        </w:rPr>
        <w:t xml:space="preserve">In line with this strategic shift, the company abandoned it decision to routinely apply an annual price increase of 5 per cent. In addition to launching newer brands under the Funskool banner, the company started focusing on obtaining many more </w:t>
      </w:r>
      <w:r w:rsidR="00E15C37" w:rsidRPr="00C633DC">
        <w:rPr>
          <w:lang w:val="en-GB"/>
        </w:rPr>
        <w:t xml:space="preserve">licences </w:t>
      </w:r>
      <w:r w:rsidRPr="00C633DC">
        <w:rPr>
          <w:lang w:val="en-GB"/>
        </w:rPr>
        <w:t xml:space="preserve">for manufacturing or distribution from reputed international toy companies other than Hasbro. Baby was instrumental in setting up an exclusive design department to develop new products—a first for an Indian toy manufacturer. The company started promoting its products in toy fairs, both within and outside India. Approximately 4–8 per cent of annual revenues were allocated to marketing. Television commercials, display boards in central locations and malls, and store promotions became the company’s main channels for advertisement. By 2010, revenues had shot up to </w:t>
      </w:r>
      <w:r w:rsidRPr="00C633DC">
        <w:rPr>
          <w:rFonts w:ascii="Arial" w:hAnsi="Arial" w:cs="Arial"/>
          <w:sz w:val="20"/>
          <w:szCs w:val="20"/>
          <w:lang w:val="en-GB"/>
        </w:rPr>
        <w:t>₹</w:t>
      </w:r>
      <w:r w:rsidRPr="00C633DC">
        <w:rPr>
          <w:lang w:val="en-GB"/>
        </w:rPr>
        <w:t>650 million, with about 90 per cent of revenues coming from the Hasbro product line and other licensed products. To strengthen its reach, Funskool developed a strong sales and distribution network</w:t>
      </w:r>
      <w:r w:rsidR="00E15C37" w:rsidRPr="00C633DC">
        <w:rPr>
          <w:lang w:val="en-GB"/>
        </w:rPr>
        <w:t>,</w:t>
      </w:r>
      <w:r w:rsidRPr="00C633DC">
        <w:rPr>
          <w:lang w:val="en-GB"/>
        </w:rPr>
        <w:t xml:space="preserve"> </w:t>
      </w:r>
      <w:r w:rsidR="00E15C37" w:rsidRPr="00C633DC">
        <w:rPr>
          <w:lang w:val="en-GB"/>
        </w:rPr>
        <w:t xml:space="preserve">including </w:t>
      </w:r>
      <w:r w:rsidRPr="00C633DC">
        <w:rPr>
          <w:lang w:val="en-GB"/>
        </w:rPr>
        <w:t xml:space="preserve">four regional sales offices in New Delhi, Mumbai, Chennai, and Kolkata, as well as 18 carrying-and-forwarding agents that catered to over 100 stockists and 4,500 retail stores. </w:t>
      </w:r>
    </w:p>
    <w:p w14:paraId="21BC4B32" w14:textId="77777777" w:rsidR="00D065BF" w:rsidRPr="00CB4F3B" w:rsidRDefault="00D065BF" w:rsidP="0081747E">
      <w:pPr>
        <w:pStyle w:val="BodyTextMain"/>
        <w:widowControl w:val="0"/>
        <w:rPr>
          <w:sz w:val="20"/>
          <w:lang w:val="en-GB"/>
        </w:rPr>
      </w:pPr>
    </w:p>
    <w:p w14:paraId="4F9D8E29" w14:textId="104C1D6E" w:rsidR="00D065BF" w:rsidRPr="00CB4F3B" w:rsidRDefault="00D065BF" w:rsidP="0081747E">
      <w:pPr>
        <w:pStyle w:val="BodyTextMain"/>
        <w:widowControl w:val="0"/>
        <w:rPr>
          <w:lang w:val="en-GB"/>
        </w:rPr>
      </w:pPr>
      <w:r w:rsidRPr="00CB4F3B">
        <w:rPr>
          <w:lang w:val="en-GB"/>
        </w:rPr>
        <w:t xml:space="preserve">In 2013, the company expanded into the retail space by launching outlets across the country. Its first store, in Chennai, exclusively offered the Lego range of toys. The success of this store provided the confidence to plan its retail thrust. By 2016, the company had 20 stores, all operating on the franchisee model, and </w:t>
      </w:r>
      <w:r w:rsidR="00E15C37" w:rsidRPr="00CB4F3B">
        <w:rPr>
          <w:lang w:val="en-GB"/>
        </w:rPr>
        <w:t>plan</w:t>
      </w:r>
      <w:r w:rsidR="00E15C37">
        <w:rPr>
          <w:lang w:val="en-GB"/>
        </w:rPr>
        <w:t>ned</w:t>
      </w:r>
      <w:r w:rsidR="00E15C37" w:rsidRPr="00CB4F3B">
        <w:rPr>
          <w:lang w:val="en-GB"/>
        </w:rPr>
        <w:t xml:space="preserve"> </w:t>
      </w:r>
      <w:r w:rsidRPr="00CB4F3B">
        <w:rPr>
          <w:lang w:val="en-GB"/>
        </w:rPr>
        <w:t xml:space="preserve">to </w:t>
      </w:r>
      <w:r w:rsidR="00E15C37">
        <w:rPr>
          <w:lang w:val="en-GB"/>
        </w:rPr>
        <w:t>add</w:t>
      </w:r>
      <w:r w:rsidRPr="00CB4F3B">
        <w:rPr>
          <w:lang w:val="en-GB"/>
        </w:rPr>
        <w:t xml:space="preserve"> 10 stores every year for the next three years in Tier </w:t>
      </w:r>
      <w:r w:rsidR="00E15C37">
        <w:rPr>
          <w:lang w:val="en-GB"/>
        </w:rPr>
        <w:t>2</w:t>
      </w:r>
      <w:r w:rsidR="00E15C37" w:rsidRPr="00CB4F3B">
        <w:rPr>
          <w:lang w:val="en-GB"/>
        </w:rPr>
        <w:t xml:space="preserve"> </w:t>
      </w:r>
      <w:r w:rsidRPr="00CB4F3B">
        <w:rPr>
          <w:lang w:val="en-GB"/>
        </w:rPr>
        <w:t>cities.</w:t>
      </w:r>
      <w:r w:rsidRPr="00CB4F3B">
        <w:rPr>
          <w:rStyle w:val="FootnoteReference"/>
          <w:lang w:val="en-GB"/>
        </w:rPr>
        <w:footnoteReference w:id="3"/>
      </w:r>
      <w:r w:rsidRPr="00CB4F3B">
        <w:rPr>
          <w:lang w:val="en-GB"/>
        </w:rPr>
        <w:t xml:space="preserve"> In metro cities, the company had adopted a multi-brand retail channel, finding that people had plenty of options and were increasingly shopping at malls and supermarkets. Besides expanding its physical presence, Funskool also worked closely with leading Internet retailers such as Amazon and Flipkart to reach new customers.</w:t>
      </w:r>
    </w:p>
    <w:p w14:paraId="7EDFFEB1" w14:textId="77777777" w:rsidR="00D065BF" w:rsidRPr="00CB4F3B" w:rsidRDefault="00D065BF" w:rsidP="0081747E">
      <w:pPr>
        <w:pStyle w:val="Casehead1"/>
        <w:keepNext/>
        <w:widowControl w:val="0"/>
        <w:rPr>
          <w:lang w:val="en-GB"/>
        </w:rPr>
      </w:pPr>
      <w:r w:rsidRPr="00CB4F3B">
        <w:rPr>
          <w:lang w:val="en-GB"/>
        </w:rPr>
        <w:lastRenderedPageBreak/>
        <w:t xml:space="preserve">INDIAN TOY INDUSTRY </w:t>
      </w:r>
    </w:p>
    <w:p w14:paraId="723AB7F8" w14:textId="77777777" w:rsidR="00D065BF" w:rsidRPr="00CB4F3B" w:rsidRDefault="00D065BF" w:rsidP="0081747E">
      <w:pPr>
        <w:pStyle w:val="BodyTextMain"/>
        <w:keepNext/>
        <w:widowControl w:val="0"/>
        <w:rPr>
          <w:sz w:val="20"/>
          <w:lang w:val="en-GB"/>
        </w:rPr>
      </w:pPr>
    </w:p>
    <w:p w14:paraId="51B0A60B" w14:textId="5311CC38" w:rsidR="00D065BF" w:rsidRPr="00CB4F3B" w:rsidRDefault="00D065BF" w:rsidP="0081747E">
      <w:pPr>
        <w:pStyle w:val="BodyTextMain"/>
        <w:keepNext/>
        <w:widowControl w:val="0"/>
        <w:rPr>
          <w:rFonts w:ascii="Arial" w:hAnsi="Arial" w:cs="Arial"/>
          <w:lang w:val="en-GB"/>
        </w:rPr>
      </w:pPr>
      <w:r w:rsidRPr="00CB4F3B">
        <w:rPr>
          <w:lang w:val="en-GB"/>
        </w:rPr>
        <w:t>In 2016, the size of the Indian toy industry was close</w:t>
      </w:r>
      <w:r w:rsidRPr="00757EC9">
        <w:rPr>
          <w:rFonts w:ascii="Arial" w:hAnsi="Arial" w:cs="Arial"/>
          <w:spacing w:val="-4"/>
          <w:sz w:val="20"/>
          <w:szCs w:val="20"/>
          <w:lang w:val="en-GB"/>
        </w:rPr>
        <w:t xml:space="preserve"> </w:t>
      </w:r>
      <w:r w:rsidRPr="008E1417">
        <w:rPr>
          <w:lang w:val="en-GB"/>
        </w:rPr>
        <w:t>to</w:t>
      </w:r>
      <w:r w:rsidRPr="00CB4F3B">
        <w:rPr>
          <w:lang w:val="en-GB"/>
        </w:rPr>
        <w:t xml:space="preserve"> </w:t>
      </w:r>
      <w:r w:rsidRPr="00757EC9">
        <w:rPr>
          <w:rFonts w:ascii="Arial" w:hAnsi="Arial" w:cs="Arial"/>
          <w:spacing w:val="-4"/>
          <w:sz w:val="20"/>
          <w:szCs w:val="20"/>
          <w:lang w:val="en-GB"/>
        </w:rPr>
        <w:t>₹</w:t>
      </w:r>
      <w:r w:rsidRPr="00CB4F3B">
        <w:rPr>
          <w:lang w:val="en-GB"/>
        </w:rPr>
        <w:t>56 billion (US$850 million),</w:t>
      </w:r>
      <w:r w:rsidRPr="00CB4F3B">
        <w:rPr>
          <w:rStyle w:val="FootnoteReference"/>
          <w:lang w:val="en-GB"/>
        </w:rPr>
        <w:footnoteReference w:id="4"/>
      </w:r>
      <w:r w:rsidRPr="00CB4F3B">
        <w:rPr>
          <w:lang w:val="en-GB"/>
        </w:rPr>
        <w:t xml:space="preserve"> while the global market size for toys and games was close to US$90 billion</w:t>
      </w:r>
      <w:bookmarkStart w:id="0" w:name="_Ref497683623"/>
      <w:r w:rsidRPr="00CB4F3B">
        <w:rPr>
          <w:lang w:val="en-GB"/>
        </w:rPr>
        <w:t>.</w:t>
      </w:r>
      <w:r w:rsidRPr="00CB4F3B">
        <w:rPr>
          <w:rStyle w:val="FootnoteReference"/>
          <w:lang w:val="en-GB"/>
        </w:rPr>
        <w:footnoteReference w:id="5"/>
      </w:r>
      <w:bookmarkEnd w:id="0"/>
      <w:r w:rsidRPr="00CB4F3B">
        <w:rPr>
          <w:lang w:val="en-GB"/>
        </w:rPr>
        <w:t xml:space="preserve"> During the period of 2010–2015, global sales for toys grew at a compounded annual growth rate of about 4.5 per cent, but the Indian toy market grew at more than 10 per cent.</w:t>
      </w:r>
      <w:r w:rsidRPr="00CB4F3B">
        <w:rPr>
          <w:rStyle w:val="FootnoteReference"/>
          <w:lang w:val="en-GB"/>
        </w:rPr>
        <w:footnoteReference w:id="6"/>
      </w:r>
      <w:r w:rsidRPr="00CB4F3B">
        <w:rPr>
          <w:lang w:val="en-GB"/>
        </w:rPr>
        <w:t xml:space="preserve"> This rapid growth was attributable to a considerable increase in disposable incomes and a significant percentage</w:t>
      </w:r>
      <w:r w:rsidR="008E1417" w:rsidRPr="00CB4F3B">
        <w:rPr>
          <w:lang w:val="en-GB"/>
        </w:rPr>
        <w:t xml:space="preserve"> </w:t>
      </w:r>
      <w:r w:rsidRPr="00CB4F3B">
        <w:rPr>
          <w:lang w:val="en-GB"/>
        </w:rPr>
        <w:t xml:space="preserve">of the country’s population being under age 14. India’s per capita consumption of toys was well below </w:t>
      </w:r>
      <w:r w:rsidR="00CA6D5C">
        <w:rPr>
          <w:lang w:val="en-GB"/>
        </w:rPr>
        <w:t xml:space="preserve">that of </w:t>
      </w:r>
      <w:r w:rsidRPr="00CB4F3B">
        <w:rPr>
          <w:lang w:val="en-GB"/>
        </w:rPr>
        <w:t xml:space="preserve">most countries (see Exhibit 2). Even so, the Indian toy industry was expected to reach </w:t>
      </w:r>
      <w:r w:rsidRPr="00757EC9">
        <w:rPr>
          <w:rFonts w:ascii="Arial" w:hAnsi="Arial" w:cs="Arial"/>
          <w:spacing w:val="-4"/>
          <w:sz w:val="20"/>
          <w:szCs w:val="20"/>
          <w:lang w:val="en-GB"/>
        </w:rPr>
        <w:t>₹</w:t>
      </w:r>
      <w:r w:rsidRPr="00CB4F3B">
        <w:rPr>
          <w:lang w:val="en-GB"/>
        </w:rPr>
        <w:t>117 billion by 2020.</w:t>
      </w:r>
      <w:r w:rsidRPr="00CB4F3B">
        <w:rPr>
          <w:rStyle w:val="FootnoteReference"/>
          <w:lang w:val="en-GB"/>
        </w:rPr>
        <w:footnoteReference w:id="7"/>
      </w:r>
      <w:r w:rsidRPr="00CB4F3B">
        <w:rPr>
          <w:lang w:val="en-GB"/>
        </w:rPr>
        <w:t xml:space="preserve"> </w:t>
      </w:r>
    </w:p>
    <w:p w14:paraId="00DEE511" w14:textId="77777777" w:rsidR="00D065BF" w:rsidRPr="00CB4F3B" w:rsidRDefault="00D065BF" w:rsidP="0081747E">
      <w:pPr>
        <w:pStyle w:val="BodyTextMain"/>
        <w:widowControl w:val="0"/>
        <w:rPr>
          <w:sz w:val="20"/>
          <w:lang w:val="en-GB"/>
        </w:rPr>
      </w:pPr>
    </w:p>
    <w:p w14:paraId="02067454" w14:textId="78A00B64" w:rsidR="00D065BF" w:rsidRPr="00CB4F3B" w:rsidRDefault="00D065BF" w:rsidP="0081747E">
      <w:pPr>
        <w:pStyle w:val="BodyTextMain"/>
        <w:widowControl w:val="0"/>
        <w:rPr>
          <w:spacing w:val="-2"/>
          <w:lang w:val="en-GB"/>
        </w:rPr>
      </w:pPr>
      <w:r w:rsidRPr="00CB4F3B">
        <w:rPr>
          <w:spacing w:val="-2"/>
          <w:lang w:val="en-GB"/>
        </w:rPr>
        <w:t>The toy industry was highly fragmented, with nearly 75 per cent of the industry market share captured by unorganized companies.</w:t>
      </w:r>
      <w:r w:rsidRPr="00CB4F3B">
        <w:rPr>
          <w:rStyle w:val="FootnoteReference"/>
          <w:spacing w:val="-2"/>
          <w:lang w:val="en-GB"/>
        </w:rPr>
        <w:footnoteReference w:id="8"/>
      </w:r>
      <w:r w:rsidRPr="00CB4F3B">
        <w:rPr>
          <w:spacing w:val="-2"/>
          <w:lang w:val="en-GB"/>
        </w:rPr>
        <w:t xml:space="preserve"> The unorganized toy industry in India was dominated by low-priced imports, mainly from China, which accounted for approximately 70 per cent of </w:t>
      </w:r>
      <w:r w:rsidR="00DE1D3C">
        <w:rPr>
          <w:spacing w:val="-2"/>
          <w:lang w:val="en-GB"/>
        </w:rPr>
        <w:t xml:space="preserve">India’s </w:t>
      </w:r>
      <w:r w:rsidRPr="00CB4F3B">
        <w:rPr>
          <w:spacing w:val="-2"/>
          <w:lang w:val="en-GB"/>
        </w:rPr>
        <w:t>total imports of toys. The rest of the imports were from Italy and the United States. The majority of toys sold in the unorganized sector had little product differentiation, poor safety</w:t>
      </w:r>
      <w:r w:rsidR="00B77542">
        <w:rPr>
          <w:spacing w:val="-2"/>
          <w:lang w:val="en-GB"/>
        </w:rPr>
        <w:t xml:space="preserve"> </w:t>
      </w:r>
      <w:r w:rsidRPr="00CB4F3B">
        <w:rPr>
          <w:spacing w:val="-2"/>
          <w:lang w:val="en-GB"/>
        </w:rPr>
        <w:t>and</w:t>
      </w:r>
      <w:r w:rsidR="00B77542">
        <w:rPr>
          <w:spacing w:val="-2"/>
          <w:lang w:val="en-GB"/>
        </w:rPr>
        <w:t xml:space="preserve"> </w:t>
      </w:r>
      <w:r w:rsidRPr="00CB4F3B">
        <w:rPr>
          <w:spacing w:val="-2"/>
          <w:lang w:val="en-GB"/>
        </w:rPr>
        <w:t xml:space="preserve">quality standards, and competed heavily on price. These toys catered to a large section of price-conscious Indian buyers who sought economical and affordable goods. </w:t>
      </w:r>
    </w:p>
    <w:p w14:paraId="4CA96201" w14:textId="77777777" w:rsidR="00D065BF" w:rsidRPr="00CB4F3B" w:rsidRDefault="00D065BF" w:rsidP="0081747E">
      <w:pPr>
        <w:pStyle w:val="BodyTextMain"/>
        <w:widowControl w:val="0"/>
        <w:rPr>
          <w:sz w:val="20"/>
          <w:lang w:val="en-GB"/>
        </w:rPr>
      </w:pPr>
    </w:p>
    <w:p w14:paraId="19219B24" w14:textId="0B7DB752" w:rsidR="00D065BF" w:rsidRPr="00CB4F3B" w:rsidRDefault="00D065BF" w:rsidP="0081747E">
      <w:pPr>
        <w:pStyle w:val="BodyTextMain"/>
        <w:widowControl w:val="0"/>
        <w:rPr>
          <w:lang w:val="en-GB"/>
        </w:rPr>
      </w:pPr>
      <w:r w:rsidRPr="00CB4F3B">
        <w:rPr>
          <w:lang w:val="en-GB"/>
        </w:rPr>
        <w:t xml:space="preserve">Organized companies saw their market share increase mainly after 2010, when </w:t>
      </w:r>
      <w:r w:rsidR="00DE1D3C">
        <w:rPr>
          <w:lang w:val="en-GB"/>
        </w:rPr>
        <w:t>numerous</w:t>
      </w:r>
      <w:r w:rsidRPr="00CB4F3B">
        <w:rPr>
          <w:lang w:val="en-GB"/>
        </w:rPr>
        <w:t xml:space="preserve"> international toymakers made a foray into the Indian toy industry. A demographic conducive to growth </w:t>
      </w:r>
      <w:r w:rsidR="00DE1D3C">
        <w:rPr>
          <w:lang w:val="en-GB"/>
        </w:rPr>
        <w:t xml:space="preserve">and </w:t>
      </w:r>
      <w:r w:rsidRPr="00CB4F3B">
        <w:rPr>
          <w:lang w:val="en-GB"/>
        </w:rPr>
        <w:t>Indian parents</w:t>
      </w:r>
      <w:r w:rsidR="00DE1D3C">
        <w:rPr>
          <w:lang w:val="en-GB"/>
        </w:rPr>
        <w:t>’ shift</w:t>
      </w:r>
      <w:r w:rsidRPr="00CB4F3B">
        <w:rPr>
          <w:lang w:val="en-GB"/>
        </w:rPr>
        <w:t xml:space="preserve"> toward educational toys </w:t>
      </w:r>
      <w:r w:rsidR="00DE1D3C">
        <w:rPr>
          <w:lang w:val="en-GB"/>
        </w:rPr>
        <w:t>led to</w:t>
      </w:r>
      <w:r w:rsidRPr="00CB4F3B">
        <w:rPr>
          <w:lang w:val="en-GB"/>
        </w:rPr>
        <w:t xml:space="preserve"> a demand for quality. The availability of online channels also increased parents’ awareness regarding the benefits of quality toys, including their value and their role in the wholesome development of a child. All the players in the organized space operated in the mid-</w:t>
      </w:r>
      <w:r w:rsidR="00DE1D3C">
        <w:rPr>
          <w:lang w:val="en-GB"/>
        </w:rPr>
        <w:t xml:space="preserve"> </w:t>
      </w:r>
      <w:r w:rsidRPr="00CB4F3B">
        <w:rPr>
          <w:lang w:val="en-GB"/>
        </w:rPr>
        <w:t>to</w:t>
      </w:r>
      <w:r w:rsidR="00DE1D3C">
        <w:rPr>
          <w:lang w:val="en-GB"/>
        </w:rPr>
        <w:t xml:space="preserve"> </w:t>
      </w:r>
      <w:r w:rsidRPr="00CB4F3B">
        <w:rPr>
          <w:lang w:val="en-GB"/>
        </w:rPr>
        <w:t>premium</w:t>
      </w:r>
      <w:r w:rsidR="00DE1D3C">
        <w:rPr>
          <w:lang w:val="en-GB"/>
        </w:rPr>
        <w:t>-</w:t>
      </w:r>
      <w:r w:rsidRPr="00CB4F3B">
        <w:rPr>
          <w:lang w:val="en-GB"/>
        </w:rPr>
        <w:t>price category.</w:t>
      </w:r>
      <w:r w:rsidR="00CB4F3B" w:rsidRPr="00CB4F3B">
        <w:rPr>
          <w:lang w:val="en-GB"/>
        </w:rPr>
        <w:t xml:space="preserve"> </w:t>
      </w:r>
    </w:p>
    <w:p w14:paraId="394965FB" w14:textId="77777777" w:rsidR="00D065BF" w:rsidRPr="00CB4F3B" w:rsidRDefault="00D065BF" w:rsidP="0081747E">
      <w:pPr>
        <w:pStyle w:val="BodyTextMain"/>
        <w:widowControl w:val="0"/>
        <w:rPr>
          <w:sz w:val="20"/>
          <w:lang w:val="en-GB"/>
        </w:rPr>
      </w:pPr>
    </w:p>
    <w:p w14:paraId="4FDA26F9" w14:textId="70EE8D18" w:rsidR="00D065BF" w:rsidRPr="00C633DC" w:rsidRDefault="00D065BF" w:rsidP="0081747E">
      <w:pPr>
        <w:pStyle w:val="BodyTextMain"/>
        <w:widowControl w:val="0"/>
        <w:rPr>
          <w:lang w:val="en-GB"/>
        </w:rPr>
      </w:pPr>
      <w:r w:rsidRPr="00C633DC">
        <w:rPr>
          <w:lang w:val="en-GB"/>
        </w:rPr>
        <w:t xml:space="preserve">The toy industry was broadly divided into two segments: traditional toys and games, </w:t>
      </w:r>
      <w:r w:rsidR="00A27DE3" w:rsidRPr="00C633DC">
        <w:rPr>
          <w:lang w:val="en-GB"/>
        </w:rPr>
        <w:t xml:space="preserve">with the latter </w:t>
      </w:r>
      <w:r w:rsidRPr="00C633DC">
        <w:rPr>
          <w:lang w:val="en-GB"/>
        </w:rPr>
        <w:t xml:space="preserve">including video games. In 2015, the traditional segment had a market share of around 64 per cent. However, it was growing at a slow rate. Conversely, the video game category had a market share of </w:t>
      </w:r>
      <w:r w:rsidR="00DE1D3C" w:rsidRPr="00C633DC">
        <w:rPr>
          <w:lang w:val="en-GB"/>
        </w:rPr>
        <w:t xml:space="preserve">only </w:t>
      </w:r>
      <w:r w:rsidRPr="00C633DC">
        <w:rPr>
          <w:lang w:val="en-GB"/>
        </w:rPr>
        <w:t>around 36 per cent, but it was witnessing exponential growth and was expected to surpass the traditional toy segment by 2018.</w:t>
      </w:r>
      <w:r w:rsidRPr="00C633DC">
        <w:rPr>
          <w:rStyle w:val="FootnoteReference"/>
          <w:lang w:val="en-GB"/>
        </w:rPr>
        <w:footnoteReference w:id="9"/>
      </w:r>
      <w:r w:rsidRPr="00C633DC">
        <w:rPr>
          <w:lang w:val="en-GB"/>
        </w:rPr>
        <w:t xml:space="preserve"> The traditional toy category was divided into two segments: educational and recreational. In 2015, educational toys contributed 20–25 per cent of market share, whereas recreational toys accounted for 75–80 per cent of all traditional toys.</w:t>
      </w:r>
      <w:r w:rsidRPr="00C633DC">
        <w:rPr>
          <w:rStyle w:val="FootnoteReference"/>
          <w:lang w:val="en-GB"/>
        </w:rPr>
        <w:footnoteReference w:id="10"/>
      </w:r>
      <w:r w:rsidRPr="00C633DC">
        <w:rPr>
          <w:lang w:val="en-GB"/>
        </w:rPr>
        <w:t xml:space="preserve"> The toys could also be segmented on the basis of the materials used for manufacturing: plastic and cardboard toys (e.g., board games and other games), electronic toys (e.g., video games and remote-controlled toys), battery-operated toys (e.g., small cars and robots), and plastic and soft toys (e.g., puppets and dolls). </w:t>
      </w:r>
    </w:p>
    <w:p w14:paraId="668C209C" w14:textId="77777777" w:rsidR="00D065BF" w:rsidRPr="00CB4F3B" w:rsidRDefault="00D065BF" w:rsidP="0081747E">
      <w:pPr>
        <w:pStyle w:val="BodyTextMain"/>
        <w:widowControl w:val="0"/>
        <w:rPr>
          <w:sz w:val="20"/>
          <w:lang w:val="en-GB"/>
        </w:rPr>
      </w:pPr>
    </w:p>
    <w:p w14:paraId="7F1601A9" w14:textId="470240B9" w:rsidR="00D065BF" w:rsidRPr="00CB4F3B" w:rsidRDefault="00D065BF" w:rsidP="0081747E">
      <w:pPr>
        <w:pStyle w:val="BodyTextMain"/>
        <w:widowControl w:val="0"/>
        <w:rPr>
          <w:lang w:val="en-GB"/>
        </w:rPr>
      </w:pPr>
      <w:r w:rsidRPr="00CB4F3B">
        <w:rPr>
          <w:lang w:val="en-GB"/>
        </w:rPr>
        <w:t>The Indian toy market was challenging</w:t>
      </w:r>
      <w:r w:rsidR="00A27DE3">
        <w:rPr>
          <w:lang w:val="en-GB"/>
        </w:rPr>
        <w:t>,</w:t>
      </w:r>
      <w:r w:rsidRPr="00CB4F3B">
        <w:rPr>
          <w:lang w:val="en-GB"/>
        </w:rPr>
        <w:t xml:space="preserve"> due to consumers’ extreme price sensitivity. Despite an increase in disposable incomes, per capita spending on toys and games in India was well below </w:t>
      </w:r>
      <w:r w:rsidR="00DE1D3C">
        <w:rPr>
          <w:lang w:val="en-GB"/>
        </w:rPr>
        <w:t xml:space="preserve">that of </w:t>
      </w:r>
      <w:r w:rsidRPr="00CB4F3B">
        <w:rPr>
          <w:lang w:val="en-GB"/>
        </w:rPr>
        <w:t>other countries, although the average amount spent per child on toys was expected to grow in the future.</w:t>
      </w:r>
      <w:r w:rsidRPr="00CB4F3B">
        <w:rPr>
          <w:rStyle w:val="FootnoteReference"/>
          <w:lang w:val="en-GB"/>
        </w:rPr>
        <w:footnoteReference w:id="11"/>
      </w:r>
      <w:r w:rsidRPr="00CB4F3B">
        <w:rPr>
          <w:lang w:val="en-GB"/>
        </w:rPr>
        <w:t xml:space="preserve"> Increasing urbanization had led urban young couples to opt for nuclear families and fewer children. Lower dependency ratios and growing income levels resulted in parents spending more on games and toys for their children, </w:t>
      </w:r>
      <w:r w:rsidRPr="00CB4F3B">
        <w:rPr>
          <w:lang w:val="en-GB"/>
        </w:rPr>
        <w:lastRenderedPageBreak/>
        <w:t>although estimates found that parents in middle and upper-middle classes were willing to spend only around US$10 annually for the purchase of toys.</w:t>
      </w:r>
      <w:r w:rsidRPr="00CB4F3B">
        <w:rPr>
          <w:rStyle w:val="FootnoteReference"/>
          <w:lang w:val="en-GB"/>
        </w:rPr>
        <w:footnoteReference w:id="12"/>
      </w:r>
    </w:p>
    <w:p w14:paraId="0A4A9D1E" w14:textId="77777777" w:rsidR="00D065BF" w:rsidRPr="00CB4F3B" w:rsidRDefault="00D065BF" w:rsidP="0081747E">
      <w:pPr>
        <w:pStyle w:val="BodyTextMain"/>
        <w:widowControl w:val="0"/>
        <w:rPr>
          <w:sz w:val="20"/>
          <w:lang w:val="en-GB"/>
        </w:rPr>
      </w:pPr>
    </w:p>
    <w:p w14:paraId="4EA0107B" w14:textId="77777777" w:rsidR="00D065BF" w:rsidRPr="00CB4F3B" w:rsidRDefault="00D065BF" w:rsidP="0081747E">
      <w:pPr>
        <w:pStyle w:val="BodyTextMain"/>
        <w:widowControl w:val="0"/>
        <w:rPr>
          <w:sz w:val="20"/>
          <w:lang w:val="en-GB"/>
        </w:rPr>
      </w:pPr>
    </w:p>
    <w:p w14:paraId="4E807E4D" w14:textId="77777777" w:rsidR="00D065BF" w:rsidRPr="00CB4F3B" w:rsidRDefault="00D065BF" w:rsidP="0081747E">
      <w:pPr>
        <w:pStyle w:val="Casehead1"/>
        <w:widowControl w:val="0"/>
        <w:rPr>
          <w:lang w:val="en-GB"/>
        </w:rPr>
      </w:pPr>
      <w:r w:rsidRPr="00CB4F3B">
        <w:rPr>
          <w:lang w:val="en-GB"/>
        </w:rPr>
        <w:t>DRAGON EFFECT AND THE COMPETITIVE LANDSCAPE</w:t>
      </w:r>
    </w:p>
    <w:p w14:paraId="327A2BE9" w14:textId="77777777" w:rsidR="00D065BF" w:rsidRPr="00CB4F3B" w:rsidRDefault="00D065BF" w:rsidP="0081747E">
      <w:pPr>
        <w:pStyle w:val="BodyTextMain"/>
        <w:widowControl w:val="0"/>
        <w:rPr>
          <w:sz w:val="20"/>
          <w:lang w:val="en-GB"/>
        </w:rPr>
      </w:pPr>
    </w:p>
    <w:p w14:paraId="13F35E9E" w14:textId="0AA7B66D" w:rsidR="00D065BF" w:rsidRPr="00CB4F3B" w:rsidRDefault="00D065BF" w:rsidP="0081747E">
      <w:pPr>
        <w:pStyle w:val="BodyTextMain"/>
        <w:widowControl w:val="0"/>
        <w:rPr>
          <w:lang w:val="en-GB"/>
        </w:rPr>
      </w:pPr>
      <w:r w:rsidRPr="00CB4F3B">
        <w:rPr>
          <w:lang w:val="en-GB"/>
        </w:rPr>
        <w:t>The global toy market was dominated by China, the world’s largest toy manufacturer, which accounted for 70 per cent of the world’s supply of toys. Its toy industry comprised more than 8,000 enterprises employing about 3.5 million people.</w:t>
      </w:r>
      <w:r w:rsidRPr="00CB4F3B">
        <w:rPr>
          <w:rStyle w:val="FootnoteReference"/>
          <w:lang w:val="en-GB"/>
        </w:rPr>
        <w:footnoteReference w:id="13"/>
      </w:r>
      <w:r w:rsidRPr="00CB4F3B">
        <w:rPr>
          <w:lang w:val="en-GB"/>
        </w:rPr>
        <w:t xml:space="preserve"> In China, most toy-manufacturing enterprises had in-house design teams that spent a sizeable chunk of their sales revenue (5–7 per cent) on research and development.</w:t>
      </w:r>
      <w:r w:rsidRPr="00CB4F3B">
        <w:rPr>
          <w:vertAlign w:val="superscript"/>
          <w:lang w:val="en-GB"/>
        </w:rPr>
        <w:t xml:space="preserve"> </w:t>
      </w:r>
      <w:r w:rsidRPr="00CB4F3B">
        <w:rPr>
          <w:lang w:val="en-GB"/>
        </w:rPr>
        <w:t>They employed skilled and trained labour, which was readily available, with many workers having completed diploma-based courses. In addition to skilled workers, other major factors for the success of the Chinese toy industry were lower capital investment costs, greater economies of scale, and government incentives, which gave Chinese companies a high competitive edge. Chinese toys could thus be made available at very low prices, usually 25–50 per cent lower than corresponding Indian toys.</w:t>
      </w:r>
      <w:r w:rsidRPr="00CB4F3B">
        <w:rPr>
          <w:rStyle w:val="FootnoteReference"/>
          <w:lang w:val="en-GB"/>
        </w:rPr>
        <w:footnoteReference w:id="14"/>
      </w:r>
      <w:r w:rsidRPr="00CB4F3B">
        <w:rPr>
          <w:lang w:val="en-GB"/>
        </w:rPr>
        <w:t xml:space="preserve"> </w:t>
      </w:r>
    </w:p>
    <w:p w14:paraId="7A81861F" w14:textId="77777777" w:rsidR="00D065BF" w:rsidRPr="00CB4F3B" w:rsidRDefault="00D065BF" w:rsidP="0081747E">
      <w:pPr>
        <w:pStyle w:val="BodyTextMain"/>
        <w:widowControl w:val="0"/>
        <w:rPr>
          <w:sz w:val="20"/>
          <w:lang w:val="en-GB"/>
        </w:rPr>
      </w:pPr>
    </w:p>
    <w:p w14:paraId="56035257" w14:textId="0A83FB3E" w:rsidR="00D065BF" w:rsidRPr="00783C90" w:rsidRDefault="00D065BF" w:rsidP="0081747E">
      <w:pPr>
        <w:pStyle w:val="BodyTextMain"/>
        <w:widowControl w:val="0"/>
        <w:rPr>
          <w:spacing w:val="-2"/>
          <w:lang w:val="en-GB"/>
        </w:rPr>
      </w:pPr>
      <w:r w:rsidRPr="00783C90">
        <w:rPr>
          <w:spacing w:val="-2"/>
          <w:lang w:val="en-GB"/>
        </w:rPr>
        <w:t xml:space="preserve">The competition in the Indian toy industry was intense, with both organized and unorganized companies competing for the lucrative market. Government policies had encouraged the import of Chinese toys, which hurt domestic toy-manufacturing companies. The import duty on raw materials used in manufacturing toys was around 25 per cent, compared with only 5 per cent duty for the import of finished toys, which resulted in Chinese imports flooding the Indian market. Chinese toys were </w:t>
      </w:r>
      <w:r w:rsidR="00783C90" w:rsidRPr="00783C90">
        <w:rPr>
          <w:spacing w:val="-2"/>
          <w:lang w:val="en-GB"/>
        </w:rPr>
        <w:t>less expensive</w:t>
      </w:r>
      <w:r w:rsidRPr="00783C90">
        <w:rPr>
          <w:spacing w:val="-2"/>
          <w:lang w:val="en-GB"/>
        </w:rPr>
        <w:t>, more versatile, attractive, and came in handy packaging. Intense competition compelled many small toy manufacturers to import and market toys from China, rather than manufacturing them in India.</w:t>
      </w:r>
      <w:r w:rsidRPr="00783C90">
        <w:rPr>
          <w:spacing w:val="-2"/>
          <w:vertAlign w:val="superscript"/>
          <w:lang w:val="en-GB"/>
        </w:rPr>
        <w:t xml:space="preserve"> </w:t>
      </w:r>
      <w:r w:rsidRPr="00783C90">
        <w:rPr>
          <w:spacing w:val="-2"/>
          <w:lang w:val="en-GB"/>
        </w:rPr>
        <w:t xml:space="preserve">The retailers earned high margins on toys they purchased in bulk with high discounts. They could then mark up the prices and sell them at a good profit. Indian toy manufactures, on the other hand, </w:t>
      </w:r>
      <w:r w:rsidR="00095424" w:rsidRPr="00783C90">
        <w:rPr>
          <w:spacing w:val="-2"/>
          <w:lang w:val="en-GB"/>
        </w:rPr>
        <w:t xml:space="preserve">needed </w:t>
      </w:r>
      <w:r w:rsidRPr="00783C90">
        <w:rPr>
          <w:spacing w:val="-2"/>
          <w:lang w:val="en-GB"/>
        </w:rPr>
        <w:t xml:space="preserve">to negotiate with retailers for shelf space. According to Baby, because parents and children kept expecting and demanding fresher products, innovation was essential to stay afloat and succeed in the toy market. However, </w:t>
      </w:r>
      <w:r w:rsidR="00095424" w:rsidRPr="00783C90">
        <w:rPr>
          <w:spacing w:val="-2"/>
          <w:lang w:val="en-GB"/>
        </w:rPr>
        <w:t xml:space="preserve">innovation </w:t>
      </w:r>
      <w:r w:rsidRPr="00783C90">
        <w:rPr>
          <w:spacing w:val="-2"/>
          <w:lang w:val="en-GB"/>
        </w:rPr>
        <w:t>was a weak area for Indian toymakers.</w:t>
      </w:r>
    </w:p>
    <w:p w14:paraId="587AAFD7" w14:textId="77777777" w:rsidR="00D065BF" w:rsidRPr="00CB4F3B" w:rsidRDefault="00D065BF" w:rsidP="0081747E">
      <w:pPr>
        <w:pStyle w:val="BodyTextMain"/>
        <w:widowControl w:val="0"/>
        <w:rPr>
          <w:sz w:val="20"/>
          <w:lang w:val="en-GB"/>
        </w:rPr>
      </w:pPr>
    </w:p>
    <w:p w14:paraId="75B8BBF2" w14:textId="44AB60EE" w:rsidR="00D065BF" w:rsidRPr="00CB4F3B" w:rsidRDefault="00D065BF" w:rsidP="0081747E">
      <w:pPr>
        <w:pStyle w:val="BodyTextMain"/>
        <w:widowControl w:val="0"/>
        <w:rPr>
          <w:lang w:val="en-GB"/>
        </w:rPr>
      </w:pPr>
      <w:r w:rsidRPr="00CB4F3B">
        <w:rPr>
          <w:lang w:val="en-GB"/>
        </w:rPr>
        <w:t>Imported Chinese toys were a threat to Funskool for several reasons. First, it was difficult to counter the Chinese price advantage. Toys manufactured in China had lower costs for various reasons, including low cost</w:t>
      </w:r>
      <w:r w:rsidR="00A27DE3">
        <w:rPr>
          <w:lang w:val="en-GB"/>
        </w:rPr>
        <w:t>s</w:t>
      </w:r>
      <w:r w:rsidRPr="00CB4F3B">
        <w:rPr>
          <w:lang w:val="en-GB"/>
        </w:rPr>
        <w:t xml:space="preserve"> of land, labour, and raw materials.</w:t>
      </w:r>
      <w:r w:rsidRPr="00CB4F3B">
        <w:rPr>
          <w:rStyle w:val="FootnoteReference"/>
          <w:lang w:val="en-GB"/>
        </w:rPr>
        <w:footnoteReference w:id="15"/>
      </w:r>
      <w:r w:rsidRPr="00CB4F3B">
        <w:rPr>
          <w:lang w:val="en-GB"/>
        </w:rPr>
        <w:t xml:space="preserve"> Second, many of Funskool’s rivals, such as Mattel, took advantage of China’s cost advantage by outsourcing production to Chinese companies or their subsidiaries in China. Therefore, Funskool’s purely India-based manufacturing operations became a disadvantage. Because Chinese companies manufactured toys for the high-volume global market, Baby found it difficult to match the highly competitive prices of what he perceived as “cheap Chinese toys, which are often ‘duplicates’ of best-selling global brands.”</w:t>
      </w:r>
    </w:p>
    <w:p w14:paraId="4B0F21E2" w14:textId="77777777" w:rsidR="00D065BF" w:rsidRPr="00CB4F3B" w:rsidRDefault="00D065BF" w:rsidP="0081747E">
      <w:pPr>
        <w:pStyle w:val="BodyTextMain"/>
        <w:widowControl w:val="0"/>
        <w:rPr>
          <w:sz w:val="20"/>
          <w:lang w:val="en-GB"/>
        </w:rPr>
      </w:pPr>
    </w:p>
    <w:p w14:paraId="1E93B564" w14:textId="3048D74D" w:rsidR="00D065BF" w:rsidRPr="00CB4F3B" w:rsidRDefault="00D065BF" w:rsidP="0081747E">
      <w:pPr>
        <w:pStyle w:val="BodyTextMain"/>
        <w:widowControl w:val="0"/>
        <w:rPr>
          <w:lang w:val="en-GB"/>
        </w:rPr>
      </w:pPr>
      <w:r w:rsidRPr="00CB4F3B">
        <w:rPr>
          <w:lang w:val="en-GB"/>
        </w:rPr>
        <w:t>In the organized space, Mattel was Funskool’s biggest competitor. Mattel’s entertainment division</w:t>
      </w:r>
      <w:r w:rsidR="00DA49E9">
        <w:rPr>
          <w:lang w:val="en-GB"/>
        </w:rPr>
        <w:t>,</w:t>
      </w:r>
      <w:r w:rsidRPr="00CB4F3B">
        <w:rPr>
          <w:lang w:val="en-GB"/>
        </w:rPr>
        <w:t xml:space="preserve"> Mattel Creations</w:t>
      </w:r>
      <w:r w:rsidR="00DA49E9">
        <w:rPr>
          <w:lang w:val="en-GB"/>
        </w:rPr>
        <w:t>,</w:t>
      </w:r>
      <w:r w:rsidRPr="00CB4F3B">
        <w:rPr>
          <w:lang w:val="en-GB"/>
        </w:rPr>
        <w:t xml:space="preserve"> </w:t>
      </w:r>
      <w:r w:rsidR="00A27DE3">
        <w:rPr>
          <w:lang w:val="en-GB"/>
        </w:rPr>
        <w:t>produced</w:t>
      </w:r>
      <w:r w:rsidRPr="00CB4F3B">
        <w:rPr>
          <w:lang w:val="en-GB"/>
        </w:rPr>
        <w:t xml:space="preserve"> content for television, films, and video games, with </w:t>
      </w:r>
      <w:r w:rsidR="00A27DE3">
        <w:rPr>
          <w:lang w:val="en-GB"/>
        </w:rPr>
        <w:t>Mattel</w:t>
      </w:r>
      <w:r w:rsidR="00A27DE3" w:rsidRPr="00CB4F3B">
        <w:rPr>
          <w:lang w:val="en-GB"/>
        </w:rPr>
        <w:t xml:space="preserve"> </w:t>
      </w:r>
      <w:r w:rsidRPr="00CB4F3B">
        <w:rPr>
          <w:lang w:val="en-GB"/>
        </w:rPr>
        <w:t xml:space="preserve">toys as </w:t>
      </w:r>
      <w:r w:rsidR="00A27DE3">
        <w:rPr>
          <w:lang w:val="en-GB"/>
        </w:rPr>
        <w:t xml:space="preserve">the </w:t>
      </w:r>
      <w:r w:rsidRPr="00CB4F3B">
        <w:rPr>
          <w:lang w:val="en-GB"/>
        </w:rPr>
        <w:t xml:space="preserve">protagonists. </w:t>
      </w:r>
      <w:r w:rsidR="00342287">
        <w:rPr>
          <w:lang w:val="en-GB"/>
        </w:rPr>
        <w:t>For example, t</w:t>
      </w:r>
      <w:r w:rsidRPr="00CB4F3B">
        <w:rPr>
          <w:lang w:val="en-GB"/>
        </w:rPr>
        <w:t xml:space="preserve">his division produced various movies based on popular fairy tales, with Mattel’s extremely successful Barbie </w:t>
      </w:r>
      <w:r w:rsidR="00DA49E9">
        <w:rPr>
          <w:lang w:val="en-GB"/>
        </w:rPr>
        <w:t xml:space="preserve">doll </w:t>
      </w:r>
      <w:r w:rsidRPr="00CB4F3B">
        <w:rPr>
          <w:lang w:val="en-GB"/>
        </w:rPr>
        <w:t xml:space="preserve">as the central character. After a resounding success, the company introduced toys and accessories to boost its sales. While Funskool relied heavily on obtaining licences from international </w:t>
      </w:r>
      <w:r w:rsidRPr="00CB4F3B">
        <w:rPr>
          <w:lang w:val="en-GB"/>
        </w:rPr>
        <w:lastRenderedPageBreak/>
        <w:t xml:space="preserve">brands, Mattel introduced local variants of its toys in </w:t>
      </w:r>
      <w:r w:rsidR="00DA49E9">
        <w:rPr>
          <w:lang w:val="en-GB"/>
        </w:rPr>
        <w:t xml:space="preserve">both </w:t>
      </w:r>
      <w:r w:rsidRPr="00CB4F3B">
        <w:rPr>
          <w:lang w:val="en-GB"/>
        </w:rPr>
        <w:t xml:space="preserve">the affordable and premium segments. A toy series called Barbie in India was a variant in the affordable segment; the series Expressions in India (with Barbie in Indian bridal avatars) was a variant in the premium segment. The company also launched toys representing movie characters from the blockbuster Bollywood movie </w:t>
      </w:r>
      <w:r w:rsidRPr="00CB4F3B">
        <w:rPr>
          <w:i/>
          <w:iCs/>
          <w:lang w:val="en-GB"/>
        </w:rPr>
        <w:t>Dhoom3</w:t>
      </w:r>
      <w:r w:rsidRPr="00CB4F3B">
        <w:rPr>
          <w:lang w:val="en-GB"/>
        </w:rPr>
        <w:t>. Explaining the rationale behind this strategy, the managing director of Mattel’s Asia Pacific region, Peter Broegger, remarked that although the company was localized in several markets, the intensity of Mattel Creations was much higher in India, and that it was part of its strategy in emerging markets.</w:t>
      </w:r>
      <w:r w:rsidRPr="00CB4F3B">
        <w:rPr>
          <w:vertAlign w:val="superscript"/>
          <w:lang w:val="en-GB"/>
        </w:rPr>
        <w:footnoteReference w:id="16"/>
      </w:r>
      <w:r w:rsidRPr="00CB4F3B" w:rsidDel="006815E5">
        <w:rPr>
          <w:rStyle w:val="FootnoteReference"/>
          <w:lang w:val="en-GB"/>
        </w:rPr>
        <w:t xml:space="preserve"> </w:t>
      </w:r>
    </w:p>
    <w:p w14:paraId="23A29273" w14:textId="77777777" w:rsidR="00D065BF" w:rsidRPr="00CB4F3B" w:rsidRDefault="00D065BF" w:rsidP="0081747E">
      <w:pPr>
        <w:pStyle w:val="BodyTextMain"/>
        <w:widowControl w:val="0"/>
        <w:rPr>
          <w:sz w:val="20"/>
          <w:lang w:val="en-GB"/>
        </w:rPr>
      </w:pPr>
    </w:p>
    <w:p w14:paraId="2ED90671" w14:textId="474BB624" w:rsidR="00D065BF" w:rsidRPr="00CB4F3B" w:rsidRDefault="00D065BF" w:rsidP="0081747E">
      <w:pPr>
        <w:pStyle w:val="BodyTextMain"/>
        <w:widowControl w:val="0"/>
        <w:rPr>
          <w:lang w:val="en-GB"/>
        </w:rPr>
      </w:pPr>
      <w:r w:rsidRPr="00CB4F3B">
        <w:rPr>
          <w:lang w:val="en-GB"/>
        </w:rPr>
        <w:t>In the organized space, the competition increased rapidly after 2010 with the entry of international brands such as Simba, Hamleys, and Prowl. The German-based Simba toys had over 80 brands and 3,000 stock-keeping units catering to the Indian market.</w:t>
      </w:r>
      <w:r w:rsidRPr="00CB4F3B">
        <w:rPr>
          <w:rStyle w:val="FootnoteReference"/>
          <w:lang w:val="en-GB"/>
        </w:rPr>
        <w:footnoteReference w:id="17"/>
      </w:r>
      <w:r w:rsidRPr="00CB4F3B">
        <w:rPr>
          <w:lang w:val="en-GB"/>
        </w:rPr>
        <w:t xml:space="preserve"> In October 2016, U.K.-based Hamleys partnered with Reliance Retail to open 20 retail stores across the country.</w:t>
      </w:r>
      <w:r w:rsidRPr="00CB4F3B">
        <w:rPr>
          <w:rStyle w:val="FootnoteReference"/>
          <w:lang w:val="en-GB"/>
        </w:rPr>
        <w:footnoteReference w:id="18"/>
      </w:r>
      <w:r w:rsidRPr="00CB4F3B">
        <w:rPr>
          <w:lang w:val="en-GB"/>
        </w:rPr>
        <w:t xml:space="preserve"> Prowl, another German toymaker, invested </w:t>
      </w:r>
      <w:r w:rsidRPr="00757EC9">
        <w:rPr>
          <w:rFonts w:ascii="Arial" w:hAnsi="Arial" w:cs="Arial"/>
          <w:sz w:val="20"/>
          <w:szCs w:val="20"/>
          <w:lang w:val="en-GB"/>
        </w:rPr>
        <w:t>₹</w:t>
      </w:r>
      <w:r w:rsidRPr="00DA49E9">
        <w:rPr>
          <w:lang w:val="en-GB"/>
        </w:rPr>
        <w:t>78</w:t>
      </w:r>
      <w:r w:rsidRPr="00CB4F3B">
        <w:rPr>
          <w:lang w:val="en-GB"/>
        </w:rPr>
        <w:t>0 million in 2013 to set up manufacturing facilities and single-brand retail outlets.</w:t>
      </w:r>
      <w:r w:rsidRPr="00CB4F3B">
        <w:rPr>
          <w:rStyle w:val="FootnoteReference"/>
          <w:lang w:val="en-GB"/>
        </w:rPr>
        <w:footnoteReference w:id="19"/>
      </w:r>
    </w:p>
    <w:p w14:paraId="56D8ED86" w14:textId="77777777" w:rsidR="00D065BF" w:rsidRPr="00CB4F3B" w:rsidRDefault="00D065BF" w:rsidP="0081747E">
      <w:pPr>
        <w:pStyle w:val="BodyTextMain"/>
        <w:widowControl w:val="0"/>
        <w:rPr>
          <w:sz w:val="20"/>
          <w:lang w:val="en-GB"/>
        </w:rPr>
      </w:pPr>
    </w:p>
    <w:p w14:paraId="5B1D0AAA" w14:textId="77777777" w:rsidR="00D065BF" w:rsidRPr="00CB4F3B" w:rsidRDefault="00D065BF" w:rsidP="0081747E">
      <w:pPr>
        <w:pStyle w:val="BodyTextMain"/>
        <w:widowControl w:val="0"/>
        <w:rPr>
          <w:sz w:val="20"/>
          <w:lang w:val="en-GB"/>
        </w:rPr>
      </w:pPr>
    </w:p>
    <w:p w14:paraId="042F058F" w14:textId="77777777" w:rsidR="00D065BF" w:rsidRPr="00CB4F3B" w:rsidRDefault="00D065BF" w:rsidP="0081747E">
      <w:pPr>
        <w:pStyle w:val="Casehead1"/>
        <w:keepNext/>
        <w:widowControl w:val="0"/>
        <w:rPr>
          <w:lang w:val="en-GB"/>
        </w:rPr>
      </w:pPr>
      <w:r w:rsidRPr="00CB4F3B">
        <w:rPr>
          <w:lang w:val="en-GB"/>
        </w:rPr>
        <w:t>FUNSKOOL: ATTAINING MARKET LEADERSHIP</w:t>
      </w:r>
    </w:p>
    <w:p w14:paraId="1AF504B6" w14:textId="77777777" w:rsidR="00D065BF" w:rsidRPr="00CB4F3B" w:rsidRDefault="00D065BF" w:rsidP="0081747E">
      <w:pPr>
        <w:pStyle w:val="BodyTextMain"/>
        <w:keepNext/>
        <w:widowControl w:val="0"/>
        <w:rPr>
          <w:sz w:val="20"/>
          <w:lang w:val="en-GB"/>
        </w:rPr>
      </w:pPr>
    </w:p>
    <w:p w14:paraId="44C271B7" w14:textId="46548444" w:rsidR="00D065BF" w:rsidRPr="00CB4F3B" w:rsidRDefault="00D065BF" w:rsidP="0081747E">
      <w:pPr>
        <w:pStyle w:val="BodyTextMain"/>
        <w:keepNext/>
        <w:widowControl w:val="0"/>
        <w:rPr>
          <w:lang w:val="en-GB"/>
        </w:rPr>
      </w:pPr>
      <w:r w:rsidRPr="00CB4F3B">
        <w:rPr>
          <w:lang w:val="en-GB"/>
        </w:rPr>
        <w:t xml:space="preserve">From 2010 onward, Funskool’s strategies were aimed at strengthening its position and achieving market leadership in the toy industry. It focused on reducing manufacturing costs to boost exports, entered into licensing agreements with many international toy companies to regularly introduce new products to the Indian market, and simultaneously developed its own products sold under the Funskool brand. </w:t>
      </w:r>
    </w:p>
    <w:p w14:paraId="72914AC6" w14:textId="77777777" w:rsidR="00D065BF" w:rsidRPr="00CB4F3B" w:rsidRDefault="00D065BF" w:rsidP="0081747E">
      <w:pPr>
        <w:pStyle w:val="BodyTextMain"/>
        <w:widowControl w:val="0"/>
        <w:rPr>
          <w:sz w:val="20"/>
          <w:lang w:val="en-GB"/>
        </w:rPr>
      </w:pPr>
    </w:p>
    <w:p w14:paraId="4AEE9134" w14:textId="757875D1" w:rsidR="00D065BF" w:rsidRPr="00CB4F3B" w:rsidRDefault="00D065BF" w:rsidP="0081747E">
      <w:pPr>
        <w:pStyle w:val="BodyTextMain"/>
        <w:widowControl w:val="0"/>
        <w:rPr>
          <w:lang w:val="en-GB"/>
        </w:rPr>
      </w:pPr>
      <w:r w:rsidRPr="00CB4F3B">
        <w:rPr>
          <w:lang w:val="en-GB"/>
        </w:rPr>
        <w:t xml:space="preserve">To reduce manufacturing costs, the company started investing in </w:t>
      </w:r>
      <w:r w:rsidR="00DA49E9">
        <w:rPr>
          <w:lang w:val="en-GB"/>
        </w:rPr>
        <w:t xml:space="preserve">the </w:t>
      </w:r>
      <w:r w:rsidRPr="00CB4F3B">
        <w:rPr>
          <w:lang w:val="en-GB"/>
        </w:rPr>
        <w:t xml:space="preserve">automation and mechanization of routine processes. Baby felt that labour accounted for a large chunk of the manufacturing costs in the toy industry. With labour costs rising steadily in India, it was important to automate repetitive processes to cut costs. Simultaneously, rising labour costs and growing quality concerns in China led </w:t>
      </w:r>
      <w:r w:rsidR="00DA49E9">
        <w:rPr>
          <w:lang w:val="en-GB"/>
        </w:rPr>
        <w:t xml:space="preserve">to </w:t>
      </w:r>
      <w:r w:rsidRPr="00CB4F3B">
        <w:rPr>
          <w:lang w:val="en-GB"/>
        </w:rPr>
        <w:t>some major global toymakers shift</w:t>
      </w:r>
      <w:r w:rsidR="00DA49E9">
        <w:rPr>
          <w:lang w:val="en-GB"/>
        </w:rPr>
        <w:t>ing</w:t>
      </w:r>
      <w:r w:rsidRPr="00CB4F3B">
        <w:rPr>
          <w:lang w:val="en-GB"/>
        </w:rPr>
        <w:t xml:space="preserve"> part of their sourcing to other countries. In the process, some toy production shifted to Vietnam, other South Asian countries, and India. By 2017, Funskool was exporting to 10 countries, including the United Kingdom, Germany, Netherland, Mexico, Belgium, and France.</w:t>
      </w:r>
      <w:r w:rsidR="00CB4F3B" w:rsidRPr="00CB4F3B">
        <w:rPr>
          <w:lang w:val="en-GB"/>
        </w:rPr>
        <w:t xml:space="preserve"> </w:t>
      </w:r>
    </w:p>
    <w:p w14:paraId="3D455AB9" w14:textId="77777777" w:rsidR="00D065BF" w:rsidRPr="00CB4F3B" w:rsidRDefault="00D065BF" w:rsidP="0081747E">
      <w:pPr>
        <w:pStyle w:val="BodyTextMain"/>
        <w:widowControl w:val="0"/>
        <w:rPr>
          <w:sz w:val="20"/>
          <w:lang w:val="en-GB"/>
        </w:rPr>
      </w:pPr>
    </w:p>
    <w:p w14:paraId="28B63517" w14:textId="5A15C1FE" w:rsidR="00D065BF" w:rsidRPr="00757EC9" w:rsidRDefault="00D065BF" w:rsidP="0081747E">
      <w:pPr>
        <w:pStyle w:val="BodyTextMain"/>
        <w:widowControl w:val="0"/>
        <w:rPr>
          <w:spacing w:val="-4"/>
          <w:lang w:val="en-GB"/>
        </w:rPr>
      </w:pPr>
      <w:r w:rsidRPr="00757EC9">
        <w:rPr>
          <w:rStyle w:val="p-content"/>
          <w:spacing w:val="-4"/>
          <w:lang w:val="en-GB"/>
          <w:specVanish w:val="0"/>
        </w:rPr>
        <w:t xml:space="preserve">Funskool had licences for nearly 20 global toy brands, including popular names such as Hasbro, Lego, and Disney (see Exhibit 3). </w:t>
      </w:r>
      <w:r w:rsidRPr="00757EC9">
        <w:rPr>
          <w:spacing w:val="-4"/>
          <w:lang w:val="en-GB"/>
        </w:rPr>
        <w:t>In 2010, Funskool obtained exclusive distribution rights from the Danish Lego Group to distribute a variety of its toys in India. Lego, an internationally reputed toy manufacturer, was a pioneer in making toys that featured puzzles, plastic bricks, gears, and miniature figures. Within a year, Funskool’s sales from Lego grew by 70 per cent. Baby felt that the partnership with Lego for distribution in India was a move in the right direction for Funskool, when it came to strengthening its leadership position in the Indian industry because Lego was among the most popular and sought after brand names in the global toy industry.</w:t>
      </w:r>
    </w:p>
    <w:p w14:paraId="711F6A93" w14:textId="77777777" w:rsidR="00D065BF" w:rsidRPr="00CB4F3B" w:rsidRDefault="00D065BF" w:rsidP="0081747E">
      <w:pPr>
        <w:pStyle w:val="BodyTextMain"/>
        <w:widowControl w:val="0"/>
        <w:rPr>
          <w:sz w:val="20"/>
          <w:lang w:val="en-GB"/>
        </w:rPr>
      </w:pPr>
    </w:p>
    <w:p w14:paraId="5D488495" w14:textId="294CD2C1" w:rsidR="00D065BF" w:rsidRPr="00CB4F3B" w:rsidRDefault="00D065BF" w:rsidP="0081747E">
      <w:pPr>
        <w:pStyle w:val="BodyTextMain"/>
        <w:widowControl w:val="0"/>
        <w:rPr>
          <w:lang w:val="en-GB"/>
        </w:rPr>
      </w:pPr>
      <w:r w:rsidRPr="00CB4F3B">
        <w:rPr>
          <w:lang w:val="en-GB"/>
        </w:rPr>
        <w:t xml:space="preserve">In 2015, Funskool obtained licensing for the release of toys and merchandise related to the popular movie </w:t>
      </w:r>
      <w:r w:rsidRPr="00CB4F3B">
        <w:rPr>
          <w:i/>
          <w:iCs/>
          <w:lang w:val="en-GB"/>
        </w:rPr>
        <w:t>Star Wars: The Force Awakens</w:t>
      </w:r>
      <w:r w:rsidRPr="00CB4F3B">
        <w:rPr>
          <w:lang w:val="en-GB"/>
        </w:rPr>
        <w:t xml:space="preserve">. In 2016, it acquired a licence for Disney’s </w:t>
      </w:r>
      <w:r w:rsidRPr="00CB4F3B">
        <w:rPr>
          <w:i/>
          <w:lang w:val="en-GB"/>
        </w:rPr>
        <w:t>Frozen</w:t>
      </w:r>
      <w:r w:rsidRPr="00CB4F3B">
        <w:rPr>
          <w:lang w:val="en-GB"/>
        </w:rPr>
        <w:t xml:space="preserve"> and signed a deal with Italian toy manufacturer Rainbow to market Winx Dolls, inspired by the popular animated television series </w:t>
      </w:r>
      <w:r w:rsidRPr="00CB4F3B">
        <w:rPr>
          <w:i/>
          <w:iCs/>
          <w:lang w:val="en-GB"/>
        </w:rPr>
        <w:t>Winx Club</w:t>
      </w:r>
      <w:r w:rsidRPr="00CB4F3B">
        <w:rPr>
          <w:lang w:val="en-GB"/>
        </w:rPr>
        <w:t xml:space="preserve">. Funskool’s strategy was intended to capitalize on an emerging trend in India that saw consumers </w:t>
      </w:r>
      <w:r w:rsidRPr="00CB4F3B">
        <w:rPr>
          <w:lang w:val="en-GB"/>
        </w:rPr>
        <w:lastRenderedPageBreak/>
        <w:t xml:space="preserve">purchase toys based on movie characters. The company also experimented with the launch of popular Indian animation cartoon characters. Baby realized that Indian toy consumers had become receptive to merchandise based on movies and television shows, and the only Indian brand to successfully reach that segment thus far was the television animated show </w:t>
      </w:r>
      <w:r w:rsidRPr="00CB4F3B">
        <w:rPr>
          <w:i/>
          <w:lang w:val="en-GB"/>
        </w:rPr>
        <w:t>Ch</w:t>
      </w:r>
      <w:r w:rsidR="004D21FE">
        <w:rPr>
          <w:i/>
          <w:lang w:val="en-GB"/>
        </w:rPr>
        <w:t>h</w:t>
      </w:r>
      <w:r w:rsidRPr="00CB4F3B">
        <w:rPr>
          <w:i/>
          <w:lang w:val="en-GB"/>
        </w:rPr>
        <w:t>ota Bheem.</w:t>
      </w:r>
      <w:r w:rsidRPr="00CB4F3B">
        <w:rPr>
          <w:lang w:val="en-GB"/>
        </w:rPr>
        <w:t xml:space="preserve"> Baby knew that there was no guaranteed that this trend would continue, but his company was open to the idea of exploring characters from Indian movies and promoting them along with international brands in the market.</w:t>
      </w:r>
      <w:r w:rsidRPr="00CB4F3B">
        <w:rPr>
          <w:rStyle w:val="FootnoteReference"/>
          <w:lang w:val="en-GB"/>
        </w:rPr>
        <w:footnoteReference w:id="20"/>
      </w:r>
    </w:p>
    <w:p w14:paraId="421339A5" w14:textId="77777777" w:rsidR="00D065BF" w:rsidRPr="00CB4F3B" w:rsidRDefault="00D065BF" w:rsidP="0081747E">
      <w:pPr>
        <w:pStyle w:val="BodyTextMain"/>
        <w:widowControl w:val="0"/>
        <w:rPr>
          <w:sz w:val="20"/>
          <w:lang w:val="en-GB"/>
        </w:rPr>
      </w:pPr>
    </w:p>
    <w:p w14:paraId="76974FE5" w14:textId="7E4A5D12" w:rsidR="00D065BF" w:rsidRPr="00783C90" w:rsidRDefault="00D065BF" w:rsidP="00757EC9">
      <w:pPr>
        <w:pStyle w:val="BodyTextMain"/>
        <w:widowControl w:val="0"/>
        <w:rPr>
          <w:spacing w:val="-4"/>
          <w:lang w:val="en-GB"/>
        </w:rPr>
      </w:pPr>
      <w:r w:rsidRPr="00783C90">
        <w:rPr>
          <w:spacing w:val="-4"/>
          <w:lang w:val="en-GB"/>
        </w:rPr>
        <w:t>To expand the portfolio of toys under the Funskool umbrella, the company introduced new brands including Giggles (toys for infants and preschoolers), Handy Crafts (an arts and crafts range of toys), Fundo</w:t>
      </w:r>
      <w:r w:rsidR="00757EC9" w:rsidRPr="00783C90">
        <w:rPr>
          <w:spacing w:val="-4"/>
          <w:lang w:val="en-GB"/>
        </w:rPr>
        <w:t>ug</w:t>
      </w:r>
      <w:r w:rsidRPr="00783C90">
        <w:rPr>
          <w:spacing w:val="-4"/>
          <w:lang w:val="en-GB"/>
        </w:rPr>
        <w:t xml:space="preserve">h (colourful dough that could be moulded into different shapes), and Play and Learn (educational puzzles). By 2016, Funskool had a range of over 2,000 toys (see Exhibit 4), including both domestic brands (such as Giggles) and international brands (such as Hasbro, Hornby, Lego, Rubik’s, Siku, and Tomy Takara). </w:t>
      </w:r>
      <w:r w:rsidR="00061000" w:rsidRPr="00783C90">
        <w:rPr>
          <w:spacing w:val="-4"/>
          <w:lang w:val="en-GB"/>
        </w:rPr>
        <w:t>In 2016, t</w:t>
      </w:r>
      <w:r w:rsidRPr="00783C90">
        <w:rPr>
          <w:spacing w:val="-4"/>
          <w:lang w:val="en-GB"/>
        </w:rPr>
        <w:t xml:space="preserve">he company reached annual revenues of </w:t>
      </w:r>
      <w:r w:rsidRPr="00783C90">
        <w:rPr>
          <w:rFonts w:ascii="Arial" w:hAnsi="Arial" w:cs="Arial"/>
          <w:spacing w:val="-4"/>
          <w:sz w:val="20"/>
          <w:szCs w:val="20"/>
          <w:lang w:val="en-GB"/>
        </w:rPr>
        <w:t>₹</w:t>
      </w:r>
      <w:r w:rsidRPr="00783C90">
        <w:rPr>
          <w:spacing w:val="-4"/>
          <w:lang w:val="en-GB"/>
        </w:rPr>
        <w:t xml:space="preserve">1.9 billion. </w:t>
      </w:r>
      <w:r w:rsidR="00342287" w:rsidRPr="00783C90">
        <w:rPr>
          <w:spacing w:val="-4"/>
          <w:lang w:val="en-GB"/>
        </w:rPr>
        <w:t>Two years earlier, i</w:t>
      </w:r>
      <w:r w:rsidRPr="00783C90">
        <w:rPr>
          <w:spacing w:val="-4"/>
          <w:lang w:val="en-GB"/>
        </w:rPr>
        <w:t>n 2014</w:t>
      </w:r>
      <w:r w:rsidRPr="00783C90">
        <w:rPr>
          <w:rFonts w:eastAsiaTheme="minorHAnsi"/>
          <w:spacing w:val="-4"/>
          <w:lang w:val="en-GB"/>
        </w:rPr>
        <w:t>, Funskool</w:t>
      </w:r>
      <w:r w:rsidRPr="00783C90">
        <w:rPr>
          <w:spacing w:val="-4"/>
          <w:lang w:val="en-GB"/>
        </w:rPr>
        <w:t xml:space="preserve"> </w:t>
      </w:r>
      <w:r w:rsidR="00342287" w:rsidRPr="00783C90">
        <w:rPr>
          <w:spacing w:val="-4"/>
          <w:lang w:val="en-GB"/>
        </w:rPr>
        <w:t xml:space="preserve">had </w:t>
      </w:r>
      <w:r w:rsidRPr="00783C90">
        <w:rPr>
          <w:spacing w:val="-4"/>
          <w:lang w:val="en-GB"/>
        </w:rPr>
        <w:t xml:space="preserve">succeeded in overtaking Mattel Toys as a result </w:t>
      </w:r>
      <w:r w:rsidRPr="00783C90">
        <w:rPr>
          <w:rFonts w:eastAsiaTheme="minorHAnsi"/>
          <w:spacing w:val="-4"/>
          <w:lang w:val="en-GB"/>
        </w:rPr>
        <w:t>of its multi-pronged strategy that included aggressive expansion, emphasis on introducing innovative toys, building strong distribution networks, and licensing agreements with several international manufacturers</w:t>
      </w:r>
      <w:r w:rsidRPr="00783C90">
        <w:rPr>
          <w:spacing w:val="-4"/>
          <w:lang w:val="en-GB"/>
        </w:rPr>
        <w:t xml:space="preserve">. The company continued to strengthen its position in the traditional market and in the overall toy industry to remain the market leader (see Exhibits 5 and 6), consistently outperforming the industry growth rate. </w:t>
      </w:r>
    </w:p>
    <w:p w14:paraId="44B1A598" w14:textId="77777777" w:rsidR="00D065BF" w:rsidRDefault="00D065BF" w:rsidP="0081747E">
      <w:pPr>
        <w:pStyle w:val="BodyTextMain"/>
        <w:widowControl w:val="0"/>
        <w:rPr>
          <w:sz w:val="18"/>
          <w:lang w:val="en-GB"/>
        </w:rPr>
      </w:pPr>
    </w:p>
    <w:p w14:paraId="6819D7A3" w14:textId="77777777" w:rsidR="0081747E" w:rsidRPr="00CB4F3B" w:rsidRDefault="0081747E" w:rsidP="0081747E">
      <w:pPr>
        <w:pStyle w:val="BodyTextMain"/>
        <w:widowControl w:val="0"/>
        <w:rPr>
          <w:sz w:val="18"/>
          <w:lang w:val="en-GB"/>
        </w:rPr>
      </w:pPr>
    </w:p>
    <w:p w14:paraId="6E2A8AA3" w14:textId="77777777" w:rsidR="00D065BF" w:rsidRPr="00CB4F3B" w:rsidRDefault="00D065BF" w:rsidP="0081747E">
      <w:pPr>
        <w:pStyle w:val="Casehead1"/>
        <w:keepNext/>
        <w:widowControl w:val="0"/>
        <w:rPr>
          <w:lang w:val="en-GB"/>
        </w:rPr>
      </w:pPr>
      <w:r w:rsidRPr="00CB4F3B">
        <w:rPr>
          <w:lang w:val="en-GB"/>
        </w:rPr>
        <w:t xml:space="preserve">CHALLENGES </w:t>
      </w:r>
    </w:p>
    <w:p w14:paraId="711587EC" w14:textId="77777777" w:rsidR="00D065BF" w:rsidRPr="00CB4F3B" w:rsidRDefault="00D065BF" w:rsidP="0081747E">
      <w:pPr>
        <w:pStyle w:val="BodyTextMain"/>
        <w:keepNext/>
        <w:widowControl w:val="0"/>
        <w:rPr>
          <w:sz w:val="20"/>
          <w:lang w:val="en-GB"/>
        </w:rPr>
      </w:pPr>
    </w:p>
    <w:p w14:paraId="620C5A8C" w14:textId="087D0C08" w:rsidR="00D065BF" w:rsidRPr="00AC768E" w:rsidRDefault="00D065BF" w:rsidP="0081747E">
      <w:pPr>
        <w:pStyle w:val="BodyTextMain"/>
        <w:keepNext/>
        <w:widowControl w:val="0"/>
        <w:rPr>
          <w:lang w:val="en-GB"/>
        </w:rPr>
      </w:pPr>
      <w:r w:rsidRPr="00AC768E">
        <w:rPr>
          <w:lang w:val="en-GB"/>
        </w:rPr>
        <w:t xml:space="preserve">Traditional toys had relatively short shelf lives of </w:t>
      </w:r>
      <w:r w:rsidR="00061000" w:rsidRPr="00AC768E">
        <w:rPr>
          <w:lang w:val="en-GB"/>
        </w:rPr>
        <w:t xml:space="preserve">approximately </w:t>
      </w:r>
      <w:r w:rsidRPr="00AC768E">
        <w:rPr>
          <w:lang w:val="en-GB"/>
        </w:rPr>
        <w:t xml:space="preserve">one year, so it was important to launch new products at regular intervals. Funskool succeeded by continually </w:t>
      </w:r>
      <w:r w:rsidRPr="00AC768E">
        <w:rPr>
          <w:rStyle w:val="p-content"/>
          <w:lang w:val="en-GB"/>
          <w:specVanish w:val="0"/>
        </w:rPr>
        <w:t>expanding its range of licensed brands and introducing at least four or five new products every month</w:t>
      </w:r>
      <w:r w:rsidR="0081747E" w:rsidRPr="00AC768E">
        <w:rPr>
          <w:lang w:val="en-GB"/>
        </w:rPr>
        <w:t>,</w:t>
      </w:r>
      <w:r w:rsidRPr="00AC768E">
        <w:rPr>
          <w:lang w:val="en-GB"/>
        </w:rPr>
        <w:t xml:space="preserve"> </w:t>
      </w:r>
      <w:r w:rsidR="0081747E" w:rsidRPr="00AC768E">
        <w:rPr>
          <w:lang w:val="en-GB"/>
        </w:rPr>
        <w:t xml:space="preserve">which </w:t>
      </w:r>
      <w:r w:rsidRPr="00AC768E">
        <w:rPr>
          <w:lang w:val="en-GB"/>
        </w:rPr>
        <w:t xml:space="preserve">helped </w:t>
      </w:r>
      <w:r w:rsidR="0081747E" w:rsidRPr="00AC768E">
        <w:rPr>
          <w:lang w:val="en-GB"/>
        </w:rPr>
        <w:t xml:space="preserve">to </w:t>
      </w:r>
      <w:r w:rsidRPr="00AC768E">
        <w:rPr>
          <w:lang w:val="en-GB"/>
        </w:rPr>
        <w:t>consolidate its market leadership, but also increased its reliance on foreign brands</w:t>
      </w:r>
      <w:r w:rsidR="0081747E" w:rsidRPr="00AC768E">
        <w:rPr>
          <w:lang w:val="en-GB"/>
        </w:rPr>
        <w:t>.</w:t>
      </w:r>
      <w:r w:rsidRPr="00AC768E">
        <w:rPr>
          <w:lang w:val="en-GB"/>
        </w:rPr>
        <w:t xml:space="preserve"> </w:t>
      </w:r>
      <w:r w:rsidR="0081747E" w:rsidRPr="00AC768E">
        <w:rPr>
          <w:lang w:val="en-GB"/>
        </w:rPr>
        <w:t xml:space="preserve">The latter </w:t>
      </w:r>
      <w:r w:rsidRPr="00AC768E">
        <w:rPr>
          <w:lang w:val="en-GB"/>
        </w:rPr>
        <w:t xml:space="preserve">was increasingly a concern for Funskool because some </w:t>
      </w:r>
      <w:r w:rsidR="0081747E" w:rsidRPr="00AC768E">
        <w:rPr>
          <w:lang w:val="en-GB"/>
        </w:rPr>
        <w:t>foreign brands</w:t>
      </w:r>
      <w:r w:rsidRPr="00AC768E">
        <w:rPr>
          <w:lang w:val="en-GB"/>
        </w:rPr>
        <w:t xml:space="preserve"> were contemplating entering the Indian market</w:t>
      </w:r>
      <w:r w:rsidR="0081747E" w:rsidRPr="00AC768E">
        <w:rPr>
          <w:lang w:val="en-GB"/>
        </w:rPr>
        <w:t>, which</w:t>
      </w:r>
      <w:r w:rsidRPr="00AC768E">
        <w:rPr>
          <w:lang w:val="en-GB"/>
        </w:rPr>
        <w:t xml:space="preserve"> could have a great impact on </w:t>
      </w:r>
      <w:r w:rsidR="0081747E" w:rsidRPr="00AC768E">
        <w:rPr>
          <w:lang w:val="en-GB"/>
        </w:rPr>
        <w:t xml:space="preserve">Funskool’s </w:t>
      </w:r>
      <w:r w:rsidRPr="00AC768E">
        <w:rPr>
          <w:lang w:val="en-GB"/>
        </w:rPr>
        <w:t xml:space="preserve">revenues. </w:t>
      </w:r>
      <w:r w:rsidR="0081747E" w:rsidRPr="00AC768E">
        <w:rPr>
          <w:lang w:val="en-GB"/>
        </w:rPr>
        <w:t xml:space="preserve">Approximately </w:t>
      </w:r>
      <w:r w:rsidRPr="00AC768E">
        <w:rPr>
          <w:lang w:val="en-GB"/>
        </w:rPr>
        <w:t>75 per cent of Funskool’s revenue came from licensing arrangements</w:t>
      </w:r>
      <w:r w:rsidR="0081747E" w:rsidRPr="00AC768E">
        <w:rPr>
          <w:lang w:val="en-GB"/>
        </w:rPr>
        <w:t xml:space="preserve"> (see Exhibit 7)</w:t>
      </w:r>
      <w:r w:rsidRPr="00AC768E">
        <w:rPr>
          <w:lang w:val="en-GB"/>
        </w:rPr>
        <w:t xml:space="preserve">. Although the growth of its </w:t>
      </w:r>
      <w:r w:rsidR="0081747E" w:rsidRPr="00AC768E">
        <w:rPr>
          <w:lang w:val="en-GB"/>
        </w:rPr>
        <w:t xml:space="preserve">own </w:t>
      </w:r>
      <w:r w:rsidRPr="00AC768E">
        <w:rPr>
          <w:lang w:val="en-GB"/>
        </w:rPr>
        <w:t xml:space="preserve">brands had been encouraging in recent years, Funskool hoped to increase </w:t>
      </w:r>
      <w:r w:rsidR="0081747E" w:rsidRPr="00AC768E">
        <w:rPr>
          <w:lang w:val="en-GB"/>
        </w:rPr>
        <w:t>those sales</w:t>
      </w:r>
      <w:r w:rsidRPr="00AC768E">
        <w:rPr>
          <w:lang w:val="en-GB"/>
        </w:rPr>
        <w:t xml:space="preserve"> to 50 per cent of total revenues, from </w:t>
      </w:r>
      <w:r w:rsidR="0081747E" w:rsidRPr="00AC768E">
        <w:rPr>
          <w:lang w:val="en-GB"/>
        </w:rPr>
        <w:t xml:space="preserve">its </w:t>
      </w:r>
      <w:r w:rsidRPr="00AC768E">
        <w:rPr>
          <w:lang w:val="en-GB"/>
        </w:rPr>
        <w:t>current level of 25 per cent. This goal would be a great challenge.</w:t>
      </w:r>
    </w:p>
    <w:p w14:paraId="0EFAA9C5" w14:textId="77777777" w:rsidR="00D065BF" w:rsidRPr="00CB4F3B" w:rsidRDefault="00D065BF" w:rsidP="0081747E">
      <w:pPr>
        <w:pStyle w:val="BodyTextMain"/>
        <w:widowControl w:val="0"/>
        <w:rPr>
          <w:sz w:val="20"/>
          <w:lang w:val="en-GB"/>
        </w:rPr>
      </w:pPr>
    </w:p>
    <w:p w14:paraId="51E97F07" w14:textId="5FA8952E" w:rsidR="00D065BF" w:rsidRDefault="00D065BF" w:rsidP="0081747E">
      <w:pPr>
        <w:pStyle w:val="BodyTextMain"/>
        <w:widowControl w:val="0"/>
        <w:rPr>
          <w:lang w:val="en-GB"/>
        </w:rPr>
      </w:pPr>
      <w:r w:rsidRPr="00CB4F3B">
        <w:rPr>
          <w:lang w:val="en-GB"/>
        </w:rPr>
        <w:t>Funskool operated in the mid-</w:t>
      </w:r>
      <w:r w:rsidR="0081747E">
        <w:rPr>
          <w:lang w:val="en-GB"/>
        </w:rPr>
        <w:t xml:space="preserve"> </w:t>
      </w:r>
      <w:r w:rsidRPr="00CB4F3B">
        <w:rPr>
          <w:lang w:val="en-GB"/>
        </w:rPr>
        <w:t>to</w:t>
      </w:r>
      <w:r w:rsidR="0081747E">
        <w:rPr>
          <w:lang w:val="en-GB"/>
        </w:rPr>
        <w:t xml:space="preserve"> </w:t>
      </w:r>
      <w:r w:rsidRPr="00CB4F3B">
        <w:rPr>
          <w:lang w:val="en-GB"/>
        </w:rPr>
        <w:t>premium</w:t>
      </w:r>
      <w:r w:rsidR="0081747E">
        <w:rPr>
          <w:lang w:val="en-GB"/>
        </w:rPr>
        <w:t>-</w:t>
      </w:r>
      <w:r w:rsidRPr="00CB4F3B">
        <w:rPr>
          <w:lang w:val="en-GB"/>
        </w:rPr>
        <w:t>price segment of the organized segment of toys and provided superior</w:t>
      </w:r>
      <w:r w:rsidR="0081747E">
        <w:rPr>
          <w:lang w:val="en-GB"/>
        </w:rPr>
        <w:t>-</w:t>
      </w:r>
      <w:r w:rsidRPr="00CB4F3B">
        <w:rPr>
          <w:lang w:val="en-GB"/>
        </w:rPr>
        <w:t xml:space="preserve">quality products, compared </w:t>
      </w:r>
      <w:r w:rsidR="0081747E">
        <w:rPr>
          <w:lang w:val="en-GB"/>
        </w:rPr>
        <w:t>with</w:t>
      </w:r>
      <w:r w:rsidR="0081747E" w:rsidRPr="00CB4F3B">
        <w:rPr>
          <w:lang w:val="en-GB"/>
        </w:rPr>
        <w:t xml:space="preserve"> </w:t>
      </w:r>
      <w:r w:rsidRPr="00CB4F3B">
        <w:rPr>
          <w:lang w:val="en-GB"/>
        </w:rPr>
        <w:t xml:space="preserve">Chinese brands. However, it could not completely ignore the competition because Chinese toy manufacturers catered to the unorganized sector </w:t>
      </w:r>
      <w:r w:rsidR="0081747E">
        <w:rPr>
          <w:lang w:val="en-GB"/>
        </w:rPr>
        <w:t>and</w:t>
      </w:r>
      <w:r w:rsidRPr="00CB4F3B">
        <w:rPr>
          <w:lang w:val="en-GB"/>
        </w:rPr>
        <w:t xml:space="preserve"> </w:t>
      </w:r>
      <w:r w:rsidR="0081747E" w:rsidRPr="00CB4F3B">
        <w:rPr>
          <w:lang w:val="en-GB"/>
        </w:rPr>
        <w:t>manufactur</w:t>
      </w:r>
      <w:r w:rsidR="0081747E">
        <w:rPr>
          <w:lang w:val="en-GB"/>
        </w:rPr>
        <w:t>ed</w:t>
      </w:r>
      <w:r w:rsidR="0081747E" w:rsidRPr="00CB4F3B">
        <w:rPr>
          <w:lang w:val="en-GB"/>
        </w:rPr>
        <w:t xml:space="preserve"> </w:t>
      </w:r>
      <w:r w:rsidRPr="00CB4F3B">
        <w:rPr>
          <w:lang w:val="en-GB"/>
        </w:rPr>
        <w:t>products for major international brands such as Hasbro, Mattel, and Lego. China was experiencing its own cost issues from rising real estate prices, increasing labour costs, and higher and stricter safety measures, which were affecting Chinese toy production. However, the Chinese toy industry was in the process of moving higher up the value chain by improving quality and moving toward higher-end product segments</w:t>
      </w:r>
      <w:r w:rsidR="0081747E">
        <w:rPr>
          <w:lang w:val="en-GB"/>
        </w:rPr>
        <w:t>, which</w:t>
      </w:r>
      <w:r w:rsidRPr="00CB4F3B">
        <w:rPr>
          <w:lang w:val="en-GB"/>
        </w:rPr>
        <w:t xml:space="preserve"> created a new challenge for Funskool. Until this point, its competitive strategy against the Chinese toy industry was based on rising above the lower segments, but the company </w:t>
      </w:r>
      <w:r w:rsidR="0081747E" w:rsidRPr="00CB4F3B">
        <w:rPr>
          <w:lang w:val="en-GB"/>
        </w:rPr>
        <w:t>fac</w:t>
      </w:r>
      <w:r w:rsidR="0081747E">
        <w:rPr>
          <w:lang w:val="en-GB"/>
        </w:rPr>
        <w:t>ed</w:t>
      </w:r>
      <w:r w:rsidR="0081747E" w:rsidRPr="00CB4F3B">
        <w:rPr>
          <w:lang w:val="en-GB"/>
        </w:rPr>
        <w:t xml:space="preserve"> </w:t>
      </w:r>
      <w:r w:rsidRPr="00CB4F3B">
        <w:rPr>
          <w:lang w:val="en-GB"/>
        </w:rPr>
        <w:t xml:space="preserve">the predicament of competing directly with Chinese companies in the higher segments. </w:t>
      </w:r>
    </w:p>
    <w:p w14:paraId="69F20536" w14:textId="77777777" w:rsidR="0081747E" w:rsidRPr="00CB4F3B" w:rsidRDefault="0081747E" w:rsidP="0081747E">
      <w:pPr>
        <w:pStyle w:val="BodyTextMain"/>
        <w:widowControl w:val="0"/>
        <w:rPr>
          <w:lang w:val="en-GB"/>
        </w:rPr>
      </w:pPr>
    </w:p>
    <w:p w14:paraId="2DFD7611" w14:textId="25362245" w:rsidR="00D065BF" w:rsidRPr="00CB4F3B" w:rsidRDefault="00D065BF" w:rsidP="0081747E">
      <w:pPr>
        <w:pStyle w:val="BodyTextMain"/>
        <w:widowControl w:val="0"/>
        <w:rPr>
          <w:lang w:val="en-GB"/>
        </w:rPr>
      </w:pPr>
      <w:r w:rsidRPr="00CB4F3B">
        <w:rPr>
          <w:lang w:val="en-GB"/>
        </w:rPr>
        <w:t xml:space="preserve">One of Funskool’s multi-brand retailers in Chennai, India, compared the Chinese </w:t>
      </w:r>
      <w:r w:rsidR="00C6676C">
        <w:rPr>
          <w:lang w:val="en-GB"/>
        </w:rPr>
        <w:t>toys</w:t>
      </w:r>
      <w:r w:rsidR="00C6676C" w:rsidRPr="00CB4F3B">
        <w:rPr>
          <w:lang w:val="en-GB"/>
        </w:rPr>
        <w:t xml:space="preserve"> </w:t>
      </w:r>
      <w:r w:rsidRPr="00CB4F3B">
        <w:rPr>
          <w:lang w:val="en-GB"/>
        </w:rPr>
        <w:t>against Funskool</w:t>
      </w:r>
      <w:r w:rsidR="00C6676C">
        <w:rPr>
          <w:lang w:val="en-GB"/>
        </w:rPr>
        <w:t>’s</w:t>
      </w:r>
      <w:r w:rsidRPr="00CB4F3B">
        <w:rPr>
          <w:lang w:val="en-GB"/>
        </w:rPr>
        <w:t xml:space="preserve"> and decided to stock </w:t>
      </w:r>
      <w:r w:rsidR="00C6676C">
        <w:rPr>
          <w:lang w:val="en-GB"/>
        </w:rPr>
        <w:t xml:space="preserve">both the </w:t>
      </w:r>
      <w:r w:rsidRPr="00CB4F3B">
        <w:rPr>
          <w:lang w:val="en-GB"/>
        </w:rPr>
        <w:t xml:space="preserve">Chinese toys </w:t>
      </w:r>
      <w:r w:rsidR="00C6676C">
        <w:rPr>
          <w:lang w:val="en-GB"/>
        </w:rPr>
        <w:t>and</w:t>
      </w:r>
      <w:r w:rsidRPr="00CB4F3B">
        <w:rPr>
          <w:lang w:val="en-GB"/>
        </w:rPr>
        <w:t xml:space="preserve"> major </w:t>
      </w:r>
      <w:r w:rsidR="00C6676C">
        <w:rPr>
          <w:lang w:val="en-GB"/>
        </w:rPr>
        <w:t xml:space="preserve">domestic </w:t>
      </w:r>
      <w:r w:rsidRPr="00CB4F3B">
        <w:rPr>
          <w:lang w:val="en-GB"/>
        </w:rPr>
        <w:t>brands. The retailer announced that the Chinese products were better accessorized, had similar or better quality, and were priced lower:</w:t>
      </w:r>
    </w:p>
    <w:p w14:paraId="58D3F109" w14:textId="77777777" w:rsidR="00D065BF" w:rsidRDefault="00D065BF" w:rsidP="0081747E">
      <w:pPr>
        <w:pStyle w:val="BodyTextMain"/>
        <w:widowControl w:val="0"/>
        <w:rPr>
          <w:sz w:val="20"/>
          <w:lang w:val="en-GB"/>
        </w:rPr>
      </w:pPr>
    </w:p>
    <w:p w14:paraId="36B984C4" w14:textId="77777777" w:rsidR="00783C90" w:rsidRPr="00CB4F3B" w:rsidRDefault="00783C90" w:rsidP="0081747E">
      <w:pPr>
        <w:pStyle w:val="BodyTextMain"/>
        <w:widowControl w:val="0"/>
        <w:rPr>
          <w:sz w:val="20"/>
          <w:lang w:val="en-GB"/>
        </w:rPr>
      </w:pPr>
      <w:bookmarkStart w:id="1" w:name="_GoBack"/>
      <w:bookmarkEnd w:id="1"/>
    </w:p>
    <w:p w14:paraId="414F962D" w14:textId="57778B18" w:rsidR="00D065BF" w:rsidRPr="00CB4F3B" w:rsidRDefault="00D065BF" w:rsidP="00783C90">
      <w:pPr>
        <w:pStyle w:val="BodyTextMain"/>
        <w:keepNext/>
        <w:widowControl w:val="0"/>
        <w:ind w:left="720"/>
        <w:rPr>
          <w:lang w:val="en-GB"/>
        </w:rPr>
      </w:pPr>
      <w:r w:rsidRPr="00CB4F3B">
        <w:rPr>
          <w:lang w:val="en-GB"/>
        </w:rPr>
        <w:lastRenderedPageBreak/>
        <w:t xml:space="preserve">For instance, NERF (blasters and darts), a licensed product of Funskool, is priced at </w:t>
      </w:r>
      <w:r w:rsidRPr="00757EC9">
        <w:rPr>
          <w:rFonts w:ascii="Arial" w:hAnsi="Arial" w:cs="Arial"/>
          <w:sz w:val="20"/>
          <w:szCs w:val="20"/>
          <w:lang w:val="en-GB"/>
        </w:rPr>
        <w:t>₹</w:t>
      </w:r>
      <w:r w:rsidRPr="00CB4F3B">
        <w:rPr>
          <w:lang w:val="en-GB"/>
        </w:rPr>
        <w:t xml:space="preserve">225 while product of similar quality from China is priced </w:t>
      </w:r>
      <w:r w:rsidRPr="00BD4F1C">
        <w:rPr>
          <w:lang w:val="en-GB"/>
        </w:rPr>
        <w:t>at</w:t>
      </w:r>
      <w:r w:rsidRPr="00CB4F3B">
        <w:rPr>
          <w:lang w:val="en-GB"/>
        </w:rPr>
        <w:t xml:space="preserve"> </w:t>
      </w:r>
      <w:r w:rsidRPr="00757EC9">
        <w:rPr>
          <w:rFonts w:ascii="Arial" w:hAnsi="Arial" w:cs="Arial"/>
          <w:sz w:val="20"/>
          <w:szCs w:val="20"/>
          <w:lang w:val="en-GB"/>
        </w:rPr>
        <w:t>₹</w:t>
      </w:r>
      <w:r w:rsidRPr="00CB4F3B">
        <w:rPr>
          <w:lang w:val="en-GB"/>
        </w:rPr>
        <w:t>160. With NERF, you only get 5–6 darts with the blaster, whereas you would get 12–15 darts with the Chinese products. So, a customer not only gains on price, but also is able to get more for less.</w:t>
      </w:r>
    </w:p>
    <w:p w14:paraId="25410B40" w14:textId="77777777" w:rsidR="00D065BF" w:rsidRPr="00CB4F3B" w:rsidRDefault="00D065BF" w:rsidP="0081747E">
      <w:pPr>
        <w:pStyle w:val="BodyTextMain"/>
        <w:widowControl w:val="0"/>
        <w:rPr>
          <w:sz w:val="20"/>
          <w:lang w:val="en-GB"/>
        </w:rPr>
      </w:pPr>
    </w:p>
    <w:p w14:paraId="4B5953FE" w14:textId="6A3130FD" w:rsidR="00BD45E2" w:rsidRPr="00CB4F3B" w:rsidRDefault="00D065BF" w:rsidP="0081747E">
      <w:pPr>
        <w:pStyle w:val="BodyTextMain"/>
        <w:widowControl w:val="0"/>
        <w:rPr>
          <w:spacing w:val="-2"/>
          <w:lang w:val="en-GB"/>
        </w:rPr>
      </w:pPr>
      <w:r w:rsidRPr="00CB4F3B">
        <w:rPr>
          <w:spacing w:val="-2"/>
          <w:lang w:val="en-GB"/>
        </w:rPr>
        <w:t>Moreover, the massive and rapid penetration of affordable smartphones had led to high</w:t>
      </w:r>
      <w:r w:rsidR="00BD4F1C">
        <w:rPr>
          <w:spacing w:val="-2"/>
          <w:lang w:val="en-GB"/>
        </w:rPr>
        <w:t xml:space="preserve"> </w:t>
      </w:r>
      <w:r w:rsidRPr="00CB4F3B">
        <w:rPr>
          <w:spacing w:val="-2"/>
          <w:lang w:val="en-GB"/>
        </w:rPr>
        <w:t xml:space="preserve">volumes of game downloads, </w:t>
      </w:r>
      <w:r w:rsidR="00BD4F1C">
        <w:rPr>
          <w:spacing w:val="-2"/>
          <w:lang w:val="en-GB"/>
        </w:rPr>
        <w:t xml:space="preserve">which </w:t>
      </w:r>
      <w:r w:rsidR="00BD4F1C" w:rsidRPr="00CB4F3B">
        <w:rPr>
          <w:spacing w:val="-2"/>
          <w:lang w:val="en-GB"/>
        </w:rPr>
        <w:t>strengthen</w:t>
      </w:r>
      <w:r w:rsidR="00BD4F1C">
        <w:rPr>
          <w:spacing w:val="-2"/>
          <w:lang w:val="en-GB"/>
        </w:rPr>
        <w:t>ed</w:t>
      </w:r>
      <w:r w:rsidR="00BD4F1C" w:rsidRPr="00CB4F3B">
        <w:rPr>
          <w:spacing w:val="-2"/>
          <w:lang w:val="en-GB"/>
        </w:rPr>
        <w:t xml:space="preserve"> </w:t>
      </w:r>
      <w:r w:rsidRPr="00CB4F3B">
        <w:rPr>
          <w:spacing w:val="-2"/>
          <w:lang w:val="en-GB"/>
        </w:rPr>
        <w:t xml:space="preserve">the growth trend of digital video games, computer games, and mobile games. These new products had made such as rapid impact </w:t>
      </w:r>
      <w:r w:rsidR="00C6676C">
        <w:rPr>
          <w:spacing w:val="-2"/>
          <w:lang w:val="en-GB"/>
        </w:rPr>
        <w:t>on</w:t>
      </w:r>
      <w:r w:rsidRPr="00CB4F3B">
        <w:rPr>
          <w:spacing w:val="-2"/>
          <w:lang w:val="en-GB"/>
        </w:rPr>
        <w:t xml:space="preserve"> children</w:t>
      </w:r>
      <w:r w:rsidR="00C6676C">
        <w:rPr>
          <w:spacing w:val="-2"/>
          <w:lang w:val="en-GB"/>
        </w:rPr>
        <w:t>’s preferences</w:t>
      </w:r>
      <w:r w:rsidRPr="00CB4F3B">
        <w:rPr>
          <w:spacing w:val="-2"/>
          <w:lang w:val="en-GB"/>
        </w:rPr>
        <w:t xml:space="preserve"> that many experts wondered </w:t>
      </w:r>
      <w:r w:rsidR="00BD4F1C">
        <w:rPr>
          <w:spacing w:val="-2"/>
          <w:lang w:val="en-GB"/>
        </w:rPr>
        <w:t>whether</w:t>
      </w:r>
      <w:r w:rsidR="00BD4F1C" w:rsidRPr="00CB4F3B">
        <w:rPr>
          <w:spacing w:val="-2"/>
          <w:lang w:val="en-GB"/>
        </w:rPr>
        <w:t xml:space="preserve"> </w:t>
      </w:r>
      <w:r w:rsidRPr="00CB4F3B">
        <w:rPr>
          <w:spacing w:val="-2"/>
          <w:lang w:val="en-GB"/>
        </w:rPr>
        <w:t>traditional toys were still relevant to the new generation. This category grew at more than double the rate of the traditional toy category, which seemed to be slowing down considerably. The digital games segment was expected to surpass the traditional toy segment in 2018, much earlier than some projections (see Exhibit</w:t>
      </w:r>
      <w:r w:rsidR="0027215A">
        <w:rPr>
          <w:spacing w:val="-2"/>
          <w:lang w:val="en-GB"/>
        </w:rPr>
        <w:t>s</w:t>
      </w:r>
      <w:r w:rsidRPr="00CB4F3B">
        <w:rPr>
          <w:spacing w:val="-2"/>
          <w:lang w:val="en-GB"/>
        </w:rPr>
        <w:t xml:space="preserve"> 8 and 9). Although most parents were concerned about exposing young children to mobile devices, children aged five years and </w:t>
      </w:r>
      <w:r w:rsidR="00BD4F1C">
        <w:rPr>
          <w:spacing w:val="-2"/>
          <w:lang w:val="en-GB"/>
        </w:rPr>
        <w:t>older</w:t>
      </w:r>
      <w:r w:rsidR="00BD4F1C" w:rsidRPr="00CB4F3B">
        <w:rPr>
          <w:spacing w:val="-2"/>
          <w:lang w:val="en-GB"/>
        </w:rPr>
        <w:t xml:space="preserve"> </w:t>
      </w:r>
      <w:r w:rsidRPr="00CB4F3B">
        <w:rPr>
          <w:spacing w:val="-2"/>
          <w:lang w:val="en-GB"/>
        </w:rPr>
        <w:t>were already moving away from traditional toys to video and mobile games. As a result, new gadgets carved a 5–10 per cent share from board games and puzzles, especially in the age range of six to 12 years.</w:t>
      </w:r>
      <w:r w:rsidRPr="00CB4F3B">
        <w:rPr>
          <w:rStyle w:val="FootnoteReference"/>
          <w:spacing w:val="-2"/>
          <w:lang w:val="en-GB"/>
        </w:rPr>
        <w:footnoteReference w:id="21"/>
      </w:r>
      <w:r w:rsidRPr="00CB4F3B">
        <w:rPr>
          <w:spacing w:val="-2"/>
          <w:lang w:val="en-GB"/>
        </w:rPr>
        <w:t xml:space="preserve"> </w:t>
      </w:r>
      <w:r w:rsidR="00BD45E2" w:rsidRPr="00CB4F3B">
        <w:rPr>
          <w:spacing w:val="-2"/>
          <w:lang w:val="en-GB"/>
        </w:rPr>
        <w:t xml:space="preserve">This </w:t>
      </w:r>
      <w:r w:rsidR="004C15A5" w:rsidRPr="00CB4F3B">
        <w:rPr>
          <w:spacing w:val="-2"/>
          <w:lang w:val="en-GB"/>
        </w:rPr>
        <w:t>issue</w:t>
      </w:r>
      <w:r w:rsidR="009A2448">
        <w:rPr>
          <w:spacing w:val="-2"/>
          <w:lang w:val="en-GB"/>
        </w:rPr>
        <w:t>, which</w:t>
      </w:r>
      <w:r w:rsidR="004C15A5" w:rsidRPr="00CB4F3B">
        <w:rPr>
          <w:spacing w:val="-2"/>
          <w:lang w:val="en-GB"/>
        </w:rPr>
        <w:t xml:space="preserve"> was threatening to become</w:t>
      </w:r>
      <w:r w:rsidR="00BD45E2" w:rsidRPr="00CB4F3B">
        <w:rPr>
          <w:spacing w:val="-2"/>
          <w:lang w:val="en-GB"/>
        </w:rPr>
        <w:t xml:space="preserve"> Funskool</w:t>
      </w:r>
      <w:r w:rsidR="004C15A5" w:rsidRPr="00CB4F3B">
        <w:rPr>
          <w:spacing w:val="-2"/>
          <w:lang w:val="en-GB"/>
        </w:rPr>
        <w:t>’s m</w:t>
      </w:r>
      <w:r w:rsidR="00CE58E7" w:rsidRPr="00CB4F3B">
        <w:rPr>
          <w:spacing w:val="-2"/>
          <w:lang w:val="en-GB"/>
        </w:rPr>
        <w:t>ost serious</w:t>
      </w:r>
      <w:r w:rsidR="004C15A5" w:rsidRPr="00CB4F3B">
        <w:rPr>
          <w:spacing w:val="-2"/>
          <w:lang w:val="en-GB"/>
        </w:rPr>
        <w:t xml:space="preserve"> challenge</w:t>
      </w:r>
      <w:r w:rsidR="00BD45E2" w:rsidRPr="00CB4F3B">
        <w:rPr>
          <w:spacing w:val="-2"/>
          <w:lang w:val="en-GB"/>
        </w:rPr>
        <w:t xml:space="preserve"> </w:t>
      </w:r>
      <w:r w:rsidR="004C15A5" w:rsidRPr="00CB4F3B">
        <w:rPr>
          <w:spacing w:val="-2"/>
          <w:lang w:val="en-GB"/>
        </w:rPr>
        <w:t>bec</w:t>
      </w:r>
      <w:r w:rsidR="00BD45E2" w:rsidRPr="00CB4F3B">
        <w:rPr>
          <w:spacing w:val="-2"/>
          <w:lang w:val="en-GB"/>
        </w:rPr>
        <w:t>a</w:t>
      </w:r>
      <w:r w:rsidR="004C15A5" w:rsidRPr="00CB4F3B">
        <w:rPr>
          <w:spacing w:val="-2"/>
          <w:lang w:val="en-GB"/>
        </w:rPr>
        <w:t>u</w:t>
      </w:r>
      <w:r w:rsidR="00BD45E2" w:rsidRPr="00CB4F3B">
        <w:rPr>
          <w:spacing w:val="-2"/>
          <w:lang w:val="en-GB"/>
        </w:rPr>
        <w:t>s</w:t>
      </w:r>
      <w:r w:rsidR="004C15A5" w:rsidRPr="00CB4F3B">
        <w:rPr>
          <w:spacing w:val="-2"/>
          <w:lang w:val="en-GB"/>
        </w:rPr>
        <w:t>e</w:t>
      </w:r>
      <w:r w:rsidR="00BD45E2" w:rsidRPr="00CB4F3B">
        <w:rPr>
          <w:spacing w:val="-2"/>
          <w:lang w:val="en-GB"/>
        </w:rPr>
        <w:t xml:space="preserve"> </w:t>
      </w:r>
      <w:r w:rsidR="00CE58E7" w:rsidRPr="00CB4F3B">
        <w:rPr>
          <w:spacing w:val="-2"/>
          <w:lang w:val="en-GB"/>
        </w:rPr>
        <w:t>the company</w:t>
      </w:r>
      <w:r w:rsidR="00BD45E2" w:rsidRPr="00CB4F3B">
        <w:rPr>
          <w:spacing w:val="-2"/>
          <w:lang w:val="en-GB"/>
        </w:rPr>
        <w:t xml:space="preserve"> had no presence in this category</w:t>
      </w:r>
      <w:r w:rsidR="009A2448">
        <w:rPr>
          <w:spacing w:val="-2"/>
          <w:lang w:val="en-GB"/>
        </w:rPr>
        <w:t>,</w:t>
      </w:r>
      <w:r w:rsidR="00CE58E7" w:rsidRPr="00CB4F3B">
        <w:rPr>
          <w:spacing w:val="-2"/>
          <w:lang w:val="en-GB"/>
        </w:rPr>
        <w:t xml:space="preserve"> </w:t>
      </w:r>
      <w:r w:rsidR="00BD45E2" w:rsidRPr="00CB4F3B">
        <w:rPr>
          <w:spacing w:val="-2"/>
          <w:lang w:val="en-GB"/>
        </w:rPr>
        <w:t xml:space="preserve">was </w:t>
      </w:r>
      <w:r w:rsidR="004C15A5" w:rsidRPr="00CB4F3B">
        <w:rPr>
          <w:spacing w:val="-2"/>
          <w:lang w:val="en-GB"/>
        </w:rPr>
        <w:t xml:space="preserve">also </w:t>
      </w:r>
      <w:r w:rsidR="00BD45E2" w:rsidRPr="00CB4F3B">
        <w:rPr>
          <w:spacing w:val="-2"/>
          <w:lang w:val="en-GB"/>
        </w:rPr>
        <w:t xml:space="preserve">the cause of </w:t>
      </w:r>
      <w:r w:rsidR="00CE58E7" w:rsidRPr="00CB4F3B">
        <w:rPr>
          <w:spacing w:val="-2"/>
          <w:lang w:val="en-GB"/>
        </w:rPr>
        <w:t>the company’s</w:t>
      </w:r>
      <w:r w:rsidR="00BD45E2" w:rsidRPr="00CB4F3B">
        <w:rPr>
          <w:spacing w:val="-2"/>
          <w:lang w:val="en-GB"/>
        </w:rPr>
        <w:t xml:space="preserve"> sliding market share</w:t>
      </w:r>
      <w:r w:rsidR="004C15A5" w:rsidRPr="00CB4F3B">
        <w:rPr>
          <w:spacing w:val="-2"/>
          <w:lang w:val="en-GB"/>
        </w:rPr>
        <w:t>,</w:t>
      </w:r>
      <w:r w:rsidR="00BD45E2" w:rsidRPr="00CB4F3B">
        <w:rPr>
          <w:spacing w:val="-2"/>
          <w:lang w:val="en-GB"/>
        </w:rPr>
        <w:t xml:space="preserve"> despite </w:t>
      </w:r>
      <w:r w:rsidR="00CE58E7" w:rsidRPr="00CB4F3B">
        <w:rPr>
          <w:spacing w:val="-2"/>
          <w:lang w:val="en-GB"/>
        </w:rPr>
        <w:t>having a</w:t>
      </w:r>
      <w:r w:rsidR="004C15A5" w:rsidRPr="00CB4F3B">
        <w:rPr>
          <w:spacing w:val="-2"/>
          <w:lang w:val="en-GB"/>
        </w:rPr>
        <w:t xml:space="preserve"> </w:t>
      </w:r>
      <w:r w:rsidR="00BD45E2" w:rsidRPr="00CB4F3B">
        <w:rPr>
          <w:spacing w:val="-2"/>
          <w:lang w:val="en-GB"/>
        </w:rPr>
        <w:t>grow</w:t>
      </w:r>
      <w:r w:rsidR="004C15A5" w:rsidRPr="00CB4F3B">
        <w:rPr>
          <w:spacing w:val="-2"/>
          <w:lang w:val="en-GB"/>
        </w:rPr>
        <w:t>th</w:t>
      </w:r>
      <w:r w:rsidR="00BD45E2" w:rsidRPr="00CB4F3B">
        <w:rPr>
          <w:spacing w:val="-2"/>
          <w:lang w:val="en-GB"/>
        </w:rPr>
        <w:t xml:space="preserve"> </w:t>
      </w:r>
      <w:r w:rsidR="00CE58E7" w:rsidRPr="00CB4F3B">
        <w:rPr>
          <w:spacing w:val="-2"/>
          <w:lang w:val="en-GB"/>
        </w:rPr>
        <w:t xml:space="preserve">rate </w:t>
      </w:r>
      <w:r w:rsidR="00BD45E2" w:rsidRPr="00CB4F3B">
        <w:rPr>
          <w:spacing w:val="-2"/>
          <w:lang w:val="en-GB"/>
        </w:rPr>
        <w:t xml:space="preserve">twice </w:t>
      </w:r>
      <w:r w:rsidR="00CE58E7" w:rsidRPr="00CB4F3B">
        <w:rPr>
          <w:spacing w:val="-2"/>
          <w:lang w:val="en-GB"/>
        </w:rPr>
        <w:t xml:space="preserve">as high as </w:t>
      </w:r>
      <w:r w:rsidR="00BD45E2" w:rsidRPr="00CB4F3B">
        <w:rPr>
          <w:spacing w:val="-2"/>
          <w:lang w:val="en-GB"/>
        </w:rPr>
        <w:t>the industry</w:t>
      </w:r>
      <w:r w:rsidR="004C15A5" w:rsidRPr="00CB4F3B">
        <w:rPr>
          <w:spacing w:val="-2"/>
          <w:lang w:val="en-GB"/>
        </w:rPr>
        <w:t>’s</w:t>
      </w:r>
      <w:r w:rsidR="00BD45E2" w:rsidRPr="00CB4F3B">
        <w:rPr>
          <w:spacing w:val="-2"/>
          <w:lang w:val="en-GB"/>
        </w:rPr>
        <w:t xml:space="preserve"> growth.</w:t>
      </w:r>
      <w:r w:rsidR="00BD45E2" w:rsidRPr="00CB4F3B" w:rsidDel="00D70A6B">
        <w:rPr>
          <w:spacing w:val="-2"/>
          <w:vertAlign w:val="superscript"/>
          <w:lang w:val="en-GB"/>
        </w:rPr>
        <w:t xml:space="preserve"> </w:t>
      </w:r>
    </w:p>
    <w:p w14:paraId="009968E4" w14:textId="77777777" w:rsidR="00F367FC" w:rsidRPr="00CB4F3B" w:rsidRDefault="00F367FC" w:rsidP="0081747E">
      <w:pPr>
        <w:pStyle w:val="BodyTextMain"/>
        <w:widowControl w:val="0"/>
        <w:rPr>
          <w:sz w:val="20"/>
          <w:lang w:val="en-GB"/>
        </w:rPr>
      </w:pPr>
    </w:p>
    <w:p w14:paraId="1CC49692" w14:textId="77777777" w:rsidR="00F367FC" w:rsidRPr="00CB4F3B" w:rsidRDefault="00F367FC" w:rsidP="0081747E">
      <w:pPr>
        <w:pStyle w:val="BodyTextMain"/>
        <w:widowControl w:val="0"/>
        <w:rPr>
          <w:sz w:val="20"/>
          <w:lang w:val="en-GB"/>
        </w:rPr>
      </w:pPr>
    </w:p>
    <w:p w14:paraId="50A9E803" w14:textId="42003380" w:rsidR="00BD45E2" w:rsidRPr="00CB4F3B" w:rsidRDefault="00CE58E7" w:rsidP="0081747E">
      <w:pPr>
        <w:pStyle w:val="Casehead1"/>
        <w:keepNext/>
        <w:widowControl w:val="0"/>
        <w:rPr>
          <w:lang w:val="en-GB"/>
        </w:rPr>
      </w:pPr>
      <w:r w:rsidRPr="00CB4F3B">
        <w:rPr>
          <w:lang w:val="en-GB"/>
        </w:rPr>
        <w:t xml:space="preserve">The </w:t>
      </w:r>
      <w:r w:rsidR="00BD45E2" w:rsidRPr="00CB4F3B">
        <w:rPr>
          <w:lang w:val="en-GB"/>
        </w:rPr>
        <w:t>WAY FORWARD</w:t>
      </w:r>
    </w:p>
    <w:p w14:paraId="2136971B" w14:textId="77777777" w:rsidR="00BD45E2" w:rsidRPr="00CB4F3B" w:rsidRDefault="00BD45E2" w:rsidP="0081747E">
      <w:pPr>
        <w:pStyle w:val="BodyTextMain"/>
        <w:keepNext/>
        <w:widowControl w:val="0"/>
        <w:rPr>
          <w:sz w:val="20"/>
          <w:lang w:val="en-GB"/>
        </w:rPr>
      </w:pPr>
    </w:p>
    <w:p w14:paraId="464F9C62" w14:textId="07CBD0B8" w:rsidR="00BD45E2" w:rsidRPr="00CB4F3B" w:rsidRDefault="00891CBA" w:rsidP="0081747E">
      <w:pPr>
        <w:pStyle w:val="BodyTextMain"/>
        <w:keepNext/>
        <w:widowControl w:val="0"/>
        <w:rPr>
          <w:lang w:val="en-GB"/>
        </w:rPr>
      </w:pPr>
      <w:r w:rsidRPr="00CB4F3B">
        <w:rPr>
          <w:lang w:val="en-GB"/>
        </w:rPr>
        <w:t>After 2002, India’s</w:t>
      </w:r>
      <w:r w:rsidR="00BD45E2" w:rsidRPr="00CB4F3B">
        <w:rPr>
          <w:lang w:val="en-GB"/>
        </w:rPr>
        <w:t xml:space="preserve"> fast</w:t>
      </w:r>
      <w:r w:rsidRPr="00CB4F3B">
        <w:rPr>
          <w:lang w:val="en-GB"/>
        </w:rPr>
        <w:t>-</w:t>
      </w:r>
      <w:r w:rsidR="00BD45E2" w:rsidRPr="00CB4F3B">
        <w:rPr>
          <w:lang w:val="en-GB"/>
        </w:rPr>
        <w:t xml:space="preserve">changing socio-economic and demographic profile </w:t>
      </w:r>
      <w:r w:rsidRPr="00CB4F3B">
        <w:rPr>
          <w:lang w:val="en-GB"/>
        </w:rPr>
        <w:t>boosted</w:t>
      </w:r>
      <w:r w:rsidR="00BD45E2" w:rsidRPr="00CB4F3B">
        <w:rPr>
          <w:lang w:val="en-GB"/>
        </w:rPr>
        <w:t xml:space="preserve"> the Indian toy market </w:t>
      </w:r>
      <w:r w:rsidRPr="00CB4F3B">
        <w:rPr>
          <w:lang w:val="en-GB"/>
        </w:rPr>
        <w:t>toward</w:t>
      </w:r>
      <w:r w:rsidR="00BD45E2" w:rsidRPr="00CB4F3B">
        <w:rPr>
          <w:lang w:val="en-GB"/>
        </w:rPr>
        <w:t xml:space="preserve"> rapid</w:t>
      </w:r>
      <w:r w:rsidRPr="00CB4F3B">
        <w:rPr>
          <w:lang w:val="en-GB"/>
        </w:rPr>
        <w:t xml:space="preserve"> growth. However</w:t>
      </w:r>
      <w:r w:rsidR="00BD45E2" w:rsidRPr="00CB4F3B">
        <w:rPr>
          <w:lang w:val="en-GB"/>
        </w:rPr>
        <w:t xml:space="preserve">, Indian toy manufacturers were crushed by the </w:t>
      </w:r>
      <w:r w:rsidRPr="00CB4F3B">
        <w:rPr>
          <w:lang w:val="en-GB"/>
        </w:rPr>
        <w:t xml:space="preserve">onslaught of </w:t>
      </w:r>
      <w:r w:rsidR="00BD45E2" w:rsidRPr="00CB4F3B">
        <w:rPr>
          <w:lang w:val="en-GB"/>
        </w:rPr>
        <w:t>Chinese toy</w:t>
      </w:r>
      <w:r w:rsidRPr="00CB4F3B">
        <w:rPr>
          <w:lang w:val="en-GB"/>
        </w:rPr>
        <w:t xml:space="preserve"> </w:t>
      </w:r>
      <w:r w:rsidR="00BD45E2" w:rsidRPr="00CB4F3B">
        <w:rPr>
          <w:lang w:val="en-GB"/>
        </w:rPr>
        <w:t>import</w:t>
      </w:r>
      <w:r w:rsidRPr="00CB4F3B">
        <w:rPr>
          <w:lang w:val="en-GB"/>
        </w:rPr>
        <w:t>s</w:t>
      </w:r>
      <w:r w:rsidR="00BD45E2" w:rsidRPr="00CB4F3B">
        <w:rPr>
          <w:lang w:val="en-GB"/>
        </w:rPr>
        <w:t>. Funskool had remained the sole exception</w:t>
      </w:r>
      <w:r w:rsidRPr="00CB4F3B">
        <w:rPr>
          <w:lang w:val="en-GB"/>
        </w:rPr>
        <w:t>, having</w:t>
      </w:r>
      <w:r w:rsidR="00BD45E2" w:rsidRPr="00CB4F3B">
        <w:rPr>
          <w:lang w:val="en-GB"/>
        </w:rPr>
        <w:t xml:space="preserve"> followed prudent strategies. </w:t>
      </w:r>
      <w:r w:rsidRPr="00CB4F3B">
        <w:rPr>
          <w:rStyle w:val="p-content"/>
          <w:lang w:val="en-GB"/>
          <w:specVanish w:val="0"/>
        </w:rPr>
        <w:t>I</w:t>
      </w:r>
      <w:r w:rsidR="00BD45E2" w:rsidRPr="00CB4F3B">
        <w:rPr>
          <w:rStyle w:val="p-content"/>
          <w:lang w:val="en-GB"/>
          <w:specVanish w:val="0"/>
        </w:rPr>
        <w:t xml:space="preserve">n the </w:t>
      </w:r>
      <w:r w:rsidRPr="00CB4F3B">
        <w:rPr>
          <w:rStyle w:val="p-content"/>
          <w:lang w:val="en-GB"/>
          <w:specVanish w:val="0"/>
        </w:rPr>
        <w:t>previous</w:t>
      </w:r>
      <w:r w:rsidR="00BD45E2" w:rsidRPr="00CB4F3B">
        <w:rPr>
          <w:rStyle w:val="p-content"/>
          <w:lang w:val="en-GB"/>
          <w:specVanish w:val="0"/>
        </w:rPr>
        <w:t xml:space="preserve"> five years, </w:t>
      </w:r>
      <w:r w:rsidR="00BD45E2" w:rsidRPr="00CB4F3B">
        <w:rPr>
          <w:lang w:val="en-GB"/>
        </w:rPr>
        <w:t xml:space="preserve">Funskool </w:t>
      </w:r>
      <w:r w:rsidR="00BD45E2" w:rsidRPr="00CB4F3B">
        <w:rPr>
          <w:rStyle w:val="p-content"/>
          <w:lang w:val="en-GB"/>
          <w:specVanish w:val="0"/>
        </w:rPr>
        <w:t>had grown at a</w:t>
      </w:r>
      <w:r w:rsidR="009A2448">
        <w:rPr>
          <w:rStyle w:val="p-content"/>
          <w:lang w:val="en-GB"/>
          <w:specVanish w:val="0"/>
        </w:rPr>
        <w:t>n annual</w:t>
      </w:r>
      <w:r w:rsidR="00BD45E2" w:rsidRPr="00CB4F3B">
        <w:rPr>
          <w:rStyle w:val="p-content"/>
          <w:lang w:val="en-GB"/>
          <w:specVanish w:val="0"/>
        </w:rPr>
        <w:t xml:space="preserve"> rate </w:t>
      </w:r>
      <w:r w:rsidR="00BD4F1C">
        <w:rPr>
          <w:rStyle w:val="p-content"/>
          <w:lang w:val="en-GB"/>
          <w:specVanish w:val="0"/>
        </w:rPr>
        <w:t>of more than</w:t>
      </w:r>
      <w:r w:rsidR="00BD4F1C" w:rsidRPr="00CB4F3B">
        <w:rPr>
          <w:rStyle w:val="p-content"/>
          <w:lang w:val="en-GB"/>
          <w:specVanish w:val="0"/>
        </w:rPr>
        <w:t xml:space="preserve"> </w:t>
      </w:r>
      <w:r w:rsidR="00BD45E2" w:rsidRPr="00CB4F3B">
        <w:rPr>
          <w:rStyle w:val="p-content"/>
          <w:lang w:val="en-GB"/>
          <w:specVanish w:val="0"/>
        </w:rPr>
        <w:t>20 per cent</w:t>
      </w:r>
      <w:r w:rsidRPr="00CB4F3B">
        <w:rPr>
          <w:rStyle w:val="p-content"/>
          <w:lang w:val="en-GB"/>
          <w:specVanish w:val="0"/>
        </w:rPr>
        <w:t>, while the rest of the traditional toy segment’s growth was around 4–6 per cent</w:t>
      </w:r>
      <w:r w:rsidR="00BD45E2" w:rsidRPr="00CB4F3B">
        <w:rPr>
          <w:rStyle w:val="p-content"/>
          <w:lang w:val="en-GB"/>
          <w:specVanish w:val="0"/>
        </w:rPr>
        <w:t xml:space="preserve">. </w:t>
      </w:r>
    </w:p>
    <w:p w14:paraId="772F3091" w14:textId="77777777" w:rsidR="00BD45E2" w:rsidRPr="00CB4F3B" w:rsidRDefault="00BD45E2" w:rsidP="0081747E">
      <w:pPr>
        <w:pStyle w:val="BodyTextMain"/>
        <w:widowControl w:val="0"/>
        <w:rPr>
          <w:sz w:val="20"/>
          <w:lang w:val="en-GB"/>
        </w:rPr>
      </w:pPr>
    </w:p>
    <w:p w14:paraId="68672A20" w14:textId="1D683D6A" w:rsidR="00F94C30" w:rsidRPr="00AC768E" w:rsidRDefault="00BD45E2" w:rsidP="0081747E">
      <w:pPr>
        <w:pStyle w:val="BodyTextMain"/>
        <w:widowControl w:val="0"/>
        <w:rPr>
          <w:spacing w:val="-2"/>
          <w:lang w:val="en-GB"/>
        </w:rPr>
      </w:pPr>
      <w:r w:rsidRPr="00AC768E">
        <w:rPr>
          <w:spacing w:val="-2"/>
          <w:lang w:val="en-GB"/>
        </w:rPr>
        <w:t>Funskool’s</w:t>
      </w:r>
      <w:r w:rsidRPr="00AC768E" w:rsidDel="00FF485F">
        <w:rPr>
          <w:spacing w:val="-2"/>
          <w:lang w:val="en-GB"/>
        </w:rPr>
        <w:t xml:space="preserve"> </w:t>
      </w:r>
      <w:r w:rsidRPr="00AC768E">
        <w:rPr>
          <w:spacing w:val="-2"/>
          <w:lang w:val="en-GB"/>
        </w:rPr>
        <w:t xml:space="preserve">strong growth trajectory, </w:t>
      </w:r>
      <w:r w:rsidR="007714F3" w:rsidRPr="00AC768E">
        <w:rPr>
          <w:spacing w:val="-2"/>
          <w:lang w:val="en-GB"/>
        </w:rPr>
        <w:t xml:space="preserve">the </w:t>
      </w:r>
      <w:r w:rsidRPr="00AC768E">
        <w:rPr>
          <w:spacing w:val="-2"/>
          <w:lang w:val="en-GB"/>
        </w:rPr>
        <w:t>continuous growth of India</w:t>
      </w:r>
      <w:r w:rsidR="007714F3" w:rsidRPr="00AC768E">
        <w:rPr>
          <w:spacing w:val="-2"/>
          <w:lang w:val="en-GB"/>
        </w:rPr>
        <w:t>’s</w:t>
      </w:r>
      <w:r w:rsidRPr="00AC768E">
        <w:rPr>
          <w:spacing w:val="-2"/>
          <w:lang w:val="en-GB"/>
        </w:rPr>
        <w:t xml:space="preserve"> toy industry</w:t>
      </w:r>
      <w:r w:rsidR="007714F3" w:rsidRPr="00AC768E">
        <w:rPr>
          <w:spacing w:val="-2"/>
          <w:lang w:val="en-GB"/>
        </w:rPr>
        <w:t>,</w:t>
      </w:r>
      <w:r w:rsidRPr="00AC768E">
        <w:rPr>
          <w:spacing w:val="-2"/>
          <w:lang w:val="en-GB"/>
        </w:rPr>
        <w:t xml:space="preserve"> and recent government guidelines that mandate</w:t>
      </w:r>
      <w:r w:rsidR="007714F3" w:rsidRPr="00AC768E">
        <w:rPr>
          <w:spacing w:val="-2"/>
          <w:lang w:val="en-GB"/>
        </w:rPr>
        <w:t>d</w:t>
      </w:r>
      <w:r w:rsidRPr="00AC768E">
        <w:rPr>
          <w:spacing w:val="-2"/>
          <w:lang w:val="en-GB"/>
        </w:rPr>
        <w:t xml:space="preserve"> BIS compliance for imported toys </w:t>
      </w:r>
      <w:r w:rsidR="007714F3" w:rsidRPr="00AC768E">
        <w:rPr>
          <w:spacing w:val="-2"/>
          <w:lang w:val="en-GB"/>
        </w:rPr>
        <w:t>could</w:t>
      </w:r>
      <w:r w:rsidR="00F94C30" w:rsidRPr="00AC768E">
        <w:rPr>
          <w:spacing w:val="-2"/>
          <w:lang w:val="en-GB"/>
        </w:rPr>
        <w:t xml:space="preserve"> help the company achieve its stated revenue target of </w:t>
      </w:r>
      <w:r w:rsidR="00F94C30" w:rsidRPr="00AC768E">
        <w:rPr>
          <w:rFonts w:ascii="Arial" w:hAnsi="Arial" w:cs="Arial"/>
          <w:spacing w:val="-2"/>
          <w:sz w:val="20"/>
          <w:szCs w:val="20"/>
          <w:lang w:val="en-GB"/>
        </w:rPr>
        <w:t>₹</w:t>
      </w:r>
      <w:r w:rsidR="00F94C30" w:rsidRPr="00AC768E">
        <w:rPr>
          <w:spacing w:val="-2"/>
          <w:lang w:val="en-GB"/>
        </w:rPr>
        <w:t>5 billion by 2020. But sustain</w:t>
      </w:r>
      <w:r w:rsidR="007714F3" w:rsidRPr="00AC768E">
        <w:rPr>
          <w:spacing w:val="-2"/>
          <w:lang w:val="en-GB"/>
        </w:rPr>
        <w:t>ing</w:t>
      </w:r>
      <w:r w:rsidR="00F94C30" w:rsidRPr="00AC768E">
        <w:rPr>
          <w:spacing w:val="-2"/>
          <w:lang w:val="en-GB"/>
        </w:rPr>
        <w:t xml:space="preserve"> this growth momentum w</w:t>
      </w:r>
      <w:r w:rsidR="007714F3" w:rsidRPr="00AC768E">
        <w:rPr>
          <w:spacing w:val="-2"/>
          <w:lang w:val="en-GB"/>
        </w:rPr>
        <w:t>ould be</w:t>
      </w:r>
      <w:r w:rsidR="00F94C30" w:rsidRPr="00AC768E">
        <w:rPr>
          <w:spacing w:val="-2"/>
          <w:lang w:val="en-GB"/>
        </w:rPr>
        <w:t xml:space="preserve"> challeng</w:t>
      </w:r>
      <w:r w:rsidR="007714F3" w:rsidRPr="00AC768E">
        <w:rPr>
          <w:spacing w:val="-2"/>
          <w:lang w:val="en-GB"/>
        </w:rPr>
        <w:t>ing because</w:t>
      </w:r>
      <w:r w:rsidR="00F94C30" w:rsidRPr="00AC768E">
        <w:rPr>
          <w:spacing w:val="-2"/>
          <w:lang w:val="en-GB"/>
        </w:rPr>
        <w:t xml:space="preserve"> the traditional toy </w:t>
      </w:r>
      <w:r w:rsidR="007714F3" w:rsidRPr="00AC768E">
        <w:rPr>
          <w:spacing w:val="-2"/>
          <w:lang w:val="en-GB"/>
        </w:rPr>
        <w:t>segment</w:t>
      </w:r>
      <w:r w:rsidR="00F94C30" w:rsidRPr="00AC768E">
        <w:rPr>
          <w:spacing w:val="-2"/>
          <w:lang w:val="en-GB"/>
        </w:rPr>
        <w:t xml:space="preserve"> was beginning to slump</w:t>
      </w:r>
      <w:r w:rsidR="007714F3" w:rsidRPr="00AC768E">
        <w:rPr>
          <w:spacing w:val="-2"/>
          <w:lang w:val="en-GB"/>
        </w:rPr>
        <w:t>,</w:t>
      </w:r>
      <w:r w:rsidR="00F94C30" w:rsidRPr="00AC768E">
        <w:rPr>
          <w:spacing w:val="-2"/>
          <w:lang w:val="en-GB"/>
        </w:rPr>
        <w:t xml:space="preserve"> competition was expected to intensify with the entry of global toymakers</w:t>
      </w:r>
      <w:r w:rsidR="007714F3" w:rsidRPr="00AC768E">
        <w:rPr>
          <w:spacing w:val="-2"/>
          <w:lang w:val="en-GB"/>
        </w:rPr>
        <w:t>,</w:t>
      </w:r>
      <w:r w:rsidR="00F94C30" w:rsidRPr="00AC768E">
        <w:rPr>
          <w:spacing w:val="-2"/>
          <w:lang w:val="en-GB"/>
        </w:rPr>
        <w:t xml:space="preserve"> and Chinese </w:t>
      </w:r>
      <w:r w:rsidR="007714F3" w:rsidRPr="00AC768E">
        <w:rPr>
          <w:spacing w:val="-2"/>
          <w:lang w:val="en-GB"/>
        </w:rPr>
        <w:t xml:space="preserve">companies could </w:t>
      </w:r>
      <w:r w:rsidR="00CE58E7" w:rsidRPr="00AC768E">
        <w:rPr>
          <w:spacing w:val="-2"/>
          <w:lang w:val="en-GB"/>
        </w:rPr>
        <w:t xml:space="preserve">begin </w:t>
      </w:r>
      <w:r w:rsidR="007714F3" w:rsidRPr="00AC768E">
        <w:rPr>
          <w:spacing w:val="-2"/>
          <w:lang w:val="en-GB"/>
        </w:rPr>
        <w:t>enter</w:t>
      </w:r>
      <w:r w:rsidR="00CE58E7" w:rsidRPr="00AC768E">
        <w:rPr>
          <w:spacing w:val="-2"/>
          <w:lang w:val="en-GB"/>
        </w:rPr>
        <w:t>ing</w:t>
      </w:r>
      <w:r w:rsidR="00F94C30" w:rsidRPr="00AC768E">
        <w:rPr>
          <w:spacing w:val="-2"/>
          <w:lang w:val="en-GB"/>
        </w:rPr>
        <w:t xml:space="preserve"> the premium category. </w:t>
      </w:r>
    </w:p>
    <w:p w14:paraId="58C80CC7" w14:textId="77777777" w:rsidR="00F94C30" w:rsidRPr="00AC768E" w:rsidRDefault="00F94C30" w:rsidP="0081747E">
      <w:pPr>
        <w:pStyle w:val="BodyTextMain"/>
        <w:widowControl w:val="0"/>
        <w:rPr>
          <w:spacing w:val="-2"/>
          <w:sz w:val="20"/>
          <w:lang w:val="en-GB"/>
        </w:rPr>
      </w:pPr>
    </w:p>
    <w:p w14:paraId="5EB8FCB3" w14:textId="49746A9C" w:rsidR="00120527" w:rsidRPr="00AC768E" w:rsidRDefault="00F94C30" w:rsidP="0081747E">
      <w:pPr>
        <w:pStyle w:val="BodyTextMain"/>
        <w:widowControl w:val="0"/>
        <w:rPr>
          <w:spacing w:val="-2"/>
          <w:lang w:val="en-GB"/>
        </w:rPr>
      </w:pPr>
      <w:r w:rsidRPr="00AC768E">
        <w:rPr>
          <w:spacing w:val="-2"/>
          <w:lang w:val="en-GB"/>
        </w:rPr>
        <w:t xml:space="preserve">As Baby </w:t>
      </w:r>
      <w:r w:rsidR="00CE58E7" w:rsidRPr="00AC768E">
        <w:rPr>
          <w:spacing w:val="-2"/>
          <w:lang w:val="en-GB"/>
        </w:rPr>
        <w:t>went to his</w:t>
      </w:r>
      <w:r w:rsidRPr="00AC768E">
        <w:rPr>
          <w:spacing w:val="-2"/>
          <w:lang w:val="en-GB"/>
        </w:rPr>
        <w:t xml:space="preserve"> board meeting, several questions ran through his mind. How could Funskool augment the revenue obtained from the sale of its own brands? With Chinese players aiming higher up the segment, should Funskool now embrace customers in the </w:t>
      </w:r>
      <w:r w:rsidR="007714F3" w:rsidRPr="00AC768E">
        <w:rPr>
          <w:spacing w:val="-2"/>
          <w:lang w:val="en-GB"/>
        </w:rPr>
        <w:t>lower price levels</w:t>
      </w:r>
      <w:r w:rsidRPr="00AC768E">
        <w:rPr>
          <w:spacing w:val="-2"/>
          <w:lang w:val="en-GB"/>
        </w:rPr>
        <w:t>? Should the company enter the digital space to prevent a growth stall and catapult itself to the next stage in the growth cycle? He was co</w:t>
      </w:r>
      <w:r w:rsidR="00CE58E7" w:rsidRPr="00AC768E">
        <w:rPr>
          <w:spacing w:val="-2"/>
          <w:lang w:val="en-GB"/>
        </w:rPr>
        <w:t>unting on</w:t>
      </w:r>
      <w:r w:rsidRPr="00AC768E">
        <w:rPr>
          <w:spacing w:val="-2"/>
          <w:lang w:val="en-GB"/>
        </w:rPr>
        <w:t xml:space="preserve"> the board meeting </w:t>
      </w:r>
      <w:r w:rsidR="00CE58E7" w:rsidRPr="00AC768E">
        <w:rPr>
          <w:spacing w:val="-2"/>
          <w:lang w:val="en-GB"/>
        </w:rPr>
        <w:t>to</w:t>
      </w:r>
      <w:r w:rsidRPr="00AC768E">
        <w:rPr>
          <w:spacing w:val="-2"/>
          <w:lang w:val="en-GB"/>
        </w:rPr>
        <w:t xml:space="preserve"> provide him some ideas about how to </w:t>
      </w:r>
      <w:r w:rsidR="00CE58E7" w:rsidRPr="00AC768E">
        <w:rPr>
          <w:spacing w:val="-2"/>
          <w:lang w:val="en-GB"/>
        </w:rPr>
        <w:t>manage</w:t>
      </w:r>
      <w:r w:rsidRPr="00AC768E">
        <w:rPr>
          <w:spacing w:val="-2"/>
          <w:lang w:val="en-GB"/>
        </w:rPr>
        <w:t xml:space="preserve"> these </w:t>
      </w:r>
      <w:r w:rsidR="00CE58E7" w:rsidRPr="00AC768E">
        <w:rPr>
          <w:spacing w:val="-2"/>
          <w:lang w:val="en-GB"/>
        </w:rPr>
        <w:t xml:space="preserve">upcoming </w:t>
      </w:r>
      <w:r w:rsidRPr="00AC768E">
        <w:rPr>
          <w:spacing w:val="-2"/>
          <w:lang w:val="en-GB"/>
        </w:rPr>
        <w:t>challenges.</w:t>
      </w:r>
    </w:p>
    <w:p w14:paraId="533DF93D" w14:textId="39A6A3CD" w:rsidR="00120527" w:rsidRPr="00CB4F3B" w:rsidRDefault="00120527" w:rsidP="0081747E">
      <w:pPr>
        <w:pStyle w:val="BodyTextMain"/>
        <w:widowControl w:val="0"/>
        <w:rPr>
          <w:lang w:val="en-GB"/>
        </w:rPr>
      </w:pPr>
      <w:r w:rsidRPr="00CB4F3B">
        <w:rPr>
          <w:noProof/>
        </w:rPr>
        <mc:AlternateContent>
          <mc:Choice Requires="wps">
            <w:drawing>
              <wp:anchor distT="45720" distB="45720" distL="114300" distR="114300" simplePos="0" relativeHeight="251659264" behindDoc="0" locked="0" layoutInCell="1" allowOverlap="1" wp14:anchorId="25A7F8A1" wp14:editId="4AD195B8">
                <wp:simplePos x="0" y="0"/>
                <wp:positionH relativeFrom="column">
                  <wp:posOffset>111290</wp:posOffset>
                </wp:positionH>
                <wp:positionV relativeFrom="paragraph">
                  <wp:posOffset>220980</wp:posOffset>
                </wp:positionV>
                <wp:extent cx="5835650" cy="472440"/>
                <wp:effectExtent l="0" t="0" r="31750" b="3556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0" cy="472440"/>
                        </a:xfrm>
                        <a:prstGeom prst="rect">
                          <a:avLst/>
                        </a:prstGeom>
                        <a:solidFill>
                          <a:srgbClr val="FFFFFF"/>
                        </a:solidFill>
                        <a:ln w="9525">
                          <a:solidFill>
                            <a:srgbClr val="000000"/>
                          </a:solidFill>
                          <a:miter lim="800000"/>
                          <a:headEnd/>
                          <a:tailEnd/>
                        </a:ln>
                      </wps:spPr>
                      <wps:txbx>
                        <w:txbxContent>
                          <w:p w14:paraId="3241C77E" w14:textId="7E44A012" w:rsidR="00757EC9" w:rsidRPr="00595449" w:rsidRDefault="00757EC9" w:rsidP="00120527">
                            <w:pPr>
                              <w:pStyle w:val="Footnote"/>
                            </w:pPr>
                            <w:r w:rsidRPr="00595449">
                              <w:t xml:space="preserve">Rakesh Gupta and Valiaparampil Joseph Sebastian are </w:t>
                            </w:r>
                            <w:r>
                              <w:t>a</w:t>
                            </w:r>
                            <w:r w:rsidRPr="00595449">
                              <w:t xml:space="preserve">ssociate </w:t>
                            </w:r>
                            <w:r>
                              <w:t>p</w:t>
                            </w:r>
                            <w:r w:rsidRPr="00595449">
                              <w:t>rofessor</w:t>
                            </w:r>
                            <w:r>
                              <w:t>s</w:t>
                            </w:r>
                            <w:r w:rsidRPr="00595449">
                              <w:t xml:space="preserve"> at IMT Ghaziabad, India; Sandeep Puri is </w:t>
                            </w:r>
                            <w:r>
                              <w:t>a</w:t>
                            </w:r>
                            <w:r w:rsidRPr="00595449">
                              <w:t xml:space="preserve">ssociate </w:t>
                            </w:r>
                            <w:r>
                              <w:t>p</w:t>
                            </w:r>
                            <w:r w:rsidRPr="00595449">
                              <w:t xml:space="preserve">rofessor at Asian Institute of Management, Manila; Kirthivasan Sathya Narayanan is </w:t>
                            </w:r>
                            <w:r>
                              <w:t>s</w:t>
                            </w:r>
                            <w:r w:rsidRPr="00595449">
                              <w:t xml:space="preserve">enior </w:t>
                            </w:r>
                            <w:r>
                              <w:t>a</w:t>
                            </w:r>
                            <w:r w:rsidRPr="00595449">
                              <w:t>nalyst</w:t>
                            </w:r>
                            <w:r>
                              <w:t>, b</w:t>
                            </w:r>
                            <w:r w:rsidRPr="00595449">
                              <w:t xml:space="preserve">usiness </w:t>
                            </w:r>
                            <w:r>
                              <w:t>i</w:t>
                            </w:r>
                            <w:r w:rsidRPr="00595449">
                              <w:t>ntelligence</w:t>
                            </w:r>
                            <w:r>
                              <w:t xml:space="preserve"> at</w:t>
                            </w:r>
                            <w:r w:rsidRPr="00595449">
                              <w:t xml:space="preserve"> Dell International Services, India</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5A7F8A1" id="_x0000_t202" coordsize="21600,21600" o:spt="202" path="m,l,21600r21600,l21600,xe">
                <v:stroke joinstyle="miter"/>
                <v:path gradientshapeok="t" o:connecttype="rect"/>
              </v:shapetype>
              <v:shape id="Text Box 2" o:spid="_x0000_s1026" type="#_x0000_t202" style="position:absolute;left:0;text-align:left;margin-left:8.75pt;margin-top:17.4pt;width:459.5pt;height:37.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">
                <v:textbox style="mso-fit-shape-to-text:t">
                  <w:txbxContent>
                    <w:p w14:paraId="3241C77E" w14:textId="7E44A012" w:rsidR="00757EC9" w:rsidRPr="00595449" w:rsidRDefault="00757EC9" w:rsidP="00120527">
                      <w:pPr>
                        <w:pStyle w:val="Footnote"/>
                      </w:pPr>
                      <w:r w:rsidRPr="00595449">
                        <w:t xml:space="preserve">Rakesh Gupta and Valiaparampil Joseph Sebastian are </w:t>
                      </w:r>
                      <w:r>
                        <w:t>a</w:t>
                      </w:r>
                      <w:r w:rsidRPr="00595449">
                        <w:t xml:space="preserve">ssociate </w:t>
                      </w:r>
                      <w:r>
                        <w:t>p</w:t>
                      </w:r>
                      <w:r w:rsidRPr="00595449">
                        <w:t>rofessor</w:t>
                      </w:r>
                      <w:r>
                        <w:t>s</w:t>
                      </w:r>
                      <w:r w:rsidRPr="00595449">
                        <w:t xml:space="preserve"> at IMT Ghaziabad, India; Sandeep Puri is </w:t>
                      </w:r>
                      <w:r>
                        <w:t>a</w:t>
                      </w:r>
                      <w:r w:rsidRPr="00595449">
                        <w:t xml:space="preserve">ssociate </w:t>
                      </w:r>
                      <w:r>
                        <w:t>p</w:t>
                      </w:r>
                      <w:r w:rsidRPr="00595449">
                        <w:t xml:space="preserve">rofessor at Asian Institute of Management, Manila; Kirthivasan Sathya Narayanan is </w:t>
                      </w:r>
                      <w:r>
                        <w:t>s</w:t>
                      </w:r>
                      <w:r w:rsidRPr="00595449">
                        <w:t xml:space="preserve">enior </w:t>
                      </w:r>
                      <w:r>
                        <w:t>a</w:t>
                      </w:r>
                      <w:r w:rsidRPr="00595449">
                        <w:t>nalyst</w:t>
                      </w:r>
                      <w:r>
                        <w:t>, b</w:t>
                      </w:r>
                      <w:r w:rsidRPr="00595449">
                        <w:t xml:space="preserve">usiness </w:t>
                      </w:r>
                      <w:r>
                        <w:t>i</w:t>
                      </w:r>
                      <w:r w:rsidRPr="00595449">
                        <w:t>ntelligence</w:t>
                      </w:r>
                      <w:r>
                        <w:t xml:space="preserve"> at</w:t>
                      </w:r>
                      <w:r w:rsidRPr="00595449">
                        <w:t xml:space="preserve"> Dell International Services, India</w:t>
                      </w:r>
                      <w:r>
                        <w:t>.</w:t>
                      </w:r>
                    </w:p>
                  </w:txbxContent>
                </v:textbox>
                <w10:wrap type="square"/>
              </v:shape>
            </w:pict>
          </mc:Fallback>
        </mc:AlternateContent>
      </w:r>
    </w:p>
    <w:p w14:paraId="0472BDE8" w14:textId="79C34514" w:rsidR="00BD45E2" w:rsidRPr="00CB4F3B" w:rsidRDefault="00BD45E2" w:rsidP="0081747E">
      <w:pPr>
        <w:pStyle w:val="BodyTextMain"/>
        <w:widowControl w:val="0"/>
        <w:rPr>
          <w:lang w:val="en-GB"/>
        </w:rPr>
      </w:pPr>
      <w:r w:rsidRPr="00CB4F3B">
        <w:rPr>
          <w:lang w:val="en-GB"/>
        </w:rPr>
        <w:br w:type="page"/>
      </w:r>
    </w:p>
    <w:p w14:paraId="40EC1D9C" w14:textId="116D504B" w:rsidR="00BD45E2" w:rsidRPr="00CB4F3B" w:rsidRDefault="00BD45E2" w:rsidP="0081747E">
      <w:pPr>
        <w:pStyle w:val="ExhibitHeading"/>
        <w:widowControl w:val="0"/>
        <w:rPr>
          <w:lang w:val="en-GB"/>
        </w:rPr>
      </w:pPr>
      <w:r w:rsidRPr="00CB4F3B">
        <w:rPr>
          <w:lang w:val="en-GB"/>
        </w:rPr>
        <w:lastRenderedPageBreak/>
        <w:t>EXHIBIT 1: SELECTED FINANCIALS FOR FUNSKOOL INDIA LIMITED</w:t>
      </w:r>
      <w:r w:rsidR="00CB4F3B">
        <w:rPr>
          <w:lang w:val="en-GB"/>
        </w:rPr>
        <w:t>, 2013–2016</w:t>
      </w:r>
      <w:r w:rsidRPr="00CB4F3B">
        <w:rPr>
          <w:lang w:val="en-GB"/>
        </w:rPr>
        <w:t xml:space="preserve"> (IN ₹ MILLIONS)</w:t>
      </w:r>
    </w:p>
    <w:p w14:paraId="3D38C995" w14:textId="77777777" w:rsidR="00BD45E2" w:rsidRPr="00CB4F3B" w:rsidRDefault="00BD45E2" w:rsidP="0081747E">
      <w:pPr>
        <w:pStyle w:val="BodyTextMain"/>
        <w:widowControl w:val="0"/>
        <w:rPr>
          <w:sz w:val="18"/>
          <w:lang w:val="en-GB"/>
        </w:rPr>
      </w:pPr>
    </w:p>
    <w:tbl>
      <w:tblPr>
        <w:tblStyle w:val="TableGrid"/>
        <w:tblW w:w="9336" w:type="dxa"/>
        <w:jc w:val="center"/>
        <w:tblLayout w:type="fixed"/>
        <w:tblLook w:val="04A0" w:firstRow="1" w:lastRow="0" w:firstColumn="1" w:lastColumn="0" w:noHBand="0" w:noVBand="1"/>
      </w:tblPr>
      <w:tblGrid>
        <w:gridCol w:w="4106"/>
        <w:gridCol w:w="1418"/>
        <w:gridCol w:w="1275"/>
        <w:gridCol w:w="1276"/>
        <w:gridCol w:w="1261"/>
      </w:tblGrid>
      <w:tr w:rsidR="00BD45E2" w:rsidRPr="00CB4F3B" w14:paraId="2DD85C8D" w14:textId="77777777" w:rsidTr="00F367FC">
        <w:trPr>
          <w:trHeight w:val="239"/>
          <w:jc w:val="center"/>
        </w:trPr>
        <w:tc>
          <w:tcPr>
            <w:tcW w:w="4106" w:type="dxa"/>
          </w:tcPr>
          <w:p w14:paraId="469A1FC9" w14:textId="77777777" w:rsidR="00BD45E2" w:rsidRPr="00CB4F3B" w:rsidRDefault="00BD45E2" w:rsidP="0081747E">
            <w:pPr>
              <w:widowControl w:val="0"/>
              <w:jc w:val="center"/>
              <w:rPr>
                <w:rFonts w:ascii="Arial" w:hAnsi="Arial" w:cs="Arial"/>
                <w:b/>
                <w:sz w:val="18"/>
                <w:szCs w:val="18"/>
                <w:lang w:val="en-GB"/>
              </w:rPr>
            </w:pPr>
            <w:r w:rsidRPr="00CB4F3B">
              <w:rPr>
                <w:rFonts w:ascii="Arial" w:hAnsi="Arial" w:cs="Arial"/>
                <w:b/>
                <w:sz w:val="18"/>
                <w:szCs w:val="18"/>
                <w:lang w:val="en-GB"/>
              </w:rPr>
              <w:t>Name</w:t>
            </w:r>
          </w:p>
        </w:tc>
        <w:tc>
          <w:tcPr>
            <w:tcW w:w="1418" w:type="dxa"/>
          </w:tcPr>
          <w:p w14:paraId="21C246E0" w14:textId="77777777" w:rsidR="00BD45E2" w:rsidRPr="00CB4F3B" w:rsidRDefault="00BD45E2" w:rsidP="0081747E">
            <w:pPr>
              <w:widowControl w:val="0"/>
              <w:jc w:val="center"/>
              <w:rPr>
                <w:rFonts w:ascii="Arial" w:hAnsi="Arial" w:cs="Arial"/>
                <w:b/>
                <w:sz w:val="18"/>
                <w:szCs w:val="18"/>
                <w:lang w:val="en-GB"/>
              </w:rPr>
            </w:pPr>
            <w:r w:rsidRPr="00CB4F3B">
              <w:rPr>
                <w:rFonts w:ascii="Arial" w:hAnsi="Arial" w:cs="Arial"/>
                <w:b/>
                <w:sz w:val="18"/>
                <w:szCs w:val="18"/>
                <w:lang w:val="en-GB"/>
              </w:rPr>
              <w:t>2013</w:t>
            </w:r>
          </w:p>
        </w:tc>
        <w:tc>
          <w:tcPr>
            <w:tcW w:w="1275" w:type="dxa"/>
          </w:tcPr>
          <w:p w14:paraId="3525C595" w14:textId="77777777" w:rsidR="00BD45E2" w:rsidRPr="00CB4F3B" w:rsidRDefault="00BD45E2" w:rsidP="0081747E">
            <w:pPr>
              <w:widowControl w:val="0"/>
              <w:jc w:val="center"/>
              <w:rPr>
                <w:rFonts w:ascii="Arial" w:hAnsi="Arial" w:cs="Arial"/>
                <w:b/>
                <w:sz w:val="18"/>
                <w:szCs w:val="18"/>
                <w:lang w:val="en-GB"/>
              </w:rPr>
            </w:pPr>
            <w:r w:rsidRPr="00CB4F3B">
              <w:rPr>
                <w:rFonts w:ascii="Arial" w:hAnsi="Arial" w:cs="Arial"/>
                <w:b/>
                <w:sz w:val="18"/>
                <w:szCs w:val="18"/>
                <w:lang w:val="en-GB"/>
              </w:rPr>
              <w:t>2014</w:t>
            </w:r>
          </w:p>
        </w:tc>
        <w:tc>
          <w:tcPr>
            <w:tcW w:w="1276" w:type="dxa"/>
          </w:tcPr>
          <w:p w14:paraId="0519C68A" w14:textId="77777777" w:rsidR="00BD45E2" w:rsidRPr="00CB4F3B" w:rsidRDefault="00BD45E2" w:rsidP="0081747E">
            <w:pPr>
              <w:widowControl w:val="0"/>
              <w:jc w:val="center"/>
              <w:rPr>
                <w:rFonts w:ascii="Arial" w:hAnsi="Arial" w:cs="Arial"/>
                <w:b/>
                <w:sz w:val="18"/>
                <w:szCs w:val="18"/>
                <w:lang w:val="en-GB"/>
              </w:rPr>
            </w:pPr>
            <w:r w:rsidRPr="00CB4F3B">
              <w:rPr>
                <w:rFonts w:ascii="Arial" w:hAnsi="Arial" w:cs="Arial"/>
                <w:b/>
                <w:sz w:val="18"/>
                <w:szCs w:val="18"/>
                <w:lang w:val="en-GB"/>
              </w:rPr>
              <w:t>2015</w:t>
            </w:r>
          </w:p>
        </w:tc>
        <w:tc>
          <w:tcPr>
            <w:tcW w:w="1261" w:type="dxa"/>
          </w:tcPr>
          <w:p w14:paraId="48E254B4" w14:textId="77777777" w:rsidR="00BD45E2" w:rsidRPr="00CB4F3B" w:rsidRDefault="00BD45E2" w:rsidP="0081747E">
            <w:pPr>
              <w:widowControl w:val="0"/>
              <w:jc w:val="center"/>
              <w:rPr>
                <w:rFonts w:ascii="Arial" w:hAnsi="Arial" w:cs="Arial"/>
                <w:b/>
                <w:sz w:val="18"/>
                <w:szCs w:val="18"/>
                <w:lang w:val="en-GB"/>
              </w:rPr>
            </w:pPr>
            <w:r w:rsidRPr="00CB4F3B">
              <w:rPr>
                <w:rFonts w:ascii="Arial" w:hAnsi="Arial" w:cs="Arial"/>
                <w:b/>
                <w:sz w:val="18"/>
                <w:szCs w:val="18"/>
                <w:lang w:val="en-GB"/>
              </w:rPr>
              <w:t>2016</w:t>
            </w:r>
          </w:p>
        </w:tc>
      </w:tr>
      <w:tr w:rsidR="00BD45E2" w:rsidRPr="00CB4F3B" w14:paraId="653BC80C" w14:textId="77777777" w:rsidTr="00F367FC">
        <w:trPr>
          <w:trHeight w:val="239"/>
          <w:jc w:val="center"/>
        </w:trPr>
        <w:tc>
          <w:tcPr>
            <w:tcW w:w="4106" w:type="dxa"/>
          </w:tcPr>
          <w:p w14:paraId="60635AEC" w14:textId="77777777" w:rsidR="00BD45E2" w:rsidRPr="00CB4F3B" w:rsidRDefault="00BD45E2" w:rsidP="0081747E">
            <w:pPr>
              <w:widowControl w:val="0"/>
              <w:rPr>
                <w:rFonts w:ascii="Arial" w:hAnsi="Arial" w:cs="Arial"/>
                <w:sz w:val="18"/>
                <w:szCs w:val="18"/>
                <w:lang w:val="en-GB"/>
              </w:rPr>
            </w:pPr>
            <w:r w:rsidRPr="00CB4F3B">
              <w:rPr>
                <w:rFonts w:ascii="Arial" w:hAnsi="Arial" w:cs="Arial"/>
                <w:sz w:val="18"/>
                <w:szCs w:val="18"/>
                <w:lang w:val="en-GB"/>
              </w:rPr>
              <w:t>Net revenue</w:t>
            </w:r>
          </w:p>
        </w:tc>
        <w:tc>
          <w:tcPr>
            <w:tcW w:w="1418" w:type="dxa"/>
          </w:tcPr>
          <w:p w14:paraId="5EA3F76F" w14:textId="0DA9B9FE" w:rsidR="00BD45E2" w:rsidRPr="00CB4F3B" w:rsidRDefault="00BD45E2" w:rsidP="00757EC9">
            <w:pPr>
              <w:widowControl w:val="0"/>
              <w:tabs>
                <w:tab w:val="decimal" w:pos="877"/>
              </w:tabs>
              <w:rPr>
                <w:rFonts w:ascii="Arial" w:hAnsi="Arial" w:cs="Arial"/>
                <w:sz w:val="18"/>
                <w:szCs w:val="18"/>
                <w:lang w:val="en-GB"/>
              </w:rPr>
            </w:pPr>
            <w:r w:rsidRPr="00CB4F3B">
              <w:rPr>
                <w:rFonts w:ascii="Arial" w:hAnsi="Arial" w:cs="Arial"/>
                <w:sz w:val="18"/>
                <w:szCs w:val="18"/>
                <w:lang w:val="en-GB"/>
              </w:rPr>
              <w:t>1</w:t>
            </w:r>
            <w:r w:rsidR="00F32BA3" w:rsidRPr="00CB4F3B">
              <w:rPr>
                <w:rFonts w:ascii="Arial" w:hAnsi="Arial" w:cs="Arial"/>
                <w:sz w:val="18"/>
                <w:szCs w:val="18"/>
                <w:lang w:val="en-GB"/>
              </w:rPr>
              <w:t>,</w:t>
            </w:r>
            <w:r w:rsidRPr="00CB4F3B">
              <w:rPr>
                <w:rFonts w:ascii="Arial" w:hAnsi="Arial" w:cs="Arial"/>
                <w:sz w:val="18"/>
                <w:szCs w:val="18"/>
                <w:lang w:val="en-GB"/>
              </w:rPr>
              <w:t>001</w:t>
            </w:r>
          </w:p>
        </w:tc>
        <w:tc>
          <w:tcPr>
            <w:tcW w:w="1275" w:type="dxa"/>
          </w:tcPr>
          <w:p w14:paraId="53584626" w14:textId="1D481CAE" w:rsidR="00BD45E2" w:rsidRPr="00CB4F3B" w:rsidRDefault="00BD45E2" w:rsidP="00757EC9">
            <w:pPr>
              <w:widowControl w:val="0"/>
              <w:tabs>
                <w:tab w:val="decimal" w:pos="452"/>
              </w:tabs>
              <w:jc w:val="center"/>
              <w:rPr>
                <w:rFonts w:ascii="Arial" w:hAnsi="Arial" w:cs="Arial"/>
                <w:sz w:val="18"/>
                <w:szCs w:val="18"/>
                <w:lang w:val="en-GB"/>
              </w:rPr>
            </w:pPr>
            <w:r w:rsidRPr="00CB4F3B">
              <w:rPr>
                <w:rFonts w:ascii="Arial" w:hAnsi="Arial" w:cs="Arial"/>
                <w:sz w:val="18"/>
                <w:szCs w:val="18"/>
                <w:lang w:val="en-GB"/>
              </w:rPr>
              <w:t>1</w:t>
            </w:r>
            <w:r w:rsidR="00F32BA3" w:rsidRPr="00CB4F3B">
              <w:rPr>
                <w:rFonts w:ascii="Arial" w:hAnsi="Arial" w:cs="Arial"/>
                <w:sz w:val="18"/>
                <w:szCs w:val="18"/>
                <w:lang w:val="en-GB"/>
              </w:rPr>
              <w:t>,</w:t>
            </w:r>
            <w:r w:rsidRPr="00CB4F3B">
              <w:rPr>
                <w:rFonts w:ascii="Arial" w:hAnsi="Arial" w:cs="Arial"/>
                <w:sz w:val="18"/>
                <w:szCs w:val="18"/>
                <w:lang w:val="en-GB"/>
              </w:rPr>
              <w:t>209</w:t>
            </w:r>
          </w:p>
        </w:tc>
        <w:tc>
          <w:tcPr>
            <w:tcW w:w="1276" w:type="dxa"/>
          </w:tcPr>
          <w:p w14:paraId="7C87FE10" w14:textId="540B8853" w:rsidR="00BD45E2" w:rsidRPr="00CB4F3B" w:rsidRDefault="00BD45E2" w:rsidP="00757EC9">
            <w:pPr>
              <w:widowControl w:val="0"/>
              <w:tabs>
                <w:tab w:val="decimal" w:pos="736"/>
              </w:tabs>
              <w:rPr>
                <w:rFonts w:ascii="Arial" w:hAnsi="Arial" w:cs="Arial"/>
                <w:sz w:val="18"/>
                <w:szCs w:val="18"/>
                <w:lang w:val="en-GB"/>
              </w:rPr>
            </w:pPr>
            <w:r w:rsidRPr="00CB4F3B">
              <w:rPr>
                <w:rFonts w:ascii="Arial" w:hAnsi="Arial" w:cs="Arial"/>
                <w:sz w:val="18"/>
                <w:szCs w:val="18"/>
                <w:lang w:val="en-GB"/>
              </w:rPr>
              <w:t>1</w:t>
            </w:r>
            <w:r w:rsidR="00F32BA3" w:rsidRPr="00CB4F3B">
              <w:rPr>
                <w:rFonts w:ascii="Arial" w:hAnsi="Arial" w:cs="Arial"/>
                <w:sz w:val="18"/>
                <w:szCs w:val="18"/>
                <w:lang w:val="en-GB"/>
              </w:rPr>
              <w:t>,</w:t>
            </w:r>
            <w:r w:rsidRPr="00CB4F3B">
              <w:rPr>
                <w:rFonts w:ascii="Arial" w:hAnsi="Arial" w:cs="Arial"/>
                <w:sz w:val="18"/>
                <w:szCs w:val="18"/>
                <w:lang w:val="en-GB"/>
              </w:rPr>
              <w:t>483</w:t>
            </w:r>
          </w:p>
        </w:tc>
        <w:tc>
          <w:tcPr>
            <w:tcW w:w="1261" w:type="dxa"/>
          </w:tcPr>
          <w:p w14:paraId="082A98FD" w14:textId="758A6874" w:rsidR="00BD45E2" w:rsidRPr="00CB4F3B" w:rsidRDefault="00BD45E2" w:rsidP="00757EC9">
            <w:pPr>
              <w:widowControl w:val="0"/>
              <w:tabs>
                <w:tab w:val="decimal" w:pos="736"/>
              </w:tabs>
              <w:rPr>
                <w:rFonts w:ascii="Arial" w:hAnsi="Arial" w:cs="Arial"/>
                <w:sz w:val="18"/>
                <w:szCs w:val="18"/>
                <w:lang w:val="en-GB"/>
              </w:rPr>
            </w:pPr>
            <w:r w:rsidRPr="00CB4F3B">
              <w:rPr>
                <w:rFonts w:ascii="Arial" w:hAnsi="Arial" w:cs="Arial"/>
                <w:sz w:val="18"/>
                <w:szCs w:val="18"/>
                <w:lang w:val="en-GB"/>
              </w:rPr>
              <w:t>1</w:t>
            </w:r>
            <w:r w:rsidR="00F32BA3" w:rsidRPr="00CB4F3B">
              <w:rPr>
                <w:rFonts w:ascii="Arial" w:hAnsi="Arial" w:cs="Arial"/>
                <w:sz w:val="18"/>
                <w:szCs w:val="18"/>
                <w:lang w:val="en-GB"/>
              </w:rPr>
              <w:t>,</w:t>
            </w:r>
            <w:r w:rsidRPr="00CB4F3B">
              <w:rPr>
                <w:rFonts w:ascii="Arial" w:hAnsi="Arial" w:cs="Arial"/>
                <w:sz w:val="18"/>
                <w:szCs w:val="18"/>
                <w:lang w:val="en-GB"/>
              </w:rPr>
              <w:t>923</w:t>
            </w:r>
          </w:p>
        </w:tc>
      </w:tr>
      <w:tr w:rsidR="00BD45E2" w:rsidRPr="00CB4F3B" w14:paraId="34998734" w14:textId="77777777" w:rsidTr="00F367FC">
        <w:trPr>
          <w:trHeight w:val="59"/>
          <w:jc w:val="center"/>
        </w:trPr>
        <w:tc>
          <w:tcPr>
            <w:tcW w:w="4106" w:type="dxa"/>
          </w:tcPr>
          <w:p w14:paraId="41765FA8" w14:textId="34E682C0" w:rsidR="00BD45E2" w:rsidRPr="00CB4F3B" w:rsidRDefault="00BD45E2" w:rsidP="0081747E">
            <w:pPr>
              <w:widowControl w:val="0"/>
              <w:rPr>
                <w:rFonts w:ascii="Arial" w:hAnsi="Arial" w:cs="Arial"/>
                <w:sz w:val="18"/>
                <w:szCs w:val="18"/>
                <w:lang w:val="en-GB"/>
              </w:rPr>
            </w:pPr>
            <w:r w:rsidRPr="00CB4F3B">
              <w:rPr>
                <w:rFonts w:ascii="Arial" w:hAnsi="Arial" w:cs="Arial"/>
                <w:sz w:val="18"/>
                <w:szCs w:val="18"/>
                <w:lang w:val="en-GB"/>
              </w:rPr>
              <w:t xml:space="preserve">Cost of </w:t>
            </w:r>
            <w:r w:rsidR="00E73CF0" w:rsidRPr="00CB4F3B">
              <w:rPr>
                <w:rFonts w:ascii="Arial" w:hAnsi="Arial" w:cs="Arial"/>
                <w:sz w:val="18"/>
                <w:szCs w:val="18"/>
                <w:lang w:val="en-GB"/>
              </w:rPr>
              <w:t>g</w:t>
            </w:r>
            <w:r w:rsidRPr="00CB4F3B">
              <w:rPr>
                <w:rFonts w:ascii="Arial" w:hAnsi="Arial" w:cs="Arial"/>
                <w:sz w:val="18"/>
                <w:szCs w:val="18"/>
                <w:lang w:val="en-GB"/>
              </w:rPr>
              <w:t xml:space="preserve">oods </w:t>
            </w:r>
            <w:r w:rsidR="00E73CF0" w:rsidRPr="00CB4F3B">
              <w:rPr>
                <w:rFonts w:ascii="Arial" w:hAnsi="Arial" w:cs="Arial"/>
                <w:sz w:val="18"/>
                <w:szCs w:val="18"/>
                <w:lang w:val="en-GB"/>
              </w:rPr>
              <w:t>s</w:t>
            </w:r>
            <w:r w:rsidRPr="00CB4F3B">
              <w:rPr>
                <w:rFonts w:ascii="Arial" w:hAnsi="Arial" w:cs="Arial"/>
                <w:sz w:val="18"/>
                <w:szCs w:val="18"/>
                <w:lang w:val="en-GB"/>
              </w:rPr>
              <w:t>old</w:t>
            </w:r>
          </w:p>
        </w:tc>
        <w:tc>
          <w:tcPr>
            <w:tcW w:w="1418" w:type="dxa"/>
          </w:tcPr>
          <w:p w14:paraId="75408E10" w14:textId="77777777" w:rsidR="00BD45E2" w:rsidRPr="00CB4F3B" w:rsidRDefault="00BD45E2" w:rsidP="00757EC9">
            <w:pPr>
              <w:widowControl w:val="0"/>
              <w:tabs>
                <w:tab w:val="decimal" w:pos="877"/>
              </w:tabs>
              <w:rPr>
                <w:rFonts w:ascii="Arial" w:hAnsi="Arial" w:cs="Arial"/>
                <w:sz w:val="18"/>
                <w:szCs w:val="18"/>
                <w:lang w:val="en-GB"/>
              </w:rPr>
            </w:pPr>
            <w:r w:rsidRPr="00CB4F3B">
              <w:rPr>
                <w:rFonts w:ascii="Arial" w:hAnsi="Arial" w:cs="Arial"/>
                <w:sz w:val="18"/>
                <w:szCs w:val="18"/>
                <w:lang w:val="en-GB"/>
              </w:rPr>
              <w:t>481</w:t>
            </w:r>
          </w:p>
        </w:tc>
        <w:tc>
          <w:tcPr>
            <w:tcW w:w="1275" w:type="dxa"/>
          </w:tcPr>
          <w:p w14:paraId="4896FA71" w14:textId="77777777" w:rsidR="00BD45E2" w:rsidRPr="00CB4F3B" w:rsidRDefault="00BD45E2" w:rsidP="00757EC9">
            <w:pPr>
              <w:widowControl w:val="0"/>
              <w:tabs>
                <w:tab w:val="decimal" w:pos="452"/>
              </w:tabs>
              <w:jc w:val="center"/>
              <w:rPr>
                <w:rFonts w:ascii="Arial" w:hAnsi="Arial" w:cs="Arial"/>
                <w:sz w:val="18"/>
                <w:szCs w:val="18"/>
                <w:lang w:val="en-GB"/>
              </w:rPr>
            </w:pPr>
            <w:r w:rsidRPr="00CB4F3B">
              <w:rPr>
                <w:rFonts w:ascii="Arial" w:hAnsi="Arial" w:cs="Arial"/>
                <w:sz w:val="18"/>
                <w:szCs w:val="18"/>
                <w:lang w:val="en-GB"/>
              </w:rPr>
              <w:t>600</w:t>
            </w:r>
          </w:p>
        </w:tc>
        <w:tc>
          <w:tcPr>
            <w:tcW w:w="1276" w:type="dxa"/>
          </w:tcPr>
          <w:p w14:paraId="631299FD" w14:textId="77777777" w:rsidR="00BD45E2" w:rsidRPr="00CB4F3B" w:rsidRDefault="00BD45E2" w:rsidP="00757EC9">
            <w:pPr>
              <w:widowControl w:val="0"/>
              <w:tabs>
                <w:tab w:val="decimal" w:pos="736"/>
              </w:tabs>
              <w:rPr>
                <w:rFonts w:ascii="Arial" w:hAnsi="Arial" w:cs="Arial"/>
                <w:sz w:val="18"/>
                <w:szCs w:val="18"/>
                <w:lang w:val="en-GB"/>
              </w:rPr>
            </w:pPr>
            <w:r w:rsidRPr="00CB4F3B">
              <w:rPr>
                <w:rFonts w:ascii="Arial" w:hAnsi="Arial" w:cs="Arial"/>
                <w:sz w:val="18"/>
                <w:szCs w:val="18"/>
                <w:lang w:val="en-GB"/>
              </w:rPr>
              <w:t>759</w:t>
            </w:r>
          </w:p>
        </w:tc>
        <w:tc>
          <w:tcPr>
            <w:tcW w:w="1261" w:type="dxa"/>
          </w:tcPr>
          <w:p w14:paraId="5BAA700D" w14:textId="77777777" w:rsidR="00BD45E2" w:rsidRPr="00CB4F3B" w:rsidRDefault="00BD45E2" w:rsidP="00757EC9">
            <w:pPr>
              <w:widowControl w:val="0"/>
              <w:tabs>
                <w:tab w:val="decimal" w:pos="736"/>
              </w:tabs>
              <w:rPr>
                <w:rFonts w:ascii="Arial" w:hAnsi="Arial" w:cs="Arial"/>
                <w:sz w:val="18"/>
                <w:szCs w:val="18"/>
                <w:lang w:val="en-GB"/>
              </w:rPr>
            </w:pPr>
            <w:r w:rsidRPr="00CB4F3B">
              <w:rPr>
                <w:rFonts w:ascii="Arial" w:hAnsi="Arial" w:cs="Arial"/>
                <w:sz w:val="18"/>
                <w:szCs w:val="18"/>
                <w:lang w:val="en-GB"/>
              </w:rPr>
              <w:t>993</w:t>
            </w:r>
          </w:p>
        </w:tc>
      </w:tr>
      <w:tr w:rsidR="00BD45E2" w:rsidRPr="00CB4F3B" w14:paraId="286D1184" w14:textId="77777777" w:rsidTr="00F367FC">
        <w:trPr>
          <w:trHeight w:val="239"/>
          <w:jc w:val="center"/>
        </w:trPr>
        <w:tc>
          <w:tcPr>
            <w:tcW w:w="4106" w:type="dxa"/>
          </w:tcPr>
          <w:p w14:paraId="00E49FA0" w14:textId="0A32DBC4" w:rsidR="00BD45E2" w:rsidRPr="00CB4F3B" w:rsidRDefault="00BD45E2" w:rsidP="0081747E">
            <w:pPr>
              <w:widowControl w:val="0"/>
              <w:rPr>
                <w:rFonts w:ascii="Arial" w:hAnsi="Arial" w:cs="Arial"/>
                <w:sz w:val="18"/>
                <w:szCs w:val="18"/>
                <w:lang w:val="en-GB"/>
              </w:rPr>
            </w:pPr>
            <w:r w:rsidRPr="00CB4F3B">
              <w:rPr>
                <w:rFonts w:ascii="Arial" w:hAnsi="Arial" w:cs="Arial"/>
                <w:sz w:val="18"/>
                <w:szCs w:val="18"/>
                <w:lang w:val="en-GB"/>
              </w:rPr>
              <w:t xml:space="preserve">Gross </w:t>
            </w:r>
            <w:r w:rsidR="00E73CF0" w:rsidRPr="00CB4F3B">
              <w:rPr>
                <w:rFonts w:ascii="Arial" w:hAnsi="Arial" w:cs="Arial"/>
                <w:sz w:val="18"/>
                <w:szCs w:val="18"/>
                <w:lang w:val="en-GB"/>
              </w:rPr>
              <w:t>p</w:t>
            </w:r>
            <w:r w:rsidRPr="00CB4F3B">
              <w:rPr>
                <w:rFonts w:ascii="Arial" w:hAnsi="Arial" w:cs="Arial"/>
                <w:sz w:val="18"/>
                <w:szCs w:val="18"/>
                <w:lang w:val="en-GB"/>
              </w:rPr>
              <w:t>rofit</w:t>
            </w:r>
          </w:p>
        </w:tc>
        <w:tc>
          <w:tcPr>
            <w:tcW w:w="1418" w:type="dxa"/>
          </w:tcPr>
          <w:p w14:paraId="5DCC6669" w14:textId="77777777" w:rsidR="00BD45E2" w:rsidRPr="00CB4F3B" w:rsidRDefault="00BD45E2" w:rsidP="00757EC9">
            <w:pPr>
              <w:widowControl w:val="0"/>
              <w:tabs>
                <w:tab w:val="decimal" w:pos="877"/>
              </w:tabs>
              <w:rPr>
                <w:rFonts w:ascii="Arial" w:hAnsi="Arial" w:cs="Arial"/>
                <w:sz w:val="18"/>
                <w:szCs w:val="18"/>
                <w:lang w:val="en-GB"/>
              </w:rPr>
            </w:pPr>
            <w:r w:rsidRPr="00CB4F3B">
              <w:rPr>
                <w:rFonts w:ascii="Arial" w:hAnsi="Arial" w:cs="Arial"/>
                <w:sz w:val="18"/>
                <w:szCs w:val="18"/>
                <w:lang w:val="en-GB"/>
              </w:rPr>
              <w:t>519</w:t>
            </w:r>
          </w:p>
        </w:tc>
        <w:tc>
          <w:tcPr>
            <w:tcW w:w="1275" w:type="dxa"/>
          </w:tcPr>
          <w:p w14:paraId="0581A736" w14:textId="77777777" w:rsidR="00BD45E2" w:rsidRPr="00CB4F3B" w:rsidRDefault="00BD45E2" w:rsidP="00757EC9">
            <w:pPr>
              <w:widowControl w:val="0"/>
              <w:tabs>
                <w:tab w:val="decimal" w:pos="452"/>
              </w:tabs>
              <w:jc w:val="center"/>
              <w:rPr>
                <w:rFonts w:ascii="Arial" w:hAnsi="Arial" w:cs="Arial"/>
                <w:sz w:val="18"/>
                <w:szCs w:val="18"/>
                <w:lang w:val="en-GB"/>
              </w:rPr>
            </w:pPr>
            <w:r w:rsidRPr="00CB4F3B">
              <w:rPr>
                <w:rFonts w:ascii="Arial" w:hAnsi="Arial" w:cs="Arial"/>
                <w:sz w:val="18"/>
                <w:szCs w:val="18"/>
                <w:lang w:val="en-GB"/>
              </w:rPr>
              <w:t>608</w:t>
            </w:r>
          </w:p>
        </w:tc>
        <w:tc>
          <w:tcPr>
            <w:tcW w:w="1276" w:type="dxa"/>
          </w:tcPr>
          <w:p w14:paraId="59F8721F" w14:textId="77777777" w:rsidR="00BD45E2" w:rsidRPr="00CB4F3B" w:rsidRDefault="00BD45E2" w:rsidP="00757EC9">
            <w:pPr>
              <w:widowControl w:val="0"/>
              <w:tabs>
                <w:tab w:val="decimal" w:pos="736"/>
              </w:tabs>
              <w:rPr>
                <w:rFonts w:ascii="Arial" w:hAnsi="Arial" w:cs="Arial"/>
                <w:sz w:val="18"/>
                <w:szCs w:val="18"/>
                <w:lang w:val="en-GB"/>
              </w:rPr>
            </w:pPr>
            <w:r w:rsidRPr="00CB4F3B">
              <w:rPr>
                <w:rFonts w:ascii="Arial" w:hAnsi="Arial" w:cs="Arial"/>
                <w:sz w:val="18"/>
                <w:szCs w:val="18"/>
                <w:lang w:val="en-GB"/>
              </w:rPr>
              <w:t>723</w:t>
            </w:r>
          </w:p>
        </w:tc>
        <w:tc>
          <w:tcPr>
            <w:tcW w:w="1261" w:type="dxa"/>
          </w:tcPr>
          <w:p w14:paraId="2B3EEF3F" w14:textId="77777777" w:rsidR="00BD45E2" w:rsidRPr="00CB4F3B" w:rsidRDefault="00BD45E2" w:rsidP="00757EC9">
            <w:pPr>
              <w:widowControl w:val="0"/>
              <w:tabs>
                <w:tab w:val="decimal" w:pos="736"/>
              </w:tabs>
              <w:rPr>
                <w:rFonts w:ascii="Arial" w:hAnsi="Arial" w:cs="Arial"/>
                <w:sz w:val="18"/>
                <w:szCs w:val="18"/>
                <w:lang w:val="en-GB"/>
              </w:rPr>
            </w:pPr>
            <w:r w:rsidRPr="00CB4F3B">
              <w:rPr>
                <w:rFonts w:ascii="Arial" w:hAnsi="Arial" w:cs="Arial"/>
                <w:sz w:val="18"/>
                <w:szCs w:val="18"/>
                <w:lang w:val="en-GB"/>
              </w:rPr>
              <w:t>930</w:t>
            </w:r>
          </w:p>
        </w:tc>
      </w:tr>
      <w:tr w:rsidR="00BD45E2" w:rsidRPr="00CB4F3B" w14:paraId="18AC1662" w14:textId="77777777" w:rsidTr="00F367FC">
        <w:trPr>
          <w:trHeight w:val="271"/>
          <w:jc w:val="center"/>
        </w:trPr>
        <w:tc>
          <w:tcPr>
            <w:tcW w:w="4106" w:type="dxa"/>
          </w:tcPr>
          <w:p w14:paraId="7B45AF52" w14:textId="0E43896F" w:rsidR="00BD45E2" w:rsidRPr="00CB4F3B" w:rsidRDefault="00BD45E2" w:rsidP="0081747E">
            <w:pPr>
              <w:widowControl w:val="0"/>
              <w:rPr>
                <w:rFonts w:ascii="Arial" w:hAnsi="Arial" w:cs="Arial"/>
                <w:sz w:val="18"/>
                <w:szCs w:val="18"/>
                <w:lang w:val="en-GB"/>
              </w:rPr>
            </w:pPr>
            <w:r w:rsidRPr="00CB4F3B">
              <w:rPr>
                <w:rFonts w:ascii="Arial" w:hAnsi="Arial" w:cs="Arial"/>
                <w:sz w:val="18"/>
                <w:szCs w:val="18"/>
                <w:lang w:val="en-GB"/>
              </w:rPr>
              <w:t xml:space="preserve">Selling </w:t>
            </w:r>
            <w:r w:rsidR="00F32BA3" w:rsidRPr="00CB4F3B">
              <w:rPr>
                <w:rFonts w:ascii="Arial" w:hAnsi="Arial" w:cs="Arial"/>
                <w:sz w:val="18"/>
                <w:szCs w:val="18"/>
                <w:lang w:val="en-GB"/>
              </w:rPr>
              <w:t>and</w:t>
            </w:r>
            <w:r w:rsidRPr="00CB4F3B">
              <w:rPr>
                <w:rFonts w:ascii="Arial" w:hAnsi="Arial" w:cs="Arial"/>
                <w:sz w:val="18"/>
                <w:szCs w:val="18"/>
                <w:lang w:val="en-GB"/>
              </w:rPr>
              <w:t xml:space="preserve"> </w:t>
            </w:r>
            <w:r w:rsidR="00E73CF0" w:rsidRPr="00CB4F3B">
              <w:rPr>
                <w:rFonts w:ascii="Arial" w:hAnsi="Arial" w:cs="Arial"/>
                <w:sz w:val="18"/>
                <w:szCs w:val="18"/>
                <w:lang w:val="en-GB"/>
              </w:rPr>
              <w:t>d</w:t>
            </w:r>
            <w:r w:rsidRPr="00CB4F3B">
              <w:rPr>
                <w:rFonts w:ascii="Arial" w:hAnsi="Arial" w:cs="Arial"/>
                <w:sz w:val="18"/>
                <w:szCs w:val="18"/>
                <w:lang w:val="en-GB"/>
              </w:rPr>
              <w:t xml:space="preserve">istribution </w:t>
            </w:r>
            <w:r w:rsidR="00E73CF0" w:rsidRPr="00CB4F3B">
              <w:rPr>
                <w:rFonts w:ascii="Arial" w:hAnsi="Arial" w:cs="Arial"/>
                <w:sz w:val="18"/>
                <w:szCs w:val="18"/>
                <w:lang w:val="en-GB"/>
              </w:rPr>
              <w:t>e</w:t>
            </w:r>
            <w:r w:rsidRPr="00CB4F3B">
              <w:rPr>
                <w:rFonts w:ascii="Arial" w:hAnsi="Arial" w:cs="Arial"/>
                <w:sz w:val="18"/>
                <w:szCs w:val="18"/>
                <w:lang w:val="en-GB"/>
              </w:rPr>
              <w:t>xpenses</w:t>
            </w:r>
          </w:p>
        </w:tc>
        <w:tc>
          <w:tcPr>
            <w:tcW w:w="1418" w:type="dxa"/>
          </w:tcPr>
          <w:p w14:paraId="3B63C9BC" w14:textId="77777777" w:rsidR="00BD45E2" w:rsidRPr="00CB4F3B" w:rsidRDefault="00BD45E2" w:rsidP="00757EC9">
            <w:pPr>
              <w:widowControl w:val="0"/>
              <w:tabs>
                <w:tab w:val="decimal" w:pos="877"/>
              </w:tabs>
              <w:rPr>
                <w:rFonts w:ascii="Arial" w:hAnsi="Arial" w:cs="Arial"/>
                <w:sz w:val="18"/>
                <w:szCs w:val="18"/>
                <w:lang w:val="en-GB"/>
              </w:rPr>
            </w:pPr>
            <w:r w:rsidRPr="00CB4F3B">
              <w:rPr>
                <w:rFonts w:ascii="Arial" w:hAnsi="Arial" w:cs="Arial"/>
                <w:sz w:val="18"/>
                <w:szCs w:val="18"/>
                <w:lang w:val="en-GB"/>
              </w:rPr>
              <w:t>366</w:t>
            </w:r>
          </w:p>
        </w:tc>
        <w:tc>
          <w:tcPr>
            <w:tcW w:w="1275" w:type="dxa"/>
          </w:tcPr>
          <w:p w14:paraId="7E3F0F54" w14:textId="77777777" w:rsidR="00BD45E2" w:rsidRPr="00CB4F3B" w:rsidRDefault="00BD45E2" w:rsidP="00757EC9">
            <w:pPr>
              <w:widowControl w:val="0"/>
              <w:tabs>
                <w:tab w:val="decimal" w:pos="452"/>
              </w:tabs>
              <w:jc w:val="center"/>
              <w:rPr>
                <w:rFonts w:ascii="Arial" w:hAnsi="Arial" w:cs="Arial"/>
                <w:sz w:val="18"/>
                <w:szCs w:val="18"/>
                <w:lang w:val="en-GB"/>
              </w:rPr>
            </w:pPr>
            <w:r w:rsidRPr="00CB4F3B">
              <w:rPr>
                <w:rFonts w:ascii="Arial" w:hAnsi="Arial" w:cs="Arial"/>
                <w:sz w:val="18"/>
                <w:szCs w:val="18"/>
                <w:lang w:val="en-GB"/>
              </w:rPr>
              <w:t>442</w:t>
            </w:r>
          </w:p>
        </w:tc>
        <w:tc>
          <w:tcPr>
            <w:tcW w:w="1276" w:type="dxa"/>
          </w:tcPr>
          <w:p w14:paraId="543C0825" w14:textId="77777777" w:rsidR="00BD45E2" w:rsidRPr="00CB4F3B" w:rsidRDefault="00BD45E2" w:rsidP="00757EC9">
            <w:pPr>
              <w:widowControl w:val="0"/>
              <w:tabs>
                <w:tab w:val="decimal" w:pos="736"/>
              </w:tabs>
              <w:rPr>
                <w:rFonts w:ascii="Arial" w:hAnsi="Arial" w:cs="Arial"/>
                <w:sz w:val="18"/>
                <w:szCs w:val="18"/>
                <w:lang w:val="en-GB"/>
              </w:rPr>
            </w:pPr>
            <w:r w:rsidRPr="00CB4F3B">
              <w:rPr>
                <w:rFonts w:ascii="Arial" w:hAnsi="Arial" w:cs="Arial"/>
                <w:sz w:val="18"/>
                <w:szCs w:val="18"/>
                <w:lang w:val="en-GB"/>
              </w:rPr>
              <w:t>510</w:t>
            </w:r>
          </w:p>
        </w:tc>
        <w:tc>
          <w:tcPr>
            <w:tcW w:w="1261" w:type="dxa"/>
          </w:tcPr>
          <w:p w14:paraId="1E114C62" w14:textId="77777777" w:rsidR="00BD45E2" w:rsidRPr="00CB4F3B" w:rsidRDefault="00BD45E2" w:rsidP="00757EC9">
            <w:pPr>
              <w:widowControl w:val="0"/>
              <w:tabs>
                <w:tab w:val="decimal" w:pos="736"/>
              </w:tabs>
              <w:rPr>
                <w:rFonts w:ascii="Arial" w:hAnsi="Arial" w:cs="Arial"/>
                <w:sz w:val="18"/>
                <w:szCs w:val="18"/>
                <w:lang w:val="en-GB"/>
              </w:rPr>
            </w:pPr>
            <w:r w:rsidRPr="00CB4F3B">
              <w:rPr>
                <w:rFonts w:ascii="Arial" w:hAnsi="Arial" w:cs="Arial"/>
                <w:sz w:val="18"/>
                <w:szCs w:val="18"/>
                <w:lang w:val="en-GB"/>
              </w:rPr>
              <w:t>648</w:t>
            </w:r>
          </w:p>
        </w:tc>
      </w:tr>
      <w:tr w:rsidR="00BD45E2" w:rsidRPr="00CB4F3B" w14:paraId="4F78A13C" w14:textId="77777777" w:rsidTr="00F367FC">
        <w:trPr>
          <w:trHeight w:val="239"/>
          <w:jc w:val="center"/>
        </w:trPr>
        <w:tc>
          <w:tcPr>
            <w:tcW w:w="4106" w:type="dxa"/>
          </w:tcPr>
          <w:p w14:paraId="1CE36BB8" w14:textId="4FFC19AD" w:rsidR="00BD45E2" w:rsidRPr="00CB4F3B" w:rsidRDefault="00BD45E2" w:rsidP="0081747E">
            <w:pPr>
              <w:widowControl w:val="0"/>
              <w:rPr>
                <w:rFonts w:ascii="Arial" w:hAnsi="Arial" w:cs="Arial"/>
                <w:sz w:val="18"/>
                <w:szCs w:val="18"/>
                <w:lang w:val="en-GB"/>
              </w:rPr>
            </w:pPr>
            <w:r w:rsidRPr="00CB4F3B">
              <w:rPr>
                <w:rFonts w:ascii="Arial" w:hAnsi="Arial" w:cs="Arial"/>
                <w:sz w:val="18"/>
                <w:szCs w:val="18"/>
                <w:lang w:val="en-GB"/>
              </w:rPr>
              <w:t>Net profit (</w:t>
            </w:r>
            <w:r w:rsidR="00E73CF0" w:rsidRPr="00CB4F3B">
              <w:rPr>
                <w:rFonts w:ascii="Arial" w:hAnsi="Arial" w:cs="Arial"/>
                <w:sz w:val="18"/>
                <w:szCs w:val="18"/>
                <w:lang w:val="en-GB"/>
              </w:rPr>
              <w:t>l</w:t>
            </w:r>
            <w:r w:rsidRPr="00CB4F3B">
              <w:rPr>
                <w:rFonts w:ascii="Arial" w:hAnsi="Arial" w:cs="Arial"/>
                <w:sz w:val="18"/>
                <w:szCs w:val="18"/>
                <w:lang w:val="en-GB"/>
              </w:rPr>
              <w:t>oss)</w:t>
            </w:r>
          </w:p>
        </w:tc>
        <w:tc>
          <w:tcPr>
            <w:tcW w:w="1418" w:type="dxa"/>
          </w:tcPr>
          <w:p w14:paraId="5BA83B92" w14:textId="77777777" w:rsidR="00BD45E2" w:rsidRPr="00CB4F3B" w:rsidRDefault="00BD45E2" w:rsidP="00757EC9">
            <w:pPr>
              <w:widowControl w:val="0"/>
              <w:tabs>
                <w:tab w:val="decimal" w:pos="877"/>
              </w:tabs>
              <w:rPr>
                <w:rFonts w:ascii="Arial" w:hAnsi="Arial" w:cs="Arial"/>
                <w:sz w:val="18"/>
                <w:szCs w:val="18"/>
                <w:lang w:val="en-GB"/>
              </w:rPr>
            </w:pPr>
            <w:r w:rsidRPr="00CB4F3B">
              <w:rPr>
                <w:rFonts w:ascii="Arial" w:hAnsi="Arial" w:cs="Arial"/>
                <w:sz w:val="18"/>
                <w:szCs w:val="18"/>
                <w:lang w:val="en-GB"/>
              </w:rPr>
              <w:t>102</w:t>
            </w:r>
          </w:p>
        </w:tc>
        <w:tc>
          <w:tcPr>
            <w:tcW w:w="1275" w:type="dxa"/>
          </w:tcPr>
          <w:p w14:paraId="6002460D" w14:textId="77777777" w:rsidR="00BD45E2" w:rsidRPr="00CB4F3B" w:rsidRDefault="00BD45E2" w:rsidP="00757EC9">
            <w:pPr>
              <w:widowControl w:val="0"/>
              <w:tabs>
                <w:tab w:val="decimal" w:pos="452"/>
              </w:tabs>
              <w:jc w:val="center"/>
              <w:rPr>
                <w:rFonts w:ascii="Arial" w:hAnsi="Arial" w:cs="Arial"/>
                <w:sz w:val="18"/>
                <w:szCs w:val="18"/>
                <w:lang w:val="en-GB"/>
              </w:rPr>
            </w:pPr>
            <w:r w:rsidRPr="00CB4F3B">
              <w:rPr>
                <w:rFonts w:ascii="Arial" w:hAnsi="Arial" w:cs="Arial"/>
                <w:sz w:val="18"/>
                <w:szCs w:val="18"/>
                <w:lang w:val="en-GB"/>
              </w:rPr>
              <w:t>114</w:t>
            </w:r>
          </w:p>
        </w:tc>
        <w:tc>
          <w:tcPr>
            <w:tcW w:w="1276" w:type="dxa"/>
          </w:tcPr>
          <w:p w14:paraId="52463DC8" w14:textId="77777777" w:rsidR="00BD45E2" w:rsidRPr="00CB4F3B" w:rsidRDefault="00BD45E2" w:rsidP="00757EC9">
            <w:pPr>
              <w:widowControl w:val="0"/>
              <w:tabs>
                <w:tab w:val="decimal" w:pos="736"/>
              </w:tabs>
              <w:rPr>
                <w:rFonts w:ascii="Arial" w:hAnsi="Arial" w:cs="Arial"/>
                <w:sz w:val="18"/>
                <w:szCs w:val="18"/>
                <w:lang w:val="en-GB"/>
              </w:rPr>
            </w:pPr>
            <w:r w:rsidRPr="00CB4F3B">
              <w:rPr>
                <w:rFonts w:ascii="Arial" w:hAnsi="Arial" w:cs="Arial"/>
                <w:sz w:val="18"/>
                <w:szCs w:val="18"/>
                <w:lang w:val="en-GB"/>
              </w:rPr>
              <w:t>133</w:t>
            </w:r>
          </w:p>
        </w:tc>
        <w:tc>
          <w:tcPr>
            <w:tcW w:w="1261" w:type="dxa"/>
          </w:tcPr>
          <w:p w14:paraId="6BBD126C" w14:textId="77777777" w:rsidR="00BD45E2" w:rsidRPr="00CB4F3B" w:rsidRDefault="00BD45E2" w:rsidP="00757EC9">
            <w:pPr>
              <w:widowControl w:val="0"/>
              <w:tabs>
                <w:tab w:val="decimal" w:pos="736"/>
              </w:tabs>
              <w:rPr>
                <w:rFonts w:ascii="Arial" w:hAnsi="Arial" w:cs="Arial"/>
                <w:sz w:val="18"/>
                <w:szCs w:val="18"/>
                <w:lang w:val="en-GB"/>
              </w:rPr>
            </w:pPr>
            <w:r w:rsidRPr="00CB4F3B">
              <w:rPr>
                <w:rFonts w:ascii="Arial" w:hAnsi="Arial" w:cs="Arial"/>
                <w:sz w:val="18"/>
                <w:szCs w:val="18"/>
                <w:lang w:val="en-GB"/>
              </w:rPr>
              <w:t>168</w:t>
            </w:r>
          </w:p>
        </w:tc>
      </w:tr>
      <w:tr w:rsidR="00BD45E2" w:rsidRPr="00CB4F3B" w14:paraId="5149B24B" w14:textId="77777777" w:rsidTr="00F367FC">
        <w:trPr>
          <w:trHeight w:val="239"/>
          <w:jc w:val="center"/>
        </w:trPr>
        <w:tc>
          <w:tcPr>
            <w:tcW w:w="4106" w:type="dxa"/>
          </w:tcPr>
          <w:p w14:paraId="61CE5921" w14:textId="4C61BC78" w:rsidR="00BD45E2" w:rsidRPr="00CB4F3B" w:rsidRDefault="00BD45E2" w:rsidP="0081747E">
            <w:pPr>
              <w:widowControl w:val="0"/>
              <w:rPr>
                <w:rFonts w:ascii="Arial" w:hAnsi="Arial" w:cs="Arial"/>
                <w:sz w:val="18"/>
                <w:szCs w:val="18"/>
                <w:lang w:val="en-GB"/>
              </w:rPr>
            </w:pPr>
            <w:r w:rsidRPr="00CB4F3B">
              <w:rPr>
                <w:rFonts w:ascii="Arial" w:hAnsi="Arial" w:cs="Arial"/>
                <w:sz w:val="18"/>
                <w:szCs w:val="18"/>
                <w:lang w:val="en-GB"/>
              </w:rPr>
              <w:t xml:space="preserve">Annual </w:t>
            </w:r>
            <w:r w:rsidR="00E73CF0" w:rsidRPr="00CB4F3B">
              <w:rPr>
                <w:rFonts w:ascii="Arial" w:hAnsi="Arial" w:cs="Arial"/>
                <w:sz w:val="18"/>
                <w:szCs w:val="18"/>
                <w:lang w:val="en-GB"/>
              </w:rPr>
              <w:t>g</w:t>
            </w:r>
            <w:r w:rsidRPr="00CB4F3B">
              <w:rPr>
                <w:rFonts w:ascii="Arial" w:hAnsi="Arial" w:cs="Arial"/>
                <w:sz w:val="18"/>
                <w:szCs w:val="18"/>
                <w:lang w:val="en-GB"/>
              </w:rPr>
              <w:t xml:space="preserve">rowth </w:t>
            </w:r>
            <w:r w:rsidR="00E73CF0" w:rsidRPr="00CB4F3B">
              <w:rPr>
                <w:rFonts w:ascii="Arial" w:hAnsi="Arial" w:cs="Arial"/>
                <w:sz w:val="18"/>
                <w:szCs w:val="18"/>
                <w:lang w:val="en-GB"/>
              </w:rPr>
              <w:t>r</w:t>
            </w:r>
            <w:r w:rsidRPr="00CB4F3B">
              <w:rPr>
                <w:rFonts w:ascii="Arial" w:hAnsi="Arial" w:cs="Arial"/>
                <w:sz w:val="18"/>
                <w:szCs w:val="18"/>
                <w:lang w:val="en-GB"/>
              </w:rPr>
              <w:t>ate</w:t>
            </w:r>
          </w:p>
        </w:tc>
        <w:tc>
          <w:tcPr>
            <w:tcW w:w="1418" w:type="dxa"/>
          </w:tcPr>
          <w:p w14:paraId="443E3B21" w14:textId="77777777" w:rsidR="00BD45E2" w:rsidRPr="00CB4F3B" w:rsidRDefault="00BD45E2" w:rsidP="00757EC9">
            <w:pPr>
              <w:widowControl w:val="0"/>
              <w:tabs>
                <w:tab w:val="decimal" w:pos="877"/>
              </w:tabs>
              <w:rPr>
                <w:rFonts w:ascii="Arial" w:hAnsi="Arial" w:cs="Arial"/>
                <w:sz w:val="18"/>
                <w:szCs w:val="18"/>
                <w:lang w:val="en-GB"/>
              </w:rPr>
            </w:pPr>
            <w:r w:rsidRPr="00CB4F3B">
              <w:rPr>
                <w:rFonts w:ascii="Arial" w:hAnsi="Arial" w:cs="Arial"/>
                <w:sz w:val="18"/>
                <w:szCs w:val="18"/>
                <w:lang w:val="en-GB"/>
              </w:rPr>
              <w:t>27%</w:t>
            </w:r>
          </w:p>
        </w:tc>
        <w:tc>
          <w:tcPr>
            <w:tcW w:w="1275" w:type="dxa"/>
          </w:tcPr>
          <w:p w14:paraId="226F294C" w14:textId="77777777" w:rsidR="00BD45E2" w:rsidRPr="00CB4F3B" w:rsidRDefault="00BD45E2" w:rsidP="00757EC9">
            <w:pPr>
              <w:widowControl w:val="0"/>
              <w:tabs>
                <w:tab w:val="decimal" w:pos="452"/>
              </w:tabs>
              <w:jc w:val="center"/>
              <w:rPr>
                <w:rFonts w:ascii="Arial" w:hAnsi="Arial" w:cs="Arial"/>
                <w:sz w:val="18"/>
                <w:szCs w:val="18"/>
                <w:lang w:val="en-GB"/>
              </w:rPr>
            </w:pPr>
            <w:r w:rsidRPr="00CB4F3B">
              <w:rPr>
                <w:rFonts w:ascii="Arial" w:hAnsi="Arial" w:cs="Arial"/>
                <w:sz w:val="18"/>
                <w:szCs w:val="18"/>
                <w:lang w:val="en-GB"/>
              </w:rPr>
              <w:t>21%</w:t>
            </w:r>
          </w:p>
        </w:tc>
        <w:tc>
          <w:tcPr>
            <w:tcW w:w="1276" w:type="dxa"/>
          </w:tcPr>
          <w:p w14:paraId="1D9006F4" w14:textId="77777777" w:rsidR="00BD45E2" w:rsidRPr="00CB4F3B" w:rsidRDefault="00BD45E2" w:rsidP="00757EC9">
            <w:pPr>
              <w:widowControl w:val="0"/>
              <w:tabs>
                <w:tab w:val="decimal" w:pos="736"/>
              </w:tabs>
              <w:rPr>
                <w:rFonts w:ascii="Arial" w:hAnsi="Arial" w:cs="Arial"/>
                <w:sz w:val="18"/>
                <w:szCs w:val="18"/>
                <w:lang w:val="en-GB"/>
              </w:rPr>
            </w:pPr>
            <w:r w:rsidRPr="00CB4F3B">
              <w:rPr>
                <w:rFonts w:ascii="Arial" w:hAnsi="Arial" w:cs="Arial"/>
                <w:sz w:val="18"/>
                <w:szCs w:val="18"/>
                <w:lang w:val="en-GB"/>
              </w:rPr>
              <w:t>23%</w:t>
            </w:r>
          </w:p>
        </w:tc>
        <w:tc>
          <w:tcPr>
            <w:tcW w:w="1261" w:type="dxa"/>
          </w:tcPr>
          <w:p w14:paraId="396776EA" w14:textId="77777777" w:rsidR="00BD45E2" w:rsidRPr="00CB4F3B" w:rsidRDefault="00BD45E2" w:rsidP="00757EC9">
            <w:pPr>
              <w:widowControl w:val="0"/>
              <w:tabs>
                <w:tab w:val="decimal" w:pos="736"/>
              </w:tabs>
              <w:rPr>
                <w:rFonts w:ascii="Arial" w:hAnsi="Arial" w:cs="Arial"/>
                <w:sz w:val="18"/>
                <w:szCs w:val="18"/>
                <w:lang w:val="en-GB"/>
              </w:rPr>
            </w:pPr>
            <w:r w:rsidRPr="00CB4F3B">
              <w:rPr>
                <w:rFonts w:ascii="Arial" w:hAnsi="Arial" w:cs="Arial"/>
                <w:sz w:val="18"/>
                <w:szCs w:val="18"/>
                <w:lang w:val="en-GB"/>
              </w:rPr>
              <w:t>29%</w:t>
            </w:r>
          </w:p>
        </w:tc>
      </w:tr>
    </w:tbl>
    <w:p w14:paraId="1349C56F" w14:textId="77777777" w:rsidR="00BD45E2" w:rsidRPr="00CB4F3B" w:rsidRDefault="00BD45E2" w:rsidP="0081747E">
      <w:pPr>
        <w:pStyle w:val="BodyTextMain"/>
        <w:widowControl w:val="0"/>
        <w:rPr>
          <w:sz w:val="18"/>
          <w:lang w:val="en-GB"/>
        </w:rPr>
      </w:pPr>
    </w:p>
    <w:p w14:paraId="1027F32B" w14:textId="3112C709" w:rsidR="00465348" w:rsidRPr="00CB4F3B" w:rsidRDefault="00BD45E2" w:rsidP="0081747E">
      <w:pPr>
        <w:pStyle w:val="BodyTextMain"/>
        <w:widowControl w:val="0"/>
        <w:rPr>
          <w:rFonts w:ascii="Arial" w:hAnsi="Arial" w:cs="Arial"/>
          <w:sz w:val="17"/>
          <w:szCs w:val="17"/>
          <w:lang w:val="en-GB"/>
        </w:rPr>
      </w:pPr>
      <w:r w:rsidRPr="00CB4F3B">
        <w:rPr>
          <w:rFonts w:ascii="Arial" w:hAnsi="Arial" w:cs="Arial"/>
          <w:sz w:val="17"/>
          <w:szCs w:val="17"/>
          <w:lang w:val="en-GB"/>
        </w:rPr>
        <w:t xml:space="preserve">Source: Company </w:t>
      </w:r>
      <w:r w:rsidR="00CB4F3B">
        <w:rPr>
          <w:rFonts w:ascii="Arial" w:hAnsi="Arial" w:cs="Arial"/>
          <w:sz w:val="17"/>
          <w:szCs w:val="17"/>
          <w:lang w:val="en-GB"/>
        </w:rPr>
        <w:t>d</w:t>
      </w:r>
      <w:r w:rsidRPr="00CB4F3B">
        <w:rPr>
          <w:rFonts w:ascii="Arial" w:hAnsi="Arial" w:cs="Arial"/>
          <w:sz w:val="17"/>
          <w:szCs w:val="17"/>
          <w:lang w:val="en-GB"/>
        </w:rPr>
        <w:t>ocuments.</w:t>
      </w:r>
    </w:p>
    <w:p w14:paraId="79BE1E1A" w14:textId="2C123E51" w:rsidR="00941A75" w:rsidRPr="00CB4F3B" w:rsidRDefault="00941A75" w:rsidP="0081747E">
      <w:pPr>
        <w:pStyle w:val="BodyTextMain"/>
        <w:widowControl w:val="0"/>
        <w:rPr>
          <w:rFonts w:ascii="Arial" w:hAnsi="Arial" w:cs="Arial"/>
          <w:sz w:val="17"/>
          <w:szCs w:val="17"/>
          <w:lang w:val="en-GB"/>
        </w:rPr>
      </w:pPr>
    </w:p>
    <w:p w14:paraId="52ED6F1C" w14:textId="2E1EBFCC" w:rsidR="00941A75" w:rsidRPr="00CB4F3B" w:rsidRDefault="00941A75" w:rsidP="0081747E">
      <w:pPr>
        <w:pStyle w:val="BodyTextMain"/>
        <w:widowControl w:val="0"/>
        <w:rPr>
          <w:rFonts w:ascii="Arial" w:hAnsi="Arial" w:cs="Arial"/>
          <w:sz w:val="17"/>
          <w:szCs w:val="17"/>
          <w:lang w:val="en-GB"/>
        </w:rPr>
      </w:pPr>
    </w:p>
    <w:p w14:paraId="6CB0CCC6" w14:textId="77777777" w:rsidR="00941A75" w:rsidRPr="00CB4F3B" w:rsidRDefault="00941A75" w:rsidP="0081747E">
      <w:pPr>
        <w:pStyle w:val="BodyTextMain"/>
        <w:widowControl w:val="0"/>
        <w:rPr>
          <w:rFonts w:ascii="Arial" w:hAnsi="Arial" w:cs="Arial"/>
          <w:sz w:val="17"/>
          <w:szCs w:val="17"/>
          <w:lang w:val="en-GB"/>
        </w:rPr>
      </w:pPr>
    </w:p>
    <w:p w14:paraId="4A6B970F" w14:textId="386A73D8" w:rsidR="00BD45E2" w:rsidRPr="00CB4F3B" w:rsidRDefault="00BD45E2" w:rsidP="0081747E">
      <w:pPr>
        <w:pStyle w:val="ExhibitHeading"/>
        <w:widowControl w:val="0"/>
        <w:rPr>
          <w:lang w:val="en-GB"/>
        </w:rPr>
      </w:pPr>
      <w:r w:rsidRPr="00CB4F3B">
        <w:rPr>
          <w:lang w:val="en-GB"/>
        </w:rPr>
        <w:t xml:space="preserve">EXHIBIT 2: DEMOGRAPHICS SNAPSHOT OF </w:t>
      </w:r>
      <w:r w:rsidR="0027215A">
        <w:rPr>
          <w:lang w:val="en-GB"/>
        </w:rPr>
        <w:t xml:space="preserve">india and </w:t>
      </w:r>
      <w:r w:rsidR="00E42171">
        <w:rPr>
          <w:lang w:val="en-GB"/>
        </w:rPr>
        <w:t xml:space="preserve">FOUR </w:t>
      </w:r>
      <w:r w:rsidR="0027215A">
        <w:rPr>
          <w:lang w:val="en-GB"/>
        </w:rPr>
        <w:t>other</w:t>
      </w:r>
      <w:r w:rsidR="0027215A" w:rsidRPr="00CB4F3B">
        <w:rPr>
          <w:lang w:val="en-GB"/>
        </w:rPr>
        <w:t xml:space="preserve"> </w:t>
      </w:r>
      <w:r w:rsidRPr="00CB4F3B">
        <w:rPr>
          <w:lang w:val="en-GB"/>
        </w:rPr>
        <w:t>COUNTRIES</w:t>
      </w:r>
    </w:p>
    <w:p w14:paraId="1C8F06F3" w14:textId="77777777" w:rsidR="00BD45E2" w:rsidRPr="00CB4F3B" w:rsidRDefault="00BD45E2" w:rsidP="0081747E">
      <w:pPr>
        <w:pStyle w:val="BodyTextMain"/>
        <w:widowControl w:val="0"/>
        <w:rPr>
          <w:sz w:val="18"/>
          <w:lang w:val="en-GB"/>
        </w:rPr>
      </w:pPr>
    </w:p>
    <w:tbl>
      <w:tblPr>
        <w:tblStyle w:val="TableGrid"/>
        <w:tblW w:w="9199" w:type="dxa"/>
        <w:jc w:val="center"/>
        <w:tblLayout w:type="fixed"/>
        <w:tblLook w:val="04A0" w:firstRow="1" w:lastRow="0" w:firstColumn="1" w:lastColumn="0" w:noHBand="0" w:noVBand="1"/>
      </w:tblPr>
      <w:tblGrid>
        <w:gridCol w:w="3856"/>
        <w:gridCol w:w="1068"/>
        <w:gridCol w:w="1069"/>
        <w:gridCol w:w="1068"/>
        <w:gridCol w:w="1069"/>
        <w:gridCol w:w="1069"/>
      </w:tblGrid>
      <w:tr w:rsidR="00BD45E2" w:rsidRPr="00CB4F3B" w14:paraId="504C3F54" w14:textId="77777777" w:rsidTr="00AC768E">
        <w:trPr>
          <w:trHeight w:val="311"/>
          <w:jc w:val="center"/>
        </w:trPr>
        <w:tc>
          <w:tcPr>
            <w:tcW w:w="3856" w:type="dxa"/>
            <w:noWrap/>
            <w:hideMark/>
          </w:tcPr>
          <w:p w14:paraId="360A4C5A" w14:textId="77777777" w:rsidR="00BD45E2" w:rsidRPr="00CB4F3B" w:rsidRDefault="00BD45E2" w:rsidP="00757EC9">
            <w:pPr>
              <w:pStyle w:val="xmsonormal"/>
              <w:widowControl w:val="0"/>
              <w:jc w:val="center"/>
              <w:rPr>
                <w:sz w:val="18"/>
                <w:szCs w:val="18"/>
                <w:lang w:val="en-GB"/>
              </w:rPr>
            </w:pPr>
            <w:r w:rsidRPr="00CB4F3B">
              <w:rPr>
                <w:rFonts w:ascii="Arial" w:hAnsi="Arial" w:cs="Arial"/>
                <w:b/>
                <w:bCs/>
                <w:sz w:val="18"/>
                <w:szCs w:val="18"/>
                <w:lang w:val="en-GB"/>
              </w:rPr>
              <w:t>Country</w:t>
            </w:r>
          </w:p>
        </w:tc>
        <w:tc>
          <w:tcPr>
            <w:tcW w:w="1068" w:type="dxa"/>
            <w:noWrap/>
            <w:hideMark/>
          </w:tcPr>
          <w:p w14:paraId="441FFBC0" w14:textId="5C883690" w:rsidR="00BD45E2" w:rsidRPr="00CB4F3B" w:rsidRDefault="00BD45E2" w:rsidP="00757EC9">
            <w:pPr>
              <w:pStyle w:val="xmsonormal"/>
              <w:widowControl w:val="0"/>
              <w:jc w:val="center"/>
              <w:rPr>
                <w:sz w:val="18"/>
                <w:szCs w:val="18"/>
                <w:lang w:val="en-GB"/>
              </w:rPr>
            </w:pPr>
            <w:r w:rsidRPr="00CB4F3B">
              <w:rPr>
                <w:rFonts w:ascii="Arial" w:hAnsi="Arial" w:cs="Arial"/>
                <w:b/>
                <w:bCs/>
                <w:sz w:val="18"/>
                <w:szCs w:val="18"/>
                <w:lang w:val="en-GB"/>
              </w:rPr>
              <w:t>U</w:t>
            </w:r>
            <w:r w:rsidR="004318CE" w:rsidRPr="00CB4F3B">
              <w:rPr>
                <w:rFonts w:ascii="Arial" w:hAnsi="Arial" w:cs="Arial"/>
                <w:b/>
                <w:bCs/>
                <w:sz w:val="18"/>
                <w:szCs w:val="18"/>
                <w:lang w:val="en-GB"/>
              </w:rPr>
              <w:t xml:space="preserve">nited </w:t>
            </w:r>
            <w:r w:rsidRPr="00CB4F3B">
              <w:rPr>
                <w:rFonts w:ascii="Arial" w:hAnsi="Arial" w:cs="Arial"/>
                <w:b/>
                <w:bCs/>
                <w:sz w:val="18"/>
                <w:szCs w:val="18"/>
                <w:lang w:val="en-GB"/>
              </w:rPr>
              <w:t>S</w:t>
            </w:r>
            <w:r w:rsidR="004318CE" w:rsidRPr="00CB4F3B">
              <w:rPr>
                <w:rFonts w:ascii="Arial" w:hAnsi="Arial" w:cs="Arial"/>
                <w:b/>
                <w:bCs/>
                <w:sz w:val="18"/>
                <w:szCs w:val="18"/>
                <w:lang w:val="en-GB"/>
              </w:rPr>
              <w:t>tates</w:t>
            </w:r>
          </w:p>
        </w:tc>
        <w:tc>
          <w:tcPr>
            <w:tcW w:w="1069" w:type="dxa"/>
            <w:noWrap/>
            <w:hideMark/>
          </w:tcPr>
          <w:p w14:paraId="1A09D389" w14:textId="467ABC36" w:rsidR="00BD45E2" w:rsidRPr="00CB4F3B" w:rsidRDefault="00BD45E2" w:rsidP="00757EC9">
            <w:pPr>
              <w:pStyle w:val="xmsonormal"/>
              <w:widowControl w:val="0"/>
              <w:jc w:val="center"/>
              <w:rPr>
                <w:sz w:val="18"/>
                <w:szCs w:val="18"/>
                <w:lang w:val="en-GB"/>
              </w:rPr>
            </w:pPr>
            <w:r w:rsidRPr="00CB4F3B">
              <w:rPr>
                <w:rFonts w:ascii="Arial" w:hAnsi="Arial" w:cs="Arial"/>
                <w:b/>
                <w:bCs/>
                <w:sz w:val="18"/>
                <w:szCs w:val="18"/>
                <w:lang w:val="en-GB"/>
              </w:rPr>
              <w:t>U</w:t>
            </w:r>
            <w:r w:rsidR="004318CE" w:rsidRPr="00CB4F3B">
              <w:rPr>
                <w:rFonts w:ascii="Arial" w:hAnsi="Arial" w:cs="Arial"/>
                <w:b/>
                <w:bCs/>
                <w:sz w:val="18"/>
                <w:szCs w:val="18"/>
                <w:lang w:val="en-GB"/>
              </w:rPr>
              <w:t xml:space="preserve">nited </w:t>
            </w:r>
            <w:r w:rsidRPr="00CB4F3B">
              <w:rPr>
                <w:rFonts w:ascii="Arial" w:hAnsi="Arial" w:cs="Arial"/>
                <w:b/>
                <w:bCs/>
                <w:sz w:val="18"/>
                <w:szCs w:val="18"/>
                <w:lang w:val="en-GB"/>
              </w:rPr>
              <w:t>K</w:t>
            </w:r>
            <w:r w:rsidR="004318CE" w:rsidRPr="00CB4F3B">
              <w:rPr>
                <w:rFonts w:ascii="Arial" w:hAnsi="Arial" w:cs="Arial"/>
                <w:b/>
                <w:bCs/>
                <w:sz w:val="18"/>
                <w:szCs w:val="18"/>
                <w:lang w:val="en-GB"/>
              </w:rPr>
              <w:t>ingdom</w:t>
            </w:r>
          </w:p>
        </w:tc>
        <w:tc>
          <w:tcPr>
            <w:tcW w:w="1068" w:type="dxa"/>
            <w:noWrap/>
            <w:hideMark/>
          </w:tcPr>
          <w:p w14:paraId="0604FFFF" w14:textId="77777777" w:rsidR="00BD45E2" w:rsidRPr="00CB4F3B" w:rsidRDefault="00BD45E2" w:rsidP="00757EC9">
            <w:pPr>
              <w:pStyle w:val="xmsonormal"/>
              <w:widowControl w:val="0"/>
              <w:jc w:val="center"/>
              <w:rPr>
                <w:sz w:val="18"/>
                <w:szCs w:val="18"/>
                <w:lang w:val="en-GB"/>
              </w:rPr>
            </w:pPr>
            <w:r w:rsidRPr="00CB4F3B">
              <w:rPr>
                <w:rFonts w:ascii="Arial" w:hAnsi="Arial" w:cs="Arial"/>
                <w:b/>
                <w:bCs/>
                <w:sz w:val="18"/>
                <w:szCs w:val="18"/>
                <w:lang w:val="en-GB"/>
              </w:rPr>
              <w:t>Japan</w:t>
            </w:r>
          </w:p>
        </w:tc>
        <w:tc>
          <w:tcPr>
            <w:tcW w:w="1069" w:type="dxa"/>
            <w:noWrap/>
            <w:hideMark/>
          </w:tcPr>
          <w:p w14:paraId="08DD8938" w14:textId="77777777" w:rsidR="00BD45E2" w:rsidRPr="00CB4F3B" w:rsidRDefault="00BD45E2" w:rsidP="00757EC9">
            <w:pPr>
              <w:pStyle w:val="xmsonormal"/>
              <w:widowControl w:val="0"/>
              <w:jc w:val="center"/>
              <w:rPr>
                <w:sz w:val="18"/>
                <w:szCs w:val="18"/>
                <w:lang w:val="en-GB"/>
              </w:rPr>
            </w:pPr>
            <w:r w:rsidRPr="00CB4F3B">
              <w:rPr>
                <w:rFonts w:ascii="Arial" w:hAnsi="Arial" w:cs="Arial"/>
                <w:b/>
                <w:bCs/>
                <w:sz w:val="18"/>
                <w:szCs w:val="18"/>
                <w:lang w:val="en-GB"/>
              </w:rPr>
              <w:t>China</w:t>
            </w:r>
          </w:p>
        </w:tc>
        <w:tc>
          <w:tcPr>
            <w:tcW w:w="1069" w:type="dxa"/>
            <w:noWrap/>
            <w:hideMark/>
          </w:tcPr>
          <w:p w14:paraId="35E5E9EF" w14:textId="77777777" w:rsidR="00BD45E2" w:rsidRPr="00CB4F3B" w:rsidRDefault="00BD45E2" w:rsidP="00757EC9">
            <w:pPr>
              <w:pStyle w:val="xmsonormal"/>
              <w:widowControl w:val="0"/>
              <w:jc w:val="center"/>
              <w:rPr>
                <w:sz w:val="18"/>
                <w:szCs w:val="18"/>
                <w:lang w:val="en-GB"/>
              </w:rPr>
            </w:pPr>
            <w:r w:rsidRPr="00CB4F3B">
              <w:rPr>
                <w:rFonts w:ascii="Arial" w:hAnsi="Arial" w:cs="Arial"/>
                <w:b/>
                <w:bCs/>
                <w:sz w:val="18"/>
                <w:szCs w:val="18"/>
                <w:lang w:val="en-GB"/>
              </w:rPr>
              <w:t>India</w:t>
            </w:r>
          </w:p>
        </w:tc>
      </w:tr>
      <w:tr w:rsidR="00BD45E2" w:rsidRPr="00CB4F3B" w14:paraId="206EEB1E" w14:textId="77777777" w:rsidTr="00AC768E">
        <w:trPr>
          <w:trHeight w:val="311"/>
          <w:jc w:val="center"/>
        </w:trPr>
        <w:tc>
          <w:tcPr>
            <w:tcW w:w="3856" w:type="dxa"/>
            <w:noWrap/>
            <w:hideMark/>
          </w:tcPr>
          <w:p w14:paraId="18265AA0" w14:textId="6381F405" w:rsidR="00BD45E2" w:rsidRPr="00CB4F3B" w:rsidRDefault="00BD45E2" w:rsidP="0081747E">
            <w:pPr>
              <w:pStyle w:val="xmsonormal"/>
              <w:widowControl w:val="0"/>
              <w:rPr>
                <w:sz w:val="18"/>
                <w:szCs w:val="18"/>
                <w:lang w:val="en-GB"/>
              </w:rPr>
            </w:pPr>
            <w:r w:rsidRPr="00CB4F3B">
              <w:rPr>
                <w:rFonts w:ascii="Arial" w:hAnsi="Arial" w:cs="Arial"/>
                <w:sz w:val="18"/>
                <w:szCs w:val="18"/>
                <w:lang w:val="en-GB"/>
              </w:rPr>
              <w:t>Population under 14 (</w:t>
            </w:r>
            <w:r w:rsidR="004318CE" w:rsidRPr="00CB4F3B">
              <w:rPr>
                <w:rFonts w:ascii="Arial" w:hAnsi="Arial" w:cs="Arial"/>
                <w:sz w:val="18"/>
                <w:szCs w:val="18"/>
                <w:lang w:val="en-GB"/>
              </w:rPr>
              <w:t>in</w:t>
            </w:r>
            <w:r w:rsidRPr="00CB4F3B">
              <w:rPr>
                <w:rFonts w:ascii="Arial" w:hAnsi="Arial" w:cs="Arial"/>
                <w:sz w:val="18"/>
                <w:szCs w:val="18"/>
                <w:lang w:val="en-GB"/>
              </w:rPr>
              <w:t> 2015)</w:t>
            </w:r>
          </w:p>
        </w:tc>
        <w:tc>
          <w:tcPr>
            <w:tcW w:w="1068" w:type="dxa"/>
            <w:noWrap/>
            <w:hideMark/>
          </w:tcPr>
          <w:p w14:paraId="126F6F30" w14:textId="6BF2E311" w:rsidR="00BD45E2" w:rsidRPr="00CB4F3B" w:rsidRDefault="00BD45E2" w:rsidP="0081747E">
            <w:pPr>
              <w:pStyle w:val="xmsonormal"/>
              <w:widowControl w:val="0"/>
              <w:jc w:val="right"/>
              <w:rPr>
                <w:rFonts w:ascii="Arial" w:hAnsi="Arial" w:cs="Arial"/>
                <w:sz w:val="18"/>
                <w:szCs w:val="18"/>
                <w:lang w:val="en-GB"/>
              </w:rPr>
            </w:pPr>
            <w:r w:rsidRPr="00CB4F3B">
              <w:rPr>
                <w:rFonts w:ascii="Arial" w:hAnsi="Arial" w:cs="Arial"/>
                <w:sz w:val="18"/>
                <w:szCs w:val="18"/>
                <w:lang w:val="en-GB"/>
              </w:rPr>
              <w:t>19</w:t>
            </w:r>
            <w:r w:rsidR="00F32BA3" w:rsidRPr="00CB4F3B">
              <w:rPr>
                <w:rFonts w:ascii="Arial" w:hAnsi="Arial" w:cs="Arial"/>
                <w:sz w:val="18"/>
                <w:szCs w:val="18"/>
                <w:lang w:val="en-GB"/>
              </w:rPr>
              <w:t>%</w:t>
            </w:r>
          </w:p>
        </w:tc>
        <w:tc>
          <w:tcPr>
            <w:tcW w:w="1069" w:type="dxa"/>
            <w:noWrap/>
            <w:hideMark/>
          </w:tcPr>
          <w:p w14:paraId="58094DB7" w14:textId="45B0F7AC" w:rsidR="00BD45E2" w:rsidRPr="00CB4F3B" w:rsidRDefault="00BD45E2" w:rsidP="0081747E">
            <w:pPr>
              <w:pStyle w:val="xmsonormal"/>
              <w:widowControl w:val="0"/>
              <w:jc w:val="right"/>
              <w:rPr>
                <w:rFonts w:ascii="Arial" w:hAnsi="Arial" w:cs="Arial"/>
                <w:sz w:val="18"/>
                <w:szCs w:val="18"/>
                <w:lang w:val="en-GB"/>
              </w:rPr>
            </w:pPr>
            <w:r w:rsidRPr="00CB4F3B">
              <w:rPr>
                <w:rFonts w:ascii="Arial" w:hAnsi="Arial" w:cs="Arial"/>
                <w:sz w:val="18"/>
                <w:szCs w:val="18"/>
                <w:lang w:val="en-GB"/>
              </w:rPr>
              <w:t>18</w:t>
            </w:r>
            <w:r w:rsidR="00F32BA3" w:rsidRPr="00CB4F3B">
              <w:rPr>
                <w:rFonts w:ascii="Arial" w:hAnsi="Arial" w:cs="Arial"/>
                <w:sz w:val="18"/>
                <w:szCs w:val="18"/>
                <w:lang w:val="en-GB"/>
              </w:rPr>
              <w:t>%</w:t>
            </w:r>
          </w:p>
        </w:tc>
        <w:tc>
          <w:tcPr>
            <w:tcW w:w="1068" w:type="dxa"/>
            <w:noWrap/>
            <w:hideMark/>
          </w:tcPr>
          <w:p w14:paraId="77F7580B" w14:textId="26929071" w:rsidR="00BD45E2" w:rsidRPr="00CB4F3B" w:rsidRDefault="00BD45E2" w:rsidP="0081747E">
            <w:pPr>
              <w:pStyle w:val="xmsonormal"/>
              <w:widowControl w:val="0"/>
              <w:jc w:val="right"/>
              <w:rPr>
                <w:rFonts w:ascii="Arial" w:hAnsi="Arial" w:cs="Arial"/>
                <w:sz w:val="18"/>
                <w:szCs w:val="18"/>
                <w:lang w:val="en-GB"/>
              </w:rPr>
            </w:pPr>
            <w:r w:rsidRPr="00CB4F3B">
              <w:rPr>
                <w:rFonts w:ascii="Arial" w:hAnsi="Arial" w:cs="Arial"/>
                <w:sz w:val="18"/>
                <w:szCs w:val="18"/>
                <w:lang w:val="en-GB"/>
              </w:rPr>
              <w:t>13</w:t>
            </w:r>
            <w:r w:rsidR="00F32BA3" w:rsidRPr="00CB4F3B">
              <w:rPr>
                <w:rFonts w:ascii="Arial" w:hAnsi="Arial" w:cs="Arial"/>
                <w:sz w:val="18"/>
                <w:szCs w:val="18"/>
                <w:lang w:val="en-GB"/>
              </w:rPr>
              <w:t>%</w:t>
            </w:r>
          </w:p>
        </w:tc>
        <w:tc>
          <w:tcPr>
            <w:tcW w:w="1069" w:type="dxa"/>
            <w:noWrap/>
            <w:hideMark/>
          </w:tcPr>
          <w:p w14:paraId="66F993C8" w14:textId="031F70D0" w:rsidR="00BD45E2" w:rsidRPr="00CB4F3B" w:rsidRDefault="00BD45E2" w:rsidP="0081747E">
            <w:pPr>
              <w:pStyle w:val="xmsonormal"/>
              <w:widowControl w:val="0"/>
              <w:jc w:val="right"/>
              <w:rPr>
                <w:rFonts w:ascii="Arial" w:hAnsi="Arial" w:cs="Arial"/>
                <w:sz w:val="18"/>
                <w:szCs w:val="18"/>
                <w:lang w:val="en-GB"/>
              </w:rPr>
            </w:pPr>
            <w:r w:rsidRPr="00CB4F3B">
              <w:rPr>
                <w:rFonts w:ascii="Arial" w:hAnsi="Arial" w:cs="Arial"/>
                <w:sz w:val="18"/>
                <w:szCs w:val="18"/>
                <w:lang w:val="en-GB"/>
              </w:rPr>
              <w:t>17</w:t>
            </w:r>
            <w:r w:rsidR="00F32BA3" w:rsidRPr="00CB4F3B">
              <w:rPr>
                <w:rFonts w:ascii="Arial" w:hAnsi="Arial" w:cs="Arial"/>
                <w:sz w:val="18"/>
                <w:szCs w:val="18"/>
                <w:lang w:val="en-GB"/>
              </w:rPr>
              <w:t>%</w:t>
            </w:r>
          </w:p>
        </w:tc>
        <w:tc>
          <w:tcPr>
            <w:tcW w:w="1069" w:type="dxa"/>
            <w:noWrap/>
            <w:hideMark/>
          </w:tcPr>
          <w:p w14:paraId="0FA74E2E" w14:textId="1C1F2B59" w:rsidR="00BD45E2" w:rsidRPr="00CB4F3B" w:rsidRDefault="00BD45E2" w:rsidP="0081747E">
            <w:pPr>
              <w:pStyle w:val="xmsonormal"/>
              <w:widowControl w:val="0"/>
              <w:jc w:val="right"/>
              <w:rPr>
                <w:rFonts w:ascii="Arial" w:hAnsi="Arial" w:cs="Arial"/>
                <w:sz w:val="18"/>
                <w:szCs w:val="18"/>
                <w:lang w:val="en-GB"/>
              </w:rPr>
            </w:pPr>
            <w:r w:rsidRPr="00CB4F3B">
              <w:rPr>
                <w:rFonts w:ascii="Arial" w:hAnsi="Arial" w:cs="Arial"/>
                <w:sz w:val="18"/>
                <w:szCs w:val="18"/>
                <w:lang w:val="en-GB"/>
              </w:rPr>
              <w:t>29</w:t>
            </w:r>
            <w:r w:rsidR="00F32BA3" w:rsidRPr="00CB4F3B">
              <w:rPr>
                <w:rFonts w:ascii="Arial" w:hAnsi="Arial" w:cs="Arial"/>
                <w:sz w:val="18"/>
                <w:szCs w:val="18"/>
                <w:lang w:val="en-GB"/>
              </w:rPr>
              <w:t>%</w:t>
            </w:r>
          </w:p>
        </w:tc>
      </w:tr>
      <w:tr w:rsidR="00BD45E2" w:rsidRPr="00CB4F3B" w14:paraId="0107D580" w14:textId="77777777" w:rsidTr="00AC768E">
        <w:trPr>
          <w:trHeight w:val="311"/>
          <w:jc w:val="center"/>
        </w:trPr>
        <w:tc>
          <w:tcPr>
            <w:tcW w:w="3856" w:type="dxa"/>
            <w:noWrap/>
            <w:hideMark/>
          </w:tcPr>
          <w:p w14:paraId="5A3E9E69" w14:textId="27D18032" w:rsidR="00BD45E2" w:rsidRPr="00CB4F3B" w:rsidRDefault="00BD45E2" w:rsidP="0081747E">
            <w:pPr>
              <w:pStyle w:val="xmsonormal"/>
              <w:widowControl w:val="0"/>
              <w:rPr>
                <w:sz w:val="18"/>
                <w:szCs w:val="18"/>
                <w:lang w:val="en-GB"/>
              </w:rPr>
            </w:pPr>
            <w:r w:rsidRPr="00CB4F3B">
              <w:rPr>
                <w:rFonts w:ascii="Arial" w:hAnsi="Arial" w:cs="Arial"/>
                <w:sz w:val="18"/>
                <w:szCs w:val="18"/>
                <w:lang w:val="en-GB"/>
              </w:rPr>
              <w:t xml:space="preserve">Average GDP </w:t>
            </w:r>
            <w:r w:rsidR="00E73CF0" w:rsidRPr="00CB4F3B">
              <w:rPr>
                <w:rFonts w:ascii="Arial" w:hAnsi="Arial" w:cs="Arial"/>
                <w:sz w:val="18"/>
                <w:szCs w:val="18"/>
                <w:lang w:val="en-GB"/>
              </w:rPr>
              <w:t>g</w:t>
            </w:r>
            <w:r w:rsidRPr="00CB4F3B">
              <w:rPr>
                <w:rFonts w:ascii="Arial" w:hAnsi="Arial" w:cs="Arial"/>
                <w:sz w:val="18"/>
                <w:szCs w:val="18"/>
                <w:lang w:val="en-GB"/>
              </w:rPr>
              <w:t xml:space="preserve">rowth </w:t>
            </w:r>
            <w:r w:rsidR="00E73CF0" w:rsidRPr="00CB4F3B">
              <w:rPr>
                <w:rFonts w:ascii="Arial" w:hAnsi="Arial" w:cs="Arial"/>
                <w:sz w:val="18"/>
                <w:szCs w:val="18"/>
                <w:lang w:val="en-GB"/>
              </w:rPr>
              <w:t>r</w:t>
            </w:r>
            <w:r w:rsidRPr="00CB4F3B">
              <w:rPr>
                <w:rFonts w:ascii="Arial" w:hAnsi="Arial" w:cs="Arial"/>
                <w:sz w:val="18"/>
                <w:szCs w:val="18"/>
                <w:lang w:val="en-GB"/>
              </w:rPr>
              <w:t>ate (2005</w:t>
            </w:r>
            <w:r w:rsidR="004318CE" w:rsidRPr="00CB4F3B">
              <w:rPr>
                <w:rFonts w:ascii="Arial" w:hAnsi="Arial" w:cs="Arial"/>
                <w:sz w:val="18"/>
                <w:szCs w:val="18"/>
                <w:lang w:val="en-GB"/>
              </w:rPr>
              <w:t>–</w:t>
            </w:r>
            <w:r w:rsidRPr="00CB4F3B">
              <w:rPr>
                <w:rFonts w:ascii="Arial" w:hAnsi="Arial" w:cs="Arial"/>
                <w:sz w:val="18"/>
                <w:szCs w:val="18"/>
                <w:lang w:val="en-GB"/>
              </w:rPr>
              <w:t>2015)</w:t>
            </w:r>
          </w:p>
        </w:tc>
        <w:tc>
          <w:tcPr>
            <w:tcW w:w="1068" w:type="dxa"/>
            <w:noWrap/>
            <w:hideMark/>
          </w:tcPr>
          <w:p w14:paraId="2F500B0C" w14:textId="77777777" w:rsidR="00BD45E2" w:rsidRPr="00CB4F3B" w:rsidRDefault="00BD45E2" w:rsidP="0081747E">
            <w:pPr>
              <w:pStyle w:val="xmsonormal"/>
              <w:widowControl w:val="0"/>
              <w:jc w:val="right"/>
              <w:rPr>
                <w:rFonts w:ascii="Arial" w:hAnsi="Arial" w:cs="Arial"/>
                <w:sz w:val="18"/>
                <w:szCs w:val="18"/>
                <w:lang w:val="en-GB"/>
              </w:rPr>
            </w:pPr>
            <w:r w:rsidRPr="00CB4F3B">
              <w:rPr>
                <w:rFonts w:ascii="Arial" w:hAnsi="Arial" w:cs="Arial"/>
                <w:sz w:val="18"/>
                <w:szCs w:val="18"/>
                <w:lang w:val="en-GB"/>
              </w:rPr>
              <w:t>1.77</w:t>
            </w:r>
          </w:p>
        </w:tc>
        <w:tc>
          <w:tcPr>
            <w:tcW w:w="1069" w:type="dxa"/>
            <w:noWrap/>
            <w:hideMark/>
          </w:tcPr>
          <w:p w14:paraId="2CC48A3A" w14:textId="77777777" w:rsidR="00BD45E2" w:rsidRPr="00CB4F3B" w:rsidRDefault="00BD45E2" w:rsidP="0081747E">
            <w:pPr>
              <w:pStyle w:val="xmsonormal"/>
              <w:widowControl w:val="0"/>
              <w:jc w:val="right"/>
              <w:rPr>
                <w:rFonts w:ascii="Arial" w:hAnsi="Arial" w:cs="Arial"/>
                <w:sz w:val="18"/>
                <w:szCs w:val="18"/>
                <w:lang w:val="en-GB"/>
              </w:rPr>
            </w:pPr>
            <w:r w:rsidRPr="00CB4F3B">
              <w:rPr>
                <w:rFonts w:ascii="Arial" w:hAnsi="Arial" w:cs="Arial"/>
                <w:sz w:val="18"/>
                <w:szCs w:val="18"/>
                <w:lang w:val="en-GB"/>
              </w:rPr>
              <w:t>1.51</w:t>
            </w:r>
          </w:p>
        </w:tc>
        <w:tc>
          <w:tcPr>
            <w:tcW w:w="1068" w:type="dxa"/>
            <w:noWrap/>
            <w:hideMark/>
          </w:tcPr>
          <w:p w14:paraId="0AF795C3" w14:textId="77777777" w:rsidR="00BD45E2" w:rsidRPr="00CB4F3B" w:rsidRDefault="00BD45E2" w:rsidP="0081747E">
            <w:pPr>
              <w:pStyle w:val="xmsonormal"/>
              <w:widowControl w:val="0"/>
              <w:jc w:val="right"/>
              <w:rPr>
                <w:rFonts w:ascii="Arial" w:hAnsi="Arial" w:cs="Arial"/>
                <w:sz w:val="18"/>
                <w:szCs w:val="18"/>
                <w:lang w:val="en-GB"/>
              </w:rPr>
            </w:pPr>
            <w:r w:rsidRPr="00CB4F3B">
              <w:rPr>
                <w:rFonts w:ascii="Arial" w:hAnsi="Arial" w:cs="Arial"/>
                <w:sz w:val="18"/>
                <w:szCs w:val="18"/>
                <w:lang w:val="en-GB"/>
              </w:rPr>
              <w:t>0.73</w:t>
            </w:r>
          </w:p>
        </w:tc>
        <w:tc>
          <w:tcPr>
            <w:tcW w:w="1069" w:type="dxa"/>
            <w:noWrap/>
            <w:hideMark/>
          </w:tcPr>
          <w:p w14:paraId="57390047" w14:textId="77777777" w:rsidR="00BD45E2" w:rsidRPr="00CB4F3B" w:rsidRDefault="00BD45E2" w:rsidP="0081747E">
            <w:pPr>
              <w:pStyle w:val="xmsonormal"/>
              <w:widowControl w:val="0"/>
              <w:jc w:val="right"/>
              <w:rPr>
                <w:rFonts w:ascii="Arial" w:hAnsi="Arial" w:cs="Arial"/>
                <w:sz w:val="18"/>
                <w:szCs w:val="18"/>
                <w:lang w:val="en-GB"/>
              </w:rPr>
            </w:pPr>
            <w:r w:rsidRPr="00CB4F3B">
              <w:rPr>
                <w:rFonts w:ascii="Arial" w:hAnsi="Arial" w:cs="Arial"/>
                <w:sz w:val="18"/>
                <w:szCs w:val="18"/>
                <w:lang w:val="en-GB"/>
              </w:rPr>
              <w:t>9.46</w:t>
            </w:r>
          </w:p>
        </w:tc>
        <w:tc>
          <w:tcPr>
            <w:tcW w:w="1069" w:type="dxa"/>
            <w:noWrap/>
            <w:hideMark/>
          </w:tcPr>
          <w:p w14:paraId="40CC849A" w14:textId="77777777" w:rsidR="00BD45E2" w:rsidRPr="00CB4F3B" w:rsidRDefault="00BD45E2" w:rsidP="0081747E">
            <w:pPr>
              <w:pStyle w:val="xmsonormal"/>
              <w:widowControl w:val="0"/>
              <w:jc w:val="right"/>
              <w:rPr>
                <w:rFonts w:ascii="Arial" w:hAnsi="Arial" w:cs="Arial"/>
                <w:sz w:val="18"/>
                <w:szCs w:val="18"/>
                <w:lang w:val="en-GB"/>
              </w:rPr>
            </w:pPr>
            <w:r w:rsidRPr="00CB4F3B">
              <w:rPr>
                <w:rFonts w:ascii="Arial" w:hAnsi="Arial" w:cs="Arial"/>
                <w:sz w:val="18"/>
                <w:szCs w:val="18"/>
                <w:lang w:val="en-GB"/>
              </w:rPr>
              <w:t>8.34</w:t>
            </w:r>
          </w:p>
        </w:tc>
      </w:tr>
      <w:tr w:rsidR="00BD45E2" w:rsidRPr="00CB4F3B" w14:paraId="7C92B47B" w14:textId="77777777" w:rsidTr="00AC768E">
        <w:trPr>
          <w:trHeight w:val="311"/>
          <w:jc w:val="center"/>
        </w:trPr>
        <w:tc>
          <w:tcPr>
            <w:tcW w:w="3856" w:type="dxa"/>
            <w:noWrap/>
            <w:hideMark/>
          </w:tcPr>
          <w:p w14:paraId="249642E7" w14:textId="34BD1705" w:rsidR="00BD45E2" w:rsidRPr="00CB4F3B" w:rsidRDefault="00BD45E2" w:rsidP="0081747E">
            <w:pPr>
              <w:pStyle w:val="xmsonormal"/>
              <w:widowControl w:val="0"/>
              <w:rPr>
                <w:sz w:val="18"/>
                <w:szCs w:val="18"/>
                <w:lang w:val="en-GB"/>
              </w:rPr>
            </w:pPr>
            <w:r w:rsidRPr="00CB4F3B">
              <w:rPr>
                <w:rFonts w:ascii="Arial" w:hAnsi="Arial" w:cs="Arial"/>
                <w:sz w:val="18"/>
                <w:szCs w:val="18"/>
                <w:lang w:val="en-GB"/>
              </w:rPr>
              <w:t xml:space="preserve">Average amount spent on toys per child </w:t>
            </w:r>
            <w:r w:rsidR="00F32BA3" w:rsidRPr="00CB4F3B">
              <w:rPr>
                <w:rFonts w:ascii="Arial" w:hAnsi="Arial" w:cs="Arial"/>
                <w:sz w:val="18"/>
                <w:szCs w:val="18"/>
                <w:lang w:val="en-GB"/>
              </w:rPr>
              <w:t xml:space="preserve">in 2015 </w:t>
            </w:r>
            <w:r w:rsidRPr="00CB4F3B">
              <w:rPr>
                <w:rFonts w:ascii="Arial" w:hAnsi="Arial" w:cs="Arial"/>
                <w:sz w:val="18"/>
                <w:szCs w:val="18"/>
                <w:lang w:val="en-GB"/>
              </w:rPr>
              <w:t>(</w:t>
            </w:r>
            <w:r w:rsidR="00F32BA3" w:rsidRPr="00CB4F3B">
              <w:rPr>
                <w:rFonts w:ascii="Arial" w:hAnsi="Arial" w:cs="Arial"/>
                <w:sz w:val="18"/>
                <w:szCs w:val="18"/>
                <w:lang w:val="en-GB"/>
              </w:rPr>
              <w:t xml:space="preserve">in </w:t>
            </w:r>
            <w:r w:rsidRPr="00CB4F3B">
              <w:rPr>
                <w:rFonts w:ascii="Arial" w:hAnsi="Arial" w:cs="Arial"/>
                <w:sz w:val="18"/>
                <w:szCs w:val="18"/>
                <w:lang w:val="en-GB"/>
              </w:rPr>
              <w:t>US$)</w:t>
            </w:r>
          </w:p>
        </w:tc>
        <w:tc>
          <w:tcPr>
            <w:tcW w:w="1068" w:type="dxa"/>
            <w:noWrap/>
            <w:hideMark/>
          </w:tcPr>
          <w:p w14:paraId="339162A0" w14:textId="77777777" w:rsidR="00BD45E2" w:rsidRPr="00CB4F3B" w:rsidRDefault="00BD45E2" w:rsidP="0081747E">
            <w:pPr>
              <w:pStyle w:val="xmsonormal"/>
              <w:widowControl w:val="0"/>
              <w:jc w:val="right"/>
              <w:rPr>
                <w:rFonts w:ascii="Arial" w:hAnsi="Arial" w:cs="Arial"/>
                <w:sz w:val="18"/>
                <w:szCs w:val="18"/>
                <w:lang w:val="en-GB"/>
              </w:rPr>
            </w:pPr>
            <w:r w:rsidRPr="00CB4F3B">
              <w:rPr>
                <w:rFonts w:ascii="Arial" w:hAnsi="Arial" w:cs="Arial"/>
                <w:color w:val="000000"/>
                <w:sz w:val="18"/>
                <w:szCs w:val="18"/>
                <w:lang w:val="en-GB"/>
              </w:rPr>
              <w:t>500</w:t>
            </w:r>
          </w:p>
        </w:tc>
        <w:tc>
          <w:tcPr>
            <w:tcW w:w="1069" w:type="dxa"/>
            <w:noWrap/>
            <w:hideMark/>
          </w:tcPr>
          <w:p w14:paraId="6B8156C5" w14:textId="77777777" w:rsidR="00BD45E2" w:rsidRPr="00CB4F3B" w:rsidRDefault="00BD45E2" w:rsidP="0081747E">
            <w:pPr>
              <w:widowControl w:val="0"/>
              <w:jc w:val="right"/>
              <w:rPr>
                <w:rFonts w:ascii="Arial" w:hAnsi="Arial" w:cs="Arial"/>
                <w:sz w:val="18"/>
                <w:szCs w:val="18"/>
                <w:lang w:val="en-GB"/>
              </w:rPr>
            </w:pPr>
            <w:r w:rsidRPr="00CB4F3B">
              <w:rPr>
                <w:rFonts w:ascii="Arial" w:hAnsi="Arial" w:cs="Arial"/>
                <w:sz w:val="18"/>
                <w:szCs w:val="18"/>
                <w:lang w:val="en-GB"/>
              </w:rPr>
              <w:t>499</w:t>
            </w:r>
          </w:p>
        </w:tc>
        <w:tc>
          <w:tcPr>
            <w:tcW w:w="1068" w:type="dxa"/>
            <w:noWrap/>
            <w:hideMark/>
          </w:tcPr>
          <w:p w14:paraId="5BEAC66D" w14:textId="77777777" w:rsidR="00BD45E2" w:rsidRPr="00CB4F3B" w:rsidRDefault="00BD45E2" w:rsidP="0081747E">
            <w:pPr>
              <w:widowControl w:val="0"/>
              <w:jc w:val="right"/>
              <w:rPr>
                <w:rFonts w:ascii="Arial" w:hAnsi="Arial" w:cs="Arial"/>
                <w:sz w:val="18"/>
                <w:szCs w:val="18"/>
                <w:lang w:val="en-GB"/>
              </w:rPr>
            </w:pPr>
            <w:r w:rsidRPr="00CB4F3B">
              <w:rPr>
                <w:rFonts w:ascii="Arial" w:hAnsi="Arial" w:cs="Arial"/>
                <w:sz w:val="18"/>
                <w:szCs w:val="18"/>
                <w:lang w:val="en-GB"/>
              </w:rPr>
              <w:t>379</w:t>
            </w:r>
          </w:p>
        </w:tc>
        <w:tc>
          <w:tcPr>
            <w:tcW w:w="1069" w:type="dxa"/>
            <w:noWrap/>
            <w:hideMark/>
          </w:tcPr>
          <w:p w14:paraId="58CB39C2" w14:textId="77777777" w:rsidR="00BD45E2" w:rsidRPr="00CB4F3B" w:rsidRDefault="00BD45E2" w:rsidP="0081747E">
            <w:pPr>
              <w:widowControl w:val="0"/>
              <w:jc w:val="right"/>
              <w:rPr>
                <w:rFonts w:ascii="Arial" w:hAnsi="Arial" w:cs="Arial"/>
                <w:sz w:val="18"/>
                <w:szCs w:val="18"/>
                <w:lang w:val="en-GB"/>
              </w:rPr>
            </w:pPr>
            <w:r w:rsidRPr="00CB4F3B">
              <w:rPr>
                <w:rFonts w:ascii="Arial" w:hAnsi="Arial" w:cs="Arial"/>
                <w:sz w:val="18"/>
                <w:szCs w:val="18"/>
                <w:lang w:val="en-GB"/>
              </w:rPr>
              <w:t>52</w:t>
            </w:r>
          </w:p>
        </w:tc>
        <w:tc>
          <w:tcPr>
            <w:tcW w:w="1069" w:type="dxa"/>
            <w:noWrap/>
            <w:hideMark/>
          </w:tcPr>
          <w:p w14:paraId="0773B27A" w14:textId="77777777" w:rsidR="00BD45E2" w:rsidRPr="00CB4F3B" w:rsidRDefault="00BD45E2" w:rsidP="0081747E">
            <w:pPr>
              <w:widowControl w:val="0"/>
              <w:jc w:val="right"/>
              <w:rPr>
                <w:rFonts w:ascii="Arial" w:hAnsi="Arial" w:cs="Arial"/>
                <w:sz w:val="18"/>
                <w:szCs w:val="18"/>
                <w:lang w:val="en-GB"/>
              </w:rPr>
            </w:pPr>
            <w:r w:rsidRPr="00CB4F3B">
              <w:rPr>
                <w:rFonts w:ascii="Arial" w:hAnsi="Arial" w:cs="Arial"/>
                <w:sz w:val="18"/>
                <w:szCs w:val="18"/>
                <w:lang w:val="en-GB"/>
              </w:rPr>
              <w:t>9</w:t>
            </w:r>
          </w:p>
        </w:tc>
      </w:tr>
    </w:tbl>
    <w:p w14:paraId="2322BB6F" w14:textId="77777777" w:rsidR="00BD45E2" w:rsidRPr="00CB4F3B" w:rsidRDefault="00BD45E2" w:rsidP="0081747E">
      <w:pPr>
        <w:pStyle w:val="NoSpacing"/>
        <w:widowControl w:val="0"/>
        <w:rPr>
          <w:rFonts w:ascii="Arial" w:hAnsi="Arial" w:cs="Arial"/>
          <w:sz w:val="17"/>
          <w:szCs w:val="17"/>
          <w:lang w:val="en-GB"/>
        </w:rPr>
      </w:pPr>
    </w:p>
    <w:p w14:paraId="497EAC76" w14:textId="68E179AD" w:rsidR="004318CE" w:rsidRPr="00CB4F3B" w:rsidRDefault="004318CE" w:rsidP="0081747E">
      <w:pPr>
        <w:pStyle w:val="NoSpacing"/>
        <w:widowControl w:val="0"/>
        <w:rPr>
          <w:rFonts w:ascii="Arial" w:hAnsi="Arial" w:cs="Arial"/>
          <w:spacing w:val="-4"/>
          <w:sz w:val="17"/>
          <w:szCs w:val="17"/>
          <w:lang w:val="en-GB"/>
        </w:rPr>
      </w:pPr>
      <w:r w:rsidRPr="00CB4F3B">
        <w:rPr>
          <w:rFonts w:ascii="Arial" w:hAnsi="Arial" w:cs="Arial"/>
          <w:spacing w:val="-4"/>
          <w:sz w:val="17"/>
          <w:szCs w:val="17"/>
          <w:lang w:val="en-GB"/>
        </w:rPr>
        <w:t>Note: GDP = gross domestic product</w:t>
      </w:r>
    </w:p>
    <w:p w14:paraId="067D68C5" w14:textId="346CD502" w:rsidR="00BD45E2" w:rsidRPr="00CB4F3B" w:rsidRDefault="00BD45E2" w:rsidP="0081747E">
      <w:pPr>
        <w:pStyle w:val="NoSpacing"/>
        <w:widowControl w:val="0"/>
        <w:jc w:val="both"/>
        <w:rPr>
          <w:rFonts w:ascii="Arial" w:hAnsi="Arial" w:cs="Arial"/>
          <w:spacing w:val="-4"/>
          <w:sz w:val="17"/>
          <w:szCs w:val="17"/>
          <w:lang w:val="en-GB"/>
        </w:rPr>
      </w:pPr>
      <w:r w:rsidRPr="00CB4F3B">
        <w:rPr>
          <w:rFonts w:ascii="Arial" w:hAnsi="Arial" w:cs="Arial"/>
          <w:spacing w:val="-4"/>
          <w:sz w:val="17"/>
          <w:szCs w:val="17"/>
          <w:lang w:val="en-GB"/>
        </w:rPr>
        <w:t xml:space="preserve">Sources: </w:t>
      </w:r>
      <w:r w:rsidR="004318CE" w:rsidRPr="00CB4F3B">
        <w:rPr>
          <w:rFonts w:ascii="Arial" w:hAnsi="Arial" w:cs="Arial"/>
          <w:spacing w:val="-4"/>
          <w:sz w:val="17"/>
          <w:szCs w:val="17"/>
          <w:lang w:val="en-GB"/>
        </w:rPr>
        <w:t>“</w:t>
      </w:r>
      <w:r w:rsidRPr="00CB4F3B">
        <w:rPr>
          <w:rFonts w:ascii="Arial" w:hAnsi="Arial" w:cs="Arial"/>
          <w:spacing w:val="-4"/>
          <w:sz w:val="17"/>
          <w:szCs w:val="17"/>
          <w:lang w:val="en-GB"/>
        </w:rPr>
        <w:t xml:space="preserve">Population </w:t>
      </w:r>
      <w:r w:rsidR="004318CE" w:rsidRPr="00CB4F3B">
        <w:rPr>
          <w:rFonts w:ascii="Arial" w:hAnsi="Arial" w:cs="Arial"/>
          <w:spacing w:val="-4"/>
          <w:sz w:val="17"/>
          <w:szCs w:val="17"/>
          <w:lang w:val="en-GB"/>
        </w:rPr>
        <w:t>A</w:t>
      </w:r>
      <w:r w:rsidRPr="00CB4F3B">
        <w:rPr>
          <w:rFonts w:ascii="Arial" w:hAnsi="Arial" w:cs="Arial"/>
          <w:spacing w:val="-4"/>
          <w:sz w:val="17"/>
          <w:szCs w:val="17"/>
          <w:lang w:val="en-GB"/>
        </w:rPr>
        <w:t>ges 0</w:t>
      </w:r>
      <w:r w:rsidR="004318CE" w:rsidRPr="00CB4F3B">
        <w:rPr>
          <w:rFonts w:ascii="Arial" w:hAnsi="Arial" w:cs="Arial"/>
          <w:spacing w:val="-4"/>
          <w:sz w:val="17"/>
          <w:szCs w:val="17"/>
          <w:lang w:val="en-GB"/>
        </w:rPr>
        <w:t>–</w:t>
      </w:r>
      <w:r w:rsidRPr="00CB4F3B">
        <w:rPr>
          <w:rFonts w:ascii="Arial" w:hAnsi="Arial" w:cs="Arial"/>
          <w:spacing w:val="-4"/>
          <w:sz w:val="17"/>
          <w:szCs w:val="17"/>
          <w:lang w:val="en-GB"/>
        </w:rPr>
        <w:t xml:space="preserve">14 (% of </w:t>
      </w:r>
      <w:r w:rsidR="004318CE" w:rsidRPr="00CB4F3B">
        <w:rPr>
          <w:rFonts w:ascii="Arial" w:hAnsi="Arial" w:cs="Arial"/>
          <w:spacing w:val="-4"/>
          <w:sz w:val="17"/>
          <w:szCs w:val="17"/>
          <w:lang w:val="en-GB"/>
        </w:rPr>
        <w:t>T</w:t>
      </w:r>
      <w:r w:rsidRPr="00CB4F3B">
        <w:rPr>
          <w:rFonts w:ascii="Arial" w:hAnsi="Arial" w:cs="Arial"/>
          <w:spacing w:val="-4"/>
          <w:sz w:val="17"/>
          <w:szCs w:val="17"/>
          <w:lang w:val="en-GB"/>
        </w:rPr>
        <w:t>otal),</w:t>
      </w:r>
      <w:r w:rsidR="004318CE" w:rsidRPr="00CB4F3B">
        <w:rPr>
          <w:rFonts w:ascii="Arial" w:hAnsi="Arial" w:cs="Arial"/>
          <w:spacing w:val="-4"/>
          <w:sz w:val="17"/>
          <w:szCs w:val="17"/>
          <w:lang w:val="en-GB"/>
        </w:rPr>
        <w:t>”</w:t>
      </w:r>
      <w:r w:rsidRPr="00CB4F3B">
        <w:rPr>
          <w:rFonts w:ascii="Arial" w:hAnsi="Arial" w:cs="Arial"/>
          <w:spacing w:val="-4"/>
          <w:sz w:val="17"/>
          <w:szCs w:val="17"/>
          <w:lang w:val="en-GB"/>
        </w:rPr>
        <w:t xml:space="preserve"> </w:t>
      </w:r>
      <w:r w:rsidR="004318CE" w:rsidRPr="00CB4F3B">
        <w:rPr>
          <w:rFonts w:ascii="Arial" w:hAnsi="Arial" w:cs="Arial"/>
          <w:spacing w:val="-4"/>
          <w:sz w:val="17"/>
          <w:szCs w:val="17"/>
          <w:lang w:val="en-GB"/>
        </w:rPr>
        <w:t xml:space="preserve">The World Bank, </w:t>
      </w:r>
      <w:r w:rsidRPr="00CB4F3B">
        <w:rPr>
          <w:rFonts w:ascii="Arial" w:hAnsi="Arial" w:cs="Arial"/>
          <w:spacing w:val="-4"/>
          <w:sz w:val="17"/>
          <w:szCs w:val="17"/>
          <w:lang w:val="en-GB"/>
        </w:rPr>
        <w:t>accessed December 7, 2017, https://data.worldbank.org/indicator/SP.POP.</w:t>
      </w:r>
      <w:r w:rsidR="00E73CF0" w:rsidRPr="00CB4F3B">
        <w:rPr>
          <w:rFonts w:ascii="Arial" w:hAnsi="Arial" w:cs="Arial"/>
          <w:spacing w:val="-4"/>
          <w:sz w:val="17"/>
          <w:szCs w:val="17"/>
          <w:lang w:val="en-GB"/>
        </w:rPr>
        <w:t>0014.TO.ZS?locations=IN; “</w:t>
      </w:r>
      <w:r w:rsidR="00E73CF0" w:rsidRPr="00CB4F3B">
        <w:rPr>
          <w:rFonts w:ascii="Arial" w:hAnsi="Arial" w:cs="Arial"/>
          <w:color w:val="101F28"/>
          <w:spacing w:val="-4"/>
          <w:sz w:val="17"/>
          <w:szCs w:val="17"/>
          <w:lang w:val="en-GB"/>
        </w:rPr>
        <w:t xml:space="preserve">GDP Growth (Annual %),” The World Bank, accessed December 7, 2017, </w:t>
      </w:r>
      <w:r w:rsidR="00E73CF0" w:rsidRPr="00CB4F3B">
        <w:rPr>
          <w:rFonts w:ascii="Arial" w:hAnsi="Arial" w:cs="Arial"/>
          <w:spacing w:val="-4"/>
          <w:sz w:val="17"/>
          <w:szCs w:val="17"/>
          <w:lang w:val="en-GB"/>
        </w:rPr>
        <w:t>https://data.worldbank.org/indicator/NY.GDP.MKTP.KD.ZG; “</w:t>
      </w:r>
      <w:r w:rsidR="00E73CF0" w:rsidRPr="00CB4F3B">
        <w:rPr>
          <w:rStyle w:val="Strong"/>
          <w:rFonts w:ascii="Arial" w:hAnsi="Arial" w:cs="Arial"/>
          <w:b w:val="0"/>
          <w:bCs w:val="0"/>
          <w:spacing w:val="-4"/>
          <w:sz w:val="17"/>
          <w:szCs w:val="17"/>
          <w:lang w:val="en-GB"/>
        </w:rPr>
        <w:t xml:space="preserve">Average Spend per Child on Toys Worldwide in 2015, by </w:t>
      </w:r>
      <w:r w:rsidR="00023764" w:rsidRPr="00CB4F3B">
        <w:rPr>
          <w:rStyle w:val="Strong"/>
          <w:rFonts w:ascii="Arial" w:hAnsi="Arial" w:cs="Arial"/>
          <w:b w:val="0"/>
          <w:bCs w:val="0"/>
          <w:spacing w:val="-4"/>
          <w:sz w:val="17"/>
          <w:szCs w:val="17"/>
          <w:lang w:val="en-GB"/>
        </w:rPr>
        <w:t>C</w:t>
      </w:r>
      <w:r w:rsidR="00E73CF0" w:rsidRPr="00CB4F3B">
        <w:rPr>
          <w:rStyle w:val="Strong"/>
          <w:rFonts w:ascii="Arial" w:hAnsi="Arial" w:cs="Arial"/>
          <w:b w:val="0"/>
          <w:bCs w:val="0"/>
          <w:spacing w:val="-4"/>
          <w:sz w:val="17"/>
          <w:szCs w:val="17"/>
          <w:lang w:val="en-GB"/>
        </w:rPr>
        <w:t xml:space="preserve">ountry (in U.S. dollars),” Statista, </w:t>
      </w:r>
      <w:r w:rsidR="00E73CF0" w:rsidRPr="00CB4F3B">
        <w:rPr>
          <w:rFonts w:ascii="Arial" w:hAnsi="Arial" w:cs="Arial"/>
          <w:spacing w:val="-4"/>
          <w:sz w:val="17"/>
          <w:szCs w:val="17"/>
          <w:lang w:val="en-GB"/>
        </w:rPr>
        <w:t>accessed December 7, 2017, www.statista.com/statistics/750787/global-toy-market-average-spend/.</w:t>
      </w:r>
    </w:p>
    <w:p w14:paraId="445F3F87" w14:textId="65E787BE" w:rsidR="00941A75" w:rsidRPr="00CB4F3B" w:rsidRDefault="00941A75" w:rsidP="0081747E">
      <w:pPr>
        <w:pStyle w:val="NoSpacing"/>
        <w:widowControl w:val="0"/>
        <w:rPr>
          <w:spacing w:val="-4"/>
          <w:sz w:val="18"/>
          <w:lang w:val="en-GB"/>
        </w:rPr>
      </w:pPr>
    </w:p>
    <w:p w14:paraId="7E4F5FBB" w14:textId="77777777" w:rsidR="00941A75" w:rsidRPr="00CB4F3B" w:rsidRDefault="00941A75" w:rsidP="0081747E">
      <w:pPr>
        <w:pStyle w:val="NoSpacing"/>
        <w:widowControl w:val="0"/>
        <w:rPr>
          <w:spacing w:val="-4"/>
          <w:sz w:val="18"/>
          <w:lang w:val="en-GB"/>
        </w:rPr>
      </w:pPr>
    </w:p>
    <w:p w14:paraId="78FBC62D" w14:textId="4F3083A2" w:rsidR="00BD45E2" w:rsidRPr="00CB4F3B" w:rsidRDefault="00BD45E2" w:rsidP="0081747E">
      <w:pPr>
        <w:pStyle w:val="ExhibitHeading"/>
        <w:widowControl w:val="0"/>
        <w:rPr>
          <w:lang w:val="en-GB"/>
        </w:rPr>
      </w:pPr>
      <w:r w:rsidRPr="00CB4F3B">
        <w:rPr>
          <w:lang w:val="en-GB"/>
        </w:rPr>
        <w:t xml:space="preserve">EXHIBIT 3: FUNSKOOL’S </w:t>
      </w:r>
      <w:r w:rsidR="004318CE" w:rsidRPr="00CB4F3B">
        <w:rPr>
          <w:lang w:val="en-GB"/>
        </w:rPr>
        <w:t xml:space="preserve">International </w:t>
      </w:r>
      <w:r w:rsidRPr="00CB4F3B">
        <w:rPr>
          <w:lang w:val="en-GB"/>
        </w:rPr>
        <w:t>PARTNERSHIP</w:t>
      </w:r>
      <w:r w:rsidR="004318CE" w:rsidRPr="00CB4F3B">
        <w:rPr>
          <w:lang w:val="en-GB"/>
        </w:rPr>
        <w:t>s</w:t>
      </w:r>
    </w:p>
    <w:p w14:paraId="6DEEA5E1" w14:textId="77777777" w:rsidR="00BD45E2" w:rsidRPr="00CB4F3B" w:rsidRDefault="00BD45E2" w:rsidP="0081747E">
      <w:pPr>
        <w:pStyle w:val="BodyTextMain"/>
        <w:widowControl w:val="0"/>
        <w:rPr>
          <w:sz w:val="18"/>
          <w:lang w:val="en-GB"/>
        </w:rPr>
      </w:pPr>
    </w:p>
    <w:tbl>
      <w:tblPr>
        <w:tblStyle w:val="TableGrid"/>
        <w:tblW w:w="9346" w:type="dxa"/>
        <w:jc w:val="center"/>
        <w:tblLook w:val="04A0" w:firstRow="1" w:lastRow="0" w:firstColumn="1" w:lastColumn="0" w:noHBand="0" w:noVBand="1"/>
      </w:tblPr>
      <w:tblGrid>
        <w:gridCol w:w="1799"/>
        <w:gridCol w:w="3056"/>
        <w:gridCol w:w="4491"/>
      </w:tblGrid>
      <w:tr w:rsidR="00BD45E2" w:rsidRPr="00CB4F3B" w14:paraId="1EB2F324" w14:textId="77777777" w:rsidTr="00AC768E">
        <w:trPr>
          <w:trHeight w:val="60"/>
          <w:jc w:val="center"/>
        </w:trPr>
        <w:tc>
          <w:tcPr>
            <w:tcW w:w="1799" w:type="dxa"/>
            <w:hideMark/>
          </w:tcPr>
          <w:p w14:paraId="775E9A8D" w14:textId="1336BF1D" w:rsidR="00BD45E2" w:rsidRPr="00CB4F3B" w:rsidRDefault="004318CE" w:rsidP="0081747E">
            <w:pPr>
              <w:widowControl w:val="0"/>
              <w:jc w:val="center"/>
              <w:rPr>
                <w:rFonts w:ascii="Arial" w:hAnsi="Arial" w:cs="Arial"/>
                <w:b/>
                <w:bCs/>
                <w:color w:val="000000"/>
                <w:sz w:val="18"/>
                <w:szCs w:val="18"/>
                <w:lang w:val="en-GB"/>
              </w:rPr>
            </w:pPr>
            <w:r w:rsidRPr="00CB4F3B">
              <w:rPr>
                <w:rFonts w:ascii="Arial" w:hAnsi="Arial" w:cs="Arial"/>
                <w:b/>
                <w:bCs/>
                <w:color w:val="000000"/>
                <w:sz w:val="18"/>
                <w:szCs w:val="18"/>
                <w:lang w:val="en-GB" w:eastAsia="zh-CN"/>
              </w:rPr>
              <w:t>Company</w:t>
            </w:r>
          </w:p>
        </w:tc>
        <w:tc>
          <w:tcPr>
            <w:tcW w:w="3056" w:type="dxa"/>
            <w:hideMark/>
          </w:tcPr>
          <w:p w14:paraId="035C1022" w14:textId="364E662C" w:rsidR="00BD45E2" w:rsidRPr="00CB4F3B" w:rsidRDefault="004318CE" w:rsidP="0081747E">
            <w:pPr>
              <w:widowControl w:val="0"/>
              <w:jc w:val="center"/>
              <w:rPr>
                <w:rFonts w:ascii="Arial" w:hAnsi="Arial" w:cs="Arial"/>
                <w:b/>
                <w:bCs/>
                <w:color w:val="000000"/>
                <w:sz w:val="18"/>
                <w:szCs w:val="18"/>
                <w:lang w:val="en-GB"/>
              </w:rPr>
            </w:pPr>
            <w:r w:rsidRPr="00CB4F3B">
              <w:rPr>
                <w:rFonts w:ascii="Arial" w:hAnsi="Arial" w:cs="Arial"/>
                <w:b/>
                <w:bCs/>
                <w:color w:val="000000"/>
                <w:sz w:val="18"/>
                <w:szCs w:val="18"/>
                <w:lang w:val="en-GB" w:eastAsia="zh-CN"/>
              </w:rPr>
              <w:t>Partnership Type</w:t>
            </w:r>
          </w:p>
        </w:tc>
        <w:tc>
          <w:tcPr>
            <w:tcW w:w="4491" w:type="dxa"/>
            <w:hideMark/>
          </w:tcPr>
          <w:p w14:paraId="7DE39408" w14:textId="6F271E21" w:rsidR="00BD45E2" w:rsidRPr="00CB4F3B" w:rsidRDefault="00BD45E2" w:rsidP="0081747E">
            <w:pPr>
              <w:widowControl w:val="0"/>
              <w:jc w:val="center"/>
              <w:rPr>
                <w:rFonts w:ascii="Arial" w:hAnsi="Arial" w:cs="Arial"/>
                <w:b/>
                <w:bCs/>
                <w:color w:val="000000"/>
                <w:sz w:val="18"/>
                <w:szCs w:val="18"/>
                <w:lang w:val="en-GB"/>
              </w:rPr>
            </w:pPr>
            <w:r w:rsidRPr="00CB4F3B">
              <w:rPr>
                <w:rFonts w:ascii="Arial" w:hAnsi="Arial" w:cs="Arial"/>
                <w:b/>
                <w:bCs/>
                <w:color w:val="000000"/>
                <w:sz w:val="18"/>
                <w:szCs w:val="18"/>
                <w:lang w:val="en-GB" w:eastAsia="zh-CN"/>
              </w:rPr>
              <w:t>Major Product</w:t>
            </w:r>
            <w:r w:rsidR="004318CE" w:rsidRPr="00CB4F3B">
              <w:rPr>
                <w:rFonts w:ascii="Arial" w:hAnsi="Arial" w:cs="Arial"/>
                <w:b/>
                <w:bCs/>
                <w:color w:val="000000"/>
                <w:sz w:val="18"/>
                <w:szCs w:val="18"/>
                <w:lang w:val="en-GB" w:eastAsia="zh-CN"/>
              </w:rPr>
              <w:t xml:space="preserve"> </w:t>
            </w:r>
            <w:r w:rsidRPr="00CB4F3B">
              <w:rPr>
                <w:rFonts w:ascii="Arial" w:hAnsi="Arial" w:cs="Arial"/>
                <w:b/>
                <w:bCs/>
                <w:color w:val="000000"/>
                <w:sz w:val="18"/>
                <w:szCs w:val="18"/>
                <w:lang w:val="en-GB" w:eastAsia="zh-CN"/>
              </w:rPr>
              <w:t>Categor</w:t>
            </w:r>
            <w:r w:rsidR="004318CE" w:rsidRPr="00CB4F3B">
              <w:rPr>
                <w:rFonts w:ascii="Arial" w:hAnsi="Arial" w:cs="Arial"/>
                <w:b/>
                <w:bCs/>
                <w:color w:val="000000"/>
                <w:sz w:val="18"/>
                <w:szCs w:val="18"/>
                <w:lang w:val="en-GB" w:eastAsia="zh-CN"/>
              </w:rPr>
              <w:t>ies</w:t>
            </w:r>
          </w:p>
        </w:tc>
      </w:tr>
      <w:tr w:rsidR="00BD45E2" w:rsidRPr="00CB4F3B" w14:paraId="6AA85A67" w14:textId="77777777" w:rsidTr="00AC768E">
        <w:trPr>
          <w:trHeight w:val="60"/>
          <w:jc w:val="center"/>
        </w:trPr>
        <w:tc>
          <w:tcPr>
            <w:tcW w:w="1799" w:type="dxa"/>
            <w:hideMark/>
          </w:tcPr>
          <w:p w14:paraId="522665D9" w14:textId="77777777" w:rsidR="00BD45E2" w:rsidRPr="00CB4F3B" w:rsidRDefault="00BD45E2" w:rsidP="0081747E">
            <w:pPr>
              <w:widowControl w:val="0"/>
              <w:rPr>
                <w:rFonts w:ascii="Arial" w:hAnsi="Arial" w:cs="Arial"/>
                <w:color w:val="000000"/>
                <w:sz w:val="18"/>
                <w:szCs w:val="18"/>
                <w:lang w:val="en-GB"/>
              </w:rPr>
            </w:pPr>
            <w:r w:rsidRPr="00CB4F3B">
              <w:rPr>
                <w:rFonts w:ascii="Arial" w:hAnsi="Arial" w:cs="Arial"/>
                <w:color w:val="000000"/>
                <w:sz w:val="18"/>
                <w:szCs w:val="18"/>
                <w:lang w:val="en-GB" w:eastAsia="zh-CN"/>
              </w:rPr>
              <w:t>Hasbro</w:t>
            </w:r>
          </w:p>
        </w:tc>
        <w:tc>
          <w:tcPr>
            <w:tcW w:w="3056" w:type="dxa"/>
            <w:hideMark/>
          </w:tcPr>
          <w:p w14:paraId="261E1165" w14:textId="77777777" w:rsidR="00BD45E2" w:rsidRPr="00CB4F3B" w:rsidRDefault="00BD45E2" w:rsidP="0081747E">
            <w:pPr>
              <w:widowControl w:val="0"/>
              <w:rPr>
                <w:rFonts w:ascii="Arial" w:hAnsi="Arial" w:cs="Arial"/>
                <w:color w:val="000000"/>
                <w:sz w:val="18"/>
                <w:szCs w:val="18"/>
                <w:lang w:val="en-GB"/>
              </w:rPr>
            </w:pPr>
            <w:r w:rsidRPr="00CB4F3B">
              <w:rPr>
                <w:rFonts w:ascii="Arial" w:hAnsi="Arial" w:cs="Arial"/>
                <w:color w:val="000000"/>
                <w:sz w:val="18"/>
                <w:szCs w:val="18"/>
                <w:lang w:val="en-GB" w:eastAsia="zh-CN"/>
              </w:rPr>
              <w:t>Distribution</w:t>
            </w:r>
          </w:p>
        </w:tc>
        <w:tc>
          <w:tcPr>
            <w:tcW w:w="4491" w:type="dxa"/>
            <w:hideMark/>
          </w:tcPr>
          <w:p w14:paraId="6A8E282E" w14:textId="4ABBC6CF" w:rsidR="00BD45E2" w:rsidRPr="00CB4F3B" w:rsidRDefault="004318CE" w:rsidP="0081747E">
            <w:pPr>
              <w:widowControl w:val="0"/>
              <w:rPr>
                <w:rFonts w:ascii="Arial" w:hAnsi="Arial" w:cs="Arial"/>
                <w:color w:val="000000"/>
                <w:sz w:val="18"/>
                <w:szCs w:val="18"/>
                <w:lang w:val="en-GB"/>
              </w:rPr>
            </w:pPr>
            <w:r w:rsidRPr="00CB4F3B">
              <w:rPr>
                <w:rFonts w:ascii="Arial" w:hAnsi="Arial" w:cs="Arial"/>
                <w:color w:val="000000"/>
                <w:sz w:val="18"/>
                <w:szCs w:val="18"/>
                <w:lang w:val="en-GB" w:eastAsia="zh-CN"/>
              </w:rPr>
              <w:t>Action and activity toys; collectible and action figures</w:t>
            </w:r>
          </w:p>
        </w:tc>
      </w:tr>
      <w:tr w:rsidR="00BD45E2" w:rsidRPr="00CB4F3B" w14:paraId="14B79399" w14:textId="77777777" w:rsidTr="00AC768E">
        <w:trPr>
          <w:trHeight w:val="60"/>
          <w:jc w:val="center"/>
        </w:trPr>
        <w:tc>
          <w:tcPr>
            <w:tcW w:w="1799" w:type="dxa"/>
            <w:hideMark/>
          </w:tcPr>
          <w:p w14:paraId="57A11E9F" w14:textId="66EAFB8F" w:rsidR="00BD45E2" w:rsidRPr="00CB4F3B" w:rsidRDefault="00BD45E2" w:rsidP="0081747E">
            <w:pPr>
              <w:widowControl w:val="0"/>
              <w:rPr>
                <w:rFonts w:ascii="Arial" w:hAnsi="Arial" w:cs="Arial"/>
                <w:color w:val="000000"/>
                <w:sz w:val="18"/>
                <w:szCs w:val="18"/>
                <w:lang w:val="en-GB"/>
              </w:rPr>
            </w:pPr>
            <w:r w:rsidRPr="00CB4F3B">
              <w:rPr>
                <w:rFonts w:ascii="Arial" w:hAnsi="Arial" w:cs="Arial"/>
                <w:color w:val="000000"/>
                <w:sz w:val="18"/>
                <w:szCs w:val="18"/>
                <w:lang w:val="en-GB" w:eastAsia="zh-CN"/>
              </w:rPr>
              <w:t>LeapFrog</w:t>
            </w:r>
          </w:p>
        </w:tc>
        <w:tc>
          <w:tcPr>
            <w:tcW w:w="3056" w:type="dxa"/>
            <w:hideMark/>
          </w:tcPr>
          <w:p w14:paraId="5B20A79B" w14:textId="77777777" w:rsidR="00BD45E2" w:rsidRPr="00CB4F3B" w:rsidRDefault="00BD45E2" w:rsidP="0081747E">
            <w:pPr>
              <w:widowControl w:val="0"/>
              <w:rPr>
                <w:rFonts w:ascii="Arial" w:hAnsi="Arial" w:cs="Arial"/>
                <w:color w:val="000000"/>
                <w:sz w:val="18"/>
                <w:szCs w:val="18"/>
                <w:lang w:val="en-GB"/>
              </w:rPr>
            </w:pPr>
            <w:r w:rsidRPr="00CB4F3B">
              <w:rPr>
                <w:rFonts w:ascii="Arial" w:hAnsi="Arial" w:cs="Arial"/>
                <w:color w:val="000000"/>
                <w:sz w:val="18"/>
                <w:szCs w:val="18"/>
                <w:lang w:val="en-GB" w:eastAsia="zh-CN"/>
              </w:rPr>
              <w:t>Distribution</w:t>
            </w:r>
          </w:p>
        </w:tc>
        <w:tc>
          <w:tcPr>
            <w:tcW w:w="4491" w:type="dxa"/>
            <w:hideMark/>
          </w:tcPr>
          <w:p w14:paraId="0ECACA17" w14:textId="5FC191D6" w:rsidR="00BD45E2" w:rsidRPr="00CB4F3B" w:rsidRDefault="004318CE" w:rsidP="0081747E">
            <w:pPr>
              <w:widowControl w:val="0"/>
              <w:rPr>
                <w:rFonts w:ascii="Arial" w:hAnsi="Arial" w:cs="Arial"/>
                <w:color w:val="000000"/>
                <w:sz w:val="18"/>
                <w:szCs w:val="18"/>
                <w:lang w:val="en-GB"/>
              </w:rPr>
            </w:pPr>
            <w:r w:rsidRPr="00CB4F3B">
              <w:rPr>
                <w:rFonts w:ascii="Arial" w:hAnsi="Arial" w:cs="Arial"/>
                <w:color w:val="000000"/>
                <w:sz w:val="18"/>
                <w:szCs w:val="18"/>
                <w:lang w:val="en-GB" w:eastAsia="zh-CN"/>
              </w:rPr>
              <w:t xml:space="preserve">Educational toys for infants and </w:t>
            </w:r>
            <w:r w:rsidR="005B22D7" w:rsidRPr="00CB4F3B">
              <w:rPr>
                <w:rFonts w:ascii="Arial" w:hAnsi="Arial" w:cs="Arial"/>
                <w:color w:val="000000"/>
                <w:sz w:val="18"/>
                <w:szCs w:val="18"/>
                <w:lang w:val="en-GB" w:eastAsia="zh-CN"/>
              </w:rPr>
              <w:t>preschoolers</w:t>
            </w:r>
          </w:p>
        </w:tc>
      </w:tr>
      <w:tr w:rsidR="00BD45E2" w:rsidRPr="00CB4F3B" w14:paraId="4F94FB86" w14:textId="77777777" w:rsidTr="00AC768E">
        <w:trPr>
          <w:trHeight w:val="60"/>
          <w:jc w:val="center"/>
        </w:trPr>
        <w:tc>
          <w:tcPr>
            <w:tcW w:w="1799" w:type="dxa"/>
            <w:hideMark/>
          </w:tcPr>
          <w:p w14:paraId="61A613BF" w14:textId="77777777" w:rsidR="00BD45E2" w:rsidRPr="00CB4F3B" w:rsidRDefault="00BD45E2" w:rsidP="0081747E">
            <w:pPr>
              <w:widowControl w:val="0"/>
              <w:rPr>
                <w:rFonts w:ascii="Arial" w:hAnsi="Arial" w:cs="Arial"/>
                <w:color w:val="000000"/>
                <w:sz w:val="18"/>
                <w:szCs w:val="18"/>
                <w:lang w:val="en-GB"/>
              </w:rPr>
            </w:pPr>
            <w:r w:rsidRPr="00CB4F3B">
              <w:rPr>
                <w:rFonts w:ascii="Arial" w:hAnsi="Arial" w:cs="Arial"/>
                <w:color w:val="000000"/>
                <w:sz w:val="18"/>
                <w:szCs w:val="18"/>
                <w:lang w:val="en-GB"/>
              </w:rPr>
              <w:t>Disney</w:t>
            </w:r>
          </w:p>
        </w:tc>
        <w:tc>
          <w:tcPr>
            <w:tcW w:w="3056" w:type="dxa"/>
            <w:hideMark/>
          </w:tcPr>
          <w:p w14:paraId="3B5064F2" w14:textId="4C494B71" w:rsidR="00BD45E2" w:rsidRPr="00CB4F3B" w:rsidRDefault="00BD45E2" w:rsidP="0081747E">
            <w:pPr>
              <w:widowControl w:val="0"/>
              <w:rPr>
                <w:rFonts w:ascii="Arial" w:hAnsi="Arial" w:cs="Arial"/>
                <w:color w:val="000000"/>
                <w:sz w:val="18"/>
                <w:szCs w:val="18"/>
                <w:lang w:val="en-GB"/>
              </w:rPr>
            </w:pPr>
            <w:r w:rsidRPr="00CB4F3B">
              <w:rPr>
                <w:rFonts w:ascii="Arial" w:hAnsi="Arial" w:cs="Arial"/>
                <w:color w:val="000000"/>
                <w:sz w:val="18"/>
                <w:szCs w:val="18"/>
                <w:lang w:val="en-GB"/>
              </w:rPr>
              <w:t xml:space="preserve">Manufacturing </w:t>
            </w:r>
            <w:r w:rsidR="004318CE" w:rsidRPr="00CB4F3B">
              <w:rPr>
                <w:rFonts w:ascii="Arial" w:hAnsi="Arial" w:cs="Arial"/>
                <w:color w:val="000000"/>
                <w:sz w:val="18"/>
                <w:szCs w:val="18"/>
                <w:lang w:val="en-GB"/>
              </w:rPr>
              <w:t>and d</w:t>
            </w:r>
            <w:r w:rsidRPr="00CB4F3B">
              <w:rPr>
                <w:rFonts w:ascii="Arial" w:hAnsi="Arial" w:cs="Arial"/>
                <w:color w:val="000000"/>
                <w:sz w:val="18"/>
                <w:szCs w:val="18"/>
                <w:lang w:val="en-GB"/>
              </w:rPr>
              <w:t>istribution</w:t>
            </w:r>
          </w:p>
        </w:tc>
        <w:tc>
          <w:tcPr>
            <w:tcW w:w="4491" w:type="dxa"/>
            <w:hideMark/>
          </w:tcPr>
          <w:p w14:paraId="163D7A99" w14:textId="5972F24A" w:rsidR="00BD45E2" w:rsidRPr="00CB4F3B" w:rsidRDefault="004318CE" w:rsidP="0081747E">
            <w:pPr>
              <w:widowControl w:val="0"/>
              <w:rPr>
                <w:rFonts w:ascii="Arial" w:hAnsi="Arial" w:cs="Arial"/>
                <w:color w:val="000000"/>
                <w:sz w:val="18"/>
                <w:szCs w:val="18"/>
                <w:lang w:val="en-GB"/>
              </w:rPr>
            </w:pPr>
            <w:r w:rsidRPr="00CB4F3B">
              <w:rPr>
                <w:rFonts w:ascii="Arial" w:hAnsi="Arial" w:cs="Arial"/>
                <w:color w:val="000000"/>
                <w:sz w:val="18"/>
                <w:szCs w:val="18"/>
                <w:lang w:val="en-GB"/>
              </w:rPr>
              <w:t>Board games; role play</w:t>
            </w:r>
          </w:p>
        </w:tc>
      </w:tr>
      <w:tr w:rsidR="00BD45E2" w:rsidRPr="00CB4F3B" w14:paraId="4518D7A4" w14:textId="77777777" w:rsidTr="00AC768E">
        <w:trPr>
          <w:trHeight w:val="60"/>
          <w:jc w:val="center"/>
        </w:trPr>
        <w:tc>
          <w:tcPr>
            <w:tcW w:w="1799" w:type="dxa"/>
            <w:hideMark/>
          </w:tcPr>
          <w:p w14:paraId="21822982" w14:textId="77777777" w:rsidR="00BD45E2" w:rsidRPr="00CB4F3B" w:rsidRDefault="00BD45E2" w:rsidP="0081747E">
            <w:pPr>
              <w:widowControl w:val="0"/>
              <w:rPr>
                <w:rFonts w:ascii="Arial" w:hAnsi="Arial" w:cs="Arial"/>
                <w:color w:val="000000"/>
                <w:sz w:val="18"/>
                <w:szCs w:val="18"/>
                <w:lang w:val="en-GB"/>
              </w:rPr>
            </w:pPr>
            <w:r w:rsidRPr="00CB4F3B">
              <w:rPr>
                <w:rFonts w:ascii="Arial" w:hAnsi="Arial" w:cs="Arial"/>
                <w:color w:val="000000"/>
                <w:sz w:val="18"/>
                <w:szCs w:val="18"/>
                <w:lang w:val="en-GB"/>
              </w:rPr>
              <w:t>Warner Bros</w:t>
            </w:r>
          </w:p>
        </w:tc>
        <w:tc>
          <w:tcPr>
            <w:tcW w:w="3056" w:type="dxa"/>
            <w:hideMark/>
          </w:tcPr>
          <w:p w14:paraId="197F344C" w14:textId="29C5E8F6" w:rsidR="00BD45E2" w:rsidRPr="00CB4F3B" w:rsidRDefault="00BD45E2" w:rsidP="0081747E">
            <w:pPr>
              <w:widowControl w:val="0"/>
              <w:rPr>
                <w:rFonts w:ascii="Arial" w:hAnsi="Arial" w:cs="Arial"/>
                <w:color w:val="000000"/>
                <w:sz w:val="18"/>
                <w:szCs w:val="18"/>
                <w:lang w:val="en-GB"/>
              </w:rPr>
            </w:pPr>
            <w:r w:rsidRPr="00CB4F3B">
              <w:rPr>
                <w:rFonts w:ascii="Arial" w:hAnsi="Arial" w:cs="Arial"/>
                <w:color w:val="000000"/>
                <w:sz w:val="18"/>
                <w:szCs w:val="18"/>
                <w:lang w:val="en-GB"/>
              </w:rPr>
              <w:t xml:space="preserve">Manufacturing </w:t>
            </w:r>
            <w:r w:rsidR="004318CE" w:rsidRPr="00CB4F3B">
              <w:rPr>
                <w:rFonts w:ascii="Arial" w:hAnsi="Arial" w:cs="Arial"/>
                <w:color w:val="000000"/>
                <w:sz w:val="18"/>
                <w:szCs w:val="18"/>
                <w:lang w:val="en-GB"/>
              </w:rPr>
              <w:t>and d</w:t>
            </w:r>
            <w:r w:rsidRPr="00CB4F3B">
              <w:rPr>
                <w:rFonts w:ascii="Arial" w:hAnsi="Arial" w:cs="Arial"/>
                <w:color w:val="000000"/>
                <w:sz w:val="18"/>
                <w:szCs w:val="18"/>
                <w:lang w:val="en-GB"/>
              </w:rPr>
              <w:t>istribution</w:t>
            </w:r>
          </w:p>
        </w:tc>
        <w:tc>
          <w:tcPr>
            <w:tcW w:w="4491" w:type="dxa"/>
            <w:hideMark/>
          </w:tcPr>
          <w:p w14:paraId="400619CE" w14:textId="6FE97518" w:rsidR="00BD45E2" w:rsidRPr="00CB4F3B" w:rsidRDefault="004318CE" w:rsidP="0081747E">
            <w:pPr>
              <w:widowControl w:val="0"/>
              <w:rPr>
                <w:rFonts w:ascii="Arial" w:hAnsi="Arial" w:cs="Arial"/>
                <w:color w:val="000000"/>
                <w:sz w:val="18"/>
                <w:szCs w:val="18"/>
                <w:lang w:val="en-GB"/>
              </w:rPr>
            </w:pPr>
            <w:r w:rsidRPr="00CB4F3B">
              <w:rPr>
                <w:rFonts w:ascii="Arial" w:hAnsi="Arial" w:cs="Arial"/>
                <w:color w:val="000000"/>
                <w:sz w:val="18"/>
                <w:szCs w:val="18"/>
                <w:lang w:val="en-GB"/>
              </w:rPr>
              <w:t xml:space="preserve">Board games </w:t>
            </w:r>
          </w:p>
        </w:tc>
      </w:tr>
      <w:tr w:rsidR="00BD45E2" w:rsidRPr="00CB4F3B" w14:paraId="3A04B803" w14:textId="77777777" w:rsidTr="00AC768E">
        <w:trPr>
          <w:trHeight w:val="60"/>
          <w:jc w:val="center"/>
        </w:trPr>
        <w:tc>
          <w:tcPr>
            <w:tcW w:w="1799" w:type="dxa"/>
            <w:hideMark/>
          </w:tcPr>
          <w:p w14:paraId="65158651" w14:textId="77777777" w:rsidR="00BD45E2" w:rsidRPr="00CB4F3B" w:rsidRDefault="00BD45E2" w:rsidP="0081747E">
            <w:pPr>
              <w:widowControl w:val="0"/>
              <w:rPr>
                <w:rFonts w:ascii="Arial" w:hAnsi="Arial" w:cs="Arial"/>
                <w:color w:val="000000"/>
                <w:sz w:val="18"/>
                <w:szCs w:val="18"/>
                <w:lang w:val="en-GB"/>
              </w:rPr>
            </w:pPr>
            <w:r w:rsidRPr="00CB4F3B">
              <w:rPr>
                <w:rFonts w:ascii="Arial" w:hAnsi="Arial" w:cs="Arial"/>
                <w:color w:val="000000"/>
                <w:sz w:val="18"/>
                <w:szCs w:val="18"/>
                <w:lang w:val="en-GB" w:eastAsia="zh-CN"/>
              </w:rPr>
              <w:t>LEGO</w:t>
            </w:r>
          </w:p>
        </w:tc>
        <w:tc>
          <w:tcPr>
            <w:tcW w:w="3056" w:type="dxa"/>
            <w:hideMark/>
          </w:tcPr>
          <w:p w14:paraId="05CEC62B" w14:textId="2886E44F" w:rsidR="00BD45E2" w:rsidRPr="00CB4F3B" w:rsidRDefault="00BD45E2" w:rsidP="0081747E">
            <w:pPr>
              <w:widowControl w:val="0"/>
              <w:rPr>
                <w:rFonts w:ascii="Arial" w:hAnsi="Arial" w:cs="Arial"/>
                <w:color w:val="000000"/>
                <w:sz w:val="18"/>
                <w:szCs w:val="18"/>
                <w:lang w:val="en-GB"/>
              </w:rPr>
            </w:pPr>
            <w:r w:rsidRPr="00CB4F3B">
              <w:rPr>
                <w:rFonts w:ascii="Arial" w:hAnsi="Arial" w:cs="Arial"/>
                <w:color w:val="000000"/>
                <w:sz w:val="18"/>
                <w:szCs w:val="18"/>
                <w:lang w:val="en-GB" w:eastAsia="zh-CN"/>
              </w:rPr>
              <w:t xml:space="preserve">Exclusive </w:t>
            </w:r>
            <w:r w:rsidR="004318CE" w:rsidRPr="00CB4F3B">
              <w:rPr>
                <w:rFonts w:ascii="Arial" w:hAnsi="Arial" w:cs="Arial"/>
                <w:color w:val="000000"/>
                <w:sz w:val="18"/>
                <w:szCs w:val="18"/>
                <w:lang w:val="en-GB" w:eastAsia="zh-CN"/>
              </w:rPr>
              <w:t>d</w:t>
            </w:r>
            <w:r w:rsidRPr="00CB4F3B">
              <w:rPr>
                <w:rFonts w:ascii="Arial" w:hAnsi="Arial" w:cs="Arial"/>
                <w:color w:val="000000"/>
                <w:sz w:val="18"/>
                <w:szCs w:val="18"/>
                <w:lang w:val="en-GB" w:eastAsia="zh-CN"/>
              </w:rPr>
              <w:t>istribution</w:t>
            </w:r>
          </w:p>
        </w:tc>
        <w:tc>
          <w:tcPr>
            <w:tcW w:w="4491" w:type="dxa"/>
            <w:hideMark/>
          </w:tcPr>
          <w:p w14:paraId="689512F2" w14:textId="0BF4F1AF" w:rsidR="00BD45E2" w:rsidRPr="00CB4F3B" w:rsidRDefault="004318CE" w:rsidP="0081747E">
            <w:pPr>
              <w:widowControl w:val="0"/>
              <w:rPr>
                <w:rFonts w:ascii="Arial" w:hAnsi="Arial" w:cs="Arial"/>
                <w:color w:val="000000"/>
                <w:sz w:val="18"/>
                <w:szCs w:val="18"/>
                <w:lang w:val="en-GB"/>
              </w:rPr>
            </w:pPr>
            <w:r w:rsidRPr="00CB4F3B">
              <w:rPr>
                <w:rFonts w:ascii="Arial" w:hAnsi="Arial" w:cs="Arial"/>
                <w:color w:val="000000"/>
                <w:sz w:val="18"/>
                <w:szCs w:val="18"/>
                <w:lang w:val="en-GB" w:eastAsia="zh-CN"/>
              </w:rPr>
              <w:t>Construction</w:t>
            </w:r>
            <w:r w:rsidR="00EC682B" w:rsidRPr="00CB4F3B">
              <w:rPr>
                <w:rFonts w:ascii="Arial" w:hAnsi="Arial" w:cs="Arial"/>
                <w:color w:val="000000"/>
                <w:sz w:val="18"/>
                <w:szCs w:val="18"/>
                <w:lang w:val="en-GB" w:eastAsia="zh-CN"/>
              </w:rPr>
              <w:t xml:space="preserve"> toys</w:t>
            </w:r>
          </w:p>
        </w:tc>
      </w:tr>
      <w:tr w:rsidR="00BD45E2" w:rsidRPr="00CB4F3B" w14:paraId="6C967955" w14:textId="77777777" w:rsidTr="00AC768E">
        <w:trPr>
          <w:trHeight w:val="60"/>
          <w:jc w:val="center"/>
        </w:trPr>
        <w:tc>
          <w:tcPr>
            <w:tcW w:w="1799" w:type="dxa"/>
            <w:hideMark/>
          </w:tcPr>
          <w:p w14:paraId="62142CB8" w14:textId="77777777" w:rsidR="00BD45E2" w:rsidRPr="00CB4F3B" w:rsidRDefault="00BD45E2" w:rsidP="0081747E">
            <w:pPr>
              <w:widowControl w:val="0"/>
              <w:rPr>
                <w:rFonts w:ascii="Arial" w:hAnsi="Arial" w:cs="Arial"/>
                <w:color w:val="000000"/>
                <w:sz w:val="18"/>
                <w:szCs w:val="18"/>
                <w:lang w:val="en-GB"/>
              </w:rPr>
            </w:pPr>
            <w:r w:rsidRPr="00CB4F3B">
              <w:rPr>
                <w:rFonts w:ascii="Arial" w:hAnsi="Arial" w:cs="Arial"/>
                <w:color w:val="000000"/>
                <w:sz w:val="18"/>
                <w:szCs w:val="18"/>
                <w:lang w:val="en-GB"/>
              </w:rPr>
              <w:t>Asmodee</w:t>
            </w:r>
          </w:p>
        </w:tc>
        <w:tc>
          <w:tcPr>
            <w:tcW w:w="3056" w:type="dxa"/>
            <w:hideMark/>
          </w:tcPr>
          <w:p w14:paraId="3B0482AF" w14:textId="77777777" w:rsidR="00BD45E2" w:rsidRPr="00CB4F3B" w:rsidRDefault="00BD45E2" w:rsidP="0081747E">
            <w:pPr>
              <w:widowControl w:val="0"/>
              <w:rPr>
                <w:rFonts w:ascii="Arial" w:hAnsi="Arial" w:cs="Arial"/>
                <w:color w:val="000000"/>
                <w:sz w:val="18"/>
                <w:szCs w:val="18"/>
                <w:lang w:val="en-GB"/>
              </w:rPr>
            </w:pPr>
            <w:r w:rsidRPr="00CB4F3B">
              <w:rPr>
                <w:rFonts w:ascii="Arial" w:hAnsi="Arial" w:cs="Arial"/>
                <w:color w:val="000000"/>
                <w:sz w:val="18"/>
                <w:szCs w:val="18"/>
                <w:lang w:val="en-GB"/>
              </w:rPr>
              <w:t>Distribution</w:t>
            </w:r>
          </w:p>
        </w:tc>
        <w:tc>
          <w:tcPr>
            <w:tcW w:w="4491" w:type="dxa"/>
            <w:hideMark/>
          </w:tcPr>
          <w:p w14:paraId="3716465F" w14:textId="36367F1C" w:rsidR="00BD45E2" w:rsidRPr="00CB4F3B" w:rsidRDefault="004318CE" w:rsidP="005B1ABC">
            <w:pPr>
              <w:widowControl w:val="0"/>
              <w:rPr>
                <w:rFonts w:ascii="Arial" w:hAnsi="Arial" w:cs="Arial"/>
                <w:color w:val="000000"/>
                <w:sz w:val="18"/>
                <w:szCs w:val="18"/>
                <w:lang w:val="en-GB"/>
              </w:rPr>
            </w:pPr>
            <w:r w:rsidRPr="00CB4F3B">
              <w:rPr>
                <w:rFonts w:ascii="Arial" w:hAnsi="Arial" w:cs="Arial"/>
                <w:color w:val="000000"/>
                <w:sz w:val="18"/>
                <w:szCs w:val="18"/>
                <w:lang w:val="en-GB"/>
              </w:rPr>
              <w:t>Board games (</w:t>
            </w:r>
            <w:r w:rsidR="00EC682B" w:rsidRPr="00CB4F3B">
              <w:rPr>
                <w:rFonts w:ascii="Arial" w:hAnsi="Arial" w:cs="Arial"/>
                <w:color w:val="000000"/>
                <w:sz w:val="18"/>
                <w:szCs w:val="18"/>
                <w:lang w:val="en-GB"/>
              </w:rPr>
              <w:t xml:space="preserve">e.g., </w:t>
            </w:r>
            <w:r w:rsidR="00CD4B3C">
              <w:rPr>
                <w:rFonts w:ascii="Arial" w:hAnsi="Arial" w:cs="Arial"/>
                <w:color w:val="000000"/>
                <w:sz w:val="18"/>
                <w:szCs w:val="18"/>
                <w:lang w:val="en-GB"/>
              </w:rPr>
              <w:t>D</w:t>
            </w:r>
            <w:r w:rsidRPr="00CB4F3B">
              <w:rPr>
                <w:rFonts w:ascii="Arial" w:hAnsi="Arial" w:cs="Arial"/>
                <w:color w:val="000000"/>
                <w:sz w:val="18"/>
                <w:szCs w:val="18"/>
                <w:lang w:val="en-GB"/>
              </w:rPr>
              <w:t xml:space="preserve">obble, </w:t>
            </w:r>
            <w:r w:rsidR="00CD4B3C">
              <w:rPr>
                <w:rFonts w:ascii="Arial" w:hAnsi="Arial" w:cs="Arial"/>
                <w:color w:val="000000"/>
                <w:sz w:val="18"/>
                <w:szCs w:val="18"/>
                <w:lang w:val="en-GB"/>
              </w:rPr>
              <w:t>J</w:t>
            </w:r>
            <w:r w:rsidRPr="00CB4F3B">
              <w:rPr>
                <w:rFonts w:ascii="Arial" w:hAnsi="Arial" w:cs="Arial"/>
                <w:color w:val="000000"/>
                <w:sz w:val="18"/>
                <w:szCs w:val="18"/>
                <w:lang w:val="en-GB"/>
              </w:rPr>
              <w:t xml:space="preserve">ungle </w:t>
            </w:r>
            <w:r w:rsidR="00CD4B3C">
              <w:rPr>
                <w:rFonts w:ascii="Arial" w:hAnsi="Arial" w:cs="Arial"/>
                <w:color w:val="000000"/>
                <w:sz w:val="18"/>
                <w:szCs w:val="18"/>
                <w:lang w:val="en-GB"/>
              </w:rPr>
              <w:t>S</w:t>
            </w:r>
            <w:r w:rsidRPr="00CB4F3B">
              <w:rPr>
                <w:rFonts w:ascii="Arial" w:hAnsi="Arial" w:cs="Arial"/>
                <w:color w:val="000000"/>
                <w:sz w:val="18"/>
                <w:szCs w:val="18"/>
                <w:lang w:val="en-GB"/>
              </w:rPr>
              <w:t xml:space="preserve">peed, </w:t>
            </w:r>
            <w:r w:rsidR="00E42171">
              <w:rPr>
                <w:rFonts w:ascii="Arial" w:hAnsi="Arial" w:cs="Arial"/>
                <w:color w:val="000000"/>
                <w:sz w:val="18"/>
                <w:szCs w:val="18"/>
                <w:lang w:val="en-GB"/>
              </w:rPr>
              <w:t>A</w:t>
            </w:r>
            <w:r w:rsidRPr="00CB4F3B">
              <w:rPr>
                <w:rFonts w:ascii="Arial" w:hAnsi="Arial" w:cs="Arial"/>
                <w:color w:val="000000"/>
                <w:sz w:val="18"/>
                <w:szCs w:val="18"/>
                <w:lang w:val="en-GB"/>
              </w:rPr>
              <w:t xml:space="preserve">balone, </w:t>
            </w:r>
            <w:r w:rsidR="00CD4B3C">
              <w:rPr>
                <w:rFonts w:ascii="Arial" w:hAnsi="Arial" w:cs="Arial"/>
                <w:color w:val="000000"/>
                <w:sz w:val="18"/>
                <w:szCs w:val="18"/>
                <w:lang w:val="en-GB"/>
              </w:rPr>
              <w:t>C</w:t>
            </w:r>
            <w:r w:rsidRPr="00CB4F3B">
              <w:rPr>
                <w:rFonts w:ascii="Arial" w:hAnsi="Arial" w:cs="Arial"/>
                <w:color w:val="000000"/>
                <w:sz w:val="18"/>
                <w:szCs w:val="18"/>
                <w:lang w:val="en-GB"/>
              </w:rPr>
              <w:t xml:space="preserve">atan) </w:t>
            </w:r>
          </w:p>
        </w:tc>
      </w:tr>
      <w:tr w:rsidR="00BD45E2" w:rsidRPr="00CB4F3B" w14:paraId="1EA150D3" w14:textId="77777777" w:rsidTr="00AC768E">
        <w:trPr>
          <w:trHeight w:val="62"/>
          <w:jc w:val="center"/>
        </w:trPr>
        <w:tc>
          <w:tcPr>
            <w:tcW w:w="1799" w:type="dxa"/>
            <w:hideMark/>
          </w:tcPr>
          <w:p w14:paraId="63B9B560" w14:textId="77777777" w:rsidR="00BD45E2" w:rsidRPr="00CB4F3B" w:rsidRDefault="00BD45E2" w:rsidP="0081747E">
            <w:pPr>
              <w:widowControl w:val="0"/>
              <w:rPr>
                <w:rFonts w:ascii="Arial" w:hAnsi="Arial" w:cs="Arial"/>
                <w:color w:val="000000"/>
                <w:sz w:val="18"/>
                <w:szCs w:val="18"/>
                <w:lang w:val="en-GB"/>
              </w:rPr>
            </w:pPr>
            <w:r w:rsidRPr="00CB4F3B">
              <w:rPr>
                <w:rFonts w:ascii="Arial" w:hAnsi="Arial" w:cs="Arial"/>
                <w:color w:val="000000"/>
                <w:sz w:val="18"/>
                <w:szCs w:val="18"/>
                <w:lang w:val="en-GB"/>
              </w:rPr>
              <w:t>Takara Tomy</w:t>
            </w:r>
          </w:p>
        </w:tc>
        <w:tc>
          <w:tcPr>
            <w:tcW w:w="3056" w:type="dxa"/>
            <w:hideMark/>
          </w:tcPr>
          <w:p w14:paraId="66701BAF" w14:textId="77777777" w:rsidR="00BD45E2" w:rsidRPr="00CB4F3B" w:rsidRDefault="00BD45E2" w:rsidP="0081747E">
            <w:pPr>
              <w:widowControl w:val="0"/>
              <w:rPr>
                <w:rFonts w:ascii="Arial" w:hAnsi="Arial" w:cs="Arial"/>
                <w:color w:val="000000"/>
                <w:sz w:val="18"/>
                <w:szCs w:val="18"/>
                <w:lang w:val="en-GB"/>
              </w:rPr>
            </w:pPr>
            <w:r w:rsidRPr="00CB4F3B">
              <w:rPr>
                <w:rFonts w:ascii="Arial" w:hAnsi="Arial" w:cs="Arial"/>
                <w:color w:val="000000"/>
                <w:sz w:val="18"/>
                <w:szCs w:val="18"/>
                <w:lang w:val="en-GB"/>
              </w:rPr>
              <w:t>Distribution</w:t>
            </w:r>
          </w:p>
        </w:tc>
        <w:tc>
          <w:tcPr>
            <w:tcW w:w="4491" w:type="dxa"/>
            <w:hideMark/>
          </w:tcPr>
          <w:p w14:paraId="75E2F36B" w14:textId="06CBCDDA" w:rsidR="00BD45E2" w:rsidRPr="00CB4F3B" w:rsidRDefault="00EC682B" w:rsidP="00CD4B3C">
            <w:pPr>
              <w:widowControl w:val="0"/>
              <w:rPr>
                <w:rFonts w:ascii="Arial" w:hAnsi="Arial" w:cs="Arial"/>
                <w:color w:val="000000"/>
                <w:sz w:val="18"/>
                <w:szCs w:val="18"/>
                <w:lang w:val="en-GB"/>
              </w:rPr>
            </w:pPr>
            <w:r w:rsidRPr="00CB4F3B">
              <w:rPr>
                <w:rFonts w:ascii="Arial" w:hAnsi="Arial" w:cs="Arial"/>
                <w:color w:val="000000"/>
                <w:sz w:val="18"/>
                <w:szCs w:val="18"/>
                <w:lang w:val="en-GB"/>
              </w:rPr>
              <w:t>Toy</w:t>
            </w:r>
            <w:r w:rsidR="004318CE" w:rsidRPr="00CB4F3B">
              <w:rPr>
                <w:rFonts w:ascii="Arial" w:hAnsi="Arial" w:cs="Arial"/>
                <w:color w:val="000000"/>
                <w:sz w:val="18"/>
                <w:szCs w:val="18"/>
                <w:lang w:val="en-GB"/>
              </w:rPr>
              <w:t xml:space="preserve"> cars</w:t>
            </w:r>
            <w:r w:rsidRPr="00CB4F3B">
              <w:rPr>
                <w:rFonts w:ascii="Arial" w:hAnsi="Arial" w:cs="Arial"/>
                <w:color w:val="000000"/>
                <w:sz w:val="18"/>
                <w:szCs w:val="18"/>
                <w:lang w:val="en-GB"/>
              </w:rPr>
              <w:t>;</w:t>
            </w:r>
            <w:r w:rsidR="004318CE" w:rsidRPr="00CB4F3B">
              <w:rPr>
                <w:rFonts w:ascii="Arial" w:hAnsi="Arial" w:cs="Arial"/>
                <w:color w:val="000000"/>
                <w:sz w:val="18"/>
                <w:szCs w:val="18"/>
                <w:lang w:val="en-GB"/>
              </w:rPr>
              <w:t xml:space="preserve"> boys</w:t>
            </w:r>
            <w:r w:rsidR="00CD4B3C">
              <w:rPr>
                <w:rFonts w:ascii="Arial" w:hAnsi="Arial" w:cs="Arial"/>
                <w:color w:val="000000"/>
                <w:sz w:val="18"/>
                <w:szCs w:val="18"/>
                <w:lang w:val="en-GB"/>
              </w:rPr>
              <w:t>’</w:t>
            </w:r>
            <w:r w:rsidR="004318CE" w:rsidRPr="00CB4F3B">
              <w:rPr>
                <w:rFonts w:ascii="Arial" w:hAnsi="Arial" w:cs="Arial"/>
                <w:color w:val="000000"/>
                <w:sz w:val="18"/>
                <w:szCs w:val="18"/>
                <w:lang w:val="en-GB"/>
              </w:rPr>
              <w:t xml:space="preserve"> collectibles (</w:t>
            </w:r>
            <w:r w:rsidRPr="00CB4F3B">
              <w:rPr>
                <w:rFonts w:ascii="Arial" w:hAnsi="Arial" w:cs="Arial"/>
                <w:color w:val="000000"/>
                <w:sz w:val="18"/>
                <w:szCs w:val="18"/>
                <w:lang w:val="en-GB"/>
              </w:rPr>
              <w:t xml:space="preserve">e.g., </w:t>
            </w:r>
            <w:r w:rsidR="00CD4B3C">
              <w:rPr>
                <w:rFonts w:ascii="Arial" w:hAnsi="Arial" w:cs="Arial"/>
                <w:color w:val="000000"/>
                <w:sz w:val="18"/>
                <w:szCs w:val="18"/>
                <w:lang w:val="en-GB"/>
              </w:rPr>
              <w:t>B</w:t>
            </w:r>
            <w:r w:rsidR="004318CE" w:rsidRPr="00CB4F3B">
              <w:rPr>
                <w:rFonts w:ascii="Arial" w:hAnsi="Arial" w:cs="Arial"/>
                <w:color w:val="000000"/>
                <w:sz w:val="18"/>
                <w:szCs w:val="18"/>
                <w:lang w:val="en-GB"/>
              </w:rPr>
              <w:t>eyblades</w:t>
            </w:r>
            <w:r w:rsidRPr="00CB4F3B">
              <w:rPr>
                <w:rFonts w:ascii="Arial" w:hAnsi="Arial" w:cs="Arial"/>
                <w:color w:val="000000"/>
                <w:sz w:val="18"/>
                <w:szCs w:val="18"/>
                <w:lang w:val="en-GB"/>
              </w:rPr>
              <w:t>,</w:t>
            </w:r>
            <w:r w:rsidR="004318CE" w:rsidRPr="00CB4F3B">
              <w:rPr>
                <w:rFonts w:ascii="Arial" w:hAnsi="Arial" w:cs="Arial"/>
                <w:color w:val="000000"/>
                <w:sz w:val="18"/>
                <w:szCs w:val="18"/>
                <w:lang w:val="en-GB"/>
              </w:rPr>
              <w:t xml:space="preserve"> </w:t>
            </w:r>
            <w:r w:rsidR="00CD4B3C">
              <w:rPr>
                <w:rFonts w:ascii="Arial" w:hAnsi="Arial" w:cs="Arial"/>
                <w:color w:val="000000"/>
                <w:sz w:val="18"/>
                <w:szCs w:val="18"/>
                <w:lang w:val="en-GB"/>
              </w:rPr>
              <w:t>P</w:t>
            </w:r>
            <w:r w:rsidR="004318CE" w:rsidRPr="00CB4F3B">
              <w:rPr>
                <w:rFonts w:ascii="Arial" w:hAnsi="Arial" w:cs="Arial"/>
                <w:color w:val="000000"/>
                <w:sz w:val="18"/>
                <w:szCs w:val="18"/>
                <w:lang w:val="en-GB"/>
              </w:rPr>
              <w:t xml:space="preserve">okémon) </w:t>
            </w:r>
          </w:p>
        </w:tc>
      </w:tr>
      <w:tr w:rsidR="00BD45E2" w:rsidRPr="00CB4F3B" w14:paraId="22B30D1B" w14:textId="77777777" w:rsidTr="00AC768E">
        <w:trPr>
          <w:trHeight w:val="60"/>
          <w:jc w:val="center"/>
        </w:trPr>
        <w:tc>
          <w:tcPr>
            <w:tcW w:w="1799" w:type="dxa"/>
            <w:hideMark/>
          </w:tcPr>
          <w:p w14:paraId="2DA6795B" w14:textId="77777777" w:rsidR="00BD45E2" w:rsidRPr="00CB4F3B" w:rsidRDefault="00BD45E2" w:rsidP="0081747E">
            <w:pPr>
              <w:widowControl w:val="0"/>
              <w:rPr>
                <w:rFonts w:ascii="Arial" w:hAnsi="Arial" w:cs="Arial"/>
                <w:color w:val="000000"/>
                <w:sz w:val="18"/>
                <w:szCs w:val="18"/>
                <w:lang w:val="en-GB"/>
              </w:rPr>
            </w:pPr>
            <w:r w:rsidRPr="00CB4F3B">
              <w:rPr>
                <w:rFonts w:ascii="Arial" w:hAnsi="Arial" w:cs="Arial"/>
                <w:color w:val="000000"/>
                <w:sz w:val="18"/>
                <w:szCs w:val="18"/>
                <w:lang w:val="en-GB"/>
              </w:rPr>
              <w:t>Siku</w:t>
            </w:r>
          </w:p>
        </w:tc>
        <w:tc>
          <w:tcPr>
            <w:tcW w:w="3056" w:type="dxa"/>
            <w:hideMark/>
          </w:tcPr>
          <w:p w14:paraId="668A7591" w14:textId="77777777" w:rsidR="00BD45E2" w:rsidRPr="00CB4F3B" w:rsidRDefault="00BD45E2" w:rsidP="0081747E">
            <w:pPr>
              <w:widowControl w:val="0"/>
              <w:rPr>
                <w:rFonts w:ascii="Arial" w:hAnsi="Arial" w:cs="Arial"/>
                <w:color w:val="000000"/>
                <w:sz w:val="18"/>
                <w:szCs w:val="18"/>
                <w:lang w:val="en-GB"/>
              </w:rPr>
            </w:pPr>
            <w:r w:rsidRPr="00CB4F3B">
              <w:rPr>
                <w:rFonts w:ascii="Arial" w:hAnsi="Arial" w:cs="Arial"/>
                <w:color w:val="000000"/>
                <w:sz w:val="18"/>
                <w:szCs w:val="18"/>
                <w:lang w:val="en-GB"/>
              </w:rPr>
              <w:t>Distribution</w:t>
            </w:r>
          </w:p>
        </w:tc>
        <w:tc>
          <w:tcPr>
            <w:tcW w:w="4491" w:type="dxa"/>
            <w:hideMark/>
          </w:tcPr>
          <w:p w14:paraId="68CD2FE3" w14:textId="4311FC88" w:rsidR="00BD45E2" w:rsidRPr="00CB4F3B" w:rsidRDefault="004318CE" w:rsidP="0081747E">
            <w:pPr>
              <w:widowControl w:val="0"/>
              <w:rPr>
                <w:rFonts w:ascii="Arial" w:hAnsi="Arial" w:cs="Arial"/>
                <w:color w:val="000000"/>
                <w:sz w:val="18"/>
                <w:szCs w:val="18"/>
                <w:lang w:val="en-GB"/>
              </w:rPr>
            </w:pPr>
            <w:r w:rsidRPr="00CB4F3B">
              <w:rPr>
                <w:rFonts w:ascii="Arial" w:hAnsi="Arial" w:cs="Arial"/>
                <w:color w:val="000000"/>
                <w:sz w:val="18"/>
                <w:szCs w:val="18"/>
                <w:lang w:val="en-GB"/>
              </w:rPr>
              <w:t>Car sets</w:t>
            </w:r>
          </w:p>
        </w:tc>
      </w:tr>
      <w:tr w:rsidR="00BD45E2" w:rsidRPr="00CB4F3B" w14:paraId="2F59CF47" w14:textId="77777777" w:rsidTr="00AC768E">
        <w:trPr>
          <w:trHeight w:val="60"/>
          <w:jc w:val="center"/>
        </w:trPr>
        <w:tc>
          <w:tcPr>
            <w:tcW w:w="1799" w:type="dxa"/>
            <w:hideMark/>
          </w:tcPr>
          <w:p w14:paraId="4A0A7F07" w14:textId="77777777" w:rsidR="00BD45E2" w:rsidRPr="00CB4F3B" w:rsidRDefault="00BD45E2" w:rsidP="0081747E">
            <w:pPr>
              <w:widowControl w:val="0"/>
              <w:rPr>
                <w:rFonts w:ascii="Arial" w:hAnsi="Arial" w:cs="Arial"/>
                <w:color w:val="000000"/>
                <w:sz w:val="18"/>
                <w:szCs w:val="18"/>
                <w:lang w:val="en-GB"/>
              </w:rPr>
            </w:pPr>
            <w:r w:rsidRPr="00CB4F3B">
              <w:rPr>
                <w:rFonts w:ascii="Arial" w:hAnsi="Arial" w:cs="Arial"/>
                <w:color w:val="000000"/>
                <w:sz w:val="18"/>
                <w:szCs w:val="18"/>
                <w:lang w:val="en-GB"/>
              </w:rPr>
              <w:t>Camp Games</w:t>
            </w:r>
          </w:p>
        </w:tc>
        <w:tc>
          <w:tcPr>
            <w:tcW w:w="3056" w:type="dxa"/>
            <w:hideMark/>
          </w:tcPr>
          <w:p w14:paraId="0FB80E8E" w14:textId="77777777" w:rsidR="00BD45E2" w:rsidRPr="00CB4F3B" w:rsidRDefault="00BD45E2" w:rsidP="0081747E">
            <w:pPr>
              <w:widowControl w:val="0"/>
              <w:rPr>
                <w:rFonts w:ascii="Arial" w:hAnsi="Arial" w:cs="Arial"/>
                <w:color w:val="000000"/>
                <w:sz w:val="18"/>
                <w:szCs w:val="18"/>
                <w:lang w:val="en-GB"/>
              </w:rPr>
            </w:pPr>
            <w:r w:rsidRPr="00CB4F3B">
              <w:rPr>
                <w:rFonts w:ascii="Arial" w:hAnsi="Arial" w:cs="Arial"/>
                <w:color w:val="000000"/>
                <w:sz w:val="18"/>
                <w:szCs w:val="18"/>
                <w:lang w:val="en-GB"/>
              </w:rPr>
              <w:t>Distribution</w:t>
            </w:r>
          </w:p>
        </w:tc>
        <w:tc>
          <w:tcPr>
            <w:tcW w:w="4491" w:type="dxa"/>
            <w:hideMark/>
          </w:tcPr>
          <w:p w14:paraId="23131D5A" w14:textId="7AB00927" w:rsidR="00BD45E2" w:rsidRPr="00CB4F3B" w:rsidRDefault="004318CE" w:rsidP="00782F51">
            <w:pPr>
              <w:widowControl w:val="0"/>
              <w:rPr>
                <w:rFonts w:ascii="Arial" w:hAnsi="Arial" w:cs="Arial"/>
                <w:color w:val="000000"/>
                <w:sz w:val="18"/>
                <w:szCs w:val="18"/>
                <w:lang w:val="en-GB"/>
              </w:rPr>
            </w:pPr>
            <w:r w:rsidRPr="00CB4F3B">
              <w:rPr>
                <w:rFonts w:ascii="Arial" w:hAnsi="Arial" w:cs="Arial"/>
                <w:color w:val="000000"/>
                <w:sz w:val="18"/>
                <w:szCs w:val="18"/>
                <w:lang w:val="en-GB"/>
              </w:rPr>
              <w:t>Board games (</w:t>
            </w:r>
            <w:r w:rsidR="00EC682B" w:rsidRPr="00CB4F3B">
              <w:rPr>
                <w:rFonts w:ascii="Arial" w:hAnsi="Arial" w:cs="Arial"/>
                <w:color w:val="000000"/>
                <w:sz w:val="18"/>
                <w:szCs w:val="18"/>
                <w:lang w:val="en-GB"/>
              </w:rPr>
              <w:t xml:space="preserve">e.g., </w:t>
            </w:r>
            <w:r w:rsidR="00CD4B3C">
              <w:rPr>
                <w:rFonts w:ascii="Arial" w:hAnsi="Arial" w:cs="Arial"/>
                <w:color w:val="000000"/>
                <w:sz w:val="18"/>
                <w:szCs w:val="18"/>
                <w:lang w:val="en-GB"/>
              </w:rPr>
              <w:t>L</w:t>
            </w:r>
            <w:r w:rsidRPr="00CB4F3B">
              <w:rPr>
                <w:rFonts w:ascii="Arial" w:hAnsi="Arial" w:cs="Arial"/>
                <w:color w:val="000000"/>
                <w:sz w:val="18"/>
                <w:szCs w:val="18"/>
                <w:lang w:val="en-GB"/>
              </w:rPr>
              <w:t xml:space="preserve">etter </w:t>
            </w:r>
            <w:r w:rsidR="00CD4B3C">
              <w:rPr>
                <w:rFonts w:ascii="Arial" w:hAnsi="Arial" w:cs="Arial"/>
                <w:color w:val="000000"/>
                <w:sz w:val="18"/>
                <w:szCs w:val="18"/>
                <w:lang w:val="en-GB"/>
              </w:rPr>
              <w:t>L</w:t>
            </w:r>
            <w:r w:rsidRPr="00CB4F3B">
              <w:rPr>
                <w:rFonts w:ascii="Arial" w:hAnsi="Arial" w:cs="Arial"/>
                <w:color w:val="000000"/>
                <w:sz w:val="18"/>
                <w:szCs w:val="18"/>
                <w:lang w:val="en-GB"/>
              </w:rPr>
              <w:t xml:space="preserve">adder, </w:t>
            </w:r>
            <w:r w:rsidR="00782F51">
              <w:rPr>
                <w:rFonts w:ascii="Arial" w:hAnsi="Arial" w:cs="Arial"/>
                <w:color w:val="000000"/>
                <w:sz w:val="18"/>
                <w:szCs w:val="18"/>
                <w:lang w:val="en-GB"/>
              </w:rPr>
              <w:t>A</w:t>
            </w:r>
            <w:r w:rsidRPr="00CB4F3B">
              <w:rPr>
                <w:rFonts w:ascii="Arial" w:hAnsi="Arial" w:cs="Arial"/>
                <w:color w:val="000000"/>
                <w:sz w:val="18"/>
                <w:szCs w:val="18"/>
                <w:lang w:val="en-GB"/>
              </w:rPr>
              <w:t xml:space="preserve">mazeon, </w:t>
            </w:r>
            <w:r w:rsidR="00782F51">
              <w:rPr>
                <w:rFonts w:ascii="Arial" w:hAnsi="Arial" w:cs="Arial"/>
                <w:color w:val="000000"/>
                <w:sz w:val="18"/>
                <w:szCs w:val="18"/>
                <w:lang w:val="en-GB"/>
              </w:rPr>
              <w:t>C</w:t>
            </w:r>
            <w:r w:rsidRPr="00CB4F3B">
              <w:rPr>
                <w:rFonts w:ascii="Arial" w:hAnsi="Arial" w:cs="Arial"/>
                <w:color w:val="000000"/>
                <w:sz w:val="18"/>
                <w:szCs w:val="18"/>
                <w:lang w:val="en-GB"/>
              </w:rPr>
              <w:t xml:space="preserve">ake </w:t>
            </w:r>
            <w:r w:rsidR="00782F51">
              <w:rPr>
                <w:rFonts w:ascii="Arial" w:hAnsi="Arial" w:cs="Arial"/>
                <w:color w:val="000000"/>
                <w:sz w:val="18"/>
                <w:szCs w:val="18"/>
                <w:lang w:val="en-GB"/>
              </w:rPr>
              <w:t>F</w:t>
            </w:r>
            <w:r w:rsidRPr="00CB4F3B">
              <w:rPr>
                <w:rFonts w:ascii="Arial" w:hAnsi="Arial" w:cs="Arial"/>
                <w:color w:val="000000"/>
                <w:sz w:val="18"/>
                <w:szCs w:val="18"/>
                <w:lang w:val="en-GB"/>
              </w:rPr>
              <w:t>ractions)</w:t>
            </w:r>
          </w:p>
        </w:tc>
      </w:tr>
      <w:tr w:rsidR="00BD45E2" w:rsidRPr="00CB4F3B" w14:paraId="60ED5D79" w14:textId="77777777" w:rsidTr="00AC768E">
        <w:trPr>
          <w:trHeight w:val="60"/>
          <w:jc w:val="center"/>
        </w:trPr>
        <w:tc>
          <w:tcPr>
            <w:tcW w:w="1799" w:type="dxa"/>
            <w:hideMark/>
          </w:tcPr>
          <w:p w14:paraId="23719882" w14:textId="77777777" w:rsidR="00BD45E2" w:rsidRPr="00CB4F3B" w:rsidRDefault="00BD45E2" w:rsidP="0081747E">
            <w:pPr>
              <w:widowControl w:val="0"/>
              <w:rPr>
                <w:rFonts w:ascii="Arial" w:hAnsi="Arial" w:cs="Arial"/>
                <w:color w:val="000000"/>
                <w:sz w:val="18"/>
                <w:szCs w:val="18"/>
                <w:lang w:val="en-GB"/>
              </w:rPr>
            </w:pPr>
            <w:r w:rsidRPr="00CB4F3B">
              <w:rPr>
                <w:rFonts w:ascii="Arial" w:hAnsi="Arial" w:cs="Arial"/>
                <w:color w:val="000000"/>
                <w:sz w:val="18"/>
                <w:szCs w:val="18"/>
                <w:lang w:val="en-GB"/>
              </w:rPr>
              <w:t>Ravensburger</w:t>
            </w:r>
          </w:p>
        </w:tc>
        <w:tc>
          <w:tcPr>
            <w:tcW w:w="3056" w:type="dxa"/>
            <w:hideMark/>
          </w:tcPr>
          <w:p w14:paraId="57F4722A" w14:textId="77777777" w:rsidR="00BD45E2" w:rsidRPr="00CB4F3B" w:rsidRDefault="00BD45E2" w:rsidP="0081747E">
            <w:pPr>
              <w:widowControl w:val="0"/>
              <w:rPr>
                <w:rFonts w:ascii="Arial" w:hAnsi="Arial" w:cs="Arial"/>
                <w:color w:val="000000"/>
                <w:sz w:val="18"/>
                <w:szCs w:val="18"/>
                <w:lang w:val="en-GB"/>
              </w:rPr>
            </w:pPr>
            <w:r w:rsidRPr="00CB4F3B">
              <w:rPr>
                <w:rFonts w:ascii="Arial" w:hAnsi="Arial" w:cs="Arial"/>
                <w:color w:val="000000"/>
                <w:sz w:val="18"/>
                <w:szCs w:val="18"/>
                <w:lang w:val="en-GB"/>
              </w:rPr>
              <w:t>Distribution</w:t>
            </w:r>
          </w:p>
        </w:tc>
        <w:tc>
          <w:tcPr>
            <w:tcW w:w="4491" w:type="dxa"/>
            <w:hideMark/>
          </w:tcPr>
          <w:p w14:paraId="57CCA546" w14:textId="6797C466" w:rsidR="00BD45E2" w:rsidRPr="00CB4F3B" w:rsidRDefault="004318CE" w:rsidP="0081747E">
            <w:pPr>
              <w:widowControl w:val="0"/>
              <w:rPr>
                <w:rFonts w:ascii="Arial" w:hAnsi="Arial" w:cs="Arial"/>
                <w:color w:val="000000"/>
                <w:sz w:val="18"/>
                <w:szCs w:val="18"/>
                <w:lang w:val="en-GB"/>
              </w:rPr>
            </w:pPr>
            <w:r w:rsidRPr="00CB4F3B">
              <w:rPr>
                <w:rFonts w:ascii="Arial" w:hAnsi="Arial" w:cs="Arial"/>
                <w:color w:val="000000"/>
                <w:sz w:val="18"/>
                <w:szCs w:val="18"/>
                <w:lang w:val="en-GB"/>
              </w:rPr>
              <w:t>Board games and puzzles</w:t>
            </w:r>
          </w:p>
        </w:tc>
      </w:tr>
      <w:tr w:rsidR="00BD45E2" w:rsidRPr="00CB4F3B" w14:paraId="310E2775" w14:textId="77777777" w:rsidTr="00AC768E">
        <w:trPr>
          <w:trHeight w:val="60"/>
          <w:jc w:val="center"/>
        </w:trPr>
        <w:tc>
          <w:tcPr>
            <w:tcW w:w="1799" w:type="dxa"/>
            <w:hideMark/>
          </w:tcPr>
          <w:p w14:paraId="0D27CC24" w14:textId="77777777" w:rsidR="00BD45E2" w:rsidRPr="00CB4F3B" w:rsidRDefault="00BD45E2" w:rsidP="0081747E">
            <w:pPr>
              <w:widowControl w:val="0"/>
              <w:rPr>
                <w:rFonts w:ascii="Arial" w:hAnsi="Arial" w:cs="Arial"/>
                <w:color w:val="000000"/>
                <w:sz w:val="18"/>
                <w:szCs w:val="18"/>
                <w:lang w:val="en-GB"/>
              </w:rPr>
            </w:pPr>
            <w:r w:rsidRPr="00CB4F3B">
              <w:rPr>
                <w:rFonts w:ascii="Arial" w:hAnsi="Arial" w:cs="Arial"/>
                <w:color w:val="000000"/>
                <w:sz w:val="18"/>
                <w:szCs w:val="18"/>
                <w:lang w:val="en-GB"/>
              </w:rPr>
              <w:t>Hornby</w:t>
            </w:r>
          </w:p>
        </w:tc>
        <w:tc>
          <w:tcPr>
            <w:tcW w:w="3056" w:type="dxa"/>
            <w:hideMark/>
          </w:tcPr>
          <w:p w14:paraId="4ACF4B1B" w14:textId="77777777" w:rsidR="00BD45E2" w:rsidRPr="00CB4F3B" w:rsidRDefault="00BD45E2" w:rsidP="0081747E">
            <w:pPr>
              <w:widowControl w:val="0"/>
              <w:rPr>
                <w:rFonts w:ascii="Arial" w:hAnsi="Arial" w:cs="Arial"/>
                <w:color w:val="000000"/>
                <w:sz w:val="18"/>
                <w:szCs w:val="18"/>
                <w:lang w:val="en-GB"/>
              </w:rPr>
            </w:pPr>
            <w:r w:rsidRPr="00CB4F3B">
              <w:rPr>
                <w:rFonts w:ascii="Arial" w:hAnsi="Arial" w:cs="Arial"/>
                <w:color w:val="000000"/>
                <w:sz w:val="18"/>
                <w:szCs w:val="18"/>
                <w:lang w:val="en-GB"/>
              </w:rPr>
              <w:t>Distribution</w:t>
            </w:r>
          </w:p>
        </w:tc>
        <w:tc>
          <w:tcPr>
            <w:tcW w:w="4491" w:type="dxa"/>
            <w:hideMark/>
          </w:tcPr>
          <w:p w14:paraId="0D813656" w14:textId="4E5C1FC4" w:rsidR="00BD45E2" w:rsidRPr="00CB4F3B" w:rsidRDefault="00EC682B" w:rsidP="00782F51">
            <w:pPr>
              <w:widowControl w:val="0"/>
              <w:rPr>
                <w:rFonts w:ascii="Arial" w:hAnsi="Arial" w:cs="Arial"/>
                <w:color w:val="000000"/>
                <w:sz w:val="18"/>
                <w:szCs w:val="18"/>
                <w:lang w:val="en-GB"/>
              </w:rPr>
            </w:pPr>
            <w:r w:rsidRPr="00CB4F3B">
              <w:rPr>
                <w:rFonts w:ascii="Arial" w:hAnsi="Arial" w:cs="Arial"/>
                <w:color w:val="000000"/>
                <w:sz w:val="18"/>
                <w:szCs w:val="18"/>
                <w:lang w:val="en-GB"/>
              </w:rPr>
              <w:t>Railway t</w:t>
            </w:r>
            <w:r w:rsidR="004318CE" w:rsidRPr="00CB4F3B">
              <w:rPr>
                <w:rFonts w:ascii="Arial" w:hAnsi="Arial" w:cs="Arial"/>
                <w:color w:val="000000"/>
                <w:sz w:val="18"/>
                <w:szCs w:val="18"/>
                <w:lang w:val="en-GB"/>
              </w:rPr>
              <w:t>rack sets</w:t>
            </w:r>
            <w:r w:rsidRPr="00CB4F3B">
              <w:rPr>
                <w:rFonts w:ascii="Arial" w:hAnsi="Arial" w:cs="Arial"/>
                <w:color w:val="000000"/>
                <w:sz w:val="18"/>
                <w:szCs w:val="18"/>
                <w:lang w:val="en-GB"/>
              </w:rPr>
              <w:t xml:space="preserve"> and</w:t>
            </w:r>
            <w:r w:rsidR="004318CE" w:rsidRPr="00CB4F3B">
              <w:rPr>
                <w:rFonts w:ascii="Arial" w:hAnsi="Arial" w:cs="Arial"/>
                <w:color w:val="000000"/>
                <w:sz w:val="18"/>
                <w:szCs w:val="18"/>
                <w:lang w:val="en-GB"/>
              </w:rPr>
              <w:t xml:space="preserve"> cars (</w:t>
            </w:r>
            <w:r w:rsidRPr="00CB4F3B">
              <w:rPr>
                <w:rFonts w:ascii="Arial" w:hAnsi="Arial" w:cs="Arial"/>
                <w:color w:val="000000"/>
                <w:sz w:val="18"/>
                <w:szCs w:val="18"/>
                <w:lang w:val="en-GB"/>
              </w:rPr>
              <w:t xml:space="preserve">e.g., </w:t>
            </w:r>
            <w:r w:rsidR="00782F51">
              <w:rPr>
                <w:rFonts w:ascii="Arial" w:hAnsi="Arial" w:cs="Arial"/>
                <w:color w:val="000000"/>
                <w:sz w:val="18"/>
                <w:szCs w:val="18"/>
                <w:lang w:val="en-GB"/>
              </w:rPr>
              <w:t>S</w:t>
            </w:r>
            <w:r w:rsidR="004318CE" w:rsidRPr="00CB4F3B">
              <w:rPr>
                <w:rFonts w:ascii="Arial" w:hAnsi="Arial" w:cs="Arial"/>
                <w:color w:val="000000"/>
                <w:sz w:val="18"/>
                <w:szCs w:val="18"/>
                <w:lang w:val="en-GB"/>
              </w:rPr>
              <w:t>calextrix)</w:t>
            </w:r>
          </w:p>
        </w:tc>
      </w:tr>
      <w:tr w:rsidR="00BD45E2" w:rsidRPr="00CB4F3B" w14:paraId="01EE789C" w14:textId="77777777" w:rsidTr="00AC768E">
        <w:trPr>
          <w:trHeight w:val="60"/>
          <w:jc w:val="center"/>
        </w:trPr>
        <w:tc>
          <w:tcPr>
            <w:tcW w:w="1799" w:type="dxa"/>
            <w:hideMark/>
          </w:tcPr>
          <w:p w14:paraId="070C7F69" w14:textId="77777777" w:rsidR="00BD45E2" w:rsidRPr="00CB4F3B" w:rsidRDefault="00BD45E2" w:rsidP="0081747E">
            <w:pPr>
              <w:widowControl w:val="0"/>
              <w:rPr>
                <w:rFonts w:ascii="Arial" w:hAnsi="Arial" w:cs="Arial"/>
                <w:color w:val="000000"/>
                <w:sz w:val="18"/>
                <w:szCs w:val="18"/>
                <w:lang w:val="en-GB"/>
              </w:rPr>
            </w:pPr>
            <w:r w:rsidRPr="00CB4F3B">
              <w:rPr>
                <w:rFonts w:ascii="Arial" w:hAnsi="Arial" w:cs="Arial"/>
                <w:color w:val="000000"/>
                <w:sz w:val="18"/>
                <w:szCs w:val="18"/>
                <w:lang w:val="en-GB"/>
              </w:rPr>
              <w:t>Thames &amp; Kosmos</w:t>
            </w:r>
          </w:p>
        </w:tc>
        <w:tc>
          <w:tcPr>
            <w:tcW w:w="3056" w:type="dxa"/>
            <w:hideMark/>
          </w:tcPr>
          <w:p w14:paraId="058092B3" w14:textId="77777777" w:rsidR="00BD45E2" w:rsidRPr="00CB4F3B" w:rsidRDefault="00BD45E2" w:rsidP="0081747E">
            <w:pPr>
              <w:widowControl w:val="0"/>
              <w:rPr>
                <w:rFonts w:ascii="Arial" w:hAnsi="Arial" w:cs="Arial"/>
                <w:color w:val="000000"/>
                <w:sz w:val="18"/>
                <w:szCs w:val="18"/>
                <w:lang w:val="en-GB"/>
              </w:rPr>
            </w:pPr>
            <w:r w:rsidRPr="00CB4F3B">
              <w:rPr>
                <w:rFonts w:ascii="Arial" w:hAnsi="Arial" w:cs="Arial"/>
                <w:color w:val="000000"/>
                <w:sz w:val="18"/>
                <w:szCs w:val="18"/>
                <w:lang w:val="en-GB"/>
              </w:rPr>
              <w:t>Distribution</w:t>
            </w:r>
          </w:p>
        </w:tc>
        <w:tc>
          <w:tcPr>
            <w:tcW w:w="4491" w:type="dxa"/>
            <w:hideMark/>
          </w:tcPr>
          <w:p w14:paraId="30888F4E" w14:textId="025BAAE3" w:rsidR="00BD45E2" w:rsidRPr="00CB4F3B" w:rsidRDefault="004318CE" w:rsidP="0081747E">
            <w:pPr>
              <w:widowControl w:val="0"/>
              <w:rPr>
                <w:rFonts w:ascii="Arial" w:hAnsi="Arial" w:cs="Arial"/>
                <w:color w:val="000000"/>
                <w:sz w:val="18"/>
                <w:szCs w:val="18"/>
                <w:lang w:val="en-GB"/>
              </w:rPr>
            </w:pPr>
            <w:r w:rsidRPr="00CB4F3B">
              <w:rPr>
                <w:rFonts w:ascii="Arial" w:hAnsi="Arial" w:cs="Arial"/>
                <w:color w:val="000000"/>
                <w:sz w:val="18"/>
                <w:szCs w:val="18"/>
                <w:lang w:val="en-GB"/>
              </w:rPr>
              <w:t xml:space="preserve">Arts </w:t>
            </w:r>
            <w:r w:rsidR="00EC682B" w:rsidRPr="00CB4F3B">
              <w:rPr>
                <w:rFonts w:ascii="Arial" w:hAnsi="Arial" w:cs="Arial"/>
                <w:color w:val="000000"/>
                <w:sz w:val="18"/>
                <w:szCs w:val="18"/>
                <w:lang w:val="en-GB"/>
              </w:rPr>
              <w:t>and</w:t>
            </w:r>
            <w:r w:rsidRPr="00CB4F3B">
              <w:rPr>
                <w:rFonts w:ascii="Arial" w:hAnsi="Arial" w:cs="Arial"/>
                <w:color w:val="000000"/>
                <w:sz w:val="18"/>
                <w:szCs w:val="18"/>
                <w:lang w:val="en-GB"/>
              </w:rPr>
              <w:t xml:space="preserve"> crafts</w:t>
            </w:r>
          </w:p>
        </w:tc>
      </w:tr>
      <w:tr w:rsidR="00BD45E2" w:rsidRPr="00CB4F3B" w14:paraId="0BA4C261" w14:textId="77777777" w:rsidTr="00AC768E">
        <w:trPr>
          <w:trHeight w:val="60"/>
          <w:jc w:val="center"/>
        </w:trPr>
        <w:tc>
          <w:tcPr>
            <w:tcW w:w="1799" w:type="dxa"/>
            <w:hideMark/>
          </w:tcPr>
          <w:p w14:paraId="3495A0E9" w14:textId="77777777" w:rsidR="00BD45E2" w:rsidRPr="00CB4F3B" w:rsidRDefault="00BD45E2" w:rsidP="0081747E">
            <w:pPr>
              <w:widowControl w:val="0"/>
              <w:rPr>
                <w:rFonts w:ascii="Arial" w:hAnsi="Arial" w:cs="Arial"/>
                <w:color w:val="000000"/>
                <w:sz w:val="18"/>
                <w:szCs w:val="18"/>
                <w:lang w:val="en-GB"/>
              </w:rPr>
            </w:pPr>
            <w:r w:rsidRPr="00CB4F3B">
              <w:rPr>
                <w:rFonts w:ascii="Arial" w:hAnsi="Arial" w:cs="Arial"/>
                <w:color w:val="000000"/>
                <w:sz w:val="18"/>
                <w:szCs w:val="18"/>
                <w:lang w:val="en-GB"/>
              </w:rPr>
              <w:t xml:space="preserve">Mary Danby </w:t>
            </w:r>
          </w:p>
        </w:tc>
        <w:tc>
          <w:tcPr>
            <w:tcW w:w="3056" w:type="dxa"/>
            <w:hideMark/>
          </w:tcPr>
          <w:p w14:paraId="6B4AD2E0" w14:textId="77777777" w:rsidR="00BD45E2" w:rsidRPr="00CB4F3B" w:rsidRDefault="00BD45E2" w:rsidP="0081747E">
            <w:pPr>
              <w:widowControl w:val="0"/>
              <w:rPr>
                <w:rFonts w:ascii="Arial" w:hAnsi="Arial" w:cs="Arial"/>
                <w:color w:val="000000"/>
                <w:sz w:val="18"/>
                <w:szCs w:val="18"/>
                <w:lang w:val="en-GB"/>
              </w:rPr>
            </w:pPr>
            <w:r w:rsidRPr="00CB4F3B">
              <w:rPr>
                <w:rFonts w:ascii="Arial" w:hAnsi="Arial" w:cs="Arial"/>
                <w:color w:val="000000"/>
                <w:sz w:val="18"/>
                <w:szCs w:val="18"/>
                <w:lang w:val="en-GB"/>
              </w:rPr>
              <w:t>Licensing</w:t>
            </w:r>
          </w:p>
        </w:tc>
        <w:tc>
          <w:tcPr>
            <w:tcW w:w="4491" w:type="dxa"/>
            <w:hideMark/>
          </w:tcPr>
          <w:p w14:paraId="3088D01D" w14:textId="11B77560" w:rsidR="00BD45E2" w:rsidRPr="00CB4F3B" w:rsidRDefault="004318CE" w:rsidP="0081747E">
            <w:pPr>
              <w:widowControl w:val="0"/>
              <w:rPr>
                <w:rFonts w:ascii="Arial" w:hAnsi="Arial" w:cs="Arial"/>
                <w:color w:val="000000"/>
                <w:sz w:val="18"/>
                <w:szCs w:val="18"/>
                <w:lang w:val="en-GB"/>
              </w:rPr>
            </w:pPr>
            <w:r w:rsidRPr="00CB4F3B">
              <w:rPr>
                <w:rFonts w:ascii="Arial" w:hAnsi="Arial" w:cs="Arial"/>
                <w:color w:val="000000"/>
                <w:sz w:val="18"/>
                <w:szCs w:val="18"/>
                <w:lang w:val="en-GB"/>
              </w:rPr>
              <w:t xml:space="preserve">Arts </w:t>
            </w:r>
            <w:r w:rsidR="00EC682B" w:rsidRPr="00CB4F3B">
              <w:rPr>
                <w:rFonts w:ascii="Arial" w:hAnsi="Arial" w:cs="Arial"/>
                <w:color w:val="000000"/>
                <w:sz w:val="18"/>
                <w:szCs w:val="18"/>
                <w:lang w:val="en-GB"/>
              </w:rPr>
              <w:t>and</w:t>
            </w:r>
            <w:r w:rsidRPr="00CB4F3B">
              <w:rPr>
                <w:rFonts w:ascii="Arial" w:hAnsi="Arial" w:cs="Arial"/>
                <w:color w:val="000000"/>
                <w:sz w:val="18"/>
                <w:szCs w:val="18"/>
                <w:lang w:val="en-GB"/>
              </w:rPr>
              <w:t xml:space="preserve"> crafts</w:t>
            </w:r>
          </w:p>
        </w:tc>
      </w:tr>
      <w:tr w:rsidR="00BD45E2" w:rsidRPr="00CB4F3B" w14:paraId="680B9F13" w14:textId="77777777" w:rsidTr="00AC768E">
        <w:trPr>
          <w:trHeight w:val="60"/>
          <w:jc w:val="center"/>
        </w:trPr>
        <w:tc>
          <w:tcPr>
            <w:tcW w:w="1799" w:type="dxa"/>
            <w:hideMark/>
          </w:tcPr>
          <w:p w14:paraId="4AC1AE8C" w14:textId="763D8D4B" w:rsidR="00BD45E2" w:rsidRPr="00CB4F3B" w:rsidRDefault="00BD45E2" w:rsidP="0081747E">
            <w:pPr>
              <w:widowControl w:val="0"/>
              <w:rPr>
                <w:rFonts w:ascii="Arial" w:hAnsi="Arial" w:cs="Arial"/>
                <w:color w:val="000000"/>
                <w:sz w:val="18"/>
                <w:szCs w:val="18"/>
                <w:lang w:val="en-GB"/>
              </w:rPr>
            </w:pPr>
            <w:r w:rsidRPr="00CB4F3B">
              <w:rPr>
                <w:rFonts w:ascii="Arial" w:hAnsi="Arial" w:cs="Arial"/>
                <w:color w:val="000000"/>
                <w:sz w:val="18"/>
                <w:szCs w:val="18"/>
                <w:lang w:val="en-GB"/>
              </w:rPr>
              <w:t>Sch</w:t>
            </w:r>
            <w:r w:rsidR="00CD4B3C">
              <w:rPr>
                <w:rFonts w:ascii="Arial" w:hAnsi="Arial" w:cs="Arial"/>
                <w:color w:val="000000"/>
                <w:sz w:val="18"/>
                <w:szCs w:val="18"/>
                <w:lang w:val="en-GB"/>
              </w:rPr>
              <w:t>l</w:t>
            </w:r>
            <w:r w:rsidRPr="00CB4F3B">
              <w:rPr>
                <w:rFonts w:ascii="Arial" w:hAnsi="Arial" w:cs="Arial"/>
                <w:color w:val="000000"/>
                <w:sz w:val="18"/>
                <w:szCs w:val="18"/>
                <w:lang w:val="en-GB"/>
              </w:rPr>
              <w:t>eich</w:t>
            </w:r>
          </w:p>
        </w:tc>
        <w:tc>
          <w:tcPr>
            <w:tcW w:w="3056" w:type="dxa"/>
            <w:hideMark/>
          </w:tcPr>
          <w:p w14:paraId="03520A41" w14:textId="77777777" w:rsidR="00BD45E2" w:rsidRPr="00CB4F3B" w:rsidRDefault="00BD45E2" w:rsidP="0081747E">
            <w:pPr>
              <w:widowControl w:val="0"/>
              <w:rPr>
                <w:rFonts w:ascii="Arial" w:hAnsi="Arial" w:cs="Arial"/>
                <w:color w:val="000000"/>
                <w:sz w:val="18"/>
                <w:szCs w:val="18"/>
                <w:lang w:val="en-GB"/>
              </w:rPr>
            </w:pPr>
            <w:r w:rsidRPr="00CB4F3B">
              <w:rPr>
                <w:rFonts w:ascii="Arial" w:hAnsi="Arial" w:cs="Arial"/>
                <w:color w:val="000000"/>
                <w:sz w:val="18"/>
                <w:szCs w:val="18"/>
                <w:lang w:val="en-GB"/>
              </w:rPr>
              <w:t>Distribution</w:t>
            </w:r>
          </w:p>
        </w:tc>
        <w:tc>
          <w:tcPr>
            <w:tcW w:w="4491" w:type="dxa"/>
            <w:hideMark/>
          </w:tcPr>
          <w:p w14:paraId="7D600779" w14:textId="0CD98E21" w:rsidR="00BD45E2" w:rsidRPr="00CB4F3B" w:rsidRDefault="004318CE" w:rsidP="0081747E">
            <w:pPr>
              <w:widowControl w:val="0"/>
              <w:rPr>
                <w:rFonts w:ascii="Arial" w:hAnsi="Arial" w:cs="Arial"/>
                <w:color w:val="000000"/>
                <w:sz w:val="18"/>
                <w:szCs w:val="18"/>
                <w:lang w:val="en-GB"/>
              </w:rPr>
            </w:pPr>
            <w:r w:rsidRPr="00CB4F3B">
              <w:rPr>
                <w:rFonts w:ascii="Arial" w:hAnsi="Arial" w:cs="Arial"/>
                <w:color w:val="000000"/>
                <w:sz w:val="18"/>
                <w:szCs w:val="18"/>
                <w:lang w:val="en-GB"/>
              </w:rPr>
              <w:t>Figurines</w:t>
            </w:r>
          </w:p>
        </w:tc>
      </w:tr>
      <w:tr w:rsidR="00BD45E2" w:rsidRPr="00CB4F3B" w14:paraId="6C8E310C" w14:textId="77777777" w:rsidTr="00AC768E">
        <w:trPr>
          <w:trHeight w:val="60"/>
          <w:jc w:val="center"/>
        </w:trPr>
        <w:tc>
          <w:tcPr>
            <w:tcW w:w="1799" w:type="dxa"/>
            <w:hideMark/>
          </w:tcPr>
          <w:p w14:paraId="20E27EE3" w14:textId="77777777" w:rsidR="00BD45E2" w:rsidRPr="00CB4F3B" w:rsidRDefault="00BD45E2" w:rsidP="0081747E">
            <w:pPr>
              <w:widowControl w:val="0"/>
              <w:rPr>
                <w:rFonts w:ascii="Arial" w:hAnsi="Arial" w:cs="Arial"/>
                <w:color w:val="000000"/>
                <w:sz w:val="18"/>
                <w:szCs w:val="18"/>
                <w:lang w:val="en-GB"/>
              </w:rPr>
            </w:pPr>
            <w:r w:rsidRPr="00CB4F3B">
              <w:rPr>
                <w:rFonts w:ascii="Arial" w:hAnsi="Arial" w:cs="Arial"/>
                <w:color w:val="000000"/>
                <w:sz w:val="18"/>
                <w:szCs w:val="18"/>
                <w:lang w:val="en-GB"/>
              </w:rPr>
              <w:t>New Bright</w:t>
            </w:r>
          </w:p>
        </w:tc>
        <w:tc>
          <w:tcPr>
            <w:tcW w:w="3056" w:type="dxa"/>
            <w:hideMark/>
          </w:tcPr>
          <w:p w14:paraId="2C2A7BEB" w14:textId="77777777" w:rsidR="00BD45E2" w:rsidRPr="00CB4F3B" w:rsidRDefault="00BD45E2" w:rsidP="0081747E">
            <w:pPr>
              <w:widowControl w:val="0"/>
              <w:rPr>
                <w:rFonts w:ascii="Arial" w:hAnsi="Arial" w:cs="Arial"/>
                <w:color w:val="000000"/>
                <w:sz w:val="18"/>
                <w:szCs w:val="18"/>
                <w:lang w:val="en-GB"/>
              </w:rPr>
            </w:pPr>
            <w:r w:rsidRPr="00CB4F3B">
              <w:rPr>
                <w:rFonts w:ascii="Arial" w:hAnsi="Arial" w:cs="Arial"/>
                <w:color w:val="000000"/>
                <w:sz w:val="18"/>
                <w:szCs w:val="18"/>
                <w:lang w:val="en-GB"/>
              </w:rPr>
              <w:t>Distribution</w:t>
            </w:r>
          </w:p>
        </w:tc>
        <w:tc>
          <w:tcPr>
            <w:tcW w:w="4491" w:type="dxa"/>
            <w:hideMark/>
          </w:tcPr>
          <w:p w14:paraId="74E0BBB6" w14:textId="0DED413D" w:rsidR="00BD45E2" w:rsidRPr="00CB4F3B" w:rsidRDefault="00BD45E2" w:rsidP="0081747E">
            <w:pPr>
              <w:widowControl w:val="0"/>
              <w:rPr>
                <w:rFonts w:ascii="Arial" w:hAnsi="Arial" w:cs="Arial"/>
                <w:color w:val="000000"/>
                <w:sz w:val="18"/>
                <w:szCs w:val="18"/>
                <w:lang w:val="en-GB"/>
              </w:rPr>
            </w:pPr>
            <w:r w:rsidRPr="00CB4F3B">
              <w:rPr>
                <w:rFonts w:ascii="Arial" w:hAnsi="Arial" w:cs="Arial"/>
                <w:color w:val="000000"/>
                <w:sz w:val="18"/>
                <w:szCs w:val="18"/>
                <w:lang w:val="en-GB"/>
              </w:rPr>
              <w:t>Remote</w:t>
            </w:r>
            <w:r w:rsidR="00EC682B" w:rsidRPr="00CB4F3B">
              <w:rPr>
                <w:rFonts w:ascii="Arial" w:hAnsi="Arial" w:cs="Arial"/>
                <w:color w:val="000000"/>
                <w:sz w:val="18"/>
                <w:szCs w:val="18"/>
                <w:lang w:val="en-GB"/>
              </w:rPr>
              <w:t>-c</w:t>
            </w:r>
            <w:r w:rsidRPr="00CB4F3B">
              <w:rPr>
                <w:rFonts w:ascii="Arial" w:hAnsi="Arial" w:cs="Arial"/>
                <w:color w:val="000000"/>
                <w:sz w:val="18"/>
                <w:szCs w:val="18"/>
                <w:lang w:val="en-GB"/>
              </w:rPr>
              <w:t xml:space="preserve">ontrolled </w:t>
            </w:r>
            <w:r w:rsidR="00EC682B" w:rsidRPr="00CB4F3B">
              <w:rPr>
                <w:rFonts w:ascii="Arial" w:hAnsi="Arial" w:cs="Arial"/>
                <w:color w:val="000000"/>
                <w:sz w:val="18"/>
                <w:szCs w:val="18"/>
                <w:lang w:val="en-GB"/>
              </w:rPr>
              <w:t>c</w:t>
            </w:r>
            <w:r w:rsidRPr="00CB4F3B">
              <w:rPr>
                <w:rFonts w:ascii="Arial" w:hAnsi="Arial" w:cs="Arial"/>
                <w:color w:val="000000"/>
                <w:sz w:val="18"/>
                <w:szCs w:val="18"/>
                <w:lang w:val="en-GB"/>
              </w:rPr>
              <w:t>ars</w:t>
            </w:r>
          </w:p>
        </w:tc>
      </w:tr>
      <w:tr w:rsidR="00BD45E2" w:rsidRPr="00CB4F3B" w14:paraId="7630EAE7" w14:textId="77777777" w:rsidTr="00AC768E">
        <w:trPr>
          <w:trHeight w:val="60"/>
          <w:jc w:val="center"/>
        </w:trPr>
        <w:tc>
          <w:tcPr>
            <w:tcW w:w="1799" w:type="dxa"/>
            <w:hideMark/>
          </w:tcPr>
          <w:p w14:paraId="25FC83FC" w14:textId="77777777" w:rsidR="00BD45E2" w:rsidRPr="00CB4F3B" w:rsidRDefault="00BD45E2" w:rsidP="0081747E">
            <w:pPr>
              <w:widowControl w:val="0"/>
              <w:rPr>
                <w:rFonts w:ascii="Arial" w:hAnsi="Arial" w:cs="Arial"/>
                <w:color w:val="000000"/>
                <w:sz w:val="18"/>
                <w:szCs w:val="18"/>
                <w:lang w:val="en-GB"/>
              </w:rPr>
            </w:pPr>
            <w:r w:rsidRPr="00CB4F3B">
              <w:rPr>
                <w:rFonts w:ascii="Arial" w:hAnsi="Arial" w:cs="Arial"/>
                <w:color w:val="000000"/>
                <w:sz w:val="18"/>
                <w:szCs w:val="18"/>
                <w:lang w:val="en-GB"/>
              </w:rPr>
              <w:t>ELC</w:t>
            </w:r>
          </w:p>
        </w:tc>
        <w:tc>
          <w:tcPr>
            <w:tcW w:w="3056" w:type="dxa"/>
            <w:hideMark/>
          </w:tcPr>
          <w:p w14:paraId="6360204E" w14:textId="77777777" w:rsidR="00BD45E2" w:rsidRPr="00CB4F3B" w:rsidRDefault="00BD45E2" w:rsidP="0081747E">
            <w:pPr>
              <w:widowControl w:val="0"/>
              <w:rPr>
                <w:rFonts w:ascii="Arial" w:hAnsi="Arial" w:cs="Arial"/>
                <w:color w:val="000000"/>
                <w:sz w:val="18"/>
                <w:szCs w:val="18"/>
                <w:lang w:val="en-GB"/>
              </w:rPr>
            </w:pPr>
            <w:r w:rsidRPr="00CB4F3B">
              <w:rPr>
                <w:rFonts w:ascii="Arial" w:hAnsi="Arial" w:cs="Arial"/>
                <w:color w:val="000000"/>
                <w:sz w:val="18"/>
                <w:szCs w:val="18"/>
                <w:lang w:val="en-GB"/>
              </w:rPr>
              <w:t>Distribution</w:t>
            </w:r>
          </w:p>
        </w:tc>
        <w:tc>
          <w:tcPr>
            <w:tcW w:w="4491" w:type="dxa"/>
            <w:hideMark/>
          </w:tcPr>
          <w:p w14:paraId="79C42E4B" w14:textId="6E049524" w:rsidR="00BD45E2" w:rsidRPr="00CB4F3B" w:rsidRDefault="00EC682B" w:rsidP="0081747E">
            <w:pPr>
              <w:widowControl w:val="0"/>
              <w:rPr>
                <w:rFonts w:ascii="Arial" w:hAnsi="Arial" w:cs="Arial"/>
                <w:color w:val="000000"/>
                <w:sz w:val="18"/>
                <w:szCs w:val="18"/>
                <w:lang w:val="en-GB"/>
              </w:rPr>
            </w:pPr>
            <w:r w:rsidRPr="00CB4F3B">
              <w:rPr>
                <w:rFonts w:ascii="Arial" w:hAnsi="Arial" w:cs="Arial"/>
                <w:color w:val="000000"/>
                <w:sz w:val="18"/>
                <w:szCs w:val="18"/>
                <w:lang w:val="en-GB"/>
              </w:rPr>
              <w:t>Cars for i</w:t>
            </w:r>
            <w:r w:rsidR="00BD45E2" w:rsidRPr="00CB4F3B">
              <w:rPr>
                <w:rFonts w:ascii="Arial" w:hAnsi="Arial" w:cs="Arial"/>
                <w:color w:val="000000"/>
                <w:sz w:val="18"/>
                <w:szCs w:val="18"/>
                <w:lang w:val="en-GB"/>
              </w:rPr>
              <w:t xml:space="preserve">nfants </w:t>
            </w:r>
            <w:r w:rsidRPr="00CB4F3B">
              <w:rPr>
                <w:rFonts w:ascii="Arial" w:hAnsi="Arial" w:cs="Arial"/>
                <w:color w:val="000000"/>
                <w:sz w:val="18"/>
                <w:szCs w:val="18"/>
                <w:lang w:val="en-GB"/>
              </w:rPr>
              <w:t>and p</w:t>
            </w:r>
            <w:r w:rsidR="00BD45E2" w:rsidRPr="00CB4F3B">
              <w:rPr>
                <w:rFonts w:ascii="Arial" w:hAnsi="Arial" w:cs="Arial"/>
                <w:color w:val="000000"/>
                <w:sz w:val="18"/>
                <w:szCs w:val="18"/>
                <w:lang w:val="en-GB"/>
              </w:rPr>
              <w:t>re</w:t>
            </w:r>
            <w:r w:rsidRPr="00CB4F3B">
              <w:rPr>
                <w:rFonts w:ascii="Arial" w:hAnsi="Arial" w:cs="Arial"/>
                <w:color w:val="000000"/>
                <w:sz w:val="18"/>
                <w:szCs w:val="18"/>
                <w:lang w:val="en-GB"/>
              </w:rPr>
              <w:t>s</w:t>
            </w:r>
            <w:r w:rsidR="00BD45E2" w:rsidRPr="00CB4F3B">
              <w:rPr>
                <w:rFonts w:ascii="Arial" w:hAnsi="Arial" w:cs="Arial"/>
                <w:color w:val="000000"/>
                <w:sz w:val="18"/>
                <w:szCs w:val="18"/>
                <w:lang w:val="en-GB"/>
              </w:rPr>
              <w:t>chool</w:t>
            </w:r>
            <w:r w:rsidRPr="00CB4F3B">
              <w:rPr>
                <w:rFonts w:ascii="Arial" w:hAnsi="Arial" w:cs="Arial"/>
                <w:color w:val="000000"/>
                <w:sz w:val="18"/>
                <w:szCs w:val="18"/>
                <w:lang w:val="en-GB"/>
              </w:rPr>
              <w:t>e</w:t>
            </w:r>
            <w:r w:rsidR="00BD45E2" w:rsidRPr="00CB4F3B">
              <w:rPr>
                <w:rFonts w:ascii="Arial" w:hAnsi="Arial" w:cs="Arial"/>
                <w:color w:val="000000"/>
                <w:sz w:val="18"/>
                <w:szCs w:val="18"/>
                <w:lang w:val="en-GB"/>
              </w:rPr>
              <w:t>rs</w:t>
            </w:r>
          </w:p>
        </w:tc>
      </w:tr>
      <w:tr w:rsidR="00BD45E2" w:rsidRPr="00CB4F3B" w14:paraId="3E11269D" w14:textId="77777777" w:rsidTr="00AC768E">
        <w:trPr>
          <w:trHeight w:val="60"/>
          <w:jc w:val="center"/>
        </w:trPr>
        <w:tc>
          <w:tcPr>
            <w:tcW w:w="1799" w:type="dxa"/>
            <w:hideMark/>
          </w:tcPr>
          <w:p w14:paraId="4DB0A344" w14:textId="77777777" w:rsidR="00BD45E2" w:rsidRPr="00CB4F3B" w:rsidRDefault="00BD45E2" w:rsidP="0081747E">
            <w:pPr>
              <w:widowControl w:val="0"/>
              <w:rPr>
                <w:rFonts w:ascii="Arial" w:hAnsi="Arial" w:cs="Arial"/>
                <w:color w:val="000000"/>
                <w:sz w:val="18"/>
                <w:szCs w:val="18"/>
                <w:lang w:val="en-GB"/>
              </w:rPr>
            </w:pPr>
            <w:r w:rsidRPr="00CB4F3B">
              <w:rPr>
                <w:rFonts w:ascii="Arial" w:hAnsi="Arial" w:cs="Arial"/>
                <w:color w:val="000000"/>
                <w:sz w:val="18"/>
                <w:szCs w:val="18"/>
                <w:lang w:val="en-GB"/>
              </w:rPr>
              <w:t>ZING</w:t>
            </w:r>
          </w:p>
        </w:tc>
        <w:tc>
          <w:tcPr>
            <w:tcW w:w="3056" w:type="dxa"/>
            <w:hideMark/>
          </w:tcPr>
          <w:p w14:paraId="0C745195" w14:textId="77777777" w:rsidR="00BD45E2" w:rsidRPr="00CB4F3B" w:rsidRDefault="00BD45E2" w:rsidP="0081747E">
            <w:pPr>
              <w:widowControl w:val="0"/>
              <w:rPr>
                <w:rFonts w:ascii="Arial" w:hAnsi="Arial" w:cs="Arial"/>
                <w:color w:val="000000"/>
                <w:sz w:val="18"/>
                <w:szCs w:val="18"/>
                <w:lang w:val="en-GB"/>
              </w:rPr>
            </w:pPr>
            <w:r w:rsidRPr="00CB4F3B">
              <w:rPr>
                <w:rFonts w:ascii="Arial" w:hAnsi="Arial" w:cs="Arial"/>
                <w:color w:val="000000"/>
                <w:sz w:val="18"/>
                <w:szCs w:val="18"/>
                <w:lang w:val="en-GB"/>
              </w:rPr>
              <w:t>Distribution</w:t>
            </w:r>
          </w:p>
        </w:tc>
        <w:tc>
          <w:tcPr>
            <w:tcW w:w="4491" w:type="dxa"/>
            <w:hideMark/>
          </w:tcPr>
          <w:p w14:paraId="656A677E" w14:textId="77777777" w:rsidR="00BD45E2" w:rsidRPr="00CB4F3B" w:rsidRDefault="00BD45E2" w:rsidP="0081747E">
            <w:pPr>
              <w:widowControl w:val="0"/>
              <w:rPr>
                <w:rFonts w:ascii="Arial" w:hAnsi="Arial" w:cs="Arial"/>
                <w:color w:val="000000"/>
                <w:sz w:val="18"/>
                <w:szCs w:val="18"/>
                <w:lang w:val="en-GB"/>
              </w:rPr>
            </w:pPr>
            <w:r w:rsidRPr="00CB4F3B">
              <w:rPr>
                <w:rFonts w:ascii="Arial" w:hAnsi="Arial" w:cs="Arial"/>
                <w:color w:val="000000"/>
                <w:sz w:val="18"/>
                <w:szCs w:val="18"/>
                <w:lang w:val="en-GB"/>
              </w:rPr>
              <w:t>Fidgets</w:t>
            </w:r>
          </w:p>
        </w:tc>
      </w:tr>
    </w:tbl>
    <w:p w14:paraId="330326B5" w14:textId="77777777" w:rsidR="00BD45E2" w:rsidRPr="00CB4F3B" w:rsidRDefault="00BD45E2" w:rsidP="0081747E">
      <w:pPr>
        <w:pStyle w:val="BodyTextMain"/>
        <w:widowControl w:val="0"/>
        <w:rPr>
          <w:lang w:val="en-GB"/>
        </w:rPr>
      </w:pPr>
    </w:p>
    <w:p w14:paraId="1AF0C725" w14:textId="77777777" w:rsidR="00595449" w:rsidRPr="00CB4F3B" w:rsidRDefault="00595449" w:rsidP="0081747E">
      <w:pPr>
        <w:pStyle w:val="Footnote"/>
        <w:widowControl w:val="0"/>
        <w:rPr>
          <w:lang w:val="en-GB"/>
        </w:rPr>
      </w:pPr>
      <w:r w:rsidRPr="00CB4F3B">
        <w:rPr>
          <w:lang w:val="en-GB"/>
        </w:rPr>
        <w:t>Source: Company files.</w:t>
      </w:r>
    </w:p>
    <w:p w14:paraId="72597827" w14:textId="77777777" w:rsidR="0002430A" w:rsidRPr="00CB4F3B" w:rsidRDefault="0002430A" w:rsidP="0081747E">
      <w:pPr>
        <w:pStyle w:val="ExhibitHeading"/>
        <w:widowControl w:val="0"/>
        <w:rPr>
          <w:lang w:val="en-GB"/>
        </w:rPr>
      </w:pPr>
    </w:p>
    <w:p w14:paraId="31137D4E" w14:textId="53BAF319" w:rsidR="00F367FC" w:rsidRPr="00CB4F3B" w:rsidRDefault="00595449" w:rsidP="0081747E">
      <w:pPr>
        <w:pStyle w:val="ExhibitHeading"/>
        <w:widowControl w:val="0"/>
        <w:rPr>
          <w:lang w:val="en-GB"/>
        </w:rPr>
      </w:pPr>
      <w:r w:rsidRPr="00CB4F3B">
        <w:rPr>
          <w:lang w:val="en-GB"/>
        </w:rPr>
        <w:lastRenderedPageBreak/>
        <w:t>EXHIBIT 4: SELECTED PORTFOLIO OF FUNSKOOL’S TOYS (LICENSED AND BRANDED)</w:t>
      </w:r>
    </w:p>
    <w:p w14:paraId="66A00F29" w14:textId="77777777" w:rsidR="00F367FC" w:rsidRPr="00CB4F3B" w:rsidRDefault="00F367FC" w:rsidP="0081747E">
      <w:pPr>
        <w:pStyle w:val="ExhibitHeading"/>
        <w:widowControl w:val="0"/>
        <w:rPr>
          <w:lang w:val="en-GB"/>
        </w:rPr>
      </w:pPr>
    </w:p>
    <w:tbl>
      <w:tblPr>
        <w:tblStyle w:val="TableGrid"/>
        <w:tblW w:w="0" w:type="auto"/>
        <w:jc w:val="center"/>
        <w:tblLook w:val="04A0" w:firstRow="1" w:lastRow="0" w:firstColumn="1" w:lastColumn="0" w:noHBand="0" w:noVBand="1"/>
      </w:tblPr>
      <w:tblGrid>
        <w:gridCol w:w="1705"/>
        <w:gridCol w:w="2610"/>
        <w:gridCol w:w="3420"/>
        <w:gridCol w:w="1615"/>
      </w:tblGrid>
      <w:tr w:rsidR="00F367FC" w:rsidRPr="00CB4F3B" w14:paraId="2F77C431" w14:textId="77777777" w:rsidTr="00AC768E">
        <w:trPr>
          <w:jc w:val="center"/>
        </w:trPr>
        <w:tc>
          <w:tcPr>
            <w:tcW w:w="1705" w:type="dxa"/>
            <w:tcBorders>
              <w:top w:val="single" w:sz="4" w:space="0" w:color="auto"/>
              <w:left w:val="single" w:sz="4" w:space="0" w:color="auto"/>
              <w:bottom w:val="single" w:sz="4" w:space="0" w:color="auto"/>
              <w:right w:val="single" w:sz="4" w:space="0" w:color="auto"/>
            </w:tcBorders>
            <w:vAlign w:val="center"/>
          </w:tcPr>
          <w:p w14:paraId="02D47075" w14:textId="0F12CAFE" w:rsidR="00F367FC" w:rsidRPr="00CB4F3B" w:rsidRDefault="00F367FC" w:rsidP="0081747E">
            <w:pPr>
              <w:pStyle w:val="ExhibitText"/>
              <w:widowControl w:val="0"/>
              <w:jc w:val="center"/>
              <w:rPr>
                <w:b/>
                <w:sz w:val="18"/>
                <w:szCs w:val="18"/>
                <w:lang w:val="en-GB"/>
              </w:rPr>
            </w:pPr>
            <w:r w:rsidRPr="00CB4F3B">
              <w:rPr>
                <w:b/>
                <w:sz w:val="18"/>
                <w:szCs w:val="18"/>
                <w:lang w:val="en-GB"/>
              </w:rPr>
              <w:t>Brand</w:t>
            </w:r>
          </w:p>
        </w:tc>
        <w:tc>
          <w:tcPr>
            <w:tcW w:w="2610" w:type="dxa"/>
            <w:tcBorders>
              <w:top w:val="single" w:sz="4" w:space="0" w:color="auto"/>
              <w:left w:val="single" w:sz="4" w:space="0" w:color="auto"/>
              <w:bottom w:val="single" w:sz="4" w:space="0" w:color="auto"/>
              <w:right w:val="single" w:sz="4" w:space="0" w:color="auto"/>
            </w:tcBorders>
            <w:vAlign w:val="center"/>
          </w:tcPr>
          <w:p w14:paraId="2AEAD79A" w14:textId="5F023EA0" w:rsidR="00F367FC" w:rsidRPr="00CB4F3B" w:rsidRDefault="00F367FC" w:rsidP="0081747E">
            <w:pPr>
              <w:pStyle w:val="ExhibitText"/>
              <w:widowControl w:val="0"/>
              <w:jc w:val="center"/>
              <w:rPr>
                <w:b/>
                <w:sz w:val="18"/>
                <w:szCs w:val="18"/>
                <w:lang w:val="en-GB"/>
              </w:rPr>
            </w:pPr>
            <w:r w:rsidRPr="00CB4F3B">
              <w:rPr>
                <w:b/>
                <w:sz w:val="18"/>
                <w:szCs w:val="18"/>
                <w:lang w:val="en-GB"/>
              </w:rPr>
              <w:t>Type of Toys</w:t>
            </w:r>
          </w:p>
        </w:tc>
        <w:tc>
          <w:tcPr>
            <w:tcW w:w="3420" w:type="dxa"/>
            <w:tcBorders>
              <w:top w:val="single" w:sz="4" w:space="0" w:color="auto"/>
              <w:left w:val="single" w:sz="4" w:space="0" w:color="auto"/>
              <w:bottom w:val="single" w:sz="4" w:space="0" w:color="auto"/>
              <w:right w:val="single" w:sz="4" w:space="0" w:color="auto"/>
            </w:tcBorders>
            <w:vAlign w:val="center"/>
          </w:tcPr>
          <w:p w14:paraId="0E5E0809" w14:textId="5E009EB0" w:rsidR="00F367FC" w:rsidRPr="00CB4F3B" w:rsidRDefault="00F367FC" w:rsidP="0081747E">
            <w:pPr>
              <w:pStyle w:val="ExhibitText"/>
              <w:widowControl w:val="0"/>
              <w:jc w:val="center"/>
              <w:rPr>
                <w:b/>
                <w:sz w:val="18"/>
                <w:szCs w:val="18"/>
                <w:lang w:val="en-GB"/>
              </w:rPr>
            </w:pPr>
            <w:r w:rsidRPr="00CB4F3B">
              <w:rPr>
                <w:b/>
                <w:sz w:val="18"/>
                <w:szCs w:val="18"/>
                <w:lang w:val="en-GB"/>
              </w:rPr>
              <w:t>Intended Skill Development</w:t>
            </w:r>
          </w:p>
        </w:tc>
        <w:tc>
          <w:tcPr>
            <w:tcW w:w="1615" w:type="dxa"/>
            <w:tcBorders>
              <w:top w:val="single" w:sz="4" w:space="0" w:color="auto"/>
              <w:left w:val="single" w:sz="4" w:space="0" w:color="auto"/>
              <w:bottom w:val="single" w:sz="4" w:space="0" w:color="auto"/>
              <w:right w:val="single" w:sz="4" w:space="0" w:color="auto"/>
            </w:tcBorders>
            <w:vAlign w:val="center"/>
          </w:tcPr>
          <w:p w14:paraId="4866EBFA" w14:textId="7566BC9E" w:rsidR="00F367FC" w:rsidRPr="00CB4F3B" w:rsidRDefault="00F367FC" w:rsidP="0081747E">
            <w:pPr>
              <w:pStyle w:val="ExhibitText"/>
              <w:widowControl w:val="0"/>
              <w:jc w:val="center"/>
              <w:rPr>
                <w:b/>
                <w:sz w:val="18"/>
                <w:szCs w:val="18"/>
                <w:lang w:val="en-GB"/>
              </w:rPr>
            </w:pPr>
            <w:r w:rsidRPr="00CB4F3B">
              <w:rPr>
                <w:b/>
                <w:sz w:val="18"/>
                <w:szCs w:val="18"/>
                <w:lang w:val="en-GB"/>
              </w:rPr>
              <w:t>Company</w:t>
            </w:r>
          </w:p>
        </w:tc>
      </w:tr>
      <w:tr w:rsidR="00F367FC" w:rsidRPr="00CB4F3B" w14:paraId="4731BBA2" w14:textId="77777777" w:rsidTr="00AC768E">
        <w:trPr>
          <w:jc w:val="center"/>
        </w:trPr>
        <w:tc>
          <w:tcPr>
            <w:tcW w:w="1705" w:type="dxa"/>
            <w:tcBorders>
              <w:top w:val="single" w:sz="4" w:space="0" w:color="auto"/>
              <w:left w:val="single" w:sz="4" w:space="0" w:color="auto"/>
              <w:bottom w:val="single" w:sz="4" w:space="0" w:color="auto"/>
              <w:right w:val="single" w:sz="4" w:space="0" w:color="auto"/>
            </w:tcBorders>
            <w:vAlign w:val="center"/>
          </w:tcPr>
          <w:p w14:paraId="134D9C14" w14:textId="015EF81B" w:rsidR="00F367FC" w:rsidRPr="00CB4F3B" w:rsidRDefault="00F367FC" w:rsidP="0081747E">
            <w:pPr>
              <w:pStyle w:val="ExhibitText"/>
              <w:widowControl w:val="0"/>
              <w:rPr>
                <w:sz w:val="18"/>
                <w:szCs w:val="18"/>
                <w:lang w:val="en-GB"/>
              </w:rPr>
            </w:pPr>
            <w:r w:rsidRPr="00CB4F3B">
              <w:rPr>
                <w:sz w:val="18"/>
                <w:szCs w:val="18"/>
                <w:lang w:val="en-GB"/>
              </w:rPr>
              <w:t>Asmodee</w:t>
            </w:r>
          </w:p>
        </w:tc>
        <w:tc>
          <w:tcPr>
            <w:tcW w:w="2610" w:type="dxa"/>
            <w:tcBorders>
              <w:top w:val="single" w:sz="4" w:space="0" w:color="auto"/>
              <w:left w:val="single" w:sz="4" w:space="0" w:color="auto"/>
              <w:bottom w:val="single" w:sz="4" w:space="0" w:color="auto"/>
              <w:right w:val="single" w:sz="4" w:space="0" w:color="auto"/>
            </w:tcBorders>
            <w:vAlign w:val="center"/>
          </w:tcPr>
          <w:p w14:paraId="23696CE8" w14:textId="3360DD48" w:rsidR="00F367FC" w:rsidRPr="00CB4F3B" w:rsidRDefault="00F367FC" w:rsidP="0081747E">
            <w:pPr>
              <w:pStyle w:val="ExhibitText"/>
              <w:widowControl w:val="0"/>
              <w:rPr>
                <w:sz w:val="18"/>
                <w:szCs w:val="18"/>
                <w:lang w:val="en-GB"/>
              </w:rPr>
            </w:pPr>
            <w:r w:rsidRPr="00CB4F3B">
              <w:rPr>
                <w:sz w:val="18"/>
                <w:szCs w:val="18"/>
                <w:lang w:val="en-GB"/>
              </w:rPr>
              <w:t>Board games</w:t>
            </w:r>
          </w:p>
        </w:tc>
        <w:tc>
          <w:tcPr>
            <w:tcW w:w="3420" w:type="dxa"/>
            <w:tcBorders>
              <w:top w:val="single" w:sz="4" w:space="0" w:color="auto"/>
              <w:left w:val="single" w:sz="4" w:space="0" w:color="auto"/>
              <w:bottom w:val="single" w:sz="4" w:space="0" w:color="auto"/>
              <w:right w:val="single" w:sz="4" w:space="0" w:color="auto"/>
            </w:tcBorders>
            <w:vAlign w:val="center"/>
          </w:tcPr>
          <w:p w14:paraId="1E83B841" w14:textId="2615D2D9" w:rsidR="00F367FC" w:rsidRPr="00CB4F3B" w:rsidRDefault="00F367FC" w:rsidP="0081747E">
            <w:pPr>
              <w:pStyle w:val="ExhibitText"/>
              <w:widowControl w:val="0"/>
              <w:rPr>
                <w:sz w:val="18"/>
                <w:szCs w:val="18"/>
                <w:lang w:val="en-GB"/>
              </w:rPr>
            </w:pPr>
            <w:r w:rsidRPr="00CB4F3B">
              <w:rPr>
                <w:sz w:val="18"/>
                <w:szCs w:val="18"/>
                <w:lang w:val="en-GB"/>
              </w:rPr>
              <w:t>Strategic and logical thinking</w:t>
            </w:r>
          </w:p>
        </w:tc>
        <w:tc>
          <w:tcPr>
            <w:tcW w:w="1615" w:type="dxa"/>
            <w:tcBorders>
              <w:top w:val="single" w:sz="4" w:space="0" w:color="auto"/>
              <w:left w:val="single" w:sz="4" w:space="0" w:color="auto"/>
              <w:bottom w:val="single" w:sz="4" w:space="0" w:color="auto"/>
              <w:right w:val="single" w:sz="4" w:space="0" w:color="auto"/>
            </w:tcBorders>
            <w:vAlign w:val="center"/>
          </w:tcPr>
          <w:p w14:paraId="3E406364" w14:textId="2E469CF2" w:rsidR="00F367FC" w:rsidRPr="00CB4F3B" w:rsidRDefault="00F367FC" w:rsidP="0081747E">
            <w:pPr>
              <w:pStyle w:val="ExhibitText"/>
              <w:widowControl w:val="0"/>
              <w:rPr>
                <w:sz w:val="18"/>
                <w:szCs w:val="18"/>
                <w:lang w:val="en-GB"/>
              </w:rPr>
            </w:pPr>
            <w:r w:rsidRPr="00CB4F3B">
              <w:rPr>
                <w:sz w:val="18"/>
                <w:szCs w:val="18"/>
                <w:lang w:val="en-GB"/>
              </w:rPr>
              <w:t>Asmodee</w:t>
            </w:r>
          </w:p>
        </w:tc>
      </w:tr>
      <w:tr w:rsidR="00F367FC" w:rsidRPr="00CB4F3B" w14:paraId="52FB9639" w14:textId="77777777" w:rsidTr="00AC768E">
        <w:trPr>
          <w:jc w:val="center"/>
        </w:trPr>
        <w:tc>
          <w:tcPr>
            <w:tcW w:w="1705" w:type="dxa"/>
            <w:tcBorders>
              <w:top w:val="single" w:sz="4" w:space="0" w:color="auto"/>
              <w:left w:val="single" w:sz="4" w:space="0" w:color="auto"/>
              <w:bottom w:val="single" w:sz="4" w:space="0" w:color="auto"/>
              <w:right w:val="single" w:sz="4" w:space="0" w:color="auto"/>
            </w:tcBorders>
            <w:vAlign w:val="center"/>
          </w:tcPr>
          <w:p w14:paraId="00DE2957" w14:textId="6A48241E" w:rsidR="00F367FC" w:rsidRPr="00CB4F3B" w:rsidRDefault="00F367FC" w:rsidP="0081747E">
            <w:pPr>
              <w:pStyle w:val="ExhibitText"/>
              <w:widowControl w:val="0"/>
              <w:rPr>
                <w:sz w:val="18"/>
                <w:szCs w:val="18"/>
                <w:lang w:val="en-GB"/>
              </w:rPr>
            </w:pPr>
            <w:r w:rsidRPr="00CB4F3B">
              <w:rPr>
                <w:sz w:val="18"/>
                <w:szCs w:val="18"/>
                <w:lang w:val="en-GB"/>
              </w:rPr>
              <w:t>Baby Alive</w:t>
            </w:r>
          </w:p>
        </w:tc>
        <w:tc>
          <w:tcPr>
            <w:tcW w:w="2610" w:type="dxa"/>
            <w:tcBorders>
              <w:top w:val="single" w:sz="4" w:space="0" w:color="auto"/>
              <w:left w:val="single" w:sz="4" w:space="0" w:color="auto"/>
              <w:bottom w:val="single" w:sz="4" w:space="0" w:color="auto"/>
              <w:right w:val="single" w:sz="4" w:space="0" w:color="auto"/>
            </w:tcBorders>
            <w:vAlign w:val="center"/>
          </w:tcPr>
          <w:p w14:paraId="65E4B257" w14:textId="6C9E8AA2" w:rsidR="00F367FC" w:rsidRPr="00CB4F3B" w:rsidRDefault="00F367FC" w:rsidP="0081747E">
            <w:pPr>
              <w:pStyle w:val="ExhibitText"/>
              <w:widowControl w:val="0"/>
              <w:rPr>
                <w:sz w:val="18"/>
                <w:szCs w:val="18"/>
                <w:lang w:val="en-GB"/>
              </w:rPr>
            </w:pPr>
            <w:r w:rsidRPr="00CB4F3B">
              <w:rPr>
                <w:sz w:val="18"/>
                <w:szCs w:val="18"/>
                <w:lang w:val="en-GB"/>
              </w:rPr>
              <w:t>Dolls</w:t>
            </w:r>
          </w:p>
        </w:tc>
        <w:tc>
          <w:tcPr>
            <w:tcW w:w="3420" w:type="dxa"/>
            <w:tcBorders>
              <w:top w:val="single" w:sz="4" w:space="0" w:color="auto"/>
              <w:left w:val="single" w:sz="4" w:space="0" w:color="auto"/>
              <w:bottom w:val="single" w:sz="4" w:space="0" w:color="auto"/>
              <w:right w:val="single" w:sz="4" w:space="0" w:color="auto"/>
            </w:tcBorders>
            <w:vAlign w:val="center"/>
          </w:tcPr>
          <w:p w14:paraId="119A953E" w14:textId="19394CBC" w:rsidR="00F367FC" w:rsidRPr="00CB4F3B" w:rsidRDefault="00F367FC" w:rsidP="0081747E">
            <w:pPr>
              <w:pStyle w:val="ExhibitText"/>
              <w:widowControl w:val="0"/>
              <w:rPr>
                <w:sz w:val="18"/>
                <w:szCs w:val="18"/>
                <w:lang w:val="en-GB"/>
              </w:rPr>
            </w:pPr>
            <w:r w:rsidRPr="00CB4F3B">
              <w:rPr>
                <w:sz w:val="18"/>
                <w:szCs w:val="18"/>
                <w:lang w:val="en-GB"/>
              </w:rPr>
              <w:t>Social skills and sensory development</w:t>
            </w:r>
          </w:p>
        </w:tc>
        <w:tc>
          <w:tcPr>
            <w:tcW w:w="1615" w:type="dxa"/>
            <w:tcBorders>
              <w:top w:val="single" w:sz="4" w:space="0" w:color="auto"/>
              <w:left w:val="single" w:sz="4" w:space="0" w:color="auto"/>
              <w:bottom w:val="single" w:sz="4" w:space="0" w:color="auto"/>
              <w:right w:val="single" w:sz="4" w:space="0" w:color="auto"/>
            </w:tcBorders>
            <w:vAlign w:val="center"/>
          </w:tcPr>
          <w:p w14:paraId="725C1E19" w14:textId="464180B8" w:rsidR="00F367FC" w:rsidRPr="00CB4F3B" w:rsidRDefault="00F367FC" w:rsidP="0081747E">
            <w:pPr>
              <w:pStyle w:val="ExhibitText"/>
              <w:widowControl w:val="0"/>
              <w:rPr>
                <w:sz w:val="18"/>
                <w:szCs w:val="18"/>
                <w:lang w:val="en-GB"/>
              </w:rPr>
            </w:pPr>
            <w:r w:rsidRPr="00CB4F3B">
              <w:rPr>
                <w:sz w:val="18"/>
                <w:szCs w:val="18"/>
                <w:lang w:val="en-GB"/>
              </w:rPr>
              <w:t>Hasbro</w:t>
            </w:r>
          </w:p>
        </w:tc>
      </w:tr>
      <w:tr w:rsidR="00F367FC" w:rsidRPr="00CB4F3B" w14:paraId="246343B7" w14:textId="77777777" w:rsidTr="00AC768E">
        <w:trPr>
          <w:jc w:val="center"/>
        </w:trPr>
        <w:tc>
          <w:tcPr>
            <w:tcW w:w="1705" w:type="dxa"/>
            <w:tcBorders>
              <w:top w:val="single" w:sz="4" w:space="0" w:color="auto"/>
              <w:left w:val="single" w:sz="4" w:space="0" w:color="auto"/>
              <w:bottom w:val="single" w:sz="4" w:space="0" w:color="auto"/>
              <w:right w:val="single" w:sz="4" w:space="0" w:color="auto"/>
            </w:tcBorders>
            <w:vAlign w:val="center"/>
          </w:tcPr>
          <w:p w14:paraId="2F48ABB7" w14:textId="59F3E411" w:rsidR="00F367FC" w:rsidRPr="00CB4F3B" w:rsidRDefault="00F367FC" w:rsidP="0081747E">
            <w:pPr>
              <w:pStyle w:val="ExhibitText"/>
              <w:widowControl w:val="0"/>
              <w:rPr>
                <w:sz w:val="18"/>
                <w:szCs w:val="18"/>
                <w:lang w:val="en-GB"/>
              </w:rPr>
            </w:pPr>
            <w:r w:rsidRPr="00CB4F3B">
              <w:rPr>
                <w:sz w:val="18"/>
                <w:szCs w:val="18"/>
                <w:lang w:val="en-GB"/>
              </w:rPr>
              <w:t>Batman</w:t>
            </w:r>
          </w:p>
        </w:tc>
        <w:tc>
          <w:tcPr>
            <w:tcW w:w="2610" w:type="dxa"/>
            <w:tcBorders>
              <w:top w:val="single" w:sz="4" w:space="0" w:color="auto"/>
              <w:left w:val="single" w:sz="4" w:space="0" w:color="auto"/>
              <w:bottom w:val="single" w:sz="4" w:space="0" w:color="auto"/>
              <w:right w:val="single" w:sz="4" w:space="0" w:color="auto"/>
            </w:tcBorders>
            <w:vAlign w:val="center"/>
          </w:tcPr>
          <w:p w14:paraId="11F052AA" w14:textId="7C81361D" w:rsidR="00F367FC" w:rsidRPr="00CB4F3B" w:rsidRDefault="00F367FC" w:rsidP="0081747E">
            <w:pPr>
              <w:pStyle w:val="ExhibitText"/>
              <w:widowControl w:val="0"/>
              <w:rPr>
                <w:sz w:val="18"/>
                <w:szCs w:val="18"/>
                <w:lang w:val="en-GB"/>
              </w:rPr>
            </w:pPr>
            <w:r w:rsidRPr="00CB4F3B">
              <w:rPr>
                <w:sz w:val="18"/>
                <w:szCs w:val="18"/>
                <w:lang w:val="en-GB"/>
              </w:rPr>
              <w:t>Action figures</w:t>
            </w:r>
          </w:p>
        </w:tc>
        <w:tc>
          <w:tcPr>
            <w:tcW w:w="3420" w:type="dxa"/>
            <w:tcBorders>
              <w:top w:val="single" w:sz="4" w:space="0" w:color="auto"/>
              <w:left w:val="single" w:sz="4" w:space="0" w:color="auto"/>
              <w:bottom w:val="single" w:sz="4" w:space="0" w:color="auto"/>
              <w:right w:val="single" w:sz="4" w:space="0" w:color="auto"/>
            </w:tcBorders>
            <w:vAlign w:val="center"/>
          </w:tcPr>
          <w:p w14:paraId="4BA00CAA" w14:textId="3F3B931F" w:rsidR="00F367FC" w:rsidRPr="00CB4F3B" w:rsidRDefault="00F367FC" w:rsidP="00757EC9">
            <w:pPr>
              <w:pStyle w:val="ExhibitText"/>
              <w:widowControl w:val="0"/>
              <w:jc w:val="left"/>
              <w:rPr>
                <w:sz w:val="18"/>
                <w:szCs w:val="18"/>
                <w:lang w:val="en-GB"/>
              </w:rPr>
            </w:pPr>
            <w:r w:rsidRPr="00CB4F3B">
              <w:rPr>
                <w:sz w:val="18"/>
                <w:szCs w:val="18"/>
                <w:lang w:val="en-GB"/>
              </w:rPr>
              <w:t>Hand</w:t>
            </w:r>
            <w:r w:rsidR="00E42171">
              <w:rPr>
                <w:sz w:val="18"/>
                <w:szCs w:val="18"/>
                <w:lang w:val="en-GB"/>
              </w:rPr>
              <w:t>–</w:t>
            </w:r>
            <w:r w:rsidRPr="00CB4F3B">
              <w:rPr>
                <w:sz w:val="18"/>
                <w:szCs w:val="18"/>
                <w:lang w:val="en-GB"/>
              </w:rPr>
              <w:t>eye coordination and role-play activity</w:t>
            </w:r>
          </w:p>
        </w:tc>
        <w:tc>
          <w:tcPr>
            <w:tcW w:w="1615" w:type="dxa"/>
            <w:tcBorders>
              <w:top w:val="single" w:sz="4" w:space="0" w:color="auto"/>
              <w:left w:val="single" w:sz="4" w:space="0" w:color="auto"/>
              <w:bottom w:val="single" w:sz="4" w:space="0" w:color="auto"/>
              <w:right w:val="single" w:sz="4" w:space="0" w:color="auto"/>
            </w:tcBorders>
            <w:vAlign w:val="center"/>
          </w:tcPr>
          <w:p w14:paraId="5612A57B" w14:textId="75CE8BD9" w:rsidR="00F367FC" w:rsidRPr="00CB4F3B" w:rsidRDefault="00F367FC" w:rsidP="0081747E">
            <w:pPr>
              <w:pStyle w:val="ExhibitText"/>
              <w:widowControl w:val="0"/>
              <w:rPr>
                <w:sz w:val="18"/>
                <w:szCs w:val="18"/>
                <w:lang w:val="en-GB"/>
              </w:rPr>
            </w:pPr>
            <w:r w:rsidRPr="00CB4F3B">
              <w:rPr>
                <w:sz w:val="18"/>
                <w:szCs w:val="18"/>
                <w:lang w:val="en-GB"/>
              </w:rPr>
              <w:t>Hasbro</w:t>
            </w:r>
          </w:p>
        </w:tc>
      </w:tr>
      <w:tr w:rsidR="00F367FC" w:rsidRPr="00CB4F3B" w14:paraId="5D8DFD0B" w14:textId="77777777" w:rsidTr="00AC768E">
        <w:trPr>
          <w:jc w:val="center"/>
        </w:trPr>
        <w:tc>
          <w:tcPr>
            <w:tcW w:w="1705" w:type="dxa"/>
            <w:tcBorders>
              <w:top w:val="single" w:sz="4" w:space="0" w:color="auto"/>
              <w:left w:val="single" w:sz="4" w:space="0" w:color="auto"/>
              <w:bottom w:val="single" w:sz="4" w:space="0" w:color="auto"/>
              <w:right w:val="single" w:sz="4" w:space="0" w:color="auto"/>
            </w:tcBorders>
            <w:vAlign w:val="center"/>
          </w:tcPr>
          <w:p w14:paraId="6487BDAE" w14:textId="0FD7F2E1" w:rsidR="00F367FC" w:rsidRPr="00CB4F3B" w:rsidRDefault="00F367FC" w:rsidP="0081747E">
            <w:pPr>
              <w:pStyle w:val="ExhibitText"/>
              <w:widowControl w:val="0"/>
              <w:rPr>
                <w:sz w:val="18"/>
                <w:szCs w:val="18"/>
                <w:lang w:val="en-GB"/>
              </w:rPr>
            </w:pPr>
            <w:r w:rsidRPr="00CB4F3B">
              <w:rPr>
                <w:sz w:val="18"/>
                <w:szCs w:val="18"/>
                <w:lang w:val="en-GB"/>
              </w:rPr>
              <w:t>Beyblade</w:t>
            </w:r>
          </w:p>
        </w:tc>
        <w:tc>
          <w:tcPr>
            <w:tcW w:w="2610" w:type="dxa"/>
            <w:tcBorders>
              <w:top w:val="single" w:sz="4" w:space="0" w:color="auto"/>
              <w:left w:val="single" w:sz="4" w:space="0" w:color="auto"/>
              <w:bottom w:val="single" w:sz="4" w:space="0" w:color="auto"/>
              <w:right w:val="single" w:sz="4" w:space="0" w:color="auto"/>
            </w:tcBorders>
            <w:vAlign w:val="center"/>
          </w:tcPr>
          <w:p w14:paraId="4684B7B1" w14:textId="6A8D5CB4" w:rsidR="00F367FC" w:rsidRPr="00CB4F3B" w:rsidRDefault="00F367FC" w:rsidP="0081747E">
            <w:pPr>
              <w:pStyle w:val="ExhibitText"/>
              <w:widowControl w:val="0"/>
              <w:rPr>
                <w:sz w:val="18"/>
                <w:szCs w:val="18"/>
                <w:lang w:val="en-GB"/>
              </w:rPr>
            </w:pPr>
            <w:r w:rsidRPr="00CB4F3B">
              <w:rPr>
                <w:sz w:val="18"/>
                <w:szCs w:val="18"/>
                <w:lang w:val="en-GB"/>
              </w:rPr>
              <w:t>Action and activity toys</w:t>
            </w:r>
          </w:p>
        </w:tc>
        <w:tc>
          <w:tcPr>
            <w:tcW w:w="3420" w:type="dxa"/>
            <w:tcBorders>
              <w:top w:val="single" w:sz="4" w:space="0" w:color="auto"/>
              <w:left w:val="single" w:sz="4" w:space="0" w:color="auto"/>
              <w:bottom w:val="single" w:sz="4" w:space="0" w:color="auto"/>
              <w:right w:val="single" w:sz="4" w:space="0" w:color="auto"/>
            </w:tcBorders>
            <w:vAlign w:val="center"/>
          </w:tcPr>
          <w:p w14:paraId="6C87E853" w14:textId="560976D5" w:rsidR="00F367FC" w:rsidRPr="00CB4F3B" w:rsidRDefault="00F367FC" w:rsidP="00757EC9">
            <w:pPr>
              <w:pStyle w:val="ExhibitText"/>
              <w:widowControl w:val="0"/>
              <w:jc w:val="left"/>
              <w:rPr>
                <w:sz w:val="18"/>
                <w:szCs w:val="18"/>
                <w:lang w:val="en-GB"/>
              </w:rPr>
            </w:pPr>
            <w:r w:rsidRPr="00CB4F3B">
              <w:rPr>
                <w:sz w:val="18"/>
                <w:szCs w:val="18"/>
                <w:lang w:val="en-GB"/>
              </w:rPr>
              <w:t>Hand</w:t>
            </w:r>
            <w:r w:rsidR="00E42171">
              <w:rPr>
                <w:sz w:val="18"/>
                <w:szCs w:val="18"/>
                <w:lang w:val="en-GB"/>
              </w:rPr>
              <w:t>–</w:t>
            </w:r>
            <w:r w:rsidRPr="00CB4F3B">
              <w:rPr>
                <w:sz w:val="18"/>
                <w:szCs w:val="18"/>
                <w:lang w:val="en-GB"/>
              </w:rPr>
              <w:t>eye coordination, motor skills, and attention</w:t>
            </w:r>
            <w:r w:rsidR="00C20FB4">
              <w:rPr>
                <w:sz w:val="18"/>
                <w:szCs w:val="18"/>
                <w:lang w:val="en-GB"/>
              </w:rPr>
              <w:t>-</w:t>
            </w:r>
            <w:r w:rsidRPr="00CB4F3B">
              <w:rPr>
                <w:sz w:val="18"/>
                <w:szCs w:val="18"/>
                <w:lang w:val="en-GB"/>
              </w:rPr>
              <w:t>span building</w:t>
            </w:r>
          </w:p>
        </w:tc>
        <w:tc>
          <w:tcPr>
            <w:tcW w:w="1615" w:type="dxa"/>
            <w:tcBorders>
              <w:top w:val="single" w:sz="4" w:space="0" w:color="auto"/>
              <w:left w:val="single" w:sz="4" w:space="0" w:color="auto"/>
              <w:bottom w:val="single" w:sz="4" w:space="0" w:color="auto"/>
              <w:right w:val="single" w:sz="4" w:space="0" w:color="auto"/>
            </w:tcBorders>
            <w:vAlign w:val="center"/>
          </w:tcPr>
          <w:p w14:paraId="34E8AEFD" w14:textId="11406D20" w:rsidR="00F367FC" w:rsidRPr="00CB4F3B" w:rsidRDefault="00F367FC" w:rsidP="0081747E">
            <w:pPr>
              <w:pStyle w:val="ExhibitText"/>
              <w:widowControl w:val="0"/>
              <w:rPr>
                <w:sz w:val="18"/>
                <w:szCs w:val="18"/>
                <w:lang w:val="en-GB"/>
              </w:rPr>
            </w:pPr>
            <w:r w:rsidRPr="00CB4F3B">
              <w:rPr>
                <w:sz w:val="18"/>
                <w:szCs w:val="18"/>
                <w:lang w:val="en-GB"/>
              </w:rPr>
              <w:t>Hasbro</w:t>
            </w:r>
          </w:p>
        </w:tc>
      </w:tr>
      <w:tr w:rsidR="00F367FC" w:rsidRPr="00CB4F3B" w14:paraId="173472E0" w14:textId="77777777" w:rsidTr="00AC768E">
        <w:trPr>
          <w:jc w:val="center"/>
        </w:trPr>
        <w:tc>
          <w:tcPr>
            <w:tcW w:w="1705" w:type="dxa"/>
            <w:tcBorders>
              <w:top w:val="single" w:sz="4" w:space="0" w:color="auto"/>
              <w:left w:val="single" w:sz="4" w:space="0" w:color="auto"/>
              <w:bottom w:val="single" w:sz="4" w:space="0" w:color="auto"/>
              <w:right w:val="single" w:sz="4" w:space="0" w:color="auto"/>
            </w:tcBorders>
            <w:vAlign w:val="center"/>
          </w:tcPr>
          <w:p w14:paraId="7EE9DEC8" w14:textId="26D4543E" w:rsidR="00F367FC" w:rsidRPr="00CB4F3B" w:rsidRDefault="00F367FC" w:rsidP="0081747E">
            <w:pPr>
              <w:pStyle w:val="ExhibitText"/>
              <w:widowControl w:val="0"/>
              <w:rPr>
                <w:sz w:val="18"/>
                <w:szCs w:val="18"/>
                <w:lang w:val="en-GB"/>
              </w:rPr>
            </w:pPr>
            <w:r w:rsidRPr="00CB4F3B">
              <w:rPr>
                <w:sz w:val="18"/>
                <w:szCs w:val="18"/>
                <w:lang w:val="en-GB"/>
              </w:rPr>
              <w:t>Clipo</w:t>
            </w:r>
          </w:p>
        </w:tc>
        <w:tc>
          <w:tcPr>
            <w:tcW w:w="2610" w:type="dxa"/>
            <w:tcBorders>
              <w:top w:val="single" w:sz="4" w:space="0" w:color="auto"/>
              <w:left w:val="single" w:sz="4" w:space="0" w:color="auto"/>
              <w:bottom w:val="single" w:sz="4" w:space="0" w:color="auto"/>
              <w:right w:val="single" w:sz="4" w:space="0" w:color="auto"/>
            </w:tcBorders>
            <w:vAlign w:val="center"/>
          </w:tcPr>
          <w:p w14:paraId="6D148C0D" w14:textId="3AB0A657" w:rsidR="00F367FC" w:rsidRPr="00CB4F3B" w:rsidRDefault="00F367FC" w:rsidP="0081747E">
            <w:pPr>
              <w:pStyle w:val="ExhibitText"/>
              <w:widowControl w:val="0"/>
              <w:rPr>
                <w:sz w:val="18"/>
                <w:szCs w:val="18"/>
                <w:lang w:val="en-GB"/>
              </w:rPr>
            </w:pPr>
            <w:r w:rsidRPr="00CB4F3B">
              <w:rPr>
                <w:sz w:val="18"/>
                <w:szCs w:val="18"/>
                <w:lang w:val="en-GB"/>
              </w:rPr>
              <w:t>Construction</w:t>
            </w:r>
          </w:p>
        </w:tc>
        <w:tc>
          <w:tcPr>
            <w:tcW w:w="3420" w:type="dxa"/>
            <w:tcBorders>
              <w:top w:val="single" w:sz="4" w:space="0" w:color="auto"/>
              <w:left w:val="single" w:sz="4" w:space="0" w:color="auto"/>
              <w:bottom w:val="single" w:sz="4" w:space="0" w:color="auto"/>
              <w:right w:val="single" w:sz="4" w:space="0" w:color="auto"/>
            </w:tcBorders>
            <w:vAlign w:val="center"/>
          </w:tcPr>
          <w:p w14:paraId="484DB00E" w14:textId="4420BE58" w:rsidR="00F367FC" w:rsidRPr="00CB4F3B" w:rsidRDefault="00F367FC" w:rsidP="00757EC9">
            <w:pPr>
              <w:pStyle w:val="ExhibitText"/>
              <w:widowControl w:val="0"/>
              <w:jc w:val="left"/>
              <w:rPr>
                <w:sz w:val="18"/>
                <w:szCs w:val="18"/>
                <w:lang w:val="en-GB"/>
              </w:rPr>
            </w:pPr>
            <w:r w:rsidRPr="00CB4F3B">
              <w:rPr>
                <w:sz w:val="18"/>
                <w:szCs w:val="18"/>
                <w:lang w:val="en-GB"/>
              </w:rPr>
              <w:t>Creativity and imagination, hand</w:t>
            </w:r>
            <w:r w:rsidR="00E42171">
              <w:rPr>
                <w:sz w:val="18"/>
                <w:szCs w:val="18"/>
                <w:lang w:val="en-GB"/>
              </w:rPr>
              <w:t>–</w:t>
            </w:r>
            <w:r w:rsidRPr="00CB4F3B">
              <w:rPr>
                <w:sz w:val="18"/>
                <w:szCs w:val="18"/>
                <w:lang w:val="en-GB"/>
              </w:rPr>
              <w:t>eye coordination, and motor skills</w:t>
            </w:r>
          </w:p>
        </w:tc>
        <w:tc>
          <w:tcPr>
            <w:tcW w:w="1615" w:type="dxa"/>
            <w:tcBorders>
              <w:top w:val="single" w:sz="4" w:space="0" w:color="auto"/>
              <w:left w:val="single" w:sz="4" w:space="0" w:color="auto"/>
              <w:bottom w:val="single" w:sz="4" w:space="0" w:color="auto"/>
              <w:right w:val="single" w:sz="4" w:space="0" w:color="auto"/>
            </w:tcBorders>
            <w:vAlign w:val="center"/>
          </w:tcPr>
          <w:p w14:paraId="6767E120" w14:textId="23CB3BD9" w:rsidR="00F367FC" w:rsidRPr="00CB4F3B" w:rsidRDefault="00F367FC" w:rsidP="0081747E">
            <w:pPr>
              <w:pStyle w:val="ExhibitText"/>
              <w:widowControl w:val="0"/>
              <w:rPr>
                <w:sz w:val="18"/>
                <w:szCs w:val="18"/>
                <w:lang w:val="en-GB"/>
              </w:rPr>
            </w:pPr>
            <w:r w:rsidRPr="00CB4F3B">
              <w:rPr>
                <w:sz w:val="18"/>
                <w:szCs w:val="18"/>
                <w:lang w:val="en-GB"/>
              </w:rPr>
              <w:t>Hasbro</w:t>
            </w:r>
          </w:p>
        </w:tc>
      </w:tr>
      <w:tr w:rsidR="00F367FC" w:rsidRPr="00CB4F3B" w14:paraId="3126D8CE" w14:textId="77777777" w:rsidTr="00AC768E">
        <w:trPr>
          <w:jc w:val="center"/>
        </w:trPr>
        <w:tc>
          <w:tcPr>
            <w:tcW w:w="1705" w:type="dxa"/>
            <w:tcBorders>
              <w:top w:val="single" w:sz="4" w:space="0" w:color="auto"/>
              <w:left w:val="single" w:sz="4" w:space="0" w:color="auto"/>
              <w:bottom w:val="single" w:sz="4" w:space="0" w:color="auto"/>
              <w:right w:val="single" w:sz="4" w:space="0" w:color="auto"/>
            </w:tcBorders>
            <w:vAlign w:val="center"/>
          </w:tcPr>
          <w:p w14:paraId="09DFD8E7" w14:textId="46C3B7F1" w:rsidR="00F367FC" w:rsidRPr="00CB4F3B" w:rsidRDefault="00F367FC" w:rsidP="0081747E">
            <w:pPr>
              <w:pStyle w:val="ExhibitText"/>
              <w:widowControl w:val="0"/>
              <w:rPr>
                <w:sz w:val="18"/>
                <w:szCs w:val="18"/>
                <w:lang w:val="en-GB"/>
              </w:rPr>
            </w:pPr>
            <w:r w:rsidRPr="00CB4F3B">
              <w:rPr>
                <w:sz w:val="18"/>
                <w:szCs w:val="18"/>
                <w:lang w:val="en-GB"/>
              </w:rPr>
              <w:t>Crayola</w:t>
            </w:r>
          </w:p>
        </w:tc>
        <w:tc>
          <w:tcPr>
            <w:tcW w:w="2610" w:type="dxa"/>
            <w:tcBorders>
              <w:top w:val="single" w:sz="4" w:space="0" w:color="auto"/>
              <w:left w:val="single" w:sz="4" w:space="0" w:color="auto"/>
              <w:bottom w:val="single" w:sz="4" w:space="0" w:color="auto"/>
              <w:right w:val="single" w:sz="4" w:space="0" w:color="auto"/>
            </w:tcBorders>
            <w:vAlign w:val="center"/>
          </w:tcPr>
          <w:p w14:paraId="6B90CBCA" w14:textId="5D7476A9" w:rsidR="00F367FC" w:rsidRPr="00CB4F3B" w:rsidRDefault="00F367FC" w:rsidP="00757EC9">
            <w:pPr>
              <w:pStyle w:val="ExhibitText"/>
              <w:widowControl w:val="0"/>
              <w:jc w:val="left"/>
              <w:rPr>
                <w:sz w:val="18"/>
                <w:szCs w:val="18"/>
                <w:lang w:val="en-GB"/>
              </w:rPr>
            </w:pPr>
            <w:r w:rsidRPr="00CB4F3B">
              <w:rPr>
                <w:sz w:val="18"/>
                <w:szCs w:val="18"/>
                <w:lang w:val="en-GB"/>
              </w:rPr>
              <w:t>Colouring pages, colouring materials, and pads</w:t>
            </w:r>
          </w:p>
        </w:tc>
        <w:tc>
          <w:tcPr>
            <w:tcW w:w="3420" w:type="dxa"/>
            <w:tcBorders>
              <w:top w:val="single" w:sz="4" w:space="0" w:color="auto"/>
              <w:left w:val="single" w:sz="4" w:space="0" w:color="auto"/>
              <w:bottom w:val="single" w:sz="4" w:space="0" w:color="auto"/>
              <w:right w:val="single" w:sz="4" w:space="0" w:color="auto"/>
            </w:tcBorders>
            <w:vAlign w:val="center"/>
          </w:tcPr>
          <w:p w14:paraId="2CE6F53A" w14:textId="57F910A1" w:rsidR="00F367FC" w:rsidRPr="00CB4F3B" w:rsidRDefault="00F367FC" w:rsidP="00757EC9">
            <w:pPr>
              <w:pStyle w:val="ExhibitText"/>
              <w:widowControl w:val="0"/>
              <w:jc w:val="left"/>
              <w:rPr>
                <w:sz w:val="18"/>
                <w:szCs w:val="18"/>
                <w:lang w:val="en-GB"/>
              </w:rPr>
            </w:pPr>
            <w:r w:rsidRPr="00CB4F3B">
              <w:rPr>
                <w:sz w:val="18"/>
                <w:szCs w:val="18"/>
                <w:lang w:val="en-GB"/>
              </w:rPr>
              <w:t>Creativity, colour recognition, and painting</w:t>
            </w:r>
          </w:p>
        </w:tc>
        <w:tc>
          <w:tcPr>
            <w:tcW w:w="1615" w:type="dxa"/>
            <w:tcBorders>
              <w:top w:val="single" w:sz="4" w:space="0" w:color="auto"/>
              <w:left w:val="single" w:sz="4" w:space="0" w:color="auto"/>
              <w:bottom w:val="single" w:sz="4" w:space="0" w:color="auto"/>
              <w:right w:val="single" w:sz="4" w:space="0" w:color="auto"/>
            </w:tcBorders>
            <w:vAlign w:val="center"/>
          </w:tcPr>
          <w:p w14:paraId="335A7AD4" w14:textId="08FFC529" w:rsidR="00F367FC" w:rsidRPr="00CB4F3B" w:rsidRDefault="00F367FC" w:rsidP="0081747E">
            <w:pPr>
              <w:pStyle w:val="ExhibitText"/>
              <w:widowControl w:val="0"/>
              <w:rPr>
                <w:sz w:val="18"/>
                <w:szCs w:val="18"/>
                <w:lang w:val="en-GB"/>
              </w:rPr>
            </w:pPr>
            <w:r w:rsidRPr="00CB4F3B">
              <w:rPr>
                <w:sz w:val="18"/>
                <w:szCs w:val="18"/>
                <w:lang w:val="en-GB"/>
              </w:rPr>
              <w:t>Crayola</w:t>
            </w:r>
          </w:p>
        </w:tc>
      </w:tr>
      <w:tr w:rsidR="00F367FC" w:rsidRPr="00CB4F3B" w14:paraId="6A82E493" w14:textId="77777777" w:rsidTr="00AC768E">
        <w:trPr>
          <w:jc w:val="center"/>
        </w:trPr>
        <w:tc>
          <w:tcPr>
            <w:tcW w:w="1705" w:type="dxa"/>
            <w:tcBorders>
              <w:top w:val="single" w:sz="4" w:space="0" w:color="auto"/>
              <w:left w:val="single" w:sz="4" w:space="0" w:color="auto"/>
              <w:bottom w:val="single" w:sz="4" w:space="0" w:color="auto"/>
              <w:right w:val="single" w:sz="4" w:space="0" w:color="auto"/>
            </w:tcBorders>
            <w:vAlign w:val="center"/>
          </w:tcPr>
          <w:p w14:paraId="777EDDBE" w14:textId="573B731C" w:rsidR="00F367FC" w:rsidRPr="00CB4F3B" w:rsidRDefault="00F367FC" w:rsidP="0081747E">
            <w:pPr>
              <w:pStyle w:val="ExhibitText"/>
              <w:widowControl w:val="0"/>
              <w:rPr>
                <w:sz w:val="18"/>
                <w:szCs w:val="18"/>
                <w:lang w:val="en-GB"/>
              </w:rPr>
            </w:pPr>
            <w:r w:rsidRPr="00CB4F3B">
              <w:rPr>
                <w:sz w:val="18"/>
                <w:szCs w:val="18"/>
                <w:lang w:val="en-GB"/>
              </w:rPr>
              <w:t>Disney</w:t>
            </w:r>
          </w:p>
        </w:tc>
        <w:tc>
          <w:tcPr>
            <w:tcW w:w="2610" w:type="dxa"/>
            <w:tcBorders>
              <w:top w:val="single" w:sz="4" w:space="0" w:color="auto"/>
              <w:left w:val="single" w:sz="4" w:space="0" w:color="auto"/>
              <w:bottom w:val="single" w:sz="4" w:space="0" w:color="auto"/>
              <w:right w:val="single" w:sz="4" w:space="0" w:color="auto"/>
            </w:tcBorders>
            <w:vAlign w:val="center"/>
          </w:tcPr>
          <w:p w14:paraId="590DA9B9" w14:textId="3732FE33" w:rsidR="00F367FC" w:rsidRPr="00CB4F3B" w:rsidRDefault="00F367FC" w:rsidP="00757EC9">
            <w:pPr>
              <w:pStyle w:val="ExhibitText"/>
              <w:widowControl w:val="0"/>
              <w:jc w:val="left"/>
              <w:rPr>
                <w:sz w:val="18"/>
                <w:szCs w:val="18"/>
                <w:lang w:val="en-GB"/>
              </w:rPr>
            </w:pPr>
            <w:r w:rsidRPr="00CB4F3B">
              <w:rPr>
                <w:sz w:val="18"/>
                <w:szCs w:val="18"/>
                <w:lang w:val="en-GB"/>
              </w:rPr>
              <w:t>Accessories, children</w:t>
            </w:r>
            <w:r w:rsidR="00C20FB4">
              <w:rPr>
                <w:sz w:val="18"/>
                <w:szCs w:val="18"/>
                <w:lang w:val="en-GB"/>
              </w:rPr>
              <w:t>’</w:t>
            </w:r>
            <w:r w:rsidRPr="00CB4F3B">
              <w:rPr>
                <w:sz w:val="18"/>
                <w:szCs w:val="18"/>
                <w:lang w:val="en-GB"/>
              </w:rPr>
              <w:t>s games, and dolls</w:t>
            </w:r>
          </w:p>
        </w:tc>
        <w:tc>
          <w:tcPr>
            <w:tcW w:w="3420" w:type="dxa"/>
            <w:tcBorders>
              <w:top w:val="single" w:sz="4" w:space="0" w:color="auto"/>
              <w:left w:val="single" w:sz="4" w:space="0" w:color="auto"/>
              <w:bottom w:val="single" w:sz="4" w:space="0" w:color="auto"/>
              <w:right w:val="single" w:sz="4" w:space="0" w:color="auto"/>
            </w:tcBorders>
            <w:vAlign w:val="center"/>
          </w:tcPr>
          <w:p w14:paraId="7C350707" w14:textId="3A4EC843" w:rsidR="00F367FC" w:rsidRPr="00CB4F3B" w:rsidRDefault="00F367FC" w:rsidP="00757EC9">
            <w:pPr>
              <w:pStyle w:val="ExhibitText"/>
              <w:widowControl w:val="0"/>
              <w:jc w:val="left"/>
              <w:rPr>
                <w:sz w:val="18"/>
                <w:szCs w:val="18"/>
                <w:lang w:val="en-GB"/>
              </w:rPr>
            </w:pPr>
            <w:r w:rsidRPr="00CB4F3B">
              <w:rPr>
                <w:sz w:val="18"/>
                <w:szCs w:val="18"/>
                <w:lang w:val="en-GB"/>
              </w:rPr>
              <w:t>Social skills, hand</w:t>
            </w:r>
            <w:r w:rsidR="00E42171">
              <w:rPr>
                <w:sz w:val="18"/>
                <w:szCs w:val="18"/>
                <w:lang w:val="en-GB"/>
              </w:rPr>
              <w:t>–</w:t>
            </w:r>
            <w:r w:rsidRPr="00CB4F3B">
              <w:rPr>
                <w:sz w:val="18"/>
                <w:szCs w:val="18"/>
                <w:lang w:val="en-GB"/>
              </w:rPr>
              <w:t>eye coordination, and sensory development</w:t>
            </w:r>
          </w:p>
        </w:tc>
        <w:tc>
          <w:tcPr>
            <w:tcW w:w="1615" w:type="dxa"/>
            <w:tcBorders>
              <w:top w:val="single" w:sz="4" w:space="0" w:color="auto"/>
              <w:left w:val="single" w:sz="4" w:space="0" w:color="auto"/>
              <w:bottom w:val="single" w:sz="4" w:space="0" w:color="auto"/>
              <w:right w:val="single" w:sz="4" w:space="0" w:color="auto"/>
            </w:tcBorders>
            <w:vAlign w:val="center"/>
          </w:tcPr>
          <w:p w14:paraId="195B9C2B" w14:textId="6EB63CD0" w:rsidR="00F367FC" w:rsidRPr="00CB4F3B" w:rsidRDefault="00F367FC" w:rsidP="0081747E">
            <w:pPr>
              <w:pStyle w:val="ExhibitText"/>
              <w:widowControl w:val="0"/>
              <w:rPr>
                <w:sz w:val="18"/>
                <w:szCs w:val="18"/>
                <w:lang w:val="en-GB"/>
              </w:rPr>
            </w:pPr>
            <w:r w:rsidRPr="00CB4F3B">
              <w:rPr>
                <w:sz w:val="18"/>
                <w:szCs w:val="18"/>
                <w:lang w:val="en-GB"/>
              </w:rPr>
              <w:t>Disney</w:t>
            </w:r>
          </w:p>
        </w:tc>
      </w:tr>
      <w:tr w:rsidR="00F367FC" w:rsidRPr="00CB4F3B" w14:paraId="25184CBA" w14:textId="77777777" w:rsidTr="00AC768E">
        <w:trPr>
          <w:jc w:val="center"/>
        </w:trPr>
        <w:tc>
          <w:tcPr>
            <w:tcW w:w="1705" w:type="dxa"/>
            <w:tcBorders>
              <w:top w:val="single" w:sz="4" w:space="0" w:color="auto"/>
              <w:left w:val="single" w:sz="4" w:space="0" w:color="auto"/>
              <w:bottom w:val="single" w:sz="4" w:space="0" w:color="auto"/>
              <w:right w:val="single" w:sz="4" w:space="0" w:color="auto"/>
            </w:tcBorders>
            <w:vAlign w:val="center"/>
          </w:tcPr>
          <w:p w14:paraId="4B51D6A1" w14:textId="6047EC39" w:rsidR="00F367FC" w:rsidRPr="00CB4F3B" w:rsidRDefault="00F367FC" w:rsidP="0081747E">
            <w:pPr>
              <w:pStyle w:val="ExhibitText"/>
              <w:widowControl w:val="0"/>
              <w:rPr>
                <w:sz w:val="18"/>
                <w:szCs w:val="18"/>
                <w:lang w:val="en-GB"/>
              </w:rPr>
            </w:pPr>
            <w:r w:rsidRPr="00CB4F3B">
              <w:rPr>
                <w:sz w:val="18"/>
                <w:szCs w:val="18"/>
                <w:lang w:val="en-GB"/>
              </w:rPr>
              <w:t>Dora</w:t>
            </w:r>
          </w:p>
        </w:tc>
        <w:tc>
          <w:tcPr>
            <w:tcW w:w="2610" w:type="dxa"/>
            <w:tcBorders>
              <w:top w:val="single" w:sz="4" w:space="0" w:color="auto"/>
              <w:left w:val="single" w:sz="4" w:space="0" w:color="auto"/>
              <w:bottom w:val="single" w:sz="4" w:space="0" w:color="auto"/>
              <w:right w:val="single" w:sz="4" w:space="0" w:color="auto"/>
            </w:tcBorders>
            <w:vAlign w:val="center"/>
          </w:tcPr>
          <w:p w14:paraId="1DA3B52F" w14:textId="423E3FDE" w:rsidR="00F367FC" w:rsidRPr="00CB4F3B" w:rsidRDefault="00F367FC" w:rsidP="0081747E">
            <w:pPr>
              <w:pStyle w:val="ExhibitText"/>
              <w:widowControl w:val="0"/>
              <w:rPr>
                <w:sz w:val="18"/>
                <w:szCs w:val="18"/>
                <w:lang w:val="en-GB"/>
              </w:rPr>
            </w:pPr>
            <w:r w:rsidRPr="00CB4F3B">
              <w:rPr>
                <w:sz w:val="18"/>
                <w:szCs w:val="18"/>
                <w:lang w:val="en-GB"/>
              </w:rPr>
              <w:t>Puzzles</w:t>
            </w:r>
          </w:p>
        </w:tc>
        <w:tc>
          <w:tcPr>
            <w:tcW w:w="3420" w:type="dxa"/>
            <w:tcBorders>
              <w:top w:val="single" w:sz="4" w:space="0" w:color="auto"/>
              <w:left w:val="single" w:sz="4" w:space="0" w:color="auto"/>
              <w:bottom w:val="single" w:sz="4" w:space="0" w:color="auto"/>
              <w:right w:val="single" w:sz="4" w:space="0" w:color="auto"/>
            </w:tcBorders>
            <w:vAlign w:val="center"/>
          </w:tcPr>
          <w:p w14:paraId="2C6A859F" w14:textId="7B659518" w:rsidR="00F367FC" w:rsidRPr="00CB4F3B" w:rsidRDefault="00F367FC" w:rsidP="00757EC9">
            <w:pPr>
              <w:pStyle w:val="ExhibitText"/>
              <w:widowControl w:val="0"/>
              <w:jc w:val="left"/>
              <w:rPr>
                <w:sz w:val="18"/>
                <w:szCs w:val="18"/>
                <w:lang w:val="en-GB"/>
              </w:rPr>
            </w:pPr>
            <w:r w:rsidRPr="00CB4F3B">
              <w:rPr>
                <w:sz w:val="18"/>
                <w:szCs w:val="18"/>
                <w:lang w:val="en-GB"/>
              </w:rPr>
              <w:t>Shape recognition, memory development, and hand</w:t>
            </w:r>
            <w:r w:rsidR="00E42171">
              <w:rPr>
                <w:sz w:val="18"/>
                <w:szCs w:val="18"/>
                <w:lang w:val="en-GB"/>
              </w:rPr>
              <w:t>–</w:t>
            </w:r>
            <w:r w:rsidRPr="00CB4F3B">
              <w:rPr>
                <w:sz w:val="18"/>
                <w:szCs w:val="18"/>
                <w:lang w:val="en-GB"/>
              </w:rPr>
              <w:t>eye coordination</w:t>
            </w:r>
          </w:p>
        </w:tc>
        <w:tc>
          <w:tcPr>
            <w:tcW w:w="1615" w:type="dxa"/>
            <w:tcBorders>
              <w:top w:val="single" w:sz="4" w:space="0" w:color="auto"/>
              <w:left w:val="single" w:sz="4" w:space="0" w:color="auto"/>
              <w:bottom w:val="single" w:sz="4" w:space="0" w:color="auto"/>
              <w:right w:val="single" w:sz="4" w:space="0" w:color="auto"/>
            </w:tcBorders>
            <w:vAlign w:val="center"/>
          </w:tcPr>
          <w:p w14:paraId="0D94EB6C" w14:textId="4A105D18" w:rsidR="00F367FC" w:rsidRPr="00CB4F3B" w:rsidRDefault="00F367FC" w:rsidP="0081747E">
            <w:pPr>
              <w:pStyle w:val="ExhibitText"/>
              <w:widowControl w:val="0"/>
              <w:rPr>
                <w:sz w:val="18"/>
                <w:szCs w:val="18"/>
                <w:lang w:val="en-GB"/>
              </w:rPr>
            </w:pPr>
            <w:r w:rsidRPr="00CB4F3B">
              <w:rPr>
                <w:sz w:val="18"/>
                <w:szCs w:val="18"/>
                <w:lang w:val="en-GB"/>
              </w:rPr>
              <w:t>Nickelodeon</w:t>
            </w:r>
          </w:p>
        </w:tc>
      </w:tr>
      <w:tr w:rsidR="00F367FC" w:rsidRPr="00CB4F3B" w14:paraId="25221563" w14:textId="77777777" w:rsidTr="00AC768E">
        <w:trPr>
          <w:jc w:val="center"/>
        </w:trPr>
        <w:tc>
          <w:tcPr>
            <w:tcW w:w="1705" w:type="dxa"/>
            <w:tcBorders>
              <w:top w:val="single" w:sz="4" w:space="0" w:color="auto"/>
              <w:left w:val="single" w:sz="4" w:space="0" w:color="auto"/>
              <w:bottom w:val="single" w:sz="4" w:space="0" w:color="auto"/>
              <w:right w:val="single" w:sz="4" w:space="0" w:color="auto"/>
            </w:tcBorders>
            <w:vAlign w:val="center"/>
          </w:tcPr>
          <w:p w14:paraId="4DE8B0F4" w14:textId="70D03317" w:rsidR="00F367FC" w:rsidRPr="00CB4F3B" w:rsidRDefault="00F367FC" w:rsidP="0081747E">
            <w:pPr>
              <w:pStyle w:val="ExhibitText"/>
              <w:widowControl w:val="0"/>
              <w:rPr>
                <w:sz w:val="18"/>
                <w:szCs w:val="18"/>
                <w:lang w:val="en-GB"/>
              </w:rPr>
            </w:pPr>
            <w:r w:rsidRPr="00CB4F3B">
              <w:rPr>
                <w:sz w:val="18"/>
                <w:szCs w:val="18"/>
                <w:lang w:val="en-GB"/>
              </w:rPr>
              <w:t>Endless Games</w:t>
            </w:r>
          </w:p>
        </w:tc>
        <w:tc>
          <w:tcPr>
            <w:tcW w:w="2610" w:type="dxa"/>
            <w:tcBorders>
              <w:top w:val="single" w:sz="4" w:space="0" w:color="auto"/>
              <w:left w:val="single" w:sz="4" w:space="0" w:color="auto"/>
              <w:bottom w:val="single" w:sz="4" w:space="0" w:color="auto"/>
              <w:right w:val="single" w:sz="4" w:space="0" w:color="auto"/>
            </w:tcBorders>
            <w:vAlign w:val="center"/>
          </w:tcPr>
          <w:p w14:paraId="72D97141" w14:textId="7E44DD3B" w:rsidR="00F367FC" w:rsidRPr="00CB4F3B" w:rsidRDefault="00F367FC" w:rsidP="0081747E">
            <w:pPr>
              <w:pStyle w:val="ExhibitText"/>
              <w:widowControl w:val="0"/>
              <w:rPr>
                <w:sz w:val="18"/>
                <w:szCs w:val="18"/>
                <w:lang w:val="en-GB"/>
              </w:rPr>
            </w:pPr>
            <w:r w:rsidRPr="00CB4F3B">
              <w:rPr>
                <w:sz w:val="18"/>
                <w:szCs w:val="18"/>
                <w:lang w:val="en-GB"/>
              </w:rPr>
              <w:t>Party and fun games</w:t>
            </w:r>
          </w:p>
        </w:tc>
        <w:tc>
          <w:tcPr>
            <w:tcW w:w="3420" w:type="dxa"/>
            <w:tcBorders>
              <w:top w:val="single" w:sz="4" w:space="0" w:color="auto"/>
              <w:left w:val="single" w:sz="4" w:space="0" w:color="auto"/>
              <w:bottom w:val="single" w:sz="4" w:space="0" w:color="auto"/>
              <w:right w:val="single" w:sz="4" w:space="0" w:color="auto"/>
            </w:tcBorders>
            <w:vAlign w:val="center"/>
          </w:tcPr>
          <w:p w14:paraId="1ADACB0B" w14:textId="32E82595" w:rsidR="00F367FC" w:rsidRPr="00CB4F3B" w:rsidRDefault="00F367FC" w:rsidP="00757EC9">
            <w:pPr>
              <w:pStyle w:val="ExhibitText"/>
              <w:widowControl w:val="0"/>
              <w:jc w:val="left"/>
              <w:rPr>
                <w:sz w:val="18"/>
                <w:szCs w:val="18"/>
                <w:lang w:val="en-GB"/>
              </w:rPr>
            </w:pPr>
            <w:r w:rsidRPr="00CB4F3B">
              <w:rPr>
                <w:sz w:val="18"/>
                <w:szCs w:val="18"/>
                <w:lang w:val="en-GB"/>
              </w:rPr>
              <w:t>Problem solving, curiosity building, and social skills</w:t>
            </w:r>
          </w:p>
        </w:tc>
        <w:tc>
          <w:tcPr>
            <w:tcW w:w="1615" w:type="dxa"/>
            <w:tcBorders>
              <w:top w:val="single" w:sz="4" w:space="0" w:color="auto"/>
              <w:left w:val="single" w:sz="4" w:space="0" w:color="auto"/>
              <w:bottom w:val="single" w:sz="4" w:space="0" w:color="auto"/>
              <w:right w:val="single" w:sz="4" w:space="0" w:color="auto"/>
            </w:tcBorders>
            <w:vAlign w:val="center"/>
          </w:tcPr>
          <w:p w14:paraId="56AC255C" w14:textId="0EF6966E" w:rsidR="00F367FC" w:rsidRPr="00CB4F3B" w:rsidRDefault="00F367FC" w:rsidP="0081747E">
            <w:pPr>
              <w:pStyle w:val="ExhibitText"/>
              <w:widowControl w:val="0"/>
              <w:rPr>
                <w:sz w:val="18"/>
                <w:szCs w:val="18"/>
                <w:lang w:val="en-GB"/>
              </w:rPr>
            </w:pPr>
            <w:r w:rsidRPr="00CB4F3B">
              <w:rPr>
                <w:sz w:val="18"/>
                <w:szCs w:val="18"/>
                <w:lang w:val="en-GB"/>
              </w:rPr>
              <w:t>Endless Games</w:t>
            </w:r>
          </w:p>
        </w:tc>
      </w:tr>
      <w:tr w:rsidR="00F367FC" w:rsidRPr="00CB4F3B" w14:paraId="622B9733" w14:textId="77777777" w:rsidTr="00AC768E">
        <w:trPr>
          <w:jc w:val="center"/>
        </w:trPr>
        <w:tc>
          <w:tcPr>
            <w:tcW w:w="1705" w:type="dxa"/>
            <w:tcBorders>
              <w:top w:val="single" w:sz="4" w:space="0" w:color="auto"/>
              <w:left w:val="single" w:sz="4" w:space="0" w:color="auto"/>
              <w:bottom w:val="single" w:sz="4" w:space="0" w:color="auto"/>
              <w:right w:val="single" w:sz="4" w:space="0" w:color="auto"/>
            </w:tcBorders>
            <w:vAlign w:val="center"/>
          </w:tcPr>
          <w:p w14:paraId="782EBAB3" w14:textId="16F51508" w:rsidR="00F367FC" w:rsidRPr="00CB4F3B" w:rsidRDefault="00F367FC" w:rsidP="0081747E">
            <w:pPr>
              <w:pStyle w:val="ExhibitText"/>
              <w:widowControl w:val="0"/>
              <w:rPr>
                <w:sz w:val="18"/>
                <w:szCs w:val="18"/>
                <w:lang w:val="en-GB"/>
              </w:rPr>
            </w:pPr>
            <w:r w:rsidRPr="00CB4F3B">
              <w:rPr>
                <w:sz w:val="18"/>
                <w:szCs w:val="18"/>
                <w:lang w:val="en-GB"/>
              </w:rPr>
              <w:t>F</w:t>
            </w:r>
            <w:r w:rsidR="00757EC9">
              <w:rPr>
                <w:sz w:val="18"/>
                <w:szCs w:val="18"/>
                <w:lang w:val="en-GB"/>
              </w:rPr>
              <w:t>unD</w:t>
            </w:r>
            <w:r w:rsidRPr="00CB4F3B">
              <w:rPr>
                <w:sz w:val="18"/>
                <w:szCs w:val="18"/>
                <w:lang w:val="en-GB"/>
              </w:rPr>
              <w:t>o</w:t>
            </w:r>
            <w:r w:rsidR="00757EC9">
              <w:rPr>
                <w:sz w:val="18"/>
                <w:szCs w:val="18"/>
                <w:lang w:val="en-GB"/>
              </w:rPr>
              <w:t>ug</w:t>
            </w:r>
            <w:r w:rsidRPr="00CB4F3B">
              <w:rPr>
                <w:sz w:val="18"/>
                <w:szCs w:val="18"/>
                <w:lang w:val="en-GB"/>
              </w:rPr>
              <w:t>h</w:t>
            </w:r>
          </w:p>
        </w:tc>
        <w:tc>
          <w:tcPr>
            <w:tcW w:w="2610" w:type="dxa"/>
            <w:tcBorders>
              <w:top w:val="single" w:sz="4" w:space="0" w:color="auto"/>
              <w:left w:val="single" w:sz="4" w:space="0" w:color="auto"/>
              <w:bottom w:val="single" w:sz="4" w:space="0" w:color="auto"/>
              <w:right w:val="single" w:sz="4" w:space="0" w:color="auto"/>
            </w:tcBorders>
            <w:vAlign w:val="center"/>
          </w:tcPr>
          <w:p w14:paraId="33BD593E" w14:textId="00814E10" w:rsidR="00F367FC" w:rsidRPr="00CB4F3B" w:rsidRDefault="00F367FC" w:rsidP="0081747E">
            <w:pPr>
              <w:pStyle w:val="ExhibitText"/>
              <w:widowControl w:val="0"/>
              <w:rPr>
                <w:sz w:val="18"/>
                <w:szCs w:val="18"/>
                <w:lang w:val="en-GB"/>
              </w:rPr>
            </w:pPr>
            <w:r w:rsidRPr="00CB4F3B">
              <w:rPr>
                <w:sz w:val="18"/>
                <w:szCs w:val="18"/>
                <w:lang w:val="en-GB"/>
              </w:rPr>
              <w:t>Art and crafts</w:t>
            </w:r>
          </w:p>
        </w:tc>
        <w:tc>
          <w:tcPr>
            <w:tcW w:w="3420" w:type="dxa"/>
            <w:tcBorders>
              <w:top w:val="single" w:sz="4" w:space="0" w:color="auto"/>
              <w:left w:val="single" w:sz="4" w:space="0" w:color="auto"/>
              <w:bottom w:val="single" w:sz="4" w:space="0" w:color="auto"/>
              <w:right w:val="single" w:sz="4" w:space="0" w:color="auto"/>
            </w:tcBorders>
            <w:vAlign w:val="center"/>
          </w:tcPr>
          <w:p w14:paraId="02156EE0" w14:textId="0315A2FF" w:rsidR="00F367FC" w:rsidRPr="00CB4F3B" w:rsidRDefault="00F367FC" w:rsidP="00757EC9">
            <w:pPr>
              <w:pStyle w:val="ExhibitText"/>
              <w:widowControl w:val="0"/>
              <w:jc w:val="left"/>
              <w:rPr>
                <w:sz w:val="18"/>
                <w:szCs w:val="18"/>
                <w:lang w:val="en-GB"/>
              </w:rPr>
            </w:pPr>
            <w:r w:rsidRPr="00CB4F3B">
              <w:rPr>
                <w:sz w:val="18"/>
                <w:szCs w:val="18"/>
                <w:lang w:val="en-GB"/>
              </w:rPr>
              <w:t>Creativity, imagination, and hand</w:t>
            </w:r>
            <w:r w:rsidR="00E42171">
              <w:rPr>
                <w:sz w:val="18"/>
                <w:szCs w:val="18"/>
                <w:lang w:val="en-GB"/>
              </w:rPr>
              <w:t>–</w:t>
            </w:r>
            <w:r w:rsidRPr="00CB4F3B">
              <w:rPr>
                <w:sz w:val="18"/>
                <w:szCs w:val="18"/>
                <w:lang w:val="en-GB"/>
              </w:rPr>
              <w:t xml:space="preserve">eye coordination </w:t>
            </w:r>
          </w:p>
        </w:tc>
        <w:tc>
          <w:tcPr>
            <w:tcW w:w="1615" w:type="dxa"/>
            <w:tcBorders>
              <w:top w:val="single" w:sz="4" w:space="0" w:color="auto"/>
              <w:left w:val="single" w:sz="4" w:space="0" w:color="auto"/>
              <w:bottom w:val="single" w:sz="4" w:space="0" w:color="auto"/>
              <w:right w:val="single" w:sz="4" w:space="0" w:color="auto"/>
            </w:tcBorders>
            <w:vAlign w:val="center"/>
          </w:tcPr>
          <w:p w14:paraId="0B4B4891" w14:textId="3901F71A" w:rsidR="00F367FC" w:rsidRPr="00CB4F3B" w:rsidRDefault="00F367FC" w:rsidP="0081747E">
            <w:pPr>
              <w:pStyle w:val="ExhibitText"/>
              <w:widowControl w:val="0"/>
              <w:rPr>
                <w:sz w:val="18"/>
                <w:szCs w:val="18"/>
                <w:lang w:val="en-GB"/>
              </w:rPr>
            </w:pPr>
            <w:r w:rsidRPr="00CB4F3B">
              <w:rPr>
                <w:sz w:val="18"/>
                <w:szCs w:val="18"/>
                <w:lang w:val="en-GB"/>
              </w:rPr>
              <w:t>Funskool</w:t>
            </w:r>
          </w:p>
        </w:tc>
      </w:tr>
      <w:tr w:rsidR="00F367FC" w:rsidRPr="00CB4F3B" w14:paraId="45E3ADAD" w14:textId="77777777" w:rsidTr="00AC768E">
        <w:trPr>
          <w:jc w:val="center"/>
        </w:trPr>
        <w:tc>
          <w:tcPr>
            <w:tcW w:w="1705" w:type="dxa"/>
            <w:tcBorders>
              <w:top w:val="single" w:sz="4" w:space="0" w:color="auto"/>
              <w:left w:val="single" w:sz="4" w:space="0" w:color="auto"/>
              <w:bottom w:val="single" w:sz="4" w:space="0" w:color="auto"/>
              <w:right w:val="single" w:sz="4" w:space="0" w:color="auto"/>
            </w:tcBorders>
            <w:vAlign w:val="center"/>
          </w:tcPr>
          <w:p w14:paraId="77F914EF" w14:textId="1B7180E1" w:rsidR="00F367FC" w:rsidRPr="00CB4F3B" w:rsidRDefault="00F367FC" w:rsidP="0081747E">
            <w:pPr>
              <w:pStyle w:val="ExhibitText"/>
              <w:widowControl w:val="0"/>
              <w:rPr>
                <w:sz w:val="18"/>
                <w:szCs w:val="18"/>
                <w:lang w:val="en-GB"/>
              </w:rPr>
            </w:pPr>
            <w:r w:rsidRPr="00CB4F3B">
              <w:rPr>
                <w:sz w:val="18"/>
                <w:szCs w:val="18"/>
                <w:lang w:val="en-GB"/>
              </w:rPr>
              <w:t>Furby</w:t>
            </w:r>
          </w:p>
        </w:tc>
        <w:tc>
          <w:tcPr>
            <w:tcW w:w="2610" w:type="dxa"/>
            <w:tcBorders>
              <w:top w:val="single" w:sz="4" w:space="0" w:color="auto"/>
              <w:left w:val="single" w:sz="4" w:space="0" w:color="auto"/>
              <w:bottom w:val="single" w:sz="4" w:space="0" w:color="auto"/>
              <w:right w:val="single" w:sz="4" w:space="0" w:color="auto"/>
            </w:tcBorders>
            <w:vAlign w:val="center"/>
          </w:tcPr>
          <w:p w14:paraId="29A4FDBA" w14:textId="6C6A08CF" w:rsidR="00F367FC" w:rsidRPr="00CB4F3B" w:rsidRDefault="00F367FC" w:rsidP="0081747E">
            <w:pPr>
              <w:pStyle w:val="ExhibitText"/>
              <w:widowControl w:val="0"/>
              <w:rPr>
                <w:sz w:val="18"/>
                <w:szCs w:val="18"/>
                <w:lang w:val="en-GB"/>
              </w:rPr>
            </w:pPr>
            <w:r w:rsidRPr="00CB4F3B">
              <w:rPr>
                <w:sz w:val="18"/>
                <w:szCs w:val="18"/>
                <w:lang w:val="en-GB"/>
              </w:rPr>
              <w:t>Electronic toys</w:t>
            </w:r>
          </w:p>
        </w:tc>
        <w:tc>
          <w:tcPr>
            <w:tcW w:w="3420" w:type="dxa"/>
            <w:tcBorders>
              <w:top w:val="single" w:sz="4" w:space="0" w:color="auto"/>
              <w:left w:val="single" w:sz="4" w:space="0" w:color="auto"/>
              <w:bottom w:val="single" w:sz="4" w:space="0" w:color="auto"/>
              <w:right w:val="single" w:sz="4" w:space="0" w:color="auto"/>
            </w:tcBorders>
            <w:vAlign w:val="center"/>
          </w:tcPr>
          <w:p w14:paraId="39A68770" w14:textId="3AE0DB92" w:rsidR="00F367FC" w:rsidRPr="00CB4F3B" w:rsidRDefault="00F367FC" w:rsidP="00757EC9">
            <w:pPr>
              <w:pStyle w:val="ExhibitText"/>
              <w:widowControl w:val="0"/>
              <w:jc w:val="left"/>
              <w:rPr>
                <w:sz w:val="18"/>
                <w:szCs w:val="18"/>
                <w:lang w:val="en-GB"/>
              </w:rPr>
            </w:pPr>
            <w:r w:rsidRPr="00CB4F3B">
              <w:rPr>
                <w:sz w:val="18"/>
                <w:szCs w:val="18"/>
                <w:lang w:val="en-GB"/>
              </w:rPr>
              <w:t>Sensory development and interactive</w:t>
            </w:r>
          </w:p>
        </w:tc>
        <w:tc>
          <w:tcPr>
            <w:tcW w:w="1615" w:type="dxa"/>
            <w:tcBorders>
              <w:top w:val="single" w:sz="4" w:space="0" w:color="auto"/>
              <w:left w:val="single" w:sz="4" w:space="0" w:color="auto"/>
              <w:bottom w:val="single" w:sz="4" w:space="0" w:color="auto"/>
              <w:right w:val="single" w:sz="4" w:space="0" w:color="auto"/>
            </w:tcBorders>
            <w:vAlign w:val="center"/>
          </w:tcPr>
          <w:p w14:paraId="44A69660" w14:textId="5F5438F1" w:rsidR="00F367FC" w:rsidRPr="00CB4F3B" w:rsidRDefault="00F367FC" w:rsidP="0081747E">
            <w:pPr>
              <w:pStyle w:val="ExhibitText"/>
              <w:widowControl w:val="0"/>
              <w:rPr>
                <w:sz w:val="18"/>
                <w:szCs w:val="18"/>
                <w:lang w:val="en-GB"/>
              </w:rPr>
            </w:pPr>
            <w:r w:rsidRPr="00CB4F3B">
              <w:rPr>
                <w:sz w:val="18"/>
                <w:szCs w:val="18"/>
                <w:lang w:val="en-GB"/>
              </w:rPr>
              <w:t>Hasbro</w:t>
            </w:r>
          </w:p>
        </w:tc>
      </w:tr>
      <w:tr w:rsidR="00F367FC" w:rsidRPr="00CB4F3B" w14:paraId="29EFC620" w14:textId="77777777" w:rsidTr="00AC768E">
        <w:trPr>
          <w:jc w:val="center"/>
        </w:trPr>
        <w:tc>
          <w:tcPr>
            <w:tcW w:w="1705" w:type="dxa"/>
            <w:tcBorders>
              <w:top w:val="single" w:sz="4" w:space="0" w:color="auto"/>
              <w:left w:val="single" w:sz="4" w:space="0" w:color="auto"/>
              <w:bottom w:val="single" w:sz="4" w:space="0" w:color="auto"/>
              <w:right w:val="single" w:sz="4" w:space="0" w:color="auto"/>
            </w:tcBorders>
            <w:vAlign w:val="center"/>
          </w:tcPr>
          <w:p w14:paraId="01A501EE" w14:textId="40850FEE" w:rsidR="00F367FC" w:rsidRPr="00CB4F3B" w:rsidRDefault="00F367FC" w:rsidP="0081747E">
            <w:pPr>
              <w:pStyle w:val="ExhibitText"/>
              <w:widowControl w:val="0"/>
              <w:rPr>
                <w:sz w:val="18"/>
                <w:szCs w:val="18"/>
                <w:lang w:val="en-GB"/>
              </w:rPr>
            </w:pPr>
            <w:r w:rsidRPr="00CB4F3B">
              <w:rPr>
                <w:sz w:val="18"/>
                <w:szCs w:val="18"/>
                <w:lang w:val="en-GB"/>
              </w:rPr>
              <w:t>Giggles</w:t>
            </w:r>
          </w:p>
        </w:tc>
        <w:tc>
          <w:tcPr>
            <w:tcW w:w="2610" w:type="dxa"/>
            <w:tcBorders>
              <w:top w:val="single" w:sz="4" w:space="0" w:color="auto"/>
              <w:left w:val="single" w:sz="4" w:space="0" w:color="auto"/>
              <w:bottom w:val="single" w:sz="4" w:space="0" w:color="auto"/>
              <w:right w:val="single" w:sz="4" w:space="0" w:color="auto"/>
            </w:tcBorders>
            <w:vAlign w:val="center"/>
          </w:tcPr>
          <w:p w14:paraId="3247B7DE" w14:textId="4BC0F8F3" w:rsidR="00F367FC" w:rsidRPr="00CB4F3B" w:rsidRDefault="00F367FC" w:rsidP="0081747E">
            <w:pPr>
              <w:pStyle w:val="ExhibitText"/>
              <w:widowControl w:val="0"/>
              <w:rPr>
                <w:sz w:val="18"/>
                <w:szCs w:val="18"/>
                <w:lang w:val="en-GB"/>
              </w:rPr>
            </w:pPr>
            <w:r w:rsidRPr="00CB4F3B">
              <w:rPr>
                <w:sz w:val="18"/>
                <w:szCs w:val="18"/>
                <w:lang w:val="en-GB"/>
              </w:rPr>
              <w:t>Teethers</w:t>
            </w:r>
          </w:p>
        </w:tc>
        <w:tc>
          <w:tcPr>
            <w:tcW w:w="3420" w:type="dxa"/>
            <w:tcBorders>
              <w:top w:val="single" w:sz="4" w:space="0" w:color="auto"/>
              <w:left w:val="single" w:sz="4" w:space="0" w:color="auto"/>
              <w:bottom w:val="single" w:sz="4" w:space="0" w:color="auto"/>
              <w:right w:val="single" w:sz="4" w:space="0" w:color="auto"/>
            </w:tcBorders>
            <w:vAlign w:val="center"/>
          </w:tcPr>
          <w:p w14:paraId="0465802B" w14:textId="451B53CD" w:rsidR="00F367FC" w:rsidRPr="00CB4F3B" w:rsidRDefault="00F367FC" w:rsidP="00757EC9">
            <w:pPr>
              <w:pStyle w:val="ExhibitText"/>
              <w:widowControl w:val="0"/>
              <w:jc w:val="left"/>
              <w:rPr>
                <w:sz w:val="18"/>
                <w:szCs w:val="18"/>
                <w:lang w:val="en-GB"/>
              </w:rPr>
            </w:pPr>
            <w:r w:rsidRPr="00CB4F3B">
              <w:rPr>
                <w:sz w:val="18"/>
                <w:szCs w:val="18"/>
                <w:lang w:val="en-GB"/>
              </w:rPr>
              <w:t>Motor skills and multiple-sensory development</w:t>
            </w:r>
          </w:p>
        </w:tc>
        <w:tc>
          <w:tcPr>
            <w:tcW w:w="1615" w:type="dxa"/>
            <w:tcBorders>
              <w:top w:val="single" w:sz="4" w:space="0" w:color="auto"/>
              <w:left w:val="single" w:sz="4" w:space="0" w:color="auto"/>
              <w:bottom w:val="single" w:sz="4" w:space="0" w:color="auto"/>
              <w:right w:val="single" w:sz="4" w:space="0" w:color="auto"/>
            </w:tcBorders>
            <w:vAlign w:val="center"/>
          </w:tcPr>
          <w:p w14:paraId="44F2994C" w14:textId="446AAAED" w:rsidR="00F367FC" w:rsidRPr="00CB4F3B" w:rsidRDefault="00F367FC" w:rsidP="0081747E">
            <w:pPr>
              <w:pStyle w:val="ExhibitText"/>
              <w:widowControl w:val="0"/>
              <w:rPr>
                <w:sz w:val="18"/>
                <w:szCs w:val="18"/>
                <w:lang w:val="en-GB"/>
              </w:rPr>
            </w:pPr>
            <w:r w:rsidRPr="00CB4F3B">
              <w:rPr>
                <w:sz w:val="18"/>
                <w:szCs w:val="18"/>
                <w:lang w:val="en-GB"/>
              </w:rPr>
              <w:t>Funskool</w:t>
            </w:r>
          </w:p>
        </w:tc>
      </w:tr>
      <w:tr w:rsidR="00F367FC" w:rsidRPr="00CB4F3B" w14:paraId="65D7220E" w14:textId="77777777" w:rsidTr="00AC768E">
        <w:trPr>
          <w:jc w:val="center"/>
        </w:trPr>
        <w:tc>
          <w:tcPr>
            <w:tcW w:w="1705" w:type="dxa"/>
            <w:tcBorders>
              <w:top w:val="single" w:sz="4" w:space="0" w:color="auto"/>
              <w:left w:val="single" w:sz="4" w:space="0" w:color="auto"/>
              <w:bottom w:val="single" w:sz="4" w:space="0" w:color="auto"/>
              <w:right w:val="single" w:sz="4" w:space="0" w:color="auto"/>
            </w:tcBorders>
            <w:vAlign w:val="center"/>
          </w:tcPr>
          <w:p w14:paraId="1010A8B3" w14:textId="4B2C1C91" w:rsidR="00F367FC" w:rsidRPr="00CB4F3B" w:rsidRDefault="00F367FC" w:rsidP="0081747E">
            <w:pPr>
              <w:pStyle w:val="ExhibitText"/>
              <w:widowControl w:val="0"/>
              <w:rPr>
                <w:sz w:val="18"/>
                <w:szCs w:val="18"/>
                <w:lang w:val="en-GB"/>
              </w:rPr>
            </w:pPr>
            <w:r w:rsidRPr="00CB4F3B">
              <w:rPr>
                <w:sz w:val="18"/>
                <w:szCs w:val="18"/>
                <w:lang w:val="en-GB"/>
              </w:rPr>
              <w:t>Handycrafts</w:t>
            </w:r>
          </w:p>
        </w:tc>
        <w:tc>
          <w:tcPr>
            <w:tcW w:w="2610" w:type="dxa"/>
            <w:tcBorders>
              <w:top w:val="single" w:sz="4" w:space="0" w:color="auto"/>
              <w:left w:val="single" w:sz="4" w:space="0" w:color="auto"/>
              <w:bottom w:val="single" w:sz="4" w:space="0" w:color="auto"/>
              <w:right w:val="single" w:sz="4" w:space="0" w:color="auto"/>
            </w:tcBorders>
            <w:vAlign w:val="center"/>
          </w:tcPr>
          <w:p w14:paraId="6A24A26F" w14:textId="7650B1AD" w:rsidR="00F367FC" w:rsidRPr="00CB4F3B" w:rsidRDefault="00F367FC" w:rsidP="0081747E">
            <w:pPr>
              <w:pStyle w:val="ExhibitText"/>
              <w:widowControl w:val="0"/>
              <w:rPr>
                <w:sz w:val="18"/>
                <w:szCs w:val="18"/>
                <w:lang w:val="en-GB"/>
              </w:rPr>
            </w:pPr>
            <w:r w:rsidRPr="00CB4F3B">
              <w:rPr>
                <w:sz w:val="18"/>
                <w:szCs w:val="18"/>
                <w:lang w:val="en-GB"/>
              </w:rPr>
              <w:t>Art and crafts</w:t>
            </w:r>
          </w:p>
        </w:tc>
        <w:tc>
          <w:tcPr>
            <w:tcW w:w="3420" w:type="dxa"/>
            <w:tcBorders>
              <w:top w:val="single" w:sz="4" w:space="0" w:color="auto"/>
              <w:left w:val="single" w:sz="4" w:space="0" w:color="auto"/>
              <w:bottom w:val="single" w:sz="4" w:space="0" w:color="auto"/>
              <w:right w:val="single" w:sz="4" w:space="0" w:color="auto"/>
            </w:tcBorders>
            <w:vAlign w:val="center"/>
          </w:tcPr>
          <w:p w14:paraId="1A785A23" w14:textId="10BD333C" w:rsidR="00F367FC" w:rsidRPr="00CB4F3B" w:rsidRDefault="00F367FC" w:rsidP="00757EC9">
            <w:pPr>
              <w:pStyle w:val="ExhibitText"/>
              <w:widowControl w:val="0"/>
              <w:jc w:val="left"/>
              <w:rPr>
                <w:sz w:val="18"/>
                <w:szCs w:val="18"/>
                <w:lang w:val="en-GB"/>
              </w:rPr>
            </w:pPr>
            <w:r w:rsidRPr="00CB4F3B">
              <w:rPr>
                <w:sz w:val="18"/>
                <w:szCs w:val="18"/>
                <w:lang w:val="en-GB"/>
              </w:rPr>
              <w:t>Creativity and imagination</w:t>
            </w:r>
          </w:p>
        </w:tc>
        <w:tc>
          <w:tcPr>
            <w:tcW w:w="1615" w:type="dxa"/>
            <w:tcBorders>
              <w:top w:val="single" w:sz="4" w:space="0" w:color="auto"/>
              <w:left w:val="single" w:sz="4" w:space="0" w:color="auto"/>
              <w:bottom w:val="single" w:sz="4" w:space="0" w:color="auto"/>
              <w:right w:val="single" w:sz="4" w:space="0" w:color="auto"/>
            </w:tcBorders>
            <w:vAlign w:val="center"/>
          </w:tcPr>
          <w:p w14:paraId="1626B414" w14:textId="4563422A" w:rsidR="00F367FC" w:rsidRPr="00CB4F3B" w:rsidRDefault="00F367FC" w:rsidP="0081747E">
            <w:pPr>
              <w:pStyle w:val="ExhibitText"/>
              <w:widowControl w:val="0"/>
              <w:rPr>
                <w:sz w:val="18"/>
                <w:szCs w:val="18"/>
                <w:lang w:val="en-GB"/>
              </w:rPr>
            </w:pPr>
            <w:r w:rsidRPr="00CB4F3B">
              <w:rPr>
                <w:sz w:val="18"/>
                <w:szCs w:val="18"/>
                <w:lang w:val="en-GB"/>
              </w:rPr>
              <w:t>Funskool</w:t>
            </w:r>
          </w:p>
        </w:tc>
      </w:tr>
      <w:tr w:rsidR="00F367FC" w:rsidRPr="00CB4F3B" w14:paraId="3DB42121" w14:textId="77777777" w:rsidTr="00AC768E">
        <w:trPr>
          <w:jc w:val="center"/>
        </w:trPr>
        <w:tc>
          <w:tcPr>
            <w:tcW w:w="1705" w:type="dxa"/>
            <w:tcBorders>
              <w:top w:val="single" w:sz="4" w:space="0" w:color="auto"/>
              <w:left w:val="single" w:sz="4" w:space="0" w:color="auto"/>
              <w:bottom w:val="single" w:sz="4" w:space="0" w:color="auto"/>
              <w:right w:val="single" w:sz="4" w:space="0" w:color="auto"/>
            </w:tcBorders>
            <w:vAlign w:val="center"/>
          </w:tcPr>
          <w:p w14:paraId="3C59ACC6" w14:textId="0BEE1609" w:rsidR="00F367FC" w:rsidRPr="00CB4F3B" w:rsidRDefault="00F367FC" w:rsidP="0081747E">
            <w:pPr>
              <w:pStyle w:val="ExhibitText"/>
              <w:widowControl w:val="0"/>
              <w:rPr>
                <w:sz w:val="18"/>
                <w:szCs w:val="18"/>
                <w:lang w:val="en-GB"/>
              </w:rPr>
            </w:pPr>
            <w:r w:rsidRPr="00CB4F3B">
              <w:rPr>
                <w:sz w:val="18"/>
                <w:szCs w:val="18"/>
                <w:lang w:val="en-GB"/>
              </w:rPr>
              <w:t>Nerf</w:t>
            </w:r>
          </w:p>
        </w:tc>
        <w:tc>
          <w:tcPr>
            <w:tcW w:w="2610" w:type="dxa"/>
            <w:tcBorders>
              <w:top w:val="single" w:sz="4" w:space="0" w:color="auto"/>
              <w:left w:val="single" w:sz="4" w:space="0" w:color="auto"/>
              <w:bottom w:val="single" w:sz="4" w:space="0" w:color="auto"/>
              <w:right w:val="single" w:sz="4" w:space="0" w:color="auto"/>
            </w:tcBorders>
            <w:vAlign w:val="center"/>
          </w:tcPr>
          <w:p w14:paraId="57460969" w14:textId="47D00367" w:rsidR="00F367FC" w:rsidRPr="00CB4F3B" w:rsidRDefault="00F367FC" w:rsidP="0081747E">
            <w:pPr>
              <w:pStyle w:val="ExhibitText"/>
              <w:widowControl w:val="0"/>
              <w:rPr>
                <w:sz w:val="18"/>
                <w:szCs w:val="18"/>
                <w:lang w:val="en-GB"/>
              </w:rPr>
            </w:pPr>
            <w:r w:rsidRPr="00CB4F3B">
              <w:rPr>
                <w:sz w:val="18"/>
                <w:szCs w:val="18"/>
                <w:lang w:val="en-GB"/>
              </w:rPr>
              <w:t>Blaster and darts</w:t>
            </w:r>
          </w:p>
        </w:tc>
        <w:tc>
          <w:tcPr>
            <w:tcW w:w="3420" w:type="dxa"/>
            <w:tcBorders>
              <w:top w:val="single" w:sz="4" w:space="0" w:color="auto"/>
              <w:left w:val="single" w:sz="4" w:space="0" w:color="auto"/>
              <w:bottom w:val="single" w:sz="4" w:space="0" w:color="auto"/>
              <w:right w:val="single" w:sz="4" w:space="0" w:color="auto"/>
            </w:tcBorders>
            <w:vAlign w:val="center"/>
          </w:tcPr>
          <w:p w14:paraId="34E3E70C" w14:textId="701ACC0D" w:rsidR="00F367FC" w:rsidRPr="00CB4F3B" w:rsidRDefault="00F367FC" w:rsidP="00757EC9">
            <w:pPr>
              <w:pStyle w:val="ExhibitText"/>
              <w:widowControl w:val="0"/>
              <w:jc w:val="left"/>
              <w:rPr>
                <w:sz w:val="18"/>
                <w:szCs w:val="18"/>
                <w:lang w:val="en-GB"/>
              </w:rPr>
            </w:pPr>
            <w:r w:rsidRPr="00CB4F3B">
              <w:rPr>
                <w:sz w:val="18"/>
                <w:szCs w:val="18"/>
                <w:lang w:val="en-GB"/>
              </w:rPr>
              <w:t>Hand</w:t>
            </w:r>
            <w:r w:rsidR="00E42171">
              <w:rPr>
                <w:sz w:val="18"/>
                <w:szCs w:val="18"/>
                <w:lang w:val="en-GB"/>
              </w:rPr>
              <w:t>–</w:t>
            </w:r>
            <w:r w:rsidRPr="00CB4F3B">
              <w:rPr>
                <w:sz w:val="18"/>
                <w:szCs w:val="18"/>
                <w:lang w:val="en-GB"/>
              </w:rPr>
              <w:t>eye coordination and shooting</w:t>
            </w:r>
          </w:p>
        </w:tc>
        <w:tc>
          <w:tcPr>
            <w:tcW w:w="1615" w:type="dxa"/>
            <w:tcBorders>
              <w:top w:val="single" w:sz="4" w:space="0" w:color="auto"/>
              <w:left w:val="single" w:sz="4" w:space="0" w:color="auto"/>
              <w:bottom w:val="single" w:sz="4" w:space="0" w:color="auto"/>
              <w:right w:val="single" w:sz="4" w:space="0" w:color="auto"/>
            </w:tcBorders>
            <w:vAlign w:val="center"/>
          </w:tcPr>
          <w:p w14:paraId="26239266" w14:textId="58A8768D" w:rsidR="00F367FC" w:rsidRPr="00CB4F3B" w:rsidRDefault="00F367FC" w:rsidP="0081747E">
            <w:pPr>
              <w:pStyle w:val="ExhibitText"/>
              <w:widowControl w:val="0"/>
              <w:rPr>
                <w:sz w:val="18"/>
                <w:szCs w:val="18"/>
                <w:lang w:val="en-GB"/>
              </w:rPr>
            </w:pPr>
            <w:r w:rsidRPr="00CB4F3B">
              <w:rPr>
                <w:sz w:val="18"/>
                <w:szCs w:val="18"/>
                <w:lang w:val="en-GB"/>
              </w:rPr>
              <w:t>Hasbro</w:t>
            </w:r>
          </w:p>
        </w:tc>
      </w:tr>
      <w:tr w:rsidR="00F367FC" w:rsidRPr="00CB4F3B" w14:paraId="25AFB73D" w14:textId="77777777" w:rsidTr="00AC768E">
        <w:trPr>
          <w:jc w:val="center"/>
        </w:trPr>
        <w:tc>
          <w:tcPr>
            <w:tcW w:w="1705" w:type="dxa"/>
            <w:tcBorders>
              <w:top w:val="single" w:sz="4" w:space="0" w:color="auto"/>
              <w:left w:val="single" w:sz="4" w:space="0" w:color="auto"/>
              <w:bottom w:val="single" w:sz="4" w:space="0" w:color="auto"/>
              <w:right w:val="single" w:sz="4" w:space="0" w:color="auto"/>
            </w:tcBorders>
            <w:vAlign w:val="center"/>
          </w:tcPr>
          <w:p w14:paraId="5FE9C436" w14:textId="51D8F575" w:rsidR="00F367FC" w:rsidRPr="00CB4F3B" w:rsidRDefault="00F367FC" w:rsidP="0081747E">
            <w:pPr>
              <w:pStyle w:val="ExhibitText"/>
              <w:widowControl w:val="0"/>
              <w:rPr>
                <w:sz w:val="18"/>
                <w:szCs w:val="18"/>
                <w:lang w:val="en-GB"/>
              </w:rPr>
            </w:pPr>
            <w:r w:rsidRPr="00CB4F3B">
              <w:rPr>
                <w:sz w:val="18"/>
                <w:szCs w:val="18"/>
                <w:lang w:val="en-GB"/>
              </w:rPr>
              <w:t>New Bright</w:t>
            </w:r>
          </w:p>
        </w:tc>
        <w:tc>
          <w:tcPr>
            <w:tcW w:w="2610" w:type="dxa"/>
            <w:tcBorders>
              <w:top w:val="single" w:sz="4" w:space="0" w:color="auto"/>
              <w:left w:val="single" w:sz="4" w:space="0" w:color="auto"/>
              <w:bottom w:val="single" w:sz="4" w:space="0" w:color="auto"/>
              <w:right w:val="single" w:sz="4" w:space="0" w:color="auto"/>
            </w:tcBorders>
            <w:vAlign w:val="center"/>
          </w:tcPr>
          <w:p w14:paraId="2619345E" w14:textId="4F131080" w:rsidR="00F367FC" w:rsidRPr="00CB4F3B" w:rsidRDefault="00F367FC" w:rsidP="00782F51">
            <w:pPr>
              <w:pStyle w:val="ExhibitText"/>
              <w:widowControl w:val="0"/>
              <w:rPr>
                <w:sz w:val="18"/>
                <w:szCs w:val="18"/>
                <w:lang w:val="en-GB"/>
              </w:rPr>
            </w:pPr>
            <w:r w:rsidRPr="00CB4F3B">
              <w:rPr>
                <w:sz w:val="18"/>
                <w:szCs w:val="18"/>
                <w:lang w:val="en-GB"/>
              </w:rPr>
              <w:t>Remote</w:t>
            </w:r>
            <w:r w:rsidR="00782F51">
              <w:rPr>
                <w:sz w:val="18"/>
                <w:szCs w:val="18"/>
                <w:lang w:val="en-GB"/>
              </w:rPr>
              <w:t>-</w:t>
            </w:r>
            <w:r w:rsidRPr="00CB4F3B">
              <w:rPr>
                <w:sz w:val="18"/>
                <w:szCs w:val="18"/>
                <w:lang w:val="en-GB"/>
              </w:rPr>
              <w:t>controlled cars and trucks</w:t>
            </w:r>
          </w:p>
        </w:tc>
        <w:tc>
          <w:tcPr>
            <w:tcW w:w="3420" w:type="dxa"/>
            <w:tcBorders>
              <w:top w:val="single" w:sz="4" w:space="0" w:color="auto"/>
              <w:left w:val="single" w:sz="4" w:space="0" w:color="auto"/>
              <w:bottom w:val="single" w:sz="4" w:space="0" w:color="auto"/>
              <w:right w:val="single" w:sz="4" w:space="0" w:color="auto"/>
            </w:tcBorders>
            <w:vAlign w:val="center"/>
          </w:tcPr>
          <w:p w14:paraId="2FFAD171" w14:textId="296CE022" w:rsidR="00F367FC" w:rsidRPr="00CB4F3B" w:rsidRDefault="00F367FC" w:rsidP="00757EC9">
            <w:pPr>
              <w:pStyle w:val="ExhibitText"/>
              <w:widowControl w:val="0"/>
              <w:jc w:val="left"/>
              <w:rPr>
                <w:sz w:val="18"/>
                <w:szCs w:val="18"/>
                <w:lang w:val="en-GB"/>
              </w:rPr>
            </w:pPr>
            <w:r w:rsidRPr="00CB4F3B">
              <w:rPr>
                <w:sz w:val="18"/>
                <w:szCs w:val="18"/>
                <w:lang w:val="en-GB"/>
              </w:rPr>
              <w:t>Driving skills and hand</w:t>
            </w:r>
            <w:r w:rsidR="00E42171">
              <w:rPr>
                <w:sz w:val="18"/>
                <w:szCs w:val="18"/>
                <w:lang w:val="en-GB"/>
              </w:rPr>
              <w:t>–</w:t>
            </w:r>
            <w:r w:rsidRPr="00CB4F3B">
              <w:rPr>
                <w:sz w:val="18"/>
                <w:szCs w:val="18"/>
                <w:lang w:val="en-GB"/>
              </w:rPr>
              <w:t>eye coordination</w:t>
            </w:r>
          </w:p>
        </w:tc>
        <w:tc>
          <w:tcPr>
            <w:tcW w:w="1615" w:type="dxa"/>
            <w:tcBorders>
              <w:top w:val="single" w:sz="4" w:space="0" w:color="auto"/>
              <w:left w:val="single" w:sz="4" w:space="0" w:color="auto"/>
              <w:bottom w:val="single" w:sz="4" w:space="0" w:color="auto"/>
              <w:right w:val="single" w:sz="4" w:space="0" w:color="auto"/>
            </w:tcBorders>
            <w:vAlign w:val="center"/>
          </w:tcPr>
          <w:p w14:paraId="4441A6FB" w14:textId="6328B5C2" w:rsidR="00F367FC" w:rsidRPr="00CB4F3B" w:rsidRDefault="00F367FC" w:rsidP="0081747E">
            <w:pPr>
              <w:pStyle w:val="ExhibitText"/>
              <w:widowControl w:val="0"/>
              <w:rPr>
                <w:sz w:val="18"/>
                <w:szCs w:val="18"/>
                <w:lang w:val="en-GB"/>
              </w:rPr>
            </w:pPr>
            <w:r w:rsidRPr="00CB4F3B">
              <w:rPr>
                <w:sz w:val="18"/>
                <w:szCs w:val="18"/>
                <w:lang w:val="en-GB"/>
              </w:rPr>
              <w:t>New Bright</w:t>
            </w:r>
          </w:p>
        </w:tc>
      </w:tr>
      <w:tr w:rsidR="00F367FC" w:rsidRPr="00CB4F3B" w14:paraId="31BB3BA2" w14:textId="77777777" w:rsidTr="00AC768E">
        <w:trPr>
          <w:jc w:val="center"/>
        </w:trPr>
        <w:tc>
          <w:tcPr>
            <w:tcW w:w="1705" w:type="dxa"/>
            <w:tcBorders>
              <w:top w:val="single" w:sz="4" w:space="0" w:color="auto"/>
              <w:left w:val="single" w:sz="4" w:space="0" w:color="auto"/>
              <w:bottom w:val="single" w:sz="4" w:space="0" w:color="auto"/>
              <w:right w:val="single" w:sz="4" w:space="0" w:color="auto"/>
            </w:tcBorders>
            <w:vAlign w:val="center"/>
          </w:tcPr>
          <w:p w14:paraId="7F7B4CD3" w14:textId="2BD1CD9C" w:rsidR="00F367FC" w:rsidRPr="00CB4F3B" w:rsidRDefault="00F367FC" w:rsidP="0081747E">
            <w:pPr>
              <w:pStyle w:val="ExhibitText"/>
              <w:widowControl w:val="0"/>
              <w:rPr>
                <w:sz w:val="18"/>
                <w:szCs w:val="18"/>
                <w:lang w:val="en-GB"/>
              </w:rPr>
            </w:pPr>
            <w:r w:rsidRPr="00CB4F3B">
              <w:rPr>
                <w:sz w:val="18"/>
                <w:szCs w:val="18"/>
                <w:lang w:val="en-GB"/>
              </w:rPr>
              <w:t>Play and Learn</w:t>
            </w:r>
          </w:p>
        </w:tc>
        <w:tc>
          <w:tcPr>
            <w:tcW w:w="2610" w:type="dxa"/>
            <w:tcBorders>
              <w:top w:val="single" w:sz="4" w:space="0" w:color="auto"/>
              <w:left w:val="single" w:sz="4" w:space="0" w:color="auto"/>
              <w:bottom w:val="single" w:sz="4" w:space="0" w:color="auto"/>
              <w:right w:val="single" w:sz="4" w:space="0" w:color="auto"/>
            </w:tcBorders>
            <w:vAlign w:val="center"/>
          </w:tcPr>
          <w:p w14:paraId="383F3589" w14:textId="2AC9B65C" w:rsidR="00F367FC" w:rsidRPr="00CB4F3B" w:rsidRDefault="00F367FC" w:rsidP="0081747E">
            <w:pPr>
              <w:pStyle w:val="ExhibitText"/>
              <w:widowControl w:val="0"/>
              <w:rPr>
                <w:sz w:val="18"/>
                <w:szCs w:val="18"/>
                <w:lang w:val="en-GB"/>
              </w:rPr>
            </w:pPr>
            <w:r w:rsidRPr="00CB4F3B">
              <w:rPr>
                <w:sz w:val="18"/>
                <w:szCs w:val="18"/>
                <w:lang w:val="en-GB"/>
              </w:rPr>
              <w:t>Puzzles</w:t>
            </w:r>
          </w:p>
        </w:tc>
        <w:tc>
          <w:tcPr>
            <w:tcW w:w="3420" w:type="dxa"/>
            <w:tcBorders>
              <w:top w:val="single" w:sz="4" w:space="0" w:color="auto"/>
              <w:left w:val="single" w:sz="4" w:space="0" w:color="auto"/>
              <w:bottom w:val="single" w:sz="4" w:space="0" w:color="auto"/>
              <w:right w:val="single" w:sz="4" w:space="0" w:color="auto"/>
            </w:tcBorders>
            <w:vAlign w:val="center"/>
          </w:tcPr>
          <w:p w14:paraId="6BF59E69" w14:textId="50DF45D4" w:rsidR="00F367FC" w:rsidRPr="00CB4F3B" w:rsidRDefault="00F367FC" w:rsidP="00757EC9">
            <w:pPr>
              <w:pStyle w:val="ExhibitText"/>
              <w:widowControl w:val="0"/>
              <w:jc w:val="left"/>
              <w:rPr>
                <w:sz w:val="18"/>
                <w:szCs w:val="18"/>
                <w:lang w:val="en-GB"/>
              </w:rPr>
            </w:pPr>
            <w:r w:rsidRPr="00CB4F3B">
              <w:rPr>
                <w:sz w:val="18"/>
                <w:szCs w:val="18"/>
                <w:lang w:val="en-GB"/>
              </w:rPr>
              <w:t>Shape recognition, memory development, and hand</w:t>
            </w:r>
            <w:r w:rsidR="00E42171">
              <w:rPr>
                <w:sz w:val="18"/>
                <w:szCs w:val="18"/>
                <w:lang w:val="en-GB"/>
              </w:rPr>
              <w:t>–</w:t>
            </w:r>
            <w:r w:rsidRPr="00CB4F3B">
              <w:rPr>
                <w:sz w:val="18"/>
                <w:szCs w:val="18"/>
                <w:lang w:val="en-GB"/>
              </w:rPr>
              <w:t>eye coordination</w:t>
            </w:r>
          </w:p>
        </w:tc>
        <w:tc>
          <w:tcPr>
            <w:tcW w:w="1615" w:type="dxa"/>
            <w:tcBorders>
              <w:top w:val="single" w:sz="4" w:space="0" w:color="auto"/>
              <w:left w:val="single" w:sz="4" w:space="0" w:color="auto"/>
              <w:bottom w:val="single" w:sz="4" w:space="0" w:color="auto"/>
              <w:right w:val="single" w:sz="4" w:space="0" w:color="auto"/>
            </w:tcBorders>
            <w:vAlign w:val="center"/>
          </w:tcPr>
          <w:p w14:paraId="48CB1396" w14:textId="33EAED93" w:rsidR="00F367FC" w:rsidRPr="00CB4F3B" w:rsidRDefault="00F367FC" w:rsidP="0081747E">
            <w:pPr>
              <w:pStyle w:val="ExhibitText"/>
              <w:widowControl w:val="0"/>
              <w:rPr>
                <w:sz w:val="18"/>
                <w:szCs w:val="18"/>
                <w:lang w:val="en-GB"/>
              </w:rPr>
            </w:pPr>
            <w:r w:rsidRPr="00CB4F3B">
              <w:rPr>
                <w:sz w:val="18"/>
                <w:szCs w:val="18"/>
                <w:lang w:val="en-GB"/>
              </w:rPr>
              <w:t>Funskool</w:t>
            </w:r>
          </w:p>
        </w:tc>
      </w:tr>
      <w:tr w:rsidR="00F367FC" w:rsidRPr="00CB4F3B" w14:paraId="4A6815F5" w14:textId="77777777" w:rsidTr="00AC768E">
        <w:trPr>
          <w:jc w:val="center"/>
        </w:trPr>
        <w:tc>
          <w:tcPr>
            <w:tcW w:w="1705" w:type="dxa"/>
            <w:tcBorders>
              <w:top w:val="single" w:sz="4" w:space="0" w:color="auto"/>
              <w:left w:val="single" w:sz="4" w:space="0" w:color="auto"/>
              <w:bottom w:val="single" w:sz="4" w:space="0" w:color="auto"/>
              <w:right w:val="single" w:sz="4" w:space="0" w:color="auto"/>
            </w:tcBorders>
            <w:vAlign w:val="center"/>
          </w:tcPr>
          <w:p w14:paraId="57574B00" w14:textId="2086A8D0" w:rsidR="00F367FC" w:rsidRPr="00CB4F3B" w:rsidRDefault="00782F51" w:rsidP="0081747E">
            <w:pPr>
              <w:pStyle w:val="ExhibitText"/>
              <w:widowControl w:val="0"/>
              <w:rPr>
                <w:sz w:val="18"/>
                <w:szCs w:val="18"/>
                <w:lang w:val="en-GB"/>
              </w:rPr>
            </w:pPr>
            <w:r>
              <w:rPr>
                <w:sz w:val="18"/>
                <w:szCs w:val="18"/>
                <w:lang w:val="en-GB"/>
              </w:rPr>
              <w:t>Play-Doh</w:t>
            </w:r>
          </w:p>
        </w:tc>
        <w:tc>
          <w:tcPr>
            <w:tcW w:w="2610" w:type="dxa"/>
            <w:tcBorders>
              <w:top w:val="single" w:sz="4" w:space="0" w:color="auto"/>
              <w:left w:val="single" w:sz="4" w:space="0" w:color="auto"/>
              <w:bottom w:val="single" w:sz="4" w:space="0" w:color="auto"/>
              <w:right w:val="single" w:sz="4" w:space="0" w:color="auto"/>
            </w:tcBorders>
            <w:vAlign w:val="center"/>
          </w:tcPr>
          <w:p w14:paraId="4AE532C4" w14:textId="2BF989AC" w:rsidR="00F367FC" w:rsidRPr="00CB4F3B" w:rsidRDefault="00F367FC" w:rsidP="0081747E">
            <w:pPr>
              <w:pStyle w:val="ExhibitText"/>
              <w:widowControl w:val="0"/>
              <w:rPr>
                <w:sz w:val="18"/>
                <w:szCs w:val="18"/>
                <w:lang w:val="en-GB"/>
              </w:rPr>
            </w:pPr>
            <w:r w:rsidRPr="00CB4F3B">
              <w:rPr>
                <w:sz w:val="18"/>
                <w:szCs w:val="18"/>
                <w:lang w:val="en-GB"/>
              </w:rPr>
              <w:t>Art and crafts</w:t>
            </w:r>
          </w:p>
        </w:tc>
        <w:tc>
          <w:tcPr>
            <w:tcW w:w="3420" w:type="dxa"/>
            <w:tcBorders>
              <w:top w:val="single" w:sz="4" w:space="0" w:color="auto"/>
              <w:left w:val="single" w:sz="4" w:space="0" w:color="auto"/>
              <w:bottom w:val="single" w:sz="4" w:space="0" w:color="auto"/>
              <w:right w:val="single" w:sz="4" w:space="0" w:color="auto"/>
            </w:tcBorders>
            <w:vAlign w:val="center"/>
          </w:tcPr>
          <w:p w14:paraId="55D95508" w14:textId="69070263" w:rsidR="00F367FC" w:rsidRPr="00CB4F3B" w:rsidRDefault="00F367FC" w:rsidP="00757EC9">
            <w:pPr>
              <w:pStyle w:val="ExhibitText"/>
              <w:widowControl w:val="0"/>
              <w:jc w:val="left"/>
              <w:rPr>
                <w:sz w:val="18"/>
                <w:szCs w:val="18"/>
                <w:lang w:val="en-GB"/>
              </w:rPr>
            </w:pPr>
            <w:r w:rsidRPr="00CB4F3B">
              <w:rPr>
                <w:sz w:val="18"/>
                <w:szCs w:val="18"/>
                <w:lang w:val="en-GB"/>
              </w:rPr>
              <w:t>Creativity, imagination, and hand</w:t>
            </w:r>
            <w:r w:rsidR="00E42171">
              <w:rPr>
                <w:sz w:val="18"/>
                <w:szCs w:val="18"/>
                <w:lang w:val="en-GB"/>
              </w:rPr>
              <w:t>–</w:t>
            </w:r>
            <w:r w:rsidRPr="00CB4F3B">
              <w:rPr>
                <w:sz w:val="18"/>
                <w:szCs w:val="18"/>
                <w:lang w:val="en-GB"/>
              </w:rPr>
              <w:t xml:space="preserve">eye coordination </w:t>
            </w:r>
          </w:p>
        </w:tc>
        <w:tc>
          <w:tcPr>
            <w:tcW w:w="1615" w:type="dxa"/>
            <w:tcBorders>
              <w:top w:val="single" w:sz="4" w:space="0" w:color="auto"/>
              <w:left w:val="single" w:sz="4" w:space="0" w:color="auto"/>
              <w:bottom w:val="single" w:sz="4" w:space="0" w:color="auto"/>
              <w:right w:val="single" w:sz="4" w:space="0" w:color="auto"/>
            </w:tcBorders>
            <w:vAlign w:val="center"/>
          </w:tcPr>
          <w:p w14:paraId="0D9FE6DB" w14:textId="278385E9" w:rsidR="00F367FC" w:rsidRPr="00CB4F3B" w:rsidRDefault="00F367FC" w:rsidP="0081747E">
            <w:pPr>
              <w:pStyle w:val="ExhibitText"/>
              <w:widowControl w:val="0"/>
              <w:rPr>
                <w:sz w:val="18"/>
                <w:szCs w:val="18"/>
                <w:lang w:val="en-GB"/>
              </w:rPr>
            </w:pPr>
            <w:r w:rsidRPr="00CB4F3B">
              <w:rPr>
                <w:sz w:val="18"/>
                <w:szCs w:val="18"/>
                <w:lang w:val="en-GB"/>
              </w:rPr>
              <w:t>Funskool</w:t>
            </w:r>
          </w:p>
        </w:tc>
      </w:tr>
      <w:tr w:rsidR="00F367FC" w:rsidRPr="00CB4F3B" w14:paraId="3F80C38C" w14:textId="77777777" w:rsidTr="00AC768E">
        <w:trPr>
          <w:jc w:val="center"/>
        </w:trPr>
        <w:tc>
          <w:tcPr>
            <w:tcW w:w="1705" w:type="dxa"/>
            <w:tcBorders>
              <w:top w:val="single" w:sz="4" w:space="0" w:color="auto"/>
              <w:left w:val="single" w:sz="4" w:space="0" w:color="auto"/>
              <w:bottom w:val="single" w:sz="4" w:space="0" w:color="auto"/>
              <w:right w:val="single" w:sz="4" w:space="0" w:color="auto"/>
            </w:tcBorders>
            <w:vAlign w:val="center"/>
          </w:tcPr>
          <w:p w14:paraId="40054D59" w14:textId="31AD4FD2" w:rsidR="00F367FC" w:rsidRPr="00CB4F3B" w:rsidRDefault="00782F51" w:rsidP="00782F51">
            <w:pPr>
              <w:pStyle w:val="ExhibitText"/>
              <w:widowControl w:val="0"/>
              <w:rPr>
                <w:sz w:val="18"/>
                <w:szCs w:val="18"/>
                <w:lang w:val="en-GB"/>
              </w:rPr>
            </w:pPr>
            <w:r w:rsidRPr="00CB4F3B">
              <w:rPr>
                <w:sz w:val="18"/>
                <w:szCs w:val="18"/>
                <w:lang w:val="en-GB"/>
              </w:rPr>
              <w:t>Plays</w:t>
            </w:r>
            <w:r>
              <w:rPr>
                <w:sz w:val="18"/>
                <w:szCs w:val="18"/>
                <w:lang w:val="en-GB"/>
              </w:rPr>
              <w:t>k</w:t>
            </w:r>
            <w:r w:rsidRPr="00CB4F3B">
              <w:rPr>
                <w:sz w:val="18"/>
                <w:szCs w:val="18"/>
                <w:lang w:val="en-GB"/>
              </w:rPr>
              <w:t>ool</w:t>
            </w:r>
          </w:p>
        </w:tc>
        <w:tc>
          <w:tcPr>
            <w:tcW w:w="2610" w:type="dxa"/>
            <w:tcBorders>
              <w:top w:val="single" w:sz="4" w:space="0" w:color="auto"/>
              <w:left w:val="single" w:sz="4" w:space="0" w:color="auto"/>
              <w:bottom w:val="single" w:sz="4" w:space="0" w:color="auto"/>
              <w:right w:val="single" w:sz="4" w:space="0" w:color="auto"/>
            </w:tcBorders>
            <w:vAlign w:val="center"/>
          </w:tcPr>
          <w:p w14:paraId="26752CD8" w14:textId="6A0BC2AE" w:rsidR="00F367FC" w:rsidRPr="00CB4F3B" w:rsidRDefault="00F367FC" w:rsidP="0081747E">
            <w:pPr>
              <w:pStyle w:val="ExhibitText"/>
              <w:widowControl w:val="0"/>
              <w:rPr>
                <w:sz w:val="18"/>
                <w:szCs w:val="18"/>
                <w:lang w:val="en-GB"/>
              </w:rPr>
            </w:pPr>
            <w:r w:rsidRPr="00CB4F3B">
              <w:rPr>
                <w:sz w:val="18"/>
                <w:szCs w:val="18"/>
                <w:lang w:val="en-GB"/>
              </w:rPr>
              <w:t>Preschool toys</w:t>
            </w:r>
          </w:p>
        </w:tc>
        <w:tc>
          <w:tcPr>
            <w:tcW w:w="3420" w:type="dxa"/>
            <w:tcBorders>
              <w:top w:val="single" w:sz="4" w:space="0" w:color="auto"/>
              <w:left w:val="single" w:sz="4" w:space="0" w:color="auto"/>
              <w:bottom w:val="single" w:sz="4" w:space="0" w:color="auto"/>
              <w:right w:val="single" w:sz="4" w:space="0" w:color="auto"/>
            </w:tcBorders>
            <w:vAlign w:val="center"/>
          </w:tcPr>
          <w:p w14:paraId="78462851" w14:textId="60DBE8CE" w:rsidR="00F367FC" w:rsidRPr="00CB4F3B" w:rsidRDefault="00F367FC" w:rsidP="00757EC9">
            <w:pPr>
              <w:pStyle w:val="ExhibitText"/>
              <w:widowControl w:val="0"/>
              <w:jc w:val="left"/>
              <w:rPr>
                <w:sz w:val="18"/>
                <w:szCs w:val="18"/>
                <w:lang w:val="en-GB"/>
              </w:rPr>
            </w:pPr>
            <w:r w:rsidRPr="00CB4F3B">
              <w:rPr>
                <w:sz w:val="18"/>
                <w:szCs w:val="18"/>
                <w:lang w:val="en-GB"/>
              </w:rPr>
              <w:t>Hand</w:t>
            </w:r>
            <w:r w:rsidR="00E42171">
              <w:rPr>
                <w:sz w:val="18"/>
                <w:szCs w:val="18"/>
                <w:lang w:val="en-GB"/>
              </w:rPr>
              <w:t>–</w:t>
            </w:r>
            <w:r w:rsidRPr="00CB4F3B">
              <w:rPr>
                <w:sz w:val="18"/>
                <w:szCs w:val="18"/>
                <w:lang w:val="en-GB"/>
              </w:rPr>
              <w:t>eye coordination, motor skills, and knowledge building</w:t>
            </w:r>
          </w:p>
        </w:tc>
        <w:tc>
          <w:tcPr>
            <w:tcW w:w="1615" w:type="dxa"/>
            <w:tcBorders>
              <w:top w:val="single" w:sz="4" w:space="0" w:color="auto"/>
              <w:left w:val="single" w:sz="4" w:space="0" w:color="auto"/>
              <w:bottom w:val="single" w:sz="4" w:space="0" w:color="auto"/>
              <w:right w:val="single" w:sz="4" w:space="0" w:color="auto"/>
            </w:tcBorders>
            <w:vAlign w:val="center"/>
          </w:tcPr>
          <w:p w14:paraId="3685A110" w14:textId="6F858781" w:rsidR="00F367FC" w:rsidRPr="00CB4F3B" w:rsidRDefault="00F367FC" w:rsidP="0081747E">
            <w:pPr>
              <w:pStyle w:val="ExhibitText"/>
              <w:widowControl w:val="0"/>
              <w:rPr>
                <w:sz w:val="18"/>
                <w:szCs w:val="18"/>
                <w:lang w:val="en-GB"/>
              </w:rPr>
            </w:pPr>
            <w:r w:rsidRPr="00CB4F3B">
              <w:rPr>
                <w:sz w:val="18"/>
                <w:szCs w:val="18"/>
                <w:lang w:val="en-GB"/>
              </w:rPr>
              <w:t>Hasbro</w:t>
            </w:r>
          </w:p>
        </w:tc>
      </w:tr>
      <w:tr w:rsidR="00F367FC" w:rsidRPr="00CB4F3B" w14:paraId="266A8E24" w14:textId="77777777" w:rsidTr="00AC768E">
        <w:trPr>
          <w:jc w:val="center"/>
        </w:trPr>
        <w:tc>
          <w:tcPr>
            <w:tcW w:w="1705" w:type="dxa"/>
            <w:tcBorders>
              <w:top w:val="single" w:sz="4" w:space="0" w:color="auto"/>
              <w:left w:val="single" w:sz="4" w:space="0" w:color="auto"/>
              <w:bottom w:val="single" w:sz="4" w:space="0" w:color="auto"/>
              <w:right w:val="single" w:sz="4" w:space="0" w:color="auto"/>
            </w:tcBorders>
            <w:vAlign w:val="center"/>
          </w:tcPr>
          <w:p w14:paraId="7BC644F1" w14:textId="70AC4A69" w:rsidR="00F367FC" w:rsidRPr="00CB4F3B" w:rsidRDefault="00F367FC" w:rsidP="0081747E">
            <w:pPr>
              <w:pStyle w:val="ExhibitText"/>
              <w:widowControl w:val="0"/>
              <w:rPr>
                <w:sz w:val="18"/>
                <w:szCs w:val="18"/>
                <w:lang w:val="en-GB"/>
              </w:rPr>
            </w:pPr>
            <w:r w:rsidRPr="00CB4F3B">
              <w:rPr>
                <w:sz w:val="18"/>
                <w:szCs w:val="18"/>
                <w:lang w:val="en-GB"/>
              </w:rPr>
              <w:t>Pokémon</w:t>
            </w:r>
          </w:p>
        </w:tc>
        <w:tc>
          <w:tcPr>
            <w:tcW w:w="2610" w:type="dxa"/>
            <w:tcBorders>
              <w:top w:val="single" w:sz="4" w:space="0" w:color="auto"/>
              <w:left w:val="single" w:sz="4" w:space="0" w:color="auto"/>
              <w:bottom w:val="single" w:sz="4" w:space="0" w:color="auto"/>
              <w:right w:val="single" w:sz="4" w:space="0" w:color="auto"/>
            </w:tcBorders>
            <w:vAlign w:val="center"/>
          </w:tcPr>
          <w:p w14:paraId="004FCF5C" w14:textId="1CAF8360" w:rsidR="00F367FC" w:rsidRPr="00CB4F3B" w:rsidRDefault="00F367FC" w:rsidP="0081747E">
            <w:pPr>
              <w:pStyle w:val="ExhibitText"/>
              <w:widowControl w:val="0"/>
              <w:rPr>
                <w:sz w:val="18"/>
                <w:szCs w:val="18"/>
                <w:lang w:val="en-GB"/>
              </w:rPr>
            </w:pPr>
            <w:r w:rsidRPr="00CB4F3B">
              <w:rPr>
                <w:sz w:val="18"/>
                <w:szCs w:val="18"/>
                <w:lang w:val="en-GB"/>
              </w:rPr>
              <w:t>Collectible and action figures</w:t>
            </w:r>
          </w:p>
        </w:tc>
        <w:tc>
          <w:tcPr>
            <w:tcW w:w="3420" w:type="dxa"/>
            <w:tcBorders>
              <w:top w:val="single" w:sz="4" w:space="0" w:color="auto"/>
              <w:left w:val="single" w:sz="4" w:space="0" w:color="auto"/>
              <w:bottom w:val="single" w:sz="4" w:space="0" w:color="auto"/>
              <w:right w:val="single" w:sz="4" w:space="0" w:color="auto"/>
            </w:tcBorders>
            <w:vAlign w:val="center"/>
          </w:tcPr>
          <w:p w14:paraId="10D2AF00" w14:textId="6F7F058B" w:rsidR="00F367FC" w:rsidRPr="00CB4F3B" w:rsidRDefault="00F367FC" w:rsidP="00757EC9">
            <w:pPr>
              <w:pStyle w:val="ExhibitText"/>
              <w:widowControl w:val="0"/>
              <w:jc w:val="left"/>
              <w:rPr>
                <w:sz w:val="18"/>
                <w:szCs w:val="18"/>
                <w:lang w:val="en-GB"/>
              </w:rPr>
            </w:pPr>
            <w:r w:rsidRPr="00CB4F3B">
              <w:rPr>
                <w:sz w:val="18"/>
                <w:szCs w:val="18"/>
                <w:lang w:val="en-GB"/>
              </w:rPr>
              <w:t>Role</w:t>
            </w:r>
            <w:r w:rsidR="00E42171">
              <w:rPr>
                <w:sz w:val="18"/>
                <w:szCs w:val="18"/>
                <w:lang w:val="en-GB"/>
              </w:rPr>
              <w:t>-</w:t>
            </w:r>
            <w:r w:rsidRPr="00CB4F3B">
              <w:rPr>
                <w:sz w:val="18"/>
                <w:szCs w:val="18"/>
                <w:lang w:val="en-GB"/>
              </w:rPr>
              <w:t>play activity</w:t>
            </w:r>
          </w:p>
        </w:tc>
        <w:tc>
          <w:tcPr>
            <w:tcW w:w="1615" w:type="dxa"/>
            <w:tcBorders>
              <w:top w:val="single" w:sz="4" w:space="0" w:color="auto"/>
              <w:left w:val="single" w:sz="4" w:space="0" w:color="auto"/>
              <w:bottom w:val="single" w:sz="4" w:space="0" w:color="auto"/>
              <w:right w:val="single" w:sz="4" w:space="0" w:color="auto"/>
            </w:tcBorders>
            <w:vAlign w:val="center"/>
          </w:tcPr>
          <w:p w14:paraId="7D905DC7" w14:textId="52048CFC" w:rsidR="00F367FC" w:rsidRPr="00CB4F3B" w:rsidRDefault="00F367FC" w:rsidP="0081747E">
            <w:pPr>
              <w:pStyle w:val="ExhibitText"/>
              <w:widowControl w:val="0"/>
              <w:rPr>
                <w:sz w:val="18"/>
                <w:szCs w:val="18"/>
                <w:lang w:val="en-GB"/>
              </w:rPr>
            </w:pPr>
            <w:r w:rsidRPr="00CB4F3B">
              <w:rPr>
                <w:sz w:val="18"/>
                <w:szCs w:val="18"/>
                <w:lang w:val="en-GB"/>
              </w:rPr>
              <w:t>Tomy</w:t>
            </w:r>
          </w:p>
        </w:tc>
      </w:tr>
      <w:tr w:rsidR="00F367FC" w:rsidRPr="00CB4F3B" w14:paraId="4F2FDF66" w14:textId="77777777" w:rsidTr="00AC768E">
        <w:trPr>
          <w:jc w:val="center"/>
        </w:trPr>
        <w:tc>
          <w:tcPr>
            <w:tcW w:w="1705" w:type="dxa"/>
            <w:tcBorders>
              <w:top w:val="single" w:sz="4" w:space="0" w:color="auto"/>
              <w:left w:val="single" w:sz="4" w:space="0" w:color="auto"/>
              <w:bottom w:val="single" w:sz="4" w:space="0" w:color="auto"/>
              <w:right w:val="single" w:sz="4" w:space="0" w:color="auto"/>
            </w:tcBorders>
            <w:vAlign w:val="center"/>
          </w:tcPr>
          <w:p w14:paraId="6EDAC135" w14:textId="7704961C" w:rsidR="00F367FC" w:rsidRPr="00CB4F3B" w:rsidRDefault="00F367FC" w:rsidP="00C20FB4">
            <w:pPr>
              <w:pStyle w:val="ExhibitText"/>
              <w:widowControl w:val="0"/>
              <w:rPr>
                <w:sz w:val="18"/>
                <w:szCs w:val="18"/>
                <w:lang w:val="en-GB"/>
              </w:rPr>
            </w:pPr>
            <w:r w:rsidRPr="00CB4F3B">
              <w:rPr>
                <w:sz w:val="18"/>
                <w:szCs w:val="18"/>
                <w:lang w:val="en-GB"/>
              </w:rPr>
              <w:t>Rubik</w:t>
            </w:r>
            <w:r w:rsidR="00C20FB4">
              <w:rPr>
                <w:sz w:val="18"/>
                <w:szCs w:val="18"/>
                <w:lang w:val="en-GB"/>
              </w:rPr>
              <w:t>’</w:t>
            </w:r>
            <w:r w:rsidRPr="00CB4F3B">
              <w:rPr>
                <w:sz w:val="18"/>
                <w:szCs w:val="18"/>
                <w:lang w:val="en-GB"/>
              </w:rPr>
              <w:t>s</w:t>
            </w:r>
          </w:p>
        </w:tc>
        <w:tc>
          <w:tcPr>
            <w:tcW w:w="2610" w:type="dxa"/>
            <w:tcBorders>
              <w:top w:val="single" w:sz="4" w:space="0" w:color="auto"/>
              <w:left w:val="single" w:sz="4" w:space="0" w:color="auto"/>
              <w:bottom w:val="single" w:sz="4" w:space="0" w:color="auto"/>
              <w:right w:val="single" w:sz="4" w:space="0" w:color="auto"/>
            </w:tcBorders>
            <w:vAlign w:val="center"/>
          </w:tcPr>
          <w:p w14:paraId="5932EE89" w14:textId="3527D7B9" w:rsidR="00F367FC" w:rsidRPr="00CB4F3B" w:rsidRDefault="00F367FC" w:rsidP="0081747E">
            <w:pPr>
              <w:pStyle w:val="ExhibitText"/>
              <w:widowControl w:val="0"/>
              <w:rPr>
                <w:sz w:val="18"/>
                <w:szCs w:val="18"/>
                <w:lang w:val="en-GB"/>
              </w:rPr>
            </w:pPr>
            <w:r w:rsidRPr="00CB4F3B">
              <w:rPr>
                <w:sz w:val="18"/>
                <w:szCs w:val="18"/>
                <w:lang w:val="en-GB"/>
              </w:rPr>
              <w:t>Puzzles</w:t>
            </w:r>
          </w:p>
        </w:tc>
        <w:tc>
          <w:tcPr>
            <w:tcW w:w="3420" w:type="dxa"/>
            <w:tcBorders>
              <w:top w:val="single" w:sz="4" w:space="0" w:color="auto"/>
              <w:left w:val="single" w:sz="4" w:space="0" w:color="auto"/>
              <w:bottom w:val="single" w:sz="4" w:space="0" w:color="auto"/>
              <w:right w:val="single" w:sz="4" w:space="0" w:color="auto"/>
            </w:tcBorders>
            <w:vAlign w:val="center"/>
          </w:tcPr>
          <w:p w14:paraId="11F5E759" w14:textId="548BAA73" w:rsidR="00F367FC" w:rsidRPr="00CB4F3B" w:rsidRDefault="00F367FC" w:rsidP="00757EC9">
            <w:pPr>
              <w:pStyle w:val="ExhibitText"/>
              <w:widowControl w:val="0"/>
              <w:jc w:val="left"/>
              <w:rPr>
                <w:sz w:val="18"/>
                <w:szCs w:val="18"/>
                <w:lang w:val="en-GB"/>
              </w:rPr>
            </w:pPr>
            <w:r w:rsidRPr="00CB4F3B">
              <w:rPr>
                <w:sz w:val="18"/>
                <w:szCs w:val="18"/>
                <w:lang w:val="en-GB"/>
              </w:rPr>
              <w:t>Problem solving, analysis, and critical thinking</w:t>
            </w:r>
          </w:p>
        </w:tc>
        <w:tc>
          <w:tcPr>
            <w:tcW w:w="1615" w:type="dxa"/>
            <w:tcBorders>
              <w:top w:val="single" w:sz="4" w:space="0" w:color="auto"/>
              <w:left w:val="single" w:sz="4" w:space="0" w:color="auto"/>
              <w:bottom w:val="single" w:sz="4" w:space="0" w:color="auto"/>
              <w:right w:val="single" w:sz="4" w:space="0" w:color="auto"/>
            </w:tcBorders>
            <w:vAlign w:val="center"/>
          </w:tcPr>
          <w:p w14:paraId="21B8F230" w14:textId="0D16DA3E" w:rsidR="00F367FC" w:rsidRPr="00CB4F3B" w:rsidRDefault="00F367FC" w:rsidP="0081747E">
            <w:pPr>
              <w:pStyle w:val="ExhibitText"/>
              <w:widowControl w:val="0"/>
              <w:rPr>
                <w:sz w:val="18"/>
                <w:szCs w:val="18"/>
                <w:lang w:val="en-GB"/>
              </w:rPr>
            </w:pPr>
            <w:r w:rsidRPr="00CB4F3B">
              <w:rPr>
                <w:sz w:val="18"/>
                <w:szCs w:val="18"/>
                <w:lang w:val="en-GB"/>
              </w:rPr>
              <w:t>Rubik’s</w:t>
            </w:r>
          </w:p>
        </w:tc>
      </w:tr>
      <w:tr w:rsidR="00F367FC" w:rsidRPr="00CB4F3B" w14:paraId="0EC851A8" w14:textId="77777777" w:rsidTr="00AC768E">
        <w:trPr>
          <w:jc w:val="center"/>
        </w:trPr>
        <w:tc>
          <w:tcPr>
            <w:tcW w:w="1705" w:type="dxa"/>
            <w:tcBorders>
              <w:top w:val="single" w:sz="4" w:space="0" w:color="auto"/>
              <w:left w:val="single" w:sz="4" w:space="0" w:color="auto"/>
              <w:bottom w:val="single" w:sz="4" w:space="0" w:color="auto"/>
              <w:right w:val="single" w:sz="4" w:space="0" w:color="auto"/>
            </w:tcBorders>
            <w:vAlign w:val="center"/>
          </w:tcPr>
          <w:p w14:paraId="75D0C32E" w14:textId="40BF358B" w:rsidR="00F367FC" w:rsidRPr="00CB4F3B" w:rsidRDefault="00F367FC" w:rsidP="0081747E">
            <w:pPr>
              <w:pStyle w:val="ExhibitText"/>
              <w:widowControl w:val="0"/>
              <w:rPr>
                <w:sz w:val="18"/>
                <w:szCs w:val="18"/>
                <w:lang w:val="en-GB"/>
              </w:rPr>
            </w:pPr>
            <w:r w:rsidRPr="00CB4F3B">
              <w:rPr>
                <w:sz w:val="18"/>
                <w:szCs w:val="18"/>
                <w:lang w:val="en-GB"/>
              </w:rPr>
              <w:t>Rummikub</w:t>
            </w:r>
          </w:p>
        </w:tc>
        <w:tc>
          <w:tcPr>
            <w:tcW w:w="2610" w:type="dxa"/>
            <w:tcBorders>
              <w:top w:val="single" w:sz="4" w:space="0" w:color="auto"/>
              <w:left w:val="single" w:sz="4" w:space="0" w:color="auto"/>
              <w:bottom w:val="single" w:sz="4" w:space="0" w:color="auto"/>
              <w:right w:val="single" w:sz="4" w:space="0" w:color="auto"/>
            </w:tcBorders>
            <w:vAlign w:val="center"/>
          </w:tcPr>
          <w:p w14:paraId="64DCB637" w14:textId="0275F81B" w:rsidR="00F367FC" w:rsidRPr="00CB4F3B" w:rsidRDefault="00F367FC" w:rsidP="0081747E">
            <w:pPr>
              <w:pStyle w:val="ExhibitText"/>
              <w:widowControl w:val="0"/>
              <w:rPr>
                <w:sz w:val="18"/>
                <w:szCs w:val="18"/>
                <w:lang w:val="en-GB"/>
              </w:rPr>
            </w:pPr>
            <w:r w:rsidRPr="00CB4F3B">
              <w:rPr>
                <w:sz w:val="18"/>
                <w:szCs w:val="18"/>
                <w:lang w:val="en-GB"/>
              </w:rPr>
              <w:t>Board games</w:t>
            </w:r>
          </w:p>
        </w:tc>
        <w:tc>
          <w:tcPr>
            <w:tcW w:w="3420" w:type="dxa"/>
            <w:tcBorders>
              <w:top w:val="single" w:sz="4" w:space="0" w:color="auto"/>
              <w:left w:val="single" w:sz="4" w:space="0" w:color="auto"/>
              <w:bottom w:val="single" w:sz="4" w:space="0" w:color="auto"/>
              <w:right w:val="single" w:sz="4" w:space="0" w:color="auto"/>
            </w:tcBorders>
            <w:vAlign w:val="center"/>
          </w:tcPr>
          <w:p w14:paraId="02475B96" w14:textId="02BBD8C9" w:rsidR="00F367FC" w:rsidRPr="00CB4F3B" w:rsidRDefault="00F367FC" w:rsidP="00757EC9">
            <w:pPr>
              <w:pStyle w:val="ExhibitText"/>
              <w:widowControl w:val="0"/>
              <w:jc w:val="left"/>
              <w:rPr>
                <w:sz w:val="18"/>
                <w:szCs w:val="18"/>
                <w:lang w:val="en-GB"/>
              </w:rPr>
            </w:pPr>
            <w:r w:rsidRPr="00CB4F3B">
              <w:rPr>
                <w:sz w:val="18"/>
                <w:szCs w:val="18"/>
                <w:lang w:val="en-GB"/>
              </w:rPr>
              <w:t>Logical and analytical thinking</w:t>
            </w:r>
          </w:p>
        </w:tc>
        <w:tc>
          <w:tcPr>
            <w:tcW w:w="1615" w:type="dxa"/>
            <w:tcBorders>
              <w:top w:val="single" w:sz="4" w:space="0" w:color="auto"/>
              <w:left w:val="single" w:sz="4" w:space="0" w:color="auto"/>
              <w:bottom w:val="single" w:sz="4" w:space="0" w:color="auto"/>
              <w:right w:val="single" w:sz="4" w:space="0" w:color="auto"/>
            </w:tcBorders>
            <w:vAlign w:val="center"/>
          </w:tcPr>
          <w:p w14:paraId="069149C9" w14:textId="7B785A9B" w:rsidR="00F367FC" w:rsidRPr="00CB4F3B" w:rsidRDefault="00F367FC" w:rsidP="0081747E">
            <w:pPr>
              <w:pStyle w:val="ExhibitText"/>
              <w:widowControl w:val="0"/>
              <w:rPr>
                <w:sz w:val="18"/>
                <w:szCs w:val="18"/>
                <w:lang w:val="en-GB"/>
              </w:rPr>
            </w:pPr>
            <w:r w:rsidRPr="00CB4F3B">
              <w:rPr>
                <w:sz w:val="18"/>
                <w:szCs w:val="18"/>
                <w:lang w:val="en-GB"/>
              </w:rPr>
              <w:t>Rummikub</w:t>
            </w:r>
          </w:p>
        </w:tc>
      </w:tr>
      <w:tr w:rsidR="00F367FC" w:rsidRPr="00CB4F3B" w14:paraId="7ED844EA" w14:textId="77777777" w:rsidTr="00AC768E">
        <w:trPr>
          <w:jc w:val="center"/>
        </w:trPr>
        <w:tc>
          <w:tcPr>
            <w:tcW w:w="1705" w:type="dxa"/>
            <w:tcBorders>
              <w:top w:val="single" w:sz="4" w:space="0" w:color="auto"/>
              <w:left w:val="single" w:sz="4" w:space="0" w:color="auto"/>
              <w:bottom w:val="single" w:sz="4" w:space="0" w:color="auto"/>
              <w:right w:val="single" w:sz="4" w:space="0" w:color="auto"/>
            </w:tcBorders>
            <w:vAlign w:val="center"/>
          </w:tcPr>
          <w:p w14:paraId="3174CB29" w14:textId="5338D700" w:rsidR="00F367FC" w:rsidRPr="00CB4F3B" w:rsidRDefault="00F367FC" w:rsidP="0081747E">
            <w:pPr>
              <w:pStyle w:val="ExhibitText"/>
              <w:widowControl w:val="0"/>
              <w:rPr>
                <w:sz w:val="18"/>
                <w:szCs w:val="18"/>
                <w:lang w:val="en-GB"/>
              </w:rPr>
            </w:pPr>
            <w:r w:rsidRPr="00CB4F3B">
              <w:rPr>
                <w:sz w:val="18"/>
                <w:szCs w:val="18"/>
                <w:lang w:val="en-GB"/>
              </w:rPr>
              <w:t>Siku</w:t>
            </w:r>
          </w:p>
        </w:tc>
        <w:tc>
          <w:tcPr>
            <w:tcW w:w="2610" w:type="dxa"/>
            <w:tcBorders>
              <w:top w:val="single" w:sz="4" w:space="0" w:color="auto"/>
              <w:left w:val="single" w:sz="4" w:space="0" w:color="auto"/>
              <w:bottom w:val="single" w:sz="4" w:space="0" w:color="auto"/>
              <w:right w:val="single" w:sz="4" w:space="0" w:color="auto"/>
            </w:tcBorders>
            <w:vAlign w:val="center"/>
          </w:tcPr>
          <w:p w14:paraId="68A2B989" w14:textId="469D0686" w:rsidR="00F367FC" w:rsidRPr="00CB4F3B" w:rsidRDefault="00F367FC" w:rsidP="0081747E">
            <w:pPr>
              <w:pStyle w:val="ExhibitText"/>
              <w:widowControl w:val="0"/>
              <w:rPr>
                <w:sz w:val="18"/>
                <w:szCs w:val="18"/>
                <w:lang w:val="en-GB"/>
              </w:rPr>
            </w:pPr>
            <w:r w:rsidRPr="00CB4F3B">
              <w:rPr>
                <w:sz w:val="18"/>
                <w:szCs w:val="18"/>
                <w:lang w:val="en-GB"/>
              </w:rPr>
              <w:t>Trucks and big tank vehicles</w:t>
            </w:r>
          </w:p>
        </w:tc>
        <w:tc>
          <w:tcPr>
            <w:tcW w:w="3420" w:type="dxa"/>
            <w:tcBorders>
              <w:top w:val="single" w:sz="4" w:space="0" w:color="auto"/>
              <w:left w:val="single" w:sz="4" w:space="0" w:color="auto"/>
              <w:bottom w:val="single" w:sz="4" w:space="0" w:color="auto"/>
              <w:right w:val="single" w:sz="4" w:space="0" w:color="auto"/>
            </w:tcBorders>
            <w:vAlign w:val="center"/>
          </w:tcPr>
          <w:p w14:paraId="45B4AE36" w14:textId="05FFB0AE" w:rsidR="00F367FC" w:rsidRPr="00CB4F3B" w:rsidRDefault="00F367FC" w:rsidP="00757EC9">
            <w:pPr>
              <w:pStyle w:val="ExhibitText"/>
              <w:widowControl w:val="0"/>
              <w:jc w:val="left"/>
              <w:rPr>
                <w:sz w:val="18"/>
                <w:szCs w:val="18"/>
                <w:lang w:val="en-GB"/>
              </w:rPr>
            </w:pPr>
            <w:r w:rsidRPr="00CB4F3B">
              <w:rPr>
                <w:sz w:val="18"/>
                <w:szCs w:val="18"/>
                <w:lang w:val="en-GB"/>
              </w:rPr>
              <w:t>Hand</w:t>
            </w:r>
            <w:r w:rsidR="00E42171">
              <w:rPr>
                <w:sz w:val="18"/>
                <w:szCs w:val="18"/>
                <w:lang w:val="en-GB"/>
              </w:rPr>
              <w:t>–</w:t>
            </w:r>
            <w:r w:rsidRPr="00CB4F3B">
              <w:rPr>
                <w:sz w:val="18"/>
                <w:szCs w:val="18"/>
                <w:lang w:val="en-GB"/>
              </w:rPr>
              <w:t xml:space="preserve">eye coordination and motor skills </w:t>
            </w:r>
          </w:p>
        </w:tc>
        <w:tc>
          <w:tcPr>
            <w:tcW w:w="1615" w:type="dxa"/>
            <w:tcBorders>
              <w:top w:val="single" w:sz="4" w:space="0" w:color="auto"/>
              <w:left w:val="single" w:sz="4" w:space="0" w:color="auto"/>
              <w:bottom w:val="single" w:sz="4" w:space="0" w:color="auto"/>
              <w:right w:val="single" w:sz="4" w:space="0" w:color="auto"/>
            </w:tcBorders>
            <w:vAlign w:val="center"/>
          </w:tcPr>
          <w:p w14:paraId="3F8C279B" w14:textId="302622E1" w:rsidR="00F367FC" w:rsidRPr="00CB4F3B" w:rsidRDefault="00F367FC" w:rsidP="0081747E">
            <w:pPr>
              <w:pStyle w:val="ExhibitText"/>
              <w:widowControl w:val="0"/>
              <w:rPr>
                <w:sz w:val="18"/>
                <w:szCs w:val="18"/>
                <w:lang w:val="en-GB"/>
              </w:rPr>
            </w:pPr>
            <w:r w:rsidRPr="00CB4F3B">
              <w:rPr>
                <w:sz w:val="18"/>
                <w:szCs w:val="18"/>
                <w:lang w:val="en-GB"/>
              </w:rPr>
              <w:t>Siku</w:t>
            </w:r>
          </w:p>
        </w:tc>
      </w:tr>
      <w:tr w:rsidR="00F367FC" w:rsidRPr="00CB4F3B" w14:paraId="148AAA85" w14:textId="77777777" w:rsidTr="00AC768E">
        <w:trPr>
          <w:jc w:val="center"/>
        </w:trPr>
        <w:tc>
          <w:tcPr>
            <w:tcW w:w="1705" w:type="dxa"/>
            <w:tcBorders>
              <w:top w:val="single" w:sz="4" w:space="0" w:color="auto"/>
              <w:left w:val="single" w:sz="4" w:space="0" w:color="auto"/>
              <w:bottom w:val="single" w:sz="4" w:space="0" w:color="auto"/>
              <w:right w:val="single" w:sz="4" w:space="0" w:color="auto"/>
            </w:tcBorders>
            <w:vAlign w:val="center"/>
          </w:tcPr>
          <w:p w14:paraId="6AD04604" w14:textId="4214EBA7" w:rsidR="00F367FC" w:rsidRPr="00CB4F3B" w:rsidRDefault="00F367FC" w:rsidP="0081747E">
            <w:pPr>
              <w:pStyle w:val="ExhibitText"/>
              <w:widowControl w:val="0"/>
              <w:rPr>
                <w:sz w:val="18"/>
                <w:szCs w:val="18"/>
                <w:lang w:val="en-GB"/>
              </w:rPr>
            </w:pPr>
            <w:r w:rsidRPr="00CB4F3B">
              <w:rPr>
                <w:sz w:val="18"/>
                <w:szCs w:val="18"/>
                <w:lang w:val="en-GB"/>
              </w:rPr>
              <w:t>Spiderman</w:t>
            </w:r>
          </w:p>
        </w:tc>
        <w:tc>
          <w:tcPr>
            <w:tcW w:w="2610" w:type="dxa"/>
            <w:tcBorders>
              <w:top w:val="single" w:sz="4" w:space="0" w:color="auto"/>
              <w:left w:val="single" w:sz="4" w:space="0" w:color="auto"/>
              <w:bottom w:val="single" w:sz="4" w:space="0" w:color="auto"/>
              <w:right w:val="single" w:sz="4" w:space="0" w:color="auto"/>
            </w:tcBorders>
            <w:vAlign w:val="center"/>
          </w:tcPr>
          <w:p w14:paraId="531AFB5E" w14:textId="37A13E4F" w:rsidR="00F367FC" w:rsidRPr="00CB4F3B" w:rsidRDefault="00F367FC" w:rsidP="0081747E">
            <w:pPr>
              <w:pStyle w:val="ExhibitText"/>
              <w:widowControl w:val="0"/>
              <w:rPr>
                <w:sz w:val="18"/>
                <w:szCs w:val="18"/>
                <w:lang w:val="en-GB"/>
              </w:rPr>
            </w:pPr>
            <w:r w:rsidRPr="00CB4F3B">
              <w:rPr>
                <w:sz w:val="18"/>
                <w:szCs w:val="18"/>
                <w:lang w:val="en-GB"/>
              </w:rPr>
              <w:t>Action figures</w:t>
            </w:r>
          </w:p>
        </w:tc>
        <w:tc>
          <w:tcPr>
            <w:tcW w:w="3420" w:type="dxa"/>
            <w:tcBorders>
              <w:top w:val="single" w:sz="4" w:space="0" w:color="auto"/>
              <w:left w:val="single" w:sz="4" w:space="0" w:color="auto"/>
              <w:bottom w:val="single" w:sz="4" w:space="0" w:color="auto"/>
              <w:right w:val="single" w:sz="4" w:space="0" w:color="auto"/>
            </w:tcBorders>
            <w:vAlign w:val="center"/>
          </w:tcPr>
          <w:p w14:paraId="4D2A1EFD" w14:textId="3D29A41B" w:rsidR="00F367FC" w:rsidRPr="00CB4F3B" w:rsidRDefault="00F367FC" w:rsidP="00757EC9">
            <w:pPr>
              <w:pStyle w:val="ExhibitText"/>
              <w:widowControl w:val="0"/>
              <w:jc w:val="left"/>
              <w:rPr>
                <w:sz w:val="18"/>
                <w:szCs w:val="18"/>
                <w:lang w:val="en-GB"/>
              </w:rPr>
            </w:pPr>
            <w:r w:rsidRPr="00CB4F3B">
              <w:rPr>
                <w:sz w:val="18"/>
                <w:szCs w:val="18"/>
                <w:lang w:val="en-GB"/>
              </w:rPr>
              <w:t>Hand</w:t>
            </w:r>
            <w:r w:rsidR="00E42171">
              <w:rPr>
                <w:sz w:val="18"/>
                <w:szCs w:val="18"/>
                <w:lang w:val="en-GB"/>
              </w:rPr>
              <w:t>–</w:t>
            </w:r>
            <w:r w:rsidRPr="00CB4F3B">
              <w:rPr>
                <w:sz w:val="18"/>
                <w:szCs w:val="18"/>
                <w:lang w:val="en-GB"/>
              </w:rPr>
              <w:t>eye coordination and role-play activity</w:t>
            </w:r>
          </w:p>
        </w:tc>
        <w:tc>
          <w:tcPr>
            <w:tcW w:w="1615" w:type="dxa"/>
            <w:tcBorders>
              <w:top w:val="single" w:sz="4" w:space="0" w:color="auto"/>
              <w:left w:val="single" w:sz="4" w:space="0" w:color="auto"/>
              <w:bottom w:val="single" w:sz="4" w:space="0" w:color="auto"/>
              <w:right w:val="single" w:sz="4" w:space="0" w:color="auto"/>
            </w:tcBorders>
            <w:vAlign w:val="center"/>
          </w:tcPr>
          <w:p w14:paraId="63F3A195" w14:textId="16E9C5B2" w:rsidR="00F367FC" w:rsidRPr="00CB4F3B" w:rsidRDefault="00F367FC" w:rsidP="0081747E">
            <w:pPr>
              <w:pStyle w:val="ExhibitText"/>
              <w:widowControl w:val="0"/>
              <w:rPr>
                <w:sz w:val="18"/>
                <w:szCs w:val="18"/>
                <w:lang w:val="en-GB"/>
              </w:rPr>
            </w:pPr>
            <w:r w:rsidRPr="00CB4F3B">
              <w:rPr>
                <w:sz w:val="18"/>
                <w:szCs w:val="18"/>
                <w:lang w:val="en-GB"/>
              </w:rPr>
              <w:t>Hasbro</w:t>
            </w:r>
          </w:p>
        </w:tc>
      </w:tr>
      <w:tr w:rsidR="00F367FC" w:rsidRPr="00CB4F3B" w14:paraId="0421A321" w14:textId="77777777" w:rsidTr="00AC768E">
        <w:trPr>
          <w:jc w:val="center"/>
        </w:trPr>
        <w:tc>
          <w:tcPr>
            <w:tcW w:w="1705" w:type="dxa"/>
            <w:tcBorders>
              <w:top w:val="single" w:sz="4" w:space="0" w:color="auto"/>
              <w:left w:val="single" w:sz="4" w:space="0" w:color="auto"/>
              <w:bottom w:val="single" w:sz="4" w:space="0" w:color="auto"/>
              <w:right w:val="single" w:sz="4" w:space="0" w:color="auto"/>
            </w:tcBorders>
            <w:vAlign w:val="center"/>
          </w:tcPr>
          <w:p w14:paraId="72E43523" w14:textId="215205E6" w:rsidR="00F367FC" w:rsidRPr="00CB4F3B" w:rsidRDefault="00F367FC" w:rsidP="0081747E">
            <w:pPr>
              <w:pStyle w:val="ExhibitText"/>
              <w:widowControl w:val="0"/>
              <w:rPr>
                <w:sz w:val="18"/>
                <w:szCs w:val="18"/>
                <w:lang w:val="en-GB"/>
              </w:rPr>
            </w:pPr>
            <w:r w:rsidRPr="00CB4F3B">
              <w:rPr>
                <w:sz w:val="18"/>
                <w:szCs w:val="18"/>
                <w:lang w:val="en-GB"/>
              </w:rPr>
              <w:t>Superman</w:t>
            </w:r>
          </w:p>
        </w:tc>
        <w:tc>
          <w:tcPr>
            <w:tcW w:w="2610" w:type="dxa"/>
            <w:tcBorders>
              <w:top w:val="single" w:sz="4" w:space="0" w:color="auto"/>
              <w:left w:val="single" w:sz="4" w:space="0" w:color="auto"/>
              <w:bottom w:val="single" w:sz="4" w:space="0" w:color="auto"/>
              <w:right w:val="single" w:sz="4" w:space="0" w:color="auto"/>
            </w:tcBorders>
            <w:vAlign w:val="center"/>
          </w:tcPr>
          <w:p w14:paraId="37D77654" w14:textId="62B8FFED" w:rsidR="00F367FC" w:rsidRPr="00CB4F3B" w:rsidRDefault="00F367FC" w:rsidP="0081747E">
            <w:pPr>
              <w:pStyle w:val="ExhibitText"/>
              <w:widowControl w:val="0"/>
              <w:rPr>
                <w:sz w:val="18"/>
                <w:szCs w:val="18"/>
                <w:lang w:val="en-GB"/>
              </w:rPr>
            </w:pPr>
            <w:r w:rsidRPr="00CB4F3B">
              <w:rPr>
                <w:sz w:val="18"/>
                <w:szCs w:val="18"/>
                <w:lang w:val="en-GB"/>
              </w:rPr>
              <w:t>Action figures</w:t>
            </w:r>
          </w:p>
        </w:tc>
        <w:tc>
          <w:tcPr>
            <w:tcW w:w="3420" w:type="dxa"/>
            <w:tcBorders>
              <w:top w:val="single" w:sz="4" w:space="0" w:color="auto"/>
              <w:left w:val="single" w:sz="4" w:space="0" w:color="auto"/>
              <w:bottom w:val="single" w:sz="4" w:space="0" w:color="auto"/>
              <w:right w:val="single" w:sz="4" w:space="0" w:color="auto"/>
            </w:tcBorders>
            <w:vAlign w:val="center"/>
          </w:tcPr>
          <w:p w14:paraId="5FE33CAC" w14:textId="01896FB0" w:rsidR="00F367FC" w:rsidRPr="00CB4F3B" w:rsidRDefault="00F367FC" w:rsidP="00757EC9">
            <w:pPr>
              <w:pStyle w:val="ExhibitText"/>
              <w:widowControl w:val="0"/>
              <w:jc w:val="left"/>
              <w:rPr>
                <w:sz w:val="18"/>
                <w:szCs w:val="18"/>
                <w:lang w:val="en-GB"/>
              </w:rPr>
            </w:pPr>
            <w:r w:rsidRPr="00CB4F3B">
              <w:rPr>
                <w:sz w:val="18"/>
                <w:szCs w:val="18"/>
                <w:lang w:val="en-GB"/>
              </w:rPr>
              <w:t>Hand</w:t>
            </w:r>
            <w:r w:rsidR="00E42171">
              <w:rPr>
                <w:sz w:val="18"/>
                <w:szCs w:val="18"/>
                <w:lang w:val="en-GB"/>
              </w:rPr>
              <w:t>–</w:t>
            </w:r>
            <w:r w:rsidRPr="00CB4F3B">
              <w:rPr>
                <w:sz w:val="18"/>
                <w:szCs w:val="18"/>
                <w:lang w:val="en-GB"/>
              </w:rPr>
              <w:t>eye coordination and role-play activity</w:t>
            </w:r>
          </w:p>
        </w:tc>
        <w:tc>
          <w:tcPr>
            <w:tcW w:w="1615" w:type="dxa"/>
            <w:tcBorders>
              <w:top w:val="single" w:sz="4" w:space="0" w:color="auto"/>
              <w:left w:val="single" w:sz="4" w:space="0" w:color="auto"/>
              <w:bottom w:val="single" w:sz="4" w:space="0" w:color="auto"/>
              <w:right w:val="single" w:sz="4" w:space="0" w:color="auto"/>
            </w:tcBorders>
            <w:vAlign w:val="center"/>
          </w:tcPr>
          <w:p w14:paraId="2B9B6941" w14:textId="0369D979" w:rsidR="00F367FC" w:rsidRPr="00CB4F3B" w:rsidRDefault="00F367FC" w:rsidP="0081747E">
            <w:pPr>
              <w:pStyle w:val="ExhibitText"/>
              <w:widowControl w:val="0"/>
              <w:rPr>
                <w:sz w:val="18"/>
                <w:szCs w:val="18"/>
                <w:lang w:val="en-GB"/>
              </w:rPr>
            </w:pPr>
            <w:r w:rsidRPr="00CB4F3B">
              <w:rPr>
                <w:sz w:val="18"/>
                <w:szCs w:val="18"/>
                <w:lang w:val="en-GB"/>
              </w:rPr>
              <w:t>Hasbro</w:t>
            </w:r>
          </w:p>
        </w:tc>
      </w:tr>
      <w:tr w:rsidR="00F367FC" w:rsidRPr="00CB4F3B" w14:paraId="0EB1BB37" w14:textId="77777777" w:rsidTr="00AC768E">
        <w:trPr>
          <w:jc w:val="center"/>
        </w:trPr>
        <w:tc>
          <w:tcPr>
            <w:tcW w:w="1705" w:type="dxa"/>
            <w:tcBorders>
              <w:top w:val="single" w:sz="4" w:space="0" w:color="auto"/>
              <w:left w:val="single" w:sz="4" w:space="0" w:color="auto"/>
              <w:bottom w:val="single" w:sz="4" w:space="0" w:color="auto"/>
              <w:right w:val="single" w:sz="4" w:space="0" w:color="auto"/>
            </w:tcBorders>
            <w:vAlign w:val="center"/>
          </w:tcPr>
          <w:p w14:paraId="6CC91B62" w14:textId="108E582E" w:rsidR="00F367FC" w:rsidRPr="00CB4F3B" w:rsidRDefault="00F367FC" w:rsidP="00783C90">
            <w:pPr>
              <w:pStyle w:val="ExhibitText"/>
              <w:widowControl w:val="0"/>
              <w:jc w:val="left"/>
              <w:rPr>
                <w:sz w:val="18"/>
                <w:szCs w:val="18"/>
                <w:lang w:val="en-GB"/>
              </w:rPr>
            </w:pPr>
            <w:r w:rsidRPr="00CB4F3B">
              <w:rPr>
                <w:sz w:val="18"/>
                <w:szCs w:val="18"/>
                <w:lang w:val="en-GB"/>
              </w:rPr>
              <w:t xml:space="preserve">Thames </w:t>
            </w:r>
            <w:r w:rsidR="00C20FB4">
              <w:rPr>
                <w:sz w:val="18"/>
                <w:szCs w:val="18"/>
                <w:lang w:val="en-GB"/>
              </w:rPr>
              <w:t>&amp;</w:t>
            </w:r>
            <w:r w:rsidR="00C20FB4" w:rsidRPr="00CB4F3B">
              <w:rPr>
                <w:sz w:val="18"/>
                <w:szCs w:val="18"/>
                <w:lang w:val="en-GB"/>
              </w:rPr>
              <w:t xml:space="preserve"> </w:t>
            </w:r>
            <w:r w:rsidRPr="00CB4F3B">
              <w:rPr>
                <w:sz w:val="18"/>
                <w:szCs w:val="18"/>
                <w:lang w:val="en-GB"/>
              </w:rPr>
              <w:t>Cosmos</w:t>
            </w:r>
          </w:p>
        </w:tc>
        <w:tc>
          <w:tcPr>
            <w:tcW w:w="2610" w:type="dxa"/>
            <w:tcBorders>
              <w:top w:val="single" w:sz="4" w:space="0" w:color="auto"/>
              <w:left w:val="single" w:sz="4" w:space="0" w:color="auto"/>
              <w:bottom w:val="single" w:sz="4" w:space="0" w:color="auto"/>
              <w:right w:val="single" w:sz="4" w:space="0" w:color="auto"/>
            </w:tcBorders>
            <w:vAlign w:val="center"/>
          </w:tcPr>
          <w:p w14:paraId="7A2C61F4" w14:textId="6DA8147A" w:rsidR="00F367FC" w:rsidRPr="00CB4F3B" w:rsidRDefault="00F367FC" w:rsidP="0081747E">
            <w:pPr>
              <w:pStyle w:val="ExhibitText"/>
              <w:widowControl w:val="0"/>
              <w:rPr>
                <w:sz w:val="18"/>
                <w:szCs w:val="18"/>
                <w:lang w:val="en-GB"/>
              </w:rPr>
            </w:pPr>
            <w:r w:rsidRPr="00CB4F3B">
              <w:rPr>
                <w:sz w:val="18"/>
                <w:szCs w:val="18"/>
                <w:lang w:val="en-GB"/>
              </w:rPr>
              <w:t>Science toys</w:t>
            </w:r>
          </w:p>
        </w:tc>
        <w:tc>
          <w:tcPr>
            <w:tcW w:w="3420" w:type="dxa"/>
            <w:tcBorders>
              <w:top w:val="single" w:sz="4" w:space="0" w:color="auto"/>
              <w:left w:val="single" w:sz="4" w:space="0" w:color="auto"/>
              <w:bottom w:val="single" w:sz="4" w:space="0" w:color="auto"/>
              <w:right w:val="single" w:sz="4" w:space="0" w:color="auto"/>
            </w:tcBorders>
            <w:vAlign w:val="center"/>
          </w:tcPr>
          <w:p w14:paraId="13B6C873" w14:textId="64267FEF" w:rsidR="00F367FC" w:rsidRPr="00CB4F3B" w:rsidRDefault="00F367FC" w:rsidP="00757EC9">
            <w:pPr>
              <w:pStyle w:val="ExhibitText"/>
              <w:widowControl w:val="0"/>
              <w:jc w:val="left"/>
              <w:rPr>
                <w:sz w:val="18"/>
                <w:szCs w:val="18"/>
                <w:lang w:val="en-GB"/>
              </w:rPr>
            </w:pPr>
            <w:r w:rsidRPr="00CB4F3B">
              <w:rPr>
                <w:sz w:val="18"/>
                <w:szCs w:val="18"/>
                <w:lang w:val="en-GB"/>
              </w:rPr>
              <w:t>Curiosity building and educational play</w:t>
            </w:r>
          </w:p>
        </w:tc>
        <w:tc>
          <w:tcPr>
            <w:tcW w:w="1615" w:type="dxa"/>
            <w:tcBorders>
              <w:top w:val="single" w:sz="4" w:space="0" w:color="auto"/>
              <w:left w:val="single" w:sz="4" w:space="0" w:color="auto"/>
              <w:bottom w:val="single" w:sz="4" w:space="0" w:color="auto"/>
              <w:right w:val="single" w:sz="4" w:space="0" w:color="auto"/>
            </w:tcBorders>
            <w:vAlign w:val="center"/>
          </w:tcPr>
          <w:p w14:paraId="6634B286" w14:textId="3FD99AC1" w:rsidR="00F367FC" w:rsidRPr="00CB4F3B" w:rsidRDefault="00F367FC" w:rsidP="00783C90">
            <w:pPr>
              <w:pStyle w:val="ExhibitText"/>
              <w:widowControl w:val="0"/>
              <w:jc w:val="left"/>
              <w:rPr>
                <w:sz w:val="18"/>
                <w:szCs w:val="18"/>
                <w:lang w:val="en-GB"/>
              </w:rPr>
            </w:pPr>
            <w:r w:rsidRPr="00CB4F3B">
              <w:rPr>
                <w:sz w:val="18"/>
                <w:szCs w:val="18"/>
                <w:lang w:val="en-GB"/>
              </w:rPr>
              <w:t xml:space="preserve">Thames </w:t>
            </w:r>
            <w:r w:rsidR="00C20FB4">
              <w:rPr>
                <w:sz w:val="18"/>
                <w:szCs w:val="18"/>
                <w:lang w:val="en-GB"/>
              </w:rPr>
              <w:t>&amp;</w:t>
            </w:r>
            <w:r w:rsidR="00C20FB4" w:rsidRPr="00CB4F3B">
              <w:rPr>
                <w:sz w:val="18"/>
                <w:szCs w:val="18"/>
                <w:lang w:val="en-GB"/>
              </w:rPr>
              <w:t xml:space="preserve"> </w:t>
            </w:r>
            <w:r w:rsidRPr="00CB4F3B">
              <w:rPr>
                <w:sz w:val="18"/>
                <w:szCs w:val="18"/>
                <w:lang w:val="en-GB"/>
              </w:rPr>
              <w:t>Cosmos</w:t>
            </w:r>
          </w:p>
        </w:tc>
      </w:tr>
      <w:tr w:rsidR="00F367FC" w:rsidRPr="00CB4F3B" w14:paraId="48A7CF53" w14:textId="77777777" w:rsidTr="00AC768E">
        <w:trPr>
          <w:jc w:val="center"/>
        </w:trPr>
        <w:tc>
          <w:tcPr>
            <w:tcW w:w="1705" w:type="dxa"/>
            <w:tcBorders>
              <w:top w:val="single" w:sz="4" w:space="0" w:color="auto"/>
              <w:left w:val="single" w:sz="4" w:space="0" w:color="auto"/>
              <w:bottom w:val="single" w:sz="4" w:space="0" w:color="auto"/>
              <w:right w:val="single" w:sz="4" w:space="0" w:color="auto"/>
            </w:tcBorders>
            <w:vAlign w:val="center"/>
          </w:tcPr>
          <w:p w14:paraId="5AF9C1DC" w14:textId="059F3254" w:rsidR="00F367FC" w:rsidRPr="00CB4F3B" w:rsidRDefault="00F367FC" w:rsidP="0081747E">
            <w:pPr>
              <w:pStyle w:val="ExhibitText"/>
              <w:widowControl w:val="0"/>
              <w:rPr>
                <w:sz w:val="18"/>
                <w:szCs w:val="18"/>
                <w:lang w:val="en-GB"/>
              </w:rPr>
            </w:pPr>
            <w:r w:rsidRPr="00CB4F3B">
              <w:rPr>
                <w:sz w:val="18"/>
                <w:szCs w:val="18"/>
                <w:lang w:val="en-GB"/>
              </w:rPr>
              <w:t>Tomica</w:t>
            </w:r>
          </w:p>
        </w:tc>
        <w:tc>
          <w:tcPr>
            <w:tcW w:w="2610" w:type="dxa"/>
            <w:tcBorders>
              <w:top w:val="single" w:sz="4" w:space="0" w:color="auto"/>
              <w:left w:val="single" w:sz="4" w:space="0" w:color="auto"/>
              <w:bottom w:val="single" w:sz="4" w:space="0" w:color="auto"/>
              <w:right w:val="single" w:sz="4" w:space="0" w:color="auto"/>
            </w:tcBorders>
            <w:vAlign w:val="center"/>
          </w:tcPr>
          <w:p w14:paraId="3A8F0D08" w14:textId="475A720B" w:rsidR="00F367FC" w:rsidRPr="00CB4F3B" w:rsidRDefault="00F367FC" w:rsidP="0081747E">
            <w:pPr>
              <w:pStyle w:val="ExhibitText"/>
              <w:widowControl w:val="0"/>
              <w:rPr>
                <w:sz w:val="18"/>
                <w:szCs w:val="18"/>
                <w:lang w:val="en-GB"/>
              </w:rPr>
            </w:pPr>
            <w:r w:rsidRPr="00CB4F3B">
              <w:rPr>
                <w:sz w:val="18"/>
                <w:szCs w:val="18"/>
                <w:lang w:val="en-GB"/>
              </w:rPr>
              <w:t>Bikes and cars</w:t>
            </w:r>
          </w:p>
        </w:tc>
        <w:tc>
          <w:tcPr>
            <w:tcW w:w="3420" w:type="dxa"/>
            <w:tcBorders>
              <w:top w:val="single" w:sz="4" w:space="0" w:color="auto"/>
              <w:left w:val="single" w:sz="4" w:space="0" w:color="auto"/>
              <w:bottom w:val="single" w:sz="4" w:space="0" w:color="auto"/>
              <w:right w:val="single" w:sz="4" w:space="0" w:color="auto"/>
            </w:tcBorders>
            <w:vAlign w:val="center"/>
          </w:tcPr>
          <w:p w14:paraId="1CF3CC44" w14:textId="1A12AC61" w:rsidR="00F367FC" w:rsidRPr="00CB4F3B" w:rsidRDefault="00F367FC" w:rsidP="00757EC9">
            <w:pPr>
              <w:pStyle w:val="ExhibitText"/>
              <w:widowControl w:val="0"/>
              <w:jc w:val="left"/>
              <w:rPr>
                <w:sz w:val="18"/>
                <w:szCs w:val="18"/>
                <w:lang w:val="en-GB"/>
              </w:rPr>
            </w:pPr>
            <w:r w:rsidRPr="00CB4F3B">
              <w:rPr>
                <w:sz w:val="18"/>
                <w:szCs w:val="18"/>
                <w:lang w:val="en-GB"/>
              </w:rPr>
              <w:t>Hand</w:t>
            </w:r>
            <w:r w:rsidR="00E42171">
              <w:rPr>
                <w:sz w:val="18"/>
                <w:szCs w:val="18"/>
                <w:lang w:val="en-GB"/>
              </w:rPr>
              <w:t>–</w:t>
            </w:r>
            <w:r w:rsidRPr="00CB4F3B">
              <w:rPr>
                <w:sz w:val="18"/>
                <w:szCs w:val="18"/>
                <w:lang w:val="en-GB"/>
              </w:rPr>
              <w:t xml:space="preserve">eye coordination and motor skills </w:t>
            </w:r>
          </w:p>
        </w:tc>
        <w:tc>
          <w:tcPr>
            <w:tcW w:w="1615" w:type="dxa"/>
            <w:tcBorders>
              <w:top w:val="single" w:sz="4" w:space="0" w:color="auto"/>
              <w:left w:val="single" w:sz="4" w:space="0" w:color="auto"/>
              <w:bottom w:val="single" w:sz="4" w:space="0" w:color="auto"/>
              <w:right w:val="single" w:sz="4" w:space="0" w:color="auto"/>
            </w:tcBorders>
            <w:vAlign w:val="center"/>
          </w:tcPr>
          <w:p w14:paraId="4FF016CE" w14:textId="70D76425" w:rsidR="00F367FC" w:rsidRPr="00CB4F3B" w:rsidRDefault="00F367FC" w:rsidP="0081747E">
            <w:pPr>
              <w:pStyle w:val="ExhibitText"/>
              <w:widowControl w:val="0"/>
              <w:rPr>
                <w:sz w:val="18"/>
                <w:szCs w:val="18"/>
                <w:lang w:val="en-GB"/>
              </w:rPr>
            </w:pPr>
            <w:r w:rsidRPr="00CB4F3B">
              <w:rPr>
                <w:sz w:val="18"/>
                <w:szCs w:val="18"/>
                <w:lang w:val="en-GB"/>
              </w:rPr>
              <w:t>Tomy</w:t>
            </w:r>
          </w:p>
        </w:tc>
      </w:tr>
      <w:tr w:rsidR="00F367FC" w:rsidRPr="00CB4F3B" w14:paraId="051A6272" w14:textId="77777777" w:rsidTr="00AC768E">
        <w:trPr>
          <w:jc w:val="center"/>
        </w:trPr>
        <w:tc>
          <w:tcPr>
            <w:tcW w:w="1705" w:type="dxa"/>
            <w:tcBorders>
              <w:top w:val="single" w:sz="4" w:space="0" w:color="auto"/>
              <w:left w:val="single" w:sz="4" w:space="0" w:color="auto"/>
              <w:bottom w:val="single" w:sz="4" w:space="0" w:color="auto"/>
              <w:right w:val="single" w:sz="4" w:space="0" w:color="auto"/>
            </w:tcBorders>
            <w:vAlign w:val="center"/>
          </w:tcPr>
          <w:p w14:paraId="7420A4D1" w14:textId="1229CA5E" w:rsidR="00F367FC" w:rsidRPr="00CB4F3B" w:rsidRDefault="00F367FC" w:rsidP="0081747E">
            <w:pPr>
              <w:pStyle w:val="ExhibitText"/>
              <w:widowControl w:val="0"/>
              <w:rPr>
                <w:sz w:val="18"/>
                <w:szCs w:val="18"/>
                <w:lang w:val="en-GB"/>
              </w:rPr>
            </w:pPr>
            <w:r w:rsidRPr="00CB4F3B">
              <w:rPr>
                <w:sz w:val="18"/>
                <w:szCs w:val="18"/>
                <w:lang w:val="en-GB"/>
              </w:rPr>
              <w:t>Transformers</w:t>
            </w:r>
          </w:p>
        </w:tc>
        <w:tc>
          <w:tcPr>
            <w:tcW w:w="2610" w:type="dxa"/>
            <w:tcBorders>
              <w:top w:val="single" w:sz="4" w:space="0" w:color="auto"/>
              <w:left w:val="single" w:sz="4" w:space="0" w:color="auto"/>
              <w:bottom w:val="single" w:sz="4" w:space="0" w:color="auto"/>
              <w:right w:val="single" w:sz="4" w:space="0" w:color="auto"/>
            </w:tcBorders>
            <w:vAlign w:val="center"/>
          </w:tcPr>
          <w:p w14:paraId="235FEE5F" w14:textId="6845336A" w:rsidR="00F367FC" w:rsidRPr="00CB4F3B" w:rsidRDefault="00F367FC" w:rsidP="0081747E">
            <w:pPr>
              <w:pStyle w:val="ExhibitText"/>
              <w:widowControl w:val="0"/>
              <w:rPr>
                <w:sz w:val="18"/>
                <w:szCs w:val="18"/>
                <w:lang w:val="en-GB"/>
              </w:rPr>
            </w:pPr>
            <w:r w:rsidRPr="00CB4F3B">
              <w:rPr>
                <w:sz w:val="18"/>
                <w:szCs w:val="18"/>
                <w:lang w:val="en-GB"/>
              </w:rPr>
              <w:t>Collectible and action figures</w:t>
            </w:r>
          </w:p>
        </w:tc>
        <w:tc>
          <w:tcPr>
            <w:tcW w:w="3420" w:type="dxa"/>
            <w:tcBorders>
              <w:top w:val="single" w:sz="4" w:space="0" w:color="auto"/>
              <w:left w:val="single" w:sz="4" w:space="0" w:color="auto"/>
              <w:bottom w:val="single" w:sz="4" w:space="0" w:color="auto"/>
              <w:right w:val="single" w:sz="4" w:space="0" w:color="auto"/>
            </w:tcBorders>
            <w:vAlign w:val="center"/>
          </w:tcPr>
          <w:p w14:paraId="32488383" w14:textId="596BC154" w:rsidR="00F367FC" w:rsidRPr="00CB4F3B" w:rsidRDefault="00F367FC" w:rsidP="00757EC9">
            <w:pPr>
              <w:pStyle w:val="ExhibitText"/>
              <w:widowControl w:val="0"/>
              <w:jc w:val="left"/>
              <w:rPr>
                <w:sz w:val="18"/>
                <w:szCs w:val="18"/>
                <w:lang w:val="en-GB"/>
              </w:rPr>
            </w:pPr>
            <w:r w:rsidRPr="00CB4F3B">
              <w:rPr>
                <w:sz w:val="18"/>
                <w:szCs w:val="18"/>
                <w:lang w:val="en-GB"/>
              </w:rPr>
              <w:t>Role</w:t>
            </w:r>
            <w:r w:rsidR="00C20FB4">
              <w:rPr>
                <w:sz w:val="18"/>
                <w:szCs w:val="18"/>
                <w:lang w:val="en-GB"/>
              </w:rPr>
              <w:t>-</w:t>
            </w:r>
            <w:r w:rsidRPr="00CB4F3B">
              <w:rPr>
                <w:sz w:val="18"/>
                <w:szCs w:val="18"/>
                <w:lang w:val="en-GB"/>
              </w:rPr>
              <w:t>play activity</w:t>
            </w:r>
          </w:p>
        </w:tc>
        <w:tc>
          <w:tcPr>
            <w:tcW w:w="1615" w:type="dxa"/>
            <w:tcBorders>
              <w:top w:val="single" w:sz="4" w:space="0" w:color="auto"/>
              <w:left w:val="single" w:sz="4" w:space="0" w:color="auto"/>
              <w:bottom w:val="single" w:sz="4" w:space="0" w:color="auto"/>
              <w:right w:val="single" w:sz="4" w:space="0" w:color="auto"/>
            </w:tcBorders>
            <w:vAlign w:val="center"/>
          </w:tcPr>
          <w:p w14:paraId="22E9F9A1" w14:textId="3E53F221" w:rsidR="00F367FC" w:rsidRPr="00CB4F3B" w:rsidRDefault="00F367FC" w:rsidP="0081747E">
            <w:pPr>
              <w:pStyle w:val="ExhibitText"/>
              <w:widowControl w:val="0"/>
              <w:rPr>
                <w:sz w:val="18"/>
                <w:szCs w:val="18"/>
                <w:lang w:val="en-GB"/>
              </w:rPr>
            </w:pPr>
            <w:r w:rsidRPr="00CB4F3B">
              <w:rPr>
                <w:sz w:val="18"/>
                <w:szCs w:val="18"/>
                <w:lang w:val="en-GB"/>
              </w:rPr>
              <w:t>Hasbro</w:t>
            </w:r>
          </w:p>
        </w:tc>
      </w:tr>
      <w:tr w:rsidR="00F367FC" w:rsidRPr="00CB4F3B" w14:paraId="754F6CA9" w14:textId="77777777" w:rsidTr="00AC768E">
        <w:trPr>
          <w:jc w:val="center"/>
        </w:trPr>
        <w:tc>
          <w:tcPr>
            <w:tcW w:w="1705" w:type="dxa"/>
            <w:tcBorders>
              <w:top w:val="single" w:sz="4" w:space="0" w:color="auto"/>
              <w:left w:val="single" w:sz="4" w:space="0" w:color="auto"/>
              <w:bottom w:val="single" w:sz="4" w:space="0" w:color="auto"/>
              <w:right w:val="single" w:sz="4" w:space="0" w:color="auto"/>
            </w:tcBorders>
            <w:vAlign w:val="center"/>
          </w:tcPr>
          <w:p w14:paraId="1E2B4D55" w14:textId="357CAAD0" w:rsidR="00F367FC" w:rsidRPr="00CB4F3B" w:rsidRDefault="00F367FC" w:rsidP="0081747E">
            <w:pPr>
              <w:pStyle w:val="ExhibitText"/>
              <w:widowControl w:val="0"/>
              <w:rPr>
                <w:sz w:val="18"/>
                <w:szCs w:val="18"/>
                <w:lang w:val="en-GB"/>
              </w:rPr>
            </w:pPr>
            <w:r w:rsidRPr="00CB4F3B">
              <w:rPr>
                <w:sz w:val="18"/>
                <w:szCs w:val="18"/>
                <w:lang w:val="en-GB"/>
              </w:rPr>
              <w:t>Winx</w:t>
            </w:r>
          </w:p>
        </w:tc>
        <w:tc>
          <w:tcPr>
            <w:tcW w:w="2610" w:type="dxa"/>
            <w:tcBorders>
              <w:top w:val="single" w:sz="4" w:space="0" w:color="auto"/>
              <w:left w:val="single" w:sz="4" w:space="0" w:color="auto"/>
              <w:bottom w:val="single" w:sz="4" w:space="0" w:color="auto"/>
              <w:right w:val="single" w:sz="4" w:space="0" w:color="auto"/>
            </w:tcBorders>
            <w:vAlign w:val="center"/>
          </w:tcPr>
          <w:p w14:paraId="7E426D3F" w14:textId="0AB1CAB4" w:rsidR="00F367FC" w:rsidRPr="00CB4F3B" w:rsidRDefault="00F367FC" w:rsidP="0081747E">
            <w:pPr>
              <w:pStyle w:val="ExhibitText"/>
              <w:widowControl w:val="0"/>
              <w:rPr>
                <w:sz w:val="18"/>
                <w:szCs w:val="18"/>
                <w:lang w:val="en-GB"/>
              </w:rPr>
            </w:pPr>
            <w:r w:rsidRPr="00CB4F3B">
              <w:rPr>
                <w:sz w:val="18"/>
                <w:szCs w:val="18"/>
                <w:lang w:val="en-GB"/>
              </w:rPr>
              <w:t>Dolls</w:t>
            </w:r>
          </w:p>
        </w:tc>
        <w:tc>
          <w:tcPr>
            <w:tcW w:w="3420" w:type="dxa"/>
            <w:tcBorders>
              <w:top w:val="single" w:sz="4" w:space="0" w:color="auto"/>
              <w:left w:val="single" w:sz="4" w:space="0" w:color="auto"/>
              <w:bottom w:val="single" w:sz="4" w:space="0" w:color="auto"/>
              <w:right w:val="single" w:sz="4" w:space="0" w:color="auto"/>
            </w:tcBorders>
            <w:vAlign w:val="center"/>
          </w:tcPr>
          <w:p w14:paraId="55661301" w14:textId="15E4A748" w:rsidR="00F367FC" w:rsidRPr="00CB4F3B" w:rsidRDefault="00F367FC" w:rsidP="00757EC9">
            <w:pPr>
              <w:pStyle w:val="ExhibitText"/>
              <w:widowControl w:val="0"/>
              <w:jc w:val="left"/>
              <w:rPr>
                <w:sz w:val="18"/>
                <w:szCs w:val="18"/>
                <w:lang w:val="en-GB"/>
              </w:rPr>
            </w:pPr>
            <w:r w:rsidRPr="00CB4F3B">
              <w:rPr>
                <w:sz w:val="18"/>
                <w:szCs w:val="18"/>
                <w:lang w:val="en-GB"/>
              </w:rPr>
              <w:t xml:space="preserve">Social </w:t>
            </w:r>
            <w:r w:rsidR="00C20FB4">
              <w:rPr>
                <w:sz w:val="18"/>
                <w:szCs w:val="18"/>
                <w:lang w:val="en-GB"/>
              </w:rPr>
              <w:t>s</w:t>
            </w:r>
            <w:r w:rsidRPr="00CB4F3B">
              <w:rPr>
                <w:sz w:val="18"/>
                <w:szCs w:val="18"/>
                <w:lang w:val="en-GB"/>
              </w:rPr>
              <w:t>kills and sensory development</w:t>
            </w:r>
          </w:p>
        </w:tc>
        <w:tc>
          <w:tcPr>
            <w:tcW w:w="1615" w:type="dxa"/>
            <w:tcBorders>
              <w:top w:val="single" w:sz="4" w:space="0" w:color="auto"/>
              <w:left w:val="single" w:sz="4" w:space="0" w:color="auto"/>
              <w:bottom w:val="single" w:sz="4" w:space="0" w:color="auto"/>
              <w:right w:val="single" w:sz="4" w:space="0" w:color="auto"/>
            </w:tcBorders>
            <w:vAlign w:val="center"/>
          </w:tcPr>
          <w:p w14:paraId="47F3F6CA" w14:textId="38945AEF" w:rsidR="00F367FC" w:rsidRPr="00CB4F3B" w:rsidRDefault="00F367FC" w:rsidP="0081747E">
            <w:pPr>
              <w:pStyle w:val="ExhibitText"/>
              <w:widowControl w:val="0"/>
              <w:rPr>
                <w:sz w:val="18"/>
                <w:szCs w:val="18"/>
                <w:lang w:val="en-GB"/>
              </w:rPr>
            </w:pPr>
            <w:r w:rsidRPr="00CB4F3B">
              <w:rPr>
                <w:sz w:val="18"/>
                <w:szCs w:val="18"/>
                <w:lang w:val="en-GB"/>
              </w:rPr>
              <w:t>Winx</w:t>
            </w:r>
          </w:p>
        </w:tc>
      </w:tr>
    </w:tbl>
    <w:p w14:paraId="25727FBF" w14:textId="77777777" w:rsidR="00F367FC" w:rsidRPr="00CB4F3B" w:rsidRDefault="00F367FC" w:rsidP="0081747E">
      <w:pPr>
        <w:pStyle w:val="ExhibitHeading"/>
        <w:widowControl w:val="0"/>
        <w:rPr>
          <w:lang w:val="en-GB"/>
        </w:rPr>
      </w:pPr>
    </w:p>
    <w:p w14:paraId="7A237919" w14:textId="5A0C6158" w:rsidR="00595449" w:rsidRPr="00CB4F3B" w:rsidRDefault="00595449" w:rsidP="0081747E">
      <w:pPr>
        <w:pStyle w:val="Footnote"/>
        <w:widowControl w:val="0"/>
        <w:rPr>
          <w:lang w:val="en-GB"/>
        </w:rPr>
      </w:pPr>
      <w:r w:rsidRPr="00CB4F3B">
        <w:rPr>
          <w:lang w:val="en-GB"/>
        </w:rPr>
        <w:t>Source: Company files.</w:t>
      </w:r>
    </w:p>
    <w:p w14:paraId="5A45AEB9" w14:textId="70CF330D" w:rsidR="00941A75" w:rsidRPr="00CB4F3B" w:rsidRDefault="00941A75" w:rsidP="0081747E">
      <w:pPr>
        <w:pStyle w:val="Footnote"/>
        <w:widowControl w:val="0"/>
        <w:rPr>
          <w:lang w:val="en-GB"/>
        </w:rPr>
      </w:pPr>
    </w:p>
    <w:p w14:paraId="600E2AC0" w14:textId="0347B647" w:rsidR="00941A75" w:rsidRPr="00CB4F3B" w:rsidRDefault="00941A75" w:rsidP="0081747E">
      <w:pPr>
        <w:pStyle w:val="Footnote"/>
        <w:widowControl w:val="0"/>
        <w:rPr>
          <w:lang w:val="en-GB"/>
        </w:rPr>
      </w:pPr>
    </w:p>
    <w:p w14:paraId="47A6BE32" w14:textId="77571B6B" w:rsidR="00941A75" w:rsidRPr="00CB4F3B" w:rsidRDefault="00941A75" w:rsidP="0081747E">
      <w:pPr>
        <w:pStyle w:val="Footnote"/>
        <w:widowControl w:val="0"/>
        <w:rPr>
          <w:lang w:val="en-GB"/>
        </w:rPr>
      </w:pPr>
    </w:p>
    <w:p w14:paraId="66085785" w14:textId="77777777" w:rsidR="0002430A" w:rsidRPr="00CB4F3B" w:rsidRDefault="0002430A" w:rsidP="0081747E">
      <w:pPr>
        <w:widowControl w:val="0"/>
        <w:spacing w:after="200" w:line="276" w:lineRule="auto"/>
        <w:rPr>
          <w:rFonts w:ascii="Arial" w:hAnsi="Arial" w:cs="Arial"/>
          <w:b/>
          <w:caps/>
          <w:lang w:val="en-GB"/>
        </w:rPr>
      </w:pPr>
      <w:r w:rsidRPr="00CB4F3B">
        <w:rPr>
          <w:lang w:val="en-GB"/>
        </w:rPr>
        <w:br w:type="page"/>
      </w:r>
    </w:p>
    <w:p w14:paraId="46F5E607" w14:textId="54732CC6" w:rsidR="00595449" w:rsidRPr="00CB4F3B" w:rsidRDefault="00595449" w:rsidP="0081747E">
      <w:pPr>
        <w:pStyle w:val="ExhibitHeading"/>
        <w:widowControl w:val="0"/>
        <w:rPr>
          <w:lang w:val="en-GB"/>
        </w:rPr>
      </w:pPr>
      <w:r w:rsidRPr="00CB4F3B">
        <w:rPr>
          <w:lang w:val="en-GB"/>
        </w:rPr>
        <w:lastRenderedPageBreak/>
        <w:t xml:space="preserve">EXHIBIT 5: MARKET SHARE </w:t>
      </w:r>
      <w:r w:rsidR="005B1ABC">
        <w:rPr>
          <w:lang w:val="en-GB"/>
        </w:rPr>
        <w:t xml:space="preserve">(in %) </w:t>
      </w:r>
      <w:r w:rsidRPr="00CB4F3B">
        <w:rPr>
          <w:lang w:val="en-GB"/>
        </w:rPr>
        <w:t xml:space="preserve">OF </w:t>
      </w:r>
      <w:r w:rsidR="00B60CD1">
        <w:rPr>
          <w:lang w:val="en-GB"/>
        </w:rPr>
        <w:t xml:space="preserve">INDIA’S </w:t>
      </w:r>
      <w:r w:rsidRPr="00CB4F3B">
        <w:rPr>
          <w:lang w:val="en-GB"/>
        </w:rPr>
        <w:t xml:space="preserve">TOP FIVE </w:t>
      </w:r>
      <w:r w:rsidR="00EC682B" w:rsidRPr="00CB4F3B">
        <w:rPr>
          <w:lang w:val="en-GB"/>
        </w:rPr>
        <w:t>Companies</w:t>
      </w:r>
      <w:r w:rsidRPr="00CB4F3B">
        <w:rPr>
          <w:lang w:val="en-GB"/>
        </w:rPr>
        <w:t xml:space="preserve"> IN TOYS AND GAMES</w:t>
      </w:r>
      <w:r w:rsidR="00B60CD1">
        <w:rPr>
          <w:lang w:val="en-GB"/>
        </w:rPr>
        <w:t>, 2011–2016</w:t>
      </w:r>
      <w:r w:rsidRPr="00CB4F3B">
        <w:rPr>
          <w:lang w:val="en-GB"/>
        </w:rPr>
        <w:t xml:space="preserve"> </w:t>
      </w:r>
    </w:p>
    <w:p w14:paraId="628667B8" w14:textId="4FD3478C" w:rsidR="00595449" w:rsidRPr="00CB4F3B" w:rsidRDefault="00595449" w:rsidP="0081747E">
      <w:pPr>
        <w:pStyle w:val="ExhibitHeading"/>
        <w:widowControl w:val="0"/>
        <w:rPr>
          <w:lang w:val="en-GB"/>
        </w:rPr>
      </w:pPr>
    </w:p>
    <w:tbl>
      <w:tblPr>
        <w:tblStyle w:val="TableGrid"/>
        <w:tblW w:w="9408" w:type="dxa"/>
        <w:jc w:val="center"/>
        <w:tblLook w:val="04A0" w:firstRow="1" w:lastRow="0" w:firstColumn="1" w:lastColumn="0" w:noHBand="0" w:noVBand="1"/>
      </w:tblPr>
      <w:tblGrid>
        <w:gridCol w:w="2991"/>
        <w:gridCol w:w="1069"/>
        <w:gridCol w:w="1070"/>
        <w:gridCol w:w="1069"/>
        <w:gridCol w:w="1070"/>
        <w:gridCol w:w="1069"/>
        <w:gridCol w:w="1070"/>
      </w:tblGrid>
      <w:tr w:rsidR="00595449" w:rsidRPr="00CB4F3B" w14:paraId="158B093B" w14:textId="77777777" w:rsidTr="00757EC9">
        <w:trPr>
          <w:jc w:val="center"/>
        </w:trPr>
        <w:tc>
          <w:tcPr>
            <w:tcW w:w="2991" w:type="dxa"/>
          </w:tcPr>
          <w:p w14:paraId="5945DB21" w14:textId="4D000A8E" w:rsidR="00595449" w:rsidRPr="00CB4F3B" w:rsidRDefault="00595449" w:rsidP="00757EC9">
            <w:pPr>
              <w:widowControl w:val="0"/>
              <w:spacing w:after="200"/>
              <w:contextualSpacing/>
              <w:jc w:val="center"/>
              <w:rPr>
                <w:rFonts w:ascii="Arial" w:hAnsi="Arial" w:cs="Arial"/>
                <w:b/>
                <w:sz w:val="18"/>
                <w:szCs w:val="18"/>
                <w:lang w:val="en-GB"/>
              </w:rPr>
            </w:pPr>
            <w:r w:rsidRPr="00CB4F3B">
              <w:rPr>
                <w:rFonts w:ascii="Arial" w:hAnsi="Arial" w:cs="Arial"/>
                <w:b/>
                <w:sz w:val="18"/>
                <w:szCs w:val="18"/>
                <w:lang w:val="en-GB"/>
              </w:rPr>
              <w:t>Company</w:t>
            </w:r>
          </w:p>
        </w:tc>
        <w:tc>
          <w:tcPr>
            <w:tcW w:w="1069" w:type="dxa"/>
          </w:tcPr>
          <w:p w14:paraId="67F4604C" w14:textId="77777777" w:rsidR="00595449" w:rsidRPr="00CB4F3B" w:rsidRDefault="00595449" w:rsidP="0081747E">
            <w:pPr>
              <w:widowControl w:val="0"/>
              <w:spacing w:after="200"/>
              <w:contextualSpacing/>
              <w:jc w:val="center"/>
              <w:rPr>
                <w:rFonts w:ascii="Arial" w:hAnsi="Arial" w:cs="Arial"/>
                <w:b/>
                <w:sz w:val="18"/>
                <w:szCs w:val="18"/>
                <w:lang w:val="en-GB"/>
              </w:rPr>
            </w:pPr>
            <w:r w:rsidRPr="00CB4F3B">
              <w:rPr>
                <w:rFonts w:ascii="Arial" w:hAnsi="Arial" w:cs="Arial"/>
                <w:b/>
                <w:sz w:val="18"/>
                <w:szCs w:val="18"/>
                <w:lang w:val="en-GB"/>
              </w:rPr>
              <w:t>2011</w:t>
            </w:r>
          </w:p>
        </w:tc>
        <w:tc>
          <w:tcPr>
            <w:tcW w:w="1070" w:type="dxa"/>
          </w:tcPr>
          <w:p w14:paraId="251F1F40" w14:textId="77777777" w:rsidR="00595449" w:rsidRPr="00CB4F3B" w:rsidRDefault="00595449" w:rsidP="0081747E">
            <w:pPr>
              <w:widowControl w:val="0"/>
              <w:spacing w:after="200"/>
              <w:contextualSpacing/>
              <w:jc w:val="center"/>
              <w:rPr>
                <w:rFonts w:ascii="Arial" w:hAnsi="Arial" w:cs="Arial"/>
                <w:b/>
                <w:sz w:val="18"/>
                <w:szCs w:val="18"/>
                <w:lang w:val="en-GB"/>
              </w:rPr>
            </w:pPr>
            <w:r w:rsidRPr="00CB4F3B">
              <w:rPr>
                <w:rFonts w:ascii="Arial" w:hAnsi="Arial" w:cs="Arial"/>
                <w:b/>
                <w:sz w:val="18"/>
                <w:szCs w:val="18"/>
                <w:lang w:val="en-GB"/>
              </w:rPr>
              <w:t>2012</w:t>
            </w:r>
          </w:p>
        </w:tc>
        <w:tc>
          <w:tcPr>
            <w:tcW w:w="1069" w:type="dxa"/>
          </w:tcPr>
          <w:p w14:paraId="35FE9359" w14:textId="77777777" w:rsidR="00595449" w:rsidRPr="00CB4F3B" w:rsidRDefault="00595449" w:rsidP="0081747E">
            <w:pPr>
              <w:widowControl w:val="0"/>
              <w:spacing w:after="200"/>
              <w:contextualSpacing/>
              <w:jc w:val="center"/>
              <w:rPr>
                <w:rFonts w:ascii="Arial" w:hAnsi="Arial" w:cs="Arial"/>
                <w:b/>
                <w:sz w:val="18"/>
                <w:szCs w:val="18"/>
                <w:lang w:val="en-GB"/>
              </w:rPr>
            </w:pPr>
            <w:r w:rsidRPr="00CB4F3B">
              <w:rPr>
                <w:rFonts w:ascii="Arial" w:hAnsi="Arial" w:cs="Arial"/>
                <w:b/>
                <w:sz w:val="18"/>
                <w:szCs w:val="18"/>
                <w:lang w:val="en-GB"/>
              </w:rPr>
              <w:t>2013</w:t>
            </w:r>
          </w:p>
        </w:tc>
        <w:tc>
          <w:tcPr>
            <w:tcW w:w="1070" w:type="dxa"/>
          </w:tcPr>
          <w:p w14:paraId="0267808C" w14:textId="77777777" w:rsidR="00595449" w:rsidRPr="00CB4F3B" w:rsidRDefault="00595449" w:rsidP="0081747E">
            <w:pPr>
              <w:widowControl w:val="0"/>
              <w:spacing w:after="200"/>
              <w:contextualSpacing/>
              <w:jc w:val="center"/>
              <w:rPr>
                <w:rFonts w:ascii="Arial" w:hAnsi="Arial" w:cs="Arial"/>
                <w:b/>
                <w:sz w:val="18"/>
                <w:szCs w:val="18"/>
                <w:lang w:val="en-GB"/>
              </w:rPr>
            </w:pPr>
            <w:r w:rsidRPr="00CB4F3B">
              <w:rPr>
                <w:rFonts w:ascii="Arial" w:hAnsi="Arial" w:cs="Arial"/>
                <w:b/>
                <w:sz w:val="18"/>
                <w:szCs w:val="18"/>
                <w:lang w:val="en-GB"/>
              </w:rPr>
              <w:t>2014</w:t>
            </w:r>
          </w:p>
        </w:tc>
        <w:tc>
          <w:tcPr>
            <w:tcW w:w="1069" w:type="dxa"/>
          </w:tcPr>
          <w:p w14:paraId="57BB2BB6" w14:textId="77777777" w:rsidR="00595449" w:rsidRPr="00CB4F3B" w:rsidRDefault="00595449" w:rsidP="0081747E">
            <w:pPr>
              <w:widowControl w:val="0"/>
              <w:spacing w:after="200"/>
              <w:contextualSpacing/>
              <w:jc w:val="center"/>
              <w:rPr>
                <w:rFonts w:ascii="Arial" w:hAnsi="Arial" w:cs="Arial"/>
                <w:b/>
                <w:sz w:val="18"/>
                <w:szCs w:val="18"/>
                <w:lang w:val="en-GB"/>
              </w:rPr>
            </w:pPr>
            <w:r w:rsidRPr="00CB4F3B">
              <w:rPr>
                <w:rFonts w:ascii="Arial" w:hAnsi="Arial" w:cs="Arial"/>
                <w:b/>
                <w:sz w:val="18"/>
                <w:szCs w:val="18"/>
                <w:lang w:val="en-GB"/>
              </w:rPr>
              <w:t>2015</w:t>
            </w:r>
          </w:p>
        </w:tc>
        <w:tc>
          <w:tcPr>
            <w:tcW w:w="1070" w:type="dxa"/>
          </w:tcPr>
          <w:p w14:paraId="4288CF71" w14:textId="77777777" w:rsidR="00595449" w:rsidRPr="00CB4F3B" w:rsidRDefault="00595449" w:rsidP="0081747E">
            <w:pPr>
              <w:widowControl w:val="0"/>
              <w:spacing w:after="200"/>
              <w:contextualSpacing/>
              <w:jc w:val="center"/>
              <w:rPr>
                <w:rFonts w:ascii="Arial" w:hAnsi="Arial" w:cs="Arial"/>
                <w:b/>
                <w:sz w:val="18"/>
                <w:szCs w:val="18"/>
                <w:lang w:val="en-GB"/>
              </w:rPr>
            </w:pPr>
            <w:r w:rsidRPr="00CB4F3B">
              <w:rPr>
                <w:rFonts w:ascii="Arial" w:hAnsi="Arial" w:cs="Arial"/>
                <w:b/>
                <w:sz w:val="18"/>
                <w:szCs w:val="18"/>
                <w:lang w:val="en-GB"/>
              </w:rPr>
              <w:t>2016</w:t>
            </w:r>
          </w:p>
        </w:tc>
      </w:tr>
      <w:tr w:rsidR="00595449" w:rsidRPr="00CB4F3B" w14:paraId="6E6555C4" w14:textId="77777777" w:rsidTr="00757EC9">
        <w:trPr>
          <w:jc w:val="center"/>
        </w:trPr>
        <w:tc>
          <w:tcPr>
            <w:tcW w:w="2991" w:type="dxa"/>
          </w:tcPr>
          <w:p w14:paraId="11EDD47C" w14:textId="77777777" w:rsidR="00595449" w:rsidRPr="00CB4F3B" w:rsidRDefault="00595449" w:rsidP="0081747E">
            <w:pPr>
              <w:widowControl w:val="0"/>
              <w:spacing w:after="200"/>
              <w:contextualSpacing/>
              <w:rPr>
                <w:rFonts w:ascii="Arial" w:hAnsi="Arial" w:cs="Arial"/>
                <w:sz w:val="18"/>
                <w:szCs w:val="18"/>
                <w:lang w:val="en-GB"/>
              </w:rPr>
            </w:pPr>
            <w:r w:rsidRPr="00CB4F3B">
              <w:rPr>
                <w:rFonts w:ascii="Arial" w:hAnsi="Arial" w:cs="Arial"/>
                <w:sz w:val="18"/>
                <w:szCs w:val="18"/>
                <w:lang w:val="en-GB"/>
              </w:rPr>
              <w:t>Funskool (India) Limited</w:t>
            </w:r>
          </w:p>
        </w:tc>
        <w:tc>
          <w:tcPr>
            <w:tcW w:w="1069" w:type="dxa"/>
          </w:tcPr>
          <w:p w14:paraId="6BFD476D" w14:textId="77777777" w:rsidR="00595449" w:rsidRPr="00CB4F3B" w:rsidRDefault="00595449" w:rsidP="0081747E">
            <w:pPr>
              <w:widowControl w:val="0"/>
              <w:spacing w:after="200"/>
              <w:contextualSpacing/>
              <w:jc w:val="center"/>
              <w:rPr>
                <w:rFonts w:ascii="Arial" w:hAnsi="Arial" w:cs="Arial"/>
                <w:sz w:val="18"/>
                <w:szCs w:val="18"/>
                <w:lang w:val="en-GB"/>
              </w:rPr>
            </w:pPr>
            <w:r w:rsidRPr="00CB4F3B">
              <w:rPr>
                <w:rFonts w:ascii="Arial" w:hAnsi="Arial" w:cs="Arial"/>
                <w:sz w:val="18"/>
                <w:szCs w:val="18"/>
                <w:lang w:val="en-GB"/>
              </w:rPr>
              <w:t>7.6</w:t>
            </w:r>
          </w:p>
        </w:tc>
        <w:tc>
          <w:tcPr>
            <w:tcW w:w="1070" w:type="dxa"/>
          </w:tcPr>
          <w:p w14:paraId="6EAA0B25" w14:textId="77777777" w:rsidR="00595449" w:rsidRPr="00CB4F3B" w:rsidRDefault="00595449" w:rsidP="0081747E">
            <w:pPr>
              <w:widowControl w:val="0"/>
              <w:spacing w:after="200"/>
              <w:contextualSpacing/>
              <w:jc w:val="center"/>
              <w:rPr>
                <w:rFonts w:ascii="Arial" w:hAnsi="Arial" w:cs="Arial"/>
                <w:sz w:val="18"/>
                <w:szCs w:val="18"/>
                <w:lang w:val="en-GB"/>
              </w:rPr>
            </w:pPr>
            <w:r w:rsidRPr="00CB4F3B">
              <w:rPr>
                <w:rFonts w:ascii="Arial" w:hAnsi="Arial" w:cs="Arial"/>
                <w:sz w:val="18"/>
                <w:szCs w:val="18"/>
                <w:lang w:val="en-GB"/>
              </w:rPr>
              <w:t>7.9</w:t>
            </w:r>
          </w:p>
        </w:tc>
        <w:tc>
          <w:tcPr>
            <w:tcW w:w="1069" w:type="dxa"/>
          </w:tcPr>
          <w:p w14:paraId="0C7A6FAC" w14:textId="77777777" w:rsidR="00595449" w:rsidRPr="00CB4F3B" w:rsidRDefault="00595449" w:rsidP="0081747E">
            <w:pPr>
              <w:widowControl w:val="0"/>
              <w:spacing w:after="200"/>
              <w:contextualSpacing/>
              <w:jc w:val="center"/>
              <w:rPr>
                <w:rFonts w:ascii="Arial" w:hAnsi="Arial" w:cs="Arial"/>
                <w:sz w:val="18"/>
                <w:szCs w:val="18"/>
                <w:lang w:val="en-GB"/>
              </w:rPr>
            </w:pPr>
            <w:r w:rsidRPr="00CB4F3B">
              <w:rPr>
                <w:rFonts w:ascii="Arial" w:hAnsi="Arial" w:cs="Arial"/>
                <w:sz w:val="18"/>
                <w:szCs w:val="18"/>
                <w:lang w:val="en-GB"/>
              </w:rPr>
              <w:t>6.7</w:t>
            </w:r>
          </w:p>
        </w:tc>
        <w:tc>
          <w:tcPr>
            <w:tcW w:w="1070" w:type="dxa"/>
          </w:tcPr>
          <w:p w14:paraId="501ADC3F" w14:textId="77777777" w:rsidR="00595449" w:rsidRPr="00CB4F3B" w:rsidRDefault="00595449" w:rsidP="0081747E">
            <w:pPr>
              <w:widowControl w:val="0"/>
              <w:spacing w:after="200"/>
              <w:contextualSpacing/>
              <w:jc w:val="center"/>
              <w:rPr>
                <w:rFonts w:ascii="Arial" w:hAnsi="Arial" w:cs="Arial"/>
                <w:sz w:val="18"/>
                <w:szCs w:val="18"/>
                <w:lang w:val="en-GB"/>
              </w:rPr>
            </w:pPr>
            <w:r w:rsidRPr="00CB4F3B">
              <w:rPr>
                <w:rFonts w:ascii="Arial" w:hAnsi="Arial" w:cs="Arial"/>
                <w:sz w:val="18"/>
                <w:szCs w:val="18"/>
                <w:lang w:val="en-GB"/>
              </w:rPr>
              <w:t>6.8</w:t>
            </w:r>
          </w:p>
        </w:tc>
        <w:tc>
          <w:tcPr>
            <w:tcW w:w="1069" w:type="dxa"/>
          </w:tcPr>
          <w:p w14:paraId="318030A8" w14:textId="77777777" w:rsidR="00595449" w:rsidRPr="00CB4F3B" w:rsidRDefault="00595449" w:rsidP="0081747E">
            <w:pPr>
              <w:widowControl w:val="0"/>
              <w:spacing w:after="200"/>
              <w:contextualSpacing/>
              <w:jc w:val="center"/>
              <w:rPr>
                <w:rFonts w:ascii="Arial" w:hAnsi="Arial" w:cs="Arial"/>
                <w:sz w:val="18"/>
                <w:szCs w:val="18"/>
                <w:lang w:val="en-GB"/>
              </w:rPr>
            </w:pPr>
            <w:r w:rsidRPr="00CB4F3B">
              <w:rPr>
                <w:rFonts w:ascii="Arial" w:hAnsi="Arial" w:cs="Arial"/>
                <w:sz w:val="18"/>
                <w:szCs w:val="18"/>
                <w:lang w:val="en-GB"/>
              </w:rPr>
              <w:t>6.5</w:t>
            </w:r>
          </w:p>
        </w:tc>
        <w:tc>
          <w:tcPr>
            <w:tcW w:w="1070" w:type="dxa"/>
          </w:tcPr>
          <w:p w14:paraId="1DD779B8" w14:textId="77777777" w:rsidR="00595449" w:rsidRPr="00CB4F3B" w:rsidRDefault="00595449" w:rsidP="0081747E">
            <w:pPr>
              <w:widowControl w:val="0"/>
              <w:spacing w:after="200"/>
              <w:contextualSpacing/>
              <w:jc w:val="center"/>
              <w:rPr>
                <w:rFonts w:ascii="Arial" w:hAnsi="Arial" w:cs="Arial"/>
                <w:sz w:val="18"/>
                <w:szCs w:val="18"/>
                <w:lang w:val="en-GB"/>
              </w:rPr>
            </w:pPr>
            <w:r w:rsidRPr="00CB4F3B">
              <w:rPr>
                <w:rFonts w:ascii="Arial" w:hAnsi="Arial" w:cs="Arial"/>
                <w:sz w:val="18"/>
                <w:szCs w:val="18"/>
                <w:lang w:val="en-GB"/>
              </w:rPr>
              <w:t>6.0</w:t>
            </w:r>
          </w:p>
        </w:tc>
      </w:tr>
      <w:tr w:rsidR="00595449" w:rsidRPr="00CB4F3B" w14:paraId="6671E1C8" w14:textId="77777777" w:rsidTr="00757EC9">
        <w:trPr>
          <w:jc w:val="center"/>
        </w:trPr>
        <w:tc>
          <w:tcPr>
            <w:tcW w:w="2991" w:type="dxa"/>
          </w:tcPr>
          <w:p w14:paraId="40983CCF" w14:textId="77777777" w:rsidR="00595449" w:rsidRPr="00CB4F3B" w:rsidRDefault="00595449" w:rsidP="0081747E">
            <w:pPr>
              <w:widowControl w:val="0"/>
              <w:spacing w:after="200"/>
              <w:contextualSpacing/>
              <w:rPr>
                <w:rFonts w:ascii="Arial" w:hAnsi="Arial" w:cs="Arial"/>
                <w:sz w:val="18"/>
                <w:szCs w:val="18"/>
                <w:lang w:val="en-GB"/>
              </w:rPr>
            </w:pPr>
            <w:r w:rsidRPr="00CB4F3B">
              <w:rPr>
                <w:rFonts w:ascii="Arial" w:hAnsi="Arial" w:cs="Arial"/>
                <w:sz w:val="18"/>
                <w:szCs w:val="18"/>
                <w:lang w:val="en-GB"/>
              </w:rPr>
              <w:t>Mattel Toys (India) Private Limited</w:t>
            </w:r>
          </w:p>
        </w:tc>
        <w:tc>
          <w:tcPr>
            <w:tcW w:w="1069" w:type="dxa"/>
          </w:tcPr>
          <w:p w14:paraId="2B61ADBD" w14:textId="77777777" w:rsidR="00595449" w:rsidRPr="00CB4F3B" w:rsidRDefault="00595449" w:rsidP="0081747E">
            <w:pPr>
              <w:widowControl w:val="0"/>
              <w:spacing w:after="200"/>
              <w:contextualSpacing/>
              <w:jc w:val="center"/>
              <w:rPr>
                <w:rFonts w:ascii="Arial" w:hAnsi="Arial" w:cs="Arial"/>
                <w:sz w:val="18"/>
                <w:szCs w:val="18"/>
                <w:lang w:val="en-GB"/>
              </w:rPr>
            </w:pPr>
            <w:r w:rsidRPr="00CB4F3B">
              <w:rPr>
                <w:rFonts w:ascii="Arial" w:hAnsi="Arial" w:cs="Arial"/>
                <w:sz w:val="18"/>
                <w:szCs w:val="18"/>
                <w:lang w:val="en-GB"/>
              </w:rPr>
              <w:t>8.3</w:t>
            </w:r>
          </w:p>
        </w:tc>
        <w:tc>
          <w:tcPr>
            <w:tcW w:w="1070" w:type="dxa"/>
          </w:tcPr>
          <w:p w14:paraId="5D52EBA6" w14:textId="77777777" w:rsidR="00595449" w:rsidRPr="00CB4F3B" w:rsidRDefault="00595449" w:rsidP="0081747E">
            <w:pPr>
              <w:widowControl w:val="0"/>
              <w:spacing w:after="200"/>
              <w:contextualSpacing/>
              <w:jc w:val="center"/>
              <w:rPr>
                <w:rFonts w:ascii="Arial" w:hAnsi="Arial" w:cs="Arial"/>
                <w:sz w:val="18"/>
                <w:szCs w:val="18"/>
                <w:lang w:val="en-GB"/>
              </w:rPr>
            </w:pPr>
            <w:r w:rsidRPr="00CB4F3B">
              <w:rPr>
                <w:rFonts w:ascii="Arial" w:hAnsi="Arial" w:cs="Arial"/>
                <w:sz w:val="18"/>
                <w:szCs w:val="18"/>
                <w:lang w:val="en-GB"/>
              </w:rPr>
              <w:t>8.1</w:t>
            </w:r>
          </w:p>
        </w:tc>
        <w:tc>
          <w:tcPr>
            <w:tcW w:w="1069" w:type="dxa"/>
          </w:tcPr>
          <w:p w14:paraId="51271DCA" w14:textId="77777777" w:rsidR="00595449" w:rsidRPr="00CB4F3B" w:rsidRDefault="00595449" w:rsidP="0081747E">
            <w:pPr>
              <w:widowControl w:val="0"/>
              <w:spacing w:after="200"/>
              <w:contextualSpacing/>
              <w:jc w:val="center"/>
              <w:rPr>
                <w:rFonts w:ascii="Arial" w:hAnsi="Arial" w:cs="Arial"/>
                <w:sz w:val="18"/>
                <w:szCs w:val="18"/>
                <w:lang w:val="en-GB"/>
              </w:rPr>
            </w:pPr>
            <w:r w:rsidRPr="00CB4F3B">
              <w:rPr>
                <w:rFonts w:ascii="Arial" w:hAnsi="Arial" w:cs="Arial"/>
                <w:sz w:val="18"/>
                <w:szCs w:val="18"/>
                <w:lang w:val="en-GB"/>
              </w:rPr>
              <w:t>7.5</w:t>
            </w:r>
          </w:p>
        </w:tc>
        <w:tc>
          <w:tcPr>
            <w:tcW w:w="1070" w:type="dxa"/>
          </w:tcPr>
          <w:p w14:paraId="64AEAA18" w14:textId="77777777" w:rsidR="00595449" w:rsidRPr="00CB4F3B" w:rsidRDefault="00595449" w:rsidP="0081747E">
            <w:pPr>
              <w:widowControl w:val="0"/>
              <w:spacing w:after="200"/>
              <w:contextualSpacing/>
              <w:jc w:val="center"/>
              <w:rPr>
                <w:rFonts w:ascii="Arial" w:hAnsi="Arial" w:cs="Arial"/>
                <w:sz w:val="18"/>
                <w:szCs w:val="18"/>
                <w:lang w:val="en-GB"/>
              </w:rPr>
            </w:pPr>
            <w:r w:rsidRPr="00CB4F3B">
              <w:rPr>
                <w:rFonts w:ascii="Arial" w:hAnsi="Arial" w:cs="Arial"/>
                <w:sz w:val="18"/>
                <w:szCs w:val="18"/>
                <w:lang w:val="en-GB"/>
              </w:rPr>
              <w:t>6.2</w:t>
            </w:r>
          </w:p>
        </w:tc>
        <w:tc>
          <w:tcPr>
            <w:tcW w:w="1069" w:type="dxa"/>
          </w:tcPr>
          <w:p w14:paraId="1BC04126" w14:textId="77777777" w:rsidR="00595449" w:rsidRPr="00CB4F3B" w:rsidRDefault="00595449" w:rsidP="0081747E">
            <w:pPr>
              <w:widowControl w:val="0"/>
              <w:spacing w:after="200"/>
              <w:contextualSpacing/>
              <w:jc w:val="center"/>
              <w:rPr>
                <w:rFonts w:ascii="Arial" w:hAnsi="Arial" w:cs="Arial"/>
                <w:sz w:val="18"/>
                <w:szCs w:val="18"/>
                <w:lang w:val="en-GB"/>
              </w:rPr>
            </w:pPr>
            <w:r w:rsidRPr="00CB4F3B">
              <w:rPr>
                <w:rFonts w:ascii="Arial" w:hAnsi="Arial" w:cs="Arial"/>
                <w:sz w:val="18"/>
                <w:szCs w:val="18"/>
                <w:lang w:val="en-GB"/>
              </w:rPr>
              <w:t>5.4</w:t>
            </w:r>
          </w:p>
        </w:tc>
        <w:tc>
          <w:tcPr>
            <w:tcW w:w="1070" w:type="dxa"/>
          </w:tcPr>
          <w:p w14:paraId="39900DE5" w14:textId="77777777" w:rsidR="00595449" w:rsidRPr="00CB4F3B" w:rsidRDefault="00595449" w:rsidP="0081747E">
            <w:pPr>
              <w:widowControl w:val="0"/>
              <w:spacing w:after="200"/>
              <w:contextualSpacing/>
              <w:jc w:val="center"/>
              <w:rPr>
                <w:rFonts w:ascii="Arial" w:hAnsi="Arial" w:cs="Arial"/>
                <w:sz w:val="18"/>
                <w:szCs w:val="18"/>
                <w:lang w:val="en-GB"/>
              </w:rPr>
            </w:pPr>
            <w:r w:rsidRPr="00CB4F3B">
              <w:rPr>
                <w:rFonts w:ascii="Arial" w:hAnsi="Arial" w:cs="Arial"/>
                <w:sz w:val="18"/>
                <w:szCs w:val="18"/>
                <w:lang w:val="en-GB"/>
              </w:rPr>
              <w:t>5.2</w:t>
            </w:r>
          </w:p>
        </w:tc>
      </w:tr>
      <w:tr w:rsidR="00595449" w:rsidRPr="00CB4F3B" w14:paraId="57F6FF85" w14:textId="77777777" w:rsidTr="00757EC9">
        <w:trPr>
          <w:jc w:val="center"/>
        </w:trPr>
        <w:tc>
          <w:tcPr>
            <w:tcW w:w="2991" w:type="dxa"/>
          </w:tcPr>
          <w:p w14:paraId="39EF9C75" w14:textId="580C5691" w:rsidR="00595449" w:rsidRPr="00CB4F3B" w:rsidRDefault="00595449" w:rsidP="0081747E">
            <w:pPr>
              <w:widowControl w:val="0"/>
              <w:spacing w:after="200"/>
              <w:contextualSpacing/>
              <w:rPr>
                <w:rFonts w:ascii="Arial" w:hAnsi="Arial" w:cs="Arial"/>
                <w:sz w:val="18"/>
                <w:szCs w:val="18"/>
                <w:lang w:val="en-GB"/>
              </w:rPr>
            </w:pPr>
            <w:r w:rsidRPr="00CB4F3B">
              <w:rPr>
                <w:rFonts w:ascii="Arial" w:hAnsi="Arial" w:cs="Arial"/>
                <w:sz w:val="18"/>
                <w:szCs w:val="18"/>
                <w:lang w:val="en-GB"/>
              </w:rPr>
              <w:t>Sony India Private Limited</w:t>
            </w:r>
          </w:p>
        </w:tc>
        <w:tc>
          <w:tcPr>
            <w:tcW w:w="1069" w:type="dxa"/>
          </w:tcPr>
          <w:p w14:paraId="38521670" w14:textId="77777777" w:rsidR="00595449" w:rsidRPr="00CB4F3B" w:rsidRDefault="00595449" w:rsidP="0081747E">
            <w:pPr>
              <w:widowControl w:val="0"/>
              <w:autoSpaceDE w:val="0"/>
              <w:autoSpaceDN w:val="0"/>
              <w:adjustRightInd w:val="0"/>
              <w:jc w:val="center"/>
              <w:rPr>
                <w:rFonts w:ascii="Arial" w:hAnsi="Arial" w:cs="Arial"/>
                <w:sz w:val="18"/>
                <w:szCs w:val="18"/>
                <w:lang w:val="en-GB"/>
              </w:rPr>
            </w:pPr>
            <w:r w:rsidRPr="00CB4F3B">
              <w:rPr>
                <w:rFonts w:ascii="Arial" w:hAnsi="Arial" w:cs="Arial"/>
                <w:sz w:val="18"/>
                <w:szCs w:val="18"/>
                <w:lang w:val="en-GB"/>
              </w:rPr>
              <w:t>2.4</w:t>
            </w:r>
          </w:p>
        </w:tc>
        <w:tc>
          <w:tcPr>
            <w:tcW w:w="1070" w:type="dxa"/>
          </w:tcPr>
          <w:p w14:paraId="403389AC" w14:textId="77777777" w:rsidR="00595449" w:rsidRPr="00CB4F3B" w:rsidRDefault="00595449" w:rsidP="0081747E">
            <w:pPr>
              <w:widowControl w:val="0"/>
              <w:autoSpaceDE w:val="0"/>
              <w:autoSpaceDN w:val="0"/>
              <w:adjustRightInd w:val="0"/>
              <w:jc w:val="center"/>
              <w:rPr>
                <w:rFonts w:ascii="Arial" w:hAnsi="Arial" w:cs="Arial"/>
                <w:sz w:val="18"/>
                <w:szCs w:val="18"/>
                <w:lang w:val="en-GB"/>
              </w:rPr>
            </w:pPr>
            <w:r w:rsidRPr="00CB4F3B">
              <w:rPr>
                <w:rFonts w:ascii="Arial" w:hAnsi="Arial" w:cs="Arial"/>
                <w:sz w:val="18"/>
                <w:szCs w:val="18"/>
                <w:lang w:val="en-GB"/>
              </w:rPr>
              <w:t>2.5</w:t>
            </w:r>
          </w:p>
        </w:tc>
        <w:tc>
          <w:tcPr>
            <w:tcW w:w="1069" w:type="dxa"/>
          </w:tcPr>
          <w:p w14:paraId="1435742A" w14:textId="77777777" w:rsidR="00595449" w:rsidRPr="00CB4F3B" w:rsidRDefault="00595449" w:rsidP="0081747E">
            <w:pPr>
              <w:widowControl w:val="0"/>
              <w:autoSpaceDE w:val="0"/>
              <w:autoSpaceDN w:val="0"/>
              <w:adjustRightInd w:val="0"/>
              <w:jc w:val="center"/>
              <w:rPr>
                <w:rFonts w:ascii="Arial" w:hAnsi="Arial" w:cs="Arial"/>
                <w:sz w:val="18"/>
                <w:szCs w:val="18"/>
                <w:lang w:val="en-GB"/>
              </w:rPr>
            </w:pPr>
            <w:r w:rsidRPr="00CB4F3B">
              <w:rPr>
                <w:rFonts w:ascii="Arial" w:hAnsi="Arial" w:cs="Arial"/>
                <w:sz w:val="18"/>
                <w:szCs w:val="18"/>
                <w:lang w:val="en-GB"/>
              </w:rPr>
              <w:t>2.5</w:t>
            </w:r>
          </w:p>
        </w:tc>
        <w:tc>
          <w:tcPr>
            <w:tcW w:w="1070" w:type="dxa"/>
          </w:tcPr>
          <w:p w14:paraId="61B61937" w14:textId="77777777" w:rsidR="00595449" w:rsidRPr="00CB4F3B" w:rsidRDefault="00595449" w:rsidP="0081747E">
            <w:pPr>
              <w:widowControl w:val="0"/>
              <w:autoSpaceDE w:val="0"/>
              <w:autoSpaceDN w:val="0"/>
              <w:adjustRightInd w:val="0"/>
              <w:jc w:val="center"/>
              <w:rPr>
                <w:rFonts w:ascii="Arial" w:hAnsi="Arial" w:cs="Arial"/>
                <w:sz w:val="18"/>
                <w:szCs w:val="18"/>
                <w:lang w:val="en-GB"/>
              </w:rPr>
            </w:pPr>
            <w:r w:rsidRPr="00CB4F3B">
              <w:rPr>
                <w:rFonts w:ascii="Arial" w:hAnsi="Arial" w:cs="Arial"/>
                <w:sz w:val="18"/>
                <w:szCs w:val="18"/>
                <w:lang w:val="en-GB"/>
              </w:rPr>
              <w:t>3.5</w:t>
            </w:r>
          </w:p>
        </w:tc>
        <w:tc>
          <w:tcPr>
            <w:tcW w:w="1069" w:type="dxa"/>
          </w:tcPr>
          <w:p w14:paraId="21F24865" w14:textId="77777777" w:rsidR="00595449" w:rsidRPr="00CB4F3B" w:rsidRDefault="00595449" w:rsidP="0081747E">
            <w:pPr>
              <w:widowControl w:val="0"/>
              <w:autoSpaceDE w:val="0"/>
              <w:autoSpaceDN w:val="0"/>
              <w:adjustRightInd w:val="0"/>
              <w:jc w:val="center"/>
              <w:rPr>
                <w:rFonts w:ascii="Arial" w:hAnsi="Arial" w:cs="Arial"/>
                <w:sz w:val="18"/>
                <w:szCs w:val="18"/>
                <w:lang w:val="en-GB"/>
              </w:rPr>
            </w:pPr>
            <w:r w:rsidRPr="00CB4F3B">
              <w:rPr>
                <w:rFonts w:ascii="Arial" w:hAnsi="Arial" w:cs="Arial"/>
                <w:sz w:val="18"/>
                <w:szCs w:val="18"/>
                <w:lang w:val="en-GB"/>
              </w:rPr>
              <w:t>3.7</w:t>
            </w:r>
          </w:p>
        </w:tc>
        <w:tc>
          <w:tcPr>
            <w:tcW w:w="1070" w:type="dxa"/>
          </w:tcPr>
          <w:p w14:paraId="66D0165E" w14:textId="77777777" w:rsidR="00595449" w:rsidRPr="00CB4F3B" w:rsidRDefault="00595449" w:rsidP="0081747E">
            <w:pPr>
              <w:widowControl w:val="0"/>
              <w:autoSpaceDE w:val="0"/>
              <w:autoSpaceDN w:val="0"/>
              <w:adjustRightInd w:val="0"/>
              <w:jc w:val="center"/>
              <w:rPr>
                <w:rFonts w:ascii="Arial" w:hAnsi="Arial" w:cs="Arial"/>
                <w:sz w:val="18"/>
                <w:szCs w:val="18"/>
                <w:lang w:val="en-GB"/>
              </w:rPr>
            </w:pPr>
            <w:r w:rsidRPr="00CB4F3B">
              <w:rPr>
                <w:rFonts w:ascii="Arial" w:hAnsi="Arial" w:cs="Arial"/>
                <w:sz w:val="18"/>
                <w:szCs w:val="18"/>
                <w:lang w:val="en-GB"/>
              </w:rPr>
              <w:t>3.9</w:t>
            </w:r>
          </w:p>
        </w:tc>
      </w:tr>
      <w:tr w:rsidR="00595449" w:rsidRPr="00CB4F3B" w14:paraId="3D3784A9" w14:textId="77777777" w:rsidTr="00757EC9">
        <w:trPr>
          <w:jc w:val="center"/>
        </w:trPr>
        <w:tc>
          <w:tcPr>
            <w:tcW w:w="2991" w:type="dxa"/>
          </w:tcPr>
          <w:p w14:paraId="39B57652" w14:textId="77777777" w:rsidR="00595449" w:rsidRPr="00CB4F3B" w:rsidRDefault="00595449" w:rsidP="0081747E">
            <w:pPr>
              <w:widowControl w:val="0"/>
              <w:spacing w:after="200"/>
              <w:contextualSpacing/>
              <w:rPr>
                <w:rFonts w:ascii="Arial" w:hAnsi="Arial" w:cs="Arial"/>
                <w:sz w:val="18"/>
                <w:szCs w:val="18"/>
                <w:lang w:val="en-GB"/>
              </w:rPr>
            </w:pPr>
            <w:r w:rsidRPr="00CB4F3B">
              <w:rPr>
                <w:rFonts w:ascii="Arial" w:hAnsi="Arial" w:cs="Arial"/>
                <w:sz w:val="18"/>
                <w:szCs w:val="18"/>
                <w:lang w:val="en-GB"/>
              </w:rPr>
              <w:t>Simba Toys India Limited</w:t>
            </w:r>
          </w:p>
        </w:tc>
        <w:tc>
          <w:tcPr>
            <w:tcW w:w="1069" w:type="dxa"/>
          </w:tcPr>
          <w:p w14:paraId="0188FBF0" w14:textId="77777777" w:rsidR="00595449" w:rsidRPr="00CB4F3B" w:rsidRDefault="00595449" w:rsidP="0081747E">
            <w:pPr>
              <w:widowControl w:val="0"/>
              <w:autoSpaceDE w:val="0"/>
              <w:autoSpaceDN w:val="0"/>
              <w:adjustRightInd w:val="0"/>
              <w:jc w:val="center"/>
              <w:rPr>
                <w:rFonts w:ascii="Arial" w:hAnsi="Arial" w:cs="Arial"/>
                <w:sz w:val="18"/>
                <w:szCs w:val="18"/>
                <w:lang w:val="en-GB"/>
              </w:rPr>
            </w:pPr>
            <w:r w:rsidRPr="00CB4F3B">
              <w:rPr>
                <w:rFonts w:ascii="Arial" w:hAnsi="Arial" w:cs="Arial"/>
                <w:sz w:val="18"/>
                <w:szCs w:val="18"/>
                <w:lang w:val="en-GB"/>
              </w:rPr>
              <w:t>2.0</w:t>
            </w:r>
          </w:p>
        </w:tc>
        <w:tc>
          <w:tcPr>
            <w:tcW w:w="1070" w:type="dxa"/>
          </w:tcPr>
          <w:p w14:paraId="7F35D8FC" w14:textId="77777777" w:rsidR="00595449" w:rsidRPr="00CB4F3B" w:rsidRDefault="00595449" w:rsidP="0081747E">
            <w:pPr>
              <w:widowControl w:val="0"/>
              <w:autoSpaceDE w:val="0"/>
              <w:autoSpaceDN w:val="0"/>
              <w:adjustRightInd w:val="0"/>
              <w:jc w:val="center"/>
              <w:rPr>
                <w:rFonts w:ascii="Arial" w:hAnsi="Arial" w:cs="Arial"/>
                <w:sz w:val="18"/>
                <w:szCs w:val="18"/>
                <w:lang w:val="en-GB"/>
              </w:rPr>
            </w:pPr>
            <w:r w:rsidRPr="00CB4F3B">
              <w:rPr>
                <w:rFonts w:ascii="Arial" w:hAnsi="Arial" w:cs="Arial"/>
                <w:sz w:val="18"/>
                <w:szCs w:val="18"/>
                <w:lang w:val="en-GB"/>
              </w:rPr>
              <w:t>2.1</w:t>
            </w:r>
          </w:p>
        </w:tc>
        <w:tc>
          <w:tcPr>
            <w:tcW w:w="1069" w:type="dxa"/>
          </w:tcPr>
          <w:p w14:paraId="4FD24198" w14:textId="77777777" w:rsidR="00595449" w:rsidRPr="00CB4F3B" w:rsidRDefault="00595449" w:rsidP="0081747E">
            <w:pPr>
              <w:widowControl w:val="0"/>
              <w:autoSpaceDE w:val="0"/>
              <w:autoSpaceDN w:val="0"/>
              <w:adjustRightInd w:val="0"/>
              <w:jc w:val="center"/>
              <w:rPr>
                <w:rFonts w:ascii="Arial" w:hAnsi="Arial" w:cs="Arial"/>
                <w:sz w:val="18"/>
                <w:szCs w:val="18"/>
                <w:lang w:val="en-GB"/>
              </w:rPr>
            </w:pPr>
            <w:r w:rsidRPr="00CB4F3B">
              <w:rPr>
                <w:rFonts w:ascii="Arial" w:hAnsi="Arial" w:cs="Arial"/>
                <w:sz w:val="18"/>
                <w:szCs w:val="18"/>
                <w:lang w:val="en-GB"/>
              </w:rPr>
              <w:t>2.0</w:t>
            </w:r>
          </w:p>
        </w:tc>
        <w:tc>
          <w:tcPr>
            <w:tcW w:w="1070" w:type="dxa"/>
          </w:tcPr>
          <w:p w14:paraId="502B47F3" w14:textId="77777777" w:rsidR="00595449" w:rsidRPr="00CB4F3B" w:rsidRDefault="00595449" w:rsidP="0081747E">
            <w:pPr>
              <w:widowControl w:val="0"/>
              <w:autoSpaceDE w:val="0"/>
              <w:autoSpaceDN w:val="0"/>
              <w:adjustRightInd w:val="0"/>
              <w:jc w:val="center"/>
              <w:rPr>
                <w:rFonts w:ascii="Arial" w:hAnsi="Arial" w:cs="Arial"/>
                <w:sz w:val="18"/>
                <w:szCs w:val="18"/>
                <w:lang w:val="en-GB"/>
              </w:rPr>
            </w:pPr>
            <w:r w:rsidRPr="00CB4F3B">
              <w:rPr>
                <w:rFonts w:ascii="Arial" w:hAnsi="Arial" w:cs="Arial"/>
                <w:sz w:val="18"/>
                <w:szCs w:val="18"/>
                <w:lang w:val="en-GB"/>
              </w:rPr>
              <w:t>1.8</w:t>
            </w:r>
          </w:p>
        </w:tc>
        <w:tc>
          <w:tcPr>
            <w:tcW w:w="1069" w:type="dxa"/>
          </w:tcPr>
          <w:p w14:paraId="2774060D" w14:textId="77777777" w:rsidR="00595449" w:rsidRPr="00CB4F3B" w:rsidRDefault="00595449" w:rsidP="0081747E">
            <w:pPr>
              <w:widowControl w:val="0"/>
              <w:autoSpaceDE w:val="0"/>
              <w:autoSpaceDN w:val="0"/>
              <w:adjustRightInd w:val="0"/>
              <w:jc w:val="center"/>
              <w:rPr>
                <w:rFonts w:ascii="Arial" w:hAnsi="Arial" w:cs="Arial"/>
                <w:sz w:val="18"/>
                <w:szCs w:val="18"/>
                <w:lang w:val="en-GB"/>
              </w:rPr>
            </w:pPr>
            <w:r w:rsidRPr="00CB4F3B">
              <w:rPr>
                <w:rFonts w:ascii="Arial" w:hAnsi="Arial" w:cs="Arial"/>
                <w:sz w:val="18"/>
                <w:szCs w:val="18"/>
                <w:lang w:val="en-GB"/>
              </w:rPr>
              <w:t>1.1</w:t>
            </w:r>
          </w:p>
        </w:tc>
        <w:tc>
          <w:tcPr>
            <w:tcW w:w="1070" w:type="dxa"/>
          </w:tcPr>
          <w:p w14:paraId="2918F338" w14:textId="77777777" w:rsidR="00595449" w:rsidRPr="00CB4F3B" w:rsidRDefault="00595449" w:rsidP="0081747E">
            <w:pPr>
              <w:widowControl w:val="0"/>
              <w:autoSpaceDE w:val="0"/>
              <w:autoSpaceDN w:val="0"/>
              <w:adjustRightInd w:val="0"/>
              <w:jc w:val="center"/>
              <w:rPr>
                <w:rFonts w:ascii="Arial" w:hAnsi="Arial" w:cs="Arial"/>
                <w:sz w:val="18"/>
                <w:szCs w:val="18"/>
                <w:lang w:val="en-GB"/>
              </w:rPr>
            </w:pPr>
            <w:r w:rsidRPr="00CB4F3B">
              <w:rPr>
                <w:rFonts w:ascii="Arial" w:hAnsi="Arial" w:cs="Arial"/>
                <w:sz w:val="18"/>
                <w:szCs w:val="18"/>
                <w:lang w:val="en-GB"/>
              </w:rPr>
              <w:t>0.9</w:t>
            </w:r>
          </w:p>
        </w:tc>
      </w:tr>
      <w:tr w:rsidR="00595449" w:rsidRPr="00CB4F3B" w14:paraId="1A21E667" w14:textId="77777777" w:rsidTr="00757EC9">
        <w:trPr>
          <w:jc w:val="center"/>
        </w:trPr>
        <w:tc>
          <w:tcPr>
            <w:tcW w:w="2991" w:type="dxa"/>
          </w:tcPr>
          <w:p w14:paraId="15E90EA7" w14:textId="77777777" w:rsidR="00595449" w:rsidRPr="00CB4F3B" w:rsidRDefault="00595449" w:rsidP="0081747E">
            <w:pPr>
              <w:widowControl w:val="0"/>
              <w:spacing w:after="200"/>
              <w:contextualSpacing/>
              <w:rPr>
                <w:rFonts w:ascii="Arial" w:hAnsi="Arial" w:cs="Arial"/>
                <w:sz w:val="18"/>
                <w:szCs w:val="18"/>
                <w:lang w:val="en-GB"/>
              </w:rPr>
            </w:pPr>
            <w:r w:rsidRPr="00CB4F3B">
              <w:rPr>
                <w:rFonts w:ascii="Arial" w:hAnsi="Arial" w:cs="Arial"/>
                <w:sz w:val="18"/>
                <w:szCs w:val="18"/>
                <w:lang w:val="en-GB"/>
              </w:rPr>
              <w:t>Zephyr Toymakers</w:t>
            </w:r>
          </w:p>
        </w:tc>
        <w:tc>
          <w:tcPr>
            <w:tcW w:w="1069" w:type="dxa"/>
          </w:tcPr>
          <w:p w14:paraId="28E3EC8B" w14:textId="77777777" w:rsidR="00595449" w:rsidRPr="00CB4F3B" w:rsidRDefault="00595449" w:rsidP="0081747E">
            <w:pPr>
              <w:widowControl w:val="0"/>
              <w:autoSpaceDE w:val="0"/>
              <w:autoSpaceDN w:val="0"/>
              <w:adjustRightInd w:val="0"/>
              <w:jc w:val="center"/>
              <w:rPr>
                <w:rFonts w:ascii="Arial" w:hAnsi="Arial" w:cs="Arial"/>
                <w:sz w:val="18"/>
                <w:szCs w:val="18"/>
                <w:lang w:val="en-GB"/>
              </w:rPr>
            </w:pPr>
            <w:r w:rsidRPr="00CB4F3B">
              <w:rPr>
                <w:rFonts w:ascii="Arial" w:hAnsi="Arial" w:cs="Arial"/>
                <w:sz w:val="18"/>
                <w:szCs w:val="18"/>
                <w:lang w:val="en-GB"/>
              </w:rPr>
              <w:t>1.4</w:t>
            </w:r>
          </w:p>
        </w:tc>
        <w:tc>
          <w:tcPr>
            <w:tcW w:w="1070" w:type="dxa"/>
          </w:tcPr>
          <w:p w14:paraId="4AF65C19" w14:textId="77777777" w:rsidR="00595449" w:rsidRPr="00CB4F3B" w:rsidRDefault="00595449" w:rsidP="0081747E">
            <w:pPr>
              <w:widowControl w:val="0"/>
              <w:autoSpaceDE w:val="0"/>
              <w:autoSpaceDN w:val="0"/>
              <w:adjustRightInd w:val="0"/>
              <w:jc w:val="center"/>
              <w:rPr>
                <w:rFonts w:ascii="Arial" w:hAnsi="Arial" w:cs="Arial"/>
                <w:sz w:val="18"/>
                <w:szCs w:val="18"/>
                <w:lang w:val="en-GB"/>
              </w:rPr>
            </w:pPr>
            <w:r w:rsidRPr="00CB4F3B">
              <w:rPr>
                <w:rFonts w:ascii="Arial" w:hAnsi="Arial" w:cs="Arial"/>
                <w:sz w:val="18"/>
                <w:szCs w:val="18"/>
                <w:lang w:val="en-GB"/>
              </w:rPr>
              <w:t>1.2</w:t>
            </w:r>
          </w:p>
        </w:tc>
        <w:tc>
          <w:tcPr>
            <w:tcW w:w="1069" w:type="dxa"/>
          </w:tcPr>
          <w:p w14:paraId="68380F7C" w14:textId="77777777" w:rsidR="00595449" w:rsidRPr="00CB4F3B" w:rsidRDefault="00595449" w:rsidP="0081747E">
            <w:pPr>
              <w:widowControl w:val="0"/>
              <w:autoSpaceDE w:val="0"/>
              <w:autoSpaceDN w:val="0"/>
              <w:adjustRightInd w:val="0"/>
              <w:jc w:val="center"/>
              <w:rPr>
                <w:rFonts w:ascii="Arial" w:hAnsi="Arial" w:cs="Arial"/>
                <w:sz w:val="18"/>
                <w:szCs w:val="18"/>
                <w:lang w:val="en-GB"/>
              </w:rPr>
            </w:pPr>
            <w:r w:rsidRPr="00CB4F3B">
              <w:rPr>
                <w:rFonts w:ascii="Arial" w:hAnsi="Arial" w:cs="Arial"/>
                <w:sz w:val="18"/>
                <w:szCs w:val="18"/>
                <w:lang w:val="en-GB"/>
              </w:rPr>
              <w:t>1.1</w:t>
            </w:r>
          </w:p>
        </w:tc>
        <w:tc>
          <w:tcPr>
            <w:tcW w:w="1070" w:type="dxa"/>
          </w:tcPr>
          <w:p w14:paraId="49B6F12C" w14:textId="77777777" w:rsidR="00595449" w:rsidRPr="00CB4F3B" w:rsidRDefault="00595449" w:rsidP="0081747E">
            <w:pPr>
              <w:widowControl w:val="0"/>
              <w:autoSpaceDE w:val="0"/>
              <w:autoSpaceDN w:val="0"/>
              <w:adjustRightInd w:val="0"/>
              <w:jc w:val="center"/>
              <w:rPr>
                <w:rFonts w:ascii="Arial" w:hAnsi="Arial" w:cs="Arial"/>
                <w:sz w:val="18"/>
                <w:szCs w:val="18"/>
                <w:lang w:val="en-GB"/>
              </w:rPr>
            </w:pPr>
            <w:r w:rsidRPr="00CB4F3B">
              <w:rPr>
                <w:rFonts w:ascii="Arial" w:hAnsi="Arial" w:cs="Arial"/>
                <w:sz w:val="18"/>
                <w:szCs w:val="18"/>
                <w:lang w:val="en-GB"/>
              </w:rPr>
              <w:t>1.0</w:t>
            </w:r>
          </w:p>
        </w:tc>
        <w:tc>
          <w:tcPr>
            <w:tcW w:w="1069" w:type="dxa"/>
          </w:tcPr>
          <w:p w14:paraId="0A4EF8C2" w14:textId="77777777" w:rsidR="00595449" w:rsidRPr="00CB4F3B" w:rsidRDefault="00595449" w:rsidP="0081747E">
            <w:pPr>
              <w:widowControl w:val="0"/>
              <w:autoSpaceDE w:val="0"/>
              <w:autoSpaceDN w:val="0"/>
              <w:adjustRightInd w:val="0"/>
              <w:jc w:val="center"/>
              <w:rPr>
                <w:rFonts w:ascii="Arial" w:hAnsi="Arial" w:cs="Arial"/>
                <w:sz w:val="18"/>
                <w:szCs w:val="18"/>
                <w:lang w:val="en-GB"/>
              </w:rPr>
            </w:pPr>
            <w:r w:rsidRPr="00CB4F3B">
              <w:rPr>
                <w:rFonts w:ascii="Arial" w:hAnsi="Arial" w:cs="Arial"/>
                <w:sz w:val="18"/>
                <w:szCs w:val="18"/>
                <w:lang w:val="en-GB"/>
              </w:rPr>
              <w:t>0.6</w:t>
            </w:r>
          </w:p>
        </w:tc>
        <w:tc>
          <w:tcPr>
            <w:tcW w:w="1070" w:type="dxa"/>
          </w:tcPr>
          <w:p w14:paraId="12A9E0CD" w14:textId="77777777" w:rsidR="00595449" w:rsidRPr="00CB4F3B" w:rsidRDefault="00595449" w:rsidP="0081747E">
            <w:pPr>
              <w:widowControl w:val="0"/>
              <w:autoSpaceDE w:val="0"/>
              <w:autoSpaceDN w:val="0"/>
              <w:adjustRightInd w:val="0"/>
              <w:jc w:val="center"/>
              <w:rPr>
                <w:rFonts w:ascii="Arial" w:hAnsi="Arial" w:cs="Arial"/>
                <w:sz w:val="18"/>
                <w:szCs w:val="18"/>
                <w:lang w:val="en-GB"/>
              </w:rPr>
            </w:pPr>
            <w:r w:rsidRPr="00CB4F3B">
              <w:rPr>
                <w:rFonts w:ascii="Arial" w:hAnsi="Arial" w:cs="Arial"/>
                <w:sz w:val="18"/>
                <w:szCs w:val="18"/>
                <w:lang w:val="en-GB"/>
              </w:rPr>
              <w:t>0.5</w:t>
            </w:r>
          </w:p>
        </w:tc>
      </w:tr>
    </w:tbl>
    <w:p w14:paraId="2190AD4D" w14:textId="7B9D3413" w:rsidR="00C022B5" w:rsidRPr="00AC768E" w:rsidRDefault="00C022B5" w:rsidP="0081747E">
      <w:pPr>
        <w:widowControl w:val="0"/>
        <w:rPr>
          <w:rFonts w:ascii="Arial" w:hAnsi="Arial" w:cs="Arial"/>
          <w:sz w:val="15"/>
          <w:szCs w:val="17"/>
          <w:lang w:val="en-GB"/>
        </w:rPr>
      </w:pPr>
    </w:p>
    <w:p w14:paraId="5BDEF101" w14:textId="1AFE1DA0" w:rsidR="003A01AE" w:rsidRPr="00CB4F3B" w:rsidRDefault="003A01AE" w:rsidP="0081747E">
      <w:pPr>
        <w:pStyle w:val="BodyTextMain"/>
        <w:widowControl w:val="0"/>
        <w:rPr>
          <w:rFonts w:ascii="Arial" w:hAnsi="Arial" w:cs="Arial"/>
          <w:sz w:val="17"/>
          <w:szCs w:val="17"/>
          <w:lang w:val="en-GB"/>
        </w:rPr>
      </w:pPr>
      <w:r w:rsidRPr="00CB4F3B">
        <w:rPr>
          <w:rFonts w:ascii="Arial" w:hAnsi="Arial" w:cs="Arial"/>
          <w:sz w:val="17"/>
          <w:szCs w:val="17"/>
          <w:lang w:val="en-GB"/>
        </w:rPr>
        <w:t xml:space="preserve">Source: “Toys and Games in India,” Euromonitor Passport, </w:t>
      </w:r>
      <w:r w:rsidR="00C20FB4">
        <w:rPr>
          <w:rFonts w:ascii="Arial" w:hAnsi="Arial" w:cs="Arial"/>
          <w:sz w:val="17"/>
          <w:szCs w:val="17"/>
          <w:lang w:val="en-GB"/>
        </w:rPr>
        <w:t xml:space="preserve">June 2017, </w:t>
      </w:r>
      <w:r w:rsidRPr="00CB4F3B">
        <w:rPr>
          <w:rFonts w:ascii="Arial" w:hAnsi="Arial" w:cs="Arial"/>
          <w:sz w:val="17"/>
          <w:szCs w:val="17"/>
          <w:lang w:val="en-GB"/>
        </w:rPr>
        <w:t>accessed July 15, 2017</w:t>
      </w:r>
      <w:r w:rsidR="00C20FB4" w:rsidRPr="00757EC9">
        <w:rPr>
          <w:rFonts w:ascii="Arial" w:hAnsi="Arial" w:cs="Arial"/>
          <w:sz w:val="17"/>
          <w:szCs w:val="17"/>
          <w:lang w:val="en-GB"/>
        </w:rPr>
        <w:t>, www.euromonitor.com/toys-and-games-in-india/report</w:t>
      </w:r>
      <w:r w:rsidRPr="00CB4F3B">
        <w:rPr>
          <w:rFonts w:ascii="Arial" w:hAnsi="Arial" w:cs="Arial"/>
          <w:sz w:val="17"/>
          <w:szCs w:val="17"/>
          <w:lang w:val="en-GB"/>
        </w:rPr>
        <w:t>.</w:t>
      </w:r>
    </w:p>
    <w:p w14:paraId="49AFA6EC" w14:textId="46D423E7" w:rsidR="00595449" w:rsidRPr="00AC768E" w:rsidRDefault="00595449" w:rsidP="0081747E">
      <w:pPr>
        <w:pStyle w:val="BodyTextMain"/>
        <w:widowControl w:val="0"/>
        <w:rPr>
          <w:sz w:val="18"/>
          <w:lang w:val="en-GB"/>
        </w:rPr>
      </w:pPr>
    </w:p>
    <w:p w14:paraId="72A38E56" w14:textId="3E51544A" w:rsidR="00C022B5" w:rsidRPr="00AC768E" w:rsidRDefault="00C022B5" w:rsidP="0081747E">
      <w:pPr>
        <w:pStyle w:val="BodyTextMain"/>
        <w:widowControl w:val="0"/>
        <w:rPr>
          <w:sz w:val="18"/>
          <w:lang w:val="en-GB"/>
        </w:rPr>
      </w:pPr>
    </w:p>
    <w:p w14:paraId="07987AF2" w14:textId="7FF240FB" w:rsidR="00595449" w:rsidRPr="00CB4F3B" w:rsidRDefault="00595449" w:rsidP="0081747E">
      <w:pPr>
        <w:pStyle w:val="ExhibitHeading"/>
        <w:widowControl w:val="0"/>
        <w:rPr>
          <w:lang w:val="en-GB"/>
        </w:rPr>
      </w:pPr>
      <w:r w:rsidRPr="00CB4F3B">
        <w:rPr>
          <w:lang w:val="en-GB"/>
        </w:rPr>
        <w:t xml:space="preserve">EXHIBIT 6: MARKET SHARE </w:t>
      </w:r>
      <w:r w:rsidR="005B1ABC">
        <w:rPr>
          <w:lang w:val="en-GB"/>
        </w:rPr>
        <w:t xml:space="preserve">(In %) </w:t>
      </w:r>
      <w:r w:rsidRPr="00CB4F3B">
        <w:rPr>
          <w:lang w:val="en-GB"/>
        </w:rPr>
        <w:t xml:space="preserve">OF </w:t>
      </w:r>
      <w:r w:rsidR="00B60CD1">
        <w:rPr>
          <w:lang w:val="en-GB"/>
        </w:rPr>
        <w:t xml:space="preserve">INDIA’S </w:t>
      </w:r>
      <w:r w:rsidRPr="00CB4F3B">
        <w:rPr>
          <w:lang w:val="en-GB"/>
        </w:rPr>
        <w:t xml:space="preserve">TOP FIVE </w:t>
      </w:r>
      <w:r w:rsidR="00976A43" w:rsidRPr="00CB4F3B">
        <w:rPr>
          <w:lang w:val="en-GB"/>
        </w:rPr>
        <w:t>Companies</w:t>
      </w:r>
      <w:r w:rsidRPr="00CB4F3B">
        <w:rPr>
          <w:lang w:val="en-GB"/>
        </w:rPr>
        <w:t xml:space="preserve"> IN TOYS AND GAMES (TRADITIONAL TOY CATEGORY)</w:t>
      </w:r>
      <w:r w:rsidR="00B60CD1">
        <w:rPr>
          <w:lang w:val="en-GB"/>
        </w:rPr>
        <w:t>, 2011–2016</w:t>
      </w:r>
      <w:r w:rsidR="005B1ABC">
        <w:rPr>
          <w:lang w:val="en-GB"/>
        </w:rPr>
        <w:t xml:space="preserve"> </w:t>
      </w:r>
    </w:p>
    <w:p w14:paraId="7FB15992" w14:textId="5CFFBC51" w:rsidR="00595449" w:rsidRPr="00AC768E" w:rsidRDefault="00595449" w:rsidP="0081747E">
      <w:pPr>
        <w:widowControl w:val="0"/>
        <w:jc w:val="center"/>
        <w:rPr>
          <w:rFonts w:ascii="Arial" w:hAnsi="Arial" w:cs="Arial"/>
          <w:b/>
          <w:sz w:val="18"/>
          <w:lang w:val="en-GB"/>
        </w:rPr>
      </w:pPr>
    </w:p>
    <w:tbl>
      <w:tblPr>
        <w:tblStyle w:val="TableGrid"/>
        <w:tblW w:w="9408" w:type="dxa"/>
        <w:jc w:val="center"/>
        <w:tblLook w:val="04A0" w:firstRow="1" w:lastRow="0" w:firstColumn="1" w:lastColumn="0" w:noHBand="0" w:noVBand="1"/>
      </w:tblPr>
      <w:tblGrid>
        <w:gridCol w:w="2980"/>
        <w:gridCol w:w="1008"/>
        <w:gridCol w:w="1074"/>
        <w:gridCol w:w="1074"/>
        <w:gridCol w:w="1171"/>
        <w:gridCol w:w="1074"/>
        <w:gridCol w:w="1027"/>
      </w:tblGrid>
      <w:tr w:rsidR="00595449" w:rsidRPr="00CB4F3B" w14:paraId="76C5B0F4" w14:textId="77777777" w:rsidTr="00D065BF">
        <w:trPr>
          <w:jc w:val="center"/>
        </w:trPr>
        <w:tc>
          <w:tcPr>
            <w:tcW w:w="2980" w:type="dxa"/>
          </w:tcPr>
          <w:p w14:paraId="51C63711" w14:textId="77777777" w:rsidR="00595449" w:rsidRPr="00CB4F3B" w:rsidRDefault="00595449" w:rsidP="00757EC9">
            <w:pPr>
              <w:widowControl w:val="0"/>
              <w:spacing w:after="200"/>
              <w:contextualSpacing/>
              <w:jc w:val="center"/>
              <w:rPr>
                <w:rFonts w:ascii="Arial" w:hAnsi="Arial" w:cs="Arial"/>
                <w:b/>
                <w:sz w:val="18"/>
                <w:szCs w:val="18"/>
                <w:lang w:val="en-GB"/>
              </w:rPr>
            </w:pPr>
            <w:r w:rsidRPr="00CB4F3B">
              <w:rPr>
                <w:rFonts w:ascii="Arial" w:hAnsi="Arial" w:cs="Arial"/>
                <w:b/>
                <w:sz w:val="18"/>
                <w:szCs w:val="18"/>
                <w:lang w:val="en-GB"/>
              </w:rPr>
              <w:t>Company</w:t>
            </w:r>
          </w:p>
        </w:tc>
        <w:tc>
          <w:tcPr>
            <w:tcW w:w="1008" w:type="dxa"/>
          </w:tcPr>
          <w:p w14:paraId="3C3B58EC" w14:textId="77777777" w:rsidR="00595449" w:rsidRPr="00CB4F3B" w:rsidRDefault="00595449" w:rsidP="0081747E">
            <w:pPr>
              <w:widowControl w:val="0"/>
              <w:spacing w:after="200"/>
              <w:contextualSpacing/>
              <w:jc w:val="center"/>
              <w:rPr>
                <w:rFonts w:ascii="Arial" w:hAnsi="Arial" w:cs="Arial"/>
                <w:b/>
                <w:sz w:val="18"/>
                <w:szCs w:val="18"/>
                <w:lang w:val="en-GB"/>
              </w:rPr>
            </w:pPr>
            <w:r w:rsidRPr="00CB4F3B">
              <w:rPr>
                <w:rFonts w:ascii="Arial" w:hAnsi="Arial" w:cs="Arial"/>
                <w:b/>
                <w:sz w:val="18"/>
                <w:szCs w:val="18"/>
                <w:lang w:val="en-GB"/>
              </w:rPr>
              <w:t>2011</w:t>
            </w:r>
          </w:p>
        </w:tc>
        <w:tc>
          <w:tcPr>
            <w:tcW w:w="1074" w:type="dxa"/>
          </w:tcPr>
          <w:p w14:paraId="4BCF3617" w14:textId="77777777" w:rsidR="00595449" w:rsidRPr="00CB4F3B" w:rsidRDefault="00595449" w:rsidP="0081747E">
            <w:pPr>
              <w:widowControl w:val="0"/>
              <w:spacing w:after="200"/>
              <w:contextualSpacing/>
              <w:jc w:val="center"/>
              <w:rPr>
                <w:rFonts w:ascii="Arial" w:hAnsi="Arial" w:cs="Arial"/>
                <w:b/>
                <w:sz w:val="18"/>
                <w:szCs w:val="18"/>
                <w:lang w:val="en-GB"/>
              </w:rPr>
            </w:pPr>
            <w:r w:rsidRPr="00CB4F3B">
              <w:rPr>
                <w:rFonts w:ascii="Arial" w:hAnsi="Arial" w:cs="Arial"/>
                <w:b/>
                <w:sz w:val="18"/>
                <w:szCs w:val="18"/>
                <w:lang w:val="en-GB"/>
              </w:rPr>
              <w:t>2012</w:t>
            </w:r>
          </w:p>
        </w:tc>
        <w:tc>
          <w:tcPr>
            <w:tcW w:w="1074" w:type="dxa"/>
          </w:tcPr>
          <w:p w14:paraId="675B00D2" w14:textId="77777777" w:rsidR="00595449" w:rsidRPr="00CB4F3B" w:rsidRDefault="00595449" w:rsidP="0081747E">
            <w:pPr>
              <w:widowControl w:val="0"/>
              <w:spacing w:after="200"/>
              <w:contextualSpacing/>
              <w:jc w:val="center"/>
              <w:rPr>
                <w:rFonts w:ascii="Arial" w:hAnsi="Arial" w:cs="Arial"/>
                <w:b/>
                <w:sz w:val="18"/>
                <w:szCs w:val="18"/>
                <w:lang w:val="en-GB"/>
              </w:rPr>
            </w:pPr>
            <w:r w:rsidRPr="00CB4F3B">
              <w:rPr>
                <w:rFonts w:ascii="Arial" w:hAnsi="Arial" w:cs="Arial"/>
                <w:b/>
                <w:sz w:val="18"/>
                <w:szCs w:val="18"/>
                <w:lang w:val="en-GB"/>
              </w:rPr>
              <w:t>2013</w:t>
            </w:r>
          </w:p>
        </w:tc>
        <w:tc>
          <w:tcPr>
            <w:tcW w:w="1171" w:type="dxa"/>
          </w:tcPr>
          <w:p w14:paraId="293B6AC8" w14:textId="77777777" w:rsidR="00595449" w:rsidRPr="00CB4F3B" w:rsidRDefault="00595449" w:rsidP="0081747E">
            <w:pPr>
              <w:widowControl w:val="0"/>
              <w:spacing w:after="200"/>
              <w:contextualSpacing/>
              <w:jc w:val="center"/>
              <w:rPr>
                <w:rFonts w:ascii="Arial" w:hAnsi="Arial" w:cs="Arial"/>
                <w:b/>
                <w:sz w:val="18"/>
                <w:szCs w:val="18"/>
                <w:lang w:val="en-GB"/>
              </w:rPr>
            </w:pPr>
            <w:r w:rsidRPr="00CB4F3B">
              <w:rPr>
                <w:rFonts w:ascii="Arial" w:hAnsi="Arial" w:cs="Arial"/>
                <w:b/>
                <w:sz w:val="18"/>
                <w:szCs w:val="18"/>
                <w:lang w:val="en-GB"/>
              </w:rPr>
              <w:t>2014</w:t>
            </w:r>
          </w:p>
        </w:tc>
        <w:tc>
          <w:tcPr>
            <w:tcW w:w="1074" w:type="dxa"/>
          </w:tcPr>
          <w:p w14:paraId="677C431C" w14:textId="77777777" w:rsidR="00595449" w:rsidRPr="00CB4F3B" w:rsidRDefault="00595449" w:rsidP="0081747E">
            <w:pPr>
              <w:widowControl w:val="0"/>
              <w:spacing w:after="200"/>
              <w:contextualSpacing/>
              <w:jc w:val="center"/>
              <w:rPr>
                <w:rFonts w:ascii="Arial" w:hAnsi="Arial" w:cs="Arial"/>
                <w:b/>
                <w:sz w:val="18"/>
                <w:szCs w:val="18"/>
                <w:lang w:val="en-GB"/>
              </w:rPr>
            </w:pPr>
            <w:r w:rsidRPr="00CB4F3B">
              <w:rPr>
                <w:rFonts w:ascii="Arial" w:hAnsi="Arial" w:cs="Arial"/>
                <w:b/>
                <w:sz w:val="18"/>
                <w:szCs w:val="18"/>
                <w:lang w:val="en-GB"/>
              </w:rPr>
              <w:t>2015</w:t>
            </w:r>
          </w:p>
        </w:tc>
        <w:tc>
          <w:tcPr>
            <w:tcW w:w="1027" w:type="dxa"/>
          </w:tcPr>
          <w:p w14:paraId="25277BD0" w14:textId="77777777" w:rsidR="00595449" w:rsidRPr="00CB4F3B" w:rsidRDefault="00595449" w:rsidP="0081747E">
            <w:pPr>
              <w:widowControl w:val="0"/>
              <w:spacing w:after="200"/>
              <w:contextualSpacing/>
              <w:jc w:val="center"/>
              <w:rPr>
                <w:rFonts w:ascii="Arial" w:hAnsi="Arial" w:cs="Arial"/>
                <w:b/>
                <w:sz w:val="18"/>
                <w:szCs w:val="18"/>
                <w:lang w:val="en-GB"/>
              </w:rPr>
            </w:pPr>
            <w:r w:rsidRPr="00CB4F3B">
              <w:rPr>
                <w:rFonts w:ascii="Arial" w:hAnsi="Arial" w:cs="Arial"/>
                <w:b/>
                <w:sz w:val="18"/>
                <w:szCs w:val="18"/>
                <w:lang w:val="en-GB"/>
              </w:rPr>
              <w:t>2016</w:t>
            </w:r>
          </w:p>
        </w:tc>
      </w:tr>
      <w:tr w:rsidR="00595449" w:rsidRPr="00CB4F3B" w14:paraId="40B5D680" w14:textId="77777777" w:rsidTr="00D065BF">
        <w:trPr>
          <w:jc w:val="center"/>
        </w:trPr>
        <w:tc>
          <w:tcPr>
            <w:tcW w:w="2980" w:type="dxa"/>
          </w:tcPr>
          <w:p w14:paraId="19226B0B" w14:textId="77777777" w:rsidR="00595449" w:rsidRPr="00CB4F3B" w:rsidRDefault="00595449" w:rsidP="0081747E">
            <w:pPr>
              <w:widowControl w:val="0"/>
              <w:spacing w:after="200"/>
              <w:contextualSpacing/>
              <w:rPr>
                <w:rFonts w:ascii="Arial" w:hAnsi="Arial" w:cs="Arial"/>
                <w:sz w:val="18"/>
                <w:szCs w:val="18"/>
                <w:lang w:val="en-GB"/>
              </w:rPr>
            </w:pPr>
            <w:r w:rsidRPr="00CB4F3B">
              <w:rPr>
                <w:rFonts w:ascii="Arial" w:hAnsi="Arial" w:cs="Arial"/>
                <w:sz w:val="18"/>
                <w:szCs w:val="18"/>
                <w:lang w:val="en-GB"/>
              </w:rPr>
              <w:t>Funskool (India) Limited</w:t>
            </w:r>
          </w:p>
        </w:tc>
        <w:tc>
          <w:tcPr>
            <w:tcW w:w="1008" w:type="dxa"/>
          </w:tcPr>
          <w:p w14:paraId="587135C6" w14:textId="77777777" w:rsidR="00595449" w:rsidRPr="00CB4F3B" w:rsidRDefault="00595449" w:rsidP="00757EC9">
            <w:pPr>
              <w:widowControl w:val="0"/>
              <w:tabs>
                <w:tab w:val="decimal" w:pos="480"/>
              </w:tabs>
              <w:spacing w:after="200"/>
              <w:contextualSpacing/>
              <w:rPr>
                <w:rFonts w:ascii="Arial" w:hAnsi="Arial" w:cs="Arial"/>
                <w:b/>
                <w:sz w:val="18"/>
                <w:szCs w:val="18"/>
                <w:lang w:val="en-GB"/>
              </w:rPr>
            </w:pPr>
            <w:r w:rsidRPr="00CB4F3B">
              <w:rPr>
                <w:rFonts w:ascii="Arial" w:hAnsi="Arial" w:cs="Arial"/>
                <w:sz w:val="18"/>
                <w:szCs w:val="18"/>
                <w:lang w:val="en-GB"/>
              </w:rPr>
              <w:t>7.6</w:t>
            </w:r>
          </w:p>
        </w:tc>
        <w:tc>
          <w:tcPr>
            <w:tcW w:w="1074" w:type="dxa"/>
          </w:tcPr>
          <w:p w14:paraId="0A28D04A" w14:textId="77777777" w:rsidR="00595449" w:rsidRPr="00CB4F3B" w:rsidRDefault="00595449" w:rsidP="00757EC9">
            <w:pPr>
              <w:widowControl w:val="0"/>
              <w:tabs>
                <w:tab w:val="decimal" w:pos="464"/>
              </w:tabs>
              <w:spacing w:after="200"/>
              <w:contextualSpacing/>
              <w:rPr>
                <w:rFonts w:ascii="Arial" w:hAnsi="Arial" w:cs="Arial"/>
                <w:b/>
                <w:sz w:val="18"/>
                <w:szCs w:val="18"/>
                <w:lang w:val="en-GB"/>
              </w:rPr>
            </w:pPr>
            <w:r w:rsidRPr="00CB4F3B">
              <w:rPr>
                <w:rFonts w:ascii="Arial" w:hAnsi="Arial" w:cs="Arial"/>
                <w:sz w:val="18"/>
                <w:szCs w:val="18"/>
                <w:lang w:val="en-GB"/>
              </w:rPr>
              <w:t>7.9</w:t>
            </w:r>
          </w:p>
        </w:tc>
        <w:tc>
          <w:tcPr>
            <w:tcW w:w="1074" w:type="dxa"/>
          </w:tcPr>
          <w:p w14:paraId="5ACB54D0" w14:textId="77777777" w:rsidR="00595449" w:rsidRPr="00CB4F3B" w:rsidRDefault="00595449" w:rsidP="00757EC9">
            <w:pPr>
              <w:widowControl w:val="0"/>
              <w:tabs>
                <w:tab w:val="decimal" w:pos="383"/>
              </w:tabs>
              <w:spacing w:after="200"/>
              <w:contextualSpacing/>
              <w:rPr>
                <w:rFonts w:ascii="Arial" w:hAnsi="Arial" w:cs="Arial"/>
                <w:b/>
                <w:sz w:val="18"/>
                <w:szCs w:val="18"/>
                <w:lang w:val="en-GB"/>
              </w:rPr>
            </w:pPr>
            <w:r w:rsidRPr="00CB4F3B">
              <w:rPr>
                <w:rFonts w:ascii="Arial" w:hAnsi="Arial" w:cs="Arial"/>
                <w:sz w:val="18"/>
                <w:szCs w:val="18"/>
                <w:lang w:val="en-GB"/>
              </w:rPr>
              <w:t>8.2</w:t>
            </w:r>
          </w:p>
        </w:tc>
        <w:tc>
          <w:tcPr>
            <w:tcW w:w="1171" w:type="dxa"/>
          </w:tcPr>
          <w:p w14:paraId="458196AA" w14:textId="77777777" w:rsidR="00595449" w:rsidRPr="00CB4F3B" w:rsidRDefault="00595449" w:rsidP="00757EC9">
            <w:pPr>
              <w:widowControl w:val="0"/>
              <w:tabs>
                <w:tab w:val="decimal" w:pos="443"/>
              </w:tabs>
              <w:spacing w:after="200"/>
              <w:contextualSpacing/>
              <w:rPr>
                <w:rFonts w:ascii="Arial" w:hAnsi="Arial" w:cs="Arial"/>
                <w:b/>
                <w:sz w:val="18"/>
                <w:szCs w:val="18"/>
                <w:lang w:val="en-GB"/>
              </w:rPr>
            </w:pPr>
            <w:r w:rsidRPr="00CB4F3B">
              <w:rPr>
                <w:rFonts w:ascii="Arial" w:hAnsi="Arial" w:cs="Arial"/>
                <w:sz w:val="18"/>
                <w:szCs w:val="18"/>
                <w:lang w:val="en-GB"/>
              </w:rPr>
              <w:t>8.7</w:t>
            </w:r>
          </w:p>
        </w:tc>
        <w:tc>
          <w:tcPr>
            <w:tcW w:w="1074" w:type="dxa"/>
          </w:tcPr>
          <w:p w14:paraId="177DCF34" w14:textId="77777777" w:rsidR="00595449" w:rsidRPr="00CB4F3B" w:rsidRDefault="00595449" w:rsidP="00757EC9">
            <w:pPr>
              <w:widowControl w:val="0"/>
              <w:tabs>
                <w:tab w:val="decimal" w:pos="547"/>
              </w:tabs>
              <w:spacing w:after="200"/>
              <w:contextualSpacing/>
              <w:rPr>
                <w:rFonts w:ascii="Arial" w:hAnsi="Arial" w:cs="Arial"/>
                <w:b/>
                <w:sz w:val="18"/>
                <w:szCs w:val="18"/>
                <w:lang w:val="en-GB"/>
              </w:rPr>
            </w:pPr>
            <w:r w:rsidRPr="00CB4F3B">
              <w:rPr>
                <w:rFonts w:ascii="Arial" w:hAnsi="Arial" w:cs="Arial"/>
                <w:sz w:val="18"/>
                <w:szCs w:val="18"/>
                <w:lang w:val="en-GB"/>
              </w:rPr>
              <w:t>9.6</w:t>
            </w:r>
          </w:p>
        </w:tc>
        <w:tc>
          <w:tcPr>
            <w:tcW w:w="1027" w:type="dxa"/>
          </w:tcPr>
          <w:p w14:paraId="5082B064" w14:textId="77777777" w:rsidR="00595449" w:rsidRPr="00CB4F3B" w:rsidRDefault="00595449" w:rsidP="00757EC9">
            <w:pPr>
              <w:widowControl w:val="0"/>
              <w:tabs>
                <w:tab w:val="decimal" w:pos="466"/>
              </w:tabs>
              <w:spacing w:after="200"/>
              <w:contextualSpacing/>
              <w:rPr>
                <w:rFonts w:ascii="Arial" w:hAnsi="Arial" w:cs="Arial"/>
                <w:sz w:val="18"/>
                <w:szCs w:val="18"/>
                <w:lang w:val="en-GB"/>
              </w:rPr>
            </w:pPr>
            <w:r w:rsidRPr="00CB4F3B">
              <w:rPr>
                <w:rFonts w:ascii="Arial" w:hAnsi="Arial" w:cs="Arial"/>
                <w:sz w:val="18"/>
                <w:szCs w:val="18"/>
                <w:lang w:val="en-GB"/>
              </w:rPr>
              <w:t>10.6</w:t>
            </w:r>
          </w:p>
        </w:tc>
      </w:tr>
      <w:tr w:rsidR="00595449" w:rsidRPr="00CB4F3B" w14:paraId="65E10C21" w14:textId="77777777" w:rsidTr="00D065BF">
        <w:trPr>
          <w:jc w:val="center"/>
        </w:trPr>
        <w:tc>
          <w:tcPr>
            <w:tcW w:w="2980" w:type="dxa"/>
          </w:tcPr>
          <w:p w14:paraId="1AF2D51A" w14:textId="77777777" w:rsidR="00595449" w:rsidRPr="00CB4F3B" w:rsidRDefault="00595449" w:rsidP="0081747E">
            <w:pPr>
              <w:widowControl w:val="0"/>
              <w:spacing w:after="200"/>
              <w:contextualSpacing/>
              <w:rPr>
                <w:rFonts w:ascii="Arial" w:hAnsi="Arial" w:cs="Arial"/>
                <w:sz w:val="18"/>
                <w:szCs w:val="18"/>
                <w:lang w:val="en-GB"/>
              </w:rPr>
            </w:pPr>
            <w:r w:rsidRPr="00CB4F3B">
              <w:rPr>
                <w:rFonts w:ascii="Arial" w:hAnsi="Arial" w:cs="Arial"/>
                <w:sz w:val="18"/>
                <w:szCs w:val="18"/>
                <w:lang w:val="en-GB"/>
              </w:rPr>
              <w:t>Mattel Toys (India) Private Limited</w:t>
            </w:r>
          </w:p>
        </w:tc>
        <w:tc>
          <w:tcPr>
            <w:tcW w:w="1008" w:type="dxa"/>
          </w:tcPr>
          <w:p w14:paraId="70E60FCC" w14:textId="77777777" w:rsidR="00595449" w:rsidRPr="00CB4F3B" w:rsidRDefault="00595449" w:rsidP="00757EC9">
            <w:pPr>
              <w:widowControl w:val="0"/>
              <w:tabs>
                <w:tab w:val="decimal" w:pos="480"/>
              </w:tabs>
              <w:spacing w:after="200"/>
              <w:contextualSpacing/>
              <w:rPr>
                <w:rFonts w:ascii="Arial" w:hAnsi="Arial" w:cs="Arial"/>
                <w:b/>
                <w:sz w:val="18"/>
                <w:szCs w:val="18"/>
                <w:lang w:val="en-GB"/>
              </w:rPr>
            </w:pPr>
            <w:r w:rsidRPr="00CB4F3B">
              <w:rPr>
                <w:rFonts w:ascii="Arial" w:hAnsi="Arial" w:cs="Arial"/>
                <w:sz w:val="18"/>
                <w:szCs w:val="18"/>
                <w:lang w:val="en-GB"/>
              </w:rPr>
              <w:t>9.3</w:t>
            </w:r>
          </w:p>
        </w:tc>
        <w:tc>
          <w:tcPr>
            <w:tcW w:w="1074" w:type="dxa"/>
          </w:tcPr>
          <w:p w14:paraId="44F8FEA5" w14:textId="77777777" w:rsidR="00595449" w:rsidRPr="00CB4F3B" w:rsidRDefault="00595449" w:rsidP="00757EC9">
            <w:pPr>
              <w:widowControl w:val="0"/>
              <w:tabs>
                <w:tab w:val="decimal" w:pos="464"/>
              </w:tabs>
              <w:spacing w:after="200"/>
              <w:contextualSpacing/>
              <w:rPr>
                <w:rFonts w:ascii="Arial" w:hAnsi="Arial" w:cs="Arial"/>
                <w:b/>
                <w:sz w:val="18"/>
                <w:szCs w:val="18"/>
                <w:lang w:val="en-GB"/>
              </w:rPr>
            </w:pPr>
            <w:r w:rsidRPr="00CB4F3B">
              <w:rPr>
                <w:rFonts w:ascii="Arial" w:hAnsi="Arial" w:cs="Arial"/>
                <w:sz w:val="18"/>
                <w:szCs w:val="18"/>
                <w:lang w:val="en-GB"/>
              </w:rPr>
              <w:t>9.0</w:t>
            </w:r>
          </w:p>
        </w:tc>
        <w:tc>
          <w:tcPr>
            <w:tcW w:w="1074" w:type="dxa"/>
          </w:tcPr>
          <w:p w14:paraId="1F4DCB66" w14:textId="3FC14272" w:rsidR="00595449" w:rsidRPr="00CB4F3B" w:rsidRDefault="00595449" w:rsidP="00757EC9">
            <w:pPr>
              <w:widowControl w:val="0"/>
              <w:tabs>
                <w:tab w:val="decimal" w:pos="383"/>
              </w:tabs>
              <w:spacing w:after="200"/>
              <w:contextualSpacing/>
              <w:rPr>
                <w:rFonts w:ascii="Arial" w:hAnsi="Arial" w:cs="Arial"/>
                <w:b/>
                <w:sz w:val="18"/>
                <w:szCs w:val="18"/>
                <w:lang w:val="en-GB"/>
              </w:rPr>
            </w:pPr>
            <w:r w:rsidRPr="00CB4F3B">
              <w:rPr>
                <w:rFonts w:ascii="Arial" w:hAnsi="Arial" w:cs="Arial"/>
                <w:sz w:val="18"/>
                <w:szCs w:val="18"/>
                <w:lang w:val="en-GB"/>
              </w:rPr>
              <w:t>8.7</w:t>
            </w:r>
          </w:p>
        </w:tc>
        <w:tc>
          <w:tcPr>
            <w:tcW w:w="1171" w:type="dxa"/>
          </w:tcPr>
          <w:p w14:paraId="0680B82A" w14:textId="77777777" w:rsidR="00595449" w:rsidRPr="00CB4F3B" w:rsidRDefault="00595449" w:rsidP="00757EC9">
            <w:pPr>
              <w:widowControl w:val="0"/>
              <w:tabs>
                <w:tab w:val="decimal" w:pos="443"/>
              </w:tabs>
              <w:spacing w:after="200"/>
              <w:contextualSpacing/>
              <w:rPr>
                <w:rFonts w:ascii="Arial" w:hAnsi="Arial" w:cs="Arial"/>
                <w:b/>
                <w:sz w:val="18"/>
                <w:szCs w:val="18"/>
                <w:lang w:val="en-GB"/>
              </w:rPr>
            </w:pPr>
            <w:r w:rsidRPr="00CB4F3B">
              <w:rPr>
                <w:rFonts w:ascii="Arial" w:hAnsi="Arial" w:cs="Arial"/>
                <w:sz w:val="18"/>
                <w:szCs w:val="18"/>
                <w:lang w:val="en-GB"/>
              </w:rPr>
              <w:t>8.2</w:t>
            </w:r>
          </w:p>
        </w:tc>
        <w:tc>
          <w:tcPr>
            <w:tcW w:w="1074" w:type="dxa"/>
          </w:tcPr>
          <w:p w14:paraId="1325C7E7" w14:textId="77777777" w:rsidR="00595449" w:rsidRPr="00CB4F3B" w:rsidRDefault="00595449" w:rsidP="00757EC9">
            <w:pPr>
              <w:widowControl w:val="0"/>
              <w:tabs>
                <w:tab w:val="decimal" w:pos="547"/>
              </w:tabs>
              <w:spacing w:after="200"/>
              <w:contextualSpacing/>
              <w:rPr>
                <w:rFonts w:ascii="Arial" w:hAnsi="Arial" w:cs="Arial"/>
                <w:b/>
                <w:sz w:val="18"/>
                <w:szCs w:val="18"/>
                <w:lang w:val="en-GB"/>
              </w:rPr>
            </w:pPr>
            <w:r w:rsidRPr="00CB4F3B">
              <w:rPr>
                <w:rFonts w:ascii="Arial" w:hAnsi="Arial" w:cs="Arial"/>
                <w:sz w:val="18"/>
                <w:szCs w:val="18"/>
                <w:lang w:val="en-GB"/>
              </w:rPr>
              <w:t>7.0</w:t>
            </w:r>
          </w:p>
        </w:tc>
        <w:tc>
          <w:tcPr>
            <w:tcW w:w="1027" w:type="dxa"/>
          </w:tcPr>
          <w:p w14:paraId="2B729594" w14:textId="77777777" w:rsidR="00595449" w:rsidRPr="00CB4F3B" w:rsidRDefault="00595449" w:rsidP="00757EC9">
            <w:pPr>
              <w:widowControl w:val="0"/>
              <w:tabs>
                <w:tab w:val="decimal" w:pos="466"/>
              </w:tabs>
              <w:spacing w:after="200"/>
              <w:contextualSpacing/>
              <w:rPr>
                <w:rFonts w:ascii="Arial" w:hAnsi="Arial" w:cs="Arial"/>
                <w:sz w:val="18"/>
                <w:szCs w:val="18"/>
                <w:lang w:val="en-GB"/>
              </w:rPr>
            </w:pPr>
            <w:r w:rsidRPr="00CB4F3B">
              <w:rPr>
                <w:rFonts w:ascii="Arial" w:hAnsi="Arial" w:cs="Arial"/>
                <w:sz w:val="18"/>
                <w:szCs w:val="18"/>
                <w:lang w:val="en-GB"/>
              </w:rPr>
              <w:t>9.0</w:t>
            </w:r>
          </w:p>
        </w:tc>
      </w:tr>
      <w:tr w:rsidR="00595449" w:rsidRPr="00CB4F3B" w14:paraId="1072CEAA" w14:textId="77777777" w:rsidTr="00D065BF">
        <w:trPr>
          <w:jc w:val="center"/>
        </w:trPr>
        <w:tc>
          <w:tcPr>
            <w:tcW w:w="2980" w:type="dxa"/>
          </w:tcPr>
          <w:p w14:paraId="059B4521" w14:textId="77777777" w:rsidR="00595449" w:rsidRPr="00CB4F3B" w:rsidRDefault="00595449" w:rsidP="0081747E">
            <w:pPr>
              <w:widowControl w:val="0"/>
              <w:spacing w:after="200"/>
              <w:contextualSpacing/>
              <w:rPr>
                <w:rFonts w:ascii="Arial" w:hAnsi="Arial" w:cs="Arial"/>
                <w:sz w:val="18"/>
                <w:szCs w:val="18"/>
                <w:lang w:val="en-GB"/>
              </w:rPr>
            </w:pPr>
            <w:r w:rsidRPr="00CB4F3B">
              <w:rPr>
                <w:rFonts w:ascii="Arial" w:hAnsi="Arial" w:cs="Arial"/>
                <w:sz w:val="18"/>
                <w:szCs w:val="18"/>
                <w:lang w:val="en-GB"/>
              </w:rPr>
              <w:t>Simba Toys India Ltd.</w:t>
            </w:r>
          </w:p>
        </w:tc>
        <w:tc>
          <w:tcPr>
            <w:tcW w:w="1008" w:type="dxa"/>
          </w:tcPr>
          <w:p w14:paraId="30B7AF1F" w14:textId="77777777" w:rsidR="00595449" w:rsidRPr="00CB4F3B" w:rsidRDefault="00595449" w:rsidP="00757EC9">
            <w:pPr>
              <w:widowControl w:val="0"/>
              <w:tabs>
                <w:tab w:val="decimal" w:pos="480"/>
              </w:tabs>
              <w:autoSpaceDE w:val="0"/>
              <w:autoSpaceDN w:val="0"/>
              <w:adjustRightInd w:val="0"/>
              <w:rPr>
                <w:rFonts w:ascii="Arial" w:hAnsi="Arial" w:cs="Arial"/>
                <w:sz w:val="18"/>
                <w:szCs w:val="18"/>
                <w:lang w:val="en-GB"/>
              </w:rPr>
            </w:pPr>
            <w:r w:rsidRPr="00CB4F3B">
              <w:rPr>
                <w:rFonts w:ascii="Arial" w:hAnsi="Arial" w:cs="Arial"/>
                <w:sz w:val="18"/>
                <w:szCs w:val="18"/>
                <w:lang w:val="en-GB"/>
              </w:rPr>
              <w:t>1.2</w:t>
            </w:r>
          </w:p>
        </w:tc>
        <w:tc>
          <w:tcPr>
            <w:tcW w:w="1074" w:type="dxa"/>
          </w:tcPr>
          <w:p w14:paraId="11C61194" w14:textId="77777777" w:rsidR="00595449" w:rsidRPr="00CB4F3B" w:rsidRDefault="00595449" w:rsidP="00757EC9">
            <w:pPr>
              <w:widowControl w:val="0"/>
              <w:tabs>
                <w:tab w:val="decimal" w:pos="464"/>
              </w:tabs>
              <w:autoSpaceDE w:val="0"/>
              <w:autoSpaceDN w:val="0"/>
              <w:adjustRightInd w:val="0"/>
              <w:rPr>
                <w:rFonts w:ascii="Arial" w:hAnsi="Arial" w:cs="Arial"/>
                <w:sz w:val="18"/>
                <w:szCs w:val="18"/>
                <w:lang w:val="en-GB"/>
              </w:rPr>
            </w:pPr>
            <w:r w:rsidRPr="00CB4F3B">
              <w:rPr>
                <w:rFonts w:ascii="Arial" w:hAnsi="Arial" w:cs="Arial"/>
                <w:sz w:val="18"/>
                <w:szCs w:val="18"/>
                <w:lang w:val="en-GB"/>
              </w:rPr>
              <w:t>1.4</w:t>
            </w:r>
          </w:p>
        </w:tc>
        <w:tc>
          <w:tcPr>
            <w:tcW w:w="1074" w:type="dxa"/>
          </w:tcPr>
          <w:p w14:paraId="769D2205" w14:textId="77777777" w:rsidR="00595449" w:rsidRPr="00CB4F3B" w:rsidRDefault="00595449" w:rsidP="00757EC9">
            <w:pPr>
              <w:widowControl w:val="0"/>
              <w:tabs>
                <w:tab w:val="decimal" w:pos="383"/>
              </w:tabs>
              <w:autoSpaceDE w:val="0"/>
              <w:autoSpaceDN w:val="0"/>
              <w:adjustRightInd w:val="0"/>
              <w:rPr>
                <w:rFonts w:ascii="Arial" w:hAnsi="Arial" w:cs="Arial"/>
                <w:sz w:val="18"/>
                <w:szCs w:val="18"/>
                <w:lang w:val="en-GB"/>
              </w:rPr>
            </w:pPr>
            <w:r w:rsidRPr="00CB4F3B">
              <w:rPr>
                <w:rFonts w:ascii="Arial" w:hAnsi="Arial" w:cs="Arial"/>
                <w:sz w:val="18"/>
                <w:szCs w:val="18"/>
                <w:lang w:val="en-GB"/>
              </w:rPr>
              <w:t>1.7</w:t>
            </w:r>
          </w:p>
        </w:tc>
        <w:tc>
          <w:tcPr>
            <w:tcW w:w="1171" w:type="dxa"/>
          </w:tcPr>
          <w:p w14:paraId="052F100F" w14:textId="77777777" w:rsidR="00595449" w:rsidRPr="00CB4F3B" w:rsidRDefault="00595449" w:rsidP="00757EC9">
            <w:pPr>
              <w:widowControl w:val="0"/>
              <w:tabs>
                <w:tab w:val="decimal" w:pos="443"/>
              </w:tabs>
              <w:autoSpaceDE w:val="0"/>
              <w:autoSpaceDN w:val="0"/>
              <w:adjustRightInd w:val="0"/>
              <w:rPr>
                <w:rFonts w:ascii="Arial" w:hAnsi="Arial" w:cs="Arial"/>
                <w:sz w:val="18"/>
                <w:szCs w:val="18"/>
                <w:lang w:val="en-GB"/>
              </w:rPr>
            </w:pPr>
            <w:r w:rsidRPr="00CB4F3B">
              <w:rPr>
                <w:rFonts w:ascii="Arial" w:hAnsi="Arial" w:cs="Arial"/>
                <w:sz w:val="18"/>
                <w:szCs w:val="18"/>
                <w:lang w:val="en-GB"/>
              </w:rPr>
              <w:t>1.8</w:t>
            </w:r>
          </w:p>
        </w:tc>
        <w:tc>
          <w:tcPr>
            <w:tcW w:w="1074" w:type="dxa"/>
          </w:tcPr>
          <w:p w14:paraId="7987B4D6" w14:textId="77777777" w:rsidR="00595449" w:rsidRPr="00CB4F3B" w:rsidRDefault="00595449" w:rsidP="00757EC9">
            <w:pPr>
              <w:widowControl w:val="0"/>
              <w:tabs>
                <w:tab w:val="decimal" w:pos="547"/>
              </w:tabs>
              <w:autoSpaceDE w:val="0"/>
              <w:autoSpaceDN w:val="0"/>
              <w:adjustRightInd w:val="0"/>
              <w:rPr>
                <w:rFonts w:ascii="Arial" w:hAnsi="Arial" w:cs="Arial"/>
                <w:b/>
                <w:sz w:val="18"/>
                <w:szCs w:val="18"/>
                <w:u w:val="single"/>
                <w:lang w:val="en-GB"/>
              </w:rPr>
            </w:pPr>
            <w:r w:rsidRPr="00CB4F3B">
              <w:rPr>
                <w:rFonts w:ascii="Arial" w:hAnsi="Arial" w:cs="Arial"/>
                <w:sz w:val="18"/>
                <w:szCs w:val="18"/>
                <w:lang w:val="en-GB"/>
              </w:rPr>
              <w:t>1.7</w:t>
            </w:r>
          </w:p>
        </w:tc>
        <w:tc>
          <w:tcPr>
            <w:tcW w:w="1027" w:type="dxa"/>
          </w:tcPr>
          <w:p w14:paraId="66316815" w14:textId="77777777" w:rsidR="00595449" w:rsidRPr="00CB4F3B" w:rsidRDefault="00595449" w:rsidP="00757EC9">
            <w:pPr>
              <w:widowControl w:val="0"/>
              <w:tabs>
                <w:tab w:val="decimal" w:pos="466"/>
              </w:tabs>
              <w:autoSpaceDE w:val="0"/>
              <w:autoSpaceDN w:val="0"/>
              <w:adjustRightInd w:val="0"/>
              <w:rPr>
                <w:rFonts w:ascii="Arial" w:hAnsi="Arial" w:cs="Arial"/>
                <w:sz w:val="18"/>
                <w:szCs w:val="18"/>
                <w:lang w:val="en-GB"/>
              </w:rPr>
            </w:pPr>
            <w:r w:rsidRPr="00CB4F3B">
              <w:rPr>
                <w:rFonts w:ascii="Arial" w:hAnsi="Arial" w:cs="Arial"/>
                <w:sz w:val="18"/>
                <w:szCs w:val="18"/>
                <w:lang w:val="en-GB"/>
              </w:rPr>
              <w:t>1.5</w:t>
            </w:r>
          </w:p>
        </w:tc>
      </w:tr>
      <w:tr w:rsidR="00595449" w:rsidRPr="00CB4F3B" w14:paraId="1699D1D0" w14:textId="77777777" w:rsidTr="00D065BF">
        <w:trPr>
          <w:jc w:val="center"/>
        </w:trPr>
        <w:tc>
          <w:tcPr>
            <w:tcW w:w="2980" w:type="dxa"/>
          </w:tcPr>
          <w:p w14:paraId="1F6F0BDA" w14:textId="77777777" w:rsidR="00595449" w:rsidRPr="00CB4F3B" w:rsidRDefault="00595449" w:rsidP="0081747E">
            <w:pPr>
              <w:widowControl w:val="0"/>
              <w:spacing w:after="200"/>
              <w:contextualSpacing/>
              <w:rPr>
                <w:rFonts w:ascii="Arial" w:hAnsi="Arial" w:cs="Arial"/>
                <w:sz w:val="18"/>
                <w:szCs w:val="18"/>
                <w:lang w:val="en-GB"/>
              </w:rPr>
            </w:pPr>
            <w:r w:rsidRPr="00CB4F3B">
              <w:rPr>
                <w:rFonts w:ascii="Arial" w:hAnsi="Arial" w:cs="Arial"/>
                <w:sz w:val="18"/>
                <w:szCs w:val="18"/>
                <w:lang w:val="en-GB"/>
              </w:rPr>
              <w:t>Zephyr Toymakers</w:t>
            </w:r>
          </w:p>
        </w:tc>
        <w:tc>
          <w:tcPr>
            <w:tcW w:w="1008" w:type="dxa"/>
          </w:tcPr>
          <w:p w14:paraId="0226779A" w14:textId="77777777" w:rsidR="00595449" w:rsidRPr="00CB4F3B" w:rsidRDefault="00595449" w:rsidP="00757EC9">
            <w:pPr>
              <w:widowControl w:val="0"/>
              <w:tabs>
                <w:tab w:val="decimal" w:pos="480"/>
              </w:tabs>
              <w:autoSpaceDE w:val="0"/>
              <w:autoSpaceDN w:val="0"/>
              <w:adjustRightInd w:val="0"/>
              <w:rPr>
                <w:rFonts w:ascii="Arial" w:hAnsi="Arial" w:cs="Arial"/>
                <w:sz w:val="18"/>
                <w:szCs w:val="18"/>
                <w:lang w:val="en-GB"/>
              </w:rPr>
            </w:pPr>
            <w:r w:rsidRPr="00CB4F3B">
              <w:rPr>
                <w:rFonts w:ascii="Arial" w:hAnsi="Arial" w:cs="Arial"/>
                <w:sz w:val="18"/>
                <w:szCs w:val="18"/>
                <w:lang w:val="en-GB"/>
              </w:rPr>
              <w:t>1.0</w:t>
            </w:r>
          </w:p>
        </w:tc>
        <w:tc>
          <w:tcPr>
            <w:tcW w:w="1074" w:type="dxa"/>
          </w:tcPr>
          <w:p w14:paraId="18C6F46A" w14:textId="77777777" w:rsidR="00595449" w:rsidRPr="00CB4F3B" w:rsidRDefault="00595449" w:rsidP="00757EC9">
            <w:pPr>
              <w:widowControl w:val="0"/>
              <w:tabs>
                <w:tab w:val="decimal" w:pos="464"/>
              </w:tabs>
              <w:autoSpaceDE w:val="0"/>
              <w:autoSpaceDN w:val="0"/>
              <w:adjustRightInd w:val="0"/>
              <w:rPr>
                <w:rFonts w:ascii="Arial" w:hAnsi="Arial" w:cs="Arial"/>
                <w:sz w:val="18"/>
                <w:szCs w:val="18"/>
                <w:lang w:val="en-GB"/>
              </w:rPr>
            </w:pPr>
            <w:r w:rsidRPr="00CB4F3B">
              <w:rPr>
                <w:rFonts w:ascii="Arial" w:hAnsi="Arial" w:cs="Arial"/>
                <w:sz w:val="18"/>
                <w:szCs w:val="18"/>
                <w:lang w:val="en-GB"/>
              </w:rPr>
              <w:t>1.0</w:t>
            </w:r>
          </w:p>
        </w:tc>
        <w:tc>
          <w:tcPr>
            <w:tcW w:w="1074" w:type="dxa"/>
          </w:tcPr>
          <w:p w14:paraId="239B3318" w14:textId="77777777" w:rsidR="00595449" w:rsidRPr="00CB4F3B" w:rsidRDefault="00595449" w:rsidP="00757EC9">
            <w:pPr>
              <w:widowControl w:val="0"/>
              <w:tabs>
                <w:tab w:val="decimal" w:pos="383"/>
              </w:tabs>
              <w:autoSpaceDE w:val="0"/>
              <w:autoSpaceDN w:val="0"/>
              <w:adjustRightInd w:val="0"/>
              <w:rPr>
                <w:rFonts w:ascii="Arial" w:hAnsi="Arial" w:cs="Arial"/>
                <w:sz w:val="18"/>
                <w:szCs w:val="18"/>
                <w:lang w:val="en-GB"/>
              </w:rPr>
            </w:pPr>
            <w:r w:rsidRPr="00CB4F3B">
              <w:rPr>
                <w:rFonts w:ascii="Arial" w:hAnsi="Arial" w:cs="Arial"/>
                <w:sz w:val="18"/>
                <w:szCs w:val="18"/>
                <w:lang w:val="en-GB"/>
              </w:rPr>
              <w:t>1.0</w:t>
            </w:r>
          </w:p>
        </w:tc>
        <w:tc>
          <w:tcPr>
            <w:tcW w:w="1171" w:type="dxa"/>
          </w:tcPr>
          <w:p w14:paraId="1403ED1F" w14:textId="77777777" w:rsidR="00595449" w:rsidRPr="00CB4F3B" w:rsidRDefault="00595449" w:rsidP="00757EC9">
            <w:pPr>
              <w:widowControl w:val="0"/>
              <w:tabs>
                <w:tab w:val="decimal" w:pos="443"/>
              </w:tabs>
              <w:autoSpaceDE w:val="0"/>
              <w:autoSpaceDN w:val="0"/>
              <w:adjustRightInd w:val="0"/>
              <w:rPr>
                <w:rFonts w:ascii="Arial" w:hAnsi="Arial" w:cs="Arial"/>
                <w:sz w:val="18"/>
                <w:szCs w:val="18"/>
                <w:lang w:val="en-GB"/>
              </w:rPr>
            </w:pPr>
            <w:r w:rsidRPr="00CB4F3B">
              <w:rPr>
                <w:rFonts w:ascii="Arial" w:hAnsi="Arial" w:cs="Arial"/>
                <w:sz w:val="18"/>
                <w:szCs w:val="18"/>
                <w:lang w:val="en-GB"/>
              </w:rPr>
              <w:t>1.2</w:t>
            </w:r>
          </w:p>
        </w:tc>
        <w:tc>
          <w:tcPr>
            <w:tcW w:w="1074" w:type="dxa"/>
          </w:tcPr>
          <w:p w14:paraId="75AC8A16" w14:textId="77777777" w:rsidR="00595449" w:rsidRPr="00CB4F3B" w:rsidRDefault="00595449" w:rsidP="00757EC9">
            <w:pPr>
              <w:widowControl w:val="0"/>
              <w:tabs>
                <w:tab w:val="decimal" w:pos="547"/>
              </w:tabs>
              <w:autoSpaceDE w:val="0"/>
              <w:autoSpaceDN w:val="0"/>
              <w:adjustRightInd w:val="0"/>
              <w:rPr>
                <w:rFonts w:ascii="Arial" w:hAnsi="Arial" w:cs="Arial"/>
                <w:sz w:val="18"/>
                <w:szCs w:val="18"/>
                <w:lang w:val="en-GB"/>
              </w:rPr>
            </w:pPr>
            <w:r w:rsidRPr="00CB4F3B">
              <w:rPr>
                <w:rFonts w:ascii="Arial" w:hAnsi="Arial" w:cs="Arial"/>
                <w:sz w:val="18"/>
                <w:szCs w:val="18"/>
                <w:lang w:val="en-GB"/>
              </w:rPr>
              <w:t>1.4</w:t>
            </w:r>
          </w:p>
        </w:tc>
        <w:tc>
          <w:tcPr>
            <w:tcW w:w="1027" w:type="dxa"/>
          </w:tcPr>
          <w:p w14:paraId="773A674C" w14:textId="77777777" w:rsidR="00595449" w:rsidRPr="00CB4F3B" w:rsidRDefault="00595449" w:rsidP="00757EC9">
            <w:pPr>
              <w:widowControl w:val="0"/>
              <w:tabs>
                <w:tab w:val="decimal" w:pos="466"/>
              </w:tabs>
              <w:autoSpaceDE w:val="0"/>
              <w:autoSpaceDN w:val="0"/>
              <w:adjustRightInd w:val="0"/>
              <w:rPr>
                <w:rFonts w:ascii="Arial" w:hAnsi="Arial" w:cs="Arial"/>
                <w:sz w:val="18"/>
                <w:szCs w:val="18"/>
                <w:lang w:val="en-GB"/>
              </w:rPr>
            </w:pPr>
            <w:r w:rsidRPr="00CB4F3B">
              <w:rPr>
                <w:rFonts w:ascii="Arial" w:hAnsi="Arial" w:cs="Arial"/>
                <w:sz w:val="18"/>
                <w:szCs w:val="18"/>
                <w:lang w:val="en-GB"/>
              </w:rPr>
              <w:t>1.5</w:t>
            </w:r>
          </w:p>
        </w:tc>
      </w:tr>
      <w:tr w:rsidR="00595449" w:rsidRPr="00CB4F3B" w14:paraId="1B2EA9D1" w14:textId="77777777" w:rsidTr="00D065BF">
        <w:trPr>
          <w:jc w:val="center"/>
        </w:trPr>
        <w:tc>
          <w:tcPr>
            <w:tcW w:w="2980" w:type="dxa"/>
          </w:tcPr>
          <w:p w14:paraId="2612CE23" w14:textId="77777777" w:rsidR="00595449" w:rsidRPr="00CB4F3B" w:rsidRDefault="00595449" w:rsidP="0081747E">
            <w:pPr>
              <w:widowControl w:val="0"/>
              <w:spacing w:after="200"/>
              <w:contextualSpacing/>
              <w:rPr>
                <w:rFonts w:ascii="Arial" w:hAnsi="Arial" w:cs="Arial"/>
                <w:sz w:val="18"/>
                <w:szCs w:val="18"/>
                <w:lang w:val="en-GB"/>
              </w:rPr>
            </w:pPr>
            <w:r w:rsidRPr="00CB4F3B">
              <w:rPr>
                <w:rFonts w:ascii="Arial" w:hAnsi="Arial" w:cs="Arial"/>
                <w:sz w:val="18"/>
                <w:szCs w:val="18"/>
                <w:lang w:val="en-GB"/>
              </w:rPr>
              <w:t>My Baby Excels</w:t>
            </w:r>
          </w:p>
        </w:tc>
        <w:tc>
          <w:tcPr>
            <w:tcW w:w="1008" w:type="dxa"/>
          </w:tcPr>
          <w:p w14:paraId="3A7AE9AF" w14:textId="77777777" w:rsidR="00595449" w:rsidRPr="00CB4F3B" w:rsidRDefault="00595449" w:rsidP="00757EC9">
            <w:pPr>
              <w:widowControl w:val="0"/>
              <w:tabs>
                <w:tab w:val="decimal" w:pos="480"/>
              </w:tabs>
              <w:autoSpaceDE w:val="0"/>
              <w:autoSpaceDN w:val="0"/>
              <w:adjustRightInd w:val="0"/>
              <w:rPr>
                <w:rFonts w:ascii="Arial" w:hAnsi="Arial" w:cs="Arial"/>
                <w:sz w:val="18"/>
                <w:szCs w:val="18"/>
                <w:lang w:val="en-GB"/>
              </w:rPr>
            </w:pPr>
            <w:r w:rsidRPr="00CB4F3B">
              <w:rPr>
                <w:rFonts w:ascii="Arial" w:hAnsi="Arial" w:cs="Arial"/>
                <w:sz w:val="18"/>
                <w:szCs w:val="18"/>
                <w:lang w:val="en-GB"/>
              </w:rPr>
              <w:t>0.4</w:t>
            </w:r>
          </w:p>
        </w:tc>
        <w:tc>
          <w:tcPr>
            <w:tcW w:w="1074" w:type="dxa"/>
          </w:tcPr>
          <w:p w14:paraId="1863B7AB" w14:textId="77777777" w:rsidR="00595449" w:rsidRPr="00CB4F3B" w:rsidRDefault="00595449" w:rsidP="00757EC9">
            <w:pPr>
              <w:widowControl w:val="0"/>
              <w:tabs>
                <w:tab w:val="decimal" w:pos="464"/>
              </w:tabs>
              <w:autoSpaceDE w:val="0"/>
              <w:autoSpaceDN w:val="0"/>
              <w:adjustRightInd w:val="0"/>
              <w:rPr>
                <w:rFonts w:ascii="Arial" w:hAnsi="Arial" w:cs="Arial"/>
                <w:sz w:val="18"/>
                <w:szCs w:val="18"/>
                <w:lang w:val="en-GB"/>
              </w:rPr>
            </w:pPr>
            <w:r w:rsidRPr="00CB4F3B">
              <w:rPr>
                <w:rFonts w:ascii="Arial" w:hAnsi="Arial" w:cs="Arial"/>
                <w:sz w:val="18"/>
                <w:szCs w:val="18"/>
                <w:lang w:val="en-GB"/>
              </w:rPr>
              <w:t>0.6</w:t>
            </w:r>
          </w:p>
        </w:tc>
        <w:tc>
          <w:tcPr>
            <w:tcW w:w="1074" w:type="dxa"/>
          </w:tcPr>
          <w:p w14:paraId="4489CD79" w14:textId="77777777" w:rsidR="00595449" w:rsidRPr="00CB4F3B" w:rsidRDefault="00595449" w:rsidP="00757EC9">
            <w:pPr>
              <w:widowControl w:val="0"/>
              <w:tabs>
                <w:tab w:val="decimal" w:pos="383"/>
              </w:tabs>
              <w:autoSpaceDE w:val="0"/>
              <w:autoSpaceDN w:val="0"/>
              <w:adjustRightInd w:val="0"/>
              <w:rPr>
                <w:rFonts w:ascii="Arial" w:hAnsi="Arial" w:cs="Arial"/>
                <w:sz w:val="18"/>
                <w:szCs w:val="18"/>
                <w:lang w:val="en-GB"/>
              </w:rPr>
            </w:pPr>
            <w:r w:rsidRPr="00CB4F3B">
              <w:rPr>
                <w:rFonts w:ascii="Arial" w:hAnsi="Arial" w:cs="Arial"/>
                <w:sz w:val="18"/>
                <w:szCs w:val="18"/>
                <w:lang w:val="en-GB"/>
              </w:rPr>
              <w:t>0.7</w:t>
            </w:r>
          </w:p>
        </w:tc>
        <w:tc>
          <w:tcPr>
            <w:tcW w:w="1171" w:type="dxa"/>
          </w:tcPr>
          <w:p w14:paraId="759C7731" w14:textId="77777777" w:rsidR="00595449" w:rsidRPr="00CB4F3B" w:rsidRDefault="00595449" w:rsidP="00757EC9">
            <w:pPr>
              <w:widowControl w:val="0"/>
              <w:tabs>
                <w:tab w:val="decimal" w:pos="443"/>
              </w:tabs>
              <w:autoSpaceDE w:val="0"/>
              <w:autoSpaceDN w:val="0"/>
              <w:adjustRightInd w:val="0"/>
              <w:rPr>
                <w:rFonts w:ascii="Arial" w:hAnsi="Arial" w:cs="Arial"/>
                <w:sz w:val="18"/>
                <w:szCs w:val="18"/>
                <w:lang w:val="en-GB"/>
              </w:rPr>
            </w:pPr>
            <w:r w:rsidRPr="00CB4F3B">
              <w:rPr>
                <w:rFonts w:ascii="Arial" w:hAnsi="Arial" w:cs="Arial"/>
                <w:sz w:val="18"/>
                <w:szCs w:val="18"/>
                <w:lang w:val="en-GB"/>
              </w:rPr>
              <w:t>0.7</w:t>
            </w:r>
          </w:p>
        </w:tc>
        <w:tc>
          <w:tcPr>
            <w:tcW w:w="1074" w:type="dxa"/>
          </w:tcPr>
          <w:p w14:paraId="0E9583A5" w14:textId="77777777" w:rsidR="00595449" w:rsidRPr="00CB4F3B" w:rsidRDefault="00595449" w:rsidP="00757EC9">
            <w:pPr>
              <w:widowControl w:val="0"/>
              <w:tabs>
                <w:tab w:val="decimal" w:pos="547"/>
              </w:tabs>
              <w:autoSpaceDE w:val="0"/>
              <w:autoSpaceDN w:val="0"/>
              <w:adjustRightInd w:val="0"/>
              <w:rPr>
                <w:rFonts w:ascii="Arial" w:hAnsi="Arial" w:cs="Arial"/>
                <w:sz w:val="18"/>
                <w:szCs w:val="18"/>
                <w:lang w:val="en-GB"/>
              </w:rPr>
            </w:pPr>
            <w:r w:rsidRPr="00CB4F3B">
              <w:rPr>
                <w:rFonts w:ascii="Arial" w:hAnsi="Arial" w:cs="Arial"/>
                <w:sz w:val="18"/>
                <w:szCs w:val="18"/>
                <w:lang w:val="en-GB"/>
              </w:rPr>
              <w:t>0.7</w:t>
            </w:r>
          </w:p>
        </w:tc>
        <w:tc>
          <w:tcPr>
            <w:tcW w:w="1027" w:type="dxa"/>
          </w:tcPr>
          <w:p w14:paraId="18E819B3" w14:textId="77777777" w:rsidR="00595449" w:rsidRPr="00CB4F3B" w:rsidRDefault="00595449" w:rsidP="00757EC9">
            <w:pPr>
              <w:widowControl w:val="0"/>
              <w:tabs>
                <w:tab w:val="decimal" w:pos="466"/>
              </w:tabs>
              <w:autoSpaceDE w:val="0"/>
              <w:autoSpaceDN w:val="0"/>
              <w:adjustRightInd w:val="0"/>
              <w:rPr>
                <w:rFonts w:ascii="Arial" w:hAnsi="Arial" w:cs="Arial"/>
                <w:sz w:val="18"/>
                <w:szCs w:val="18"/>
                <w:lang w:val="en-GB"/>
              </w:rPr>
            </w:pPr>
            <w:r w:rsidRPr="00CB4F3B">
              <w:rPr>
                <w:rFonts w:ascii="Arial" w:hAnsi="Arial" w:cs="Arial"/>
                <w:sz w:val="18"/>
                <w:szCs w:val="18"/>
                <w:lang w:val="en-GB"/>
              </w:rPr>
              <w:t>0.7</w:t>
            </w:r>
          </w:p>
        </w:tc>
      </w:tr>
      <w:tr w:rsidR="00595449" w:rsidRPr="00CB4F3B" w14:paraId="3C507C58" w14:textId="77777777" w:rsidTr="00D065BF">
        <w:trPr>
          <w:jc w:val="center"/>
        </w:trPr>
        <w:tc>
          <w:tcPr>
            <w:tcW w:w="2980" w:type="dxa"/>
          </w:tcPr>
          <w:p w14:paraId="68357CD5" w14:textId="77777777" w:rsidR="00595449" w:rsidRPr="00CB4F3B" w:rsidRDefault="00595449" w:rsidP="0081747E">
            <w:pPr>
              <w:widowControl w:val="0"/>
              <w:spacing w:after="200"/>
              <w:contextualSpacing/>
              <w:rPr>
                <w:rFonts w:ascii="Arial" w:hAnsi="Arial" w:cs="Arial"/>
                <w:sz w:val="18"/>
                <w:szCs w:val="18"/>
                <w:lang w:val="en-GB"/>
              </w:rPr>
            </w:pPr>
            <w:r w:rsidRPr="00CB4F3B">
              <w:rPr>
                <w:rFonts w:ascii="Arial" w:hAnsi="Arial" w:cs="Arial"/>
                <w:sz w:val="18"/>
                <w:szCs w:val="18"/>
                <w:lang w:val="en-GB"/>
              </w:rPr>
              <w:t>Others</w:t>
            </w:r>
          </w:p>
        </w:tc>
        <w:tc>
          <w:tcPr>
            <w:tcW w:w="1008" w:type="dxa"/>
          </w:tcPr>
          <w:p w14:paraId="6702E346" w14:textId="77777777" w:rsidR="00595449" w:rsidRPr="00CB4F3B" w:rsidRDefault="00595449" w:rsidP="00757EC9">
            <w:pPr>
              <w:widowControl w:val="0"/>
              <w:tabs>
                <w:tab w:val="decimal" w:pos="480"/>
              </w:tabs>
              <w:autoSpaceDE w:val="0"/>
              <w:autoSpaceDN w:val="0"/>
              <w:adjustRightInd w:val="0"/>
              <w:rPr>
                <w:rFonts w:ascii="Arial" w:hAnsi="Arial" w:cs="Arial"/>
                <w:sz w:val="18"/>
                <w:szCs w:val="18"/>
                <w:lang w:val="en-GB"/>
              </w:rPr>
            </w:pPr>
            <w:r w:rsidRPr="00CB4F3B">
              <w:rPr>
                <w:rFonts w:ascii="Arial" w:hAnsi="Arial" w:cs="Arial"/>
                <w:sz w:val="18"/>
                <w:szCs w:val="18"/>
                <w:lang w:val="en-GB"/>
              </w:rPr>
              <w:t>80.5</w:t>
            </w:r>
          </w:p>
        </w:tc>
        <w:tc>
          <w:tcPr>
            <w:tcW w:w="1074" w:type="dxa"/>
          </w:tcPr>
          <w:p w14:paraId="74D5E3D8" w14:textId="77777777" w:rsidR="00595449" w:rsidRPr="00CB4F3B" w:rsidRDefault="00595449" w:rsidP="00757EC9">
            <w:pPr>
              <w:widowControl w:val="0"/>
              <w:tabs>
                <w:tab w:val="decimal" w:pos="464"/>
              </w:tabs>
              <w:autoSpaceDE w:val="0"/>
              <w:autoSpaceDN w:val="0"/>
              <w:adjustRightInd w:val="0"/>
              <w:rPr>
                <w:rFonts w:ascii="Arial" w:hAnsi="Arial" w:cs="Arial"/>
                <w:sz w:val="18"/>
                <w:szCs w:val="18"/>
                <w:lang w:val="en-GB"/>
              </w:rPr>
            </w:pPr>
            <w:r w:rsidRPr="00CB4F3B">
              <w:rPr>
                <w:rFonts w:ascii="Arial" w:hAnsi="Arial" w:cs="Arial"/>
                <w:sz w:val="18"/>
                <w:szCs w:val="18"/>
                <w:lang w:val="en-GB"/>
              </w:rPr>
              <w:t>80.1</w:t>
            </w:r>
          </w:p>
        </w:tc>
        <w:tc>
          <w:tcPr>
            <w:tcW w:w="1074" w:type="dxa"/>
          </w:tcPr>
          <w:p w14:paraId="4C92D97E" w14:textId="3DD4550A" w:rsidR="00595449" w:rsidRPr="00CB4F3B" w:rsidRDefault="00595449" w:rsidP="00757EC9">
            <w:pPr>
              <w:widowControl w:val="0"/>
              <w:tabs>
                <w:tab w:val="decimal" w:pos="383"/>
              </w:tabs>
              <w:autoSpaceDE w:val="0"/>
              <w:autoSpaceDN w:val="0"/>
              <w:adjustRightInd w:val="0"/>
              <w:rPr>
                <w:rFonts w:ascii="Arial" w:hAnsi="Arial" w:cs="Arial"/>
                <w:sz w:val="18"/>
                <w:szCs w:val="18"/>
                <w:lang w:val="en-GB"/>
              </w:rPr>
            </w:pPr>
            <w:r w:rsidRPr="00CB4F3B">
              <w:rPr>
                <w:rFonts w:ascii="Arial" w:hAnsi="Arial" w:cs="Arial"/>
                <w:sz w:val="18"/>
                <w:szCs w:val="18"/>
                <w:lang w:val="en-GB"/>
              </w:rPr>
              <w:t>79.7</w:t>
            </w:r>
          </w:p>
        </w:tc>
        <w:tc>
          <w:tcPr>
            <w:tcW w:w="1171" w:type="dxa"/>
          </w:tcPr>
          <w:p w14:paraId="38AE92B6" w14:textId="77777777" w:rsidR="00595449" w:rsidRPr="00CB4F3B" w:rsidRDefault="00595449" w:rsidP="00757EC9">
            <w:pPr>
              <w:widowControl w:val="0"/>
              <w:tabs>
                <w:tab w:val="decimal" w:pos="443"/>
              </w:tabs>
              <w:autoSpaceDE w:val="0"/>
              <w:autoSpaceDN w:val="0"/>
              <w:adjustRightInd w:val="0"/>
              <w:rPr>
                <w:rFonts w:ascii="Arial" w:hAnsi="Arial" w:cs="Arial"/>
                <w:sz w:val="18"/>
                <w:szCs w:val="18"/>
                <w:lang w:val="en-GB"/>
              </w:rPr>
            </w:pPr>
            <w:r w:rsidRPr="00CB4F3B">
              <w:rPr>
                <w:rFonts w:ascii="Arial" w:hAnsi="Arial" w:cs="Arial"/>
                <w:sz w:val="18"/>
                <w:szCs w:val="18"/>
                <w:lang w:val="en-GB"/>
              </w:rPr>
              <w:t>79.4</w:t>
            </w:r>
          </w:p>
        </w:tc>
        <w:tc>
          <w:tcPr>
            <w:tcW w:w="1074" w:type="dxa"/>
          </w:tcPr>
          <w:p w14:paraId="1C3F2517" w14:textId="77777777" w:rsidR="00595449" w:rsidRPr="00CB4F3B" w:rsidRDefault="00595449" w:rsidP="00757EC9">
            <w:pPr>
              <w:widowControl w:val="0"/>
              <w:tabs>
                <w:tab w:val="decimal" w:pos="547"/>
              </w:tabs>
              <w:autoSpaceDE w:val="0"/>
              <w:autoSpaceDN w:val="0"/>
              <w:adjustRightInd w:val="0"/>
              <w:rPr>
                <w:rFonts w:ascii="Arial" w:hAnsi="Arial" w:cs="Arial"/>
                <w:sz w:val="18"/>
                <w:szCs w:val="18"/>
                <w:lang w:val="en-GB"/>
              </w:rPr>
            </w:pPr>
            <w:r w:rsidRPr="00CB4F3B">
              <w:rPr>
                <w:rFonts w:ascii="Arial" w:hAnsi="Arial" w:cs="Arial"/>
                <w:sz w:val="18"/>
                <w:szCs w:val="18"/>
                <w:lang w:val="en-GB"/>
              </w:rPr>
              <w:t>79.6</w:t>
            </w:r>
          </w:p>
        </w:tc>
        <w:tc>
          <w:tcPr>
            <w:tcW w:w="1027" w:type="dxa"/>
          </w:tcPr>
          <w:p w14:paraId="3D7E9615" w14:textId="77777777" w:rsidR="00595449" w:rsidRPr="00CB4F3B" w:rsidRDefault="00595449" w:rsidP="00757EC9">
            <w:pPr>
              <w:widowControl w:val="0"/>
              <w:tabs>
                <w:tab w:val="decimal" w:pos="466"/>
              </w:tabs>
              <w:autoSpaceDE w:val="0"/>
              <w:autoSpaceDN w:val="0"/>
              <w:adjustRightInd w:val="0"/>
              <w:rPr>
                <w:rFonts w:ascii="Arial" w:hAnsi="Arial" w:cs="Arial"/>
                <w:sz w:val="18"/>
                <w:szCs w:val="18"/>
                <w:lang w:val="en-GB"/>
              </w:rPr>
            </w:pPr>
            <w:r w:rsidRPr="00CB4F3B">
              <w:rPr>
                <w:rFonts w:ascii="Arial" w:hAnsi="Arial" w:cs="Arial"/>
                <w:sz w:val="18"/>
                <w:szCs w:val="18"/>
                <w:lang w:val="en-GB"/>
              </w:rPr>
              <w:t>76.7</w:t>
            </w:r>
          </w:p>
        </w:tc>
      </w:tr>
      <w:tr w:rsidR="00783C90" w:rsidRPr="00CB4F3B" w14:paraId="1099FBBE" w14:textId="77777777" w:rsidTr="00D065BF">
        <w:trPr>
          <w:jc w:val="center"/>
        </w:trPr>
        <w:tc>
          <w:tcPr>
            <w:tcW w:w="2980" w:type="dxa"/>
          </w:tcPr>
          <w:p w14:paraId="76BF1834" w14:textId="77777777" w:rsidR="00783C90" w:rsidRPr="00CB4F3B" w:rsidRDefault="00783C90" w:rsidP="00783C90">
            <w:pPr>
              <w:widowControl w:val="0"/>
              <w:spacing w:after="200"/>
              <w:contextualSpacing/>
              <w:rPr>
                <w:rFonts w:ascii="Arial" w:hAnsi="Arial" w:cs="Arial"/>
                <w:sz w:val="18"/>
                <w:szCs w:val="18"/>
                <w:lang w:val="en-GB"/>
              </w:rPr>
            </w:pPr>
            <w:r w:rsidRPr="00CB4F3B">
              <w:rPr>
                <w:rFonts w:ascii="Arial" w:hAnsi="Arial" w:cs="Arial"/>
                <w:sz w:val="18"/>
                <w:szCs w:val="18"/>
                <w:lang w:val="en-GB"/>
              </w:rPr>
              <w:t>Total</w:t>
            </w:r>
          </w:p>
        </w:tc>
        <w:tc>
          <w:tcPr>
            <w:tcW w:w="1008" w:type="dxa"/>
          </w:tcPr>
          <w:p w14:paraId="1C1073BC" w14:textId="044A3432" w:rsidR="00783C90" w:rsidRPr="00CB4F3B" w:rsidRDefault="00783C90" w:rsidP="00783C90">
            <w:pPr>
              <w:widowControl w:val="0"/>
              <w:tabs>
                <w:tab w:val="decimal" w:pos="480"/>
              </w:tabs>
              <w:autoSpaceDE w:val="0"/>
              <w:autoSpaceDN w:val="0"/>
              <w:adjustRightInd w:val="0"/>
              <w:rPr>
                <w:rFonts w:ascii="Arial" w:hAnsi="Arial" w:cs="Arial"/>
                <w:sz w:val="18"/>
                <w:szCs w:val="18"/>
                <w:lang w:val="en-GB"/>
              </w:rPr>
            </w:pPr>
            <w:r w:rsidRPr="00CB4F3B">
              <w:rPr>
                <w:rFonts w:ascii="Arial" w:hAnsi="Arial" w:cs="Arial"/>
                <w:sz w:val="18"/>
                <w:szCs w:val="18"/>
                <w:lang w:val="en-GB"/>
              </w:rPr>
              <w:t>100</w:t>
            </w:r>
            <w:r>
              <w:rPr>
                <w:rFonts w:ascii="Arial" w:hAnsi="Arial" w:cs="Arial"/>
                <w:sz w:val="18"/>
                <w:szCs w:val="18"/>
                <w:lang w:val="en-GB"/>
              </w:rPr>
              <w:t>.0</w:t>
            </w:r>
          </w:p>
        </w:tc>
        <w:tc>
          <w:tcPr>
            <w:tcW w:w="1074" w:type="dxa"/>
          </w:tcPr>
          <w:p w14:paraId="3E34BC0D" w14:textId="2DC11E42" w:rsidR="00783C90" w:rsidRPr="00CB4F3B" w:rsidRDefault="00783C90" w:rsidP="00783C90">
            <w:pPr>
              <w:widowControl w:val="0"/>
              <w:tabs>
                <w:tab w:val="decimal" w:pos="464"/>
              </w:tabs>
              <w:rPr>
                <w:rFonts w:ascii="Arial" w:hAnsi="Arial" w:cs="Arial"/>
                <w:sz w:val="18"/>
                <w:szCs w:val="18"/>
                <w:lang w:val="en-GB"/>
              </w:rPr>
            </w:pPr>
            <w:r w:rsidRPr="00CB4F3B">
              <w:rPr>
                <w:rFonts w:ascii="Arial" w:hAnsi="Arial" w:cs="Arial"/>
                <w:sz w:val="18"/>
                <w:szCs w:val="18"/>
                <w:lang w:val="en-GB"/>
              </w:rPr>
              <w:t>100</w:t>
            </w:r>
            <w:r>
              <w:rPr>
                <w:rFonts w:ascii="Arial" w:hAnsi="Arial" w:cs="Arial"/>
                <w:sz w:val="18"/>
                <w:szCs w:val="18"/>
                <w:lang w:val="en-GB"/>
              </w:rPr>
              <w:t>.0</w:t>
            </w:r>
          </w:p>
        </w:tc>
        <w:tc>
          <w:tcPr>
            <w:tcW w:w="1074" w:type="dxa"/>
          </w:tcPr>
          <w:p w14:paraId="081F26E0" w14:textId="2A591A55" w:rsidR="00783C90" w:rsidRPr="00CB4F3B" w:rsidRDefault="00783C90" w:rsidP="00783C90">
            <w:pPr>
              <w:widowControl w:val="0"/>
              <w:tabs>
                <w:tab w:val="decimal" w:pos="383"/>
              </w:tabs>
              <w:rPr>
                <w:rFonts w:ascii="Arial" w:hAnsi="Arial" w:cs="Arial"/>
                <w:sz w:val="18"/>
                <w:szCs w:val="18"/>
                <w:lang w:val="en-GB"/>
              </w:rPr>
            </w:pPr>
            <w:r w:rsidRPr="00C97E7E">
              <w:rPr>
                <w:rFonts w:ascii="Arial" w:hAnsi="Arial" w:cs="Arial"/>
                <w:sz w:val="18"/>
                <w:szCs w:val="18"/>
                <w:lang w:val="en-GB"/>
              </w:rPr>
              <w:t>100.0</w:t>
            </w:r>
          </w:p>
        </w:tc>
        <w:tc>
          <w:tcPr>
            <w:tcW w:w="1171" w:type="dxa"/>
          </w:tcPr>
          <w:p w14:paraId="2E232549" w14:textId="2DA5CF1B" w:rsidR="00783C90" w:rsidRPr="00CB4F3B" w:rsidRDefault="00783C90" w:rsidP="00783C90">
            <w:pPr>
              <w:widowControl w:val="0"/>
              <w:tabs>
                <w:tab w:val="decimal" w:pos="443"/>
              </w:tabs>
              <w:rPr>
                <w:rFonts w:ascii="Arial" w:hAnsi="Arial" w:cs="Arial"/>
                <w:sz w:val="18"/>
                <w:szCs w:val="18"/>
                <w:lang w:val="en-GB"/>
              </w:rPr>
            </w:pPr>
            <w:r w:rsidRPr="00C97E7E">
              <w:rPr>
                <w:rFonts w:ascii="Arial" w:hAnsi="Arial" w:cs="Arial"/>
                <w:sz w:val="18"/>
                <w:szCs w:val="18"/>
                <w:lang w:val="en-GB"/>
              </w:rPr>
              <w:t>100.0</w:t>
            </w:r>
          </w:p>
        </w:tc>
        <w:tc>
          <w:tcPr>
            <w:tcW w:w="1074" w:type="dxa"/>
          </w:tcPr>
          <w:p w14:paraId="155A270E" w14:textId="1F52E324" w:rsidR="00783C90" w:rsidRPr="00CB4F3B" w:rsidRDefault="00783C90" w:rsidP="00783C90">
            <w:pPr>
              <w:widowControl w:val="0"/>
              <w:tabs>
                <w:tab w:val="decimal" w:pos="547"/>
              </w:tabs>
              <w:rPr>
                <w:rFonts w:ascii="Arial" w:hAnsi="Arial" w:cs="Arial"/>
                <w:sz w:val="18"/>
                <w:szCs w:val="18"/>
                <w:lang w:val="en-GB"/>
              </w:rPr>
            </w:pPr>
            <w:r w:rsidRPr="00C97E7E">
              <w:rPr>
                <w:rFonts w:ascii="Arial" w:hAnsi="Arial" w:cs="Arial"/>
                <w:sz w:val="18"/>
                <w:szCs w:val="18"/>
                <w:lang w:val="en-GB"/>
              </w:rPr>
              <w:t>100.0</w:t>
            </w:r>
          </w:p>
        </w:tc>
        <w:tc>
          <w:tcPr>
            <w:tcW w:w="1027" w:type="dxa"/>
          </w:tcPr>
          <w:p w14:paraId="3E990D24" w14:textId="49A1ED38" w:rsidR="00783C90" w:rsidRPr="00CB4F3B" w:rsidRDefault="00783C90" w:rsidP="00783C90">
            <w:pPr>
              <w:widowControl w:val="0"/>
              <w:tabs>
                <w:tab w:val="decimal" w:pos="466"/>
              </w:tabs>
              <w:rPr>
                <w:rFonts w:ascii="Arial" w:hAnsi="Arial" w:cs="Arial"/>
                <w:sz w:val="18"/>
                <w:szCs w:val="18"/>
                <w:lang w:val="en-GB"/>
              </w:rPr>
            </w:pPr>
            <w:r w:rsidRPr="00C97E7E">
              <w:rPr>
                <w:rFonts w:ascii="Arial" w:hAnsi="Arial" w:cs="Arial"/>
                <w:sz w:val="18"/>
                <w:szCs w:val="18"/>
                <w:lang w:val="en-GB"/>
              </w:rPr>
              <w:t>100.0</w:t>
            </w:r>
          </w:p>
        </w:tc>
      </w:tr>
    </w:tbl>
    <w:p w14:paraId="7E5B5D72" w14:textId="38E3723F" w:rsidR="00C022B5" w:rsidRPr="00AC768E" w:rsidRDefault="00C022B5" w:rsidP="0081747E">
      <w:pPr>
        <w:widowControl w:val="0"/>
        <w:rPr>
          <w:rFonts w:ascii="Arial" w:hAnsi="Arial" w:cs="Arial"/>
          <w:sz w:val="15"/>
          <w:szCs w:val="17"/>
          <w:lang w:val="en-GB"/>
        </w:rPr>
      </w:pPr>
    </w:p>
    <w:p w14:paraId="70573025" w14:textId="14872FB3" w:rsidR="003A01AE" w:rsidRPr="00CB4F3B" w:rsidRDefault="003A01AE" w:rsidP="0081747E">
      <w:pPr>
        <w:pStyle w:val="BodyTextMain"/>
        <w:widowControl w:val="0"/>
        <w:rPr>
          <w:rFonts w:ascii="Arial" w:hAnsi="Arial" w:cs="Arial"/>
          <w:sz w:val="17"/>
          <w:szCs w:val="17"/>
          <w:lang w:val="en-GB"/>
        </w:rPr>
      </w:pPr>
      <w:r w:rsidRPr="00CB4F3B">
        <w:rPr>
          <w:rFonts w:ascii="Arial" w:hAnsi="Arial" w:cs="Arial"/>
          <w:sz w:val="17"/>
          <w:szCs w:val="17"/>
          <w:lang w:val="en-GB"/>
        </w:rPr>
        <w:t xml:space="preserve">Source: “Toys and Games in India,” Euromonitor Passport, </w:t>
      </w:r>
      <w:r w:rsidR="00C20FB4">
        <w:rPr>
          <w:rFonts w:ascii="Arial" w:hAnsi="Arial" w:cs="Arial"/>
          <w:sz w:val="17"/>
          <w:szCs w:val="17"/>
          <w:lang w:val="en-GB"/>
        </w:rPr>
        <w:t xml:space="preserve">June 2017, </w:t>
      </w:r>
      <w:r w:rsidRPr="00CB4F3B">
        <w:rPr>
          <w:rFonts w:ascii="Arial" w:hAnsi="Arial" w:cs="Arial"/>
          <w:sz w:val="17"/>
          <w:szCs w:val="17"/>
          <w:lang w:val="en-GB"/>
        </w:rPr>
        <w:t>accessed July 15, 2017</w:t>
      </w:r>
      <w:r w:rsidR="00C20FB4" w:rsidRPr="004126F5">
        <w:rPr>
          <w:rFonts w:ascii="Arial" w:hAnsi="Arial" w:cs="Arial"/>
          <w:sz w:val="17"/>
          <w:szCs w:val="17"/>
          <w:lang w:val="en-GB"/>
        </w:rPr>
        <w:t>, www.euromonitor.com/toys-and-games-in-india/report</w:t>
      </w:r>
      <w:r w:rsidRPr="00CB4F3B">
        <w:rPr>
          <w:rFonts w:ascii="Arial" w:hAnsi="Arial" w:cs="Arial"/>
          <w:sz w:val="17"/>
          <w:szCs w:val="17"/>
          <w:lang w:val="en-GB"/>
        </w:rPr>
        <w:t>.</w:t>
      </w:r>
    </w:p>
    <w:p w14:paraId="75C3A587" w14:textId="726AF5BF" w:rsidR="00595449" w:rsidRPr="00AC768E" w:rsidRDefault="00595449" w:rsidP="00AC768E">
      <w:pPr>
        <w:pStyle w:val="BodyTextMain"/>
        <w:rPr>
          <w:sz w:val="18"/>
        </w:rPr>
      </w:pPr>
    </w:p>
    <w:p w14:paraId="2F709FA5" w14:textId="51760EE5" w:rsidR="00EC4A78" w:rsidRPr="00AC768E" w:rsidRDefault="00EC4A78" w:rsidP="00AC768E">
      <w:pPr>
        <w:pStyle w:val="BodyTextMain"/>
        <w:rPr>
          <w:sz w:val="18"/>
        </w:rPr>
      </w:pPr>
    </w:p>
    <w:p w14:paraId="671061F1" w14:textId="0BB3D67F" w:rsidR="00595449" w:rsidRPr="00CB4F3B" w:rsidRDefault="00595449" w:rsidP="0081747E">
      <w:pPr>
        <w:widowControl w:val="0"/>
        <w:jc w:val="center"/>
        <w:rPr>
          <w:rFonts w:ascii="Arial" w:hAnsi="Arial" w:cs="Arial"/>
          <w:b/>
          <w:lang w:val="en-GB"/>
        </w:rPr>
      </w:pPr>
      <w:r w:rsidRPr="00CB4F3B">
        <w:rPr>
          <w:rFonts w:ascii="Arial" w:hAnsi="Arial" w:cs="Arial"/>
          <w:b/>
          <w:lang w:val="en-GB"/>
        </w:rPr>
        <w:t xml:space="preserve">EXHIBIT 7: </w:t>
      </w:r>
      <w:r w:rsidR="00B60CD1">
        <w:rPr>
          <w:rFonts w:ascii="Arial" w:hAnsi="Arial" w:cs="Arial"/>
          <w:b/>
          <w:lang w:val="en-GB"/>
        </w:rPr>
        <w:t xml:space="preserve">FUNSKOOL’S </w:t>
      </w:r>
      <w:r w:rsidRPr="00CB4F3B">
        <w:rPr>
          <w:rFonts w:ascii="Arial" w:hAnsi="Arial" w:cs="Arial"/>
          <w:b/>
          <w:lang w:val="en-GB"/>
        </w:rPr>
        <w:t xml:space="preserve">REVENUE SPLIT </w:t>
      </w:r>
      <w:r w:rsidR="00B60CD1">
        <w:rPr>
          <w:rFonts w:ascii="Arial" w:hAnsi="Arial" w:cs="Arial"/>
          <w:b/>
          <w:lang w:val="en-GB"/>
        </w:rPr>
        <w:t>BETWEEN</w:t>
      </w:r>
      <w:r w:rsidR="00B60CD1" w:rsidRPr="00CB4F3B">
        <w:rPr>
          <w:rFonts w:ascii="Arial" w:hAnsi="Arial" w:cs="Arial"/>
          <w:b/>
          <w:lang w:val="en-GB"/>
        </w:rPr>
        <w:t xml:space="preserve"> </w:t>
      </w:r>
      <w:r w:rsidRPr="00CB4F3B">
        <w:rPr>
          <w:rFonts w:ascii="Arial" w:hAnsi="Arial" w:cs="Arial"/>
          <w:b/>
          <w:lang w:val="en-GB"/>
        </w:rPr>
        <w:t>FUNSKOOL</w:t>
      </w:r>
      <w:r w:rsidR="00B60CD1">
        <w:rPr>
          <w:rFonts w:ascii="Arial" w:hAnsi="Arial" w:cs="Arial"/>
          <w:b/>
          <w:lang w:val="en-GB"/>
        </w:rPr>
        <w:t xml:space="preserve"> BRANDS AND LICENSED BRANDS, 2010–2016</w:t>
      </w:r>
    </w:p>
    <w:p w14:paraId="7A8A35E3" w14:textId="5347FA95" w:rsidR="00595449" w:rsidRPr="00AC768E" w:rsidRDefault="00595449" w:rsidP="0081747E">
      <w:pPr>
        <w:widowControl w:val="0"/>
        <w:jc w:val="center"/>
        <w:rPr>
          <w:rFonts w:ascii="Arial" w:hAnsi="Arial" w:cs="Arial"/>
          <w:b/>
          <w:sz w:val="18"/>
          <w:lang w:val="en-GB"/>
        </w:rPr>
      </w:pPr>
    </w:p>
    <w:tbl>
      <w:tblPr>
        <w:tblStyle w:val="TableGrid"/>
        <w:tblW w:w="0" w:type="auto"/>
        <w:jc w:val="center"/>
        <w:tblLook w:val="04A0" w:firstRow="1" w:lastRow="0" w:firstColumn="1" w:lastColumn="0" w:noHBand="0" w:noVBand="1"/>
      </w:tblPr>
      <w:tblGrid>
        <w:gridCol w:w="1075"/>
        <w:gridCol w:w="2250"/>
        <w:gridCol w:w="2250"/>
      </w:tblGrid>
      <w:tr w:rsidR="00595449" w:rsidRPr="00CB4F3B" w14:paraId="45DAF780" w14:textId="77777777" w:rsidTr="00595449">
        <w:trPr>
          <w:jc w:val="center"/>
        </w:trPr>
        <w:tc>
          <w:tcPr>
            <w:tcW w:w="1075" w:type="dxa"/>
          </w:tcPr>
          <w:p w14:paraId="23422F6A" w14:textId="77777777" w:rsidR="00595449" w:rsidRPr="00CB4F3B" w:rsidRDefault="00595449" w:rsidP="0081747E">
            <w:pPr>
              <w:widowControl w:val="0"/>
              <w:jc w:val="center"/>
              <w:textAlignment w:val="baseline"/>
              <w:rPr>
                <w:rFonts w:ascii="Arial" w:hAnsi="Arial" w:cs="Arial"/>
                <w:b/>
                <w:color w:val="000000"/>
                <w:sz w:val="18"/>
                <w:szCs w:val="18"/>
                <w:lang w:val="en-GB"/>
              </w:rPr>
            </w:pPr>
            <w:r w:rsidRPr="00CB4F3B">
              <w:rPr>
                <w:rFonts w:ascii="Arial" w:hAnsi="Arial" w:cs="Arial"/>
                <w:b/>
                <w:color w:val="000000"/>
                <w:sz w:val="18"/>
                <w:szCs w:val="18"/>
                <w:lang w:val="en-GB"/>
              </w:rPr>
              <w:t>Year</w:t>
            </w:r>
          </w:p>
        </w:tc>
        <w:tc>
          <w:tcPr>
            <w:tcW w:w="2250" w:type="dxa"/>
          </w:tcPr>
          <w:p w14:paraId="3D21C95A" w14:textId="77777777" w:rsidR="00595449" w:rsidRPr="00CB4F3B" w:rsidRDefault="00595449" w:rsidP="0081747E">
            <w:pPr>
              <w:widowControl w:val="0"/>
              <w:jc w:val="center"/>
              <w:textAlignment w:val="baseline"/>
              <w:rPr>
                <w:rFonts w:ascii="Arial" w:hAnsi="Arial" w:cs="Arial"/>
                <w:b/>
                <w:color w:val="000000"/>
                <w:sz w:val="18"/>
                <w:szCs w:val="18"/>
                <w:lang w:val="en-GB"/>
              </w:rPr>
            </w:pPr>
            <w:r w:rsidRPr="00CB4F3B">
              <w:rPr>
                <w:rFonts w:ascii="Arial" w:hAnsi="Arial" w:cs="Arial"/>
                <w:b/>
                <w:color w:val="000000"/>
                <w:sz w:val="18"/>
                <w:szCs w:val="18"/>
                <w:lang w:val="en-GB"/>
              </w:rPr>
              <w:t>Funskool Brands (%)</w:t>
            </w:r>
          </w:p>
        </w:tc>
        <w:tc>
          <w:tcPr>
            <w:tcW w:w="2250" w:type="dxa"/>
          </w:tcPr>
          <w:p w14:paraId="54366559" w14:textId="77777777" w:rsidR="00595449" w:rsidRPr="00CB4F3B" w:rsidRDefault="00595449" w:rsidP="0081747E">
            <w:pPr>
              <w:widowControl w:val="0"/>
              <w:jc w:val="center"/>
              <w:textAlignment w:val="baseline"/>
              <w:rPr>
                <w:rFonts w:ascii="Arial" w:hAnsi="Arial" w:cs="Arial"/>
                <w:b/>
                <w:color w:val="000000"/>
                <w:sz w:val="18"/>
                <w:szCs w:val="18"/>
                <w:lang w:val="en-GB"/>
              </w:rPr>
            </w:pPr>
            <w:r w:rsidRPr="00CB4F3B">
              <w:rPr>
                <w:rFonts w:ascii="Arial" w:hAnsi="Arial" w:cs="Arial"/>
                <w:b/>
                <w:color w:val="000000"/>
                <w:sz w:val="18"/>
                <w:szCs w:val="18"/>
                <w:lang w:val="en-GB"/>
              </w:rPr>
              <w:t>Licensed Brands (%)</w:t>
            </w:r>
          </w:p>
        </w:tc>
      </w:tr>
      <w:tr w:rsidR="00595449" w:rsidRPr="00CB4F3B" w14:paraId="4B5C6B74" w14:textId="77777777" w:rsidTr="00595449">
        <w:trPr>
          <w:jc w:val="center"/>
        </w:trPr>
        <w:tc>
          <w:tcPr>
            <w:tcW w:w="1075" w:type="dxa"/>
          </w:tcPr>
          <w:p w14:paraId="7C55C01D" w14:textId="77777777" w:rsidR="00595449" w:rsidRPr="00CB4F3B" w:rsidRDefault="00595449" w:rsidP="0081747E">
            <w:pPr>
              <w:widowControl w:val="0"/>
              <w:jc w:val="center"/>
              <w:rPr>
                <w:rFonts w:ascii="Arial" w:hAnsi="Arial" w:cs="Arial"/>
                <w:color w:val="000000"/>
                <w:sz w:val="18"/>
                <w:szCs w:val="18"/>
                <w:lang w:val="en-GB"/>
              </w:rPr>
            </w:pPr>
            <w:r w:rsidRPr="00CB4F3B">
              <w:rPr>
                <w:rFonts w:ascii="Arial" w:hAnsi="Arial" w:cs="Arial"/>
                <w:color w:val="000000"/>
                <w:sz w:val="18"/>
                <w:szCs w:val="18"/>
                <w:lang w:val="en-GB"/>
              </w:rPr>
              <w:t>2010</w:t>
            </w:r>
          </w:p>
        </w:tc>
        <w:tc>
          <w:tcPr>
            <w:tcW w:w="2250" w:type="dxa"/>
          </w:tcPr>
          <w:p w14:paraId="00B817D8" w14:textId="61A3FC8C" w:rsidR="00595449" w:rsidRPr="00CB4F3B" w:rsidRDefault="00595449" w:rsidP="0081747E">
            <w:pPr>
              <w:widowControl w:val="0"/>
              <w:jc w:val="center"/>
              <w:textAlignment w:val="baseline"/>
              <w:rPr>
                <w:rFonts w:ascii="Arial" w:hAnsi="Arial" w:cs="Arial"/>
                <w:color w:val="000000"/>
                <w:sz w:val="18"/>
                <w:szCs w:val="18"/>
                <w:lang w:val="en-GB"/>
              </w:rPr>
            </w:pPr>
            <w:r w:rsidRPr="00CB4F3B">
              <w:rPr>
                <w:rFonts w:ascii="Arial" w:hAnsi="Arial" w:cs="Arial"/>
                <w:color w:val="000000"/>
                <w:sz w:val="18"/>
                <w:szCs w:val="18"/>
                <w:lang w:val="en-GB"/>
              </w:rPr>
              <w:t>10.0</w:t>
            </w:r>
            <w:r w:rsidR="00976A43" w:rsidRPr="00CB4F3B">
              <w:rPr>
                <w:rFonts w:ascii="Arial" w:hAnsi="Arial" w:cs="Arial"/>
                <w:color w:val="000000"/>
                <w:sz w:val="18"/>
                <w:szCs w:val="18"/>
                <w:lang w:val="en-GB"/>
              </w:rPr>
              <w:t>0</w:t>
            </w:r>
          </w:p>
        </w:tc>
        <w:tc>
          <w:tcPr>
            <w:tcW w:w="2250" w:type="dxa"/>
          </w:tcPr>
          <w:p w14:paraId="31775DF6" w14:textId="485FA0E8" w:rsidR="00595449" w:rsidRPr="00CB4F3B" w:rsidRDefault="00595449" w:rsidP="0081747E">
            <w:pPr>
              <w:widowControl w:val="0"/>
              <w:jc w:val="center"/>
              <w:textAlignment w:val="baseline"/>
              <w:rPr>
                <w:rFonts w:ascii="Arial" w:hAnsi="Arial" w:cs="Arial"/>
                <w:color w:val="000000"/>
                <w:sz w:val="18"/>
                <w:szCs w:val="18"/>
                <w:lang w:val="en-GB"/>
              </w:rPr>
            </w:pPr>
            <w:r w:rsidRPr="00CB4F3B">
              <w:rPr>
                <w:rFonts w:ascii="Arial" w:hAnsi="Arial" w:cs="Arial"/>
                <w:color w:val="000000"/>
                <w:sz w:val="18"/>
                <w:szCs w:val="18"/>
                <w:lang w:val="en-GB"/>
              </w:rPr>
              <w:t>90.0</w:t>
            </w:r>
            <w:r w:rsidR="00976A43" w:rsidRPr="00CB4F3B">
              <w:rPr>
                <w:rFonts w:ascii="Arial" w:hAnsi="Arial" w:cs="Arial"/>
                <w:color w:val="000000"/>
                <w:sz w:val="18"/>
                <w:szCs w:val="18"/>
                <w:lang w:val="en-GB"/>
              </w:rPr>
              <w:t>0</w:t>
            </w:r>
          </w:p>
        </w:tc>
      </w:tr>
      <w:tr w:rsidR="00595449" w:rsidRPr="00CB4F3B" w14:paraId="3CEA8FD3" w14:textId="77777777" w:rsidTr="00595449">
        <w:trPr>
          <w:jc w:val="center"/>
        </w:trPr>
        <w:tc>
          <w:tcPr>
            <w:tcW w:w="1075" w:type="dxa"/>
          </w:tcPr>
          <w:p w14:paraId="33931240" w14:textId="77777777" w:rsidR="00595449" w:rsidRPr="00CB4F3B" w:rsidRDefault="00595449" w:rsidP="0081747E">
            <w:pPr>
              <w:widowControl w:val="0"/>
              <w:jc w:val="center"/>
              <w:rPr>
                <w:rFonts w:ascii="Arial" w:hAnsi="Arial" w:cs="Arial"/>
                <w:color w:val="000000"/>
                <w:sz w:val="18"/>
                <w:szCs w:val="18"/>
                <w:lang w:val="en-GB"/>
              </w:rPr>
            </w:pPr>
            <w:r w:rsidRPr="00CB4F3B">
              <w:rPr>
                <w:rFonts w:ascii="Arial" w:hAnsi="Arial" w:cs="Arial"/>
                <w:color w:val="000000"/>
                <w:sz w:val="18"/>
                <w:szCs w:val="18"/>
                <w:lang w:val="en-GB"/>
              </w:rPr>
              <w:t>2011</w:t>
            </w:r>
          </w:p>
        </w:tc>
        <w:tc>
          <w:tcPr>
            <w:tcW w:w="2250" w:type="dxa"/>
          </w:tcPr>
          <w:p w14:paraId="2C2FFFF6" w14:textId="77777777" w:rsidR="00595449" w:rsidRPr="00CB4F3B" w:rsidRDefault="00595449" w:rsidP="0081747E">
            <w:pPr>
              <w:widowControl w:val="0"/>
              <w:jc w:val="center"/>
              <w:textAlignment w:val="baseline"/>
              <w:rPr>
                <w:rFonts w:ascii="Arial" w:hAnsi="Arial" w:cs="Arial"/>
                <w:color w:val="000000"/>
                <w:sz w:val="18"/>
                <w:szCs w:val="18"/>
                <w:lang w:val="en-GB"/>
              </w:rPr>
            </w:pPr>
            <w:r w:rsidRPr="00CB4F3B">
              <w:rPr>
                <w:rFonts w:ascii="Arial" w:hAnsi="Arial" w:cs="Arial"/>
                <w:color w:val="000000"/>
                <w:sz w:val="18"/>
                <w:szCs w:val="18"/>
                <w:lang w:val="en-GB"/>
              </w:rPr>
              <w:t>11.65</w:t>
            </w:r>
          </w:p>
        </w:tc>
        <w:tc>
          <w:tcPr>
            <w:tcW w:w="2250" w:type="dxa"/>
          </w:tcPr>
          <w:p w14:paraId="487B4A9F" w14:textId="77777777" w:rsidR="00595449" w:rsidRPr="00CB4F3B" w:rsidRDefault="00595449" w:rsidP="0081747E">
            <w:pPr>
              <w:widowControl w:val="0"/>
              <w:jc w:val="center"/>
              <w:textAlignment w:val="baseline"/>
              <w:rPr>
                <w:rFonts w:ascii="Arial" w:hAnsi="Arial" w:cs="Arial"/>
                <w:color w:val="000000"/>
                <w:sz w:val="18"/>
                <w:szCs w:val="18"/>
                <w:lang w:val="en-GB"/>
              </w:rPr>
            </w:pPr>
            <w:r w:rsidRPr="00CB4F3B">
              <w:rPr>
                <w:rFonts w:ascii="Arial" w:hAnsi="Arial" w:cs="Arial"/>
                <w:color w:val="000000"/>
                <w:sz w:val="18"/>
                <w:szCs w:val="18"/>
                <w:lang w:val="en-GB"/>
              </w:rPr>
              <w:t>88.35</w:t>
            </w:r>
          </w:p>
        </w:tc>
      </w:tr>
      <w:tr w:rsidR="00595449" w:rsidRPr="00CB4F3B" w14:paraId="7FBD0787" w14:textId="77777777" w:rsidTr="00595449">
        <w:trPr>
          <w:jc w:val="center"/>
        </w:trPr>
        <w:tc>
          <w:tcPr>
            <w:tcW w:w="1075" w:type="dxa"/>
          </w:tcPr>
          <w:p w14:paraId="0D9C783C" w14:textId="77777777" w:rsidR="00595449" w:rsidRPr="00CB4F3B" w:rsidRDefault="00595449" w:rsidP="0081747E">
            <w:pPr>
              <w:widowControl w:val="0"/>
              <w:jc w:val="center"/>
              <w:rPr>
                <w:rFonts w:ascii="Arial" w:hAnsi="Arial" w:cs="Arial"/>
                <w:color w:val="000000"/>
                <w:sz w:val="18"/>
                <w:szCs w:val="18"/>
                <w:lang w:val="en-GB"/>
              </w:rPr>
            </w:pPr>
            <w:r w:rsidRPr="00CB4F3B">
              <w:rPr>
                <w:rFonts w:ascii="Arial" w:hAnsi="Arial" w:cs="Arial"/>
                <w:color w:val="000000"/>
                <w:sz w:val="18"/>
                <w:szCs w:val="18"/>
                <w:lang w:val="en-GB"/>
              </w:rPr>
              <w:t>2012</w:t>
            </w:r>
          </w:p>
        </w:tc>
        <w:tc>
          <w:tcPr>
            <w:tcW w:w="2250" w:type="dxa"/>
          </w:tcPr>
          <w:p w14:paraId="46BD3C76" w14:textId="77777777" w:rsidR="00595449" w:rsidRPr="00CB4F3B" w:rsidRDefault="00595449" w:rsidP="0081747E">
            <w:pPr>
              <w:widowControl w:val="0"/>
              <w:jc w:val="center"/>
              <w:textAlignment w:val="baseline"/>
              <w:rPr>
                <w:rFonts w:ascii="Arial" w:hAnsi="Arial" w:cs="Arial"/>
                <w:color w:val="000000"/>
                <w:sz w:val="18"/>
                <w:szCs w:val="18"/>
                <w:lang w:val="en-GB"/>
              </w:rPr>
            </w:pPr>
            <w:r w:rsidRPr="00CB4F3B">
              <w:rPr>
                <w:rFonts w:ascii="Arial" w:hAnsi="Arial" w:cs="Arial"/>
                <w:color w:val="000000"/>
                <w:sz w:val="18"/>
                <w:szCs w:val="18"/>
                <w:lang w:val="en-GB"/>
              </w:rPr>
              <w:t>13.57</w:t>
            </w:r>
          </w:p>
        </w:tc>
        <w:tc>
          <w:tcPr>
            <w:tcW w:w="2250" w:type="dxa"/>
          </w:tcPr>
          <w:p w14:paraId="64C54A37" w14:textId="77777777" w:rsidR="00595449" w:rsidRPr="00CB4F3B" w:rsidRDefault="00595449" w:rsidP="0081747E">
            <w:pPr>
              <w:widowControl w:val="0"/>
              <w:jc w:val="center"/>
              <w:textAlignment w:val="baseline"/>
              <w:rPr>
                <w:rFonts w:ascii="Arial" w:hAnsi="Arial" w:cs="Arial"/>
                <w:color w:val="000000"/>
                <w:sz w:val="18"/>
                <w:szCs w:val="18"/>
                <w:lang w:val="en-GB"/>
              </w:rPr>
            </w:pPr>
            <w:r w:rsidRPr="00CB4F3B">
              <w:rPr>
                <w:rFonts w:ascii="Arial" w:hAnsi="Arial" w:cs="Arial"/>
                <w:color w:val="000000"/>
                <w:sz w:val="18"/>
                <w:szCs w:val="18"/>
                <w:lang w:val="en-GB"/>
              </w:rPr>
              <w:t>86.43</w:t>
            </w:r>
          </w:p>
        </w:tc>
      </w:tr>
      <w:tr w:rsidR="00595449" w:rsidRPr="00CB4F3B" w14:paraId="70A01F8F" w14:textId="77777777" w:rsidTr="00595449">
        <w:trPr>
          <w:jc w:val="center"/>
        </w:trPr>
        <w:tc>
          <w:tcPr>
            <w:tcW w:w="1075" w:type="dxa"/>
          </w:tcPr>
          <w:p w14:paraId="11D6C74C" w14:textId="77777777" w:rsidR="00595449" w:rsidRPr="00CB4F3B" w:rsidRDefault="00595449" w:rsidP="0081747E">
            <w:pPr>
              <w:widowControl w:val="0"/>
              <w:jc w:val="center"/>
              <w:rPr>
                <w:rFonts w:ascii="Arial" w:hAnsi="Arial" w:cs="Arial"/>
                <w:color w:val="000000"/>
                <w:sz w:val="18"/>
                <w:szCs w:val="18"/>
                <w:lang w:val="en-GB"/>
              </w:rPr>
            </w:pPr>
            <w:r w:rsidRPr="00CB4F3B">
              <w:rPr>
                <w:rFonts w:ascii="Arial" w:hAnsi="Arial" w:cs="Arial"/>
                <w:color w:val="000000"/>
                <w:sz w:val="18"/>
                <w:szCs w:val="18"/>
                <w:lang w:val="en-GB"/>
              </w:rPr>
              <w:t>2013</w:t>
            </w:r>
          </w:p>
        </w:tc>
        <w:tc>
          <w:tcPr>
            <w:tcW w:w="2250" w:type="dxa"/>
          </w:tcPr>
          <w:p w14:paraId="77A86ED2" w14:textId="77777777" w:rsidR="00595449" w:rsidRPr="00CB4F3B" w:rsidRDefault="00595449" w:rsidP="0081747E">
            <w:pPr>
              <w:widowControl w:val="0"/>
              <w:jc w:val="center"/>
              <w:textAlignment w:val="baseline"/>
              <w:rPr>
                <w:rFonts w:ascii="Arial" w:hAnsi="Arial" w:cs="Arial"/>
                <w:color w:val="000000"/>
                <w:sz w:val="18"/>
                <w:szCs w:val="18"/>
                <w:lang w:val="en-GB"/>
              </w:rPr>
            </w:pPr>
            <w:r w:rsidRPr="00CB4F3B">
              <w:rPr>
                <w:rFonts w:ascii="Arial" w:hAnsi="Arial" w:cs="Arial"/>
                <w:color w:val="000000"/>
                <w:sz w:val="18"/>
                <w:szCs w:val="18"/>
                <w:lang w:val="en-GB"/>
              </w:rPr>
              <w:t>15.81</w:t>
            </w:r>
          </w:p>
        </w:tc>
        <w:tc>
          <w:tcPr>
            <w:tcW w:w="2250" w:type="dxa"/>
          </w:tcPr>
          <w:p w14:paraId="13B061AF" w14:textId="77777777" w:rsidR="00595449" w:rsidRPr="00CB4F3B" w:rsidRDefault="00595449" w:rsidP="0081747E">
            <w:pPr>
              <w:widowControl w:val="0"/>
              <w:jc w:val="center"/>
              <w:textAlignment w:val="baseline"/>
              <w:rPr>
                <w:rFonts w:ascii="Arial" w:hAnsi="Arial" w:cs="Arial"/>
                <w:color w:val="000000"/>
                <w:sz w:val="18"/>
                <w:szCs w:val="18"/>
                <w:lang w:val="en-GB"/>
              </w:rPr>
            </w:pPr>
            <w:r w:rsidRPr="00CB4F3B">
              <w:rPr>
                <w:rFonts w:ascii="Arial" w:hAnsi="Arial" w:cs="Arial"/>
                <w:color w:val="000000"/>
                <w:sz w:val="18"/>
                <w:szCs w:val="18"/>
                <w:lang w:val="en-GB"/>
              </w:rPr>
              <w:t>84.19</w:t>
            </w:r>
          </w:p>
        </w:tc>
      </w:tr>
      <w:tr w:rsidR="00595449" w:rsidRPr="00CB4F3B" w14:paraId="40B8EA6F" w14:textId="77777777" w:rsidTr="00595449">
        <w:trPr>
          <w:jc w:val="center"/>
        </w:trPr>
        <w:tc>
          <w:tcPr>
            <w:tcW w:w="1075" w:type="dxa"/>
          </w:tcPr>
          <w:p w14:paraId="49E79880" w14:textId="77777777" w:rsidR="00595449" w:rsidRPr="00CB4F3B" w:rsidRDefault="00595449" w:rsidP="0081747E">
            <w:pPr>
              <w:widowControl w:val="0"/>
              <w:jc w:val="center"/>
              <w:rPr>
                <w:rFonts w:ascii="Arial" w:hAnsi="Arial" w:cs="Arial"/>
                <w:color w:val="000000"/>
                <w:sz w:val="18"/>
                <w:szCs w:val="18"/>
                <w:lang w:val="en-GB"/>
              </w:rPr>
            </w:pPr>
            <w:r w:rsidRPr="00CB4F3B">
              <w:rPr>
                <w:rFonts w:ascii="Arial" w:hAnsi="Arial" w:cs="Arial"/>
                <w:color w:val="000000"/>
                <w:sz w:val="18"/>
                <w:szCs w:val="18"/>
                <w:lang w:val="en-GB"/>
              </w:rPr>
              <w:t>2014</w:t>
            </w:r>
          </w:p>
        </w:tc>
        <w:tc>
          <w:tcPr>
            <w:tcW w:w="2250" w:type="dxa"/>
          </w:tcPr>
          <w:p w14:paraId="54D24189" w14:textId="77777777" w:rsidR="00595449" w:rsidRPr="00CB4F3B" w:rsidRDefault="00595449" w:rsidP="0081747E">
            <w:pPr>
              <w:widowControl w:val="0"/>
              <w:jc w:val="center"/>
              <w:textAlignment w:val="baseline"/>
              <w:rPr>
                <w:rFonts w:ascii="Arial" w:hAnsi="Arial" w:cs="Arial"/>
                <w:color w:val="000000"/>
                <w:sz w:val="18"/>
                <w:szCs w:val="18"/>
                <w:lang w:val="en-GB"/>
              </w:rPr>
            </w:pPr>
            <w:r w:rsidRPr="00CB4F3B">
              <w:rPr>
                <w:rFonts w:ascii="Arial" w:hAnsi="Arial" w:cs="Arial"/>
                <w:color w:val="000000"/>
                <w:sz w:val="18"/>
                <w:szCs w:val="18"/>
                <w:lang w:val="en-GB"/>
              </w:rPr>
              <w:t>18.42</w:t>
            </w:r>
          </w:p>
        </w:tc>
        <w:tc>
          <w:tcPr>
            <w:tcW w:w="2250" w:type="dxa"/>
          </w:tcPr>
          <w:p w14:paraId="21291936" w14:textId="77777777" w:rsidR="00595449" w:rsidRPr="00CB4F3B" w:rsidRDefault="00595449" w:rsidP="0081747E">
            <w:pPr>
              <w:widowControl w:val="0"/>
              <w:jc w:val="center"/>
              <w:textAlignment w:val="baseline"/>
              <w:rPr>
                <w:rFonts w:ascii="Arial" w:hAnsi="Arial" w:cs="Arial"/>
                <w:color w:val="000000"/>
                <w:sz w:val="18"/>
                <w:szCs w:val="18"/>
                <w:lang w:val="en-GB"/>
              </w:rPr>
            </w:pPr>
            <w:r w:rsidRPr="00CB4F3B">
              <w:rPr>
                <w:rFonts w:ascii="Arial" w:hAnsi="Arial" w:cs="Arial"/>
                <w:color w:val="000000"/>
                <w:sz w:val="18"/>
                <w:szCs w:val="18"/>
                <w:lang w:val="en-GB"/>
              </w:rPr>
              <w:t>81.58</w:t>
            </w:r>
          </w:p>
        </w:tc>
      </w:tr>
      <w:tr w:rsidR="00595449" w:rsidRPr="00CB4F3B" w14:paraId="3B210337" w14:textId="77777777" w:rsidTr="00595449">
        <w:trPr>
          <w:jc w:val="center"/>
        </w:trPr>
        <w:tc>
          <w:tcPr>
            <w:tcW w:w="1075" w:type="dxa"/>
          </w:tcPr>
          <w:p w14:paraId="1106788C" w14:textId="77777777" w:rsidR="00595449" w:rsidRPr="00CB4F3B" w:rsidRDefault="00595449" w:rsidP="0081747E">
            <w:pPr>
              <w:widowControl w:val="0"/>
              <w:jc w:val="center"/>
              <w:rPr>
                <w:rFonts w:ascii="Arial" w:hAnsi="Arial" w:cs="Arial"/>
                <w:color w:val="000000"/>
                <w:sz w:val="18"/>
                <w:szCs w:val="18"/>
                <w:lang w:val="en-GB"/>
              </w:rPr>
            </w:pPr>
            <w:r w:rsidRPr="00CB4F3B">
              <w:rPr>
                <w:rFonts w:ascii="Arial" w:hAnsi="Arial" w:cs="Arial"/>
                <w:color w:val="000000"/>
                <w:sz w:val="18"/>
                <w:szCs w:val="18"/>
                <w:lang w:val="en-GB"/>
              </w:rPr>
              <w:t>2015</w:t>
            </w:r>
          </w:p>
        </w:tc>
        <w:tc>
          <w:tcPr>
            <w:tcW w:w="2250" w:type="dxa"/>
          </w:tcPr>
          <w:p w14:paraId="404B4CA1" w14:textId="77777777" w:rsidR="00595449" w:rsidRPr="00CB4F3B" w:rsidRDefault="00595449" w:rsidP="0081747E">
            <w:pPr>
              <w:widowControl w:val="0"/>
              <w:jc w:val="center"/>
              <w:textAlignment w:val="baseline"/>
              <w:rPr>
                <w:rFonts w:ascii="Arial" w:hAnsi="Arial" w:cs="Arial"/>
                <w:color w:val="000000"/>
                <w:sz w:val="18"/>
                <w:szCs w:val="18"/>
                <w:lang w:val="en-GB"/>
              </w:rPr>
            </w:pPr>
            <w:r w:rsidRPr="00CB4F3B">
              <w:rPr>
                <w:rFonts w:ascii="Arial" w:hAnsi="Arial" w:cs="Arial"/>
                <w:color w:val="000000"/>
                <w:sz w:val="18"/>
                <w:szCs w:val="18"/>
                <w:lang w:val="en-GB"/>
              </w:rPr>
              <w:t>21.46</w:t>
            </w:r>
          </w:p>
        </w:tc>
        <w:tc>
          <w:tcPr>
            <w:tcW w:w="2250" w:type="dxa"/>
          </w:tcPr>
          <w:p w14:paraId="23C7980D" w14:textId="77777777" w:rsidR="00595449" w:rsidRPr="00CB4F3B" w:rsidRDefault="00595449" w:rsidP="0081747E">
            <w:pPr>
              <w:widowControl w:val="0"/>
              <w:jc w:val="center"/>
              <w:textAlignment w:val="baseline"/>
              <w:rPr>
                <w:rFonts w:ascii="Arial" w:hAnsi="Arial" w:cs="Arial"/>
                <w:color w:val="000000"/>
                <w:sz w:val="18"/>
                <w:szCs w:val="18"/>
                <w:lang w:val="en-GB"/>
              </w:rPr>
            </w:pPr>
            <w:r w:rsidRPr="00CB4F3B">
              <w:rPr>
                <w:rFonts w:ascii="Arial" w:hAnsi="Arial" w:cs="Arial"/>
                <w:color w:val="000000"/>
                <w:sz w:val="18"/>
                <w:szCs w:val="18"/>
                <w:lang w:val="en-GB"/>
              </w:rPr>
              <w:t>78.54</w:t>
            </w:r>
          </w:p>
        </w:tc>
      </w:tr>
      <w:tr w:rsidR="00595449" w:rsidRPr="00CB4F3B" w14:paraId="11D2B37E" w14:textId="77777777" w:rsidTr="00595449">
        <w:trPr>
          <w:jc w:val="center"/>
        </w:trPr>
        <w:tc>
          <w:tcPr>
            <w:tcW w:w="1075" w:type="dxa"/>
          </w:tcPr>
          <w:p w14:paraId="7C851C4F" w14:textId="77777777" w:rsidR="00595449" w:rsidRPr="00CB4F3B" w:rsidRDefault="00595449" w:rsidP="0081747E">
            <w:pPr>
              <w:widowControl w:val="0"/>
              <w:jc w:val="center"/>
              <w:rPr>
                <w:rFonts w:ascii="Arial" w:hAnsi="Arial" w:cs="Arial"/>
                <w:color w:val="000000"/>
                <w:sz w:val="18"/>
                <w:szCs w:val="18"/>
                <w:lang w:val="en-GB"/>
              </w:rPr>
            </w:pPr>
            <w:r w:rsidRPr="00CB4F3B">
              <w:rPr>
                <w:rFonts w:ascii="Arial" w:hAnsi="Arial" w:cs="Arial"/>
                <w:color w:val="000000"/>
                <w:sz w:val="18"/>
                <w:szCs w:val="18"/>
                <w:lang w:val="en-GB"/>
              </w:rPr>
              <w:t>2016</w:t>
            </w:r>
          </w:p>
        </w:tc>
        <w:tc>
          <w:tcPr>
            <w:tcW w:w="2250" w:type="dxa"/>
          </w:tcPr>
          <w:p w14:paraId="199BFFE8" w14:textId="77777777" w:rsidR="00595449" w:rsidRPr="00CB4F3B" w:rsidRDefault="00595449" w:rsidP="0081747E">
            <w:pPr>
              <w:widowControl w:val="0"/>
              <w:jc w:val="center"/>
              <w:textAlignment w:val="baseline"/>
              <w:rPr>
                <w:rFonts w:ascii="Arial" w:hAnsi="Arial" w:cs="Arial"/>
                <w:color w:val="000000"/>
                <w:sz w:val="18"/>
                <w:szCs w:val="18"/>
                <w:lang w:val="en-GB"/>
              </w:rPr>
            </w:pPr>
            <w:r w:rsidRPr="00CB4F3B">
              <w:rPr>
                <w:rFonts w:ascii="Arial" w:hAnsi="Arial" w:cs="Arial"/>
                <w:color w:val="000000"/>
                <w:sz w:val="18"/>
                <w:szCs w:val="18"/>
                <w:lang w:val="en-GB"/>
              </w:rPr>
              <w:t>25.00</w:t>
            </w:r>
          </w:p>
        </w:tc>
        <w:tc>
          <w:tcPr>
            <w:tcW w:w="2250" w:type="dxa"/>
          </w:tcPr>
          <w:p w14:paraId="10B52ED7" w14:textId="77777777" w:rsidR="00595449" w:rsidRPr="00CB4F3B" w:rsidRDefault="00595449" w:rsidP="0081747E">
            <w:pPr>
              <w:widowControl w:val="0"/>
              <w:jc w:val="center"/>
              <w:textAlignment w:val="baseline"/>
              <w:rPr>
                <w:rFonts w:ascii="Arial" w:hAnsi="Arial" w:cs="Arial"/>
                <w:color w:val="000000"/>
                <w:sz w:val="18"/>
                <w:szCs w:val="18"/>
                <w:lang w:val="en-GB"/>
              </w:rPr>
            </w:pPr>
            <w:r w:rsidRPr="00CB4F3B">
              <w:rPr>
                <w:rFonts w:ascii="Arial" w:hAnsi="Arial" w:cs="Arial"/>
                <w:color w:val="000000"/>
                <w:sz w:val="18"/>
                <w:szCs w:val="18"/>
                <w:lang w:val="en-GB"/>
              </w:rPr>
              <w:t>75.00</w:t>
            </w:r>
          </w:p>
        </w:tc>
      </w:tr>
    </w:tbl>
    <w:p w14:paraId="5B3CA3E4" w14:textId="77777777" w:rsidR="00C022B5" w:rsidRPr="00AC768E" w:rsidRDefault="00C022B5" w:rsidP="0081747E">
      <w:pPr>
        <w:widowControl w:val="0"/>
        <w:rPr>
          <w:rFonts w:ascii="Arial" w:hAnsi="Arial" w:cs="Arial"/>
          <w:sz w:val="15"/>
          <w:szCs w:val="17"/>
          <w:lang w:val="en-GB"/>
        </w:rPr>
      </w:pPr>
    </w:p>
    <w:p w14:paraId="406847BB" w14:textId="242059C5" w:rsidR="00595449" w:rsidRPr="00CB4F3B" w:rsidRDefault="00595449" w:rsidP="0081747E">
      <w:pPr>
        <w:widowControl w:val="0"/>
        <w:rPr>
          <w:rFonts w:ascii="Arial" w:hAnsi="Arial" w:cs="Arial"/>
          <w:sz w:val="17"/>
          <w:szCs w:val="17"/>
          <w:lang w:val="en-GB"/>
        </w:rPr>
      </w:pPr>
      <w:r w:rsidRPr="00CB4F3B">
        <w:rPr>
          <w:rFonts w:ascii="Arial" w:hAnsi="Arial" w:cs="Arial"/>
          <w:sz w:val="17"/>
          <w:szCs w:val="17"/>
          <w:lang w:val="en-GB"/>
        </w:rPr>
        <w:t xml:space="preserve">Source: Company </w:t>
      </w:r>
      <w:r w:rsidR="00EC4A78" w:rsidRPr="00CB4F3B">
        <w:rPr>
          <w:rFonts w:ascii="Arial" w:hAnsi="Arial" w:cs="Arial"/>
          <w:sz w:val="17"/>
          <w:szCs w:val="17"/>
          <w:lang w:val="en-GB"/>
        </w:rPr>
        <w:t>d</w:t>
      </w:r>
      <w:r w:rsidRPr="00CB4F3B">
        <w:rPr>
          <w:rFonts w:ascii="Arial" w:hAnsi="Arial" w:cs="Arial"/>
          <w:sz w:val="17"/>
          <w:szCs w:val="17"/>
          <w:lang w:val="en-GB"/>
        </w:rPr>
        <w:t>ocuments</w:t>
      </w:r>
      <w:r w:rsidR="00EC4A78" w:rsidRPr="00CB4F3B">
        <w:rPr>
          <w:rFonts w:ascii="Arial" w:hAnsi="Arial" w:cs="Arial"/>
          <w:sz w:val="17"/>
          <w:szCs w:val="17"/>
          <w:lang w:val="en-GB"/>
        </w:rPr>
        <w:t>.</w:t>
      </w:r>
      <w:r w:rsidRPr="00CB4F3B">
        <w:rPr>
          <w:rFonts w:ascii="Arial" w:hAnsi="Arial" w:cs="Arial"/>
          <w:sz w:val="17"/>
          <w:szCs w:val="17"/>
          <w:lang w:val="en-GB"/>
        </w:rPr>
        <w:t xml:space="preserve"> </w:t>
      </w:r>
    </w:p>
    <w:p w14:paraId="7B94ABF8" w14:textId="77777777" w:rsidR="00595449" w:rsidRPr="00AC768E" w:rsidRDefault="00595449" w:rsidP="00AC768E">
      <w:pPr>
        <w:pStyle w:val="BodyTextMain"/>
        <w:rPr>
          <w:sz w:val="16"/>
        </w:rPr>
      </w:pPr>
    </w:p>
    <w:p w14:paraId="4BC36EBC" w14:textId="0618730F" w:rsidR="00C022B5" w:rsidRPr="00AC768E" w:rsidRDefault="00C022B5" w:rsidP="00AC768E">
      <w:pPr>
        <w:pStyle w:val="BodyTextMain"/>
        <w:rPr>
          <w:sz w:val="16"/>
        </w:rPr>
      </w:pPr>
    </w:p>
    <w:p w14:paraId="237C0474" w14:textId="0D387C9D" w:rsidR="00595449" w:rsidRPr="00CB4F3B" w:rsidRDefault="00595449" w:rsidP="0081747E">
      <w:pPr>
        <w:pStyle w:val="ExhibitHeading"/>
        <w:widowControl w:val="0"/>
        <w:rPr>
          <w:lang w:val="en-GB"/>
        </w:rPr>
      </w:pPr>
      <w:r w:rsidRPr="00CB4F3B">
        <w:rPr>
          <w:lang w:val="en-GB"/>
        </w:rPr>
        <w:t xml:space="preserve">EXHIBIT 8: </w:t>
      </w:r>
      <w:r w:rsidR="00B60CD1">
        <w:rPr>
          <w:lang w:val="en-GB"/>
        </w:rPr>
        <w:t xml:space="preserve">INDIA’S </w:t>
      </w:r>
      <w:r w:rsidRPr="00CB4F3B">
        <w:rPr>
          <w:lang w:val="en-GB"/>
        </w:rPr>
        <w:t>SALES (IN ₹ MILLIONS) AND MARKET SHARE (</w:t>
      </w:r>
      <w:r w:rsidR="00976A43" w:rsidRPr="00CB4F3B">
        <w:rPr>
          <w:lang w:val="en-GB"/>
        </w:rPr>
        <w:t xml:space="preserve">in </w:t>
      </w:r>
      <w:r w:rsidRPr="00CB4F3B">
        <w:rPr>
          <w:lang w:val="en-GB"/>
        </w:rPr>
        <w:t>%) OF TOYS AND GAMES</w:t>
      </w:r>
      <w:r w:rsidR="00B60CD1">
        <w:rPr>
          <w:lang w:val="en-GB"/>
        </w:rPr>
        <w:t>,</w:t>
      </w:r>
      <w:r w:rsidRPr="00CB4F3B">
        <w:rPr>
          <w:lang w:val="en-GB"/>
        </w:rPr>
        <w:t xml:space="preserve"> BY CATEGORY</w:t>
      </w:r>
      <w:r w:rsidR="00B60CD1">
        <w:rPr>
          <w:lang w:val="en-GB"/>
        </w:rPr>
        <w:t>, 2013–2020</w:t>
      </w:r>
      <w:r w:rsidRPr="00CB4F3B">
        <w:rPr>
          <w:lang w:val="en-GB"/>
        </w:rPr>
        <w:t xml:space="preserve"> </w:t>
      </w:r>
    </w:p>
    <w:p w14:paraId="67C3AE08" w14:textId="77777777" w:rsidR="00595449" w:rsidRPr="00AC768E" w:rsidRDefault="00595449" w:rsidP="0081747E">
      <w:pPr>
        <w:widowControl w:val="0"/>
        <w:jc w:val="center"/>
        <w:rPr>
          <w:rFonts w:ascii="Arial" w:hAnsi="Arial" w:cs="Arial"/>
          <w:b/>
          <w:sz w:val="16"/>
          <w:lang w:val="en-GB"/>
        </w:rPr>
      </w:pPr>
    </w:p>
    <w:tbl>
      <w:tblPr>
        <w:tblStyle w:val="TableGrid"/>
        <w:tblW w:w="9346" w:type="dxa"/>
        <w:jc w:val="center"/>
        <w:tblLayout w:type="fixed"/>
        <w:tblCellMar>
          <w:left w:w="57" w:type="dxa"/>
          <w:right w:w="57" w:type="dxa"/>
        </w:tblCellMar>
        <w:tblLook w:val="04A0" w:firstRow="1" w:lastRow="0" w:firstColumn="1" w:lastColumn="0" w:noHBand="0" w:noVBand="1"/>
      </w:tblPr>
      <w:tblGrid>
        <w:gridCol w:w="1980"/>
        <w:gridCol w:w="850"/>
        <w:gridCol w:w="993"/>
        <w:gridCol w:w="952"/>
        <w:gridCol w:w="867"/>
        <w:gridCol w:w="993"/>
        <w:gridCol w:w="923"/>
        <w:gridCol w:w="892"/>
        <w:gridCol w:w="896"/>
      </w:tblGrid>
      <w:tr w:rsidR="00595449" w:rsidRPr="00CB4F3B" w14:paraId="1AC2AFA1" w14:textId="77777777" w:rsidTr="0002430A">
        <w:trPr>
          <w:jc w:val="center"/>
        </w:trPr>
        <w:tc>
          <w:tcPr>
            <w:tcW w:w="1980" w:type="dxa"/>
          </w:tcPr>
          <w:p w14:paraId="58F84537" w14:textId="3CBC8F6C" w:rsidR="00595449" w:rsidRPr="00CB4F3B" w:rsidRDefault="00595449" w:rsidP="0081747E">
            <w:pPr>
              <w:widowControl w:val="0"/>
              <w:spacing w:after="200"/>
              <w:contextualSpacing/>
              <w:jc w:val="center"/>
              <w:rPr>
                <w:rFonts w:ascii="Arial" w:hAnsi="Arial" w:cs="Arial"/>
                <w:sz w:val="18"/>
                <w:szCs w:val="18"/>
                <w:lang w:val="en-GB"/>
              </w:rPr>
            </w:pPr>
          </w:p>
        </w:tc>
        <w:tc>
          <w:tcPr>
            <w:tcW w:w="850" w:type="dxa"/>
            <w:tcMar>
              <w:right w:w="170" w:type="dxa"/>
            </w:tcMar>
          </w:tcPr>
          <w:p w14:paraId="478446CA" w14:textId="77777777" w:rsidR="00595449" w:rsidRPr="00CB4F3B" w:rsidRDefault="00595449" w:rsidP="0081747E">
            <w:pPr>
              <w:widowControl w:val="0"/>
              <w:spacing w:after="200"/>
              <w:contextualSpacing/>
              <w:jc w:val="right"/>
              <w:rPr>
                <w:rFonts w:ascii="Arial" w:hAnsi="Arial" w:cs="Arial"/>
                <w:b/>
                <w:sz w:val="18"/>
                <w:szCs w:val="18"/>
                <w:lang w:val="en-GB"/>
              </w:rPr>
            </w:pPr>
            <w:r w:rsidRPr="00CB4F3B">
              <w:rPr>
                <w:rFonts w:ascii="Arial" w:hAnsi="Arial" w:cs="Arial"/>
                <w:b/>
                <w:sz w:val="18"/>
                <w:szCs w:val="18"/>
                <w:lang w:val="en-GB"/>
              </w:rPr>
              <w:t>2013</w:t>
            </w:r>
          </w:p>
        </w:tc>
        <w:tc>
          <w:tcPr>
            <w:tcW w:w="993" w:type="dxa"/>
            <w:tcMar>
              <w:right w:w="170" w:type="dxa"/>
            </w:tcMar>
          </w:tcPr>
          <w:p w14:paraId="389C9E3B" w14:textId="77777777" w:rsidR="00595449" w:rsidRPr="00CB4F3B" w:rsidRDefault="00595449" w:rsidP="0081747E">
            <w:pPr>
              <w:widowControl w:val="0"/>
              <w:spacing w:after="200"/>
              <w:contextualSpacing/>
              <w:jc w:val="right"/>
              <w:rPr>
                <w:rFonts w:ascii="Arial" w:hAnsi="Arial" w:cs="Arial"/>
                <w:b/>
                <w:sz w:val="18"/>
                <w:szCs w:val="18"/>
                <w:lang w:val="en-GB"/>
              </w:rPr>
            </w:pPr>
            <w:r w:rsidRPr="00CB4F3B">
              <w:rPr>
                <w:rFonts w:ascii="Arial" w:hAnsi="Arial" w:cs="Arial"/>
                <w:b/>
                <w:sz w:val="18"/>
                <w:szCs w:val="18"/>
                <w:lang w:val="en-GB"/>
              </w:rPr>
              <w:t xml:space="preserve"> 2014</w:t>
            </w:r>
          </w:p>
        </w:tc>
        <w:tc>
          <w:tcPr>
            <w:tcW w:w="952" w:type="dxa"/>
            <w:tcMar>
              <w:right w:w="170" w:type="dxa"/>
            </w:tcMar>
          </w:tcPr>
          <w:p w14:paraId="6B6F1805" w14:textId="77777777" w:rsidR="00595449" w:rsidRPr="00CB4F3B" w:rsidRDefault="00595449" w:rsidP="0081747E">
            <w:pPr>
              <w:widowControl w:val="0"/>
              <w:spacing w:after="200"/>
              <w:contextualSpacing/>
              <w:jc w:val="right"/>
              <w:rPr>
                <w:rFonts w:ascii="Arial" w:hAnsi="Arial" w:cs="Arial"/>
                <w:b/>
                <w:sz w:val="18"/>
                <w:szCs w:val="18"/>
                <w:lang w:val="en-GB"/>
              </w:rPr>
            </w:pPr>
            <w:r w:rsidRPr="00CB4F3B">
              <w:rPr>
                <w:rFonts w:ascii="Arial" w:hAnsi="Arial" w:cs="Arial"/>
                <w:b/>
                <w:sz w:val="18"/>
                <w:szCs w:val="18"/>
                <w:lang w:val="en-GB"/>
              </w:rPr>
              <w:t xml:space="preserve"> 2015 </w:t>
            </w:r>
          </w:p>
        </w:tc>
        <w:tc>
          <w:tcPr>
            <w:tcW w:w="867" w:type="dxa"/>
            <w:tcMar>
              <w:right w:w="170" w:type="dxa"/>
            </w:tcMar>
          </w:tcPr>
          <w:p w14:paraId="1FF968D0" w14:textId="77777777" w:rsidR="00595449" w:rsidRPr="00CB4F3B" w:rsidRDefault="00595449" w:rsidP="0081747E">
            <w:pPr>
              <w:widowControl w:val="0"/>
              <w:spacing w:after="200"/>
              <w:contextualSpacing/>
              <w:jc w:val="right"/>
              <w:rPr>
                <w:rFonts w:ascii="Arial" w:hAnsi="Arial" w:cs="Arial"/>
                <w:b/>
                <w:sz w:val="18"/>
                <w:szCs w:val="18"/>
                <w:lang w:val="en-GB"/>
              </w:rPr>
            </w:pPr>
            <w:r w:rsidRPr="00CB4F3B">
              <w:rPr>
                <w:rFonts w:ascii="Arial" w:hAnsi="Arial" w:cs="Arial"/>
                <w:b/>
                <w:sz w:val="18"/>
                <w:szCs w:val="18"/>
                <w:lang w:val="en-GB"/>
              </w:rPr>
              <w:t>2016</w:t>
            </w:r>
          </w:p>
        </w:tc>
        <w:tc>
          <w:tcPr>
            <w:tcW w:w="993" w:type="dxa"/>
            <w:tcMar>
              <w:right w:w="170" w:type="dxa"/>
            </w:tcMar>
          </w:tcPr>
          <w:p w14:paraId="3E36A3BE" w14:textId="77777777" w:rsidR="00595449" w:rsidRPr="00CB4F3B" w:rsidRDefault="00595449" w:rsidP="0081747E">
            <w:pPr>
              <w:widowControl w:val="0"/>
              <w:spacing w:after="200"/>
              <w:contextualSpacing/>
              <w:jc w:val="center"/>
              <w:rPr>
                <w:rFonts w:ascii="Arial" w:hAnsi="Arial" w:cs="Arial"/>
                <w:b/>
                <w:sz w:val="18"/>
                <w:szCs w:val="18"/>
                <w:lang w:val="en-GB"/>
              </w:rPr>
            </w:pPr>
            <w:r w:rsidRPr="00CB4F3B">
              <w:rPr>
                <w:rFonts w:ascii="Arial" w:hAnsi="Arial" w:cs="Arial"/>
                <w:b/>
                <w:sz w:val="18"/>
                <w:szCs w:val="18"/>
                <w:lang w:val="en-GB"/>
              </w:rPr>
              <w:t>2017 (P)</w:t>
            </w:r>
          </w:p>
        </w:tc>
        <w:tc>
          <w:tcPr>
            <w:tcW w:w="923" w:type="dxa"/>
            <w:tcMar>
              <w:right w:w="170" w:type="dxa"/>
            </w:tcMar>
          </w:tcPr>
          <w:p w14:paraId="513481FF" w14:textId="77777777" w:rsidR="00595449" w:rsidRPr="00CB4F3B" w:rsidRDefault="00595449" w:rsidP="0081747E">
            <w:pPr>
              <w:widowControl w:val="0"/>
              <w:spacing w:after="200"/>
              <w:contextualSpacing/>
              <w:jc w:val="center"/>
              <w:rPr>
                <w:rFonts w:ascii="Arial" w:hAnsi="Arial" w:cs="Arial"/>
                <w:b/>
                <w:sz w:val="18"/>
                <w:szCs w:val="18"/>
                <w:lang w:val="en-GB"/>
              </w:rPr>
            </w:pPr>
            <w:r w:rsidRPr="00CB4F3B">
              <w:rPr>
                <w:rFonts w:ascii="Arial" w:hAnsi="Arial" w:cs="Arial"/>
                <w:b/>
                <w:sz w:val="18"/>
                <w:szCs w:val="18"/>
                <w:lang w:val="en-GB"/>
              </w:rPr>
              <w:t>2018 (P)</w:t>
            </w:r>
          </w:p>
        </w:tc>
        <w:tc>
          <w:tcPr>
            <w:tcW w:w="892" w:type="dxa"/>
          </w:tcPr>
          <w:p w14:paraId="666BE289" w14:textId="77777777" w:rsidR="00595449" w:rsidRPr="00CB4F3B" w:rsidRDefault="00595449" w:rsidP="0081747E">
            <w:pPr>
              <w:widowControl w:val="0"/>
              <w:spacing w:after="200"/>
              <w:contextualSpacing/>
              <w:jc w:val="center"/>
              <w:rPr>
                <w:rFonts w:ascii="Arial" w:hAnsi="Arial" w:cs="Arial"/>
                <w:b/>
                <w:sz w:val="18"/>
                <w:szCs w:val="18"/>
                <w:lang w:val="en-GB"/>
              </w:rPr>
            </w:pPr>
            <w:r w:rsidRPr="00CB4F3B">
              <w:rPr>
                <w:rFonts w:ascii="Arial" w:hAnsi="Arial" w:cs="Arial"/>
                <w:b/>
                <w:sz w:val="18"/>
                <w:szCs w:val="18"/>
                <w:lang w:val="en-GB"/>
              </w:rPr>
              <w:t>2019 (P)</w:t>
            </w:r>
          </w:p>
        </w:tc>
        <w:tc>
          <w:tcPr>
            <w:tcW w:w="896" w:type="dxa"/>
          </w:tcPr>
          <w:p w14:paraId="53DE85DF" w14:textId="77777777" w:rsidR="00595449" w:rsidRPr="00CB4F3B" w:rsidRDefault="00595449" w:rsidP="0081747E">
            <w:pPr>
              <w:widowControl w:val="0"/>
              <w:spacing w:after="200"/>
              <w:contextualSpacing/>
              <w:jc w:val="center"/>
              <w:rPr>
                <w:rFonts w:ascii="Arial" w:hAnsi="Arial" w:cs="Arial"/>
                <w:b/>
                <w:sz w:val="18"/>
                <w:szCs w:val="18"/>
                <w:lang w:val="en-GB"/>
              </w:rPr>
            </w:pPr>
            <w:r w:rsidRPr="00CB4F3B">
              <w:rPr>
                <w:rFonts w:ascii="Arial" w:hAnsi="Arial" w:cs="Arial"/>
                <w:b/>
                <w:sz w:val="18"/>
                <w:szCs w:val="18"/>
                <w:lang w:val="en-GB"/>
              </w:rPr>
              <w:t>2020 (P)</w:t>
            </w:r>
          </w:p>
        </w:tc>
      </w:tr>
      <w:tr w:rsidR="00595449" w:rsidRPr="00CB4F3B" w14:paraId="0F3C0DF2" w14:textId="77777777" w:rsidTr="0002430A">
        <w:trPr>
          <w:trHeight w:val="575"/>
          <w:jc w:val="center"/>
        </w:trPr>
        <w:tc>
          <w:tcPr>
            <w:tcW w:w="1980" w:type="dxa"/>
            <w:vAlign w:val="center"/>
          </w:tcPr>
          <w:p w14:paraId="39D87161" w14:textId="6191B841" w:rsidR="00595449" w:rsidRPr="00CB4F3B" w:rsidRDefault="00595449" w:rsidP="0081747E">
            <w:pPr>
              <w:widowControl w:val="0"/>
              <w:spacing w:after="200"/>
              <w:contextualSpacing/>
              <w:rPr>
                <w:rFonts w:ascii="Arial" w:hAnsi="Arial" w:cs="Arial"/>
                <w:sz w:val="18"/>
                <w:szCs w:val="18"/>
                <w:lang w:val="en-GB"/>
              </w:rPr>
            </w:pPr>
            <w:r w:rsidRPr="00CB4F3B">
              <w:rPr>
                <w:rFonts w:ascii="Arial" w:hAnsi="Arial" w:cs="Arial"/>
                <w:sz w:val="18"/>
                <w:szCs w:val="18"/>
                <w:lang w:val="en-GB"/>
              </w:rPr>
              <w:t xml:space="preserve">Traditional </w:t>
            </w:r>
            <w:r w:rsidR="00976A43" w:rsidRPr="00CB4F3B">
              <w:rPr>
                <w:rFonts w:ascii="Arial" w:hAnsi="Arial" w:cs="Arial"/>
                <w:sz w:val="18"/>
                <w:szCs w:val="18"/>
                <w:lang w:val="en-GB"/>
              </w:rPr>
              <w:t>t</w:t>
            </w:r>
            <w:r w:rsidRPr="00CB4F3B">
              <w:rPr>
                <w:rFonts w:ascii="Arial" w:hAnsi="Arial" w:cs="Arial"/>
                <w:sz w:val="18"/>
                <w:szCs w:val="18"/>
                <w:lang w:val="en-GB"/>
              </w:rPr>
              <w:t xml:space="preserve">oys and </w:t>
            </w:r>
            <w:r w:rsidR="00976A43" w:rsidRPr="00CB4F3B">
              <w:rPr>
                <w:rFonts w:ascii="Arial" w:hAnsi="Arial" w:cs="Arial"/>
                <w:sz w:val="18"/>
                <w:szCs w:val="18"/>
                <w:lang w:val="en-GB"/>
              </w:rPr>
              <w:t>g</w:t>
            </w:r>
            <w:r w:rsidRPr="00CB4F3B">
              <w:rPr>
                <w:rFonts w:ascii="Arial" w:hAnsi="Arial" w:cs="Arial"/>
                <w:sz w:val="18"/>
                <w:szCs w:val="18"/>
                <w:lang w:val="en-GB"/>
              </w:rPr>
              <w:t xml:space="preserve">ames </w:t>
            </w:r>
          </w:p>
        </w:tc>
        <w:tc>
          <w:tcPr>
            <w:tcW w:w="850" w:type="dxa"/>
            <w:vAlign w:val="center"/>
          </w:tcPr>
          <w:p w14:paraId="3F82716D" w14:textId="45573AB1" w:rsidR="00595449" w:rsidRPr="00CB4F3B" w:rsidRDefault="00595449" w:rsidP="0081747E">
            <w:pPr>
              <w:widowControl w:val="0"/>
              <w:spacing w:after="200"/>
              <w:contextualSpacing/>
              <w:jc w:val="right"/>
              <w:rPr>
                <w:rFonts w:ascii="Arial" w:hAnsi="Arial" w:cs="Arial"/>
                <w:sz w:val="18"/>
                <w:szCs w:val="18"/>
                <w:lang w:val="en-GB"/>
              </w:rPr>
            </w:pPr>
            <w:r w:rsidRPr="00CB4F3B">
              <w:rPr>
                <w:rFonts w:ascii="Arial" w:hAnsi="Arial" w:cs="Arial"/>
                <w:sz w:val="18"/>
                <w:szCs w:val="18"/>
                <w:lang w:val="en-GB"/>
              </w:rPr>
              <w:t>27</w:t>
            </w:r>
            <w:r w:rsidR="00976A43" w:rsidRPr="00CB4F3B">
              <w:rPr>
                <w:rFonts w:ascii="Arial" w:hAnsi="Arial" w:cs="Arial"/>
                <w:sz w:val="18"/>
                <w:szCs w:val="18"/>
                <w:lang w:val="en-GB"/>
              </w:rPr>
              <w:t>,</w:t>
            </w:r>
            <w:r w:rsidRPr="00CB4F3B">
              <w:rPr>
                <w:rFonts w:ascii="Arial" w:hAnsi="Arial" w:cs="Arial"/>
                <w:sz w:val="18"/>
                <w:szCs w:val="18"/>
                <w:lang w:val="en-GB"/>
              </w:rPr>
              <w:t>545</w:t>
            </w:r>
          </w:p>
          <w:p w14:paraId="0A463E9D" w14:textId="77777777" w:rsidR="00595449" w:rsidRPr="00CB4F3B" w:rsidRDefault="00595449" w:rsidP="0081747E">
            <w:pPr>
              <w:widowControl w:val="0"/>
              <w:spacing w:after="200"/>
              <w:contextualSpacing/>
              <w:jc w:val="right"/>
              <w:rPr>
                <w:rFonts w:ascii="Arial" w:hAnsi="Arial" w:cs="Arial"/>
                <w:sz w:val="18"/>
                <w:szCs w:val="18"/>
                <w:lang w:val="en-GB"/>
              </w:rPr>
            </w:pPr>
            <w:r w:rsidRPr="00CB4F3B">
              <w:rPr>
                <w:rFonts w:ascii="Arial" w:hAnsi="Arial" w:cs="Arial"/>
                <w:sz w:val="18"/>
                <w:szCs w:val="18"/>
                <w:lang w:val="en-GB"/>
              </w:rPr>
              <w:t>75.6%</w:t>
            </w:r>
          </w:p>
        </w:tc>
        <w:tc>
          <w:tcPr>
            <w:tcW w:w="993" w:type="dxa"/>
            <w:vAlign w:val="center"/>
          </w:tcPr>
          <w:p w14:paraId="43DCC29C" w14:textId="34B8F14B" w:rsidR="00595449" w:rsidRPr="00CB4F3B" w:rsidRDefault="00595449" w:rsidP="0081747E">
            <w:pPr>
              <w:widowControl w:val="0"/>
              <w:spacing w:after="200"/>
              <w:contextualSpacing/>
              <w:jc w:val="right"/>
              <w:rPr>
                <w:rFonts w:ascii="Arial" w:hAnsi="Arial" w:cs="Arial"/>
                <w:sz w:val="18"/>
                <w:szCs w:val="18"/>
                <w:lang w:val="en-GB"/>
              </w:rPr>
            </w:pPr>
            <w:r w:rsidRPr="00CB4F3B">
              <w:rPr>
                <w:rFonts w:ascii="Arial" w:hAnsi="Arial" w:cs="Arial"/>
                <w:sz w:val="18"/>
                <w:szCs w:val="18"/>
                <w:lang w:val="en-GB"/>
              </w:rPr>
              <w:t>28</w:t>
            </w:r>
            <w:r w:rsidR="00976A43" w:rsidRPr="00CB4F3B">
              <w:rPr>
                <w:rFonts w:ascii="Arial" w:hAnsi="Arial" w:cs="Arial"/>
                <w:sz w:val="18"/>
                <w:szCs w:val="18"/>
                <w:lang w:val="en-GB"/>
              </w:rPr>
              <w:t>,</w:t>
            </w:r>
            <w:r w:rsidRPr="00CB4F3B">
              <w:rPr>
                <w:rFonts w:ascii="Arial" w:hAnsi="Arial" w:cs="Arial"/>
                <w:sz w:val="18"/>
                <w:szCs w:val="18"/>
                <w:lang w:val="en-GB"/>
              </w:rPr>
              <w:t>640</w:t>
            </w:r>
          </w:p>
          <w:p w14:paraId="0722AFA5" w14:textId="77777777" w:rsidR="00595449" w:rsidRPr="00CB4F3B" w:rsidRDefault="00595449" w:rsidP="0081747E">
            <w:pPr>
              <w:widowControl w:val="0"/>
              <w:spacing w:after="200"/>
              <w:contextualSpacing/>
              <w:jc w:val="right"/>
              <w:rPr>
                <w:rFonts w:ascii="Arial" w:hAnsi="Arial" w:cs="Arial"/>
                <w:sz w:val="18"/>
                <w:szCs w:val="18"/>
                <w:lang w:val="en-GB"/>
              </w:rPr>
            </w:pPr>
            <w:r w:rsidRPr="00CB4F3B">
              <w:rPr>
                <w:rFonts w:ascii="Arial" w:hAnsi="Arial" w:cs="Arial"/>
                <w:sz w:val="18"/>
                <w:szCs w:val="18"/>
                <w:lang w:val="en-GB"/>
              </w:rPr>
              <w:t>70.2%</w:t>
            </w:r>
          </w:p>
        </w:tc>
        <w:tc>
          <w:tcPr>
            <w:tcW w:w="952" w:type="dxa"/>
            <w:vAlign w:val="center"/>
          </w:tcPr>
          <w:p w14:paraId="58B8FFAB" w14:textId="743E4056" w:rsidR="00595449" w:rsidRPr="00CB4F3B" w:rsidRDefault="00595449" w:rsidP="0081747E">
            <w:pPr>
              <w:widowControl w:val="0"/>
              <w:spacing w:after="200"/>
              <w:contextualSpacing/>
              <w:jc w:val="right"/>
              <w:rPr>
                <w:rFonts w:ascii="Arial" w:hAnsi="Arial" w:cs="Arial"/>
                <w:sz w:val="18"/>
                <w:szCs w:val="18"/>
                <w:lang w:val="en-GB"/>
              </w:rPr>
            </w:pPr>
            <w:r w:rsidRPr="00CB4F3B">
              <w:rPr>
                <w:rFonts w:ascii="Arial" w:hAnsi="Arial" w:cs="Arial"/>
                <w:sz w:val="18"/>
                <w:szCs w:val="18"/>
                <w:lang w:val="en-GB"/>
              </w:rPr>
              <w:t>30</w:t>
            </w:r>
            <w:r w:rsidR="00976A43" w:rsidRPr="00CB4F3B">
              <w:rPr>
                <w:rFonts w:ascii="Arial" w:hAnsi="Arial" w:cs="Arial"/>
                <w:sz w:val="18"/>
                <w:szCs w:val="18"/>
                <w:lang w:val="en-GB"/>
              </w:rPr>
              <w:t>,</w:t>
            </w:r>
            <w:r w:rsidRPr="00CB4F3B">
              <w:rPr>
                <w:rFonts w:ascii="Arial" w:hAnsi="Arial" w:cs="Arial"/>
                <w:sz w:val="18"/>
                <w:szCs w:val="18"/>
                <w:lang w:val="en-GB"/>
              </w:rPr>
              <w:t>200</w:t>
            </w:r>
          </w:p>
          <w:p w14:paraId="4C351BD6" w14:textId="77777777" w:rsidR="00595449" w:rsidRPr="00CB4F3B" w:rsidRDefault="00595449" w:rsidP="0081747E">
            <w:pPr>
              <w:widowControl w:val="0"/>
              <w:spacing w:after="200"/>
              <w:contextualSpacing/>
              <w:jc w:val="right"/>
              <w:rPr>
                <w:rFonts w:ascii="Arial" w:hAnsi="Arial" w:cs="Arial"/>
                <w:sz w:val="18"/>
                <w:szCs w:val="18"/>
                <w:lang w:val="en-GB"/>
              </w:rPr>
            </w:pPr>
            <w:r w:rsidRPr="00CB4F3B">
              <w:rPr>
                <w:rFonts w:ascii="Arial" w:hAnsi="Arial" w:cs="Arial"/>
                <w:sz w:val="18"/>
                <w:szCs w:val="18"/>
                <w:lang w:val="en-GB"/>
              </w:rPr>
              <w:t>63.9%</w:t>
            </w:r>
          </w:p>
        </w:tc>
        <w:tc>
          <w:tcPr>
            <w:tcW w:w="867" w:type="dxa"/>
            <w:vAlign w:val="center"/>
          </w:tcPr>
          <w:p w14:paraId="2C79BCFB" w14:textId="2A0CAC99" w:rsidR="00595449" w:rsidRPr="00CB4F3B" w:rsidRDefault="00595449" w:rsidP="0081747E">
            <w:pPr>
              <w:widowControl w:val="0"/>
              <w:spacing w:after="200"/>
              <w:contextualSpacing/>
              <w:jc w:val="right"/>
              <w:rPr>
                <w:rFonts w:ascii="Arial" w:hAnsi="Arial" w:cs="Arial"/>
                <w:sz w:val="18"/>
                <w:szCs w:val="18"/>
                <w:lang w:val="en-GB"/>
              </w:rPr>
            </w:pPr>
            <w:r w:rsidRPr="00CB4F3B">
              <w:rPr>
                <w:rFonts w:ascii="Arial" w:hAnsi="Arial" w:cs="Arial"/>
                <w:sz w:val="18"/>
                <w:szCs w:val="18"/>
                <w:lang w:val="en-GB"/>
              </w:rPr>
              <w:t>32</w:t>
            </w:r>
            <w:r w:rsidR="00976A43" w:rsidRPr="00CB4F3B">
              <w:rPr>
                <w:rFonts w:ascii="Arial" w:hAnsi="Arial" w:cs="Arial"/>
                <w:sz w:val="18"/>
                <w:szCs w:val="18"/>
                <w:lang w:val="en-GB"/>
              </w:rPr>
              <w:t>,</w:t>
            </w:r>
            <w:r w:rsidRPr="00CB4F3B">
              <w:rPr>
                <w:rFonts w:ascii="Arial" w:hAnsi="Arial" w:cs="Arial"/>
                <w:sz w:val="18"/>
                <w:szCs w:val="18"/>
                <w:lang w:val="en-GB"/>
              </w:rPr>
              <w:t>210</w:t>
            </w:r>
          </w:p>
          <w:p w14:paraId="5553B3A9" w14:textId="4B114889" w:rsidR="00595449" w:rsidRPr="00CB4F3B" w:rsidRDefault="00B60CD1" w:rsidP="0081747E">
            <w:pPr>
              <w:widowControl w:val="0"/>
              <w:spacing w:after="200"/>
              <w:contextualSpacing/>
              <w:jc w:val="right"/>
              <w:rPr>
                <w:rFonts w:ascii="Arial" w:hAnsi="Arial" w:cs="Arial"/>
                <w:sz w:val="18"/>
                <w:szCs w:val="18"/>
                <w:lang w:val="en-GB"/>
              </w:rPr>
            </w:pPr>
            <w:r>
              <w:rPr>
                <w:rFonts w:ascii="Arial" w:hAnsi="Arial" w:cs="Arial"/>
                <w:sz w:val="18"/>
                <w:szCs w:val="18"/>
                <w:lang w:val="en-GB"/>
              </w:rPr>
              <w:t>5</w:t>
            </w:r>
            <w:r w:rsidRPr="00CB4F3B">
              <w:rPr>
                <w:rFonts w:ascii="Arial" w:hAnsi="Arial" w:cs="Arial"/>
                <w:sz w:val="18"/>
                <w:szCs w:val="18"/>
                <w:lang w:val="en-GB"/>
              </w:rPr>
              <w:t>7</w:t>
            </w:r>
            <w:r w:rsidR="00595449" w:rsidRPr="00CB4F3B">
              <w:rPr>
                <w:rFonts w:ascii="Arial" w:hAnsi="Arial" w:cs="Arial"/>
                <w:sz w:val="18"/>
                <w:szCs w:val="18"/>
                <w:lang w:val="en-GB"/>
              </w:rPr>
              <w:t>.4%</w:t>
            </w:r>
          </w:p>
        </w:tc>
        <w:tc>
          <w:tcPr>
            <w:tcW w:w="993" w:type="dxa"/>
            <w:vAlign w:val="center"/>
          </w:tcPr>
          <w:p w14:paraId="0720495E" w14:textId="73C09EA6" w:rsidR="00595449" w:rsidRPr="00CB4F3B" w:rsidRDefault="00595449" w:rsidP="0081747E">
            <w:pPr>
              <w:widowControl w:val="0"/>
              <w:spacing w:after="200"/>
              <w:contextualSpacing/>
              <w:jc w:val="right"/>
              <w:rPr>
                <w:rFonts w:ascii="Arial" w:hAnsi="Arial" w:cs="Arial"/>
                <w:sz w:val="18"/>
                <w:szCs w:val="18"/>
                <w:lang w:val="en-GB"/>
              </w:rPr>
            </w:pPr>
            <w:r w:rsidRPr="00CB4F3B">
              <w:rPr>
                <w:rFonts w:ascii="Arial" w:hAnsi="Arial" w:cs="Arial"/>
                <w:sz w:val="18"/>
                <w:szCs w:val="18"/>
                <w:lang w:val="en-GB"/>
              </w:rPr>
              <w:t>33</w:t>
            </w:r>
            <w:r w:rsidR="00976A43" w:rsidRPr="00CB4F3B">
              <w:rPr>
                <w:rFonts w:ascii="Arial" w:hAnsi="Arial" w:cs="Arial"/>
                <w:sz w:val="18"/>
                <w:szCs w:val="18"/>
                <w:lang w:val="en-GB"/>
              </w:rPr>
              <w:t>,</w:t>
            </w:r>
            <w:r w:rsidRPr="00CB4F3B">
              <w:rPr>
                <w:rFonts w:ascii="Arial" w:hAnsi="Arial" w:cs="Arial"/>
                <w:sz w:val="18"/>
                <w:szCs w:val="18"/>
                <w:lang w:val="en-GB"/>
              </w:rPr>
              <w:t>100</w:t>
            </w:r>
          </w:p>
          <w:p w14:paraId="7CAB4EFF" w14:textId="77777777" w:rsidR="00595449" w:rsidRPr="00CB4F3B" w:rsidRDefault="00595449" w:rsidP="0081747E">
            <w:pPr>
              <w:widowControl w:val="0"/>
              <w:spacing w:after="200"/>
              <w:contextualSpacing/>
              <w:jc w:val="right"/>
              <w:rPr>
                <w:rFonts w:ascii="Arial" w:hAnsi="Arial" w:cs="Arial"/>
                <w:sz w:val="18"/>
                <w:szCs w:val="18"/>
                <w:lang w:val="en-GB"/>
              </w:rPr>
            </w:pPr>
            <w:r w:rsidRPr="00CB4F3B">
              <w:rPr>
                <w:rFonts w:ascii="Arial" w:hAnsi="Arial" w:cs="Arial"/>
                <w:sz w:val="18"/>
                <w:szCs w:val="18"/>
                <w:lang w:val="en-GB"/>
              </w:rPr>
              <w:t>51.1%</w:t>
            </w:r>
          </w:p>
        </w:tc>
        <w:tc>
          <w:tcPr>
            <w:tcW w:w="923" w:type="dxa"/>
            <w:vAlign w:val="center"/>
          </w:tcPr>
          <w:p w14:paraId="53028126" w14:textId="5A9B8D3B" w:rsidR="00595449" w:rsidRPr="00CB4F3B" w:rsidRDefault="00595449" w:rsidP="0081747E">
            <w:pPr>
              <w:widowControl w:val="0"/>
              <w:spacing w:after="200"/>
              <w:contextualSpacing/>
              <w:jc w:val="right"/>
              <w:rPr>
                <w:rFonts w:ascii="Arial" w:hAnsi="Arial" w:cs="Arial"/>
                <w:sz w:val="18"/>
                <w:szCs w:val="18"/>
                <w:lang w:val="en-GB"/>
              </w:rPr>
            </w:pPr>
            <w:r w:rsidRPr="00CB4F3B">
              <w:rPr>
                <w:rFonts w:ascii="Arial" w:hAnsi="Arial" w:cs="Arial"/>
                <w:sz w:val="18"/>
                <w:szCs w:val="18"/>
                <w:lang w:val="en-GB"/>
              </w:rPr>
              <w:t>34</w:t>
            </w:r>
            <w:r w:rsidR="00976A43" w:rsidRPr="00CB4F3B">
              <w:rPr>
                <w:rFonts w:ascii="Arial" w:hAnsi="Arial" w:cs="Arial"/>
                <w:sz w:val="18"/>
                <w:szCs w:val="18"/>
                <w:lang w:val="en-GB"/>
              </w:rPr>
              <w:t>,</w:t>
            </w:r>
            <w:r w:rsidRPr="00CB4F3B">
              <w:rPr>
                <w:rFonts w:ascii="Arial" w:hAnsi="Arial" w:cs="Arial"/>
                <w:sz w:val="18"/>
                <w:szCs w:val="18"/>
                <w:lang w:val="en-GB"/>
              </w:rPr>
              <w:t>310</w:t>
            </w:r>
          </w:p>
          <w:p w14:paraId="22217A07" w14:textId="77777777" w:rsidR="00595449" w:rsidRPr="00CB4F3B" w:rsidRDefault="00595449" w:rsidP="0081747E">
            <w:pPr>
              <w:widowControl w:val="0"/>
              <w:spacing w:after="200"/>
              <w:contextualSpacing/>
              <w:jc w:val="right"/>
              <w:rPr>
                <w:rFonts w:ascii="Arial" w:hAnsi="Arial" w:cs="Arial"/>
                <w:sz w:val="18"/>
                <w:szCs w:val="18"/>
                <w:lang w:val="en-GB"/>
              </w:rPr>
            </w:pPr>
            <w:r w:rsidRPr="00CB4F3B">
              <w:rPr>
                <w:rFonts w:ascii="Arial" w:hAnsi="Arial" w:cs="Arial"/>
                <w:sz w:val="18"/>
                <w:szCs w:val="18"/>
                <w:lang w:val="en-GB"/>
              </w:rPr>
              <w:t>44.6%</w:t>
            </w:r>
          </w:p>
        </w:tc>
        <w:tc>
          <w:tcPr>
            <w:tcW w:w="892" w:type="dxa"/>
            <w:vAlign w:val="center"/>
          </w:tcPr>
          <w:p w14:paraId="7953359B" w14:textId="4EBD279F" w:rsidR="00595449" w:rsidRPr="00CB4F3B" w:rsidRDefault="00595449" w:rsidP="0081747E">
            <w:pPr>
              <w:widowControl w:val="0"/>
              <w:spacing w:after="200"/>
              <w:contextualSpacing/>
              <w:jc w:val="right"/>
              <w:rPr>
                <w:rFonts w:ascii="Arial" w:hAnsi="Arial" w:cs="Arial"/>
                <w:sz w:val="18"/>
                <w:szCs w:val="18"/>
                <w:lang w:val="en-GB"/>
              </w:rPr>
            </w:pPr>
            <w:r w:rsidRPr="00CB4F3B">
              <w:rPr>
                <w:rFonts w:ascii="Arial" w:hAnsi="Arial" w:cs="Arial"/>
                <w:sz w:val="18"/>
                <w:szCs w:val="18"/>
                <w:lang w:val="en-GB"/>
              </w:rPr>
              <w:t>35</w:t>
            </w:r>
            <w:r w:rsidR="00976A43" w:rsidRPr="00CB4F3B">
              <w:rPr>
                <w:rFonts w:ascii="Arial" w:hAnsi="Arial" w:cs="Arial"/>
                <w:sz w:val="18"/>
                <w:szCs w:val="18"/>
                <w:lang w:val="en-GB"/>
              </w:rPr>
              <w:t>,</w:t>
            </w:r>
            <w:r w:rsidRPr="00CB4F3B">
              <w:rPr>
                <w:rFonts w:ascii="Arial" w:hAnsi="Arial" w:cs="Arial"/>
                <w:sz w:val="18"/>
                <w:szCs w:val="18"/>
                <w:lang w:val="en-GB"/>
              </w:rPr>
              <w:t>760</w:t>
            </w:r>
          </w:p>
          <w:p w14:paraId="083C7E10" w14:textId="77777777" w:rsidR="00595449" w:rsidRPr="00CB4F3B" w:rsidRDefault="00595449" w:rsidP="0081747E">
            <w:pPr>
              <w:widowControl w:val="0"/>
              <w:spacing w:after="200"/>
              <w:contextualSpacing/>
              <w:jc w:val="right"/>
              <w:rPr>
                <w:rFonts w:ascii="Arial" w:hAnsi="Arial" w:cs="Arial"/>
                <w:sz w:val="18"/>
                <w:szCs w:val="18"/>
                <w:lang w:val="en-GB"/>
              </w:rPr>
            </w:pPr>
            <w:r w:rsidRPr="00CB4F3B">
              <w:rPr>
                <w:rFonts w:ascii="Arial" w:hAnsi="Arial" w:cs="Arial"/>
                <w:sz w:val="18"/>
                <w:szCs w:val="18"/>
                <w:lang w:val="en-GB"/>
              </w:rPr>
              <w:t>38.2%</w:t>
            </w:r>
          </w:p>
        </w:tc>
        <w:tc>
          <w:tcPr>
            <w:tcW w:w="896" w:type="dxa"/>
            <w:vAlign w:val="center"/>
          </w:tcPr>
          <w:p w14:paraId="13BCDDF1" w14:textId="0BB55A54" w:rsidR="00595449" w:rsidRPr="00CB4F3B" w:rsidRDefault="00595449" w:rsidP="0081747E">
            <w:pPr>
              <w:widowControl w:val="0"/>
              <w:spacing w:after="200"/>
              <w:contextualSpacing/>
              <w:jc w:val="right"/>
              <w:rPr>
                <w:rFonts w:ascii="Arial" w:hAnsi="Arial" w:cs="Arial"/>
                <w:sz w:val="18"/>
                <w:szCs w:val="18"/>
                <w:lang w:val="en-GB"/>
              </w:rPr>
            </w:pPr>
            <w:r w:rsidRPr="00CB4F3B">
              <w:rPr>
                <w:rFonts w:ascii="Arial" w:hAnsi="Arial" w:cs="Arial"/>
                <w:sz w:val="18"/>
                <w:szCs w:val="18"/>
                <w:lang w:val="en-GB"/>
              </w:rPr>
              <w:t>37</w:t>
            </w:r>
            <w:r w:rsidR="00976A43" w:rsidRPr="00CB4F3B">
              <w:rPr>
                <w:rFonts w:ascii="Arial" w:hAnsi="Arial" w:cs="Arial"/>
                <w:sz w:val="18"/>
                <w:szCs w:val="18"/>
                <w:lang w:val="en-GB"/>
              </w:rPr>
              <w:t>,</w:t>
            </w:r>
            <w:r w:rsidRPr="00CB4F3B">
              <w:rPr>
                <w:rFonts w:ascii="Arial" w:hAnsi="Arial" w:cs="Arial"/>
                <w:sz w:val="18"/>
                <w:szCs w:val="18"/>
                <w:lang w:val="en-GB"/>
              </w:rPr>
              <w:t>410</w:t>
            </w:r>
          </w:p>
          <w:p w14:paraId="4F9B2DE2" w14:textId="77777777" w:rsidR="00595449" w:rsidRPr="00CB4F3B" w:rsidRDefault="00595449" w:rsidP="0081747E">
            <w:pPr>
              <w:widowControl w:val="0"/>
              <w:spacing w:after="200"/>
              <w:contextualSpacing/>
              <w:jc w:val="right"/>
              <w:rPr>
                <w:rFonts w:ascii="Arial" w:hAnsi="Arial" w:cs="Arial"/>
                <w:sz w:val="18"/>
                <w:szCs w:val="18"/>
                <w:lang w:val="en-GB"/>
              </w:rPr>
            </w:pPr>
            <w:r w:rsidRPr="00CB4F3B">
              <w:rPr>
                <w:rFonts w:ascii="Arial" w:hAnsi="Arial" w:cs="Arial"/>
                <w:sz w:val="18"/>
                <w:szCs w:val="18"/>
                <w:lang w:val="en-GB"/>
              </w:rPr>
              <w:t>32%</w:t>
            </w:r>
          </w:p>
        </w:tc>
      </w:tr>
      <w:tr w:rsidR="00595449" w:rsidRPr="00CB4F3B" w14:paraId="4E41915E" w14:textId="77777777" w:rsidTr="0002430A">
        <w:trPr>
          <w:trHeight w:val="426"/>
          <w:jc w:val="center"/>
        </w:trPr>
        <w:tc>
          <w:tcPr>
            <w:tcW w:w="1980" w:type="dxa"/>
            <w:vAlign w:val="center"/>
          </w:tcPr>
          <w:p w14:paraId="0DEFC466" w14:textId="34134E65" w:rsidR="00595449" w:rsidRPr="00CB4F3B" w:rsidRDefault="00595449" w:rsidP="0081747E">
            <w:pPr>
              <w:widowControl w:val="0"/>
              <w:spacing w:after="200"/>
              <w:contextualSpacing/>
              <w:rPr>
                <w:rFonts w:ascii="Arial" w:hAnsi="Arial" w:cs="Arial"/>
                <w:sz w:val="18"/>
                <w:szCs w:val="18"/>
                <w:lang w:val="en-GB"/>
              </w:rPr>
            </w:pPr>
            <w:r w:rsidRPr="00CB4F3B">
              <w:rPr>
                <w:rFonts w:ascii="Arial" w:hAnsi="Arial" w:cs="Arial"/>
                <w:sz w:val="18"/>
                <w:szCs w:val="18"/>
                <w:lang w:val="en-GB"/>
              </w:rPr>
              <w:t xml:space="preserve">Video </w:t>
            </w:r>
            <w:r w:rsidR="00976A43" w:rsidRPr="00CB4F3B">
              <w:rPr>
                <w:rFonts w:ascii="Arial" w:hAnsi="Arial" w:cs="Arial"/>
                <w:sz w:val="18"/>
                <w:szCs w:val="18"/>
                <w:lang w:val="en-GB"/>
              </w:rPr>
              <w:t>g</w:t>
            </w:r>
            <w:r w:rsidRPr="00CB4F3B">
              <w:rPr>
                <w:rFonts w:ascii="Arial" w:hAnsi="Arial" w:cs="Arial"/>
                <w:sz w:val="18"/>
                <w:szCs w:val="18"/>
                <w:lang w:val="en-GB"/>
              </w:rPr>
              <w:t>ames</w:t>
            </w:r>
          </w:p>
        </w:tc>
        <w:tc>
          <w:tcPr>
            <w:tcW w:w="850" w:type="dxa"/>
            <w:vAlign w:val="center"/>
          </w:tcPr>
          <w:p w14:paraId="424E3B78" w14:textId="26847E64" w:rsidR="00595449" w:rsidRPr="00CB4F3B" w:rsidRDefault="00595449" w:rsidP="0081747E">
            <w:pPr>
              <w:widowControl w:val="0"/>
              <w:spacing w:after="200"/>
              <w:contextualSpacing/>
              <w:jc w:val="right"/>
              <w:rPr>
                <w:rFonts w:ascii="Arial" w:hAnsi="Arial" w:cs="Arial"/>
                <w:sz w:val="18"/>
                <w:szCs w:val="18"/>
                <w:lang w:val="en-GB"/>
              </w:rPr>
            </w:pPr>
            <w:r w:rsidRPr="00CB4F3B">
              <w:rPr>
                <w:rFonts w:ascii="Arial" w:hAnsi="Arial" w:cs="Arial"/>
                <w:sz w:val="18"/>
                <w:szCs w:val="18"/>
                <w:lang w:val="en-GB"/>
              </w:rPr>
              <w:t>8</w:t>
            </w:r>
            <w:r w:rsidR="00976A43" w:rsidRPr="00CB4F3B">
              <w:rPr>
                <w:rFonts w:ascii="Arial" w:hAnsi="Arial" w:cs="Arial"/>
                <w:sz w:val="18"/>
                <w:szCs w:val="18"/>
                <w:lang w:val="en-GB"/>
              </w:rPr>
              <w:t>,</w:t>
            </w:r>
            <w:r w:rsidRPr="00CB4F3B">
              <w:rPr>
                <w:rFonts w:ascii="Arial" w:hAnsi="Arial" w:cs="Arial"/>
                <w:sz w:val="18"/>
                <w:szCs w:val="18"/>
                <w:lang w:val="en-GB"/>
              </w:rPr>
              <w:t>926</w:t>
            </w:r>
          </w:p>
          <w:p w14:paraId="4E4C5032" w14:textId="77777777" w:rsidR="00595449" w:rsidRPr="00CB4F3B" w:rsidRDefault="00595449" w:rsidP="0081747E">
            <w:pPr>
              <w:widowControl w:val="0"/>
              <w:spacing w:after="200"/>
              <w:contextualSpacing/>
              <w:jc w:val="right"/>
              <w:rPr>
                <w:rFonts w:ascii="Arial" w:hAnsi="Arial" w:cs="Arial"/>
                <w:sz w:val="18"/>
                <w:szCs w:val="18"/>
                <w:lang w:val="en-GB"/>
              </w:rPr>
            </w:pPr>
            <w:r w:rsidRPr="00CB4F3B">
              <w:rPr>
                <w:rFonts w:ascii="Arial" w:hAnsi="Arial" w:cs="Arial"/>
                <w:sz w:val="18"/>
                <w:szCs w:val="18"/>
                <w:lang w:val="en-GB"/>
              </w:rPr>
              <w:t>24.4%</w:t>
            </w:r>
          </w:p>
        </w:tc>
        <w:tc>
          <w:tcPr>
            <w:tcW w:w="993" w:type="dxa"/>
            <w:vAlign w:val="center"/>
          </w:tcPr>
          <w:p w14:paraId="60AD73B1" w14:textId="267814E4" w:rsidR="00595449" w:rsidRPr="00CB4F3B" w:rsidRDefault="00595449" w:rsidP="0081747E">
            <w:pPr>
              <w:widowControl w:val="0"/>
              <w:spacing w:after="200"/>
              <w:contextualSpacing/>
              <w:jc w:val="right"/>
              <w:rPr>
                <w:rFonts w:ascii="Arial" w:hAnsi="Arial" w:cs="Arial"/>
                <w:sz w:val="18"/>
                <w:szCs w:val="18"/>
                <w:lang w:val="en-GB"/>
              </w:rPr>
            </w:pPr>
            <w:r w:rsidRPr="00CB4F3B">
              <w:rPr>
                <w:rFonts w:ascii="Arial" w:hAnsi="Arial" w:cs="Arial"/>
                <w:sz w:val="18"/>
                <w:szCs w:val="18"/>
                <w:lang w:val="en-GB"/>
              </w:rPr>
              <w:t>12</w:t>
            </w:r>
            <w:r w:rsidR="00976A43" w:rsidRPr="00CB4F3B">
              <w:rPr>
                <w:rFonts w:ascii="Arial" w:hAnsi="Arial" w:cs="Arial"/>
                <w:sz w:val="18"/>
                <w:szCs w:val="18"/>
                <w:lang w:val="en-GB"/>
              </w:rPr>
              <w:t>,</w:t>
            </w:r>
            <w:r w:rsidRPr="00CB4F3B">
              <w:rPr>
                <w:rFonts w:ascii="Arial" w:hAnsi="Arial" w:cs="Arial"/>
                <w:sz w:val="18"/>
                <w:szCs w:val="18"/>
                <w:lang w:val="en-GB"/>
              </w:rPr>
              <w:t>155</w:t>
            </w:r>
          </w:p>
          <w:p w14:paraId="793C2BDB" w14:textId="77777777" w:rsidR="00595449" w:rsidRPr="00CB4F3B" w:rsidRDefault="00595449" w:rsidP="0081747E">
            <w:pPr>
              <w:widowControl w:val="0"/>
              <w:spacing w:after="200"/>
              <w:contextualSpacing/>
              <w:jc w:val="right"/>
              <w:rPr>
                <w:rFonts w:ascii="Arial" w:hAnsi="Arial" w:cs="Arial"/>
                <w:sz w:val="18"/>
                <w:szCs w:val="18"/>
                <w:lang w:val="en-GB"/>
              </w:rPr>
            </w:pPr>
            <w:r w:rsidRPr="00CB4F3B">
              <w:rPr>
                <w:rFonts w:ascii="Arial" w:hAnsi="Arial" w:cs="Arial"/>
                <w:sz w:val="18"/>
                <w:szCs w:val="18"/>
                <w:lang w:val="en-GB"/>
              </w:rPr>
              <w:t>29.8%</w:t>
            </w:r>
          </w:p>
        </w:tc>
        <w:tc>
          <w:tcPr>
            <w:tcW w:w="952" w:type="dxa"/>
            <w:vAlign w:val="center"/>
          </w:tcPr>
          <w:p w14:paraId="146B799B" w14:textId="596484D5" w:rsidR="00595449" w:rsidRPr="00CB4F3B" w:rsidRDefault="00595449" w:rsidP="0081747E">
            <w:pPr>
              <w:widowControl w:val="0"/>
              <w:spacing w:after="200"/>
              <w:contextualSpacing/>
              <w:jc w:val="right"/>
              <w:rPr>
                <w:rFonts w:ascii="Arial" w:hAnsi="Arial" w:cs="Arial"/>
                <w:sz w:val="18"/>
                <w:szCs w:val="18"/>
                <w:lang w:val="en-GB"/>
              </w:rPr>
            </w:pPr>
            <w:r w:rsidRPr="00CB4F3B">
              <w:rPr>
                <w:rFonts w:ascii="Arial" w:hAnsi="Arial" w:cs="Arial"/>
                <w:sz w:val="18"/>
                <w:szCs w:val="18"/>
                <w:lang w:val="en-GB"/>
              </w:rPr>
              <w:t>17</w:t>
            </w:r>
            <w:r w:rsidR="00976A43" w:rsidRPr="00CB4F3B">
              <w:rPr>
                <w:rFonts w:ascii="Arial" w:hAnsi="Arial" w:cs="Arial"/>
                <w:sz w:val="18"/>
                <w:szCs w:val="18"/>
                <w:lang w:val="en-GB"/>
              </w:rPr>
              <w:t>,</w:t>
            </w:r>
            <w:r w:rsidRPr="00CB4F3B">
              <w:rPr>
                <w:rFonts w:ascii="Arial" w:hAnsi="Arial" w:cs="Arial"/>
                <w:sz w:val="18"/>
                <w:szCs w:val="18"/>
                <w:lang w:val="en-GB"/>
              </w:rPr>
              <w:t>070</w:t>
            </w:r>
          </w:p>
          <w:p w14:paraId="7A24EB53" w14:textId="77777777" w:rsidR="00595449" w:rsidRPr="00CB4F3B" w:rsidRDefault="00595449" w:rsidP="0081747E">
            <w:pPr>
              <w:widowControl w:val="0"/>
              <w:spacing w:after="200"/>
              <w:contextualSpacing/>
              <w:jc w:val="right"/>
              <w:rPr>
                <w:rFonts w:ascii="Arial" w:hAnsi="Arial" w:cs="Arial"/>
                <w:sz w:val="18"/>
                <w:szCs w:val="18"/>
                <w:lang w:val="en-GB"/>
              </w:rPr>
            </w:pPr>
            <w:r w:rsidRPr="00CB4F3B">
              <w:rPr>
                <w:rFonts w:ascii="Arial" w:hAnsi="Arial" w:cs="Arial"/>
                <w:sz w:val="18"/>
                <w:szCs w:val="18"/>
                <w:lang w:val="en-GB"/>
              </w:rPr>
              <w:t>36.1%</w:t>
            </w:r>
          </w:p>
        </w:tc>
        <w:tc>
          <w:tcPr>
            <w:tcW w:w="867" w:type="dxa"/>
            <w:vAlign w:val="center"/>
          </w:tcPr>
          <w:p w14:paraId="7564BBF2" w14:textId="77777777" w:rsidR="00595449" w:rsidRPr="00CB4F3B" w:rsidRDefault="00595449" w:rsidP="0081747E">
            <w:pPr>
              <w:widowControl w:val="0"/>
              <w:spacing w:after="200"/>
              <w:contextualSpacing/>
              <w:jc w:val="right"/>
              <w:rPr>
                <w:rFonts w:ascii="Arial" w:hAnsi="Arial" w:cs="Arial"/>
                <w:sz w:val="18"/>
                <w:szCs w:val="18"/>
                <w:lang w:val="en-GB"/>
              </w:rPr>
            </w:pPr>
            <w:r w:rsidRPr="00CB4F3B">
              <w:rPr>
                <w:rFonts w:ascii="Arial" w:hAnsi="Arial" w:cs="Arial"/>
                <w:sz w:val="18"/>
                <w:szCs w:val="18"/>
                <w:lang w:val="en-GB"/>
              </w:rPr>
              <w:t>23915</w:t>
            </w:r>
          </w:p>
          <w:p w14:paraId="348B293A" w14:textId="77777777" w:rsidR="00595449" w:rsidRPr="00CB4F3B" w:rsidRDefault="00595449" w:rsidP="0081747E">
            <w:pPr>
              <w:widowControl w:val="0"/>
              <w:spacing w:after="200"/>
              <w:contextualSpacing/>
              <w:jc w:val="right"/>
              <w:rPr>
                <w:rFonts w:ascii="Arial" w:hAnsi="Arial" w:cs="Arial"/>
                <w:sz w:val="18"/>
                <w:szCs w:val="18"/>
                <w:lang w:val="en-GB"/>
              </w:rPr>
            </w:pPr>
            <w:r w:rsidRPr="00CB4F3B">
              <w:rPr>
                <w:rFonts w:ascii="Arial" w:hAnsi="Arial" w:cs="Arial"/>
                <w:sz w:val="18"/>
                <w:szCs w:val="18"/>
                <w:lang w:val="en-GB"/>
              </w:rPr>
              <w:t>42.6%</w:t>
            </w:r>
          </w:p>
        </w:tc>
        <w:tc>
          <w:tcPr>
            <w:tcW w:w="993" w:type="dxa"/>
            <w:vAlign w:val="center"/>
          </w:tcPr>
          <w:p w14:paraId="59B968B7" w14:textId="0DB5E00E" w:rsidR="00595449" w:rsidRPr="00CB4F3B" w:rsidRDefault="00595449" w:rsidP="0081747E">
            <w:pPr>
              <w:widowControl w:val="0"/>
              <w:spacing w:after="200"/>
              <w:contextualSpacing/>
              <w:jc w:val="right"/>
              <w:rPr>
                <w:rFonts w:ascii="Arial" w:hAnsi="Arial" w:cs="Arial"/>
                <w:sz w:val="18"/>
                <w:szCs w:val="18"/>
                <w:lang w:val="en-GB"/>
              </w:rPr>
            </w:pPr>
            <w:r w:rsidRPr="00CB4F3B">
              <w:rPr>
                <w:rFonts w:ascii="Arial" w:hAnsi="Arial" w:cs="Arial"/>
                <w:sz w:val="18"/>
                <w:szCs w:val="18"/>
                <w:lang w:val="en-GB"/>
              </w:rPr>
              <w:t>31</w:t>
            </w:r>
            <w:r w:rsidR="00976A43" w:rsidRPr="00CB4F3B">
              <w:rPr>
                <w:rFonts w:ascii="Arial" w:hAnsi="Arial" w:cs="Arial"/>
                <w:sz w:val="18"/>
                <w:szCs w:val="18"/>
                <w:lang w:val="en-GB"/>
              </w:rPr>
              <w:t>,</w:t>
            </w:r>
            <w:r w:rsidRPr="00CB4F3B">
              <w:rPr>
                <w:rFonts w:ascii="Arial" w:hAnsi="Arial" w:cs="Arial"/>
                <w:sz w:val="18"/>
                <w:szCs w:val="18"/>
                <w:lang w:val="en-GB"/>
              </w:rPr>
              <w:t>720</w:t>
            </w:r>
          </w:p>
          <w:p w14:paraId="38F31BBB" w14:textId="77777777" w:rsidR="00595449" w:rsidRPr="00CB4F3B" w:rsidRDefault="00595449" w:rsidP="0081747E">
            <w:pPr>
              <w:widowControl w:val="0"/>
              <w:spacing w:after="200"/>
              <w:contextualSpacing/>
              <w:jc w:val="right"/>
              <w:rPr>
                <w:rFonts w:ascii="Arial" w:hAnsi="Arial" w:cs="Arial"/>
                <w:sz w:val="18"/>
                <w:szCs w:val="18"/>
                <w:lang w:val="en-GB"/>
              </w:rPr>
            </w:pPr>
            <w:r w:rsidRPr="00CB4F3B">
              <w:rPr>
                <w:rFonts w:ascii="Arial" w:hAnsi="Arial" w:cs="Arial"/>
                <w:sz w:val="18"/>
                <w:szCs w:val="18"/>
                <w:lang w:val="en-GB"/>
              </w:rPr>
              <w:t>48.9%</w:t>
            </w:r>
          </w:p>
        </w:tc>
        <w:tc>
          <w:tcPr>
            <w:tcW w:w="923" w:type="dxa"/>
            <w:vAlign w:val="center"/>
          </w:tcPr>
          <w:p w14:paraId="617BBA4F" w14:textId="2C1EE779" w:rsidR="00595449" w:rsidRPr="00CB4F3B" w:rsidRDefault="00595449" w:rsidP="0081747E">
            <w:pPr>
              <w:widowControl w:val="0"/>
              <w:spacing w:after="200"/>
              <w:contextualSpacing/>
              <w:jc w:val="right"/>
              <w:rPr>
                <w:rFonts w:ascii="Arial" w:hAnsi="Arial" w:cs="Arial"/>
                <w:sz w:val="18"/>
                <w:szCs w:val="18"/>
                <w:lang w:val="en-GB"/>
              </w:rPr>
            </w:pPr>
            <w:r w:rsidRPr="00CB4F3B">
              <w:rPr>
                <w:rFonts w:ascii="Arial" w:hAnsi="Arial" w:cs="Arial"/>
                <w:sz w:val="18"/>
                <w:szCs w:val="18"/>
                <w:lang w:val="en-GB"/>
              </w:rPr>
              <w:t>42</w:t>
            </w:r>
            <w:r w:rsidR="00976A43" w:rsidRPr="00CB4F3B">
              <w:rPr>
                <w:rFonts w:ascii="Arial" w:hAnsi="Arial" w:cs="Arial"/>
                <w:sz w:val="18"/>
                <w:szCs w:val="18"/>
                <w:lang w:val="en-GB"/>
              </w:rPr>
              <w:t>,</w:t>
            </w:r>
            <w:r w:rsidRPr="00CB4F3B">
              <w:rPr>
                <w:rFonts w:ascii="Arial" w:hAnsi="Arial" w:cs="Arial"/>
                <w:sz w:val="18"/>
                <w:szCs w:val="18"/>
                <w:lang w:val="en-GB"/>
              </w:rPr>
              <w:t>690</w:t>
            </w:r>
          </w:p>
          <w:p w14:paraId="62A75FAF" w14:textId="77777777" w:rsidR="00595449" w:rsidRPr="00CB4F3B" w:rsidRDefault="00595449" w:rsidP="0081747E">
            <w:pPr>
              <w:widowControl w:val="0"/>
              <w:spacing w:after="200"/>
              <w:contextualSpacing/>
              <w:jc w:val="right"/>
              <w:rPr>
                <w:rFonts w:ascii="Arial" w:hAnsi="Arial" w:cs="Arial"/>
                <w:sz w:val="18"/>
                <w:szCs w:val="18"/>
                <w:lang w:val="en-GB"/>
              </w:rPr>
            </w:pPr>
            <w:r w:rsidRPr="00CB4F3B">
              <w:rPr>
                <w:rFonts w:ascii="Arial" w:hAnsi="Arial" w:cs="Arial"/>
                <w:sz w:val="18"/>
                <w:szCs w:val="18"/>
                <w:lang w:val="en-GB"/>
              </w:rPr>
              <w:t>55.4%</w:t>
            </w:r>
          </w:p>
        </w:tc>
        <w:tc>
          <w:tcPr>
            <w:tcW w:w="892" w:type="dxa"/>
            <w:vAlign w:val="center"/>
          </w:tcPr>
          <w:p w14:paraId="4A0EA77F" w14:textId="311D47E3" w:rsidR="00595449" w:rsidRPr="00CB4F3B" w:rsidRDefault="00595449" w:rsidP="0081747E">
            <w:pPr>
              <w:widowControl w:val="0"/>
              <w:spacing w:after="200"/>
              <w:contextualSpacing/>
              <w:jc w:val="right"/>
              <w:rPr>
                <w:rFonts w:ascii="Arial" w:hAnsi="Arial" w:cs="Arial"/>
                <w:sz w:val="18"/>
                <w:szCs w:val="18"/>
                <w:lang w:val="en-GB"/>
              </w:rPr>
            </w:pPr>
            <w:r w:rsidRPr="00CB4F3B">
              <w:rPr>
                <w:rFonts w:ascii="Arial" w:hAnsi="Arial" w:cs="Arial"/>
                <w:sz w:val="18"/>
                <w:szCs w:val="18"/>
                <w:lang w:val="en-GB"/>
              </w:rPr>
              <w:t>58</w:t>
            </w:r>
            <w:r w:rsidR="00976A43" w:rsidRPr="00CB4F3B">
              <w:rPr>
                <w:rFonts w:ascii="Arial" w:hAnsi="Arial" w:cs="Arial"/>
                <w:sz w:val="18"/>
                <w:szCs w:val="18"/>
                <w:lang w:val="en-GB"/>
              </w:rPr>
              <w:t>,</w:t>
            </w:r>
            <w:r w:rsidRPr="00CB4F3B">
              <w:rPr>
                <w:rFonts w:ascii="Arial" w:hAnsi="Arial" w:cs="Arial"/>
                <w:sz w:val="18"/>
                <w:szCs w:val="18"/>
                <w:lang w:val="en-GB"/>
              </w:rPr>
              <w:t>000</w:t>
            </w:r>
          </w:p>
          <w:p w14:paraId="2F3C94B2" w14:textId="77777777" w:rsidR="00595449" w:rsidRPr="00CB4F3B" w:rsidRDefault="00595449" w:rsidP="0081747E">
            <w:pPr>
              <w:widowControl w:val="0"/>
              <w:spacing w:after="200"/>
              <w:contextualSpacing/>
              <w:jc w:val="right"/>
              <w:rPr>
                <w:rFonts w:ascii="Arial" w:hAnsi="Arial" w:cs="Arial"/>
                <w:sz w:val="18"/>
                <w:szCs w:val="18"/>
                <w:lang w:val="en-GB"/>
              </w:rPr>
            </w:pPr>
            <w:r w:rsidRPr="00CB4F3B">
              <w:rPr>
                <w:rFonts w:ascii="Arial" w:hAnsi="Arial" w:cs="Arial"/>
                <w:sz w:val="18"/>
                <w:szCs w:val="18"/>
                <w:lang w:val="en-GB"/>
              </w:rPr>
              <w:t>61.8%</w:t>
            </w:r>
          </w:p>
        </w:tc>
        <w:tc>
          <w:tcPr>
            <w:tcW w:w="896" w:type="dxa"/>
            <w:vAlign w:val="center"/>
          </w:tcPr>
          <w:p w14:paraId="4221372C" w14:textId="47E7CB30" w:rsidR="00595449" w:rsidRPr="00CB4F3B" w:rsidRDefault="00595449" w:rsidP="0081747E">
            <w:pPr>
              <w:widowControl w:val="0"/>
              <w:spacing w:after="200"/>
              <w:contextualSpacing/>
              <w:jc w:val="right"/>
              <w:rPr>
                <w:rFonts w:ascii="Arial" w:hAnsi="Arial" w:cs="Arial"/>
                <w:sz w:val="18"/>
                <w:szCs w:val="18"/>
                <w:lang w:val="en-GB"/>
              </w:rPr>
            </w:pPr>
            <w:r w:rsidRPr="00CB4F3B">
              <w:rPr>
                <w:rFonts w:ascii="Arial" w:hAnsi="Arial" w:cs="Arial"/>
                <w:sz w:val="18"/>
                <w:szCs w:val="18"/>
                <w:lang w:val="en-GB"/>
              </w:rPr>
              <w:t>79</w:t>
            </w:r>
            <w:r w:rsidR="00976A43" w:rsidRPr="00CB4F3B">
              <w:rPr>
                <w:rFonts w:ascii="Arial" w:hAnsi="Arial" w:cs="Arial"/>
                <w:sz w:val="18"/>
                <w:szCs w:val="18"/>
                <w:lang w:val="en-GB"/>
              </w:rPr>
              <w:t>,</w:t>
            </w:r>
            <w:r w:rsidRPr="00CB4F3B">
              <w:rPr>
                <w:rFonts w:ascii="Arial" w:hAnsi="Arial" w:cs="Arial"/>
                <w:sz w:val="18"/>
                <w:szCs w:val="18"/>
                <w:lang w:val="en-GB"/>
              </w:rPr>
              <w:t>700</w:t>
            </w:r>
          </w:p>
          <w:p w14:paraId="0F4E69E8" w14:textId="77777777" w:rsidR="00595449" w:rsidRPr="00CB4F3B" w:rsidRDefault="00595449" w:rsidP="0081747E">
            <w:pPr>
              <w:widowControl w:val="0"/>
              <w:spacing w:after="200"/>
              <w:contextualSpacing/>
              <w:jc w:val="right"/>
              <w:rPr>
                <w:rFonts w:ascii="Arial" w:hAnsi="Arial" w:cs="Arial"/>
                <w:sz w:val="18"/>
                <w:szCs w:val="18"/>
                <w:lang w:val="en-GB"/>
              </w:rPr>
            </w:pPr>
            <w:r w:rsidRPr="00CB4F3B">
              <w:rPr>
                <w:rFonts w:ascii="Arial" w:hAnsi="Arial" w:cs="Arial"/>
                <w:sz w:val="18"/>
                <w:szCs w:val="18"/>
                <w:lang w:val="en-GB"/>
              </w:rPr>
              <w:t>68%</w:t>
            </w:r>
          </w:p>
        </w:tc>
      </w:tr>
      <w:tr w:rsidR="00595449" w:rsidRPr="00CB4F3B" w14:paraId="00722662" w14:textId="77777777" w:rsidTr="0002430A">
        <w:trPr>
          <w:jc w:val="center"/>
        </w:trPr>
        <w:tc>
          <w:tcPr>
            <w:tcW w:w="1980" w:type="dxa"/>
            <w:vAlign w:val="center"/>
          </w:tcPr>
          <w:p w14:paraId="4472A3CE" w14:textId="6E897E92" w:rsidR="00595449" w:rsidRPr="00CB4F3B" w:rsidRDefault="00595449" w:rsidP="0081747E">
            <w:pPr>
              <w:widowControl w:val="0"/>
              <w:spacing w:after="200"/>
              <w:contextualSpacing/>
              <w:rPr>
                <w:rFonts w:ascii="Arial" w:hAnsi="Arial" w:cs="Arial"/>
                <w:sz w:val="18"/>
                <w:szCs w:val="18"/>
                <w:lang w:val="en-GB"/>
              </w:rPr>
            </w:pPr>
            <w:r w:rsidRPr="00CB4F3B">
              <w:rPr>
                <w:rFonts w:ascii="Arial" w:hAnsi="Arial" w:cs="Arial"/>
                <w:sz w:val="18"/>
                <w:szCs w:val="18"/>
                <w:lang w:val="en-GB"/>
              </w:rPr>
              <w:t xml:space="preserve">Total </w:t>
            </w:r>
            <w:r w:rsidR="00976A43" w:rsidRPr="00CB4F3B">
              <w:rPr>
                <w:rFonts w:ascii="Arial" w:hAnsi="Arial" w:cs="Arial"/>
                <w:sz w:val="18"/>
                <w:szCs w:val="18"/>
                <w:lang w:val="en-GB"/>
              </w:rPr>
              <w:t>t</w:t>
            </w:r>
            <w:r w:rsidRPr="00CB4F3B">
              <w:rPr>
                <w:rFonts w:ascii="Arial" w:hAnsi="Arial" w:cs="Arial"/>
                <w:sz w:val="18"/>
                <w:szCs w:val="18"/>
                <w:lang w:val="en-GB"/>
              </w:rPr>
              <w:t xml:space="preserve">oys and </w:t>
            </w:r>
            <w:r w:rsidR="00976A43" w:rsidRPr="00CB4F3B">
              <w:rPr>
                <w:rFonts w:ascii="Arial" w:hAnsi="Arial" w:cs="Arial"/>
                <w:sz w:val="18"/>
                <w:szCs w:val="18"/>
                <w:lang w:val="en-GB"/>
              </w:rPr>
              <w:t>g</w:t>
            </w:r>
            <w:r w:rsidRPr="00CB4F3B">
              <w:rPr>
                <w:rFonts w:ascii="Arial" w:hAnsi="Arial" w:cs="Arial"/>
                <w:sz w:val="18"/>
                <w:szCs w:val="18"/>
                <w:lang w:val="en-GB"/>
              </w:rPr>
              <w:t>ames</w:t>
            </w:r>
          </w:p>
        </w:tc>
        <w:tc>
          <w:tcPr>
            <w:tcW w:w="850" w:type="dxa"/>
            <w:vAlign w:val="center"/>
          </w:tcPr>
          <w:p w14:paraId="7D02FBCF" w14:textId="710AF3E3" w:rsidR="00595449" w:rsidRPr="00CB4F3B" w:rsidRDefault="00595449" w:rsidP="0081747E">
            <w:pPr>
              <w:widowControl w:val="0"/>
              <w:spacing w:after="200"/>
              <w:contextualSpacing/>
              <w:jc w:val="right"/>
              <w:rPr>
                <w:rFonts w:ascii="Arial" w:hAnsi="Arial" w:cs="Arial"/>
                <w:sz w:val="18"/>
                <w:szCs w:val="18"/>
                <w:lang w:val="en-GB"/>
              </w:rPr>
            </w:pPr>
            <w:r w:rsidRPr="00CB4F3B">
              <w:rPr>
                <w:rFonts w:ascii="Arial" w:hAnsi="Arial" w:cs="Arial"/>
                <w:sz w:val="18"/>
                <w:szCs w:val="18"/>
                <w:lang w:val="en-GB"/>
              </w:rPr>
              <w:t>36</w:t>
            </w:r>
            <w:r w:rsidR="00976A43" w:rsidRPr="00CB4F3B">
              <w:rPr>
                <w:rFonts w:ascii="Arial" w:hAnsi="Arial" w:cs="Arial"/>
                <w:sz w:val="18"/>
                <w:szCs w:val="18"/>
                <w:lang w:val="en-GB"/>
              </w:rPr>
              <w:t>,</w:t>
            </w:r>
            <w:r w:rsidRPr="00CB4F3B">
              <w:rPr>
                <w:rFonts w:ascii="Arial" w:hAnsi="Arial" w:cs="Arial"/>
                <w:sz w:val="18"/>
                <w:szCs w:val="18"/>
                <w:lang w:val="en-GB"/>
              </w:rPr>
              <w:t>471 100%</w:t>
            </w:r>
          </w:p>
        </w:tc>
        <w:tc>
          <w:tcPr>
            <w:tcW w:w="993" w:type="dxa"/>
            <w:vAlign w:val="center"/>
          </w:tcPr>
          <w:p w14:paraId="76833C91" w14:textId="4C3B42E6" w:rsidR="00595449" w:rsidRPr="00CB4F3B" w:rsidRDefault="00595449" w:rsidP="0081747E">
            <w:pPr>
              <w:widowControl w:val="0"/>
              <w:spacing w:after="200"/>
              <w:contextualSpacing/>
              <w:jc w:val="right"/>
              <w:rPr>
                <w:rFonts w:ascii="Arial" w:hAnsi="Arial" w:cs="Arial"/>
                <w:sz w:val="18"/>
                <w:szCs w:val="18"/>
                <w:lang w:val="en-GB"/>
              </w:rPr>
            </w:pPr>
            <w:r w:rsidRPr="00CB4F3B">
              <w:rPr>
                <w:rFonts w:ascii="Arial" w:hAnsi="Arial" w:cs="Arial"/>
                <w:sz w:val="18"/>
                <w:szCs w:val="18"/>
                <w:lang w:val="en-GB"/>
              </w:rPr>
              <w:t>40</w:t>
            </w:r>
            <w:r w:rsidR="00976A43" w:rsidRPr="00CB4F3B">
              <w:rPr>
                <w:rFonts w:ascii="Arial" w:hAnsi="Arial" w:cs="Arial"/>
                <w:sz w:val="18"/>
                <w:szCs w:val="18"/>
                <w:lang w:val="en-GB"/>
              </w:rPr>
              <w:t>,</w:t>
            </w:r>
            <w:r w:rsidRPr="00CB4F3B">
              <w:rPr>
                <w:rFonts w:ascii="Arial" w:hAnsi="Arial" w:cs="Arial"/>
                <w:sz w:val="18"/>
                <w:szCs w:val="18"/>
                <w:lang w:val="en-GB"/>
              </w:rPr>
              <w:t>795 100%</w:t>
            </w:r>
          </w:p>
        </w:tc>
        <w:tc>
          <w:tcPr>
            <w:tcW w:w="952" w:type="dxa"/>
            <w:vAlign w:val="center"/>
          </w:tcPr>
          <w:p w14:paraId="23B776FF" w14:textId="5CAC8FAB" w:rsidR="00595449" w:rsidRPr="00CB4F3B" w:rsidRDefault="00595449" w:rsidP="0081747E">
            <w:pPr>
              <w:widowControl w:val="0"/>
              <w:spacing w:after="200"/>
              <w:contextualSpacing/>
              <w:jc w:val="right"/>
              <w:rPr>
                <w:rFonts w:ascii="Arial" w:hAnsi="Arial" w:cs="Arial"/>
                <w:sz w:val="18"/>
                <w:szCs w:val="18"/>
                <w:lang w:val="en-GB"/>
              </w:rPr>
            </w:pPr>
            <w:r w:rsidRPr="00CB4F3B">
              <w:rPr>
                <w:rFonts w:ascii="Arial" w:hAnsi="Arial" w:cs="Arial"/>
                <w:sz w:val="18"/>
                <w:szCs w:val="18"/>
                <w:lang w:val="en-GB"/>
              </w:rPr>
              <w:t>47</w:t>
            </w:r>
            <w:r w:rsidR="00976A43" w:rsidRPr="00CB4F3B">
              <w:rPr>
                <w:rFonts w:ascii="Arial" w:hAnsi="Arial" w:cs="Arial"/>
                <w:sz w:val="18"/>
                <w:szCs w:val="18"/>
                <w:lang w:val="en-GB"/>
              </w:rPr>
              <w:t>,</w:t>
            </w:r>
            <w:r w:rsidRPr="00CB4F3B">
              <w:rPr>
                <w:rFonts w:ascii="Arial" w:hAnsi="Arial" w:cs="Arial"/>
                <w:sz w:val="18"/>
                <w:szCs w:val="18"/>
                <w:lang w:val="en-GB"/>
              </w:rPr>
              <w:t>270 100%</w:t>
            </w:r>
          </w:p>
        </w:tc>
        <w:tc>
          <w:tcPr>
            <w:tcW w:w="867" w:type="dxa"/>
            <w:vAlign w:val="center"/>
          </w:tcPr>
          <w:p w14:paraId="505CD2E7" w14:textId="0A25148A" w:rsidR="00595449" w:rsidRPr="00CB4F3B" w:rsidRDefault="00595449" w:rsidP="0081747E">
            <w:pPr>
              <w:widowControl w:val="0"/>
              <w:spacing w:after="200"/>
              <w:contextualSpacing/>
              <w:jc w:val="right"/>
              <w:rPr>
                <w:rFonts w:ascii="Arial" w:hAnsi="Arial" w:cs="Arial"/>
                <w:sz w:val="18"/>
                <w:szCs w:val="18"/>
                <w:lang w:val="en-GB"/>
              </w:rPr>
            </w:pPr>
            <w:r w:rsidRPr="00CB4F3B">
              <w:rPr>
                <w:rFonts w:ascii="Arial" w:hAnsi="Arial" w:cs="Arial"/>
                <w:sz w:val="18"/>
                <w:szCs w:val="18"/>
                <w:lang w:val="en-GB"/>
              </w:rPr>
              <w:t>56</w:t>
            </w:r>
            <w:r w:rsidR="00976A43" w:rsidRPr="00CB4F3B">
              <w:rPr>
                <w:rFonts w:ascii="Arial" w:hAnsi="Arial" w:cs="Arial"/>
                <w:sz w:val="18"/>
                <w:szCs w:val="18"/>
                <w:lang w:val="en-GB"/>
              </w:rPr>
              <w:t>,</w:t>
            </w:r>
            <w:r w:rsidRPr="00CB4F3B">
              <w:rPr>
                <w:rFonts w:ascii="Arial" w:hAnsi="Arial" w:cs="Arial"/>
                <w:sz w:val="18"/>
                <w:szCs w:val="18"/>
                <w:lang w:val="en-GB"/>
              </w:rPr>
              <w:t>125 100%</w:t>
            </w:r>
          </w:p>
        </w:tc>
        <w:tc>
          <w:tcPr>
            <w:tcW w:w="993" w:type="dxa"/>
            <w:vAlign w:val="center"/>
          </w:tcPr>
          <w:p w14:paraId="1413BF96" w14:textId="2F400FB0" w:rsidR="00595449" w:rsidRPr="00CB4F3B" w:rsidRDefault="00595449" w:rsidP="0081747E">
            <w:pPr>
              <w:widowControl w:val="0"/>
              <w:spacing w:after="200"/>
              <w:contextualSpacing/>
              <w:jc w:val="right"/>
              <w:rPr>
                <w:rFonts w:ascii="Arial" w:hAnsi="Arial" w:cs="Arial"/>
                <w:sz w:val="18"/>
                <w:szCs w:val="18"/>
                <w:lang w:val="en-GB"/>
              </w:rPr>
            </w:pPr>
            <w:r w:rsidRPr="00CB4F3B">
              <w:rPr>
                <w:rFonts w:ascii="Arial" w:hAnsi="Arial" w:cs="Arial"/>
                <w:sz w:val="18"/>
                <w:szCs w:val="18"/>
                <w:lang w:val="en-GB"/>
              </w:rPr>
              <w:t>64</w:t>
            </w:r>
            <w:r w:rsidR="00976A43" w:rsidRPr="00CB4F3B">
              <w:rPr>
                <w:rFonts w:ascii="Arial" w:hAnsi="Arial" w:cs="Arial"/>
                <w:sz w:val="18"/>
                <w:szCs w:val="18"/>
                <w:lang w:val="en-GB"/>
              </w:rPr>
              <w:t>,</w:t>
            </w:r>
            <w:r w:rsidRPr="00CB4F3B">
              <w:rPr>
                <w:rFonts w:ascii="Arial" w:hAnsi="Arial" w:cs="Arial"/>
                <w:sz w:val="18"/>
                <w:szCs w:val="18"/>
                <w:lang w:val="en-GB"/>
              </w:rPr>
              <w:t>820 100%</w:t>
            </w:r>
          </w:p>
        </w:tc>
        <w:tc>
          <w:tcPr>
            <w:tcW w:w="923" w:type="dxa"/>
            <w:vAlign w:val="center"/>
          </w:tcPr>
          <w:p w14:paraId="54A9A4E6" w14:textId="5E4AF677" w:rsidR="00595449" w:rsidRPr="00CB4F3B" w:rsidRDefault="00595449" w:rsidP="0081747E">
            <w:pPr>
              <w:widowControl w:val="0"/>
              <w:spacing w:after="200"/>
              <w:contextualSpacing/>
              <w:jc w:val="right"/>
              <w:rPr>
                <w:rFonts w:ascii="Arial" w:hAnsi="Arial" w:cs="Arial"/>
                <w:sz w:val="18"/>
                <w:szCs w:val="18"/>
                <w:lang w:val="en-GB"/>
              </w:rPr>
            </w:pPr>
            <w:r w:rsidRPr="00CB4F3B">
              <w:rPr>
                <w:rFonts w:ascii="Arial" w:hAnsi="Arial" w:cs="Arial"/>
                <w:sz w:val="18"/>
                <w:szCs w:val="18"/>
                <w:lang w:val="en-GB"/>
              </w:rPr>
              <w:t>77</w:t>
            </w:r>
            <w:r w:rsidR="00976A43" w:rsidRPr="00CB4F3B">
              <w:rPr>
                <w:rFonts w:ascii="Arial" w:hAnsi="Arial" w:cs="Arial"/>
                <w:sz w:val="18"/>
                <w:szCs w:val="18"/>
                <w:lang w:val="en-GB"/>
              </w:rPr>
              <w:t>,</w:t>
            </w:r>
            <w:r w:rsidRPr="00CB4F3B">
              <w:rPr>
                <w:rFonts w:ascii="Arial" w:hAnsi="Arial" w:cs="Arial"/>
                <w:sz w:val="18"/>
                <w:szCs w:val="18"/>
                <w:lang w:val="en-GB"/>
              </w:rPr>
              <w:t>000 100%</w:t>
            </w:r>
          </w:p>
        </w:tc>
        <w:tc>
          <w:tcPr>
            <w:tcW w:w="892" w:type="dxa"/>
          </w:tcPr>
          <w:p w14:paraId="0B27E95E" w14:textId="71909034" w:rsidR="00595449" w:rsidRPr="00CB4F3B" w:rsidRDefault="00595449" w:rsidP="0081747E">
            <w:pPr>
              <w:widowControl w:val="0"/>
              <w:spacing w:after="200"/>
              <w:contextualSpacing/>
              <w:jc w:val="right"/>
              <w:rPr>
                <w:rFonts w:ascii="Arial" w:hAnsi="Arial" w:cs="Arial"/>
                <w:sz w:val="18"/>
                <w:szCs w:val="18"/>
                <w:lang w:val="en-GB"/>
              </w:rPr>
            </w:pPr>
            <w:r w:rsidRPr="00CB4F3B">
              <w:rPr>
                <w:rFonts w:ascii="Arial" w:hAnsi="Arial" w:cs="Arial"/>
                <w:sz w:val="18"/>
                <w:szCs w:val="18"/>
                <w:lang w:val="en-GB"/>
              </w:rPr>
              <w:t>93</w:t>
            </w:r>
            <w:r w:rsidR="00976A43" w:rsidRPr="00CB4F3B">
              <w:rPr>
                <w:rFonts w:ascii="Arial" w:hAnsi="Arial" w:cs="Arial"/>
                <w:sz w:val="18"/>
                <w:szCs w:val="18"/>
                <w:lang w:val="en-GB"/>
              </w:rPr>
              <w:t>,</w:t>
            </w:r>
            <w:r w:rsidRPr="00CB4F3B">
              <w:rPr>
                <w:rFonts w:ascii="Arial" w:hAnsi="Arial" w:cs="Arial"/>
                <w:sz w:val="18"/>
                <w:szCs w:val="18"/>
                <w:lang w:val="en-GB"/>
              </w:rPr>
              <w:t>760 100%</w:t>
            </w:r>
          </w:p>
        </w:tc>
        <w:tc>
          <w:tcPr>
            <w:tcW w:w="896" w:type="dxa"/>
          </w:tcPr>
          <w:p w14:paraId="15307E83" w14:textId="5A525354" w:rsidR="00595449" w:rsidRPr="00CB4F3B" w:rsidRDefault="00595449" w:rsidP="0081747E">
            <w:pPr>
              <w:widowControl w:val="0"/>
              <w:spacing w:after="200"/>
              <w:contextualSpacing/>
              <w:jc w:val="right"/>
              <w:rPr>
                <w:rFonts w:ascii="Arial" w:hAnsi="Arial" w:cs="Arial"/>
                <w:sz w:val="18"/>
                <w:szCs w:val="18"/>
                <w:lang w:val="en-GB"/>
              </w:rPr>
            </w:pPr>
            <w:r w:rsidRPr="00CB4F3B">
              <w:rPr>
                <w:rFonts w:ascii="Arial" w:hAnsi="Arial" w:cs="Arial"/>
                <w:sz w:val="18"/>
                <w:szCs w:val="18"/>
                <w:lang w:val="en-GB"/>
              </w:rPr>
              <w:t>117</w:t>
            </w:r>
            <w:r w:rsidR="00976A43" w:rsidRPr="00CB4F3B">
              <w:rPr>
                <w:rFonts w:ascii="Arial" w:hAnsi="Arial" w:cs="Arial"/>
                <w:sz w:val="18"/>
                <w:szCs w:val="18"/>
                <w:lang w:val="en-GB"/>
              </w:rPr>
              <w:t>,</w:t>
            </w:r>
            <w:r w:rsidRPr="00CB4F3B">
              <w:rPr>
                <w:rFonts w:ascii="Arial" w:hAnsi="Arial" w:cs="Arial"/>
                <w:sz w:val="18"/>
                <w:szCs w:val="18"/>
                <w:lang w:val="en-GB"/>
              </w:rPr>
              <w:t>110 100%</w:t>
            </w:r>
          </w:p>
        </w:tc>
      </w:tr>
    </w:tbl>
    <w:p w14:paraId="36373952" w14:textId="77777777" w:rsidR="00C022B5" w:rsidRPr="00AC768E" w:rsidRDefault="00C022B5" w:rsidP="0081747E">
      <w:pPr>
        <w:widowControl w:val="0"/>
        <w:rPr>
          <w:rFonts w:ascii="Arial" w:hAnsi="Arial" w:cs="Arial"/>
          <w:sz w:val="13"/>
          <w:szCs w:val="17"/>
          <w:lang w:val="en-GB"/>
        </w:rPr>
      </w:pPr>
    </w:p>
    <w:p w14:paraId="67B0B3C4" w14:textId="539DCBC7" w:rsidR="00F63CD3" w:rsidRPr="00CB4F3B" w:rsidRDefault="00F63CD3" w:rsidP="0081747E">
      <w:pPr>
        <w:widowControl w:val="0"/>
        <w:rPr>
          <w:rFonts w:ascii="Arial" w:hAnsi="Arial" w:cs="Arial"/>
          <w:sz w:val="17"/>
          <w:szCs w:val="17"/>
          <w:lang w:val="en-GB"/>
        </w:rPr>
      </w:pPr>
      <w:r w:rsidRPr="00CB4F3B">
        <w:rPr>
          <w:rFonts w:ascii="Arial" w:hAnsi="Arial" w:cs="Arial"/>
          <w:sz w:val="17"/>
          <w:szCs w:val="17"/>
          <w:lang w:val="en-GB"/>
        </w:rPr>
        <w:t>Note: (P) = projected</w:t>
      </w:r>
    </w:p>
    <w:p w14:paraId="3CADBDCD" w14:textId="4F424BAF" w:rsidR="003A01AE" w:rsidRPr="00CB4F3B" w:rsidRDefault="003A01AE" w:rsidP="0081747E">
      <w:pPr>
        <w:pStyle w:val="BodyTextMain"/>
        <w:widowControl w:val="0"/>
        <w:rPr>
          <w:rFonts w:ascii="Arial" w:hAnsi="Arial" w:cs="Arial"/>
          <w:sz w:val="17"/>
          <w:szCs w:val="17"/>
          <w:lang w:val="en-GB"/>
        </w:rPr>
      </w:pPr>
      <w:r w:rsidRPr="00CB4F3B">
        <w:rPr>
          <w:rFonts w:ascii="Arial" w:hAnsi="Arial" w:cs="Arial"/>
          <w:sz w:val="17"/>
          <w:szCs w:val="17"/>
          <w:lang w:val="en-GB"/>
        </w:rPr>
        <w:t xml:space="preserve">Source: “Toys and Games in India,” Euromonitor Passport, </w:t>
      </w:r>
      <w:r w:rsidR="00B60CD1">
        <w:rPr>
          <w:rFonts w:ascii="Arial" w:hAnsi="Arial" w:cs="Arial"/>
          <w:sz w:val="17"/>
          <w:szCs w:val="17"/>
          <w:lang w:val="en-GB"/>
        </w:rPr>
        <w:t xml:space="preserve">June 2017, </w:t>
      </w:r>
      <w:r w:rsidRPr="00CB4F3B">
        <w:rPr>
          <w:rFonts w:ascii="Arial" w:hAnsi="Arial" w:cs="Arial"/>
          <w:sz w:val="17"/>
          <w:szCs w:val="17"/>
          <w:lang w:val="en-GB"/>
        </w:rPr>
        <w:t>accessed July 15, 2017</w:t>
      </w:r>
      <w:r w:rsidR="00B60CD1" w:rsidRPr="004126F5">
        <w:rPr>
          <w:rFonts w:ascii="Arial" w:hAnsi="Arial" w:cs="Arial"/>
          <w:sz w:val="17"/>
          <w:szCs w:val="17"/>
          <w:lang w:val="en-GB"/>
        </w:rPr>
        <w:t>, www.euromonitor.com/toys-and-games-in-india/report</w:t>
      </w:r>
      <w:r w:rsidRPr="00CB4F3B">
        <w:rPr>
          <w:rFonts w:ascii="Arial" w:hAnsi="Arial" w:cs="Arial"/>
          <w:sz w:val="17"/>
          <w:szCs w:val="17"/>
          <w:lang w:val="en-GB"/>
        </w:rPr>
        <w:t>.</w:t>
      </w:r>
    </w:p>
    <w:p w14:paraId="65D43FE3" w14:textId="679F69A2" w:rsidR="00595449" w:rsidRPr="00CB4F3B" w:rsidRDefault="00595449" w:rsidP="0081747E">
      <w:pPr>
        <w:pStyle w:val="ExhibitHeading"/>
        <w:widowControl w:val="0"/>
        <w:rPr>
          <w:lang w:val="en-GB"/>
        </w:rPr>
      </w:pPr>
      <w:r w:rsidRPr="00CB4F3B">
        <w:rPr>
          <w:lang w:val="en-GB"/>
        </w:rPr>
        <w:lastRenderedPageBreak/>
        <w:t xml:space="preserve">EXHIBIT 9: GROWTH RATE </w:t>
      </w:r>
      <w:r w:rsidR="005B1ABC">
        <w:rPr>
          <w:lang w:val="en-GB"/>
        </w:rPr>
        <w:t xml:space="preserve">(in %) </w:t>
      </w:r>
      <w:r w:rsidRPr="00CB4F3B">
        <w:rPr>
          <w:lang w:val="en-GB"/>
        </w:rPr>
        <w:t>OF DIFFERENT CATEGORIES OF TOYS IN INDIA</w:t>
      </w:r>
      <w:r w:rsidR="00B60CD1">
        <w:rPr>
          <w:lang w:val="en-GB"/>
        </w:rPr>
        <w:t>, 2013–2020</w:t>
      </w:r>
    </w:p>
    <w:p w14:paraId="1AA3C341" w14:textId="30582C0C" w:rsidR="00595449" w:rsidRPr="00CB4F3B" w:rsidRDefault="00595449" w:rsidP="0081747E">
      <w:pPr>
        <w:widowControl w:val="0"/>
        <w:jc w:val="center"/>
        <w:rPr>
          <w:rFonts w:ascii="Arial" w:hAnsi="Arial" w:cs="Arial"/>
          <w:lang w:val="en-GB"/>
        </w:rPr>
      </w:pPr>
    </w:p>
    <w:tbl>
      <w:tblPr>
        <w:tblStyle w:val="TableGrid"/>
        <w:tblW w:w="9336" w:type="dxa"/>
        <w:jc w:val="center"/>
        <w:tblLook w:val="04A0" w:firstRow="1" w:lastRow="0" w:firstColumn="1" w:lastColumn="0" w:noHBand="0" w:noVBand="1"/>
      </w:tblPr>
      <w:tblGrid>
        <w:gridCol w:w="1633"/>
        <w:gridCol w:w="907"/>
        <w:gridCol w:w="927"/>
        <w:gridCol w:w="920"/>
        <w:gridCol w:w="919"/>
        <w:gridCol w:w="1032"/>
        <w:gridCol w:w="1058"/>
        <w:gridCol w:w="977"/>
        <w:gridCol w:w="963"/>
      </w:tblGrid>
      <w:tr w:rsidR="00F979F6" w:rsidRPr="00CB4F3B" w14:paraId="3DD1A7FD" w14:textId="77777777" w:rsidTr="00AC768E">
        <w:trPr>
          <w:jc w:val="center"/>
        </w:trPr>
        <w:tc>
          <w:tcPr>
            <w:tcW w:w="1633" w:type="dxa"/>
          </w:tcPr>
          <w:p w14:paraId="17865BA6" w14:textId="77777777" w:rsidR="00595449" w:rsidRPr="00CB4F3B" w:rsidRDefault="00595449" w:rsidP="0081747E">
            <w:pPr>
              <w:widowControl w:val="0"/>
              <w:spacing w:after="200"/>
              <w:contextualSpacing/>
              <w:jc w:val="center"/>
              <w:rPr>
                <w:rFonts w:ascii="Arial" w:hAnsi="Arial" w:cs="Arial"/>
                <w:b/>
                <w:sz w:val="18"/>
                <w:szCs w:val="18"/>
                <w:lang w:val="en-GB"/>
              </w:rPr>
            </w:pPr>
          </w:p>
        </w:tc>
        <w:tc>
          <w:tcPr>
            <w:tcW w:w="907" w:type="dxa"/>
            <w:tcMar>
              <w:right w:w="170" w:type="dxa"/>
            </w:tcMar>
          </w:tcPr>
          <w:p w14:paraId="1876AA47" w14:textId="291E15F8" w:rsidR="00595449" w:rsidRPr="00CB4F3B" w:rsidRDefault="00595449" w:rsidP="0081747E">
            <w:pPr>
              <w:widowControl w:val="0"/>
              <w:spacing w:after="200"/>
              <w:contextualSpacing/>
              <w:jc w:val="center"/>
              <w:rPr>
                <w:rFonts w:ascii="Arial" w:hAnsi="Arial" w:cs="Arial"/>
                <w:b/>
                <w:sz w:val="18"/>
                <w:szCs w:val="18"/>
                <w:lang w:val="en-GB"/>
              </w:rPr>
            </w:pPr>
            <w:r w:rsidRPr="00CB4F3B">
              <w:rPr>
                <w:rFonts w:ascii="Arial" w:hAnsi="Arial" w:cs="Arial"/>
                <w:b/>
                <w:sz w:val="18"/>
                <w:szCs w:val="18"/>
                <w:lang w:val="en-GB"/>
              </w:rPr>
              <w:t>2013</w:t>
            </w:r>
          </w:p>
        </w:tc>
        <w:tc>
          <w:tcPr>
            <w:tcW w:w="927" w:type="dxa"/>
            <w:tcMar>
              <w:right w:w="170" w:type="dxa"/>
            </w:tcMar>
          </w:tcPr>
          <w:p w14:paraId="1B6F1766" w14:textId="1083BE09" w:rsidR="00595449" w:rsidRPr="00CB4F3B" w:rsidRDefault="00595449" w:rsidP="0081747E">
            <w:pPr>
              <w:widowControl w:val="0"/>
              <w:spacing w:after="200"/>
              <w:contextualSpacing/>
              <w:jc w:val="center"/>
              <w:rPr>
                <w:rFonts w:ascii="Arial" w:hAnsi="Arial" w:cs="Arial"/>
                <w:b/>
                <w:sz w:val="18"/>
                <w:szCs w:val="18"/>
                <w:lang w:val="en-GB"/>
              </w:rPr>
            </w:pPr>
            <w:r w:rsidRPr="00CB4F3B">
              <w:rPr>
                <w:rFonts w:ascii="Arial" w:hAnsi="Arial" w:cs="Arial"/>
                <w:b/>
                <w:sz w:val="18"/>
                <w:szCs w:val="18"/>
                <w:lang w:val="en-GB"/>
              </w:rPr>
              <w:t>2014</w:t>
            </w:r>
          </w:p>
        </w:tc>
        <w:tc>
          <w:tcPr>
            <w:tcW w:w="920" w:type="dxa"/>
            <w:tcMar>
              <w:right w:w="170" w:type="dxa"/>
            </w:tcMar>
          </w:tcPr>
          <w:p w14:paraId="0FE160FA" w14:textId="60BEBDC9" w:rsidR="00595449" w:rsidRPr="00CB4F3B" w:rsidRDefault="00595449" w:rsidP="0081747E">
            <w:pPr>
              <w:widowControl w:val="0"/>
              <w:spacing w:after="200"/>
              <w:contextualSpacing/>
              <w:jc w:val="center"/>
              <w:rPr>
                <w:rFonts w:ascii="Arial" w:hAnsi="Arial" w:cs="Arial"/>
                <w:b/>
                <w:sz w:val="18"/>
                <w:szCs w:val="18"/>
                <w:lang w:val="en-GB"/>
              </w:rPr>
            </w:pPr>
            <w:r w:rsidRPr="00CB4F3B">
              <w:rPr>
                <w:rFonts w:ascii="Arial" w:hAnsi="Arial" w:cs="Arial"/>
                <w:b/>
                <w:sz w:val="18"/>
                <w:szCs w:val="18"/>
                <w:lang w:val="en-GB"/>
              </w:rPr>
              <w:t>2015</w:t>
            </w:r>
          </w:p>
        </w:tc>
        <w:tc>
          <w:tcPr>
            <w:tcW w:w="919" w:type="dxa"/>
            <w:tcMar>
              <w:right w:w="170" w:type="dxa"/>
            </w:tcMar>
          </w:tcPr>
          <w:p w14:paraId="5451FDC8" w14:textId="312E855B" w:rsidR="00595449" w:rsidRPr="00CB4F3B" w:rsidRDefault="00595449" w:rsidP="0081747E">
            <w:pPr>
              <w:widowControl w:val="0"/>
              <w:spacing w:after="200"/>
              <w:contextualSpacing/>
              <w:jc w:val="center"/>
              <w:rPr>
                <w:rFonts w:ascii="Arial" w:hAnsi="Arial" w:cs="Arial"/>
                <w:b/>
                <w:sz w:val="18"/>
                <w:szCs w:val="18"/>
                <w:lang w:val="en-GB"/>
              </w:rPr>
            </w:pPr>
            <w:r w:rsidRPr="00CB4F3B">
              <w:rPr>
                <w:rFonts w:ascii="Arial" w:hAnsi="Arial" w:cs="Arial"/>
                <w:b/>
                <w:sz w:val="18"/>
                <w:szCs w:val="18"/>
                <w:lang w:val="en-GB"/>
              </w:rPr>
              <w:t>2016</w:t>
            </w:r>
          </w:p>
        </w:tc>
        <w:tc>
          <w:tcPr>
            <w:tcW w:w="1032" w:type="dxa"/>
            <w:tcMar>
              <w:right w:w="170" w:type="dxa"/>
            </w:tcMar>
          </w:tcPr>
          <w:p w14:paraId="6881CCE0" w14:textId="2A635BAC" w:rsidR="00595449" w:rsidRPr="00CB4F3B" w:rsidRDefault="00595449" w:rsidP="0081747E">
            <w:pPr>
              <w:widowControl w:val="0"/>
              <w:spacing w:after="200"/>
              <w:contextualSpacing/>
              <w:jc w:val="center"/>
              <w:rPr>
                <w:rFonts w:ascii="Arial" w:hAnsi="Arial" w:cs="Arial"/>
                <w:b/>
                <w:sz w:val="18"/>
                <w:szCs w:val="18"/>
                <w:lang w:val="en-GB"/>
              </w:rPr>
            </w:pPr>
            <w:r w:rsidRPr="00CB4F3B">
              <w:rPr>
                <w:rFonts w:ascii="Arial" w:hAnsi="Arial" w:cs="Arial"/>
                <w:b/>
                <w:sz w:val="18"/>
                <w:szCs w:val="18"/>
                <w:lang w:val="en-GB"/>
              </w:rPr>
              <w:t>2017 (P)</w:t>
            </w:r>
          </w:p>
        </w:tc>
        <w:tc>
          <w:tcPr>
            <w:tcW w:w="1058" w:type="dxa"/>
            <w:tcMar>
              <w:right w:w="170" w:type="dxa"/>
            </w:tcMar>
          </w:tcPr>
          <w:p w14:paraId="569DAACE" w14:textId="59F86C66" w:rsidR="00595449" w:rsidRPr="00CB4F3B" w:rsidRDefault="00595449" w:rsidP="0081747E">
            <w:pPr>
              <w:widowControl w:val="0"/>
              <w:spacing w:after="200"/>
              <w:contextualSpacing/>
              <w:jc w:val="center"/>
              <w:rPr>
                <w:rFonts w:ascii="Arial" w:hAnsi="Arial" w:cs="Arial"/>
                <w:b/>
                <w:sz w:val="18"/>
                <w:szCs w:val="18"/>
                <w:lang w:val="en-GB"/>
              </w:rPr>
            </w:pPr>
            <w:r w:rsidRPr="00CB4F3B">
              <w:rPr>
                <w:rFonts w:ascii="Arial" w:hAnsi="Arial" w:cs="Arial"/>
                <w:b/>
                <w:sz w:val="18"/>
                <w:szCs w:val="18"/>
                <w:lang w:val="en-GB"/>
              </w:rPr>
              <w:t>2018 (P)</w:t>
            </w:r>
          </w:p>
        </w:tc>
        <w:tc>
          <w:tcPr>
            <w:tcW w:w="977" w:type="dxa"/>
          </w:tcPr>
          <w:p w14:paraId="79AE7D38" w14:textId="5277D377" w:rsidR="00595449" w:rsidRPr="00CB4F3B" w:rsidRDefault="00595449" w:rsidP="0081747E">
            <w:pPr>
              <w:widowControl w:val="0"/>
              <w:spacing w:after="200"/>
              <w:contextualSpacing/>
              <w:jc w:val="center"/>
              <w:rPr>
                <w:rFonts w:ascii="Arial" w:hAnsi="Arial" w:cs="Arial"/>
                <w:b/>
                <w:sz w:val="18"/>
                <w:szCs w:val="18"/>
                <w:lang w:val="en-GB"/>
              </w:rPr>
            </w:pPr>
            <w:r w:rsidRPr="00CB4F3B">
              <w:rPr>
                <w:rFonts w:ascii="Arial" w:hAnsi="Arial" w:cs="Arial"/>
                <w:b/>
                <w:sz w:val="18"/>
                <w:szCs w:val="18"/>
                <w:lang w:val="en-GB"/>
              </w:rPr>
              <w:t>2019 (P)</w:t>
            </w:r>
          </w:p>
        </w:tc>
        <w:tc>
          <w:tcPr>
            <w:tcW w:w="963" w:type="dxa"/>
          </w:tcPr>
          <w:p w14:paraId="3606CC20" w14:textId="6D042121" w:rsidR="00595449" w:rsidRPr="00CB4F3B" w:rsidRDefault="00595449" w:rsidP="0081747E">
            <w:pPr>
              <w:widowControl w:val="0"/>
              <w:spacing w:after="200"/>
              <w:contextualSpacing/>
              <w:jc w:val="center"/>
              <w:rPr>
                <w:rFonts w:ascii="Arial" w:hAnsi="Arial" w:cs="Arial"/>
                <w:b/>
                <w:sz w:val="18"/>
                <w:szCs w:val="18"/>
                <w:lang w:val="en-GB"/>
              </w:rPr>
            </w:pPr>
            <w:r w:rsidRPr="00CB4F3B">
              <w:rPr>
                <w:rFonts w:ascii="Arial" w:hAnsi="Arial" w:cs="Arial"/>
                <w:b/>
                <w:sz w:val="18"/>
                <w:szCs w:val="18"/>
                <w:lang w:val="en-GB"/>
              </w:rPr>
              <w:t>2020 (P)</w:t>
            </w:r>
          </w:p>
        </w:tc>
      </w:tr>
      <w:tr w:rsidR="00F979F6" w:rsidRPr="00CB4F3B" w14:paraId="3537DBDB" w14:textId="77777777" w:rsidTr="00AC768E">
        <w:trPr>
          <w:jc w:val="center"/>
        </w:trPr>
        <w:tc>
          <w:tcPr>
            <w:tcW w:w="1633" w:type="dxa"/>
            <w:vAlign w:val="center"/>
          </w:tcPr>
          <w:p w14:paraId="2F266FE0" w14:textId="73BAD531" w:rsidR="00595449" w:rsidRPr="00CB4F3B" w:rsidRDefault="00595449" w:rsidP="0081747E">
            <w:pPr>
              <w:widowControl w:val="0"/>
              <w:spacing w:after="200"/>
              <w:contextualSpacing/>
              <w:rPr>
                <w:rFonts w:ascii="Arial" w:hAnsi="Arial" w:cs="Arial"/>
                <w:sz w:val="18"/>
                <w:szCs w:val="18"/>
                <w:lang w:val="en-GB"/>
              </w:rPr>
            </w:pPr>
            <w:r w:rsidRPr="00CB4F3B">
              <w:rPr>
                <w:rFonts w:ascii="Arial" w:hAnsi="Arial" w:cs="Arial"/>
                <w:sz w:val="18"/>
                <w:szCs w:val="18"/>
                <w:lang w:val="en-GB"/>
              </w:rPr>
              <w:t xml:space="preserve">Traditional </w:t>
            </w:r>
            <w:r w:rsidR="00EC4A78" w:rsidRPr="00CB4F3B">
              <w:rPr>
                <w:rFonts w:ascii="Arial" w:hAnsi="Arial" w:cs="Arial"/>
                <w:sz w:val="18"/>
                <w:szCs w:val="18"/>
                <w:lang w:val="en-GB"/>
              </w:rPr>
              <w:t>t</w:t>
            </w:r>
            <w:r w:rsidRPr="00CB4F3B">
              <w:rPr>
                <w:rFonts w:ascii="Arial" w:hAnsi="Arial" w:cs="Arial"/>
                <w:sz w:val="18"/>
                <w:szCs w:val="18"/>
                <w:lang w:val="en-GB"/>
              </w:rPr>
              <w:t xml:space="preserve">oys and </w:t>
            </w:r>
            <w:r w:rsidR="00EC4A78" w:rsidRPr="00CB4F3B">
              <w:rPr>
                <w:rFonts w:ascii="Arial" w:hAnsi="Arial" w:cs="Arial"/>
                <w:sz w:val="18"/>
                <w:szCs w:val="18"/>
                <w:lang w:val="en-GB"/>
              </w:rPr>
              <w:t>g</w:t>
            </w:r>
            <w:r w:rsidRPr="00CB4F3B">
              <w:rPr>
                <w:rFonts w:ascii="Arial" w:hAnsi="Arial" w:cs="Arial"/>
                <w:sz w:val="18"/>
                <w:szCs w:val="18"/>
                <w:lang w:val="en-GB"/>
              </w:rPr>
              <w:t xml:space="preserve">ames </w:t>
            </w:r>
          </w:p>
        </w:tc>
        <w:tc>
          <w:tcPr>
            <w:tcW w:w="907" w:type="dxa"/>
            <w:tcMar>
              <w:left w:w="85" w:type="dxa"/>
              <w:right w:w="255" w:type="dxa"/>
            </w:tcMar>
            <w:vAlign w:val="center"/>
          </w:tcPr>
          <w:p w14:paraId="709EAB7B" w14:textId="4159F8D4" w:rsidR="00595449" w:rsidRPr="00CB4F3B" w:rsidRDefault="00595449" w:rsidP="0081747E">
            <w:pPr>
              <w:widowControl w:val="0"/>
              <w:spacing w:after="200"/>
              <w:contextualSpacing/>
              <w:jc w:val="center"/>
              <w:rPr>
                <w:rFonts w:ascii="Arial" w:hAnsi="Arial" w:cs="Arial"/>
                <w:sz w:val="18"/>
                <w:szCs w:val="18"/>
                <w:lang w:val="en-GB"/>
              </w:rPr>
            </w:pPr>
            <w:r w:rsidRPr="00CB4F3B">
              <w:rPr>
                <w:rFonts w:ascii="Arial" w:hAnsi="Arial" w:cs="Arial"/>
                <w:sz w:val="18"/>
                <w:szCs w:val="18"/>
                <w:lang w:val="en-GB"/>
              </w:rPr>
              <w:t>15%</w:t>
            </w:r>
          </w:p>
        </w:tc>
        <w:tc>
          <w:tcPr>
            <w:tcW w:w="927" w:type="dxa"/>
            <w:tcMar>
              <w:left w:w="85" w:type="dxa"/>
              <w:right w:w="255" w:type="dxa"/>
            </w:tcMar>
            <w:vAlign w:val="center"/>
          </w:tcPr>
          <w:p w14:paraId="122575FD" w14:textId="77777777" w:rsidR="00595449" w:rsidRPr="00CB4F3B" w:rsidRDefault="00595449" w:rsidP="00757EC9">
            <w:pPr>
              <w:widowControl w:val="0"/>
              <w:tabs>
                <w:tab w:val="decimal" w:pos="376"/>
              </w:tabs>
              <w:spacing w:after="200"/>
              <w:contextualSpacing/>
              <w:jc w:val="center"/>
              <w:rPr>
                <w:rFonts w:ascii="Arial" w:hAnsi="Arial" w:cs="Arial"/>
                <w:sz w:val="18"/>
                <w:szCs w:val="18"/>
                <w:lang w:val="en-GB"/>
              </w:rPr>
            </w:pPr>
            <w:r w:rsidRPr="00CB4F3B">
              <w:rPr>
                <w:rFonts w:ascii="Arial" w:hAnsi="Arial" w:cs="Arial"/>
                <w:sz w:val="18"/>
                <w:szCs w:val="18"/>
                <w:lang w:val="en-GB"/>
              </w:rPr>
              <w:t>3%</w:t>
            </w:r>
          </w:p>
        </w:tc>
        <w:tc>
          <w:tcPr>
            <w:tcW w:w="920" w:type="dxa"/>
            <w:tcMar>
              <w:left w:w="85" w:type="dxa"/>
              <w:right w:w="255" w:type="dxa"/>
            </w:tcMar>
            <w:vAlign w:val="center"/>
          </w:tcPr>
          <w:p w14:paraId="422C1864" w14:textId="77777777" w:rsidR="00595449" w:rsidRPr="00CB4F3B" w:rsidRDefault="00595449" w:rsidP="00757EC9">
            <w:pPr>
              <w:widowControl w:val="0"/>
              <w:tabs>
                <w:tab w:val="decimal" w:pos="314"/>
              </w:tabs>
              <w:spacing w:after="200"/>
              <w:contextualSpacing/>
              <w:jc w:val="center"/>
              <w:rPr>
                <w:rFonts w:ascii="Arial" w:hAnsi="Arial" w:cs="Arial"/>
                <w:sz w:val="18"/>
                <w:szCs w:val="18"/>
                <w:lang w:val="en-GB"/>
              </w:rPr>
            </w:pPr>
            <w:r w:rsidRPr="00CB4F3B">
              <w:rPr>
                <w:rFonts w:ascii="Arial" w:hAnsi="Arial" w:cs="Arial"/>
                <w:sz w:val="18"/>
                <w:szCs w:val="18"/>
                <w:lang w:val="en-GB"/>
              </w:rPr>
              <w:t>5%</w:t>
            </w:r>
          </w:p>
        </w:tc>
        <w:tc>
          <w:tcPr>
            <w:tcW w:w="919" w:type="dxa"/>
            <w:tcMar>
              <w:left w:w="85" w:type="dxa"/>
              <w:right w:w="255" w:type="dxa"/>
            </w:tcMar>
            <w:vAlign w:val="center"/>
          </w:tcPr>
          <w:p w14:paraId="30B097FC" w14:textId="77777777" w:rsidR="00595449" w:rsidRPr="00CB4F3B" w:rsidRDefault="00595449" w:rsidP="00757EC9">
            <w:pPr>
              <w:widowControl w:val="0"/>
              <w:tabs>
                <w:tab w:val="decimal" w:pos="303"/>
              </w:tabs>
              <w:spacing w:after="200"/>
              <w:contextualSpacing/>
              <w:jc w:val="center"/>
              <w:rPr>
                <w:rFonts w:ascii="Arial" w:hAnsi="Arial" w:cs="Arial"/>
                <w:sz w:val="18"/>
                <w:szCs w:val="18"/>
                <w:lang w:val="en-GB"/>
              </w:rPr>
            </w:pPr>
            <w:r w:rsidRPr="00CB4F3B">
              <w:rPr>
                <w:rFonts w:ascii="Arial" w:hAnsi="Arial" w:cs="Arial"/>
                <w:sz w:val="18"/>
                <w:szCs w:val="18"/>
                <w:lang w:val="en-GB"/>
              </w:rPr>
              <w:t>6%</w:t>
            </w:r>
          </w:p>
        </w:tc>
        <w:tc>
          <w:tcPr>
            <w:tcW w:w="1032" w:type="dxa"/>
            <w:tcMar>
              <w:left w:w="85" w:type="dxa"/>
              <w:right w:w="255" w:type="dxa"/>
            </w:tcMar>
            <w:vAlign w:val="center"/>
          </w:tcPr>
          <w:p w14:paraId="01C3685B" w14:textId="77777777" w:rsidR="00595449" w:rsidRPr="00CB4F3B" w:rsidRDefault="00595449" w:rsidP="00757EC9">
            <w:pPr>
              <w:widowControl w:val="0"/>
              <w:tabs>
                <w:tab w:val="decimal" w:pos="433"/>
              </w:tabs>
              <w:spacing w:after="200"/>
              <w:contextualSpacing/>
              <w:jc w:val="center"/>
              <w:rPr>
                <w:rFonts w:ascii="Arial" w:hAnsi="Arial" w:cs="Arial"/>
                <w:sz w:val="18"/>
                <w:szCs w:val="18"/>
                <w:lang w:val="en-GB"/>
              </w:rPr>
            </w:pPr>
            <w:r w:rsidRPr="00CB4F3B">
              <w:rPr>
                <w:rFonts w:ascii="Arial" w:hAnsi="Arial" w:cs="Arial"/>
                <w:sz w:val="18"/>
                <w:szCs w:val="18"/>
                <w:lang w:val="en-GB"/>
              </w:rPr>
              <w:t>3%</w:t>
            </w:r>
          </w:p>
        </w:tc>
        <w:tc>
          <w:tcPr>
            <w:tcW w:w="1058" w:type="dxa"/>
            <w:tcMar>
              <w:left w:w="85" w:type="dxa"/>
              <w:right w:w="255" w:type="dxa"/>
            </w:tcMar>
            <w:vAlign w:val="center"/>
          </w:tcPr>
          <w:p w14:paraId="40871B50" w14:textId="77777777" w:rsidR="00595449" w:rsidRPr="00CB4F3B" w:rsidRDefault="00595449" w:rsidP="00757EC9">
            <w:pPr>
              <w:widowControl w:val="0"/>
              <w:tabs>
                <w:tab w:val="decimal" w:pos="413"/>
              </w:tabs>
              <w:spacing w:after="200"/>
              <w:contextualSpacing/>
              <w:jc w:val="center"/>
              <w:rPr>
                <w:rFonts w:ascii="Arial" w:hAnsi="Arial" w:cs="Arial"/>
                <w:sz w:val="18"/>
                <w:szCs w:val="18"/>
                <w:lang w:val="en-GB"/>
              </w:rPr>
            </w:pPr>
            <w:r w:rsidRPr="00CB4F3B">
              <w:rPr>
                <w:rFonts w:ascii="Arial" w:hAnsi="Arial" w:cs="Arial"/>
                <w:sz w:val="18"/>
                <w:szCs w:val="18"/>
                <w:lang w:val="en-GB"/>
              </w:rPr>
              <w:t>4%</w:t>
            </w:r>
          </w:p>
        </w:tc>
        <w:tc>
          <w:tcPr>
            <w:tcW w:w="977" w:type="dxa"/>
            <w:vAlign w:val="center"/>
          </w:tcPr>
          <w:p w14:paraId="1A2FA502" w14:textId="77777777" w:rsidR="00595449" w:rsidRPr="00CB4F3B" w:rsidRDefault="00595449" w:rsidP="00757EC9">
            <w:pPr>
              <w:widowControl w:val="0"/>
              <w:tabs>
                <w:tab w:val="decimal" w:pos="370"/>
              </w:tabs>
              <w:spacing w:after="200"/>
              <w:contextualSpacing/>
              <w:jc w:val="center"/>
              <w:rPr>
                <w:rFonts w:ascii="Arial" w:hAnsi="Arial" w:cs="Arial"/>
                <w:sz w:val="18"/>
                <w:szCs w:val="18"/>
                <w:lang w:val="en-GB"/>
              </w:rPr>
            </w:pPr>
            <w:r w:rsidRPr="00CB4F3B">
              <w:rPr>
                <w:rFonts w:ascii="Arial" w:hAnsi="Arial" w:cs="Arial"/>
                <w:sz w:val="18"/>
                <w:szCs w:val="18"/>
                <w:lang w:val="en-GB"/>
              </w:rPr>
              <w:t>4%</w:t>
            </w:r>
          </w:p>
        </w:tc>
        <w:tc>
          <w:tcPr>
            <w:tcW w:w="963" w:type="dxa"/>
            <w:vAlign w:val="center"/>
          </w:tcPr>
          <w:p w14:paraId="30D9F925" w14:textId="77777777" w:rsidR="00595449" w:rsidRPr="00CB4F3B" w:rsidRDefault="00595449" w:rsidP="00757EC9">
            <w:pPr>
              <w:widowControl w:val="0"/>
              <w:tabs>
                <w:tab w:val="decimal" w:pos="438"/>
              </w:tabs>
              <w:spacing w:after="200"/>
              <w:contextualSpacing/>
              <w:jc w:val="center"/>
              <w:rPr>
                <w:rFonts w:ascii="Arial" w:hAnsi="Arial" w:cs="Arial"/>
                <w:sz w:val="18"/>
                <w:szCs w:val="18"/>
                <w:lang w:val="en-GB"/>
              </w:rPr>
            </w:pPr>
            <w:r w:rsidRPr="00CB4F3B">
              <w:rPr>
                <w:rFonts w:ascii="Arial" w:hAnsi="Arial" w:cs="Arial"/>
                <w:sz w:val="18"/>
                <w:szCs w:val="18"/>
                <w:lang w:val="en-GB"/>
              </w:rPr>
              <w:t>5%</w:t>
            </w:r>
          </w:p>
        </w:tc>
      </w:tr>
      <w:tr w:rsidR="00F979F6" w:rsidRPr="00CB4F3B" w14:paraId="7EB4777E" w14:textId="77777777" w:rsidTr="00AC768E">
        <w:trPr>
          <w:trHeight w:val="233"/>
          <w:jc w:val="center"/>
        </w:trPr>
        <w:tc>
          <w:tcPr>
            <w:tcW w:w="1633" w:type="dxa"/>
            <w:vAlign w:val="center"/>
          </w:tcPr>
          <w:p w14:paraId="3AFA2B1D" w14:textId="509ECA40" w:rsidR="00595449" w:rsidRPr="00CB4F3B" w:rsidRDefault="00595449" w:rsidP="0081747E">
            <w:pPr>
              <w:widowControl w:val="0"/>
              <w:spacing w:after="200"/>
              <w:contextualSpacing/>
              <w:rPr>
                <w:rFonts w:ascii="Arial" w:hAnsi="Arial" w:cs="Arial"/>
                <w:sz w:val="18"/>
                <w:szCs w:val="18"/>
                <w:lang w:val="en-GB"/>
              </w:rPr>
            </w:pPr>
            <w:r w:rsidRPr="00CB4F3B">
              <w:rPr>
                <w:rFonts w:ascii="Arial" w:hAnsi="Arial" w:cs="Arial"/>
                <w:sz w:val="18"/>
                <w:szCs w:val="18"/>
                <w:lang w:val="en-GB"/>
              </w:rPr>
              <w:t xml:space="preserve">Video </w:t>
            </w:r>
            <w:r w:rsidR="00EC4A78" w:rsidRPr="00CB4F3B">
              <w:rPr>
                <w:rFonts w:ascii="Arial" w:hAnsi="Arial" w:cs="Arial"/>
                <w:sz w:val="18"/>
                <w:szCs w:val="18"/>
                <w:lang w:val="en-GB"/>
              </w:rPr>
              <w:t>g</w:t>
            </w:r>
            <w:r w:rsidRPr="00CB4F3B">
              <w:rPr>
                <w:rFonts w:ascii="Arial" w:hAnsi="Arial" w:cs="Arial"/>
                <w:sz w:val="18"/>
                <w:szCs w:val="18"/>
                <w:lang w:val="en-GB"/>
              </w:rPr>
              <w:t>ames</w:t>
            </w:r>
          </w:p>
        </w:tc>
        <w:tc>
          <w:tcPr>
            <w:tcW w:w="907" w:type="dxa"/>
            <w:tcMar>
              <w:left w:w="85" w:type="dxa"/>
              <w:right w:w="255" w:type="dxa"/>
            </w:tcMar>
            <w:vAlign w:val="center"/>
          </w:tcPr>
          <w:p w14:paraId="2A54C71C" w14:textId="77777777" w:rsidR="00595449" w:rsidRPr="00CB4F3B" w:rsidRDefault="00595449" w:rsidP="0081747E">
            <w:pPr>
              <w:widowControl w:val="0"/>
              <w:spacing w:after="200"/>
              <w:contextualSpacing/>
              <w:jc w:val="center"/>
              <w:rPr>
                <w:rFonts w:ascii="Arial" w:hAnsi="Arial" w:cs="Arial"/>
                <w:sz w:val="18"/>
                <w:szCs w:val="18"/>
                <w:lang w:val="en-GB"/>
              </w:rPr>
            </w:pPr>
            <w:r w:rsidRPr="00CB4F3B">
              <w:rPr>
                <w:rFonts w:ascii="Arial" w:hAnsi="Arial" w:cs="Arial"/>
                <w:sz w:val="18"/>
                <w:szCs w:val="18"/>
                <w:lang w:val="en-GB"/>
              </w:rPr>
              <w:t>24%</w:t>
            </w:r>
          </w:p>
        </w:tc>
        <w:tc>
          <w:tcPr>
            <w:tcW w:w="927" w:type="dxa"/>
            <w:tcMar>
              <w:left w:w="85" w:type="dxa"/>
              <w:right w:w="255" w:type="dxa"/>
            </w:tcMar>
            <w:vAlign w:val="center"/>
          </w:tcPr>
          <w:p w14:paraId="11675345" w14:textId="77777777" w:rsidR="00595449" w:rsidRPr="00CB4F3B" w:rsidRDefault="00595449" w:rsidP="00757EC9">
            <w:pPr>
              <w:widowControl w:val="0"/>
              <w:tabs>
                <w:tab w:val="decimal" w:pos="376"/>
              </w:tabs>
              <w:spacing w:after="200"/>
              <w:contextualSpacing/>
              <w:jc w:val="center"/>
              <w:rPr>
                <w:rFonts w:ascii="Arial" w:hAnsi="Arial" w:cs="Arial"/>
                <w:sz w:val="18"/>
                <w:szCs w:val="18"/>
                <w:lang w:val="en-GB"/>
              </w:rPr>
            </w:pPr>
            <w:r w:rsidRPr="00CB4F3B">
              <w:rPr>
                <w:rFonts w:ascii="Arial" w:hAnsi="Arial" w:cs="Arial"/>
                <w:sz w:val="18"/>
                <w:szCs w:val="18"/>
                <w:lang w:val="en-GB"/>
              </w:rPr>
              <w:t>36%</w:t>
            </w:r>
          </w:p>
        </w:tc>
        <w:tc>
          <w:tcPr>
            <w:tcW w:w="920" w:type="dxa"/>
            <w:tcMar>
              <w:left w:w="85" w:type="dxa"/>
              <w:right w:w="255" w:type="dxa"/>
            </w:tcMar>
            <w:vAlign w:val="center"/>
          </w:tcPr>
          <w:p w14:paraId="43F2263A" w14:textId="77777777" w:rsidR="00595449" w:rsidRPr="00CB4F3B" w:rsidRDefault="00595449" w:rsidP="00757EC9">
            <w:pPr>
              <w:widowControl w:val="0"/>
              <w:tabs>
                <w:tab w:val="decimal" w:pos="314"/>
              </w:tabs>
              <w:spacing w:after="200"/>
              <w:contextualSpacing/>
              <w:jc w:val="center"/>
              <w:rPr>
                <w:rFonts w:ascii="Arial" w:hAnsi="Arial" w:cs="Arial"/>
                <w:sz w:val="18"/>
                <w:szCs w:val="18"/>
                <w:lang w:val="en-GB"/>
              </w:rPr>
            </w:pPr>
            <w:r w:rsidRPr="00CB4F3B">
              <w:rPr>
                <w:rFonts w:ascii="Arial" w:hAnsi="Arial" w:cs="Arial"/>
                <w:sz w:val="18"/>
                <w:szCs w:val="18"/>
                <w:lang w:val="en-GB"/>
              </w:rPr>
              <w:t>40%</w:t>
            </w:r>
          </w:p>
        </w:tc>
        <w:tc>
          <w:tcPr>
            <w:tcW w:w="919" w:type="dxa"/>
            <w:tcMar>
              <w:left w:w="85" w:type="dxa"/>
              <w:right w:w="255" w:type="dxa"/>
            </w:tcMar>
            <w:vAlign w:val="center"/>
          </w:tcPr>
          <w:p w14:paraId="3BB166B2" w14:textId="77777777" w:rsidR="00595449" w:rsidRPr="00CB4F3B" w:rsidRDefault="00595449" w:rsidP="00757EC9">
            <w:pPr>
              <w:widowControl w:val="0"/>
              <w:tabs>
                <w:tab w:val="decimal" w:pos="303"/>
              </w:tabs>
              <w:spacing w:after="200"/>
              <w:contextualSpacing/>
              <w:jc w:val="center"/>
              <w:rPr>
                <w:rFonts w:ascii="Arial" w:hAnsi="Arial" w:cs="Arial"/>
                <w:sz w:val="18"/>
                <w:szCs w:val="18"/>
                <w:lang w:val="en-GB"/>
              </w:rPr>
            </w:pPr>
            <w:r w:rsidRPr="00CB4F3B">
              <w:rPr>
                <w:rFonts w:ascii="Arial" w:hAnsi="Arial" w:cs="Arial"/>
                <w:sz w:val="18"/>
                <w:szCs w:val="18"/>
                <w:lang w:val="en-GB"/>
              </w:rPr>
              <w:t>40%</w:t>
            </w:r>
          </w:p>
        </w:tc>
        <w:tc>
          <w:tcPr>
            <w:tcW w:w="1032" w:type="dxa"/>
            <w:tcMar>
              <w:left w:w="85" w:type="dxa"/>
              <w:right w:w="255" w:type="dxa"/>
            </w:tcMar>
            <w:vAlign w:val="center"/>
          </w:tcPr>
          <w:p w14:paraId="1FBD9C86" w14:textId="77777777" w:rsidR="00595449" w:rsidRPr="00CB4F3B" w:rsidRDefault="00595449" w:rsidP="00757EC9">
            <w:pPr>
              <w:widowControl w:val="0"/>
              <w:tabs>
                <w:tab w:val="decimal" w:pos="433"/>
              </w:tabs>
              <w:spacing w:after="200"/>
              <w:contextualSpacing/>
              <w:jc w:val="center"/>
              <w:rPr>
                <w:rFonts w:ascii="Arial" w:hAnsi="Arial" w:cs="Arial"/>
                <w:sz w:val="18"/>
                <w:szCs w:val="18"/>
                <w:lang w:val="en-GB"/>
              </w:rPr>
            </w:pPr>
            <w:r w:rsidRPr="00CB4F3B">
              <w:rPr>
                <w:rFonts w:ascii="Arial" w:hAnsi="Arial" w:cs="Arial"/>
                <w:sz w:val="18"/>
                <w:szCs w:val="18"/>
                <w:lang w:val="en-GB"/>
              </w:rPr>
              <w:t>32%</w:t>
            </w:r>
          </w:p>
        </w:tc>
        <w:tc>
          <w:tcPr>
            <w:tcW w:w="1058" w:type="dxa"/>
            <w:tcMar>
              <w:left w:w="85" w:type="dxa"/>
              <w:right w:w="255" w:type="dxa"/>
            </w:tcMar>
            <w:vAlign w:val="center"/>
          </w:tcPr>
          <w:p w14:paraId="482A7CB2" w14:textId="77777777" w:rsidR="00595449" w:rsidRPr="00CB4F3B" w:rsidRDefault="00595449" w:rsidP="00757EC9">
            <w:pPr>
              <w:widowControl w:val="0"/>
              <w:tabs>
                <w:tab w:val="decimal" w:pos="413"/>
              </w:tabs>
              <w:spacing w:after="200"/>
              <w:contextualSpacing/>
              <w:jc w:val="center"/>
              <w:rPr>
                <w:rFonts w:ascii="Arial" w:hAnsi="Arial" w:cs="Arial"/>
                <w:sz w:val="18"/>
                <w:szCs w:val="18"/>
                <w:lang w:val="en-GB"/>
              </w:rPr>
            </w:pPr>
            <w:r w:rsidRPr="00CB4F3B">
              <w:rPr>
                <w:rFonts w:ascii="Arial" w:hAnsi="Arial" w:cs="Arial"/>
                <w:sz w:val="18"/>
                <w:szCs w:val="18"/>
                <w:lang w:val="en-GB"/>
              </w:rPr>
              <w:t>34%</w:t>
            </w:r>
          </w:p>
        </w:tc>
        <w:tc>
          <w:tcPr>
            <w:tcW w:w="977" w:type="dxa"/>
            <w:vAlign w:val="center"/>
          </w:tcPr>
          <w:p w14:paraId="20FEA576" w14:textId="77777777" w:rsidR="00595449" w:rsidRPr="00CB4F3B" w:rsidRDefault="00595449" w:rsidP="00757EC9">
            <w:pPr>
              <w:widowControl w:val="0"/>
              <w:tabs>
                <w:tab w:val="decimal" w:pos="370"/>
              </w:tabs>
              <w:spacing w:after="200"/>
              <w:contextualSpacing/>
              <w:jc w:val="center"/>
              <w:rPr>
                <w:rFonts w:ascii="Arial" w:hAnsi="Arial" w:cs="Arial"/>
                <w:sz w:val="18"/>
                <w:szCs w:val="18"/>
                <w:lang w:val="en-GB"/>
              </w:rPr>
            </w:pPr>
            <w:r w:rsidRPr="00CB4F3B">
              <w:rPr>
                <w:rFonts w:ascii="Arial" w:hAnsi="Arial" w:cs="Arial"/>
                <w:sz w:val="18"/>
                <w:szCs w:val="18"/>
                <w:lang w:val="en-GB"/>
              </w:rPr>
              <w:t>35%</w:t>
            </w:r>
          </w:p>
        </w:tc>
        <w:tc>
          <w:tcPr>
            <w:tcW w:w="963" w:type="dxa"/>
            <w:vAlign w:val="center"/>
          </w:tcPr>
          <w:p w14:paraId="641E6FD0" w14:textId="77777777" w:rsidR="00595449" w:rsidRPr="00CB4F3B" w:rsidRDefault="00595449" w:rsidP="00757EC9">
            <w:pPr>
              <w:widowControl w:val="0"/>
              <w:tabs>
                <w:tab w:val="decimal" w:pos="438"/>
              </w:tabs>
              <w:spacing w:after="200"/>
              <w:contextualSpacing/>
              <w:jc w:val="center"/>
              <w:rPr>
                <w:rFonts w:ascii="Arial" w:hAnsi="Arial" w:cs="Arial"/>
                <w:sz w:val="18"/>
                <w:szCs w:val="18"/>
                <w:lang w:val="en-GB"/>
              </w:rPr>
            </w:pPr>
            <w:r w:rsidRPr="00CB4F3B">
              <w:rPr>
                <w:rFonts w:ascii="Arial" w:hAnsi="Arial" w:cs="Arial"/>
                <w:sz w:val="18"/>
                <w:szCs w:val="18"/>
                <w:lang w:val="en-GB"/>
              </w:rPr>
              <w:t>37%</w:t>
            </w:r>
          </w:p>
        </w:tc>
      </w:tr>
      <w:tr w:rsidR="00F979F6" w:rsidRPr="00CB4F3B" w14:paraId="12572E5B" w14:textId="77777777" w:rsidTr="00AC768E">
        <w:trPr>
          <w:jc w:val="center"/>
        </w:trPr>
        <w:tc>
          <w:tcPr>
            <w:tcW w:w="1633" w:type="dxa"/>
            <w:vAlign w:val="center"/>
          </w:tcPr>
          <w:p w14:paraId="6C59236B" w14:textId="76C1ECB6" w:rsidR="00595449" w:rsidRPr="00CB4F3B" w:rsidRDefault="00595449" w:rsidP="0081747E">
            <w:pPr>
              <w:widowControl w:val="0"/>
              <w:spacing w:after="200"/>
              <w:contextualSpacing/>
              <w:rPr>
                <w:rFonts w:ascii="Arial" w:hAnsi="Arial" w:cs="Arial"/>
                <w:sz w:val="18"/>
                <w:szCs w:val="18"/>
                <w:lang w:val="en-GB"/>
              </w:rPr>
            </w:pPr>
            <w:r w:rsidRPr="00CB4F3B">
              <w:rPr>
                <w:rFonts w:ascii="Arial" w:hAnsi="Arial" w:cs="Arial"/>
                <w:sz w:val="18"/>
                <w:szCs w:val="18"/>
                <w:lang w:val="en-GB"/>
              </w:rPr>
              <w:t xml:space="preserve">Toys and </w:t>
            </w:r>
            <w:r w:rsidR="00EC4A78" w:rsidRPr="00CB4F3B">
              <w:rPr>
                <w:rFonts w:ascii="Arial" w:hAnsi="Arial" w:cs="Arial"/>
                <w:sz w:val="18"/>
                <w:szCs w:val="18"/>
                <w:lang w:val="en-GB"/>
              </w:rPr>
              <w:t>g</w:t>
            </w:r>
            <w:r w:rsidRPr="00CB4F3B">
              <w:rPr>
                <w:rFonts w:ascii="Arial" w:hAnsi="Arial" w:cs="Arial"/>
                <w:sz w:val="18"/>
                <w:szCs w:val="18"/>
                <w:lang w:val="en-GB"/>
              </w:rPr>
              <w:t>ames</w:t>
            </w:r>
          </w:p>
        </w:tc>
        <w:tc>
          <w:tcPr>
            <w:tcW w:w="907" w:type="dxa"/>
            <w:tcMar>
              <w:left w:w="85" w:type="dxa"/>
              <w:right w:w="255" w:type="dxa"/>
            </w:tcMar>
            <w:vAlign w:val="center"/>
          </w:tcPr>
          <w:p w14:paraId="32B0A972" w14:textId="77777777" w:rsidR="00595449" w:rsidRPr="00CB4F3B" w:rsidRDefault="00595449" w:rsidP="0081747E">
            <w:pPr>
              <w:widowControl w:val="0"/>
              <w:spacing w:after="200"/>
              <w:contextualSpacing/>
              <w:jc w:val="center"/>
              <w:rPr>
                <w:rFonts w:ascii="Arial" w:hAnsi="Arial" w:cs="Arial"/>
                <w:sz w:val="18"/>
                <w:szCs w:val="18"/>
                <w:lang w:val="en-GB"/>
              </w:rPr>
            </w:pPr>
            <w:r w:rsidRPr="00CB4F3B">
              <w:rPr>
                <w:rFonts w:ascii="Arial" w:hAnsi="Arial" w:cs="Arial"/>
                <w:sz w:val="18"/>
                <w:szCs w:val="18"/>
                <w:lang w:val="en-GB"/>
              </w:rPr>
              <w:t>18%</w:t>
            </w:r>
          </w:p>
        </w:tc>
        <w:tc>
          <w:tcPr>
            <w:tcW w:w="927" w:type="dxa"/>
            <w:tcMar>
              <w:left w:w="85" w:type="dxa"/>
              <w:right w:w="255" w:type="dxa"/>
            </w:tcMar>
            <w:vAlign w:val="center"/>
          </w:tcPr>
          <w:p w14:paraId="3E6151B5" w14:textId="77777777" w:rsidR="00595449" w:rsidRPr="00CB4F3B" w:rsidRDefault="00595449" w:rsidP="00757EC9">
            <w:pPr>
              <w:widowControl w:val="0"/>
              <w:tabs>
                <w:tab w:val="decimal" w:pos="376"/>
              </w:tabs>
              <w:spacing w:after="200"/>
              <w:contextualSpacing/>
              <w:jc w:val="center"/>
              <w:rPr>
                <w:rFonts w:ascii="Arial" w:hAnsi="Arial" w:cs="Arial"/>
                <w:sz w:val="18"/>
                <w:szCs w:val="18"/>
                <w:lang w:val="en-GB"/>
              </w:rPr>
            </w:pPr>
            <w:r w:rsidRPr="00CB4F3B">
              <w:rPr>
                <w:rFonts w:ascii="Arial" w:hAnsi="Arial" w:cs="Arial"/>
                <w:sz w:val="18"/>
                <w:szCs w:val="18"/>
                <w:lang w:val="en-GB"/>
              </w:rPr>
              <w:t>12%</w:t>
            </w:r>
          </w:p>
        </w:tc>
        <w:tc>
          <w:tcPr>
            <w:tcW w:w="920" w:type="dxa"/>
            <w:tcMar>
              <w:left w:w="85" w:type="dxa"/>
              <w:right w:w="255" w:type="dxa"/>
            </w:tcMar>
            <w:vAlign w:val="center"/>
          </w:tcPr>
          <w:p w14:paraId="368857AF" w14:textId="77777777" w:rsidR="00595449" w:rsidRPr="00CB4F3B" w:rsidRDefault="00595449" w:rsidP="00757EC9">
            <w:pPr>
              <w:widowControl w:val="0"/>
              <w:tabs>
                <w:tab w:val="decimal" w:pos="314"/>
              </w:tabs>
              <w:spacing w:after="200"/>
              <w:contextualSpacing/>
              <w:jc w:val="center"/>
              <w:rPr>
                <w:rFonts w:ascii="Arial" w:hAnsi="Arial" w:cs="Arial"/>
                <w:sz w:val="18"/>
                <w:szCs w:val="18"/>
                <w:lang w:val="en-GB"/>
              </w:rPr>
            </w:pPr>
            <w:r w:rsidRPr="00CB4F3B">
              <w:rPr>
                <w:rFonts w:ascii="Arial" w:hAnsi="Arial" w:cs="Arial"/>
                <w:sz w:val="18"/>
                <w:szCs w:val="18"/>
                <w:lang w:val="en-GB"/>
              </w:rPr>
              <w:t>15%</w:t>
            </w:r>
          </w:p>
        </w:tc>
        <w:tc>
          <w:tcPr>
            <w:tcW w:w="919" w:type="dxa"/>
            <w:tcMar>
              <w:left w:w="85" w:type="dxa"/>
              <w:right w:w="255" w:type="dxa"/>
            </w:tcMar>
            <w:vAlign w:val="center"/>
          </w:tcPr>
          <w:p w14:paraId="2798A0A1" w14:textId="77777777" w:rsidR="00595449" w:rsidRPr="00CB4F3B" w:rsidRDefault="00595449" w:rsidP="00757EC9">
            <w:pPr>
              <w:widowControl w:val="0"/>
              <w:tabs>
                <w:tab w:val="decimal" w:pos="303"/>
              </w:tabs>
              <w:spacing w:after="200"/>
              <w:contextualSpacing/>
              <w:jc w:val="center"/>
              <w:rPr>
                <w:rFonts w:ascii="Arial" w:hAnsi="Arial" w:cs="Arial"/>
                <w:sz w:val="18"/>
                <w:szCs w:val="18"/>
                <w:lang w:val="en-GB"/>
              </w:rPr>
            </w:pPr>
            <w:r w:rsidRPr="00CB4F3B">
              <w:rPr>
                <w:rFonts w:ascii="Arial" w:hAnsi="Arial" w:cs="Arial"/>
                <w:sz w:val="18"/>
                <w:szCs w:val="18"/>
                <w:lang w:val="en-GB"/>
              </w:rPr>
              <w:t>18%</w:t>
            </w:r>
          </w:p>
        </w:tc>
        <w:tc>
          <w:tcPr>
            <w:tcW w:w="1032" w:type="dxa"/>
            <w:tcMar>
              <w:left w:w="85" w:type="dxa"/>
              <w:right w:w="255" w:type="dxa"/>
            </w:tcMar>
            <w:vAlign w:val="center"/>
          </w:tcPr>
          <w:p w14:paraId="255701FA" w14:textId="77777777" w:rsidR="00595449" w:rsidRPr="00CB4F3B" w:rsidRDefault="00595449" w:rsidP="00757EC9">
            <w:pPr>
              <w:widowControl w:val="0"/>
              <w:tabs>
                <w:tab w:val="decimal" w:pos="433"/>
              </w:tabs>
              <w:spacing w:after="200"/>
              <w:contextualSpacing/>
              <w:jc w:val="center"/>
              <w:rPr>
                <w:rFonts w:ascii="Arial" w:hAnsi="Arial" w:cs="Arial"/>
                <w:sz w:val="18"/>
                <w:szCs w:val="18"/>
                <w:lang w:val="en-GB"/>
              </w:rPr>
            </w:pPr>
            <w:r w:rsidRPr="00CB4F3B">
              <w:rPr>
                <w:rFonts w:ascii="Arial" w:hAnsi="Arial" w:cs="Arial"/>
                <w:sz w:val="18"/>
                <w:szCs w:val="18"/>
                <w:lang w:val="en-GB"/>
              </w:rPr>
              <w:t>15%</w:t>
            </w:r>
          </w:p>
        </w:tc>
        <w:tc>
          <w:tcPr>
            <w:tcW w:w="1058" w:type="dxa"/>
            <w:tcMar>
              <w:left w:w="85" w:type="dxa"/>
              <w:right w:w="255" w:type="dxa"/>
            </w:tcMar>
            <w:vAlign w:val="center"/>
          </w:tcPr>
          <w:p w14:paraId="15F3A439" w14:textId="77777777" w:rsidR="00595449" w:rsidRPr="00CB4F3B" w:rsidRDefault="00595449" w:rsidP="00757EC9">
            <w:pPr>
              <w:widowControl w:val="0"/>
              <w:tabs>
                <w:tab w:val="decimal" w:pos="413"/>
              </w:tabs>
              <w:spacing w:after="200"/>
              <w:contextualSpacing/>
              <w:jc w:val="center"/>
              <w:rPr>
                <w:rFonts w:ascii="Arial" w:hAnsi="Arial" w:cs="Arial"/>
                <w:sz w:val="18"/>
                <w:szCs w:val="18"/>
                <w:lang w:val="en-GB"/>
              </w:rPr>
            </w:pPr>
            <w:r w:rsidRPr="00CB4F3B">
              <w:rPr>
                <w:rFonts w:ascii="Arial" w:hAnsi="Arial" w:cs="Arial"/>
                <w:sz w:val="18"/>
                <w:szCs w:val="18"/>
                <w:lang w:val="en-GB"/>
              </w:rPr>
              <w:t>18%</w:t>
            </w:r>
          </w:p>
        </w:tc>
        <w:tc>
          <w:tcPr>
            <w:tcW w:w="977" w:type="dxa"/>
          </w:tcPr>
          <w:p w14:paraId="3EEFCE5D" w14:textId="77777777" w:rsidR="00595449" w:rsidRPr="00CB4F3B" w:rsidRDefault="00595449" w:rsidP="00757EC9">
            <w:pPr>
              <w:widowControl w:val="0"/>
              <w:tabs>
                <w:tab w:val="decimal" w:pos="370"/>
              </w:tabs>
              <w:spacing w:after="200"/>
              <w:contextualSpacing/>
              <w:jc w:val="center"/>
              <w:rPr>
                <w:rFonts w:ascii="Arial" w:hAnsi="Arial" w:cs="Arial"/>
                <w:sz w:val="18"/>
                <w:szCs w:val="18"/>
                <w:lang w:val="en-GB"/>
              </w:rPr>
            </w:pPr>
            <w:r w:rsidRPr="00CB4F3B">
              <w:rPr>
                <w:rFonts w:ascii="Arial" w:hAnsi="Arial" w:cs="Arial"/>
                <w:sz w:val="18"/>
                <w:szCs w:val="18"/>
                <w:lang w:val="en-GB"/>
              </w:rPr>
              <w:t>21%</w:t>
            </w:r>
          </w:p>
        </w:tc>
        <w:tc>
          <w:tcPr>
            <w:tcW w:w="963" w:type="dxa"/>
          </w:tcPr>
          <w:p w14:paraId="10CC8D58" w14:textId="77777777" w:rsidR="00595449" w:rsidRPr="00CB4F3B" w:rsidRDefault="00595449" w:rsidP="00757EC9">
            <w:pPr>
              <w:widowControl w:val="0"/>
              <w:tabs>
                <w:tab w:val="decimal" w:pos="438"/>
              </w:tabs>
              <w:spacing w:after="200"/>
              <w:contextualSpacing/>
              <w:jc w:val="center"/>
              <w:rPr>
                <w:rFonts w:ascii="Arial" w:hAnsi="Arial" w:cs="Arial"/>
                <w:sz w:val="18"/>
                <w:szCs w:val="18"/>
                <w:lang w:val="en-GB"/>
              </w:rPr>
            </w:pPr>
            <w:r w:rsidRPr="00CB4F3B">
              <w:rPr>
                <w:rFonts w:ascii="Arial" w:hAnsi="Arial" w:cs="Arial"/>
                <w:sz w:val="18"/>
                <w:szCs w:val="18"/>
                <w:lang w:val="en-GB"/>
              </w:rPr>
              <w:t>24%</w:t>
            </w:r>
          </w:p>
        </w:tc>
      </w:tr>
    </w:tbl>
    <w:p w14:paraId="359A142E" w14:textId="11DC07AD" w:rsidR="00C022B5" w:rsidRPr="00CB4F3B" w:rsidRDefault="00C022B5" w:rsidP="0081747E">
      <w:pPr>
        <w:pStyle w:val="BodyTextMain"/>
        <w:widowControl w:val="0"/>
        <w:rPr>
          <w:rFonts w:ascii="Arial" w:hAnsi="Arial" w:cs="Arial"/>
          <w:sz w:val="17"/>
          <w:szCs w:val="17"/>
          <w:lang w:val="en-GB"/>
        </w:rPr>
      </w:pPr>
    </w:p>
    <w:p w14:paraId="72CFDC5C" w14:textId="5EF57EC1" w:rsidR="00EC4A78" w:rsidRPr="00CB4F3B" w:rsidRDefault="00EC4A78" w:rsidP="0081747E">
      <w:pPr>
        <w:widowControl w:val="0"/>
        <w:rPr>
          <w:rFonts w:ascii="Arial" w:hAnsi="Arial" w:cs="Arial"/>
          <w:sz w:val="17"/>
          <w:szCs w:val="17"/>
          <w:lang w:val="en-GB"/>
        </w:rPr>
      </w:pPr>
      <w:r w:rsidRPr="00CB4F3B">
        <w:rPr>
          <w:rFonts w:ascii="Arial" w:hAnsi="Arial" w:cs="Arial"/>
          <w:sz w:val="17"/>
          <w:szCs w:val="17"/>
          <w:lang w:val="en-GB"/>
        </w:rPr>
        <w:t>Note: (P) = projected</w:t>
      </w:r>
    </w:p>
    <w:p w14:paraId="14D5B5C0" w14:textId="659B090B" w:rsidR="0028146F" w:rsidRPr="00CB4F3B" w:rsidRDefault="00595449" w:rsidP="0081747E">
      <w:pPr>
        <w:pStyle w:val="BodyTextMain"/>
        <w:widowControl w:val="0"/>
        <w:rPr>
          <w:rFonts w:ascii="Arial" w:hAnsi="Arial" w:cs="Arial"/>
          <w:sz w:val="17"/>
          <w:szCs w:val="17"/>
          <w:lang w:val="en-GB"/>
        </w:rPr>
      </w:pPr>
      <w:r w:rsidRPr="00CB4F3B">
        <w:rPr>
          <w:rFonts w:ascii="Arial" w:hAnsi="Arial" w:cs="Arial"/>
          <w:sz w:val="17"/>
          <w:szCs w:val="17"/>
          <w:lang w:val="en-GB"/>
        </w:rPr>
        <w:t xml:space="preserve">Source: </w:t>
      </w:r>
      <w:r w:rsidR="00F63CD3" w:rsidRPr="00CB4F3B">
        <w:rPr>
          <w:rFonts w:ascii="Arial" w:hAnsi="Arial" w:cs="Arial"/>
          <w:sz w:val="17"/>
          <w:szCs w:val="17"/>
          <w:lang w:val="en-GB"/>
        </w:rPr>
        <w:t>“</w:t>
      </w:r>
      <w:r w:rsidRPr="00CB4F3B">
        <w:rPr>
          <w:rFonts w:ascii="Arial" w:hAnsi="Arial" w:cs="Arial"/>
          <w:sz w:val="17"/>
          <w:szCs w:val="17"/>
          <w:lang w:val="en-GB"/>
        </w:rPr>
        <w:t>Toys and Games in India,</w:t>
      </w:r>
      <w:r w:rsidR="00F63CD3" w:rsidRPr="00CB4F3B">
        <w:rPr>
          <w:rFonts w:ascii="Arial" w:hAnsi="Arial" w:cs="Arial"/>
          <w:sz w:val="17"/>
          <w:szCs w:val="17"/>
          <w:lang w:val="en-GB"/>
        </w:rPr>
        <w:t>”</w:t>
      </w:r>
      <w:r w:rsidRPr="00CB4F3B">
        <w:rPr>
          <w:rFonts w:ascii="Arial" w:hAnsi="Arial" w:cs="Arial"/>
          <w:sz w:val="17"/>
          <w:szCs w:val="17"/>
          <w:lang w:val="en-GB"/>
        </w:rPr>
        <w:t xml:space="preserve"> </w:t>
      </w:r>
      <w:r w:rsidR="003A01AE" w:rsidRPr="00CB4F3B">
        <w:rPr>
          <w:rFonts w:ascii="Arial" w:hAnsi="Arial" w:cs="Arial"/>
          <w:sz w:val="17"/>
          <w:szCs w:val="17"/>
          <w:lang w:val="en-GB"/>
        </w:rPr>
        <w:t xml:space="preserve">Euromonitor </w:t>
      </w:r>
      <w:r w:rsidRPr="00CB4F3B">
        <w:rPr>
          <w:rFonts w:ascii="Arial" w:hAnsi="Arial" w:cs="Arial"/>
          <w:sz w:val="17"/>
          <w:szCs w:val="17"/>
          <w:lang w:val="en-GB"/>
        </w:rPr>
        <w:t xml:space="preserve">Passport, </w:t>
      </w:r>
      <w:r w:rsidR="00B60CD1">
        <w:rPr>
          <w:rFonts w:ascii="Arial" w:hAnsi="Arial" w:cs="Arial"/>
          <w:sz w:val="17"/>
          <w:szCs w:val="17"/>
          <w:lang w:val="en-GB"/>
        </w:rPr>
        <w:t xml:space="preserve">June 2017, </w:t>
      </w:r>
      <w:r w:rsidRPr="00CB4F3B">
        <w:rPr>
          <w:rFonts w:ascii="Arial" w:hAnsi="Arial" w:cs="Arial"/>
          <w:sz w:val="17"/>
          <w:szCs w:val="17"/>
          <w:lang w:val="en-GB"/>
        </w:rPr>
        <w:t>accessed July 15, 2017</w:t>
      </w:r>
      <w:r w:rsidR="00B60CD1" w:rsidRPr="004126F5">
        <w:rPr>
          <w:rFonts w:ascii="Arial" w:hAnsi="Arial" w:cs="Arial"/>
          <w:sz w:val="17"/>
          <w:szCs w:val="17"/>
          <w:lang w:val="en-GB"/>
        </w:rPr>
        <w:t>, www.euromonitor.com/toys-and-games-in-india/report</w:t>
      </w:r>
      <w:r w:rsidRPr="00CB4F3B">
        <w:rPr>
          <w:rFonts w:ascii="Arial" w:hAnsi="Arial" w:cs="Arial"/>
          <w:sz w:val="17"/>
          <w:szCs w:val="17"/>
          <w:lang w:val="en-GB"/>
        </w:rPr>
        <w:t>.</w:t>
      </w:r>
    </w:p>
    <w:p w14:paraId="7EFCA4BF" w14:textId="1D7548FF" w:rsidR="00F63CD3" w:rsidRPr="00CB4F3B" w:rsidRDefault="00F63CD3" w:rsidP="0081747E">
      <w:pPr>
        <w:widowControl w:val="0"/>
        <w:spacing w:after="200" w:line="276" w:lineRule="auto"/>
        <w:rPr>
          <w:rFonts w:ascii="Arial" w:hAnsi="Arial" w:cs="Arial"/>
          <w:b/>
          <w:lang w:val="en-GB"/>
        </w:rPr>
      </w:pPr>
    </w:p>
    <w:sectPr w:rsidR="00F63CD3" w:rsidRPr="00CB4F3B" w:rsidSect="00751E0B">
      <w:headerReference w:type="default" r:id="rId8"/>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5EA8E9" w14:textId="77777777" w:rsidR="00757EC9" w:rsidRDefault="00757EC9" w:rsidP="00D75295">
      <w:r>
        <w:separator/>
      </w:r>
    </w:p>
  </w:endnote>
  <w:endnote w:type="continuationSeparator" w:id="0">
    <w:p w14:paraId="4580D07C" w14:textId="77777777" w:rsidR="00757EC9" w:rsidRDefault="00757EC9"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DF5625" w14:textId="77777777" w:rsidR="00757EC9" w:rsidRDefault="00757EC9" w:rsidP="00D75295">
      <w:r>
        <w:separator/>
      </w:r>
    </w:p>
  </w:footnote>
  <w:footnote w:type="continuationSeparator" w:id="0">
    <w:p w14:paraId="71FB2C07" w14:textId="77777777" w:rsidR="00757EC9" w:rsidRDefault="00757EC9" w:rsidP="00D75295">
      <w:r>
        <w:continuationSeparator/>
      </w:r>
    </w:p>
  </w:footnote>
  <w:footnote w:id="1">
    <w:p w14:paraId="1BC9FD18" w14:textId="4FCF1E65" w:rsidR="00757EC9" w:rsidRPr="00A72954" w:rsidRDefault="00757EC9" w:rsidP="00F94C30">
      <w:pPr>
        <w:pStyle w:val="Footnote"/>
        <w:rPr>
          <w:i/>
        </w:rPr>
      </w:pPr>
      <w:r w:rsidRPr="00A72954">
        <w:rPr>
          <w:rStyle w:val="FootnoteReference"/>
        </w:rPr>
        <w:footnoteRef/>
      </w:r>
      <w:r w:rsidRPr="00A72954">
        <w:t xml:space="preserve"> ₹ = </w:t>
      </w:r>
      <w:r>
        <w:t xml:space="preserve">INR = </w:t>
      </w:r>
      <w:r w:rsidRPr="00A72954">
        <w:t>Indian rupee; all currency amounts are in ₹ unless otherwise specified; ₹</w:t>
      </w:r>
      <w:r w:rsidR="00783C90">
        <w:t>1 = US$0.0155</w:t>
      </w:r>
      <w:r w:rsidRPr="00A72954">
        <w:t xml:space="preserve"> on April 17, 2017.</w:t>
      </w:r>
    </w:p>
  </w:footnote>
  <w:footnote w:id="2">
    <w:p w14:paraId="2EFF3D5D" w14:textId="10753ACA" w:rsidR="00757EC9" w:rsidRDefault="00757EC9" w:rsidP="00F94C30">
      <w:pPr>
        <w:pStyle w:val="Footnote"/>
      </w:pPr>
      <w:r>
        <w:rPr>
          <w:rStyle w:val="FootnoteReference"/>
        </w:rPr>
        <w:footnoteRef/>
      </w:r>
      <w:r>
        <w:t xml:space="preserve"> “</w:t>
      </w:r>
      <w:r w:rsidRPr="008D02E2">
        <w:t>Toys and Games in India,</w:t>
      </w:r>
      <w:r>
        <w:t>”</w:t>
      </w:r>
      <w:r w:rsidRPr="008D02E2">
        <w:t xml:space="preserve"> </w:t>
      </w:r>
      <w:r>
        <w:t xml:space="preserve">Euromonitor </w:t>
      </w:r>
      <w:r w:rsidRPr="008D02E2">
        <w:t xml:space="preserve">Passport, </w:t>
      </w:r>
      <w:r>
        <w:t xml:space="preserve">June 2017, </w:t>
      </w:r>
      <w:r w:rsidRPr="008D02E2">
        <w:t>accessed July 15, 2017</w:t>
      </w:r>
      <w:r>
        <w:t xml:space="preserve">, </w:t>
      </w:r>
      <w:r w:rsidRPr="00CB4F3B">
        <w:t>www.euromonitor.com/toys-and-games-in-india/report</w:t>
      </w:r>
      <w:r w:rsidRPr="008D02E2">
        <w:t>.</w:t>
      </w:r>
    </w:p>
  </w:footnote>
  <w:footnote w:id="3">
    <w:p w14:paraId="44C45137" w14:textId="31DFB27A" w:rsidR="00757EC9" w:rsidRPr="0002430A" w:rsidRDefault="00757EC9" w:rsidP="00F94C30">
      <w:pPr>
        <w:pStyle w:val="FootnoteText"/>
        <w:jc w:val="both"/>
        <w:rPr>
          <w:rFonts w:ascii="Arial" w:hAnsi="Arial" w:cs="Arial"/>
          <w:sz w:val="17"/>
          <w:szCs w:val="17"/>
          <w:lang w:val="en-CA"/>
        </w:rPr>
      </w:pPr>
      <w:r w:rsidRPr="00D065BF">
        <w:rPr>
          <w:rStyle w:val="FootnoteReference"/>
          <w:rFonts w:ascii="Arial" w:hAnsi="Arial" w:cs="Arial"/>
          <w:sz w:val="17"/>
          <w:szCs w:val="17"/>
        </w:rPr>
        <w:footnoteRef/>
      </w:r>
      <w:r w:rsidRPr="00D065BF">
        <w:rPr>
          <w:rFonts w:ascii="Arial" w:hAnsi="Arial" w:cs="Arial"/>
          <w:sz w:val="17"/>
          <w:szCs w:val="17"/>
        </w:rPr>
        <w:t xml:space="preserve"> According to </w:t>
      </w:r>
      <w:r w:rsidRPr="00D065BF">
        <w:rPr>
          <w:rFonts w:ascii="Arial" w:hAnsi="Arial" w:cs="Arial"/>
          <w:sz w:val="17"/>
          <w:szCs w:val="17"/>
          <w:lang w:val="en-CA"/>
        </w:rPr>
        <w:t xml:space="preserve">the </w:t>
      </w:r>
      <w:r w:rsidRPr="00D065BF">
        <w:rPr>
          <w:rFonts w:ascii="Arial" w:hAnsi="Arial" w:cs="Arial"/>
          <w:sz w:val="17"/>
          <w:szCs w:val="17"/>
        </w:rPr>
        <w:t xml:space="preserve">Reserve Bank </w:t>
      </w:r>
      <w:r w:rsidRPr="00D065BF">
        <w:rPr>
          <w:rFonts w:ascii="Arial" w:hAnsi="Arial" w:cs="Arial"/>
          <w:sz w:val="17"/>
          <w:szCs w:val="17"/>
          <w:lang w:val="en-CA"/>
        </w:rPr>
        <w:t>o</w:t>
      </w:r>
      <w:r w:rsidRPr="00D065BF">
        <w:rPr>
          <w:rFonts w:ascii="Arial" w:hAnsi="Arial" w:cs="Arial"/>
          <w:sz w:val="17"/>
          <w:szCs w:val="17"/>
        </w:rPr>
        <w:t>f India</w:t>
      </w:r>
      <w:r w:rsidRPr="00D065BF">
        <w:rPr>
          <w:rFonts w:ascii="Arial" w:hAnsi="Arial" w:cs="Arial"/>
          <w:sz w:val="17"/>
          <w:szCs w:val="17"/>
          <w:lang w:val="en-CA"/>
        </w:rPr>
        <w:t>,</w:t>
      </w:r>
      <w:r w:rsidRPr="00D065BF">
        <w:rPr>
          <w:rFonts w:ascii="Arial" w:hAnsi="Arial" w:cs="Arial"/>
          <w:sz w:val="17"/>
          <w:szCs w:val="17"/>
        </w:rPr>
        <w:t xml:space="preserve"> Tier 1 </w:t>
      </w:r>
      <w:r>
        <w:rPr>
          <w:rFonts w:ascii="Arial" w:hAnsi="Arial" w:cs="Arial"/>
          <w:sz w:val="17"/>
          <w:szCs w:val="17"/>
        </w:rPr>
        <w:t xml:space="preserve">cities </w:t>
      </w:r>
      <w:r>
        <w:rPr>
          <w:rFonts w:ascii="Arial" w:hAnsi="Arial" w:cs="Arial"/>
          <w:sz w:val="17"/>
          <w:szCs w:val="17"/>
          <w:lang w:val="en-CA"/>
        </w:rPr>
        <w:t>have</w:t>
      </w:r>
      <w:r w:rsidRPr="00D065BF">
        <w:rPr>
          <w:rFonts w:ascii="Arial" w:hAnsi="Arial" w:cs="Arial"/>
          <w:sz w:val="17"/>
          <w:szCs w:val="17"/>
          <w:lang w:val="en-CA"/>
        </w:rPr>
        <w:t xml:space="preserve"> </w:t>
      </w:r>
      <w:r w:rsidRPr="00D065BF">
        <w:rPr>
          <w:rFonts w:ascii="Arial" w:hAnsi="Arial" w:cs="Arial"/>
          <w:sz w:val="17"/>
          <w:szCs w:val="17"/>
        </w:rPr>
        <w:t>populations greater than 100,000</w:t>
      </w:r>
      <w:r>
        <w:rPr>
          <w:rFonts w:ascii="Arial" w:hAnsi="Arial" w:cs="Arial"/>
          <w:sz w:val="17"/>
          <w:szCs w:val="17"/>
        </w:rPr>
        <w:t>,</w:t>
      </w:r>
      <w:r w:rsidRPr="00D065BF">
        <w:rPr>
          <w:rFonts w:ascii="Arial" w:hAnsi="Arial" w:cs="Arial"/>
          <w:sz w:val="17"/>
          <w:szCs w:val="17"/>
          <w:lang w:val="en-CA"/>
        </w:rPr>
        <w:t xml:space="preserve"> and</w:t>
      </w:r>
      <w:r w:rsidRPr="00D065BF">
        <w:rPr>
          <w:rFonts w:ascii="Arial" w:hAnsi="Arial" w:cs="Arial"/>
          <w:sz w:val="17"/>
          <w:szCs w:val="17"/>
        </w:rPr>
        <w:t xml:space="preserve"> Tier </w:t>
      </w:r>
      <w:r>
        <w:rPr>
          <w:rFonts w:ascii="Arial" w:hAnsi="Arial" w:cs="Arial"/>
          <w:sz w:val="17"/>
          <w:szCs w:val="17"/>
        </w:rPr>
        <w:t>2</w:t>
      </w:r>
      <w:r w:rsidRPr="00D065BF">
        <w:rPr>
          <w:rFonts w:ascii="Arial" w:hAnsi="Arial" w:cs="Arial"/>
          <w:sz w:val="17"/>
          <w:szCs w:val="17"/>
        </w:rPr>
        <w:t xml:space="preserve"> </w:t>
      </w:r>
      <w:r>
        <w:rPr>
          <w:rFonts w:ascii="Arial" w:hAnsi="Arial" w:cs="Arial"/>
          <w:sz w:val="17"/>
          <w:szCs w:val="17"/>
          <w:lang w:val="en-CA"/>
        </w:rPr>
        <w:t xml:space="preserve">cities have </w:t>
      </w:r>
      <w:r w:rsidRPr="00D065BF">
        <w:rPr>
          <w:rFonts w:ascii="Arial" w:hAnsi="Arial" w:cs="Arial"/>
          <w:sz w:val="17"/>
          <w:szCs w:val="17"/>
        </w:rPr>
        <w:t xml:space="preserve">populations </w:t>
      </w:r>
      <w:r>
        <w:rPr>
          <w:rFonts w:ascii="Arial" w:hAnsi="Arial" w:cs="Arial"/>
          <w:sz w:val="17"/>
          <w:szCs w:val="17"/>
          <w:lang w:val="en-CA"/>
        </w:rPr>
        <w:t>between</w:t>
      </w:r>
      <w:r w:rsidRPr="00181F14">
        <w:rPr>
          <w:rFonts w:ascii="Arial" w:hAnsi="Arial" w:cs="Arial"/>
          <w:sz w:val="17"/>
          <w:szCs w:val="17"/>
        </w:rPr>
        <w:t xml:space="preserve"> 99,999 and 50,000</w:t>
      </w:r>
      <w:r>
        <w:rPr>
          <w:rFonts w:ascii="Arial" w:hAnsi="Arial" w:cs="Arial"/>
          <w:sz w:val="17"/>
          <w:szCs w:val="17"/>
          <w:lang w:val="en-CA"/>
        </w:rPr>
        <w:t>.</w:t>
      </w:r>
    </w:p>
  </w:footnote>
  <w:footnote w:id="4">
    <w:p w14:paraId="6EB1F9FA" w14:textId="51ACA077" w:rsidR="00757EC9" w:rsidRDefault="00757EC9" w:rsidP="00757EC9">
      <w:pPr>
        <w:pStyle w:val="NoSpacing"/>
        <w:jc w:val="both"/>
        <w:rPr>
          <w:rFonts w:ascii="Arial" w:hAnsi="Arial" w:cs="Arial"/>
          <w:sz w:val="17"/>
          <w:szCs w:val="17"/>
        </w:rPr>
      </w:pPr>
      <w:r w:rsidRPr="008D02E2">
        <w:rPr>
          <w:rStyle w:val="FootnoteReference"/>
          <w:rFonts w:ascii="Arial" w:hAnsi="Arial" w:cs="Arial"/>
          <w:sz w:val="17"/>
          <w:szCs w:val="17"/>
        </w:rPr>
        <w:footnoteRef/>
      </w:r>
      <w:r w:rsidRPr="008D02E2">
        <w:rPr>
          <w:rFonts w:ascii="Arial" w:hAnsi="Arial" w:cs="Arial"/>
          <w:sz w:val="17"/>
          <w:szCs w:val="17"/>
        </w:rPr>
        <w:t xml:space="preserve"> </w:t>
      </w:r>
      <w:r>
        <w:rPr>
          <w:rFonts w:ascii="Arial" w:hAnsi="Arial" w:cs="Arial"/>
          <w:sz w:val="17"/>
          <w:szCs w:val="17"/>
        </w:rPr>
        <w:t>“</w:t>
      </w:r>
      <w:r w:rsidRPr="008D02E2">
        <w:rPr>
          <w:rFonts w:ascii="Arial" w:hAnsi="Arial" w:cs="Arial"/>
          <w:sz w:val="17"/>
          <w:szCs w:val="17"/>
        </w:rPr>
        <w:t xml:space="preserve">The Indian </w:t>
      </w:r>
      <w:r>
        <w:rPr>
          <w:rFonts w:ascii="Arial" w:hAnsi="Arial" w:cs="Arial"/>
          <w:sz w:val="17"/>
          <w:szCs w:val="17"/>
        </w:rPr>
        <w:t>T</w:t>
      </w:r>
      <w:r w:rsidRPr="008D02E2">
        <w:rPr>
          <w:rFonts w:ascii="Arial" w:hAnsi="Arial" w:cs="Arial"/>
          <w:sz w:val="17"/>
          <w:szCs w:val="17"/>
        </w:rPr>
        <w:t xml:space="preserve">oy </w:t>
      </w:r>
      <w:r>
        <w:rPr>
          <w:rFonts w:ascii="Arial" w:hAnsi="Arial" w:cs="Arial"/>
          <w:sz w:val="17"/>
          <w:szCs w:val="17"/>
        </w:rPr>
        <w:t>I</w:t>
      </w:r>
      <w:r w:rsidRPr="008D02E2">
        <w:rPr>
          <w:rFonts w:ascii="Arial" w:hAnsi="Arial" w:cs="Arial"/>
          <w:sz w:val="17"/>
          <w:szCs w:val="17"/>
        </w:rPr>
        <w:t xml:space="preserve">ndustry at a </w:t>
      </w:r>
      <w:r>
        <w:rPr>
          <w:rFonts w:ascii="Arial" w:hAnsi="Arial" w:cs="Arial"/>
          <w:sz w:val="17"/>
          <w:szCs w:val="17"/>
        </w:rPr>
        <w:t>G</w:t>
      </w:r>
      <w:r w:rsidRPr="008D02E2">
        <w:rPr>
          <w:rFonts w:ascii="Arial" w:hAnsi="Arial" w:cs="Arial"/>
          <w:sz w:val="17"/>
          <w:szCs w:val="17"/>
        </w:rPr>
        <w:t>lance 2015</w:t>
      </w:r>
      <w:r>
        <w:rPr>
          <w:rFonts w:ascii="Arial" w:hAnsi="Arial" w:cs="Arial"/>
          <w:sz w:val="17"/>
          <w:szCs w:val="17"/>
        </w:rPr>
        <w:t>–</w:t>
      </w:r>
      <w:r w:rsidRPr="008D02E2">
        <w:rPr>
          <w:rFonts w:ascii="Arial" w:hAnsi="Arial" w:cs="Arial"/>
          <w:sz w:val="17"/>
          <w:szCs w:val="17"/>
        </w:rPr>
        <w:t>16,</w:t>
      </w:r>
      <w:r>
        <w:rPr>
          <w:rFonts w:ascii="Arial" w:hAnsi="Arial" w:cs="Arial"/>
          <w:sz w:val="17"/>
          <w:szCs w:val="17"/>
        </w:rPr>
        <w:t>”</w:t>
      </w:r>
      <w:r w:rsidRPr="008D02E2">
        <w:rPr>
          <w:rFonts w:ascii="Arial" w:hAnsi="Arial" w:cs="Arial"/>
          <w:sz w:val="17"/>
          <w:szCs w:val="17"/>
        </w:rPr>
        <w:t xml:space="preserve"> Indian Mirror, accessed September 22, 2017, </w:t>
      </w:r>
      <w:r w:rsidRPr="00757EC9">
        <w:rPr>
          <w:rFonts w:ascii="Arial" w:hAnsi="Arial" w:cs="Arial"/>
          <w:sz w:val="17"/>
          <w:szCs w:val="17"/>
        </w:rPr>
        <w:t>www.indianmirror.com</w:t>
      </w:r>
    </w:p>
    <w:p w14:paraId="3A6C7BAE" w14:textId="3CCFE056" w:rsidR="00757EC9" w:rsidRPr="008D02E2" w:rsidRDefault="00757EC9" w:rsidP="00757EC9">
      <w:pPr>
        <w:pStyle w:val="NoSpacing"/>
        <w:jc w:val="both"/>
        <w:rPr>
          <w:rFonts w:ascii="Arial" w:hAnsi="Arial" w:cs="Arial"/>
          <w:sz w:val="17"/>
          <w:szCs w:val="17"/>
        </w:rPr>
      </w:pPr>
      <w:r w:rsidRPr="008D02E2">
        <w:rPr>
          <w:rFonts w:ascii="Arial" w:hAnsi="Arial" w:cs="Arial"/>
          <w:sz w:val="17"/>
          <w:szCs w:val="17"/>
        </w:rPr>
        <w:t>/indian-industries/2016/toy-2016.html</w:t>
      </w:r>
      <w:r>
        <w:rPr>
          <w:rFonts w:ascii="Arial" w:hAnsi="Arial" w:cs="Arial"/>
          <w:sz w:val="17"/>
          <w:szCs w:val="17"/>
        </w:rPr>
        <w:t>.</w:t>
      </w:r>
    </w:p>
  </w:footnote>
  <w:footnote w:id="5">
    <w:p w14:paraId="78376918" w14:textId="7FA8AC6F" w:rsidR="00757EC9" w:rsidRPr="00757EC9" w:rsidRDefault="00757EC9" w:rsidP="00757EC9">
      <w:pPr>
        <w:pStyle w:val="FootnoteText"/>
        <w:jc w:val="both"/>
        <w:rPr>
          <w:rFonts w:ascii="Arial" w:hAnsi="Arial" w:cs="Arial"/>
          <w:spacing w:val="-4"/>
          <w:sz w:val="17"/>
          <w:szCs w:val="17"/>
        </w:rPr>
      </w:pPr>
      <w:r w:rsidRPr="00BD45E2">
        <w:rPr>
          <w:rStyle w:val="FootnoteReference"/>
          <w:rFonts w:ascii="Arial" w:hAnsi="Arial" w:cs="Arial"/>
          <w:sz w:val="17"/>
          <w:szCs w:val="17"/>
        </w:rPr>
        <w:footnoteRef/>
      </w:r>
      <w:r w:rsidRPr="00BD45E2">
        <w:rPr>
          <w:rFonts w:ascii="Arial" w:hAnsi="Arial" w:cs="Arial"/>
          <w:sz w:val="17"/>
          <w:szCs w:val="17"/>
        </w:rPr>
        <w:t xml:space="preserve"> </w:t>
      </w:r>
      <w:r w:rsidRPr="00757EC9">
        <w:rPr>
          <w:rFonts w:ascii="Arial" w:hAnsi="Arial" w:cs="Arial"/>
          <w:spacing w:val="-4"/>
          <w:sz w:val="17"/>
          <w:szCs w:val="17"/>
          <w:lang w:val="en"/>
        </w:rPr>
        <w:t xml:space="preserve">Toy Industry Association Inc., </w:t>
      </w:r>
      <w:r w:rsidRPr="00757EC9">
        <w:rPr>
          <w:rFonts w:ascii="Arial" w:hAnsi="Arial" w:cs="Arial"/>
          <w:spacing w:val="-4"/>
          <w:sz w:val="17"/>
          <w:szCs w:val="17"/>
          <w:lang w:val="en-CA"/>
        </w:rPr>
        <w:t>“</w:t>
      </w:r>
      <w:r w:rsidRPr="00757EC9">
        <w:rPr>
          <w:rFonts w:ascii="Arial" w:hAnsi="Arial" w:cs="Arial"/>
          <w:spacing w:val="-4"/>
          <w:sz w:val="17"/>
          <w:szCs w:val="17"/>
          <w:lang w:val="en"/>
        </w:rPr>
        <w:t>Global Toy Market to Surpass $90 Billion in 2016,” press release, December 13, 2016, accessed May 3, 2017, www.toyassociation.org/PressRoom2/News/2016_News/Global_Toy_Market_to_Surpass_90_Billion_in_2016.</w:t>
      </w:r>
    </w:p>
  </w:footnote>
  <w:footnote w:id="6">
    <w:p w14:paraId="00C7AB0B" w14:textId="2FAC77DB" w:rsidR="00757EC9" w:rsidRPr="008D02E2" w:rsidRDefault="00757EC9" w:rsidP="00757EC9">
      <w:pPr>
        <w:jc w:val="both"/>
        <w:rPr>
          <w:rFonts w:ascii="Arial" w:hAnsi="Arial" w:cs="Arial"/>
          <w:sz w:val="17"/>
          <w:szCs w:val="17"/>
        </w:rPr>
      </w:pPr>
      <w:r w:rsidRPr="008D02E2">
        <w:rPr>
          <w:rStyle w:val="FootnoteReference"/>
          <w:rFonts w:ascii="Arial" w:hAnsi="Arial" w:cs="Arial"/>
          <w:sz w:val="17"/>
          <w:szCs w:val="17"/>
        </w:rPr>
        <w:footnoteRef/>
      </w:r>
      <w:r w:rsidRPr="008D02E2">
        <w:rPr>
          <w:rFonts w:ascii="Arial" w:hAnsi="Arial" w:cs="Arial"/>
          <w:sz w:val="17"/>
          <w:szCs w:val="17"/>
        </w:rPr>
        <w:t xml:space="preserve"> “Total </w:t>
      </w:r>
      <w:r>
        <w:rPr>
          <w:rFonts w:ascii="Arial" w:hAnsi="Arial" w:cs="Arial"/>
          <w:sz w:val="17"/>
          <w:szCs w:val="17"/>
        </w:rPr>
        <w:t>R</w:t>
      </w:r>
      <w:r w:rsidRPr="008D02E2">
        <w:rPr>
          <w:rFonts w:ascii="Arial" w:hAnsi="Arial" w:cs="Arial"/>
          <w:sz w:val="17"/>
          <w:szCs w:val="17"/>
        </w:rPr>
        <w:t xml:space="preserve">evenue of the </w:t>
      </w:r>
      <w:r>
        <w:rPr>
          <w:rFonts w:ascii="Arial" w:hAnsi="Arial" w:cs="Arial"/>
          <w:sz w:val="17"/>
          <w:szCs w:val="17"/>
        </w:rPr>
        <w:t>G</w:t>
      </w:r>
      <w:r w:rsidRPr="008D02E2">
        <w:rPr>
          <w:rFonts w:ascii="Arial" w:hAnsi="Arial" w:cs="Arial"/>
          <w:sz w:val="17"/>
          <w:szCs w:val="17"/>
        </w:rPr>
        <w:t xml:space="preserve">lobal </w:t>
      </w:r>
      <w:r>
        <w:rPr>
          <w:rFonts w:ascii="Arial" w:hAnsi="Arial" w:cs="Arial"/>
          <w:sz w:val="17"/>
          <w:szCs w:val="17"/>
        </w:rPr>
        <w:t>T</w:t>
      </w:r>
      <w:r w:rsidRPr="008D02E2">
        <w:rPr>
          <w:rFonts w:ascii="Arial" w:hAnsi="Arial" w:cs="Arial"/>
          <w:sz w:val="17"/>
          <w:szCs w:val="17"/>
        </w:rPr>
        <w:t xml:space="preserve">oy </w:t>
      </w:r>
      <w:r>
        <w:rPr>
          <w:rFonts w:ascii="Arial" w:hAnsi="Arial" w:cs="Arial"/>
          <w:sz w:val="17"/>
          <w:szCs w:val="17"/>
        </w:rPr>
        <w:t>M</w:t>
      </w:r>
      <w:r w:rsidRPr="008D02E2">
        <w:rPr>
          <w:rFonts w:ascii="Arial" w:hAnsi="Arial" w:cs="Arial"/>
          <w:sz w:val="17"/>
          <w:szCs w:val="17"/>
        </w:rPr>
        <w:t xml:space="preserve">arket from 2007 to 2015 (in </w:t>
      </w:r>
      <w:r>
        <w:rPr>
          <w:rFonts w:ascii="Arial" w:hAnsi="Arial" w:cs="Arial"/>
          <w:sz w:val="17"/>
          <w:szCs w:val="17"/>
        </w:rPr>
        <w:t>B</w:t>
      </w:r>
      <w:r w:rsidRPr="008D02E2">
        <w:rPr>
          <w:rFonts w:ascii="Arial" w:hAnsi="Arial" w:cs="Arial"/>
          <w:sz w:val="17"/>
          <w:szCs w:val="17"/>
        </w:rPr>
        <w:t xml:space="preserve">illion U.S. </w:t>
      </w:r>
      <w:r>
        <w:rPr>
          <w:rFonts w:ascii="Arial" w:hAnsi="Arial" w:cs="Arial"/>
          <w:sz w:val="17"/>
          <w:szCs w:val="17"/>
        </w:rPr>
        <w:t>D</w:t>
      </w:r>
      <w:r w:rsidRPr="008D02E2">
        <w:rPr>
          <w:rFonts w:ascii="Arial" w:hAnsi="Arial" w:cs="Arial"/>
          <w:sz w:val="17"/>
          <w:szCs w:val="17"/>
        </w:rPr>
        <w:t>ollars),</w:t>
      </w:r>
      <w:r>
        <w:rPr>
          <w:rFonts w:ascii="Arial" w:hAnsi="Arial" w:cs="Arial"/>
          <w:sz w:val="17"/>
          <w:szCs w:val="17"/>
        </w:rPr>
        <w:t>”</w:t>
      </w:r>
      <w:r w:rsidRPr="008D02E2">
        <w:rPr>
          <w:rFonts w:ascii="Arial" w:hAnsi="Arial" w:cs="Arial"/>
          <w:sz w:val="17"/>
          <w:szCs w:val="17"/>
        </w:rPr>
        <w:t xml:space="preserve"> Statista</w:t>
      </w:r>
      <w:r>
        <w:rPr>
          <w:rFonts w:ascii="Arial" w:hAnsi="Arial" w:cs="Arial"/>
          <w:sz w:val="17"/>
          <w:szCs w:val="17"/>
        </w:rPr>
        <w:t>,</w:t>
      </w:r>
      <w:r w:rsidRPr="008D02E2">
        <w:rPr>
          <w:rFonts w:ascii="Arial" w:hAnsi="Arial" w:cs="Arial"/>
          <w:sz w:val="17"/>
          <w:szCs w:val="17"/>
        </w:rPr>
        <w:t xml:space="preserve"> accessed May 3, 2017, www.statista.com/statistics/194395/revenue-of-the-global-toy-market-since-2007/</w:t>
      </w:r>
      <w:r>
        <w:rPr>
          <w:rFonts w:ascii="Arial" w:hAnsi="Arial" w:cs="Arial"/>
          <w:sz w:val="17"/>
          <w:szCs w:val="17"/>
        </w:rPr>
        <w:t>.</w:t>
      </w:r>
    </w:p>
  </w:footnote>
  <w:footnote w:id="7">
    <w:p w14:paraId="06F97913" w14:textId="1A302020" w:rsidR="00757EC9" w:rsidRPr="008D02E2" w:rsidRDefault="00757EC9" w:rsidP="00F94C30">
      <w:pPr>
        <w:rPr>
          <w:rFonts w:ascii="Arial" w:hAnsi="Arial" w:cs="Arial"/>
          <w:sz w:val="17"/>
          <w:szCs w:val="17"/>
        </w:rPr>
      </w:pPr>
      <w:r w:rsidRPr="008D02E2">
        <w:rPr>
          <w:rStyle w:val="FootnoteReference"/>
          <w:rFonts w:ascii="Arial" w:hAnsi="Arial" w:cs="Arial"/>
          <w:sz w:val="17"/>
          <w:szCs w:val="17"/>
        </w:rPr>
        <w:footnoteRef/>
      </w:r>
      <w:r w:rsidRPr="008D02E2">
        <w:rPr>
          <w:rFonts w:ascii="Arial" w:hAnsi="Arial" w:cs="Arial"/>
          <w:sz w:val="17"/>
          <w:szCs w:val="17"/>
        </w:rPr>
        <w:t xml:space="preserve"> </w:t>
      </w:r>
      <w:r w:rsidRPr="003A01AE">
        <w:rPr>
          <w:rFonts w:ascii="Arial" w:hAnsi="Arial" w:cs="Arial"/>
          <w:sz w:val="17"/>
          <w:szCs w:val="17"/>
        </w:rPr>
        <w:t>“Toys and Games in India,”</w:t>
      </w:r>
      <w:r w:rsidRPr="008D02E2">
        <w:rPr>
          <w:rFonts w:ascii="Arial" w:hAnsi="Arial" w:cs="Arial"/>
          <w:sz w:val="17"/>
          <w:szCs w:val="17"/>
        </w:rPr>
        <w:t xml:space="preserve"> </w:t>
      </w:r>
      <w:r>
        <w:rPr>
          <w:rFonts w:ascii="Arial" w:hAnsi="Arial" w:cs="Arial"/>
          <w:sz w:val="17"/>
          <w:szCs w:val="17"/>
        </w:rPr>
        <w:t xml:space="preserve">op. cit. </w:t>
      </w:r>
    </w:p>
  </w:footnote>
  <w:footnote w:id="8">
    <w:p w14:paraId="2BA68A99" w14:textId="378640E1" w:rsidR="00757EC9" w:rsidRPr="0002430A" w:rsidRDefault="00757EC9" w:rsidP="00F94C30">
      <w:pPr>
        <w:pStyle w:val="FootnoteText"/>
        <w:rPr>
          <w:rFonts w:ascii="Arial" w:hAnsi="Arial" w:cs="Arial"/>
          <w:sz w:val="17"/>
          <w:szCs w:val="17"/>
          <w:lang w:val="en-CA"/>
        </w:rPr>
      </w:pPr>
      <w:r w:rsidRPr="008D02E2">
        <w:rPr>
          <w:rStyle w:val="FootnoteReference"/>
          <w:rFonts w:ascii="Arial" w:hAnsi="Arial" w:cs="Arial"/>
          <w:sz w:val="17"/>
          <w:szCs w:val="17"/>
        </w:rPr>
        <w:footnoteRef/>
      </w:r>
      <w:r w:rsidRPr="008D02E2">
        <w:rPr>
          <w:rFonts w:ascii="Arial" w:hAnsi="Arial" w:cs="Arial"/>
          <w:sz w:val="17"/>
          <w:szCs w:val="17"/>
        </w:rPr>
        <w:t xml:space="preserve"> Bhardwaj, </w:t>
      </w:r>
      <w:r>
        <w:rPr>
          <w:rFonts w:ascii="Arial" w:hAnsi="Arial" w:cs="Arial"/>
          <w:sz w:val="17"/>
          <w:szCs w:val="17"/>
        </w:rPr>
        <w:t xml:space="preserve">op. cit. </w:t>
      </w:r>
    </w:p>
  </w:footnote>
  <w:footnote w:id="9">
    <w:p w14:paraId="2F1FD382" w14:textId="02EB57BB" w:rsidR="00757EC9" w:rsidRPr="0002430A" w:rsidRDefault="00757EC9" w:rsidP="00F94C30">
      <w:pPr>
        <w:pStyle w:val="FootnoteText"/>
        <w:rPr>
          <w:rFonts w:ascii="Arial" w:hAnsi="Arial" w:cs="Arial"/>
          <w:sz w:val="17"/>
          <w:szCs w:val="17"/>
          <w:lang w:val="en-CA"/>
        </w:rPr>
      </w:pPr>
      <w:r w:rsidRPr="008D02E2">
        <w:rPr>
          <w:rStyle w:val="FootnoteReference"/>
          <w:rFonts w:ascii="Arial" w:hAnsi="Arial" w:cs="Arial"/>
          <w:sz w:val="17"/>
          <w:szCs w:val="17"/>
        </w:rPr>
        <w:footnoteRef/>
      </w:r>
      <w:r w:rsidRPr="008D02E2">
        <w:rPr>
          <w:rFonts w:ascii="Arial" w:hAnsi="Arial" w:cs="Arial"/>
          <w:sz w:val="17"/>
          <w:szCs w:val="17"/>
        </w:rPr>
        <w:t xml:space="preserve"> </w:t>
      </w:r>
      <w:r w:rsidRPr="003A01AE">
        <w:rPr>
          <w:rFonts w:ascii="Arial" w:hAnsi="Arial" w:cs="Arial"/>
          <w:sz w:val="17"/>
          <w:szCs w:val="17"/>
        </w:rPr>
        <w:t>“Toys and Games in India,”</w:t>
      </w:r>
      <w:r w:rsidRPr="008D02E2">
        <w:rPr>
          <w:rFonts w:ascii="Arial" w:hAnsi="Arial" w:cs="Arial"/>
          <w:sz w:val="17"/>
          <w:szCs w:val="17"/>
        </w:rPr>
        <w:t xml:space="preserve"> </w:t>
      </w:r>
      <w:r>
        <w:rPr>
          <w:rFonts w:ascii="Arial" w:hAnsi="Arial" w:cs="Arial"/>
          <w:sz w:val="17"/>
          <w:szCs w:val="17"/>
        </w:rPr>
        <w:t xml:space="preserve">op. cit. </w:t>
      </w:r>
    </w:p>
  </w:footnote>
  <w:footnote w:id="10">
    <w:p w14:paraId="7301DBBB" w14:textId="498C05C4" w:rsidR="00757EC9" w:rsidRPr="0002430A" w:rsidRDefault="00757EC9" w:rsidP="00757EC9">
      <w:pPr>
        <w:pStyle w:val="FootnoteText"/>
        <w:jc w:val="both"/>
        <w:rPr>
          <w:rFonts w:ascii="Arial" w:hAnsi="Arial" w:cs="Arial"/>
          <w:sz w:val="17"/>
          <w:szCs w:val="17"/>
        </w:rPr>
      </w:pPr>
      <w:r w:rsidRPr="008D02E2">
        <w:rPr>
          <w:rStyle w:val="FootnoteReference"/>
          <w:rFonts w:ascii="Arial" w:hAnsi="Arial" w:cs="Arial"/>
          <w:sz w:val="17"/>
          <w:szCs w:val="17"/>
        </w:rPr>
        <w:footnoteRef/>
      </w:r>
      <w:r w:rsidRPr="008D02E2">
        <w:rPr>
          <w:rFonts w:ascii="Arial" w:hAnsi="Arial" w:cs="Arial"/>
          <w:sz w:val="17"/>
          <w:szCs w:val="17"/>
        </w:rPr>
        <w:t xml:space="preserve"> “Educational </w:t>
      </w:r>
      <w:r>
        <w:rPr>
          <w:rFonts w:ascii="Arial" w:hAnsi="Arial" w:cs="Arial"/>
          <w:sz w:val="17"/>
          <w:szCs w:val="17"/>
          <w:lang w:val="en-CA"/>
        </w:rPr>
        <w:t>T</w:t>
      </w:r>
      <w:r w:rsidRPr="008D02E2">
        <w:rPr>
          <w:rFonts w:ascii="Arial" w:hAnsi="Arial" w:cs="Arial"/>
          <w:sz w:val="17"/>
          <w:szCs w:val="17"/>
        </w:rPr>
        <w:t xml:space="preserve">oys the </w:t>
      </w:r>
      <w:r>
        <w:rPr>
          <w:rFonts w:ascii="Arial" w:hAnsi="Arial" w:cs="Arial"/>
          <w:sz w:val="17"/>
          <w:szCs w:val="17"/>
          <w:lang w:val="en-CA"/>
        </w:rPr>
        <w:t>N</w:t>
      </w:r>
      <w:r w:rsidRPr="008D02E2">
        <w:rPr>
          <w:rFonts w:ascii="Arial" w:hAnsi="Arial" w:cs="Arial"/>
          <w:sz w:val="17"/>
          <w:szCs w:val="17"/>
        </w:rPr>
        <w:t xml:space="preserve">ext </w:t>
      </w:r>
      <w:r>
        <w:rPr>
          <w:rFonts w:ascii="Arial" w:hAnsi="Arial" w:cs="Arial"/>
          <w:sz w:val="17"/>
          <w:szCs w:val="17"/>
          <w:lang w:val="en-CA"/>
        </w:rPr>
        <w:t>B</w:t>
      </w:r>
      <w:r w:rsidRPr="008D02E2">
        <w:rPr>
          <w:rFonts w:ascii="Arial" w:hAnsi="Arial" w:cs="Arial"/>
          <w:sz w:val="17"/>
          <w:szCs w:val="17"/>
        </w:rPr>
        <w:t xml:space="preserve">ig </w:t>
      </w:r>
      <w:r>
        <w:rPr>
          <w:rFonts w:ascii="Arial" w:hAnsi="Arial" w:cs="Arial"/>
          <w:sz w:val="17"/>
          <w:szCs w:val="17"/>
          <w:lang w:val="en-CA"/>
        </w:rPr>
        <w:t>T</w:t>
      </w:r>
      <w:r w:rsidRPr="008D02E2">
        <w:rPr>
          <w:rFonts w:ascii="Arial" w:hAnsi="Arial" w:cs="Arial"/>
          <w:sz w:val="17"/>
          <w:szCs w:val="17"/>
        </w:rPr>
        <w:t>hing in India</w:t>
      </w:r>
      <w:r>
        <w:rPr>
          <w:rFonts w:ascii="Arial" w:hAnsi="Arial" w:cs="Arial"/>
          <w:sz w:val="17"/>
          <w:szCs w:val="17"/>
          <w:lang w:val="en-CA"/>
        </w:rPr>
        <w:t>,</w:t>
      </w:r>
      <w:r w:rsidRPr="008D02E2">
        <w:rPr>
          <w:rFonts w:ascii="Arial" w:hAnsi="Arial" w:cs="Arial"/>
          <w:sz w:val="17"/>
          <w:szCs w:val="17"/>
        </w:rPr>
        <w:t xml:space="preserve">” DNA India, November 11, 2013, accessed May 26, 2017, </w:t>
      </w:r>
      <w:r w:rsidRPr="00BD45E2">
        <w:rPr>
          <w:rFonts w:ascii="Arial" w:hAnsi="Arial" w:cs="Arial"/>
          <w:sz w:val="17"/>
          <w:szCs w:val="17"/>
        </w:rPr>
        <w:t>www.dnaindia.com/academy/report-educational-toys-the-next-big-thing-in-india-1917300</w:t>
      </w:r>
      <w:r>
        <w:rPr>
          <w:rFonts w:ascii="Arial" w:hAnsi="Arial" w:cs="Arial"/>
          <w:sz w:val="17"/>
          <w:szCs w:val="17"/>
          <w:lang w:val="en-CA"/>
        </w:rPr>
        <w:t>.</w:t>
      </w:r>
    </w:p>
  </w:footnote>
  <w:footnote w:id="11">
    <w:p w14:paraId="295791A7" w14:textId="34D2BC6B" w:rsidR="00757EC9" w:rsidRPr="008D02E2" w:rsidRDefault="00757EC9" w:rsidP="00F94C30">
      <w:pPr>
        <w:pStyle w:val="NoSpacing"/>
        <w:rPr>
          <w:rFonts w:ascii="Arial" w:hAnsi="Arial" w:cs="Arial"/>
          <w:sz w:val="17"/>
          <w:szCs w:val="17"/>
        </w:rPr>
      </w:pPr>
      <w:r w:rsidRPr="008D02E2">
        <w:rPr>
          <w:rStyle w:val="FootnoteReference"/>
          <w:rFonts w:ascii="Arial" w:hAnsi="Arial" w:cs="Arial"/>
          <w:sz w:val="17"/>
          <w:szCs w:val="17"/>
        </w:rPr>
        <w:footnoteRef/>
      </w:r>
      <w:r w:rsidRPr="008D02E2">
        <w:rPr>
          <w:rFonts w:ascii="Arial" w:hAnsi="Arial" w:cs="Arial"/>
          <w:sz w:val="17"/>
          <w:szCs w:val="17"/>
        </w:rPr>
        <w:t xml:space="preserve"> Ibid</w:t>
      </w:r>
      <w:r>
        <w:rPr>
          <w:rFonts w:ascii="Arial" w:hAnsi="Arial" w:cs="Arial"/>
          <w:sz w:val="17"/>
          <w:szCs w:val="17"/>
        </w:rPr>
        <w:t xml:space="preserve">. </w:t>
      </w:r>
    </w:p>
  </w:footnote>
  <w:footnote w:id="12">
    <w:p w14:paraId="1F7B8784" w14:textId="41AE7CF8" w:rsidR="00757EC9" w:rsidRPr="009D6EED" w:rsidRDefault="00757EC9" w:rsidP="00757EC9">
      <w:pPr>
        <w:pStyle w:val="NoSpacing"/>
        <w:jc w:val="both"/>
        <w:rPr>
          <w:rFonts w:ascii="Arial" w:hAnsi="Arial" w:cs="Arial"/>
          <w:sz w:val="17"/>
          <w:szCs w:val="17"/>
        </w:rPr>
      </w:pPr>
      <w:r w:rsidRPr="009D6EED">
        <w:rPr>
          <w:rStyle w:val="FootnoteReference"/>
          <w:rFonts w:ascii="Arial" w:hAnsi="Arial" w:cs="Arial"/>
          <w:sz w:val="17"/>
          <w:szCs w:val="17"/>
        </w:rPr>
        <w:footnoteRef/>
      </w:r>
      <w:r w:rsidRPr="009D6EED">
        <w:rPr>
          <w:rFonts w:ascii="Arial" w:hAnsi="Arial" w:cs="Arial"/>
          <w:sz w:val="17"/>
          <w:szCs w:val="17"/>
        </w:rPr>
        <w:t xml:space="preserve"> “Demographics Point to 2020</w:t>
      </w:r>
      <w:r>
        <w:rPr>
          <w:rFonts w:ascii="Arial" w:hAnsi="Arial" w:cs="Arial"/>
          <w:sz w:val="17"/>
          <w:szCs w:val="17"/>
        </w:rPr>
        <w:t>–</w:t>
      </w:r>
      <w:r w:rsidRPr="009D6EED">
        <w:rPr>
          <w:rFonts w:ascii="Arial" w:hAnsi="Arial" w:cs="Arial"/>
          <w:sz w:val="17"/>
          <w:szCs w:val="17"/>
        </w:rPr>
        <w:t>2025 as the Golden Years for India</w:t>
      </w:r>
      <w:r>
        <w:rPr>
          <w:rFonts w:ascii="Arial" w:hAnsi="Arial" w:cs="Arial"/>
          <w:sz w:val="17"/>
          <w:szCs w:val="17"/>
        </w:rPr>
        <w:t>’</w:t>
      </w:r>
      <w:r w:rsidRPr="009D6EED">
        <w:rPr>
          <w:rFonts w:ascii="Arial" w:hAnsi="Arial" w:cs="Arial"/>
          <w:sz w:val="17"/>
          <w:szCs w:val="17"/>
        </w:rPr>
        <w:t>s Toys and Games Market</w:t>
      </w:r>
      <w:r>
        <w:rPr>
          <w:rFonts w:ascii="Arial" w:hAnsi="Arial" w:cs="Arial"/>
          <w:sz w:val="17"/>
          <w:szCs w:val="17"/>
        </w:rPr>
        <w:t>,</w:t>
      </w:r>
      <w:r w:rsidRPr="009D6EED">
        <w:rPr>
          <w:rFonts w:ascii="Arial" w:hAnsi="Arial" w:cs="Arial"/>
          <w:sz w:val="17"/>
          <w:szCs w:val="17"/>
        </w:rPr>
        <w:t xml:space="preserve">” </w:t>
      </w:r>
      <w:r>
        <w:rPr>
          <w:rFonts w:ascii="Arial" w:hAnsi="Arial" w:cs="Arial"/>
          <w:sz w:val="17"/>
          <w:szCs w:val="17"/>
        </w:rPr>
        <w:t>Euromonitor Passport</w:t>
      </w:r>
      <w:r w:rsidRPr="009D6EED">
        <w:rPr>
          <w:rFonts w:ascii="Arial" w:hAnsi="Arial" w:cs="Arial"/>
          <w:sz w:val="17"/>
          <w:szCs w:val="17"/>
        </w:rPr>
        <w:t>, accessed May 30, 2017</w:t>
      </w:r>
      <w:r>
        <w:rPr>
          <w:rFonts w:ascii="Arial" w:hAnsi="Arial" w:cs="Arial"/>
          <w:sz w:val="17"/>
          <w:szCs w:val="17"/>
        </w:rPr>
        <w:t>.</w:t>
      </w:r>
    </w:p>
  </w:footnote>
  <w:footnote w:id="13">
    <w:p w14:paraId="610A903E" w14:textId="15AC3123" w:rsidR="00757EC9" w:rsidRPr="003A01AE" w:rsidRDefault="00757EC9" w:rsidP="00757EC9">
      <w:pPr>
        <w:pStyle w:val="FootnoteText"/>
        <w:jc w:val="both"/>
        <w:rPr>
          <w:rFonts w:ascii="Arial" w:hAnsi="Arial" w:cs="Arial"/>
          <w:spacing w:val="-4"/>
          <w:sz w:val="17"/>
          <w:szCs w:val="17"/>
          <w:lang w:val="en-CA"/>
        </w:rPr>
      </w:pPr>
      <w:r w:rsidRPr="009D6EED">
        <w:rPr>
          <w:rStyle w:val="FootnoteReference"/>
          <w:rFonts w:ascii="Arial" w:hAnsi="Arial" w:cs="Arial"/>
          <w:sz w:val="17"/>
          <w:szCs w:val="17"/>
        </w:rPr>
        <w:footnoteRef/>
      </w:r>
      <w:r w:rsidRPr="009D6EED">
        <w:rPr>
          <w:rFonts w:ascii="Arial" w:hAnsi="Arial" w:cs="Arial"/>
          <w:sz w:val="17"/>
          <w:szCs w:val="17"/>
        </w:rPr>
        <w:t xml:space="preserve"> </w:t>
      </w:r>
      <w:r w:rsidRPr="003A01AE">
        <w:rPr>
          <w:rFonts w:ascii="Arial" w:hAnsi="Arial" w:cs="Arial"/>
          <w:spacing w:val="-2"/>
          <w:sz w:val="17"/>
          <w:szCs w:val="17"/>
        </w:rPr>
        <w:t>Sycom Projects Consultants Pvt</w:t>
      </w:r>
      <w:r>
        <w:rPr>
          <w:rFonts w:ascii="Arial" w:hAnsi="Arial" w:cs="Arial"/>
          <w:spacing w:val="-2"/>
          <w:sz w:val="17"/>
          <w:szCs w:val="17"/>
        </w:rPr>
        <w:t>.</w:t>
      </w:r>
      <w:r w:rsidRPr="003A01AE">
        <w:rPr>
          <w:rFonts w:ascii="Arial" w:hAnsi="Arial" w:cs="Arial"/>
          <w:spacing w:val="-2"/>
          <w:sz w:val="17"/>
          <w:szCs w:val="17"/>
        </w:rPr>
        <w:t xml:space="preserve"> Ltd</w:t>
      </w:r>
      <w:r>
        <w:rPr>
          <w:rFonts w:ascii="Arial" w:hAnsi="Arial" w:cs="Arial"/>
          <w:spacing w:val="-2"/>
          <w:sz w:val="17"/>
          <w:szCs w:val="17"/>
        </w:rPr>
        <w:t>.</w:t>
      </w:r>
      <w:r w:rsidRPr="003A01AE">
        <w:rPr>
          <w:rFonts w:ascii="Arial" w:hAnsi="Arial" w:cs="Arial"/>
          <w:spacing w:val="-2"/>
          <w:sz w:val="17"/>
          <w:szCs w:val="17"/>
          <w:lang w:val="en-CA"/>
        </w:rPr>
        <w:t>, “Final Report: Study to Assess the Impact of Chinese Imports on MSMEs in Toy Industry and to Suggest Remedial Measures for Corrective Action, r</w:t>
      </w:r>
      <w:r w:rsidRPr="003A01AE">
        <w:rPr>
          <w:rFonts w:ascii="Arial" w:hAnsi="Arial" w:cs="Arial"/>
          <w:spacing w:val="-2"/>
          <w:sz w:val="17"/>
          <w:szCs w:val="17"/>
        </w:rPr>
        <w:t>eport submitted to</w:t>
      </w:r>
      <w:r w:rsidRPr="003A01AE">
        <w:rPr>
          <w:rFonts w:ascii="Arial" w:hAnsi="Arial" w:cs="Arial"/>
          <w:spacing w:val="-2"/>
          <w:sz w:val="17"/>
          <w:szCs w:val="17"/>
          <w:lang w:val="en-CA"/>
        </w:rPr>
        <w:t xml:space="preserve"> the</w:t>
      </w:r>
      <w:r w:rsidRPr="003A01AE">
        <w:rPr>
          <w:rFonts w:ascii="Arial" w:hAnsi="Arial" w:cs="Arial"/>
          <w:spacing w:val="-2"/>
          <w:sz w:val="17"/>
          <w:szCs w:val="17"/>
        </w:rPr>
        <w:t xml:space="preserve"> National Small Industries Corporation Limited (</w:t>
      </w:r>
      <w:r w:rsidRPr="003A01AE">
        <w:rPr>
          <w:rFonts w:ascii="Arial" w:hAnsi="Arial" w:cs="Arial"/>
          <w:spacing w:val="-2"/>
          <w:sz w:val="17"/>
          <w:szCs w:val="17"/>
          <w:lang w:val="en-CA"/>
        </w:rPr>
        <w:t>a</w:t>
      </w:r>
      <w:r w:rsidRPr="003A01AE">
        <w:rPr>
          <w:rFonts w:ascii="Arial" w:hAnsi="Arial" w:cs="Arial"/>
          <w:spacing w:val="-2"/>
          <w:sz w:val="17"/>
          <w:szCs w:val="17"/>
        </w:rPr>
        <w:t xml:space="preserve"> Government of India</w:t>
      </w:r>
      <w:r w:rsidRPr="003A01AE">
        <w:rPr>
          <w:rFonts w:ascii="Arial" w:hAnsi="Arial" w:cs="Arial"/>
          <w:spacing w:val="-2"/>
          <w:sz w:val="17"/>
          <w:szCs w:val="17"/>
          <w:lang w:val="en-CA"/>
        </w:rPr>
        <w:t xml:space="preserve"> enterprise</w:t>
      </w:r>
      <w:r>
        <w:rPr>
          <w:rFonts w:ascii="Arial" w:hAnsi="Arial" w:cs="Arial"/>
          <w:spacing w:val="-2"/>
          <w:sz w:val="17"/>
          <w:szCs w:val="17"/>
          <w:lang w:val="en-CA"/>
        </w:rPr>
        <w:t>)</w:t>
      </w:r>
      <w:r w:rsidRPr="003A01AE">
        <w:rPr>
          <w:rFonts w:ascii="Arial" w:hAnsi="Arial" w:cs="Arial"/>
          <w:spacing w:val="-2"/>
          <w:sz w:val="17"/>
          <w:szCs w:val="17"/>
        </w:rPr>
        <w:t>, accessed May 17, 2017, www.nsic.co.in/</w:t>
      </w:r>
      <w:r w:rsidRPr="003A01AE">
        <w:rPr>
          <w:rFonts w:ascii="Arial" w:hAnsi="Arial" w:cs="Arial"/>
          <w:spacing w:val="-2"/>
          <w:sz w:val="17"/>
          <w:szCs w:val="17"/>
          <w:lang w:val="en-CA"/>
        </w:rPr>
        <w:t>pdfs/</w:t>
      </w:r>
      <w:r w:rsidRPr="003A01AE">
        <w:rPr>
          <w:rFonts w:ascii="Arial" w:hAnsi="Arial" w:cs="Arial"/>
          <w:spacing w:val="-2"/>
          <w:sz w:val="17"/>
          <w:szCs w:val="17"/>
        </w:rPr>
        <w:t>STUDY/STOYCHINA.PDF</w:t>
      </w:r>
      <w:r w:rsidRPr="003A01AE">
        <w:rPr>
          <w:rFonts w:ascii="Arial" w:hAnsi="Arial" w:cs="Arial"/>
          <w:spacing w:val="-2"/>
          <w:sz w:val="17"/>
          <w:szCs w:val="17"/>
          <w:lang w:val="en-CA"/>
        </w:rPr>
        <w:t>.</w:t>
      </w:r>
    </w:p>
  </w:footnote>
  <w:footnote w:id="14">
    <w:p w14:paraId="6D4C8AB0" w14:textId="48777CC3" w:rsidR="00757EC9" w:rsidRPr="0002430A" w:rsidRDefault="00757EC9" w:rsidP="00757EC9">
      <w:pPr>
        <w:pStyle w:val="FootnoteText"/>
        <w:jc w:val="both"/>
        <w:rPr>
          <w:rFonts w:ascii="Arial" w:hAnsi="Arial" w:cs="Arial"/>
          <w:sz w:val="17"/>
          <w:szCs w:val="17"/>
          <w:lang w:val="en-CA"/>
        </w:rPr>
      </w:pPr>
      <w:r w:rsidRPr="009D6EED">
        <w:rPr>
          <w:rStyle w:val="FootnoteReference"/>
          <w:rFonts w:ascii="Arial" w:hAnsi="Arial" w:cs="Arial"/>
          <w:sz w:val="17"/>
          <w:szCs w:val="17"/>
        </w:rPr>
        <w:footnoteRef/>
      </w:r>
      <w:r w:rsidRPr="009D6EED">
        <w:rPr>
          <w:rFonts w:ascii="Arial" w:hAnsi="Arial" w:cs="Arial"/>
          <w:sz w:val="17"/>
          <w:szCs w:val="17"/>
        </w:rPr>
        <w:t xml:space="preserve"> Z</w:t>
      </w:r>
      <w:r>
        <w:rPr>
          <w:rFonts w:ascii="Arial" w:hAnsi="Arial" w:cs="Arial"/>
          <w:sz w:val="17"/>
          <w:szCs w:val="17"/>
        </w:rPr>
        <w:t>han</w:t>
      </w:r>
      <w:r w:rsidRPr="009D6EED">
        <w:rPr>
          <w:rFonts w:ascii="Arial" w:hAnsi="Arial" w:cs="Arial"/>
          <w:sz w:val="17"/>
          <w:szCs w:val="17"/>
        </w:rPr>
        <w:t xml:space="preserve"> Leiseng, </w:t>
      </w:r>
      <w:r>
        <w:rPr>
          <w:rFonts w:ascii="Arial" w:hAnsi="Arial" w:cs="Arial"/>
          <w:sz w:val="17"/>
          <w:szCs w:val="17"/>
          <w:lang w:val="en-CA"/>
        </w:rPr>
        <w:t>“</w:t>
      </w:r>
      <w:r w:rsidRPr="009D6EED">
        <w:rPr>
          <w:rFonts w:ascii="Arial" w:hAnsi="Arial" w:cs="Arial"/>
          <w:sz w:val="17"/>
          <w:szCs w:val="17"/>
        </w:rPr>
        <w:t xml:space="preserve">Guangdong </w:t>
      </w:r>
      <w:r>
        <w:rPr>
          <w:rFonts w:ascii="Arial" w:hAnsi="Arial" w:cs="Arial"/>
          <w:sz w:val="17"/>
          <w:szCs w:val="17"/>
          <w:lang w:val="en-CA"/>
        </w:rPr>
        <w:t>T</w:t>
      </w:r>
      <w:r w:rsidRPr="009D6EED">
        <w:rPr>
          <w:rFonts w:ascii="Arial" w:hAnsi="Arial" w:cs="Arial"/>
          <w:sz w:val="17"/>
          <w:szCs w:val="17"/>
        </w:rPr>
        <w:t xml:space="preserve">oys </w:t>
      </w:r>
      <w:r>
        <w:rPr>
          <w:rFonts w:ascii="Arial" w:hAnsi="Arial" w:cs="Arial"/>
          <w:sz w:val="17"/>
          <w:szCs w:val="17"/>
          <w:lang w:val="en-CA"/>
        </w:rPr>
        <w:t>R</w:t>
      </w:r>
      <w:r w:rsidRPr="009D6EED">
        <w:rPr>
          <w:rFonts w:ascii="Arial" w:hAnsi="Arial" w:cs="Arial"/>
          <w:sz w:val="17"/>
          <w:szCs w:val="17"/>
        </w:rPr>
        <w:t xml:space="preserve">eady for </w:t>
      </w:r>
      <w:r>
        <w:rPr>
          <w:rFonts w:ascii="Arial" w:hAnsi="Arial" w:cs="Arial"/>
          <w:sz w:val="17"/>
          <w:szCs w:val="17"/>
          <w:lang w:val="en-CA"/>
        </w:rPr>
        <w:t>M</w:t>
      </w:r>
      <w:r w:rsidRPr="009D6EED">
        <w:rPr>
          <w:rFonts w:ascii="Arial" w:hAnsi="Arial" w:cs="Arial"/>
          <w:sz w:val="17"/>
          <w:szCs w:val="17"/>
        </w:rPr>
        <w:t xml:space="preserve">arket </w:t>
      </w:r>
      <w:r>
        <w:rPr>
          <w:rFonts w:ascii="Arial" w:hAnsi="Arial" w:cs="Arial"/>
          <w:sz w:val="17"/>
          <w:szCs w:val="17"/>
          <w:lang w:val="en-CA"/>
        </w:rPr>
        <w:t>A</w:t>
      </w:r>
      <w:r w:rsidRPr="009D6EED">
        <w:rPr>
          <w:rFonts w:ascii="Arial" w:hAnsi="Arial" w:cs="Arial"/>
          <w:sz w:val="17"/>
          <w:szCs w:val="17"/>
        </w:rPr>
        <w:t>broad</w:t>
      </w:r>
      <w:r>
        <w:rPr>
          <w:rFonts w:ascii="Arial" w:hAnsi="Arial" w:cs="Arial"/>
          <w:sz w:val="17"/>
          <w:szCs w:val="17"/>
          <w:lang w:val="en-CA"/>
        </w:rPr>
        <w:t>,</w:t>
      </w:r>
      <w:r w:rsidRPr="009D6EED">
        <w:rPr>
          <w:rFonts w:ascii="Arial" w:hAnsi="Arial" w:cs="Arial"/>
          <w:sz w:val="17"/>
          <w:szCs w:val="17"/>
        </w:rPr>
        <w:t xml:space="preserve">” </w:t>
      </w:r>
      <w:r w:rsidRPr="00757EC9">
        <w:rPr>
          <w:rFonts w:ascii="Arial" w:hAnsi="Arial" w:cs="Arial"/>
          <w:i/>
          <w:sz w:val="17"/>
          <w:szCs w:val="17"/>
        </w:rPr>
        <w:t>China Daily</w:t>
      </w:r>
      <w:r w:rsidRPr="009D6EED">
        <w:rPr>
          <w:rFonts w:ascii="Arial" w:hAnsi="Arial" w:cs="Arial"/>
          <w:sz w:val="17"/>
          <w:szCs w:val="17"/>
        </w:rPr>
        <w:t>, March 18</w:t>
      </w:r>
      <w:r>
        <w:rPr>
          <w:rFonts w:ascii="Arial" w:hAnsi="Arial" w:cs="Arial"/>
          <w:sz w:val="17"/>
          <w:szCs w:val="17"/>
          <w:lang w:val="en-CA"/>
        </w:rPr>
        <w:t>,</w:t>
      </w:r>
      <w:r w:rsidRPr="009D6EED">
        <w:rPr>
          <w:rFonts w:ascii="Arial" w:hAnsi="Arial" w:cs="Arial"/>
          <w:sz w:val="17"/>
          <w:szCs w:val="17"/>
        </w:rPr>
        <w:t xml:space="preserve"> 2016</w:t>
      </w:r>
      <w:r>
        <w:rPr>
          <w:rFonts w:ascii="Arial" w:hAnsi="Arial" w:cs="Arial"/>
          <w:sz w:val="17"/>
          <w:szCs w:val="17"/>
        </w:rPr>
        <w:t xml:space="preserve">, </w:t>
      </w:r>
      <w:r w:rsidRPr="009D6EED">
        <w:rPr>
          <w:rFonts w:ascii="Arial" w:hAnsi="Arial" w:cs="Arial"/>
          <w:sz w:val="17"/>
          <w:szCs w:val="17"/>
        </w:rPr>
        <w:t>accessed May 14, 2017</w:t>
      </w:r>
      <w:r>
        <w:rPr>
          <w:rFonts w:ascii="Arial" w:hAnsi="Arial" w:cs="Arial"/>
          <w:sz w:val="17"/>
          <w:szCs w:val="17"/>
          <w:lang w:val="en-CA"/>
        </w:rPr>
        <w:t xml:space="preserve">, </w:t>
      </w:r>
      <w:r w:rsidRPr="009D6EED">
        <w:rPr>
          <w:rFonts w:ascii="Arial" w:hAnsi="Arial" w:cs="Arial"/>
          <w:sz w:val="17"/>
          <w:szCs w:val="17"/>
        </w:rPr>
        <w:t>www.chinadaily.com.cn/regional/2016-03/18/content_23946747.htm</w:t>
      </w:r>
      <w:r>
        <w:rPr>
          <w:rFonts w:ascii="Arial" w:hAnsi="Arial" w:cs="Arial"/>
          <w:sz w:val="17"/>
          <w:szCs w:val="17"/>
          <w:lang w:val="en-CA"/>
        </w:rPr>
        <w:t>.</w:t>
      </w:r>
    </w:p>
  </w:footnote>
  <w:footnote w:id="15">
    <w:p w14:paraId="2C717EEB" w14:textId="3FFC3ACD" w:rsidR="00757EC9" w:rsidRPr="009D6EED" w:rsidRDefault="00757EC9" w:rsidP="00757EC9">
      <w:pPr>
        <w:pStyle w:val="NoSpacing"/>
        <w:jc w:val="both"/>
        <w:rPr>
          <w:rFonts w:ascii="Arial" w:hAnsi="Arial" w:cs="Arial"/>
          <w:sz w:val="17"/>
          <w:szCs w:val="17"/>
        </w:rPr>
      </w:pPr>
      <w:r w:rsidRPr="009D6EED">
        <w:rPr>
          <w:rFonts w:ascii="Arial" w:hAnsi="Arial" w:cs="Arial"/>
          <w:sz w:val="17"/>
          <w:szCs w:val="17"/>
          <w:vertAlign w:val="superscript"/>
        </w:rPr>
        <w:footnoteRef/>
      </w:r>
      <w:r w:rsidRPr="009D6EED">
        <w:rPr>
          <w:rFonts w:ascii="Arial" w:hAnsi="Arial" w:cs="Arial"/>
          <w:sz w:val="17"/>
          <w:szCs w:val="17"/>
        </w:rPr>
        <w:t xml:space="preserve"> Peter Navarro, </w:t>
      </w:r>
      <w:r>
        <w:rPr>
          <w:rFonts w:ascii="Arial" w:hAnsi="Arial" w:cs="Arial"/>
          <w:sz w:val="17"/>
          <w:szCs w:val="17"/>
        </w:rPr>
        <w:t>“R</w:t>
      </w:r>
      <w:r w:rsidRPr="009D6EED">
        <w:rPr>
          <w:rFonts w:ascii="Arial" w:hAnsi="Arial" w:cs="Arial"/>
          <w:sz w:val="17"/>
          <w:szCs w:val="17"/>
        </w:rPr>
        <w:t xml:space="preserve">eport of </w:t>
      </w:r>
      <w:r>
        <w:rPr>
          <w:rFonts w:ascii="Arial" w:hAnsi="Arial" w:cs="Arial"/>
          <w:sz w:val="17"/>
          <w:szCs w:val="17"/>
        </w:rPr>
        <w:t>‘</w:t>
      </w:r>
      <w:r w:rsidRPr="009D6EED">
        <w:rPr>
          <w:rFonts w:ascii="Arial" w:hAnsi="Arial" w:cs="Arial"/>
          <w:sz w:val="17"/>
          <w:szCs w:val="17"/>
        </w:rPr>
        <w:t>The China Price Project</w:t>
      </w:r>
      <w:r>
        <w:rPr>
          <w:rFonts w:ascii="Arial" w:hAnsi="Arial" w:cs="Arial"/>
          <w:sz w:val="17"/>
          <w:szCs w:val="17"/>
        </w:rPr>
        <w:t>,’</w:t>
      </w:r>
      <w:r w:rsidRPr="009D6EED">
        <w:rPr>
          <w:rFonts w:ascii="Arial" w:hAnsi="Arial" w:cs="Arial"/>
          <w:sz w:val="17"/>
          <w:szCs w:val="17"/>
        </w:rPr>
        <w:t>” Merage School of Business, University of California-Irvine, April 10, 2017</w:t>
      </w:r>
      <w:r>
        <w:rPr>
          <w:rFonts w:ascii="Arial" w:hAnsi="Arial" w:cs="Arial"/>
          <w:sz w:val="17"/>
          <w:szCs w:val="17"/>
        </w:rPr>
        <w:t xml:space="preserve">, </w:t>
      </w:r>
      <w:r w:rsidRPr="009D6EED">
        <w:rPr>
          <w:rFonts w:ascii="Arial" w:hAnsi="Arial" w:cs="Arial"/>
          <w:sz w:val="17"/>
          <w:szCs w:val="17"/>
        </w:rPr>
        <w:t>accessed May 30, 2017</w:t>
      </w:r>
      <w:r>
        <w:rPr>
          <w:rFonts w:ascii="Arial" w:hAnsi="Arial" w:cs="Arial"/>
          <w:sz w:val="17"/>
          <w:szCs w:val="17"/>
        </w:rPr>
        <w:t xml:space="preserve">, </w:t>
      </w:r>
      <w:r w:rsidRPr="009D6EED">
        <w:rPr>
          <w:rFonts w:ascii="Arial" w:hAnsi="Arial" w:cs="Arial"/>
          <w:sz w:val="17"/>
          <w:szCs w:val="17"/>
        </w:rPr>
        <w:t>www.peternavarro.com/sitebuildercontent/sitebuilderfiles/chinapricereport.pdf</w:t>
      </w:r>
      <w:r>
        <w:rPr>
          <w:rFonts w:ascii="Arial" w:hAnsi="Arial" w:cs="Arial"/>
          <w:sz w:val="17"/>
          <w:szCs w:val="17"/>
        </w:rPr>
        <w:t>.</w:t>
      </w:r>
      <w:r w:rsidRPr="009D6EED">
        <w:rPr>
          <w:rFonts w:ascii="Arial" w:hAnsi="Arial" w:cs="Arial"/>
          <w:sz w:val="17"/>
          <w:szCs w:val="17"/>
        </w:rPr>
        <w:t xml:space="preserve"> </w:t>
      </w:r>
    </w:p>
  </w:footnote>
  <w:footnote w:id="16">
    <w:p w14:paraId="191ED650" w14:textId="5A51428C" w:rsidR="00757EC9" w:rsidRPr="009D6EED" w:rsidRDefault="00757EC9" w:rsidP="00757EC9">
      <w:pPr>
        <w:pStyle w:val="NoSpacing"/>
        <w:jc w:val="both"/>
        <w:rPr>
          <w:rFonts w:ascii="Arial" w:hAnsi="Arial" w:cs="Arial"/>
          <w:sz w:val="17"/>
          <w:szCs w:val="17"/>
        </w:rPr>
      </w:pPr>
      <w:r w:rsidRPr="009D6EED">
        <w:rPr>
          <w:rStyle w:val="FootnoteReference"/>
          <w:rFonts w:ascii="Arial" w:hAnsi="Arial" w:cs="Arial"/>
          <w:sz w:val="17"/>
          <w:szCs w:val="17"/>
        </w:rPr>
        <w:footnoteRef/>
      </w:r>
      <w:r w:rsidRPr="009D6EED">
        <w:rPr>
          <w:rFonts w:ascii="Arial" w:hAnsi="Arial" w:cs="Arial"/>
          <w:sz w:val="17"/>
          <w:szCs w:val="17"/>
        </w:rPr>
        <w:t xml:space="preserve"> A</w:t>
      </w:r>
      <w:r>
        <w:rPr>
          <w:rFonts w:ascii="Arial" w:hAnsi="Arial" w:cs="Arial"/>
          <w:sz w:val="17"/>
          <w:szCs w:val="17"/>
        </w:rPr>
        <w:t>jita</w:t>
      </w:r>
      <w:r w:rsidRPr="009D6EED">
        <w:rPr>
          <w:rFonts w:ascii="Arial" w:hAnsi="Arial" w:cs="Arial"/>
          <w:sz w:val="17"/>
          <w:szCs w:val="17"/>
        </w:rPr>
        <w:t xml:space="preserve"> Shashidhar, “There </w:t>
      </w:r>
      <w:r>
        <w:rPr>
          <w:rFonts w:ascii="Arial" w:hAnsi="Arial" w:cs="Arial"/>
          <w:sz w:val="17"/>
          <w:szCs w:val="17"/>
        </w:rPr>
        <w:t>I</w:t>
      </w:r>
      <w:r w:rsidRPr="009D6EED">
        <w:rPr>
          <w:rFonts w:ascii="Arial" w:hAnsi="Arial" w:cs="Arial"/>
          <w:sz w:val="17"/>
          <w:szCs w:val="17"/>
        </w:rPr>
        <w:t xml:space="preserve">s a </w:t>
      </w:r>
      <w:r>
        <w:rPr>
          <w:rFonts w:ascii="Arial" w:hAnsi="Arial" w:cs="Arial"/>
          <w:sz w:val="17"/>
          <w:szCs w:val="17"/>
        </w:rPr>
        <w:t>M</w:t>
      </w:r>
      <w:r w:rsidRPr="009D6EED">
        <w:rPr>
          <w:rFonts w:ascii="Arial" w:hAnsi="Arial" w:cs="Arial"/>
          <w:sz w:val="17"/>
          <w:szCs w:val="17"/>
        </w:rPr>
        <w:t xml:space="preserve">uch </w:t>
      </w:r>
      <w:r>
        <w:rPr>
          <w:rFonts w:ascii="Arial" w:hAnsi="Arial" w:cs="Arial"/>
          <w:sz w:val="17"/>
          <w:szCs w:val="17"/>
        </w:rPr>
        <w:t>G</w:t>
      </w:r>
      <w:r w:rsidRPr="009D6EED">
        <w:rPr>
          <w:rFonts w:ascii="Arial" w:hAnsi="Arial" w:cs="Arial"/>
          <w:sz w:val="17"/>
          <w:szCs w:val="17"/>
        </w:rPr>
        <w:t xml:space="preserve">reater </w:t>
      </w:r>
      <w:r>
        <w:rPr>
          <w:rFonts w:ascii="Arial" w:hAnsi="Arial" w:cs="Arial"/>
          <w:sz w:val="17"/>
          <w:szCs w:val="17"/>
        </w:rPr>
        <w:t>F</w:t>
      </w:r>
      <w:r w:rsidRPr="009D6EED">
        <w:rPr>
          <w:rFonts w:ascii="Arial" w:hAnsi="Arial" w:cs="Arial"/>
          <w:sz w:val="17"/>
          <w:szCs w:val="17"/>
        </w:rPr>
        <w:t xml:space="preserve">ocus on </w:t>
      </w:r>
      <w:r>
        <w:rPr>
          <w:rFonts w:ascii="Arial" w:hAnsi="Arial" w:cs="Arial"/>
          <w:sz w:val="17"/>
          <w:szCs w:val="17"/>
        </w:rPr>
        <w:t>P</w:t>
      </w:r>
      <w:r w:rsidRPr="009D6EED">
        <w:rPr>
          <w:rFonts w:ascii="Arial" w:hAnsi="Arial" w:cs="Arial"/>
          <w:sz w:val="17"/>
          <w:szCs w:val="17"/>
        </w:rPr>
        <w:t xml:space="preserve">lay with </w:t>
      </w:r>
      <w:r>
        <w:rPr>
          <w:rFonts w:ascii="Arial" w:hAnsi="Arial" w:cs="Arial"/>
          <w:sz w:val="17"/>
          <w:szCs w:val="17"/>
        </w:rPr>
        <w:t>P</w:t>
      </w:r>
      <w:r w:rsidRPr="009D6EED">
        <w:rPr>
          <w:rFonts w:ascii="Arial" w:hAnsi="Arial" w:cs="Arial"/>
          <w:sz w:val="17"/>
          <w:szCs w:val="17"/>
        </w:rPr>
        <w:t xml:space="preserve">urpose </w:t>
      </w:r>
      <w:r>
        <w:rPr>
          <w:rFonts w:ascii="Arial" w:hAnsi="Arial" w:cs="Arial"/>
          <w:sz w:val="17"/>
          <w:szCs w:val="17"/>
        </w:rPr>
        <w:t>T</w:t>
      </w:r>
      <w:r w:rsidRPr="009D6EED">
        <w:rPr>
          <w:rFonts w:ascii="Arial" w:hAnsi="Arial" w:cs="Arial"/>
          <w:sz w:val="17"/>
          <w:szCs w:val="17"/>
        </w:rPr>
        <w:t xml:space="preserve">oday, </w:t>
      </w:r>
      <w:r>
        <w:rPr>
          <w:rFonts w:ascii="Arial" w:hAnsi="Arial" w:cs="Arial"/>
          <w:sz w:val="17"/>
          <w:szCs w:val="17"/>
        </w:rPr>
        <w:t>S</w:t>
      </w:r>
      <w:r w:rsidRPr="009D6EED">
        <w:rPr>
          <w:rFonts w:ascii="Arial" w:hAnsi="Arial" w:cs="Arial"/>
          <w:sz w:val="17"/>
          <w:szCs w:val="17"/>
        </w:rPr>
        <w:t>ays Mattel Asia Pacific MD Peter Broegger</w:t>
      </w:r>
      <w:r>
        <w:rPr>
          <w:rFonts w:ascii="Arial" w:hAnsi="Arial" w:cs="Arial"/>
          <w:sz w:val="17"/>
          <w:szCs w:val="17"/>
        </w:rPr>
        <w:t>,</w:t>
      </w:r>
      <w:r w:rsidRPr="009D6EED">
        <w:rPr>
          <w:rFonts w:ascii="Arial" w:hAnsi="Arial" w:cs="Arial"/>
          <w:sz w:val="17"/>
          <w:szCs w:val="17"/>
        </w:rPr>
        <w:t xml:space="preserve">” </w:t>
      </w:r>
      <w:r w:rsidRPr="00757EC9">
        <w:rPr>
          <w:rFonts w:ascii="Arial" w:hAnsi="Arial" w:cs="Arial"/>
          <w:i/>
          <w:sz w:val="17"/>
          <w:szCs w:val="17"/>
        </w:rPr>
        <w:t>Business Today</w:t>
      </w:r>
      <w:r w:rsidRPr="009D6EED">
        <w:rPr>
          <w:rFonts w:ascii="Arial" w:hAnsi="Arial" w:cs="Arial"/>
          <w:sz w:val="17"/>
          <w:szCs w:val="17"/>
        </w:rPr>
        <w:t xml:space="preserve">, September 26, 2014, accessed May 22, 2017, </w:t>
      </w:r>
      <w:r w:rsidRPr="00BD45E2">
        <w:rPr>
          <w:rFonts w:ascii="Arial" w:hAnsi="Arial" w:cs="Arial"/>
          <w:sz w:val="17"/>
          <w:szCs w:val="17"/>
        </w:rPr>
        <w:t>www.businesstoday.in/opinion/interviews/peter-broegger-mattel-asia-pacific-indian-toy-industry-toy-consuming-habit/story/210702.html</w:t>
      </w:r>
      <w:r>
        <w:rPr>
          <w:rFonts w:ascii="Arial" w:hAnsi="Arial" w:cs="Arial"/>
          <w:sz w:val="17"/>
          <w:szCs w:val="17"/>
        </w:rPr>
        <w:t>.</w:t>
      </w:r>
    </w:p>
  </w:footnote>
  <w:footnote w:id="17">
    <w:p w14:paraId="4F1085D7" w14:textId="434C2861" w:rsidR="00757EC9" w:rsidRPr="00BD1E2A" w:rsidRDefault="00757EC9" w:rsidP="00757EC9">
      <w:pPr>
        <w:pStyle w:val="NoSpacing"/>
        <w:jc w:val="both"/>
        <w:rPr>
          <w:rFonts w:ascii="Arial" w:hAnsi="Arial" w:cs="Arial"/>
          <w:sz w:val="17"/>
          <w:szCs w:val="17"/>
        </w:rPr>
      </w:pPr>
      <w:r w:rsidRPr="00BD1E2A">
        <w:rPr>
          <w:rStyle w:val="FootnoteReference"/>
          <w:rFonts w:ascii="Arial" w:hAnsi="Arial" w:cs="Arial"/>
          <w:sz w:val="17"/>
          <w:szCs w:val="17"/>
        </w:rPr>
        <w:footnoteRef/>
      </w:r>
      <w:r w:rsidRPr="00BD1E2A">
        <w:rPr>
          <w:rFonts w:ascii="Arial" w:hAnsi="Arial" w:cs="Arial"/>
          <w:sz w:val="17"/>
          <w:szCs w:val="17"/>
        </w:rPr>
        <w:t xml:space="preserve"> “Simba Toys to </w:t>
      </w:r>
      <w:r>
        <w:rPr>
          <w:rFonts w:ascii="Arial" w:hAnsi="Arial" w:cs="Arial"/>
          <w:sz w:val="17"/>
          <w:szCs w:val="17"/>
        </w:rPr>
        <w:t>L</w:t>
      </w:r>
      <w:r w:rsidRPr="00BD1E2A">
        <w:rPr>
          <w:rFonts w:ascii="Arial" w:hAnsi="Arial" w:cs="Arial"/>
          <w:sz w:val="17"/>
          <w:szCs w:val="17"/>
        </w:rPr>
        <w:t xml:space="preserve">aunch 50 </w:t>
      </w:r>
      <w:r>
        <w:rPr>
          <w:rFonts w:ascii="Arial" w:hAnsi="Arial" w:cs="Arial"/>
          <w:sz w:val="17"/>
          <w:szCs w:val="17"/>
        </w:rPr>
        <w:t>R</w:t>
      </w:r>
      <w:r w:rsidRPr="00BD1E2A">
        <w:rPr>
          <w:rFonts w:ascii="Arial" w:hAnsi="Arial" w:cs="Arial"/>
          <w:sz w:val="17"/>
          <w:szCs w:val="17"/>
        </w:rPr>
        <w:t xml:space="preserve">etail </w:t>
      </w:r>
      <w:r>
        <w:rPr>
          <w:rFonts w:ascii="Arial" w:hAnsi="Arial" w:cs="Arial"/>
          <w:sz w:val="17"/>
          <w:szCs w:val="17"/>
        </w:rPr>
        <w:t>O</w:t>
      </w:r>
      <w:r w:rsidRPr="00BD1E2A">
        <w:rPr>
          <w:rFonts w:ascii="Arial" w:hAnsi="Arial" w:cs="Arial"/>
          <w:sz w:val="17"/>
          <w:szCs w:val="17"/>
        </w:rPr>
        <w:t>utlets in India</w:t>
      </w:r>
      <w:r>
        <w:rPr>
          <w:rFonts w:ascii="Arial" w:hAnsi="Arial" w:cs="Arial"/>
          <w:sz w:val="17"/>
          <w:szCs w:val="17"/>
        </w:rPr>
        <w:t>,</w:t>
      </w:r>
      <w:r w:rsidRPr="00BD1E2A">
        <w:rPr>
          <w:rFonts w:ascii="Arial" w:hAnsi="Arial" w:cs="Arial"/>
          <w:sz w:val="17"/>
          <w:szCs w:val="17"/>
        </w:rPr>
        <w:t xml:space="preserve">” </w:t>
      </w:r>
      <w:r w:rsidRPr="00757EC9">
        <w:rPr>
          <w:rFonts w:ascii="Arial" w:hAnsi="Arial" w:cs="Arial"/>
          <w:i/>
          <w:sz w:val="17"/>
          <w:szCs w:val="17"/>
        </w:rPr>
        <w:t>Business Standard</w:t>
      </w:r>
      <w:r w:rsidRPr="00BD1E2A">
        <w:rPr>
          <w:rFonts w:ascii="Arial" w:hAnsi="Arial" w:cs="Arial"/>
          <w:sz w:val="17"/>
          <w:szCs w:val="17"/>
        </w:rPr>
        <w:t xml:space="preserve">, December 14, 2011 accessed April 17, 2017, </w:t>
      </w:r>
      <w:r w:rsidRPr="00BD45E2">
        <w:rPr>
          <w:rFonts w:ascii="Arial" w:hAnsi="Arial" w:cs="Arial"/>
          <w:sz w:val="17"/>
          <w:szCs w:val="17"/>
        </w:rPr>
        <w:t>www.business-standard.com/article/press-releases/simba-toys-to-launch-50-retails-outlets-in-india-111121400089_1.html</w:t>
      </w:r>
      <w:r>
        <w:rPr>
          <w:rFonts w:ascii="Arial" w:hAnsi="Arial" w:cs="Arial"/>
          <w:sz w:val="17"/>
          <w:szCs w:val="17"/>
        </w:rPr>
        <w:t>.</w:t>
      </w:r>
    </w:p>
  </w:footnote>
  <w:footnote w:id="18">
    <w:p w14:paraId="47EB6D96" w14:textId="040D618D" w:rsidR="00757EC9" w:rsidRPr="00783C90" w:rsidRDefault="00757EC9" w:rsidP="00757EC9">
      <w:pPr>
        <w:pStyle w:val="NoSpacing"/>
        <w:jc w:val="both"/>
        <w:rPr>
          <w:rFonts w:ascii="Arial" w:hAnsi="Arial" w:cs="Arial"/>
          <w:spacing w:val="-4"/>
          <w:sz w:val="17"/>
          <w:szCs w:val="17"/>
        </w:rPr>
      </w:pPr>
      <w:r w:rsidRPr="00783C90">
        <w:rPr>
          <w:rStyle w:val="FootnoteReference"/>
          <w:rFonts w:ascii="Arial" w:hAnsi="Arial" w:cs="Arial"/>
          <w:spacing w:val="-4"/>
          <w:sz w:val="17"/>
          <w:szCs w:val="17"/>
        </w:rPr>
        <w:footnoteRef/>
      </w:r>
      <w:r w:rsidRPr="00783C90">
        <w:rPr>
          <w:rFonts w:ascii="Arial" w:hAnsi="Arial" w:cs="Arial"/>
          <w:spacing w:val="-4"/>
          <w:sz w:val="17"/>
          <w:szCs w:val="17"/>
        </w:rPr>
        <w:t xml:space="preserve"> “Reliance Retail to Open 20 Hamleys Toy Stores in India,” </w:t>
      </w:r>
      <w:r w:rsidRPr="00783C90">
        <w:rPr>
          <w:rFonts w:ascii="Arial" w:hAnsi="Arial" w:cs="Arial"/>
          <w:i/>
          <w:spacing w:val="-4"/>
          <w:sz w:val="17"/>
          <w:szCs w:val="17"/>
        </w:rPr>
        <w:t>Business Standard</w:t>
      </w:r>
      <w:r w:rsidRPr="00783C90">
        <w:rPr>
          <w:rFonts w:ascii="Arial" w:hAnsi="Arial" w:cs="Arial"/>
          <w:spacing w:val="-4"/>
          <w:sz w:val="17"/>
          <w:szCs w:val="17"/>
        </w:rPr>
        <w:t>, January 27, 2011, accessed April 17, 2017, www.business-standard.com/article/companies/reliance-retail-to-open-20-hamleys-toy-stores-in-india-111012700186_1.html.</w:t>
      </w:r>
    </w:p>
  </w:footnote>
  <w:footnote w:id="19">
    <w:p w14:paraId="2DD7DD39" w14:textId="3473D3FA" w:rsidR="00757EC9" w:rsidRPr="00BD1E2A" w:rsidRDefault="00757EC9" w:rsidP="00757EC9">
      <w:pPr>
        <w:pStyle w:val="NoSpacing"/>
        <w:jc w:val="both"/>
        <w:rPr>
          <w:rFonts w:ascii="Arial" w:hAnsi="Arial" w:cs="Arial"/>
          <w:sz w:val="17"/>
          <w:szCs w:val="17"/>
        </w:rPr>
      </w:pPr>
      <w:r w:rsidRPr="00BD45E2">
        <w:rPr>
          <w:rStyle w:val="FootnoteChar"/>
          <w:rFonts w:eastAsia="Calibri"/>
          <w:vertAlign w:val="superscript"/>
        </w:rPr>
        <w:footnoteRef/>
      </w:r>
      <w:r w:rsidRPr="00BD45E2">
        <w:rPr>
          <w:rStyle w:val="FootnoteChar"/>
          <w:rFonts w:eastAsia="Calibri"/>
        </w:rPr>
        <w:t xml:space="preserve"> </w:t>
      </w:r>
      <w:r w:rsidRPr="00BD1E2A">
        <w:rPr>
          <w:rFonts w:ascii="Arial" w:hAnsi="Arial" w:cs="Arial"/>
          <w:sz w:val="17"/>
          <w:szCs w:val="17"/>
        </w:rPr>
        <w:t>B</w:t>
      </w:r>
      <w:r>
        <w:rPr>
          <w:rFonts w:ascii="Arial" w:hAnsi="Arial" w:cs="Arial"/>
          <w:sz w:val="17"/>
          <w:szCs w:val="17"/>
        </w:rPr>
        <w:t xml:space="preserve">indu </w:t>
      </w:r>
      <w:r w:rsidRPr="00BD1E2A">
        <w:rPr>
          <w:rFonts w:ascii="Arial" w:hAnsi="Arial" w:cs="Arial"/>
          <w:sz w:val="17"/>
          <w:szCs w:val="17"/>
        </w:rPr>
        <w:t>D</w:t>
      </w:r>
      <w:r>
        <w:rPr>
          <w:rFonts w:ascii="Arial" w:hAnsi="Arial" w:cs="Arial"/>
          <w:sz w:val="17"/>
          <w:szCs w:val="17"/>
        </w:rPr>
        <w:t>.</w:t>
      </w:r>
      <w:r w:rsidRPr="00BD1E2A">
        <w:rPr>
          <w:rFonts w:ascii="Arial" w:hAnsi="Arial" w:cs="Arial"/>
          <w:sz w:val="17"/>
          <w:szCs w:val="17"/>
        </w:rPr>
        <w:t xml:space="preserve"> Menon, “German </w:t>
      </w:r>
      <w:r>
        <w:rPr>
          <w:rFonts w:ascii="Arial" w:hAnsi="Arial" w:cs="Arial"/>
          <w:sz w:val="17"/>
          <w:szCs w:val="17"/>
        </w:rPr>
        <w:t>T</w:t>
      </w:r>
      <w:r w:rsidRPr="00BD1E2A">
        <w:rPr>
          <w:rFonts w:ascii="Arial" w:hAnsi="Arial" w:cs="Arial"/>
          <w:sz w:val="17"/>
          <w:szCs w:val="17"/>
        </w:rPr>
        <w:t>oymaker on the Prowl in India</w:t>
      </w:r>
      <w:r>
        <w:rPr>
          <w:rFonts w:ascii="Arial" w:hAnsi="Arial" w:cs="Arial"/>
          <w:sz w:val="17"/>
          <w:szCs w:val="17"/>
        </w:rPr>
        <w:t>,</w:t>
      </w:r>
      <w:r w:rsidRPr="00BD1E2A">
        <w:rPr>
          <w:rFonts w:ascii="Arial" w:hAnsi="Arial" w:cs="Arial"/>
          <w:sz w:val="17"/>
          <w:szCs w:val="17"/>
        </w:rPr>
        <w:t xml:space="preserve">” </w:t>
      </w:r>
      <w:r w:rsidRPr="00757EC9">
        <w:rPr>
          <w:rFonts w:ascii="Arial" w:hAnsi="Arial" w:cs="Arial"/>
          <w:i/>
          <w:sz w:val="17"/>
          <w:szCs w:val="17"/>
        </w:rPr>
        <w:t>Hindu Business Line</w:t>
      </w:r>
      <w:r w:rsidRPr="00BD1E2A">
        <w:rPr>
          <w:rFonts w:ascii="Arial" w:hAnsi="Arial" w:cs="Arial"/>
          <w:sz w:val="17"/>
          <w:szCs w:val="17"/>
        </w:rPr>
        <w:t>, July 23, 2013, accessed April 17, 2017, www.thehindubusinessline.com/companies/german-toymaker-on-the-prowl-in-india/article4945748.ece</w:t>
      </w:r>
      <w:r>
        <w:rPr>
          <w:rFonts w:ascii="Arial" w:hAnsi="Arial" w:cs="Arial"/>
          <w:sz w:val="17"/>
          <w:szCs w:val="17"/>
        </w:rPr>
        <w:t>.</w:t>
      </w:r>
    </w:p>
  </w:footnote>
  <w:footnote w:id="20">
    <w:p w14:paraId="4D4EA35B" w14:textId="5A97E84C" w:rsidR="00757EC9" w:rsidRPr="0002430A" w:rsidRDefault="00757EC9" w:rsidP="00757EC9">
      <w:pPr>
        <w:pStyle w:val="FootnoteText"/>
        <w:jc w:val="both"/>
        <w:rPr>
          <w:lang w:val="en-CA"/>
        </w:rPr>
      </w:pPr>
      <w:r w:rsidRPr="00BD45E2">
        <w:rPr>
          <w:rStyle w:val="FootnoteChar"/>
          <w:rFonts w:eastAsia="Calibri"/>
          <w:vertAlign w:val="superscript"/>
        </w:rPr>
        <w:footnoteRef/>
      </w:r>
      <w:r w:rsidRPr="00BD1E2A">
        <w:t xml:space="preserve"> </w:t>
      </w:r>
      <w:r w:rsidRPr="00BD1E2A">
        <w:rPr>
          <w:rFonts w:ascii="Arial" w:hAnsi="Arial" w:cs="Arial"/>
          <w:sz w:val="17"/>
          <w:szCs w:val="17"/>
        </w:rPr>
        <w:t>Purvita Chatterjee,</w:t>
      </w:r>
      <w:r>
        <w:rPr>
          <w:rFonts w:ascii="Arial" w:hAnsi="Arial" w:cs="Arial"/>
          <w:sz w:val="17"/>
          <w:szCs w:val="17"/>
          <w:lang w:val="en-CA"/>
        </w:rPr>
        <w:t xml:space="preserve"> </w:t>
      </w:r>
      <w:r w:rsidRPr="00BD1E2A">
        <w:rPr>
          <w:rFonts w:ascii="Arial" w:hAnsi="Arial" w:cs="Arial"/>
          <w:sz w:val="17"/>
          <w:szCs w:val="17"/>
        </w:rPr>
        <w:t>“</w:t>
      </w:r>
      <w:r w:rsidRPr="00BD1E2A">
        <w:rPr>
          <w:rFonts w:ascii="Arial" w:hAnsi="Arial" w:cs="Arial"/>
          <w:sz w:val="17"/>
          <w:szCs w:val="17"/>
          <w:lang w:val="en"/>
        </w:rPr>
        <w:t xml:space="preserve">Toy </w:t>
      </w:r>
      <w:r>
        <w:rPr>
          <w:rFonts w:ascii="Arial" w:hAnsi="Arial" w:cs="Arial"/>
          <w:sz w:val="17"/>
          <w:szCs w:val="17"/>
          <w:lang w:val="en"/>
        </w:rPr>
        <w:t>M</w:t>
      </w:r>
      <w:r w:rsidRPr="00BD1E2A">
        <w:rPr>
          <w:rFonts w:ascii="Arial" w:hAnsi="Arial" w:cs="Arial"/>
          <w:sz w:val="17"/>
          <w:szCs w:val="17"/>
          <w:lang w:val="en"/>
        </w:rPr>
        <w:t xml:space="preserve">ajors </w:t>
      </w:r>
      <w:r>
        <w:rPr>
          <w:rFonts w:ascii="Arial" w:hAnsi="Arial" w:cs="Arial"/>
          <w:sz w:val="17"/>
          <w:szCs w:val="17"/>
          <w:lang w:val="en"/>
        </w:rPr>
        <w:t>R</w:t>
      </w:r>
      <w:r w:rsidRPr="00BD1E2A">
        <w:rPr>
          <w:rFonts w:ascii="Arial" w:hAnsi="Arial" w:cs="Arial"/>
          <w:sz w:val="17"/>
          <w:szCs w:val="17"/>
          <w:lang w:val="en"/>
        </w:rPr>
        <w:t xml:space="preserve">ely on </w:t>
      </w:r>
      <w:r>
        <w:rPr>
          <w:rFonts w:ascii="Arial" w:hAnsi="Arial" w:cs="Arial"/>
          <w:sz w:val="17"/>
          <w:szCs w:val="17"/>
          <w:lang w:val="en"/>
        </w:rPr>
        <w:t>L</w:t>
      </w:r>
      <w:r w:rsidRPr="00BD1E2A">
        <w:rPr>
          <w:rFonts w:ascii="Arial" w:hAnsi="Arial" w:cs="Arial"/>
          <w:sz w:val="17"/>
          <w:szCs w:val="17"/>
          <w:lang w:val="en"/>
        </w:rPr>
        <w:t xml:space="preserve">icensed </w:t>
      </w:r>
      <w:r>
        <w:rPr>
          <w:rFonts w:ascii="Arial" w:hAnsi="Arial" w:cs="Arial"/>
          <w:sz w:val="17"/>
          <w:szCs w:val="17"/>
          <w:lang w:val="en"/>
        </w:rPr>
        <w:t>M</w:t>
      </w:r>
      <w:r w:rsidRPr="00BD1E2A">
        <w:rPr>
          <w:rFonts w:ascii="Arial" w:hAnsi="Arial" w:cs="Arial"/>
          <w:sz w:val="17"/>
          <w:szCs w:val="17"/>
          <w:lang w:val="en"/>
        </w:rPr>
        <w:t xml:space="preserve">erchandise to </w:t>
      </w:r>
      <w:r>
        <w:rPr>
          <w:rFonts w:ascii="Arial" w:hAnsi="Arial" w:cs="Arial"/>
          <w:sz w:val="17"/>
          <w:szCs w:val="17"/>
          <w:lang w:val="en"/>
        </w:rPr>
        <w:t>B</w:t>
      </w:r>
      <w:r w:rsidRPr="00BD1E2A">
        <w:rPr>
          <w:rFonts w:ascii="Arial" w:hAnsi="Arial" w:cs="Arial"/>
          <w:sz w:val="17"/>
          <w:szCs w:val="17"/>
          <w:lang w:val="en"/>
        </w:rPr>
        <w:t xml:space="preserve">oost </w:t>
      </w:r>
      <w:r>
        <w:rPr>
          <w:rFonts w:ascii="Arial" w:hAnsi="Arial" w:cs="Arial"/>
          <w:sz w:val="17"/>
          <w:szCs w:val="17"/>
          <w:lang w:val="en"/>
        </w:rPr>
        <w:t>S</w:t>
      </w:r>
      <w:r w:rsidRPr="00BD1E2A">
        <w:rPr>
          <w:rFonts w:ascii="Arial" w:hAnsi="Arial" w:cs="Arial"/>
          <w:sz w:val="17"/>
          <w:szCs w:val="17"/>
          <w:lang w:val="en"/>
        </w:rPr>
        <w:t>ales</w:t>
      </w:r>
      <w:r>
        <w:rPr>
          <w:rFonts w:ascii="Arial" w:hAnsi="Arial" w:cs="Arial"/>
          <w:sz w:val="17"/>
          <w:szCs w:val="17"/>
          <w:lang w:val="en"/>
        </w:rPr>
        <w:t>,</w:t>
      </w:r>
      <w:r w:rsidRPr="00BD1E2A">
        <w:rPr>
          <w:rFonts w:ascii="Arial" w:hAnsi="Arial" w:cs="Arial"/>
          <w:sz w:val="17"/>
          <w:szCs w:val="17"/>
        </w:rPr>
        <w:t xml:space="preserve">” </w:t>
      </w:r>
      <w:r w:rsidRPr="00757EC9">
        <w:rPr>
          <w:rFonts w:ascii="Arial" w:hAnsi="Arial" w:cs="Arial"/>
          <w:i/>
          <w:sz w:val="17"/>
          <w:szCs w:val="17"/>
        </w:rPr>
        <w:t>Hindu Business Line</w:t>
      </w:r>
      <w:r w:rsidRPr="00BD1E2A">
        <w:rPr>
          <w:rFonts w:ascii="Arial" w:hAnsi="Arial" w:cs="Arial"/>
          <w:sz w:val="17"/>
          <w:szCs w:val="17"/>
        </w:rPr>
        <w:t>, June 21, 2016, accessed August 2, 2017, www.thehindubusinessline.com/economy/toy-majors-rely-on-licensed-merchandise-to-boost-sales/article8756715.ece</w:t>
      </w:r>
      <w:r>
        <w:rPr>
          <w:rFonts w:ascii="Arial" w:hAnsi="Arial" w:cs="Arial"/>
          <w:sz w:val="17"/>
          <w:szCs w:val="17"/>
          <w:lang w:val="en-CA"/>
        </w:rPr>
        <w:t>.</w:t>
      </w:r>
    </w:p>
  </w:footnote>
  <w:footnote w:id="21">
    <w:p w14:paraId="5CDDB71E" w14:textId="5449BAF8" w:rsidR="00757EC9" w:rsidRPr="0002430A" w:rsidRDefault="00757EC9" w:rsidP="00757EC9">
      <w:pPr>
        <w:pStyle w:val="FootnoteText"/>
        <w:jc w:val="both"/>
        <w:rPr>
          <w:lang w:val="en-CA"/>
        </w:rPr>
      </w:pPr>
      <w:r w:rsidRPr="00BD45E2">
        <w:rPr>
          <w:rStyle w:val="FootnoteChar"/>
          <w:rFonts w:eastAsia="Calibri"/>
          <w:vertAlign w:val="superscript"/>
        </w:rPr>
        <w:footnoteRef/>
      </w:r>
      <w:r>
        <w:rPr>
          <w:rStyle w:val="FootnoteChar"/>
          <w:rFonts w:eastAsia="Calibri"/>
          <w:vertAlign w:val="superscript"/>
          <w:lang w:val="en-CA"/>
        </w:rPr>
        <w:t xml:space="preserve"> </w:t>
      </w:r>
      <w:r>
        <w:rPr>
          <w:rFonts w:ascii="Arial" w:hAnsi="Arial" w:cs="Arial"/>
          <w:sz w:val="17"/>
          <w:szCs w:val="17"/>
          <w:lang w:val="en-CA"/>
        </w:rPr>
        <w:t>“T</w:t>
      </w:r>
      <w:r w:rsidRPr="00BD1E2A">
        <w:rPr>
          <w:rFonts w:ascii="Arial" w:hAnsi="Arial" w:cs="Arial"/>
          <w:sz w:val="17"/>
          <w:szCs w:val="17"/>
        </w:rPr>
        <w:t xml:space="preserve">he Indian </w:t>
      </w:r>
      <w:r>
        <w:rPr>
          <w:rFonts w:ascii="Arial" w:hAnsi="Arial" w:cs="Arial"/>
          <w:sz w:val="17"/>
          <w:szCs w:val="17"/>
          <w:lang w:val="en-CA"/>
        </w:rPr>
        <w:t>T</w:t>
      </w:r>
      <w:r w:rsidRPr="00BD1E2A">
        <w:rPr>
          <w:rFonts w:ascii="Arial" w:hAnsi="Arial" w:cs="Arial"/>
          <w:sz w:val="17"/>
          <w:szCs w:val="17"/>
        </w:rPr>
        <w:t xml:space="preserve">oy </w:t>
      </w:r>
      <w:r>
        <w:rPr>
          <w:rFonts w:ascii="Arial" w:hAnsi="Arial" w:cs="Arial"/>
          <w:sz w:val="17"/>
          <w:szCs w:val="17"/>
          <w:lang w:val="en-CA"/>
        </w:rPr>
        <w:t>I</w:t>
      </w:r>
      <w:r w:rsidRPr="00BD1E2A">
        <w:rPr>
          <w:rFonts w:ascii="Arial" w:hAnsi="Arial" w:cs="Arial"/>
          <w:sz w:val="17"/>
          <w:szCs w:val="17"/>
        </w:rPr>
        <w:t xml:space="preserve">ndustry at a </w:t>
      </w:r>
      <w:r>
        <w:rPr>
          <w:rFonts w:ascii="Arial" w:hAnsi="Arial" w:cs="Arial"/>
          <w:sz w:val="17"/>
          <w:szCs w:val="17"/>
          <w:lang w:val="en-CA"/>
        </w:rPr>
        <w:t>G</w:t>
      </w:r>
      <w:r w:rsidRPr="00BD1E2A">
        <w:rPr>
          <w:rFonts w:ascii="Arial" w:hAnsi="Arial" w:cs="Arial"/>
          <w:sz w:val="17"/>
          <w:szCs w:val="17"/>
        </w:rPr>
        <w:t xml:space="preserve">lance </w:t>
      </w:r>
      <w:r>
        <w:rPr>
          <w:rFonts w:ascii="Arial" w:hAnsi="Arial" w:cs="Arial"/>
          <w:sz w:val="17"/>
          <w:szCs w:val="17"/>
          <w:lang w:val="en-CA"/>
        </w:rPr>
        <w:t xml:space="preserve">in </w:t>
      </w:r>
      <w:r w:rsidRPr="00BD1E2A">
        <w:rPr>
          <w:rFonts w:ascii="Arial" w:hAnsi="Arial" w:cs="Arial"/>
          <w:sz w:val="17"/>
          <w:szCs w:val="17"/>
        </w:rPr>
        <w:t>2015</w:t>
      </w:r>
      <w:r>
        <w:rPr>
          <w:rFonts w:ascii="Arial" w:hAnsi="Arial" w:cs="Arial"/>
          <w:sz w:val="17"/>
          <w:szCs w:val="17"/>
          <w:lang w:val="en-CA"/>
        </w:rPr>
        <w:t>–</w:t>
      </w:r>
      <w:r w:rsidRPr="00BD1E2A">
        <w:rPr>
          <w:rFonts w:ascii="Arial" w:hAnsi="Arial" w:cs="Arial"/>
          <w:sz w:val="17"/>
          <w:szCs w:val="17"/>
        </w:rPr>
        <w:t>16,</w:t>
      </w:r>
      <w:r>
        <w:rPr>
          <w:rFonts w:ascii="Arial" w:hAnsi="Arial" w:cs="Arial"/>
          <w:sz w:val="17"/>
          <w:szCs w:val="17"/>
          <w:lang w:val="en-CA"/>
        </w:rPr>
        <w:t>”</w:t>
      </w:r>
      <w:r w:rsidRPr="00BD1E2A">
        <w:rPr>
          <w:rFonts w:ascii="Arial" w:hAnsi="Arial" w:cs="Arial"/>
          <w:sz w:val="17"/>
          <w:szCs w:val="17"/>
        </w:rPr>
        <w:t xml:space="preserve"> Indian Mirror, accessed September 22, 2017, www.indianmirror.com/indian-industries/2017/toy-2017.html</w:t>
      </w:r>
      <w:r>
        <w:rPr>
          <w:rFonts w:ascii="Arial" w:hAnsi="Arial" w:cs="Arial"/>
          <w:sz w:val="17"/>
          <w:szCs w:val="17"/>
          <w:lang w:val="en-C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3B935" w14:textId="12DD4B1C" w:rsidR="00757EC9" w:rsidRPr="00C92CC4" w:rsidRDefault="00757EC9"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83C90">
      <w:rPr>
        <w:rFonts w:ascii="Arial" w:hAnsi="Arial"/>
        <w:b/>
        <w:noProof/>
      </w:rPr>
      <w:t>12</w:t>
    </w:r>
    <w:r>
      <w:rPr>
        <w:rFonts w:ascii="Arial" w:hAnsi="Arial"/>
        <w:b/>
      </w:rPr>
      <w:fldChar w:fldCharType="end"/>
    </w:r>
    <w:r>
      <w:rPr>
        <w:rFonts w:ascii="Arial" w:hAnsi="Arial"/>
        <w:b/>
      </w:rPr>
      <w:tab/>
    </w:r>
    <w:r w:rsidR="00C633DC">
      <w:rPr>
        <w:rFonts w:ascii="Arial" w:hAnsi="Arial"/>
        <w:b/>
      </w:rPr>
      <w:t>9B18M066</w:t>
    </w:r>
  </w:p>
  <w:p w14:paraId="6874ECC2" w14:textId="77777777" w:rsidR="00757EC9" w:rsidRDefault="00757EC9" w:rsidP="00D13667">
    <w:pPr>
      <w:pStyle w:val="Header"/>
      <w:tabs>
        <w:tab w:val="clear" w:pos="4680"/>
      </w:tabs>
      <w:rPr>
        <w:sz w:val="18"/>
        <w:szCs w:val="18"/>
      </w:rPr>
    </w:pPr>
  </w:p>
  <w:p w14:paraId="68ABCBC1" w14:textId="77777777" w:rsidR="00757EC9" w:rsidRPr="00C92CC4" w:rsidRDefault="00757EC9" w:rsidP="00D13667">
    <w:pPr>
      <w:pStyle w:val="Header"/>
      <w:tabs>
        <w:tab w:val="clear" w:pos="4680"/>
      </w:tabs>
      <w:rPr>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228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7Q0NzE3MDewMDO1sDBR0lEKTi0uzszPAykwrAUAcQ8oUCwAAAA="/>
  </w:docVars>
  <w:rsids>
    <w:rsidRoot w:val="008A4DC4"/>
    <w:rsid w:val="0000085A"/>
    <w:rsid w:val="00013360"/>
    <w:rsid w:val="00016759"/>
    <w:rsid w:val="000216CE"/>
    <w:rsid w:val="00023764"/>
    <w:rsid w:val="0002430A"/>
    <w:rsid w:val="00024ED4"/>
    <w:rsid w:val="00025DC7"/>
    <w:rsid w:val="00035F09"/>
    <w:rsid w:val="00036394"/>
    <w:rsid w:val="00040331"/>
    <w:rsid w:val="00044ECC"/>
    <w:rsid w:val="000531D3"/>
    <w:rsid w:val="0005646B"/>
    <w:rsid w:val="00061000"/>
    <w:rsid w:val="0008102D"/>
    <w:rsid w:val="00094C0E"/>
    <w:rsid w:val="00095424"/>
    <w:rsid w:val="000D7091"/>
    <w:rsid w:val="000F0C22"/>
    <w:rsid w:val="000F521F"/>
    <w:rsid w:val="000F6B09"/>
    <w:rsid w:val="000F6FDC"/>
    <w:rsid w:val="00101E5F"/>
    <w:rsid w:val="00104567"/>
    <w:rsid w:val="00104916"/>
    <w:rsid w:val="00104AA7"/>
    <w:rsid w:val="00120527"/>
    <w:rsid w:val="0012732D"/>
    <w:rsid w:val="0013174D"/>
    <w:rsid w:val="001407E6"/>
    <w:rsid w:val="00143F25"/>
    <w:rsid w:val="00152682"/>
    <w:rsid w:val="00154FC9"/>
    <w:rsid w:val="0019241A"/>
    <w:rsid w:val="001A22D1"/>
    <w:rsid w:val="001A752D"/>
    <w:rsid w:val="001A757E"/>
    <w:rsid w:val="001B5032"/>
    <w:rsid w:val="001C0F83"/>
    <w:rsid w:val="001C3EFD"/>
    <w:rsid w:val="001C7777"/>
    <w:rsid w:val="001D5CA5"/>
    <w:rsid w:val="001D5EA4"/>
    <w:rsid w:val="001E364F"/>
    <w:rsid w:val="001F4222"/>
    <w:rsid w:val="00203AA1"/>
    <w:rsid w:val="00203C06"/>
    <w:rsid w:val="00205035"/>
    <w:rsid w:val="00213E98"/>
    <w:rsid w:val="002227B8"/>
    <w:rsid w:val="0023081A"/>
    <w:rsid w:val="00240135"/>
    <w:rsid w:val="00246B01"/>
    <w:rsid w:val="00256BA5"/>
    <w:rsid w:val="0027215A"/>
    <w:rsid w:val="0028146F"/>
    <w:rsid w:val="002C7DD6"/>
    <w:rsid w:val="002F460C"/>
    <w:rsid w:val="002F48D6"/>
    <w:rsid w:val="00314E4A"/>
    <w:rsid w:val="00317391"/>
    <w:rsid w:val="00326216"/>
    <w:rsid w:val="0033454A"/>
    <w:rsid w:val="00336580"/>
    <w:rsid w:val="00342287"/>
    <w:rsid w:val="00354899"/>
    <w:rsid w:val="00355FD6"/>
    <w:rsid w:val="00361904"/>
    <w:rsid w:val="00364A5C"/>
    <w:rsid w:val="00373FB1"/>
    <w:rsid w:val="003944DC"/>
    <w:rsid w:val="00396C76"/>
    <w:rsid w:val="003A01AE"/>
    <w:rsid w:val="003B30D8"/>
    <w:rsid w:val="003B7EF2"/>
    <w:rsid w:val="003C3FA4"/>
    <w:rsid w:val="003F2B0C"/>
    <w:rsid w:val="003F30E6"/>
    <w:rsid w:val="004105B2"/>
    <w:rsid w:val="004221E4"/>
    <w:rsid w:val="004273F8"/>
    <w:rsid w:val="004318CE"/>
    <w:rsid w:val="004355A3"/>
    <w:rsid w:val="00442642"/>
    <w:rsid w:val="00446546"/>
    <w:rsid w:val="00452769"/>
    <w:rsid w:val="00465348"/>
    <w:rsid w:val="004949BF"/>
    <w:rsid w:val="004B1CCB"/>
    <w:rsid w:val="004B530B"/>
    <w:rsid w:val="004B632F"/>
    <w:rsid w:val="004C15A5"/>
    <w:rsid w:val="004C3BE0"/>
    <w:rsid w:val="004D21FE"/>
    <w:rsid w:val="004D3FB1"/>
    <w:rsid w:val="004D4D35"/>
    <w:rsid w:val="004D6F21"/>
    <w:rsid w:val="004D73A5"/>
    <w:rsid w:val="004F2EC1"/>
    <w:rsid w:val="005160F1"/>
    <w:rsid w:val="00523636"/>
    <w:rsid w:val="00524F2F"/>
    <w:rsid w:val="00527E5C"/>
    <w:rsid w:val="00532CF5"/>
    <w:rsid w:val="005528CB"/>
    <w:rsid w:val="00566771"/>
    <w:rsid w:val="00581E2E"/>
    <w:rsid w:val="00584F15"/>
    <w:rsid w:val="0059514B"/>
    <w:rsid w:val="00595449"/>
    <w:rsid w:val="005A1B0F"/>
    <w:rsid w:val="005B1ABC"/>
    <w:rsid w:val="005B22D7"/>
    <w:rsid w:val="006066A2"/>
    <w:rsid w:val="00614D50"/>
    <w:rsid w:val="006163F7"/>
    <w:rsid w:val="00627C63"/>
    <w:rsid w:val="0063350B"/>
    <w:rsid w:val="00641FA9"/>
    <w:rsid w:val="00652606"/>
    <w:rsid w:val="00664BD7"/>
    <w:rsid w:val="00673EE4"/>
    <w:rsid w:val="00677B6F"/>
    <w:rsid w:val="006946EE"/>
    <w:rsid w:val="006A58A9"/>
    <w:rsid w:val="006A606D"/>
    <w:rsid w:val="006C0371"/>
    <w:rsid w:val="006C08B6"/>
    <w:rsid w:val="006C0B1A"/>
    <w:rsid w:val="006C6065"/>
    <w:rsid w:val="006C7F9F"/>
    <w:rsid w:val="006D71CA"/>
    <w:rsid w:val="006E2F6D"/>
    <w:rsid w:val="006E58F6"/>
    <w:rsid w:val="006E765A"/>
    <w:rsid w:val="006E77E1"/>
    <w:rsid w:val="006F131D"/>
    <w:rsid w:val="006F68B2"/>
    <w:rsid w:val="00711642"/>
    <w:rsid w:val="0074221A"/>
    <w:rsid w:val="007507C6"/>
    <w:rsid w:val="00751E0B"/>
    <w:rsid w:val="00752BCD"/>
    <w:rsid w:val="00757EC9"/>
    <w:rsid w:val="00766DA1"/>
    <w:rsid w:val="007714F3"/>
    <w:rsid w:val="00780D94"/>
    <w:rsid w:val="00781781"/>
    <w:rsid w:val="00782F51"/>
    <w:rsid w:val="00783C90"/>
    <w:rsid w:val="007866A6"/>
    <w:rsid w:val="007A130D"/>
    <w:rsid w:val="007A16A2"/>
    <w:rsid w:val="007D1A2D"/>
    <w:rsid w:val="007D4102"/>
    <w:rsid w:val="007F43B7"/>
    <w:rsid w:val="0081747E"/>
    <w:rsid w:val="00821FFC"/>
    <w:rsid w:val="008271CA"/>
    <w:rsid w:val="008467D5"/>
    <w:rsid w:val="00864AB9"/>
    <w:rsid w:val="00864E97"/>
    <w:rsid w:val="00890AE0"/>
    <w:rsid w:val="00891CBA"/>
    <w:rsid w:val="008A4DC4"/>
    <w:rsid w:val="008B438C"/>
    <w:rsid w:val="008B5D12"/>
    <w:rsid w:val="008D06CA"/>
    <w:rsid w:val="008D3368"/>
    <w:rsid w:val="008D3A46"/>
    <w:rsid w:val="008E1417"/>
    <w:rsid w:val="008F1AF0"/>
    <w:rsid w:val="008F4D27"/>
    <w:rsid w:val="009067A4"/>
    <w:rsid w:val="00933D68"/>
    <w:rsid w:val="009340DB"/>
    <w:rsid w:val="00941A75"/>
    <w:rsid w:val="0094618C"/>
    <w:rsid w:val="0095684B"/>
    <w:rsid w:val="00972498"/>
    <w:rsid w:val="0097481F"/>
    <w:rsid w:val="00974CC6"/>
    <w:rsid w:val="00976A43"/>
    <w:rsid w:val="00976AD4"/>
    <w:rsid w:val="00977A18"/>
    <w:rsid w:val="00977B4F"/>
    <w:rsid w:val="00995547"/>
    <w:rsid w:val="009A2448"/>
    <w:rsid w:val="009A312F"/>
    <w:rsid w:val="009A5348"/>
    <w:rsid w:val="009B0AB7"/>
    <w:rsid w:val="009B7C5B"/>
    <w:rsid w:val="009C76D5"/>
    <w:rsid w:val="009D7CEC"/>
    <w:rsid w:val="009F7AA4"/>
    <w:rsid w:val="00A10AD7"/>
    <w:rsid w:val="00A2409E"/>
    <w:rsid w:val="00A27DE3"/>
    <w:rsid w:val="00A559DB"/>
    <w:rsid w:val="00A564A7"/>
    <w:rsid w:val="00A569EA"/>
    <w:rsid w:val="00A67DBB"/>
    <w:rsid w:val="00A762C5"/>
    <w:rsid w:val="00A81C42"/>
    <w:rsid w:val="00A943C6"/>
    <w:rsid w:val="00A9698D"/>
    <w:rsid w:val="00AC768E"/>
    <w:rsid w:val="00AE65A7"/>
    <w:rsid w:val="00AF35FC"/>
    <w:rsid w:val="00AF5556"/>
    <w:rsid w:val="00B03639"/>
    <w:rsid w:val="00B0652A"/>
    <w:rsid w:val="00B27AC1"/>
    <w:rsid w:val="00B27EF8"/>
    <w:rsid w:val="00B330B5"/>
    <w:rsid w:val="00B40937"/>
    <w:rsid w:val="00B42087"/>
    <w:rsid w:val="00B423EF"/>
    <w:rsid w:val="00B453DE"/>
    <w:rsid w:val="00B60CD1"/>
    <w:rsid w:val="00B72597"/>
    <w:rsid w:val="00B77542"/>
    <w:rsid w:val="00B901F9"/>
    <w:rsid w:val="00B93415"/>
    <w:rsid w:val="00BA2A9A"/>
    <w:rsid w:val="00BB660F"/>
    <w:rsid w:val="00BD45E2"/>
    <w:rsid w:val="00BD4F1C"/>
    <w:rsid w:val="00BD6EFB"/>
    <w:rsid w:val="00C022B5"/>
    <w:rsid w:val="00C02774"/>
    <w:rsid w:val="00C04657"/>
    <w:rsid w:val="00C1584D"/>
    <w:rsid w:val="00C15BE2"/>
    <w:rsid w:val="00C16CD4"/>
    <w:rsid w:val="00C17D40"/>
    <w:rsid w:val="00C20FB4"/>
    <w:rsid w:val="00C3447F"/>
    <w:rsid w:val="00C45DCB"/>
    <w:rsid w:val="00C633DC"/>
    <w:rsid w:val="00C6676C"/>
    <w:rsid w:val="00C67102"/>
    <w:rsid w:val="00C81491"/>
    <w:rsid w:val="00C81676"/>
    <w:rsid w:val="00C85C5D"/>
    <w:rsid w:val="00C92CC4"/>
    <w:rsid w:val="00CA0AFB"/>
    <w:rsid w:val="00CA2CE1"/>
    <w:rsid w:val="00CA3976"/>
    <w:rsid w:val="00CA50E3"/>
    <w:rsid w:val="00CA6D5C"/>
    <w:rsid w:val="00CA757B"/>
    <w:rsid w:val="00CB38E3"/>
    <w:rsid w:val="00CB4F3B"/>
    <w:rsid w:val="00CC1787"/>
    <w:rsid w:val="00CC182C"/>
    <w:rsid w:val="00CD0824"/>
    <w:rsid w:val="00CD2908"/>
    <w:rsid w:val="00CD4B3C"/>
    <w:rsid w:val="00CD6CCB"/>
    <w:rsid w:val="00CE58E7"/>
    <w:rsid w:val="00D03A82"/>
    <w:rsid w:val="00D065BF"/>
    <w:rsid w:val="00D06E73"/>
    <w:rsid w:val="00D13667"/>
    <w:rsid w:val="00D15344"/>
    <w:rsid w:val="00D20F95"/>
    <w:rsid w:val="00D23F57"/>
    <w:rsid w:val="00D267BD"/>
    <w:rsid w:val="00D31BEC"/>
    <w:rsid w:val="00D4245E"/>
    <w:rsid w:val="00D53078"/>
    <w:rsid w:val="00D63150"/>
    <w:rsid w:val="00D636BA"/>
    <w:rsid w:val="00D64A32"/>
    <w:rsid w:val="00D64EFC"/>
    <w:rsid w:val="00D75295"/>
    <w:rsid w:val="00D76CE9"/>
    <w:rsid w:val="00D97F12"/>
    <w:rsid w:val="00DA49E9"/>
    <w:rsid w:val="00DA6095"/>
    <w:rsid w:val="00DB42E7"/>
    <w:rsid w:val="00DD584F"/>
    <w:rsid w:val="00DE01A6"/>
    <w:rsid w:val="00DE1D3C"/>
    <w:rsid w:val="00DE7A98"/>
    <w:rsid w:val="00DF32C2"/>
    <w:rsid w:val="00E03003"/>
    <w:rsid w:val="00E15C37"/>
    <w:rsid w:val="00E237DB"/>
    <w:rsid w:val="00E42171"/>
    <w:rsid w:val="00E42CF6"/>
    <w:rsid w:val="00E471A7"/>
    <w:rsid w:val="00E635CF"/>
    <w:rsid w:val="00E73CF0"/>
    <w:rsid w:val="00EA6AF0"/>
    <w:rsid w:val="00EC4A78"/>
    <w:rsid w:val="00EC682B"/>
    <w:rsid w:val="00EC6E0A"/>
    <w:rsid w:val="00ED4E18"/>
    <w:rsid w:val="00ED77D2"/>
    <w:rsid w:val="00EE1F37"/>
    <w:rsid w:val="00F0159C"/>
    <w:rsid w:val="00F105B7"/>
    <w:rsid w:val="00F13220"/>
    <w:rsid w:val="00F17A21"/>
    <w:rsid w:val="00F32BA3"/>
    <w:rsid w:val="00F367FC"/>
    <w:rsid w:val="00F37B27"/>
    <w:rsid w:val="00F46556"/>
    <w:rsid w:val="00F50E91"/>
    <w:rsid w:val="00F5593B"/>
    <w:rsid w:val="00F57D29"/>
    <w:rsid w:val="00F63CD3"/>
    <w:rsid w:val="00F90EA8"/>
    <w:rsid w:val="00F91B67"/>
    <w:rsid w:val="00F94C30"/>
    <w:rsid w:val="00F96201"/>
    <w:rsid w:val="00F979F6"/>
    <w:rsid w:val="00FD0B18"/>
    <w:rsid w:val="00FD2FAD"/>
    <w:rsid w:val="00FE714F"/>
    <w:rsid w:val="00FF6FF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2015FEB2"/>
  <w15:docId w15:val="{731000B9-B082-4C5C-9510-62CE9FF48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3">
    <w:name w:val="Mention3"/>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875D21-7945-4FD0-B7BC-22DED10FF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5401</Words>
  <Characters>30786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36115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dc:description/>
  <cp:lastModifiedBy>McCutcheon, Amber</cp:lastModifiedBy>
  <cp:revision>3</cp:revision>
  <cp:lastPrinted>2015-03-04T20:34:00Z</cp:lastPrinted>
  <dcterms:created xsi:type="dcterms:W3CDTF">2018-04-06T20:19:00Z</dcterms:created>
  <dcterms:modified xsi:type="dcterms:W3CDTF">2018-04-17T18:02:00Z</dcterms:modified>
</cp:coreProperties>
</file>