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C5B15" w14:textId="22FD8CAB" w:rsidR="00FB7D48" w:rsidRPr="003D519C" w:rsidRDefault="00031C75" w:rsidP="008467D5">
      <w:pPr>
        <w:pBdr>
          <w:bottom w:val="single" w:sz="18" w:space="1" w:color="auto"/>
        </w:pBdr>
        <w:tabs>
          <w:tab w:val="left" w:pos="-1440"/>
          <w:tab w:val="left" w:pos="-720"/>
          <w:tab w:val="left" w:pos="1"/>
        </w:tabs>
        <w:jc w:val="both"/>
        <w:rPr>
          <w:rFonts w:ascii="Arial" w:hAnsi="Arial"/>
          <w:b/>
          <w:noProof/>
          <w:sz w:val="24"/>
          <w:lang w:val="en-GB"/>
        </w:rPr>
      </w:pPr>
      <w:r w:rsidRPr="00031C75">
        <w:rPr>
          <w:rFonts w:ascii="Arial" w:hAnsi="Arial"/>
          <w:b/>
          <w:noProof/>
          <w:sz w:val="24"/>
        </w:rPr>
        <w:drawing>
          <wp:inline distT="0" distB="0" distL="0" distR="0" wp14:anchorId="0BF8A5A7" wp14:editId="5CF7A18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30F00FC" w14:textId="2F26F631" w:rsidR="00D75295" w:rsidRPr="003D519C" w:rsidRDefault="00E23C32" w:rsidP="00F105B7">
      <w:pPr>
        <w:pStyle w:val="ProductNumber"/>
        <w:rPr>
          <w:lang w:val="en-GB"/>
        </w:rPr>
      </w:pPr>
      <w:r>
        <w:rPr>
          <w:lang w:val="en-GB"/>
        </w:rPr>
        <w:t>9B18M075</w:t>
      </w:r>
    </w:p>
    <w:p w14:paraId="41A57A8B" w14:textId="77777777" w:rsidR="00D75295" w:rsidRPr="003D519C" w:rsidRDefault="00D75295" w:rsidP="00D75295">
      <w:pPr>
        <w:jc w:val="right"/>
        <w:rPr>
          <w:rFonts w:ascii="Arial" w:hAnsi="Arial"/>
          <w:b/>
          <w:sz w:val="28"/>
          <w:szCs w:val="28"/>
          <w:lang w:val="en-GB"/>
        </w:rPr>
      </w:pPr>
    </w:p>
    <w:p w14:paraId="045B0CC7" w14:textId="77777777" w:rsidR="00013360" w:rsidRPr="003D519C" w:rsidRDefault="00013360" w:rsidP="00D75295">
      <w:pPr>
        <w:jc w:val="right"/>
        <w:rPr>
          <w:rFonts w:ascii="Arial" w:hAnsi="Arial"/>
          <w:b/>
          <w:sz w:val="28"/>
          <w:szCs w:val="28"/>
          <w:lang w:val="en-GB"/>
        </w:rPr>
      </w:pPr>
    </w:p>
    <w:p w14:paraId="3405DF72" w14:textId="77777777" w:rsidR="00013360" w:rsidRPr="003D519C" w:rsidRDefault="00FB7D48" w:rsidP="00013360">
      <w:pPr>
        <w:pStyle w:val="CaseTitle"/>
        <w:spacing w:after="0" w:line="240" w:lineRule="auto"/>
        <w:rPr>
          <w:spacing w:val="-4"/>
          <w:kern w:val="28"/>
          <w:sz w:val="20"/>
          <w:szCs w:val="20"/>
          <w:lang w:val="en-GB"/>
        </w:rPr>
      </w:pPr>
      <w:r w:rsidRPr="003D519C">
        <w:rPr>
          <w:rFonts w:eastAsia="Times New Roman"/>
          <w:spacing w:val="-4"/>
          <w:kern w:val="28"/>
          <w:szCs w:val="20"/>
          <w:lang w:val="en-GB"/>
        </w:rPr>
        <w:t>HUDSON’S BAY COMPANY: RESTRUCTURING IN A RETAIL DECLINE</w:t>
      </w:r>
      <w:r w:rsidR="005A4146" w:rsidRPr="003D519C">
        <w:rPr>
          <w:rStyle w:val="EndnoteReference"/>
          <w:rFonts w:eastAsia="Times New Roman"/>
          <w:spacing w:val="-4"/>
          <w:kern w:val="28"/>
          <w:szCs w:val="20"/>
          <w:lang w:val="en-GB"/>
        </w:rPr>
        <w:endnoteReference w:id="1"/>
      </w:r>
    </w:p>
    <w:p w14:paraId="6059F83F" w14:textId="77777777" w:rsidR="00CA3976" w:rsidRPr="003D519C" w:rsidRDefault="00CA3976" w:rsidP="00013360">
      <w:pPr>
        <w:pStyle w:val="CaseTitle"/>
        <w:spacing w:after="0" w:line="240" w:lineRule="auto"/>
        <w:rPr>
          <w:sz w:val="20"/>
          <w:szCs w:val="20"/>
          <w:lang w:val="en-GB"/>
        </w:rPr>
      </w:pPr>
    </w:p>
    <w:p w14:paraId="76956EF0" w14:textId="77777777" w:rsidR="00013360" w:rsidRPr="003D519C" w:rsidRDefault="00013360" w:rsidP="00013360">
      <w:pPr>
        <w:pStyle w:val="CaseTitle"/>
        <w:spacing w:after="0" w:line="240" w:lineRule="auto"/>
        <w:rPr>
          <w:sz w:val="20"/>
          <w:szCs w:val="20"/>
          <w:lang w:val="en-GB"/>
        </w:rPr>
      </w:pPr>
    </w:p>
    <w:p w14:paraId="5DCDD629" w14:textId="77777777" w:rsidR="00627C63" w:rsidRPr="003D519C" w:rsidRDefault="00127054" w:rsidP="00627C63">
      <w:pPr>
        <w:pStyle w:val="StyleCopyrightStatementAfter0ptBottomSinglesolidline1"/>
        <w:rPr>
          <w:lang w:val="en-GB"/>
        </w:rPr>
      </w:pPr>
      <w:hyperlink r:id="rId9" w:history="1">
        <w:r w:rsidR="00FB7D48" w:rsidRPr="003D519C">
          <w:rPr>
            <w:rStyle w:val="Hyperlink"/>
            <w:color w:val="auto"/>
            <w:u w:val="none"/>
            <w:lang w:val="en-GB"/>
          </w:rPr>
          <w:t>Kelly Whitehead</w:t>
        </w:r>
      </w:hyperlink>
      <w:r w:rsidR="00FB7D48" w:rsidRPr="003D519C">
        <w:rPr>
          <w:color w:val="auto"/>
          <w:lang w:val="en-GB"/>
        </w:rPr>
        <w:t xml:space="preserve"> and </w:t>
      </w:r>
      <w:hyperlink r:id="rId10" w:history="1">
        <w:r w:rsidR="00FB7D48" w:rsidRPr="003D519C">
          <w:rPr>
            <w:rStyle w:val="Hyperlink"/>
            <w:color w:val="auto"/>
            <w:u w:val="none"/>
            <w:lang w:val="en-GB"/>
          </w:rPr>
          <w:t>Steven Campbell</w:t>
        </w:r>
      </w:hyperlink>
      <w:r w:rsidR="00FB7D48" w:rsidRPr="003D519C">
        <w:rPr>
          <w:color w:val="auto"/>
          <w:lang w:val="en-GB"/>
        </w:rPr>
        <w:t xml:space="preserve"> </w:t>
      </w:r>
      <w:r w:rsidR="004B632F" w:rsidRPr="003D519C">
        <w:rPr>
          <w:color w:val="auto"/>
          <w:lang w:val="en-GB"/>
        </w:rPr>
        <w:t>wrote th</w:t>
      </w:r>
      <w:r w:rsidR="004B632F" w:rsidRPr="003D519C">
        <w:rPr>
          <w:lang w:val="en-GB"/>
        </w:rPr>
        <w:t xml:space="preserve">is </w:t>
      </w:r>
      <w:r w:rsidR="00152682" w:rsidRPr="003D519C">
        <w:rPr>
          <w:lang w:val="en-GB"/>
        </w:rPr>
        <w:t>case</w:t>
      </w:r>
      <w:r w:rsidR="004B632F" w:rsidRPr="003D519C">
        <w:rPr>
          <w:lang w:val="en-GB"/>
        </w:rPr>
        <w:t xml:space="preserve"> </w:t>
      </w:r>
      <w:r w:rsidR="00152682" w:rsidRPr="003D519C">
        <w:rPr>
          <w:lang w:val="en-GB"/>
        </w:rPr>
        <w:t>solely to provide material for class discussion. The</w:t>
      </w:r>
      <w:r w:rsidR="001C7777" w:rsidRPr="003D519C">
        <w:rPr>
          <w:lang w:val="en-GB"/>
        </w:rPr>
        <w:t xml:space="preserve"> author</w:t>
      </w:r>
      <w:r w:rsidR="001A22D1" w:rsidRPr="003D519C">
        <w:rPr>
          <w:lang w:val="en-GB"/>
        </w:rPr>
        <w:t>s</w:t>
      </w:r>
      <w:r w:rsidR="00152682" w:rsidRPr="003D519C">
        <w:rPr>
          <w:lang w:val="en-GB"/>
        </w:rPr>
        <w:t xml:space="preserve"> do not intend to illustrate either effective or ineffective handling of a managerial situation. The author</w:t>
      </w:r>
      <w:r w:rsidR="001A22D1" w:rsidRPr="003D519C">
        <w:rPr>
          <w:lang w:val="en-GB"/>
        </w:rPr>
        <w:t>s</w:t>
      </w:r>
      <w:r w:rsidR="00152682" w:rsidRPr="003D519C">
        <w:rPr>
          <w:lang w:val="en-GB"/>
        </w:rPr>
        <w:t xml:space="preserve"> may have disguised certain names and other identifying information to protect confidentiality.</w:t>
      </w:r>
    </w:p>
    <w:p w14:paraId="3C9DCF2B" w14:textId="77777777" w:rsidR="00751E0B" w:rsidRPr="003D519C" w:rsidRDefault="00751E0B" w:rsidP="00751E0B">
      <w:pPr>
        <w:pStyle w:val="StyleCopyrightStatementAfter0ptBottomSinglesolidline1"/>
        <w:rPr>
          <w:lang w:val="en-GB"/>
        </w:rPr>
      </w:pPr>
    </w:p>
    <w:p w14:paraId="4B173BAC" w14:textId="77777777" w:rsidR="00031C75" w:rsidRPr="00E23AB7" w:rsidRDefault="00031C75"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2" w:history="1">
        <w:r w:rsidRPr="00E23AB7">
          <w:rPr>
            <w:rFonts w:ascii="Arial" w:hAnsi="Arial"/>
            <w:i/>
            <w:iCs/>
            <w:color w:val="000000"/>
            <w:sz w:val="16"/>
          </w:rPr>
          <w:t>www.iveycases.com</w:t>
        </w:r>
      </w:hyperlink>
      <w:r w:rsidRPr="00E23AB7">
        <w:rPr>
          <w:rFonts w:ascii="Arial" w:hAnsi="Arial"/>
          <w:i/>
          <w:iCs/>
          <w:color w:val="000000"/>
          <w:sz w:val="16"/>
        </w:rPr>
        <w:t>.</w:t>
      </w:r>
    </w:p>
    <w:p w14:paraId="55F24996" w14:textId="77777777" w:rsidR="00FB7D48" w:rsidRPr="003D519C" w:rsidRDefault="00FB7D48" w:rsidP="00751E0B">
      <w:pPr>
        <w:pStyle w:val="StyleCopyrightStatementAfter0ptBottomSinglesolidline1"/>
        <w:rPr>
          <w:lang w:val="en-GB"/>
        </w:rPr>
      </w:pPr>
    </w:p>
    <w:p w14:paraId="642FDC99" w14:textId="6BEC4CBE" w:rsidR="00751E0B" w:rsidRPr="003D519C" w:rsidRDefault="00031C75" w:rsidP="00751E0B">
      <w:pPr>
        <w:pStyle w:val="StyleStyleCopyrightStatementAfter0ptBottomSinglesolid"/>
        <w:rPr>
          <w:lang w:val="en-GB"/>
        </w:rPr>
      </w:pPr>
      <w:r w:rsidRPr="00031C75">
        <w:rPr>
          <w:rFonts w:cs="Arial"/>
          <w:szCs w:val="16"/>
        </w:rPr>
        <w:t xml:space="preserve">Copyright © 2018, </w:t>
      </w:r>
      <w:r w:rsidRPr="00031C75">
        <w:rPr>
          <w:rFonts w:cs="Arial"/>
          <w:szCs w:val="16"/>
          <w:lang w:val="en-CA"/>
        </w:rPr>
        <w:t>Ivey Business School Foundation</w:t>
      </w:r>
      <w:r w:rsidR="00A569EA" w:rsidRPr="003D519C">
        <w:rPr>
          <w:rFonts w:cs="Arial"/>
          <w:szCs w:val="16"/>
          <w:lang w:val="en-GB"/>
        </w:rPr>
        <w:tab/>
      </w:r>
      <w:r w:rsidR="00751E0B" w:rsidRPr="003D519C">
        <w:rPr>
          <w:lang w:val="en-GB"/>
        </w:rPr>
        <w:t xml:space="preserve">Version: </w:t>
      </w:r>
      <w:r w:rsidR="003D0BA1" w:rsidRPr="003D519C">
        <w:rPr>
          <w:lang w:val="en-GB"/>
        </w:rPr>
        <w:t>20</w:t>
      </w:r>
      <w:r w:rsidR="00FB7D48" w:rsidRPr="003D519C">
        <w:rPr>
          <w:lang w:val="en-GB"/>
        </w:rPr>
        <w:t>18</w:t>
      </w:r>
      <w:r w:rsidR="001C7777" w:rsidRPr="003D519C">
        <w:rPr>
          <w:lang w:val="en-GB"/>
        </w:rPr>
        <w:t>-</w:t>
      </w:r>
      <w:r>
        <w:rPr>
          <w:lang w:val="en-GB"/>
        </w:rPr>
        <w:t>04</w:t>
      </w:r>
      <w:r w:rsidR="00751E0B" w:rsidRPr="003D519C">
        <w:rPr>
          <w:lang w:val="en-GB"/>
        </w:rPr>
        <w:t>-</w:t>
      </w:r>
      <w:r w:rsidR="00127054">
        <w:rPr>
          <w:lang w:val="en-GB"/>
        </w:rPr>
        <w:t>27</w:t>
      </w:r>
    </w:p>
    <w:p w14:paraId="1B2ED7EA" w14:textId="77777777" w:rsidR="00751E0B" w:rsidRPr="003D519C" w:rsidRDefault="00751E0B" w:rsidP="00751E0B">
      <w:pPr>
        <w:pStyle w:val="StyleCopyrightStatementAfter0ptBottomSinglesolidline1"/>
        <w:rPr>
          <w:rFonts w:ascii="Times New Roman" w:hAnsi="Times New Roman"/>
          <w:sz w:val="20"/>
          <w:lang w:val="en-GB"/>
        </w:rPr>
      </w:pPr>
    </w:p>
    <w:p w14:paraId="6F1DE8EC" w14:textId="77777777" w:rsidR="004B632F" w:rsidRPr="003D519C" w:rsidRDefault="004B632F" w:rsidP="004B632F">
      <w:pPr>
        <w:pStyle w:val="StyleCopyrightStatementAfter0ptBottomSinglesolidline1"/>
        <w:rPr>
          <w:rFonts w:ascii="Times New Roman" w:hAnsi="Times New Roman"/>
          <w:sz w:val="20"/>
          <w:lang w:val="en-GB"/>
        </w:rPr>
      </w:pPr>
    </w:p>
    <w:p w14:paraId="697D996C" w14:textId="65826F4D"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In November 2017, </w:t>
      </w:r>
      <w:r w:rsidR="00111936" w:rsidRPr="003D519C">
        <w:rPr>
          <w:color w:val="000000"/>
          <w:sz w:val="22"/>
          <w:szCs w:val="22"/>
          <w:lang w:val="en-GB"/>
        </w:rPr>
        <w:t>Hudson’s Bay Company (HBC</w:t>
      </w:r>
      <w:r w:rsidRPr="003D519C">
        <w:rPr>
          <w:color w:val="000000"/>
          <w:sz w:val="22"/>
          <w:szCs w:val="22"/>
          <w:lang w:val="en-GB"/>
        </w:rPr>
        <w:t>) was at a critical impasse. The company, although beloved in the Canadian retail landscape for its rich Canadian heritage, faced significant pressure from activist investor Land &amp; Bu</w:t>
      </w:r>
      <w:r w:rsidR="00111936" w:rsidRPr="003D519C">
        <w:rPr>
          <w:color w:val="000000"/>
          <w:sz w:val="22"/>
          <w:szCs w:val="22"/>
          <w:lang w:val="en-GB"/>
        </w:rPr>
        <w:t>ildings Investment Management (LBIM</w:t>
      </w:r>
      <w:r w:rsidRPr="003D519C">
        <w:rPr>
          <w:color w:val="000000"/>
          <w:sz w:val="22"/>
          <w:szCs w:val="22"/>
          <w:lang w:val="en-GB"/>
        </w:rPr>
        <w:t xml:space="preserve">) after recording a </w:t>
      </w:r>
      <w:r w:rsidR="00111936" w:rsidRPr="003D519C">
        <w:rPr>
          <w:color w:val="000000"/>
          <w:sz w:val="22"/>
          <w:szCs w:val="22"/>
          <w:lang w:val="en-GB"/>
        </w:rPr>
        <w:t>CA</w:t>
      </w:r>
      <w:r w:rsidRPr="003D519C">
        <w:rPr>
          <w:color w:val="000000"/>
          <w:sz w:val="22"/>
          <w:szCs w:val="22"/>
          <w:lang w:val="en-GB"/>
        </w:rPr>
        <w:t>$201 million</w:t>
      </w:r>
      <w:r w:rsidR="00111936" w:rsidRPr="003D519C">
        <w:rPr>
          <w:rStyle w:val="EndnoteReference"/>
          <w:color w:val="000000"/>
          <w:sz w:val="22"/>
          <w:szCs w:val="22"/>
          <w:lang w:val="en-GB"/>
        </w:rPr>
        <w:endnoteReference w:id="2"/>
      </w:r>
      <w:r w:rsidRPr="003D519C">
        <w:rPr>
          <w:color w:val="000000"/>
          <w:sz w:val="22"/>
          <w:szCs w:val="22"/>
          <w:lang w:val="en-GB"/>
        </w:rPr>
        <w:t xml:space="preserve"> loss in </w:t>
      </w:r>
      <w:r w:rsidR="002C7F2B">
        <w:rPr>
          <w:color w:val="000000"/>
          <w:sz w:val="22"/>
          <w:szCs w:val="22"/>
          <w:lang w:val="en-GB"/>
        </w:rPr>
        <w:t xml:space="preserve">the </w:t>
      </w:r>
      <w:r w:rsidRPr="003D519C">
        <w:rPr>
          <w:color w:val="000000"/>
          <w:sz w:val="22"/>
          <w:szCs w:val="22"/>
          <w:lang w:val="en-GB"/>
        </w:rPr>
        <w:t xml:space="preserve">second quarter (Q2) </w:t>
      </w:r>
      <w:r w:rsidR="002C7F2B">
        <w:rPr>
          <w:color w:val="000000"/>
          <w:sz w:val="22"/>
          <w:szCs w:val="22"/>
          <w:lang w:val="en-GB"/>
        </w:rPr>
        <w:t xml:space="preserve">of </w:t>
      </w:r>
      <w:r w:rsidRPr="003D519C">
        <w:rPr>
          <w:color w:val="000000"/>
          <w:sz w:val="22"/>
          <w:szCs w:val="22"/>
          <w:lang w:val="en-GB"/>
        </w:rPr>
        <w:t>2017</w:t>
      </w:r>
      <w:r w:rsidR="002C7F2B">
        <w:rPr>
          <w:color w:val="000000"/>
          <w:sz w:val="22"/>
          <w:szCs w:val="22"/>
          <w:lang w:val="en-GB"/>
        </w:rPr>
        <w:t>,</w:t>
      </w:r>
      <w:r w:rsidRPr="003D519C">
        <w:rPr>
          <w:color w:val="000000"/>
          <w:sz w:val="22"/>
          <w:szCs w:val="22"/>
          <w:lang w:val="en-GB"/>
        </w:rPr>
        <w:t xml:space="preserve"> amid failures to monetize its real estate assets.</w:t>
      </w:r>
      <w:r w:rsidRPr="003D519C">
        <w:rPr>
          <w:color w:val="000000"/>
          <w:sz w:val="22"/>
          <w:szCs w:val="22"/>
          <w:vertAlign w:val="superscript"/>
          <w:lang w:val="en-GB"/>
        </w:rPr>
        <w:endnoteReference w:id="3"/>
      </w:r>
      <w:r w:rsidRPr="003D519C">
        <w:rPr>
          <w:color w:val="000000"/>
          <w:sz w:val="22"/>
          <w:szCs w:val="22"/>
          <w:lang w:val="en-GB"/>
        </w:rPr>
        <w:t xml:space="preserve"> LBIM alleged that HBC was withholding information about a potential offer from management to take the company private, while suggesting that HBC was waiting for an industry turnaround that, in the current retail environment, was unlikely to occur.</w:t>
      </w:r>
      <w:r w:rsidRPr="003D519C">
        <w:rPr>
          <w:color w:val="000000"/>
          <w:sz w:val="22"/>
          <w:szCs w:val="22"/>
          <w:vertAlign w:val="superscript"/>
          <w:lang w:val="en-GB"/>
        </w:rPr>
        <w:endnoteReference w:id="4"/>
      </w:r>
      <w:r w:rsidRPr="003D519C">
        <w:rPr>
          <w:color w:val="000000"/>
          <w:sz w:val="22"/>
          <w:szCs w:val="22"/>
          <w:lang w:val="en-GB"/>
        </w:rPr>
        <w:t xml:space="preserve"> HBC responded by focusing on cost-cutting measures, including the removal of 2,000 jobs in June 2017 and </w:t>
      </w:r>
      <w:r w:rsidR="004A60C1">
        <w:rPr>
          <w:color w:val="000000"/>
          <w:sz w:val="22"/>
          <w:szCs w:val="22"/>
          <w:lang w:val="en-GB"/>
        </w:rPr>
        <w:t xml:space="preserve">the </w:t>
      </w:r>
      <w:r w:rsidR="004A60C1" w:rsidRPr="003D519C">
        <w:rPr>
          <w:color w:val="000000"/>
          <w:sz w:val="22"/>
          <w:szCs w:val="22"/>
          <w:lang w:val="en-GB"/>
        </w:rPr>
        <w:t>renew</w:t>
      </w:r>
      <w:r w:rsidR="004A60C1">
        <w:rPr>
          <w:color w:val="000000"/>
          <w:sz w:val="22"/>
          <w:szCs w:val="22"/>
          <w:lang w:val="en-GB"/>
        </w:rPr>
        <w:t>al of</w:t>
      </w:r>
      <w:r w:rsidR="004A60C1" w:rsidRPr="003D519C">
        <w:rPr>
          <w:color w:val="000000"/>
          <w:sz w:val="22"/>
          <w:szCs w:val="22"/>
          <w:lang w:val="en-GB"/>
        </w:rPr>
        <w:t xml:space="preserve"> </w:t>
      </w:r>
      <w:r w:rsidRPr="003D519C">
        <w:rPr>
          <w:color w:val="000000"/>
          <w:sz w:val="22"/>
          <w:szCs w:val="22"/>
          <w:lang w:val="en-GB"/>
        </w:rPr>
        <w:t>its interest in its e</w:t>
      </w:r>
      <w:r w:rsidR="003B1D65">
        <w:rPr>
          <w:color w:val="000000"/>
          <w:sz w:val="22"/>
          <w:szCs w:val="22"/>
          <w:lang w:val="en-GB"/>
        </w:rPr>
        <w:t>-</w:t>
      </w:r>
      <w:r w:rsidRPr="003D519C">
        <w:rPr>
          <w:color w:val="000000"/>
          <w:sz w:val="22"/>
          <w:szCs w:val="22"/>
          <w:lang w:val="en-GB"/>
        </w:rPr>
        <w:t>commerce portfolio.</w:t>
      </w:r>
      <w:r w:rsidRPr="003D519C">
        <w:rPr>
          <w:color w:val="000000"/>
          <w:sz w:val="22"/>
          <w:szCs w:val="22"/>
          <w:vertAlign w:val="superscript"/>
          <w:lang w:val="en-GB"/>
        </w:rPr>
        <w:endnoteReference w:id="5"/>
      </w:r>
      <w:r w:rsidRPr="003D519C">
        <w:rPr>
          <w:color w:val="000000"/>
          <w:sz w:val="22"/>
          <w:szCs w:val="22"/>
          <w:lang w:val="en-GB"/>
        </w:rPr>
        <w:t xml:space="preserve"> However, with the announcement that chief executive officer (CEO) Gerald </w:t>
      </w:r>
      <w:proofErr w:type="spellStart"/>
      <w:r w:rsidRPr="003D519C">
        <w:rPr>
          <w:color w:val="000000"/>
          <w:sz w:val="22"/>
          <w:szCs w:val="22"/>
          <w:lang w:val="en-GB"/>
        </w:rPr>
        <w:t>Storch</w:t>
      </w:r>
      <w:proofErr w:type="spellEnd"/>
      <w:r w:rsidRPr="003D519C">
        <w:rPr>
          <w:color w:val="000000"/>
          <w:sz w:val="22"/>
          <w:szCs w:val="22"/>
          <w:lang w:val="en-GB"/>
        </w:rPr>
        <w:t xml:space="preserve"> would be stepping down at the beginning of November 2017 after the high-profile battle with LBIM, it was clear that HBC’s efforts were doing little to assuage the activist’s concerns.</w:t>
      </w:r>
      <w:r w:rsidRPr="003D519C">
        <w:rPr>
          <w:color w:val="000000"/>
          <w:sz w:val="22"/>
          <w:szCs w:val="22"/>
          <w:vertAlign w:val="superscript"/>
          <w:lang w:val="en-GB"/>
        </w:rPr>
        <w:endnoteReference w:id="6"/>
      </w:r>
      <w:r w:rsidRPr="003D519C">
        <w:rPr>
          <w:color w:val="000000"/>
          <w:sz w:val="22"/>
          <w:szCs w:val="22"/>
          <w:lang w:val="en-GB"/>
        </w:rPr>
        <w:t xml:space="preserve"> How should HBC proceed to regain profitability in a Canadian retail environment </w:t>
      </w:r>
      <w:r w:rsidR="004A60C1">
        <w:rPr>
          <w:color w:val="000000"/>
          <w:sz w:val="22"/>
          <w:szCs w:val="22"/>
          <w:lang w:val="en-GB"/>
        </w:rPr>
        <w:t xml:space="preserve">that was </w:t>
      </w:r>
      <w:r w:rsidR="004A60C1" w:rsidRPr="003D519C">
        <w:rPr>
          <w:color w:val="000000"/>
          <w:sz w:val="22"/>
          <w:szCs w:val="22"/>
          <w:lang w:val="en-GB"/>
        </w:rPr>
        <w:t xml:space="preserve">increasingly pessimistic </w:t>
      </w:r>
      <w:r w:rsidRPr="003D519C">
        <w:rPr>
          <w:color w:val="000000"/>
          <w:sz w:val="22"/>
          <w:szCs w:val="22"/>
          <w:lang w:val="en-GB"/>
        </w:rPr>
        <w:t>for brick</w:t>
      </w:r>
      <w:r w:rsidR="002C7F2B">
        <w:rPr>
          <w:color w:val="000000"/>
          <w:sz w:val="22"/>
          <w:szCs w:val="22"/>
          <w:lang w:val="en-GB"/>
        </w:rPr>
        <w:t>-</w:t>
      </w:r>
      <w:r w:rsidRPr="003D519C">
        <w:rPr>
          <w:color w:val="000000"/>
          <w:sz w:val="22"/>
          <w:szCs w:val="22"/>
          <w:lang w:val="en-GB"/>
        </w:rPr>
        <w:t>and</w:t>
      </w:r>
      <w:r w:rsidR="002C7F2B">
        <w:rPr>
          <w:color w:val="000000"/>
          <w:sz w:val="22"/>
          <w:szCs w:val="22"/>
          <w:lang w:val="en-GB"/>
        </w:rPr>
        <w:t>-</w:t>
      </w:r>
      <w:r w:rsidRPr="003D519C">
        <w:rPr>
          <w:color w:val="000000"/>
          <w:sz w:val="22"/>
          <w:szCs w:val="22"/>
          <w:lang w:val="en-GB"/>
        </w:rPr>
        <w:t xml:space="preserve">mortar department stores? </w:t>
      </w:r>
    </w:p>
    <w:p w14:paraId="1273AF76" w14:textId="77777777" w:rsidR="00FB7D48" w:rsidRPr="003D519C" w:rsidRDefault="00FB7D48" w:rsidP="003D519C">
      <w:pPr>
        <w:pBdr>
          <w:top w:val="nil"/>
          <w:left w:val="nil"/>
          <w:bottom w:val="nil"/>
          <w:right w:val="nil"/>
          <w:between w:val="nil"/>
        </w:pBdr>
        <w:jc w:val="both"/>
        <w:rPr>
          <w:color w:val="000000"/>
          <w:sz w:val="22"/>
          <w:szCs w:val="22"/>
          <w:lang w:val="en-GB"/>
        </w:rPr>
      </w:pPr>
    </w:p>
    <w:p w14:paraId="7B1EF291" w14:textId="77777777" w:rsidR="00FB7D48" w:rsidRPr="003D519C" w:rsidRDefault="00FB7D48" w:rsidP="003D519C">
      <w:pPr>
        <w:pBdr>
          <w:top w:val="nil"/>
          <w:left w:val="nil"/>
          <w:bottom w:val="nil"/>
          <w:right w:val="nil"/>
          <w:between w:val="nil"/>
        </w:pBdr>
        <w:jc w:val="both"/>
        <w:rPr>
          <w:color w:val="000000"/>
          <w:sz w:val="22"/>
          <w:szCs w:val="22"/>
          <w:lang w:val="en-GB"/>
        </w:rPr>
      </w:pPr>
    </w:p>
    <w:p w14:paraId="6D4CA76C" w14:textId="77777777" w:rsidR="00FB7D48" w:rsidRPr="003D519C" w:rsidRDefault="00FB7D48" w:rsidP="003D519C">
      <w:pPr>
        <w:pBdr>
          <w:top w:val="nil"/>
          <w:left w:val="nil"/>
          <w:bottom w:val="nil"/>
          <w:right w:val="nil"/>
          <w:between w:val="nil"/>
        </w:pBdr>
        <w:jc w:val="both"/>
        <w:rPr>
          <w:color w:val="000000"/>
          <w:sz w:val="22"/>
          <w:szCs w:val="22"/>
          <w:lang w:val="en-GB"/>
        </w:rPr>
      </w:pPr>
      <w:r w:rsidRPr="003D519C">
        <w:rPr>
          <w:rFonts w:ascii="Arial" w:eastAsia="Arial" w:hAnsi="Arial" w:cs="Arial"/>
          <w:b/>
          <w:color w:val="000000"/>
          <w:lang w:val="en-GB"/>
        </w:rPr>
        <w:t>HUMBLE BEGINNINGS</w:t>
      </w:r>
      <w:r w:rsidRPr="003D519C">
        <w:rPr>
          <w:color w:val="000000"/>
          <w:sz w:val="22"/>
          <w:szCs w:val="22"/>
          <w:lang w:val="en-GB"/>
        </w:rPr>
        <w:t xml:space="preserve"> </w:t>
      </w:r>
    </w:p>
    <w:p w14:paraId="30BFD917" w14:textId="77777777" w:rsidR="00FB7D48" w:rsidRPr="003D519C" w:rsidRDefault="00FB7D48" w:rsidP="003D519C">
      <w:pPr>
        <w:pBdr>
          <w:top w:val="nil"/>
          <w:left w:val="nil"/>
          <w:bottom w:val="nil"/>
          <w:right w:val="nil"/>
          <w:between w:val="nil"/>
        </w:pBdr>
        <w:jc w:val="both"/>
        <w:rPr>
          <w:color w:val="000000"/>
          <w:sz w:val="22"/>
          <w:szCs w:val="22"/>
          <w:lang w:val="en-GB"/>
        </w:rPr>
      </w:pPr>
    </w:p>
    <w:p w14:paraId="4AF80EC3" w14:textId="79FA5D84"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HBC was the oldest retailer on the Canadian market </w:t>
      </w:r>
      <w:r w:rsidR="00CA7A69">
        <w:rPr>
          <w:color w:val="000000"/>
          <w:sz w:val="22"/>
          <w:szCs w:val="22"/>
          <w:lang w:val="en-GB"/>
        </w:rPr>
        <w:t>and had risen from</w:t>
      </w:r>
      <w:r w:rsidR="00CA7A69" w:rsidRPr="003D519C">
        <w:rPr>
          <w:color w:val="000000"/>
          <w:sz w:val="22"/>
          <w:szCs w:val="22"/>
          <w:lang w:val="en-GB"/>
        </w:rPr>
        <w:t xml:space="preserve"> </w:t>
      </w:r>
      <w:r w:rsidRPr="003D519C">
        <w:rPr>
          <w:color w:val="000000"/>
          <w:sz w:val="22"/>
          <w:szCs w:val="22"/>
          <w:lang w:val="en-GB"/>
        </w:rPr>
        <w:t>humble beginnings as a fur trading company in 1670, nearly two centuries prior to Canada</w:t>
      </w:r>
      <w:r w:rsidR="00F0324C">
        <w:rPr>
          <w:color w:val="000000"/>
          <w:sz w:val="22"/>
          <w:szCs w:val="22"/>
          <w:lang w:val="en-GB"/>
        </w:rPr>
        <w:t>’s Confederation</w:t>
      </w:r>
      <w:r w:rsidR="00B57D8C" w:rsidRPr="003D519C">
        <w:rPr>
          <w:color w:val="000000"/>
          <w:sz w:val="22"/>
          <w:szCs w:val="22"/>
          <w:lang w:val="en-GB"/>
        </w:rPr>
        <w:t>.</w:t>
      </w:r>
      <w:r w:rsidRPr="003D519C">
        <w:rPr>
          <w:color w:val="000000"/>
          <w:sz w:val="22"/>
          <w:szCs w:val="22"/>
          <w:lang w:val="en-GB"/>
        </w:rPr>
        <w:t xml:space="preserve"> </w:t>
      </w:r>
      <w:r w:rsidR="00F0324C">
        <w:rPr>
          <w:color w:val="000000"/>
          <w:sz w:val="22"/>
          <w:szCs w:val="22"/>
          <w:lang w:val="en-GB"/>
        </w:rPr>
        <w:t>Although it i</w:t>
      </w:r>
      <w:r w:rsidRPr="003D519C">
        <w:rPr>
          <w:color w:val="000000"/>
          <w:sz w:val="22"/>
          <w:szCs w:val="22"/>
          <w:lang w:val="en-GB"/>
        </w:rPr>
        <w:t xml:space="preserve">nitially </w:t>
      </w:r>
      <w:r w:rsidR="00F0324C" w:rsidRPr="003D519C">
        <w:rPr>
          <w:color w:val="000000"/>
          <w:sz w:val="22"/>
          <w:szCs w:val="22"/>
          <w:lang w:val="en-GB"/>
        </w:rPr>
        <w:t>target</w:t>
      </w:r>
      <w:r w:rsidR="00F0324C">
        <w:rPr>
          <w:color w:val="000000"/>
          <w:sz w:val="22"/>
          <w:szCs w:val="22"/>
          <w:lang w:val="en-GB"/>
        </w:rPr>
        <w:t>ed</w:t>
      </w:r>
      <w:r w:rsidR="00F0324C" w:rsidRPr="003D519C">
        <w:rPr>
          <w:color w:val="000000"/>
          <w:sz w:val="22"/>
          <w:szCs w:val="22"/>
          <w:lang w:val="en-GB"/>
        </w:rPr>
        <w:t xml:space="preserve"> </w:t>
      </w:r>
      <w:r w:rsidRPr="003D519C">
        <w:rPr>
          <w:color w:val="000000"/>
          <w:sz w:val="22"/>
          <w:szCs w:val="22"/>
          <w:lang w:val="en-GB"/>
        </w:rPr>
        <w:t xml:space="preserve">only the trading posts around James </w:t>
      </w:r>
      <w:r w:rsidR="00F0324C">
        <w:rPr>
          <w:color w:val="000000"/>
          <w:sz w:val="22"/>
          <w:szCs w:val="22"/>
          <w:lang w:val="en-GB"/>
        </w:rPr>
        <w:t xml:space="preserve">Bay </w:t>
      </w:r>
      <w:r w:rsidRPr="003D519C">
        <w:rPr>
          <w:color w:val="000000"/>
          <w:sz w:val="22"/>
          <w:szCs w:val="22"/>
          <w:lang w:val="en-GB"/>
        </w:rPr>
        <w:t xml:space="preserve">and Hudson’s Bay, </w:t>
      </w:r>
      <w:r w:rsidR="00F0324C" w:rsidRPr="003D519C">
        <w:rPr>
          <w:color w:val="000000"/>
          <w:sz w:val="22"/>
          <w:szCs w:val="22"/>
          <w:lang w:val="en-GB"/>
        </w:rPr>
        <w:t>by the late 18th century</w:t>
      </w:r>
      <w:r w:rsidR="00F0324C">
        <w:rPr>
          <w:color w:val="000000"/>
          <w:sz w:val="22"/>
          <w:szCs w:val="22"/>
          <w:lang w:val="en-GB"/>
        </w:rPr>
        <w:t>,</w:t>
      </w:r>
      <w:r w:rsidR="00F0324C" w:rsidRPr="003D519C">
        <w:rPr>
          <w:color w:val="000000"/>
          <w:sz w:val="22"/>
          <w:szCs w:val="22"/>
          <w:lang w:val="en-GB"/>
        </w:rPr>
        <w:t xml:space="preserve"> </w:t>
      </w:r>
      <w:r w:rsidRPr="003D519C">
        <w:rPr>
          <w:color w:val="000000"/>
          <w:sz w:val="22"/>
          <w:szCs w:val="22"/>
          <w:lang w:val="en-GB"/>
        </w:rPr>
        <w:t xml:space="preserve">the company </w:t>
      </w:r>
      <w:r w:rsidR="00F0324C">
        <w:rPr>
          <w:color w:val="000000"/>
          <w:sz w:val="22"/>
          <w:szCs w:val="22"/>
          <w:lang w:val="en-GB"/>
        </w:rPr>
        <w:t xml:space="preserve">had </w:t>
      </w:r>
      <w:r w:rsidRPr="003D519C">
        <w:rPr>
          <w:color w:val="000000"/>
          <w:sz w:val="22"/>
          <w:szCs w:val="22"/>
          <w:lang w:val="en-GB"/>
        </w:rPr>
        <w:t>expanded into the interior of Canada</w:t>
      </w:r>
      <w:r w:rsidR="00127054">
        <w:rPr>
          <w:color w:val="000000"/>
          <w:sz w:val="22"/>
          <w:szCs w:val="22"/>
          <w:lang w:val="en-GB"/>
        </w:rPr>
        <w:t>. T</w:t>
      </w:r>
      <w:r w:rsidR="004A60C1">
        <w:rPr>
          <w:color w:val="000000"/>
          <w:sz w:val="22"/>
          <w:szCs w:val="22"/>
          <w:lang w:val="en-GB"/>
        </w:rPr>
        <w:t>he posts it</w:t>
      </w:r>
      <w:r w:rsidR="004A60C1" w:rsidRPr="003D519C">
        <w:rPr>
          <w:color w:val="000000"/>
          <w:sz w:val="22"/>
          <w:szCs w:val="22"/>
          <w:lang w:val="en-GB"/>
        </w:rPr>
        <w:t xml:space="preserve"> develop</w:t>
      </w:r>
      <w:r w:rsidR="004A60C1">
        <w:rPr>
          <w:color w:val="000000"/>
          <w:sz w:val="22"/>
          <w:szCs w:val="22"/>
          <w:lang w:val="en-GB"/>
        </w:rPr>
        <w:t xml:space="preserve">ed </w:t>
      </w:r>
      <w:r w:rsidR="00127054">
        <w:rPr>
          <w:color w:val="000000"/>
          <w:sz w:val="22"/>
          <w:szCs w:val="22"/>
          <w:lang w:val="en-GB"/>
        </w:rPr>
        <w:t xml:space="preserve">along the river networks </w:t>
      </w:r>
      <w:r w:rsidRPr="003D519C">
        <w:rPr>
          <w:color w:val="000000"/>
          <w:sz w:val="22"/>
          <w:szCs w:val="22"/>
          <w:lang w:val="en-GB"/>
        </w:rPr>
        <w:t>predate</w:t>
      </w:r>
      <w:r w:rsidR="00127054">
        <w:rPr>
          <w:color w:val="000000"/>
          <w:sz w:val="22"/>
          <w:szCs w:val="22"/>
          <w:lang w:val="en-GB"/>
        </w:rPr>
        <w:t>d</w:t>
      </w:r>
      <w:r w:rsidRPr="003D519C">
        <w:rPr>
          <w:color w:val="000000"/>
          <w:sz w:val="22"/>
          <w:szCs w:val="22"/>
          <w:lang w:val="en-GB"/>
        </w:rPr>
        <w:t xml:space="preserve"> </w:t>
      </w:r>
      <w:r w:rsidR="00F0324C">
        <w:rPr>
          <w:color w:val="000000"/>
          <w:sz w:val="22"/>
          <w:szCs w:val="22"/>
          <w:lang w:val="en-GB"/>
        </w:rPr>
        <w:t xml:space="preserve">the </w:t>
      </w:r>
      <w:r w:rsidRPr="003D519C">
        <w:rPr>
          <w:color w:val="000000"/>
          <w:sz w:val="22"/>
          <w:szCs w:val="22"/>
          <w:lang w:val="en-GB"/>
        </w:rPr>
        <w:t xml:space="preserve">major Canadian cities soon to follow, such as Winnipeg, Calgary, and Edmonton. HBC began its transformation into a department store retailer in the early 20th century, with a modernization program in 1912 resulting in what </w:t>
      </w:r>
      <w:r w:rsidR="004A60C1">
        <w:rPr>
          <w:color w:val="000000"/>
          <w:sz w:val="22"/>
          <w:szCs w:val="22"/>
          <w:lang w:val="en-GB"/>
        </w:rPr>
        <w:t>wa</w:t>
      </w:r>
      <w:r w:rsidR="004A60C1" w:rsidRPr="003D519C">
        <w:rPr>
          <w:color w:val="000000"/>
          <w:sz w:val="22"/>
          <w:szCs w:val="22"/>
          <w:lang w:val="en-GB"/>
        </w:rPr>
        <w:t xml:space="preserve">s </w:t>
      </w:r>
      <w:r w:rsidRPr="003D519C">
        <w:rPr>
          <w:color w:val="000000"/>
          <w:sz w:val="22"/>
          <w:szCs w:val="22"/>
          <w:lang w:val="en-GB"/>
        </w:rPr>
        <w:t>referred to as the original six HBC department stores: Calgary, Edmonton, Vancouver, Victoria, Saskatoon, and Winnipeg.</w:t>
      </w:r>
      <w:r w:rsidRPr="003D519C">
        <w:rPr>
          <w:color w:val="000000"/>
          <w:sz w:val="22"/>
          <w:szCs w:val="22"/>
          <w:vertAlign w:val="superscript"/>
          <w:lang w:val="en-GB"/>
        </w:rPr>
        <w:endnoteReference w:id="7"/>
      </w:r>
      <w:r w:rsidR="00111936" w:rsidRPr="003D519C">
        <w:rPr>
          <w:color w:val="000000"/>
          <w:sz w:val="22"/>
          <w:szCs w:val="22"/>
          <w:lang w:val="en-GB"/>
        </w:rPr>
        <w:t xml:space="preserve"> </w:t>
      </w:r>
      <w:r w:rsidRPr="003D519C">
        <w:rPr>
          <w:color w:val="000000"/>
          <w:sz w:val="22"/>
          <w:szCs w:val="22"/>
          <w:lang w:val="en-GB"/>
        </w:rPr>
        <w:t xml:space="preserve">The company would later expand its department store presence, continuing its path toward becoming an iconic Canadian retailer. </w:t>
      </w:r>
    </w:p>
    <w:p w14:paraId="295B2CA7" w14:textId="77777777" w:rsidR="00FB7D48" w:rsidRPr="003D519C" w:rsidRDefault="00FB7D48" w:rsidP="003D519C">
      <w:pPr>
        <w:pStyle w:val="BodyTextMain"/>
        <w:rPr>
          <w:rFonts w:eastAsia="Arial"/>
          <w:lang w:val="en-GB"/>
        </w:rPr>
      </w:pPr>
    </w:p>
    <w:p w14:paraId="29CCC608" w14:textId="77777777" w:rsidR="00FB7D48" w:rsidRPr="003D519C" w:rsidRDefault="00FB7D48" w:rsidP="003D519C">
      <w:pPr>
        <w:pStyle w:val="BodyTextMain"/>
        <w:rPr>
          <w:rFonts w:eastAsia="Arial"/>
          <w:lang w:val="en-GB"/>
        </w:rPr>
      </w:pPr>
    </w:p>
    <w:p w14:paraId="2FD5DFB3" w14:textId="77777777" w:rsidR="00FB7D48" w:rsidRPr="003D519C" w:rsidRDefault="00FB7D48" w:rsidP="003D519C">
      <w:pPr>
        <w:keepNext/>
        <w:pBdr>
          <w:top w:val="nil"/>
          <w:left w:val="nil"/>
          <w:bottom w:val="nil"/>
          <w:right w:val="nil"/>
          <w:between w:val="nil"/>
        </w:pBdr>
        <w:jc w:val="both"/>
        <w:rPr>
          <w:rFonts w:ascii="Arial" w:eastAsia="Arial" w:hAnsi="Arial" w:cs="Arial"/>
          <w:b/>
          <w:color w:val="000000"/>
          <w:lang w:val="en-GB"/>
        </w:rPr>
      </w:pPr>
      <w:r w:rsidRPr="003D519C">
        <w:rPr>
          <w:rFonts w:ascii="Arial" w:eastAsia="Arial" w:hAnsi="Arial" w:cs="Arial"/>
          <w:b/>
          <w:color w:val="000000"/>
          <w:lang w:val="en-GB"/>
        </w:rPr>
        <w:t xml:space="preserve">1970: A CANADIAN RETAILER IS BORN </w:t>
      </w:r>
    </w:p>
    <w:p w14:paraId="3AF391BF" w14:textId="77777777" w:rsidR="00FB7D48" w:rsidRPr="003D519C" w:rsidRDefault="00FB7D48" w:rsidP="003D519C">
      <w:pPr>
        <w:pStyle w:val="BodyTextMain"/>
        <w:keepNext/>
        <w:rPr>
          <w:rFonts w:eastAsia="Arial"/>
          <w:lang w:val="en-GB"/>
        </w:rPr>
      </w:pPr>
    </w:p>
    <w:p w14:paraId="2D2B1D50" w14:textId="3DB87A0F"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Although known as a Canadian brand, HBC was a British company until its Canadian incorporation in 1970, </w:t>
      </w:r>
      <w:r w:rsidR="00F0324C">
        <w:rPr>
          <w:color w:val="000000"/>
          <w:sz w:val="22"/>
          <w:szCs w:val="22"/>
          <w:lang w:val="en-GB"/>
        </w:rPr>
        <w:t>300</w:t>
      </w:r>
      <w:r w:rsidRPr="003D519C">
        <w:rPr>
          <w:color w:val="000000"/>
          <w:sz w:val="22"/>
          <w:szCs w:val="22"/>
          <w:lang w:val="en-GB"/>
        </w:rPr>
        <w:t xml:space="preserve"> years after its founding.</w:t>
      </w:r>
      <w:r w:rsidRPr="003D519C">
        <w:rPr>
          <w:color w:val="000000"/>
          <w:sz w:val="22"/>
          <w:szCs w:val="22"/>
          <w:vertAlign w:val="superscript"/>
          <w:lang w:val="en-GB"/>
        </w:rPr>
        <w:endnoteReference w:id="8"/>
      </w:r>
      <w:r w:rsidRPr="003D519C">
        <w:rPr>
          <w:color w:val="000000"/>
          <w:sz w:val="22"/>
          <w:szCs w:val="22"/>
          <w:lang w:val="en-GB"/>
        </w:rPr>
        <w:t xml:space="preserve"> The company then began an aggressive acquisition strategy in </w:t>
      </w:r>
      <w:r w:rsidR="00F0324C">
        <w:rPr>
          <w:color w:val="000000"/>
          <w:sz w:val="22"/>
          <w:szCs w:val="22"/>
          <w:lang w:val="en-GB"/>
        </w:rPr>
        <w:t>an effort</w:t>
      </w:r>
      <w:r w:rsidR="00F0324C" w:rsidRPr="003D519C">
        <w:rPr>
          <w:color w:val="000000"/>
          <w:sz w:val="22"/>
          <w:szCs w:val="22"/>
          <w:lang w:val="en-GB"/>
        </w:rPr>
        <w:t xml:space="preserve"> </w:t>
      </w:r>
      <w:r w:rsidRPr="003D519C">
        <w:rPr>
          <w:color w:val="000000"/>
          <w:sz w:val="22"/>
          <w:szCs w:val="22"/>
          <w:lang w:val="en-GB"/>
        </w:rPr>
        <w:t>to dominate the Canadian retail environment, purchasing th</w:t>
      </w:r>
      <w:r w:rsidR="00127054">
        <w:rPr>
          <w:color w:val="000000"/>
          <w:sz w:val="22"/>
          <w:szCs w:val="22"/>
          <w:lang w:val="en-GB"/>
        </w:rPr>
        <w:t>e Shop-Rite catalogue stores;</w:t>
      </w:r>
      <w:r w:rsidRPr="003D519C">
        <w:rPr>
          <w:color w:val="000000"/>
          <w:sz w:val="22"/>
          <w:szCs w:val="22"/>
          <w:lang w:val="en-GB"/>
        </w:rPr>
        <w:t xml:space="preserve"> Ottawa retailer A.</w:t>
      </w:r>
      <w:r w:rsidR="00F0324C">
        <w:rPr>
          <w:color w:val="000000"/>
          <w:sz w:val="22"/>
          <w:szCs w:val="22"/>
          <w:lang w:val="en-GB"/>
        </w:rPr>
        <w:t xml:space="preserve"> </w:t>
      </w:r>
      <w:r w:rsidRPr="003D519C">
        <w:rPr>
          <w:color w:val="000000"/>
          <w:sz w:val="22"/>
          <w:szCs w:val="22"/>
          <w:lang w:val="en-GB"/>
        </w:rPr>
        <w:lastRenderedPageBreak/>
        <w:t xml:space="preserve">J. </w:t>
      </w:r>
      <w:proofErr w:type="spellStart"/>
      <w:r w:rsidRPr="003D519C">
        <w:rPr>
          <w:color w:val="000000"/>
          <w:sz w:val="22"/>
          <w:szCs w:val="22"/>
          <w:lang w:val="en-GB"/>
        </w:rPr>
        <w:t>Freiman</w:t>
      </w:r>
      <w:proofErr w:type="spellEnd"/>
      <w:r w:rsidRPr="003D519C">
        <w:rPr>
          <w:color w:val="000000"/>
          <w:sz w:val="22"/>
          <w:szCs w:val="22"/>
          <w:lang w:val="en-GB"/>
        </w:rPr>
        <w:t xml:space="preserve"> Ltd. in 1972</w:t>
      </w:r>
      <w:r w:rsidR="00127054">
        <w:rPr>
          <w:color w:val="000000"/>
          <w:sz w:val="22"/>
          <w:szCs w:val="22"/>
          <w:lang w:val="en-GB"/>
        </w:rPr>
        <w:t>;</w:t>
      </w:r>
      <w:r w:rsidRPr="003D519C">
        <w:rPr>
          <w:color w:val="000000"/>
          <w:sz w:val="22"/>
          <w:szCs w:val="22"/>
          <w:vertAlign w:val="superscript"/>
          <w:lang w:val="en-GB"/>
        </w:rPr>
        <w:endnoteReference w:id="9"/>
      </w:r>
      <w:r w:rsidRPr="003D519C">
        <w:rPr>
          <w:color w:val="000000"/>
          <w:sz w:val="22"/>
          <w:szCs w:val="22"/>
          <w:lang w:val="en-GB"/>
        </w:rPr>
        <w:t xml:space="preserve"> Zell</w:t>
      </w:r>
      <w:r w:rsidR="00127054">
        <w:rPr>
          <w:color w:val="000000"/>
          <w:sz w:val="22"/>
          <w:szCs w:val="22"/>
          <w:lang w:val="en-GB"/>
        </w:rPr>
        <w:t>ers/Fields and Simpsons in 1978;</w:t>
      </w:r>
      <w:r w:rsidRPr="003D519C">
        <w:rPr>
          <w:color w:val="000000"/>
          <w:sz w:val="22"/>
          <w:szCs w:val="22"/>
          <w:lang w:val="en-GB"/>
        </w:rPr>
        <w:t xml:space="preserve"> and Robinson’s in 1979.</w:t>
      </w:r>
      <w:r w:rsidRPr="003D519C">
        <w:rPr>
          <w:color w:val="000000"/>
          <w:sz w:val="22"/>
          <w:szCs w:val="22"/>
          <w:vertAlign w:val="superscript"/>
          <w:lang w:val="en-GB"/>
        </w:rPr>
        <w:endnoteReference w:id="10"/>
      </w:r>
      <w:r w:rsidRPr="003D519C">
        <w:rPr>
          <w:color w:val="000000"/>
          <w:sz w:val="22"/>
          <w:szCs w:val="22"/>
          <w:lang w:val="en-GB"/>
        </w:rPr>
        <w:t xml:space="preserve"> </w:t>
      </w:r>
      <w:r w:rsidR="00082A79">
        <w:rPr>
          <w:color w:val="000000"/>
          <w:sz w:val="22"/>
          <w:szCs w:val="22"/>
          <w:lang w:val="en-GB"/>
        </w:rPr>
        <w:t>As a result of</w:t>
      </w:r>
      <w:r w:rsidR="00082A79" w:rsidRPr="003D519C">
        <w:rPr>
          <w:color w:val="000000"/>
          <w:sz w:val="22"/>
          <w:szCs w:val="22"/>
          <w:lang w:val="en-GB"/>
        </w:rPr>
        <w:t xml:space="preserve"> </w:t>
      </w:r>
      <w:r w:rsidRPr="003D519C">
        <w:rPr>
          <w:color w:val="000000"/>
          <w:sz w:val="22"/>
          <w:szCs w:val="22"/>
          <w:lang w:val="en-GB"/>
        </w:rPr>
        <w:t xml:space="preserve">the economic downturn of the 1980s, however, the company </w:t>
      </w:r>
      <w:r w:rsidR="00082A79">
        <w:rPr>
          <w:color w:val="000000"/>
          <w:sz w:val="22"/>
          <w:szCs w:val="22"/>
          <w:lang w:val="en-GB"/>
        </w:rPr>
        <w:t>needed</w:t>
      </w:r>
      <w:r w:rsidR="00082A79" w:rsidRPr="003D519C">
        <w:rPr>
          <w:color w:val="000000"/>
          <w:sz w:val="22"/>
          <w:szCs w:val="22"/>
          <w:lang w:val="en-GB"/>
        </w:rPr>
        <w:t xml:space="preserve"> </w:t>
      </w:r>
      <w:r w:rsidRPr="003D519C">
        <w:rPr>
          <w:color w:val="000000"/>
          <w:sz w:val="22"/>
          <w:szCs w:val="22"/>
          <w:lang w:val="en-GB"/>
        </w:rPr>
        <w:t xml:space="preserve">to rethink its acquisition strategy, </w:t>
      </w:r>
      <w:r w:rsidR="00D55C53">
        <w:rPr>
          <w:color w:val="000000"/>
          <w:sz w:val="22"/>
          <w:szCs w:val="22"/>
          <w:lang w:val="en-GB"/>
        </w:rPr>
        <w:t xml:space="preserve">and it </w:t>
      </w:r>
      <w:r w:rsidR="00D55C53" w:rsidRPr="003D519C">
        <w:rPr>
          <w:color w:val="000000"/>
          <w:sz w:val="22"/>
          <w:szCs w:val="22"/>
          <w:lang w:val="en-GB"/>
        </w:rPr>
        <w:t>cho</w:t>
      </w:r>
      <w:r w:rsidR="00D55C53">
        <w:rPr>
          <w:color w:val="000000"/>
          <w:sz w:val="22"/>
          <w:szCs w:val="22"/>
          <w:lang w:val="en-GB"/>
        </w:rPr>
        <w:t>se</w:t>
      </w:r>
      <w:r w:rsidR="00D55C53" w:rsidRPr="003D519C">
        <w:rPr>
          <w:color w:val="000000"/>
          <w:sz w:val="22"/>
          <w:szCs w:val="22"/>
          <w:lang w:val="en-GB"/>
        </w:rPr>
        <w:t xml:space="preserve"> </w:t>
      </w:r>
      <w:r w:rsidRPr="003D519C">
        <w:rPr>
          <w:color w:val="000000"/>
          <w:sz w:val="22"/>
          <w:szCs w:val="22"/>
          <w:lang w:val="en-GB"/>
        </w:rPr>
        <w:t>instead to sell off non-essential assets, such as the fur trade, wholesale, and Northern Stores departments in 1987.</w:t>
      </w:r>
      <w:r w:rsidRPr="003D519C">
        <w:rPr>
          <w:color w:val="000000"/>
          <w:sz w:val="22"/>
          <w:szCs w:val="22"/>
          <w:vertAlign w:val="superscript"/>
          <w:lang w:val="en-GB"/>
        </w:rPr>
        <w:endnoteReference w:id="11"/>
      </w:r>
      <w:r w:rsidRPr="003D519C">
        <w:rPr>
          <w:color w:val="000000"/>
          <w:sz w:val="22"/>
          <w:szCs w:val="22"/>
          <w:lang w:val="en-GB"/>
        </w:rPr>
        <w:t xml:space="preserve"> This early turnaround strategy was successful, resulting in HBC’s continued dominance of the retail environment into the 1990s. </w:t>
      </w:r>
    </w:p>
    <w:p w14:paraId="6A104021"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0C79296D" w14:textId="5BA09FF6"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The 1990s </w:t>
      </w:r>
      <w:r w:rsidR="00D55C53">
        <w:rPr>
          <w:color w:val="000000"/>
          <w:sz w:val="22"/>
          <w:szCs w:val="22"/>
          <w:lang w:val="en-GB"/>
        </w:rPr>
        <w:t>saw</w:t>
      </w:r>
      <w:r w:rsidRPr="003D519C">
        <w:rPr>
          <w:color w:val="000000"/>
          <w:sz w:val="22"/>
          <w:szCs w:val="22"/>
          <w:lang w:val="en-GB"/>
        </w:rPr>
        <w:t xml:space="preserve"> </w:t>
      </w:r>
      <w:r w:rsidR="00082A79">
        <w:rPr>
          <w:color w:val="000000"/>
          <w:sz w:val="22"/>
          <w:szCs w:val="22"/>
          <w:lang w:val="en-GB"/>
        </w:rPr>
        <w:t>HBC</w:t>
      </w:r>
      <w:r w:rsidR="00082A79" w:rsidRPr="003D519C">
        <w:rPr>
          <w:color w:val="000000"/>
          <w:sz w:val="22"/>
          <w:szCs w:val="22"/>
          <w:lang w:val="en-GB"/>
        </w:rPr>
        <w:t xml:space="preserve"> </w:t>
      </w:r>
      <w:r w:rsidRPr="003D519C">
        <w:rPr>
          <w:color w:val="000000"/>
          <w:sz w:val="22"/>
          <w:szCs w:val="22"/>
          <w:lang w:val="en-GB"/>
        </w:rPr>
        <w:t>return</w:t>
      </w:r>
      <w:r w:rsidR="00082A79">
        <w:rPr>
          <w:color w:val="000000"/>
          <w:sz w:val="22"/>
          <w:szCs w:val="22"/>
          <w:lang w:val="en-GB"/>
        </w:rPr>
        <w:t>ing</w:t>
      </w:r>
      <w:r w:rsidRPr="003D519C">
        <w:rPr>
          <w:color w:val="000000"/>
          <w:sz w:val="22"/>
          <w:szCs w:val="22"/>
          <w:lang w:val="en-GB"/>
        </w:rPr>
        <w:t xml:space="preserve"> to </w:t>
      </w:r>
      <w:r w:rsidR="00082A79">
        <w:rPr>
          <w:color w:val="000000"/>
          <w:sz w:val="22"/>
          <w:szCs w:val="22"/>
          <w:lang w:val="en-GB"/>
        </w:rPr>
        <w:t>its</w:t>
      </w:r>
      <w:r w:rsidR="00082A79" w:rsidRPr="003D519C">
        <w:rPr>
          <w:color w:val="000000"/>
          <w:sz w:val="22"/>
          <w:szCs w:val="22"/>
          <w:lang w:val="en-GB"/>
        </w:rPr>
        <w:t xml:space="preserve"> </w:t>
      </w:r>
      <w:r w:rsidRPr="003D519C">
        <w:rPr>
          <w:color w:val="000000"/>
          <w:sz w:val="22"/>
          <w:szCs w:val="22"/>
          <w:lang w:val="en-GB"/>
        </w:rPr>
        <w:t xml:space="preserve">acquisition strategy with the purchase of the Woodward’s department stores </w:t>
      </w:r>
      <w:r w:rsidR="00D55C53">
        <w:rPr>
          <w:color w:val="000000"/>
          <w:sz w:val="22"/>
          <w:szCs w:val="22"/>
          <w:lang w:val="en-GB"/>
        </w:rPr>
        <w:t>in</w:t>
      </w:r>
      <w:r w:rsidR="00D55C53" w:rsidRPr="003D519C">
        <w:rPr>
          <w:color w:val="000000"/>
          <w:sz w:val="22"/>
          <w:szCs w:val="22"/>
          <w:lang w:val="en-GB"/>
        </w:rPr>
        <w:t xml:space="preserve"> </w:t>
      </w:r>
      <w:r w:rsidRPr="003D519C">
        <w:rPr>
          <w:color w:val="000000"/>
          <w:sz w:val="22"/>
          <w:szCs w:val="22"/>
          <w:lang w:val="en-GB"/>
        </w:rPr>
        <w:t>Western Canada in 1993 and Kmart Canada in 1998. The company opened three Bed, Bath, and More stores in the Greater Toronto Area in 1998</w:t>
      </w:r>
      <w:r w:rsidR="00E27F75">
        <w:rPr>
          <w:color w:val="000000"/>
          <w:sz w:val="22"/>
          <w:szCs w:val="22"/>
          <w:lang w:val="en-GB"/>
        </w:rPr>
        <w:t xml:space="preserve"> and</w:t>
      </w:r>
      <w:r w:rsidRPr="003D519C">
        <w:rPr>
          <w:color w:val="000000"/>
          <w:sz w:val="22"/>
          <w:szCs w:val="22"/>
          <w:lang w:val="en-GB"/>
        </w:rPr>
        <w:t xml:space="preserve"> renamed </w:t>
      </w:r>
      <w:proofErr w:type="gramStart"/>
      <w:r w:rsidR="00E27F75">
        <w:rPr>
          <w:color w:val="000000"/>
          <w:sz w:val="22"/>
          <w:szCs w:val="22"/>
          <w:lang w:val="en-GB"/>
        </w:rPr>
        <w:t>them</w:t>
      </w:r>
      <w:proofErr w:type="gramEnd"/>
      <w:r w:rsidR="00E27F75">
        <w:rPr>
          <w:color w:val="000000"/>
          <w:sz w:val="22"/>
          <w:szCs w:val="22"/>
          <w:lang w:val="en-GB"/>
        </w:rPr>
        <w:t xml:space="preserve"> </w:t>
      </w:r>
      <w:r w:rsidRPr="003D519C">
        <w:rPr>
          <w:color w:val="000000"/>
          <w:sz w:val="22"/>
          <w:szCs w:val="22"/>
          <w:lang w:val="en-GB"/>
        </w:rPr>
        <w:t>Home Outfitters in 1999, a sign of further diversification of HBC’s presence in the Canadian retail market.</w:t>
      </w:r>
      <w:r w:rsidRPr="003D519C">
        <w:rPr>
          <w:color w:val="000000"/>
          <w:sz w:val="22"/>
          <w:szCs w:val="22"/>
          <w:vertAlign w:val="superscript"/>
          <w:lang w:val="en-GB"/>
        </w:rPr>
        <w:endnoteReference w:id="12"/>
      </w:r>
    </w:p>
    <w:p w14:paraId="1F37029B"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1C6BBD24" w14:textId="5BAF61FE" w:rsidR="00FB7D48" w:rsidRPr="00031C75" w:rsidRDefault="00FB7D48" w:rsidP="003D519C">
      <w:pPr>
        <w:pBdr>
          <w:top w:val="nil"/>
          <w:left w:val="nil"/>
          <w:bottom w:val="nil"/>
          <w:right w:val="nil"/>
          <w:between w:val="nil"/>
        </w:pBdr>
        <w:jc w:val="both"/>
        <w:rPr>
          <w:color w:val="000000"/>
          <w:spacing w:val="-2"/>
          <w:kern w:val="22"/>
          <w:sz w:val="22"/>
          <w:szCs w:val="22"/>
          <w:lang w:val="en-GB"/>
        </w:rPr>
      </w:pPr>
      <w:r w:rsidRPr="00031C75">
        <w:rPr>
          <w:color w:val="000000"/>
          <w:spacing w:val="-2"/>
          <w:kern w:val="22"/>
          <w:sz w:val="22"/>
          <w:szCs w:val="22"/>
          <w:lang w:val="en-GB"/>
        </w:rPr>
        <w:t>In 2000, HBC entered the e</w:t>
      </w:r>
      <w:r w:rsidR="003B1D65" w:rsidRPr="00031C75">
        <w:rPr>
          <w:color w:val="000000"/>
          <w:spacing w:val="-2"/>
          <w:kern w:val="22"/>
          <w:sz w:val="22"/>
          <w:szCs w:val="22"/>
          <w:lang w:val="en-GB"/>
        </w:rPr>
        <w:t>-</w:t>
      </w:r>
      <w:r w:rsidRPr="00031C75">
        <w:rPr>
          <w:color w:val="000000"/>
          <w:spacing w:val="-2"/>
          <w:kern w:val="22"/>
          <w:sz w:val="22"/>
          <w:szCs w:val="22"/>
          <w:lang w:val="en-GB"/>
        </w:rPr>
        <w:t xml:space="preserve">commerce arena with the launch of HBC.com, followed by its entrance into loyalty programs with HBC </w:t>
      </w:r>
      <w:r w:rsidR="00E27F75">
        <w:rPr>
          <w:color w:val="000000"/>
          <w:spacing w:val="-2"/>
          <w:kern w:val="22"/>
          <w:sz w:val="22"/>
          <w:szCs w:val="22"/>
          <w:lang w:val="en-GB"/>
        </w:rPr>
        <w:t>R</w:t>
      </w:r>
      <w:r w:rsidR="00E27F75" w:rsidRPr="00031C75">
        <w:rPr>
          <w:color w:val="000000"/>
          <w:spacing w:val="-2"/>
          <w:kern w:val="22"/>
          <w:sz w:val="22"/>
          <w:szCs w:val="22"/>
          <w:lang w:val="en-GB"/>
        </w:rPr>
        <w:t>ewards</w:t>
      </w:r>
      <w:r w:rsidRPr="00031C75">
        <w:rPr>
          <w:color w:val="000000"/>
          <w:spacing w:val="-2"/>
          <w:kern w:val="22"/>
          <w:sz w:val="22"/>
          <w:szCs w:val="22"/>
          <w:lang w:val="en-GB"/>
        </w:rPr>
        <w:t>.</w:t>
      </w:r>
      <w:r w:rsidRPr="00031C75">
        <w:rPr>
          <w:color w:val="000000"/>
          <w:spacing w:val="-2"/>
          <w:kern w:val="22"/>
          <w:sz w:val="22"/>
          <w:szCs w:val="22"/>
          <w:vertAlign w:val="superscript"/>
          <w:lang w:val="en-GB"/>
        </w:rPr>
        <w:endnoteReference w:id="13"/>
      </w:r>
      <w:r w:rsidRPr="00031C75">
        <w:rPr>
          <w:color w:val="000000"/>
          <w:spacing w:val="-2"/>
          <w:kern w:val="22"/>
          <w:sz w:val="22"/>
          <w:szCs w:val="22"/>
          <w:lang w:val="en-GB"/>
        </w:rPr>
        <w:t xml:space="preserve"> In 2005, the company’s Canadian identity was further solidified after </w:t>
      </w:r>
      <w:r w:rsidR="00E27F75">
        <w:rPr>
          <w:color w:val="000000"/>
          <w:spacing w:val="-2"/>
          <w:kern w:val="22"/>
          <w:sz w:val="22"/>
          <w:szCs w:val="22"/>
          <w:lang w:val="en-GB"/>
        </w:rPr>
        <w:t>it was</w:t>
      </w:r>
      <w:r w:rsidR="00E27F75" w:rsidRPr="00031C75">
        <w:rPr>
          <w:color w:val="000000"/>
          <w:spacing w:val="-2"/>
          <w:kern w:val="22"/>
          <w:sz w:val="22"/>
          <w:szCs w:val="22"/>
          <w:lang w:val="en-GB"/>
        </w:rPr>
        <w:t xml:space="preserve"> </w:t>
      </w:r>
      <w:r w:rsidRPr="00031C75">
        <w:rPr>
          <w:color w:val="000000"/>
          <w:spacing w:val="-2"/>
          <w:kern w:val="22"/>
          <w:sz w:val="22"/>
          <w:szCs w:val="22"/>
          <w:lang w:val="en-GB"/>
        </w:rPr>
        <w:t>selected as the official retailer of the Olympic and Paralympic Games</w:t>
      </w:r>
      <w:r w:rsidR="00111936" w:rsidRPr="00031C75">
        <w:rPr>
          <w:color w:val="000000"/>
          <w:spacing w:val="-2"/>
          <w:kern w:val="22"/>
          <w:sz w:val="22"/>
          <w:szCs w:val="22"/>
          <w:lang w:val="en-GB"/>
        </w:rPr>
        <w:t>,</w:t>
      </w:r>
      <w:r w:rsidRPr="00031C75">
        <w:rPr>
          <w:color w:val="000000"/>
          <w:spacing w:val="-2"/>
          <w:kern w:val="22"/>
          <w:sz w:val="22"/>
          <w:szCs w:val="22"/>
          <w:vertAlign w:val="superscript"/>
          <w:lang w:val="en-GB"/>
        </w:rPr>
        <w:endnoteReference w:id="14"/>
      </w:r>
      <w:r w:rsidRPr="00031C75">
        <w:rPr>
          <w:color w:val="000000"/>
          <w:spacing w:val="-2"/>
          <w:kern w:val="22"/>
          <w:sz w:val="22"/>
          <w:szCs w:val="22"/>
          <w:lang w:val="en-GB"/>
        </w:rPr>
        <w:t xml:space="preserve"> with the red “Canadian Olympic Team” mittens later becoming an iconic product associated with HBC at an affordable price of $15</w:t>
      </w:r>
      <w:r w:rsidR="00082A79" w:rsidRPr="00031C75">
        <w:rPr>
          <w:color w:val="000000"/>
          <w:spacing w:val="-2"/>
          <w:kern w:val="22"/>
          <w:sz w:val="22"/>
          <w:szCs w:val="22"/>
          <w:lang w:val="en-GB"/>
        </w:rPr>
        <w:t xml:space="preserve"> per </w:t>
      </w:r>
      <w:r w:rsidRPr="00031C75">
        <w:rPr>
          <w:color w:val="000000"/>
          <w:spacing w:val="-2"/>
          <w:kern w:val="22"/>
          <w:sz w:val="22"/>
          <w:szCs w:val="22"/>
          <w:lang w:val="en-GB"/>
        </w:rPr>
        <w:t>pair.</w:t>
      </w:r>
      <w:r w:rsidRPr="00031C75">
        <w:rPr>
          <w:color w:val="000000"/>
          <w:spacing w:val="-2"/>
          <w:kern w:val="22"/>
          <w:sz w:val="22"/>
          <w:szCs w:val="22"/>
          <w:vertAlign w:val="superscript"/>
          <w:lang w:val="en-GB"/>
        </w:rPr>
        <w:endnoteReference w:id="15"/>
      </w:r>
      <w:r w:rsidRPr="00031C75">
        <w:rPr>
          <w:color w:val="000000"/>
          <w:spacing w:val="-2"/>
          <w:kern w:val="22"/>
          <w:sz w:val="22"/>
          <w:szCs w:val="22"/>
          <w:lang w:val="en-GB"/>
        </w:rPr>
        <w:t xml:space="preserve"> It was clear that the company’s long Canadian history and resilience i</w:t>
      </w:r>
      <w:r w:rsidR="00127054">
        <w:rPr>
          <w:color w:val="000000"/>
          <w:spacing w:val="-2"/>
          <w:kern w:val="22"/>
          <w:sz w:val="22"/>
          <w:szCs w:val="22"/>
          <w:lang w:val="en-GB"/>
        </w:rPr>
        <w:t>n the face of economic downturn</w:t>
      </w:r>
      <w:r w:rsidRPr="00031C75">
        <w:rPr>
          <w:color w:val="000000"/>
          <w:spacing w:val="-2"/>
          <w:kern w:val="22"/>
          <w:sz w:val="22"/>
          <w:szCs w:val="22"/>
          <w:lang w:val="en-GB"/>
        </w:rPr>
        <w:t xml:space="preserve"> was a significant strength in developing a sustained competitive advantage. </w:t>
      </w:r>
    </w:p>
    <w:p w14:paraId="6C43D6D5"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01959189"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61FCD476" w14:textId="00AACEB6" w:rsidR="00FB7D48" w:rsidRPr="003D519C" w:rsidRDefault="00FB7D48" w:rsidP="003D519C">
      <w:pPr>
        <w:pBdr>
          <w:top w:val="nil"/>
          <w:left w:val="nil"/>
          <w:bottom w:val="nil"/>
          <w:right w:val="nil"/>
          <w:between w:val="nil"/>
        </w:pBdr>
        <w:jc w:val="both"/>
        <w:rPr>
          <w:rFonts w:ascii="Arial" w:eastAsia="Arial" w:hAnsi="Arial" w:cs="Arial"/>
          <w:b/>
          <w:color w:val="000000"/>
          <w:lang w:val="en-GB"/>
        </w:rPr>
      </w:pPr>
      <w:r w:rsidRPr="003D519C">
        <w:rPr>
          <w:rFonts w:ascii="Arial" w:eastAsia="Arial" w:hAnsi="Arial" w:cs="Arial"/>
          <w:b/>
          <w:color w:val="000000"/>
          <w:lang w:val="en-GB"/>
        </w:rPr>
        <w:t>GALERIA KAUFHOF: HBC’S EUROPEAN EXPANSION</w:t>
      </w:r>
    </w:p>
    <w:p w14:paraId="3B6FACB4" w14:textId="77777777" w:rsidR="00FB7D48" w:rsidRPr="00E23C32" w:rsidRDefault="00FB7D48" w:rsidP="003D519C">
      <w:pPr>
        <w:pStyle w:val="BodyTextMain"/>
        <w:rPr>
          <w:rFonts w:eastAsia="Arial"/>
          <w:sz w:val="18"/>
          <w:szCs w:val="18"/>
          <w:lang w:val="en-GB"/>
        </w:rPr>
      </w:pPr>
    </w:p>
    <w:p w14:paraId="464141AB" w14:textId="724F3545"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In 2015, HBC further diversified its retail operations, entering the European market with the acquisition of Germany’s </w:t>
      </w:r>
      <w:proofErr w:type="spellStart"/>
      <w:r w:rsidRPr="003D519C">
        <w:rPr>
          <w:color w:val="000000"/>
          <w:sz w:val="22"/>
          <w:szCs w:val="22"/>
          <w:lang w:val="en-GB"/>
        </w:rPr>
        <w:t>Galeria</w:t>
      </w:r>
      <w:proofErr w:type="spellEnd"/>
      <w:r w:rsidRPr="003D519C">
        <w:rPr>
          <w:color w:val="000000"/>
          <w:sz w:val="22"/>
          <w:szCs w:val="22"/>
          <w:lang w:val="en-GB"/>
        </w:rPr>
        <w:t xml:space="preserve"> </w:t>
      </w:r>
      <w:proofErr w:type="spellStart"/>
      <w:r w:rsidRPr="003D519C">
        <w:rPr>
          <w:color w:val="000000"/>
          <w:sz w:val="22"/>
          <w:szCs w:val="22"/>
          <w:lang w:val="en-GB"/>
        </w:rPr>
        <w:t>Kaufhof</w:t>
      </w:r>
      <w:proofErr w:type="spellEnd"/>
      <w:r w:rsidRPr="003D519C">
        <w:rPr>
          <w:color w:val="000000"/>
          <w:sz w:val="22"/>
          <w:szCs w:val="22"/>
          <w:lang w:val="en-GB"/>
        </w:rPr>
        <w:t xml:space="preserve"> and its Belgian subsid</w:t>
      </w:r>
      <w:r w:rsidR="00111936" w:rsidRPr="003D519C">
        <w:rPr>
          <w:color w:val="000000"/>
          <w:sz w:val="22"/>
          <w:szCs w:val="22"/>
          <w:lang w:val="en-GB"/>
        </w:rPr>
        <w:t xml:space="preserve">iary, </w:t>
      </w:r>
      <w:proofErr w:type="spellStart"/>
      <w:r w:rsidR="00111936" w:rsidRPr="003D519C">
        <w:rPr>
          <w:color w:val="000000"/>
          <w:sz w:val="22"/>
          <w:szCs w:val="22"/>
          <w:lang w:val="en-GB"/>
        </w:rPr>
        <w:t>Inno</w:t>
      </w:r>
      <w:proofErr w:type="spellEnd"/>
      <w:r w:rsidR="00111936" w:rsidRPr="003D519C">
        <w:rPr>
          <w:color w:val="000000"/>
          <w:sz w:val="22"/>
          <w:szCs w:val="22"/>
          <w:lang w:val="en-GB"/>
        </w:rPr>
        <w:t>, for $3.9 billion</w:t>
      </w:r>
      <w:r w:rsidRPr="003D519C">
        <w:rPr>
          <w:color w:val="000000"/>
          <w:sz w:val="22"/>
          <w:szCs w:val="22"/>
          <w:lang w:val="en-GB"/>
        </w:rPr>
        <w:t>.</w:t>
      </w:r>
      <w:r w:rsidRPr="003D519C">
        <w:rPr>
          <w:color w:val="000000"/>
          <w:sz w:val="22"/>
          <w:szCs w:val="22"/>
          <w:vertAlign w:val="superscript"/>
          <w:lang w:val="en-GB"/>
        </w:rPr>
        <w:endnoteReference w:id="16"/>
      </w:r>
      <w:r w:rsidRPr="003D519C">
        <w:rPr>
          <w:color w:val="000000"/>
          <w:sz w:val="22"/>
          <w:szCs w:val="22"/>
          <w:lang w:val="en-GB"/>
        </w:rPr>
        <w:t xml:space="preserve"> Since the acquisition, however, the sales </w:t>
      </w:r>
      <w:r w:rsidR="00584890">
        <w:rPr>
          <w:color w:val="000000"/>
          <w:sz w:val="22"/>
          <w:szCs w:val="22"/>
          <w:lang w:val="en-GB"/>
        </w:rPr>
        <w:t>at</w:t>
      </w:r>
      <w:r w:rsidR="00584890" w:rsidRPr="003D519C">
        <w:rPr>
          <w:color w:val="000000"/>
          <w:sz w:val="22"/>
          <w:szCs w:val="22"/>
          <w:lang w:val="en-GB"/>
        </w:rPr>
        <w:t xml:space="preserve"> </w:t>
      </w:r>
      <w:r w:rsidRPr="003D519C">
        <w:rPr>
          <w:color w:val="000000"/>
          <w:sz w:val="22"/>
          <w:szCs w:val="22"/>
          <w:lang w:val="en-GB"/>
        </w:rPr>
        <w:t xml:space="preserve">the German department store had consistently fallen, resulting in pressure from LBIM to sell off the acquisition. Concurrent with the resignation of CEO Gerald </w:t>
      </w:r>
      <w:proofErr w:type="spellStart"/>
      <w:r w:rsidRPr="003D519C">
        <w:rPr>
          <w:color w:val="000000"/>
          <w:sz w:val="22"/>
          <w:szCs w:val="22"/>
          <w:lang w:val="en-GB"/>
        </w:rPr>
        <w:t>Storch</w:t>
      </w:r>
      <w:proofErr w:type="spellEnd"/>
      <w:r w:rsidRPr="003D519C">
        <w:rPr>
          <w:color w:val="000000"/>
          <w:sz w:val="22"/>
          <w:szCs w:val="22"/>
          <w:lang w:val="en-GB"/>
        </w:rPr>
        <w:t xml:space="preserve">, HBC received what </w:t>
      </w:r>
      <w:r w:rsidR="00303339">
        <w:rPr>
          <w:color w:val="000000"/>
          <w:sz w:val="22"/>
          <w:szCs w:val="22"/>
          <w:lang w:val="en-GB"/>
        </w:rPr>
        <w:t>it</w:t>
      </w:r>
      <w:r w:rsidR="00303339" w:rsidRPr="003D519C">
        <w:rPr>
          <w:color w:val="000000"/>
          <w:sz w:val="22"/>
          <w:szCs w:val="22"/>
          <w:lang w:val="en-GB"/>
        </w:rPr>
        <w:t xml:space="preserve"> </w:t>
      </w:r>
      <w:r w:rsidRPr="003D519C">
        <w:rPr>
          <w:color w:val="000000"/>
          <w:sz w:val="22"/>
          <w:szCs w:val="22"/>
          <w:lang w:val="en-GB"/>
        </w:rPr>
        <w:t xml:space="preserve">referred to as an “incomplete, non-binding, and unsolicited offer” </w:t>
      </w:r>
      <w:r w:rsidR="00303339" w:rsidRPr="003D519C">
        <w:rPr>
          <w:color w:val="000000"/>
          <w:sz w:val="22"/>
          <w:szCs w:val="22"/>
          <w:lang w:val="en-GB"/>
        </w:rPr>
        <w:t>of approximately $4.5 billion</w:t>
      </w:r>
      <w:r w:rsidR="00303339">
        <w:rPr>
          <w:color w:val="000000"/>
          <w:sz w:val="22"/>
          <w:szCs w:val="22"/>
          <w:lang w:val="en-GB"/>
        </w:rPr>
        <w:t>,</w:t>
      </w:r>
      <w:r w:rsidR="00303339" w:rsidRPr="003D519C">
        <w:rPr>
          <w:color w:val="000000"/>
          <w:sz w:val="22"/>
          <w:szCs w:val="22"/>
          <w:lang w:val="en-GB"/>
        </w:rPr>
        <w:t xml:space="preserve"> </w:t>
      </w:r>
      <w:r w:rsidRPr="003D519C">
        <w:rPr>
          <w:color w:val="000000"/>
          <w:sz w:val="22"/>
          <w:szCs w:val="22"/>
          <w:lang w:val="en-GB"/>
        </w:rPr>
        <w:t xml:space="preserve">from Austrian firm </w:t>
      </w:r>
      <w:proofErr w:type="spellStart"/>
      <w:r w:rsidRPr="003D519C">
        <w:rPr>
          <w:color w:val="000000"/>
          <w:sz w:val="22"/>
          <w:szCs w:val="22"/>
          <w:lang w:val="en-GB"/>
        </w:rPr>
        <w:t>Signa</w:t>
      </w:r>
      <w:proofErr w:type="spellEnd"/>
      <w:r w:rsidRPr="003D519C">
        <w:rPr>
          <w:color w:val="000000"/>
          <w:sz w:val="22"/>
          <w:szCs w:val="22"/>
          <w:lang w:val="en-GB"/>
        </w:rPr>
        <w:t xml:space="preserve"> Holding</w:t>
      </w:r>
      <w:r w:rsidR="00111936" w:rsidRPr="003D519C">
        <w:rPr>
          <w:color w:val="000000"/>
          <w:sz w:val="22"/>
          <w:szCs w:val="22"/>
          <w:lang w:val="en-GB"/>
        </w:rPr>
        <w:t>, resulting in a 9 per cent</w:t>
      </w:r>
      <w:r w:rsidRPr="003D519C">
        <w:rPr>
          <w:color w:val="000000"/>
          <w:sz w:val="22"/>
          <w:szCs w:val="22"/>
          <w:lang w:val="en-GB"/>
        </w:rPr>
        <w:t xml:space="preserve"> jump in HBC’s share price. Although HBC had indicated that </w:t>
      </w:r>
      <w:r w:rsidR="00303339">
        <w:rPr>
          <w:color w:val="000000"/>
          <w:sz w:val="22"/>
          <w:szCs w:val="22"/>
          <w:lang w:val="en-GB"/>
        </w:rPr>
        <w:t>it was</w:t>
      </w:r>
      <w:r w:rsidRPr="003D519C">
        <w:rPr>
          <w:color w:val="000000"/>
          <w:sz w:val="22"/>
          <w:szCs w:val="22"/>
          <w:lang w:val="en-GB"/>
        </w:rPr>
        <w:t xml:space="preserve"> uninterested in selling the </w:t>
      </w:r>
      <w:proofErr w:type="spellStart"/>
      <w:r w:rsidR="00127054">
        <w:rPr>
          <w:color w:val="000000"/>
          <w:sz w:val="22"/>
          <w:szCs w:val="22"/>
          <w:lang w:val="en-GB"/>
        </w:rPr>
        <w:t>Galeria</w:t>
      </w:r>
      <w:proofErr w:type="spellEnd"/>
      <w:r w:rsidR="00127054">
        <w:rPr>
          <w:color w:val="000000"/>
          <w:sz w:val="22"/>
          <w:szCs w:val="22"/>
          <w:lang w:val="en-GB"/>
        </w:rPr>
        <w:t xml:space="preserve"> </w:t>
      </w:r>
      <w:proofErr w:type="spellStart"/>
      <w:r w:rsidRPr="003D519C">
        <w:rPr>
          <w:color w:val="000000"/>
          <w:sz w:val="22"/>
          <w:szCs w:val="22"/>
          <w:lang w:val="en-GB"/>
        </w:rPr>
        <w:t>Kaufhof</w:t>
      </w:r>
      <w:proofErr w:type="spellEnd"/>
      <w:r w:rsidRPr="003D519C">
        <w:rPr>
          <w:color w:val="000000"/>
          <w:sz w:val="22"/>
          <w:szCs w:val="22"/>
          <w:lang w:val="en-GB"/>
        </w:rPr>
        <w:t xml:space="preserve"> acquisition in September 2017, the board later announced that </w:t>
      </w:r>
      <w:r w:rsidR="00303339">
        <w:rPr>
          <w:color w:val="000000"/>
          <w:sz w:val="22"/>
          <w:szCs w:val="22"/>
          <w:lang w:val="en-GB"/>
        </w:rPr>
        <w:t>it was</w:t>
      </w:r>
      <w:r w:rsidRPr="003D519C">
        <w:rPr>
          <w:color w:val="000000"/>
          <w:sz w:val="22"/>
          <w:szCs w:val="22"/>
          <w:lang w:val="en-GB"/>
        </w:rPr>
        <w:t xml:space="preserve"> intending to review the offer.</w:t>
      </w:r>
      <w:r w:rsidRPr="003D519C">
        <w:rPr>
          <w:color w:val="000000"/>
          <w:sz w:val="22"/>
          <w:szCs w:val="22"/>
          <w:vertAlign w:val="superscript"/>
          <w:lang w:val="en-GB"/>
        </w:rPr>
        <w:endnoteReference w:id="17"/>
      </w:r>
    </w:p>
    <w:p w14:paraId="50811383" w14:textId="77777777" w:rsidR="00FB7D48" w:rsidRPr="00E23C32" w:rsidRDefault="00FB7D48" w:rsidP="003D519C">
      <w:pPr>
        <w:pStyle w:val="BodyTextMain"/>
        <w:rPr>
          <w:rFonts w:eastAsia="Arial"/>
          <w:sz w:val="18"/>
          <w:szCs w:val="18"/>
          <w:lang w:val="en-GB"/>
        </w:rPr>
      </w:pPr>
    </w:p>
    <w:p w14:paraId="02D672FE" w14:textId="77777777" w:rsidR="00FB7D48" w:rsidRPr="00E23C32" w:rsidRDefault="00FB7D48" w:rsidP="003D519C">
      <w:pPr>
        <w:pStyle w:val="BodyTextMain"/>
        <w:rPr>
          <w:rFonts w:eastAsia="Arial"/>
          <w:sz w:val="18"/>
          <w:szCs w:val="18"/>
          <w:lang w:val="en-GB"/>
        </w:rPr>
      </w:pPr>
    </w:p>
    <w:p w14:paraId="78062B0C" w14:textId="39E3D4DE" w:rsidR="00FB7D48" w:rsidRPr="003D519C" w:rsidRDefault="00FB7D48" w:rsidP="003D519C">
      <w:pPr>
        <w:pBdr>
          <w:top w:val="nil"/>
          <w:left w:val="nil"/>
          <w:bottom w:val="nil"/>
          <w:right w:val="nil"/>
          <w:between w:val="nil"/>
        </w:pBdr>
        <w:jc w:val="both"/>
        <w:rPr>
          <w:color w:val="000000"/>
          <w:sz w:val="22"/>
          <w:szCs w:val="22"/>
          <w:lang w:val="en-GB"/>
        </w:rPr>
      </w:pPr>
      <w:r w:rsidRPr="003D519C">
        <w:rPr>
          <w:rFonts w:ascii="Arial" w:eastAsia="Arial" w:hAnsi="Arial" w:cs="Arial"/>
          <w:b/>
          <w:color w:val="000000"/>
          <w:lang w:val="en-GB"/>
        </w:rPr>
        <w:t>2017: A YEAR OF FINANCIAL LOSSES</w:t>
      </w:r>
      <w:r w:rsidRPr="005D2914">
        <w:rPr>
          <w:rFonts w:ascii="Arial" w:eastAsia="Arial" w:hAnsi="Arial" w:cs="Arial"/>
          <w:b/>
          <w:color w:val="000000"/>
          <w:lang w:val="en-GB"/>
        </w:rPr>
        <w:t xml:space="preserve"> </w:t>
      </w:r>
    </w:p>
    <w:p w14:paraId="1FAE7515"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02CE6BA4" w14:textId="63BB9CC3" w:rsidR="00FB7D48" w:rsidRPr="00E23C32" w:rsidRDefault="00584890" w:rsidP="003D519C">
      <w:pPr>
        <w:pBdr>
          <w:top w:val="nil"/>
          <w:left w:val="nil"/>
          <w:bottom w:val="nil"/>
          <w:right w:val="nil"/>
          <w:between w:val="nil"/>
        </w:pBdr>
        <w:jc w:val="both"/>
        <w:rPr>
          <w:color w:val="000000"/>
          <w:spacing w:val="-4"/>
          <w:kern w:val="22"/>
          <w:sz w:val="22"/>
          <w:szCs w:val="22"/>
          <w:lang w:val="en-GB"/>
        </w:rPr>
      </w:pPr>
      <w:r w:rsidRPr="00E23C32">
        <w:rPr>
          <w:color w:val="000000"/>
          <w:spacing w:val="-4"/>
          <w:kern w:val="22"/>
          <w:sz w:val="22"/>
          <w:szCs w:val="22"/>
          <w:lang w:val="en-GB"/>
        </w:rPr>
        <w:t xml:space="preserve">HBC </w:t>
      </w:r>
      <w:r w:rsidR="00FB7D48" w:rsidRPr="00E23C32">
        <w:rPr>
          <w:color w:val="000000"/>
          <w:spacing w:val="-4"/>
          <w:kern w:val="22"/>
          <w:sz w:val="22"/>
          <w:szCs w:val="22"/>
          <w:lang w:val="en-GB"/>
        </w:rPr>
        <w:t>was plagued by fiscal challenges</w:t>
      </w:r>
      <w:r w:rsidRPr="00E23C32">
        <w:rPr>
          <w:color w:val="000000"/>
          <w:spacing w:val="-4"/>
          <w:kern w:val="22"/>
          <w:sz w:val="22"/>
          <w:szCs w:val="22"/>
          <w:lang w:val="en-GB"/>
        </w:rPr>
        <w:t xml:space="preserve"> in 2017</w:t>
      </w:r>
      <w:r w:rsidR="009E255D" w:rsidRPr="00E23C32">
        <w:rPr>
          <w:color w:val="000000"/>
          <w:spacing w:val="-4"/>
          <w:kern w:val="22"/>
          <w:sz w:val="22"/>
          <w:szCs w:val="22"/>
          <w:lang w:val="en-GB"/>
        </w:rPr>
        <w:t xml:space="preserve"> (see Exhibit 1)</w:t>
      </w:r>
      <w:r w:rsidR="00FB7D48" w:rsidRPr="00E23C32">
        <w:rPr>
          <w:color w:val="000000"/>
          <w:spacing w:val="-4"/>
          <w:kern w:val="22"/>
          <w:sz w:val="22"/>
          <w:szCs w:val="22"/>
          <w:lang w:val="en-GB"/>
        </w:rPr>
        <w:t xml:space="preserve">. </w:t>
      </w:r>
      <w:r w:rsidRPr="00E23C32">
        <w:rPr>
          <w:color w:val="000000"/>
          <w:spacing w:val="-4"/>
          <w:kern w:val="22"/>
          <w:sz w:val="22"/>
          <w:szCs w:val="22"/>
          <w:lang w:val="en-GB"/>
        </w:rPr>
        <w:t>Its f</w:t>
      </w:r>
      <w:r w:rsidR="00C679C3" w:rsidRPr="00E23C32">
        <w:rPr>
          <w:color w:val="000000"/>
          <w:spacing w:val="-4"/>
          <w:kern w:val="22"/>
          <w:sz w:val="22"/>
          <w:szCs w:val="22"/>
          <w:lang w:val="en-GB"/>
        </w:rPr>
        <w:t>irst quarter (</w:t>
      </w:r>
      <w:r w:rsidR="00FB7D48" w:rsidRPr="00E23C32">
        <w:rPr>
          <w:color w:val="000000"/>
          <w:spacing w:val="-4"/>
          <w:kern w:val="22"/>
          <w:sz w:val="22"/>
          <w:szCs w:val="22"/>
          <w:lang w:val="en-GB"/>
        </w:rPr>
        <w:t>Q1</w:t>
      </w:r>
      <w:r w:rsidR="00C679C3" w:rsidRPr="00E23C32">
        <w:rPr>
          <w:color w:val="000000"/>
          <w:spacing w:val="-4"/>
          <w:kern w:val="22"/>
          <w:sz w:val="22"/>
          <w:szCs w:val="22"/>
          <w:lang w:val="en-GB"/>
        </w:rPr>
        <w:t>)</w:t>
      </w:r>
      <w:r w:rsidR="00FB7D48" w:rsidRPr="00E23C32">
        <w:rPr>
          <w:color w:val="000000"/>
          <w:spacing w:val="-4"/>
          <w:kern w:val="22"/>
          <w:sz w:val="22"/>
          <w:szCs w:val="22"/>
          <w:lang w:val="en-GB"/>
        </w:rPr>
        <w:t xml:space="preserve"> net losses reached a staggering $221 million, more than double the losses incurred during Q1 2016.</w:t>
      </w:r>
      <w:r w:rsidR="00FB7D48" w:rsidRPr="00E23C32">
        <w:rPr>
          <w:color w:val="000000"/>
          <w:spacing w:val="-4"/>
          <w:kern w:val="22"/>
          <w:sz w:val="22"/>
          <w:szCs w:val="22"/>
          <w:vertAlign w:val="superscript"/>
          <w:lang w:val="en-GB"/>
        </w:rPr>
        <w:endnoteReference w:id="18"/>
      </w:r>
      <w:r w:rsidR="00FB7D48" w:rsidRPr="00E23C32">
        <w:rPr>
          <w:color w:val="000000"/>
          <w:spacing w:val="-4"/>
          <w:kern w:val="22"/>
          <w:sz w:val="22"/>
          <w:szCs w:val="22"/>
          <w:lang w:val="en-GB"/>
        </w:rPr>
        <w:t xml:space="preserve"> Shortly thereafter, the company announced that the </w:t>
      </w:r>
      <w:r w:rsidR="00C679C3" w:rsidRPr="00E23C32">
        <w:rPr>
          <w:color w:val="000000"/>
          <w:spacing w:val="-4"/>
          <w:kern w:val="22"/>
          <w:sz w:val="22"/>
          <w:szCs w:val="22"/>
          <w:lang w:val="en-GB"/>
        </w:rPr>
        <w:t>chief financial officer</w:t>
      </w:r>
      <w:r w:rsidR="00FB7D48" w:rsidRPr="00E23C32">
        <w:rPr>
          <w:color w:val="000000"/>
          <w:spacing w:val="-4"/>
          <w:kern w:val="22"/>
          <w:sz w:val="22"/>
          <w:szCs w:val="22"/>
          <w:lang w:val="en-GB"/>
        </w:rPr>
        <w:t xml:space="preserve">, Paul </w:t>
      </w:r>
      <w:proofErr w:type="spellStart"/>
      <w:r w:rsidR="00FB7D48" w:rsidRPr="00E23C32">
        <w:rPr>
          <w:color w:val="000000"/>
          <w:spacing w:val="-4"/>
          <w:kern w:val="22"/>
          <w:sz w:val="22"/>
          <w:szCs w:val="22"/>
          <w:lang w:val="en-GB"/>
        </w:rPr>
        <w:t>Beesley</w:t>
      </w:r>
      <w:proofErr w:type="spellEnd"/>
      <w:r w:rsidR="00FB7D48" w:rsidRPr="00E23C32">
        <w:rPr>
          <w:color w:val="000000"/>
          <w:spacing w:val="-4"/>
          <w:kern w:val="22"/>
          <w:sz w:val="22"/>
          <w:szCs w:val="22"/>
          <w:lang w:val="en-GB"/>
        </w:rPr>
        <w:t>, had submitted his resignation effective July 2017.</w:t>
      </w:r>
      <w:r w:rsidR="00FB7D48" w:rsidRPr="00E23C32">
        <w:rPr>
          <w:color w:val="000000"/>
          <w:spacing w:val="-4"/>
          <w:kern w:val="22"/>
          <w:sz w:val="22"/>
          <w:szCs w:val="22"/>
          <w:vertAlign w:val="superscript"/>
          <w:lang w:val="en-GB"/>
        </w:rPr>
        <w:endnoteReference w:id="19"/>
      </w:r>
      <w:r w:rsidR="00FB7D48" w:rsidRPr="00E23C32">
        <w:rPr>
          <w:color w:val="000000"/>
          <w:spacing w:val="-4"/>
          <w:kern w:val="22"/>
          <w:sz w:val="22"/>
          <w:szCs w:val="22"/>
          <w:lang w:val="en-GB"/>
        </w:rPr>
        <w:t xml:space="preserve"> Standard &amp; Poor’s </w:t>
      </w:r>
      <w:r w:rsidR="00127054">
        <w:rPr>
          <w:color w:val="000000"/>
          <w:spacing w:val="-4"/>
          <w:kern w:val="22"/>
          <w:sz w:val="22"/>
          <w:szCs w:val="22"/>
          <w:lang w:val="en-GB"/>
        </w:rPr>
        <w:t xml:space="preserve">Financial Services LLC </w:t>
      </w:r>
      <w:r w:rsidR="00FB7D48" w:rsidRPr="00E23C32">
        <w:rPr>
          <w:color w:val="000000"/>
          <w:spacing w:val="-4"/>
          <w:kern w:val="22"/>
          <w:sz w:val="22"/>
          <w:szCs w:val="22"/>
          <w:lang w:val="en-GB"/>
        </w:rPr>
        <w:t>then downgraded the company’s credit rating to a B, which, although negative, was consistent with a broad industry downgrade prompted by poor performance in the retail sector as a whole.</w:t>
      </w:r>
      <w:r w:rsidR="00FB7D48" w:rsidRPr="00E23C32">
        <w:rPr>
          <w:color w:val="000000"/>
          <w:spacing w:val="-4"/>
          <w:kern w:val="22"/>
          <w:sz w:val="22"/>
          <w:szCs w:val="22"/>
          <w:vertAlign w:val="superscript"/>
          <w:lang w:val="en-GB"/>
        </w:rPr>
        <w:endnoteReference w:id="20"/>
      </w:r>
      <w:r w:rsidR="00FB7D48" w:rsidRPr="00E23C32">
        <w:rPr>
          <w:color w:val="000000"/>
          <w:spacing w:val="-4"/>
          <w:kern w:val="22"/>
          <w:sz w:val="22"/>
          <w:szCs w:val="22"/>
          <w:lang w:val="en-GB"/>
        </w:rPr>
        <w:t xml:space="preserve"> </w:t>
      </w:r>
    </w:p>
    <w:p w14:paraId="44043138"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6FE1057D" w14:textId="3ADE2C73"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Q2 2017 was equally disappointing. Net losses for the period total</w:t>
      </w:r>
      <w:r w:rsidR="00C679C3">
        <w:rPr>
          <w:color w:val="000000"/>
          <w:sz w:val="22"/>
          <w:szCs w:val="22"/>
          <w:lang w:val="en-GB"/>
        </w:rPr>
        <w:t>l</w:t>
      </w:r>
      <w:r w:rsidRPr="003D519C">
        <w:rPr>
          <w:color w:val="000000"/>
          <w:sz w:val="22"/>
          <w:szCs w:val="22"/>
          <w:lang w:val="en-GB"/>
        </w:rPr>
        <w:t xml:space="preserve">ed $201 million and were accompanied by a reduction </w:t>
      </w:r>
      <w:r w:rsidR="00127054">
        <w:rPr>
          <w:color w:val="000000"/>
          <w:sz w:val="22"/>
          <w:szCs w:val="22"/>
          <w:lang w:val="en-GB"/>
        </w:rPr>
        <w:t xml:space="preserve">in the dividend rate from $0.05 per share to $0.0125 per </w:t>
      </w:r>
      <w:r w:rsidRPr="003D519C">
        <w:rPr>
          <w:color w:val="000000"/>
          <w:sz w:val="22"/>
          <w:szCs w:val="22"/>
          <w:lang w:val="en-GB"/>
        </w:rPr>
        <w:t>share. In light of these difficulties, HBC announced the launch of its “Transformation Plan” (</w:t>
      </w:r>
      <w:r w:rsidR="00111936" w:rsidRPr="003D519C">
        <w:rPr>
          <w:color w:val="000000"/>
          <w:sz w:val="22"/>
          <w:szCs w:val="22"/>
          <w:lang w:val="en-GB"/>
        </w:rPr>
        <w:t>see Exhibit 2</w:t>
      </w:r>
      <w:r w:rsidRPr="003D519C">
        <w:rPr>
          <w:color w:val="000000"/>
          <w:sz w:val="22"/>
          <w:szCs w:val="22"/>
          <w:lang w:val="en-GB"/>
        </w:rPr>
        <w:t>)</w:t>
      </w:r>
      <w:r w:rsidR="00C679C3">
        <w:rPr>
          <w:color w:val="000000"/>
          <w:sz w:val="22"/>
          <w:szCs w:val="22"/>
          <w:lang w:val="en-GB"/>
        </w:rPr>
        <w:t>,</w:t>
      </w:r>
      <w:r w:rsidRPr="003D519C">
        <w:rPr>
          <w:color w:val="000000"/>
          <w:sz w:val="22"/>
          <w:szCs w:val="22"/>
          <w:lang w:val="en-GB"/>
        </w:rPr>
        <w:t xml:space="preserve"> which included a focus on </w:t>
      </w:r>
      <w:r w:rsidR="00584890">
        <w:rPr>
          <w:color w:val="000000"/>
          <w:sz w:val="22"/>
          <w:szCs w:val="22"/>
          <w:lang w:val="en-GB"/>
        </w:rPr>
        <w:t>its</w:t>
      </w:r>
      <w:r w:rsidR="00584890" w:rsidRPr="003D519C">
        <w:rPr>
          <w:color w:val="000000"/>
          <w:sz w:val="22"/>
          <w:szCs w:val="22"/>
          <w:lang w:val="en-GB"/>
        </w:rPr>
        <w:t xml:space="preserve"> </w:t>
      </w:r>
      <w:r w:rsidRPr="003D519C">
        <w:rPr>
          <w:color w:val="000000"/>
          <w:sz w:val="22"/>
          <w:szCs w:val="22"/>
          <w:lang w:val="en-GB"/>
        </w:rPr>
        <w:t>digital operations and the reduction of approximately 2,000 positions across North America. This major restructuring was presented with the expectation that it would bring $350 million in annual savings following its completion in 2018</w:t>
      </w:r>
      <w:r w:rsidRPr="003D519C">
        <w:rPr>
          <w:color w:val="000000"/>
          <w:sz w:val="22"/>
          <w:szCs w:val="22"/>
          <w:vertAlign w:val="superscript"/>
          <w:lang w:val="en-GB"/>
        </w:rPr>
        <w:endnoteReference w:id="21"/>
      </w:r>
      <w:r w:rsidRPr="003D519C">
        <w:rPr>
          <w:color w:val="000000"/>
          <w:sz w:val="22"/>
          <w:szCs w:val="22"/>
          <w:lang w:val="en-GB"/>
        </w:rPr>
        <w:t xml:space="preserve"> and included a plan to separate leadership teams for the iconic HBC brand from that of its newer acquisition, </w:t>
      </w:r>
      <w:proofErr w:type="gramStart"/>
      <w:r w:rsidRPr="003D519C">
        <w:rPr>
          <w:color w:val="000000"/>
          <w:sz w:val="22"/>
          <w:szCs w:val="22"/>
          <w:lang w:val="en-GB"/>
        </w:rPr>
        <w:t>Lord &amp;</w:t>
      </w:r>
      <w:proofErr w:type="gramEnd"/>
      <w:r w:rsidRPr="003D519C">
        <w:rPr>
          <w:color w:val="000000"/>
          <w:sz w:val="22"/>
          <w:szCs w:val="22"/>
          <w:lang w:val="en-GB"/>
        </w:rPr>
        <w:t xml:space="preserve"> Taylor.</w:t>
      </w:r>
      <w:r w:rsidRPr="003D519C">
        <w:rPr>
          <w:color w:val="000000"/>
          <w:sz w:val="22"/>
          <w:szCs w:val="22"/>
          <w:vertAlign w:val="superscript"/>
          <w:lang w:val="en-GB"/>
        </w:rPr>
        <w:endnoteReference w:id="22"/>
      </w:r>
      <w:r w:rsidRPr="003D519C">
        <w:rPr>
          <w:color w:val="000000"/>
          <w:sz w:val="22"/>
          <w:szCs w:val="22"/>
          <w:lang w:val="en-GB"/>
        </w:rPr>
        <w:t xml:space="preserve"> Richard Baker, </w:t>
      </w:r>
      <w:r w:rsidR="00C679C3">
        <w:rPr>
          <w:color w:val="000000"/>
          <w:sz w:val="22"/>
          <w:szCs w:val="22"/>
          <w:lang w:val="en-GB"/>
        </w:rPr>
        <w:t>g</w:t>
      </w:r>
      <w:r w:rsidRPr="003D519C">
        <w:rPr>
          <w:color w:val="000000"/>
          <w:sz w:val="22"/>
          <w:szCs w:val="22"/>
          <w:lang w:val="en-GB"/>
        </w:rPr>
        <w:t xml:space="preserve">overnor and </w:t>
      </w:r>
      <w:r w:rsidR="00C679C3">
        <w:rPr>
          <w:color w:val="000000"/>
          <w:sz w:val="22"/>
          <w:szCs w:val="22"/>
          <w:lang w:val="en-GB"/>
        </w:rPr>
        <w:t>e</w:t>
      </w:r>
      <w:r w:rsidRPr="003D519C">
        <w:rPr>
          <w:color w:val="000000"/>
          <w:sz w:val="22"/>
          <w:szCs w:val="22"/>
          <w:lang w:val="en-GB"/>
        </w:rPr>
        <w:t xml:space="preserve">xecutive </w:t>
      </w:r>
      <w:r w:rsidR="00C679C3">
        <w:rPr>
          <w:color w:val="000000"/>
          <w:sz w:val="22"/>
          <w:szCs w:val="22"/>
          <w:lang w:val="en-GB"/>
        </w:rPr>
        <w:t>c</w:t>
      </w:r>
      <w:r w:rsidRPr="003D519C">
        <w:rPr>
          <w:color w:val="000000"/>
          <w:sz w:val="22"/>
          <w:szCs w:val="22"/>
          <w:lang w:val="en-GB"/>
        </w:rPr>
        <w:t xml:space="preserve">hairman of HBC, commented on the release of the plan: </w:t>
      </w:r>
    </w:p>
    <w:p w14:paraId="269C7C94"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5C641075" w14:textId="77777777" w:rsidR="00FB7D48" w:rsidRPr="003D519C" w:rsidRDefault="00FB7D48" w:rsidP="003D519C">
      <w:pPr>
        <w:pBdr>
          <w:top w:val="nil"/>
          <w:left w:val="nil"/>
          <w:bottom w:val="nil"/>
          <w:right w:val="nil"/>
          <w:between w:val="nil"/>
        </w:pBdr>
        <w:ind w:left="720"/>
        <w:jc w:val="both"/>
        <w:rPr>
          <w:color w:val="000000"/>
          <w:sz w:val="22"/>
          <w:szCs w:val="22"/>
          <w:lang w:val="en-GB"/>
        </w:rPr>
      </w:pPr>
      <w:r w:rsidRPr="003D519C">
        <w:rPr>
          <w:color w:val="000000"/>
          <w:sz w:val="22"/>
          <w:szCs w:val="22"/>
          <w:lang w:val="en-GB"/>
        </w:rPr>
        <w:t xml:space="preserve">We are re-allocating resources to accelerate the opportunity we see online, as we run our brick and mortar operations more efficiently. Our team is taking the right steps to optimize our North </w:t>
      </w:r>
      <w:r w:rsidRPr="003D519C">
        <w:rPr>
          <w:color w:val="000000"/>
          <w:sz w:val="22"/>
          <w:szCs w:val="22"/>
          <w:lang w:val="en-GB"/>
        </w:rPr>
        <w:lastRenderedPageBreak/>
        <w:t>American business and create efficiencies by leveraging the scale of our company. At this critical moment of change in the retail industry, I believe in the future of our all-channel model and we are adapting to meet the evolving needs of our customers.</w:t>
      </w:r>
      <w:r w:rsidRPr="003D519C">
        <w:rPr>
          <w:color w:val="000000"/>
          <w:sz w:val="22"/>
          <w:szCs w:val="22"/>
          <w:vertAlign w:val="superscript"/>
          <w:lang w:val="en-GB"/>
        </w:rPr>
        <w:endnoteReference w:id="23"/>
      </w:r>
    </w:p>
    <w:p w14:paraId="05D8386A" w14:textId="77777777" w:rsidR="00FB7D48" w:rsidRPr="00E23C32" w:rsidRDefault="00FB7D48" w:rsidP="003D519C">
      <w:pPr>
        <w:pBdr>
          <w:top w:val="nil"/>
          <w:left w:val="nil"/>
          <w:bottom w:val="nil"/>
          <w:right w:val="nil"/>
          <w:between w:val="nil"/>
        </w:pBdr>
        <w:ind w:left="720" w:firstLine="720"/>
        <w:jc w:val="both"/>
        <w:rPr>
          <w:color w:val="000000"/>
          <w:sz w:val="18"/>
          <w:szCs w:val="18"/>
          <w:lang w:val="en-GB"/>
        </w:rPr>
      </w:pPr>
    </w:p>
    <w:p w14:paraId="52F9012A" w14:textId="785BFE82" w:rsidR="00FB7D48" w:rsidRPr="003D519C" w:rsidRDefault="00FB7D48" w:rsidP="003D519C">
      <w:pPr>
        <w:pBdr>
          <w:top w:val="nil"/>
          <w:left w:val="nil"/>
          <w:bottom w:val="nil"/>
          <w:right w:val="nil"/>
          <w:between w:val="nil"/>
        </w:pBdr>
        <w:jc w:val="both"/>
        <w:rPr>
          <w:color w:val="000000"/>
          <w:sz w:val="22"/>
          <w:szCs w:val="22"/>
          <w:vertAlign w:val="superscript"/>
          <w:lang w:val="en-GB"/>
        </w:rPr>
      </w:pPr>
      <w:r w:rsidRPr="003D519C">
        <w:rPr>
          <w:color w:val="000000"/>
          <w:sz w:val="22"/>
          <w:szCs w:val="22"/>
          <w:lang w:val="en-GB"/>
        </w:rPr>
        <w:t xml:space="preserve">However, the company’s turnaround plan was unable to alleviate concerns from industry analysts, as Moody’s </w:t>
      </w:r>
      <w:r w:rsidR="00127054">
        <w:rPr>
          <w:color w:val="000000"/>
          <w:sz w:val="22"/>
          <w:szCs w:val="22"/>
          <w:lang w:val="en-GB"/>
        </w:rPr>
        <w:t xml:space="preserve">Corporation </w:t>
      </w:r>
      <w:r w:rsidRPr="003D519C">
        <w:rPr>
          <w:color w:val="000000"/>
          <w:sz w:val="22"/>
          <w:szCs w:val="22"/>
          <w:lang w:val="en-GB"/>
        </w:rPr>
        <w:t xml:space="preserve">mirrored the earlier decision by Standard &amp; Poor’s and downgraded its credit ratings for HBC from B1 to B2. Turnover in top management continued, as Don </w:t>
      </w:r>
      <w:proofErr w:type="spellStart"/>
      <w:r w:rsidRPr="003D519C">
        <w:rPr>
          <w:color w:val="000000"/>
          <w:sz w:val="22"/>
          <w:szCs w:val="22"/>
          <w:lang w:val="en-GB"/>
        </w:rPr>
        <w:t>Watros</w:t>
      </w:r>
      <w:proofErr w:type="spellEnd"/>
      <w:r w:rsidRPr="003D519C">
        <w:rPr>
          <w:color w:val="000000"/>
          <w:sz w:val="22"/>
          <w:szCs w:val="22"/>
          <w:lang w:val="en-GB"/>
        </w:rPr>
        <w:t xml:space="preserve">, the </w:t>
      </w:r>
      <w:r w:rsidR="00C679C3">
        <w:rPr>
          <w:color w:val="000000"/>
          <w:sz w:val="22"/>
          <w:szCs w:val="22"/>
          <w:lang w:val="en-GB"/>
        </w:rPr>
        <w:t>p</w:t>
      </w:r>
      <w:r w:rsidRPr="003D519C">
        <w:rPr>
          <w:color w:val="000000"/>
          <w:sz w:val="22"/>
          <w:szCs w:val="22"/>
          <w:lang w:val="en-GB"/>
        </w:rPr>
        <w:t>resident of HBC International, chose to vacate his position effective September 2017.</w:t>
      </w:r>
      <w:r w:rsidRPr="003D519C">
        <w:rPr>
          <w:color w:val="000000"/>
          <w:sz w:val="22"/>
          <w:szCs w:val="22"/>
          <w:vertAlign w:val="superscript"/>
          <w:lang w:val="en-GB"/>
        </w:rPr>
        <w:endnoteReference w:id="24"/>
      </w:r>
    </w:p>
    <w:p w14:paraId="35AE8D1D"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046857BF" w14:textId="41F5FFED" w:rsidR="00FB7D48" w:rsidRPr="00031C75" w:rsidRDefault="00FB7D48" w:rsidP="003D519C">
      <w:pPr>
        <w:pBdr>
          <w:top w:val="nil"/>
          <w:left w:val="nil"/>
          <w:bottom w:val="nil"/>
          <w:right w:val="nil"/>
          <w:between w:val="nil"/>
        </w:pBdr>
        <w:jc w:val="both"/>
        <w:rPr>
          <w:color w:val="000000"/>
          <w:spacing w:val="-2"/>
          <w:kern w:val="22"/>
          <w:sz w:val="22"/>
          <w:szCs w:val="22"/>
          <w:lang w:val="en-GB"/>
        </w:rPr>
      </w:pPr>
      <w:r w:rsidRPr="00031C75">
        <w:rPr>
          <w:color w:val="000000"/>
          <w:spacing w:val="-2"/>
          <w:kern w:val="22"/>
          <w:sz w:val="22"/>
          <w:szCs w:val="22"/>
          <w:lang w:val="en-GB"/>
        </w:rPr>
        <w:t xml:space="preserve">HBC’s misfortunes reached a nadir in October 2017 when Gerald </w:t>
      </w:r>
      <w:proofErr w:type="spellStart"/>
      <w:r w:rsidRPr="00031C75">
        <w:rPr>
          <w:color w:val="000000"/>
          <w:spacing w:val="-2"/>
          <w:kern w:val="22"/>
          <w:sz w:val="22"/>
          <w:szCs w:val="22"/>
          <w:lang w:val="en-GB"/>
        </w:rPr>
        <w:t>Storch</w:t>
      </w:r>
      <w:proofErr w:type="spellEnd"/>
      <w:r w:rsidRPr="00031C75">
        <w:rPr>
          <w:color w:val="000000"/>
          <w:spacing w:val="-2"/>
          <w:kern w:val="22"/>
          <w:sz w:val="22"/>
          <w:szCs w:val="22"/>
          <w:lang w:val="en-GB"/>
        </w:rPr>
        <w:t>, CEO of HBC, joined the exodus of top executives from the company.</w:t>
      </w:r>
      <w:r w:rsidRPr="00031C75">
        <w:rPr>
          <w:color w:val="000000"/>
          <w:spacing w:val="-2"/>
          <w:kern w:val="22"/>
          <w:sz w:val="22"/>
          <w:szCs w:val="22"/>
          <w:vertAlign w:val="superscript"/>
          <w:lang w:val="en-GB"/>
        </w:rPr>
        <w:endnoteReference w:id="25"/>
      </w:r>
      <w:r w:rsidRPr="00031C75">
        <w:rPr>
          <w:color w:val="000000"/>
          <w:spacing w:val="-2"/>
          <w:kern w:val="22"/>
          <w:sz w:val="22"/>
          <w:szCs w:val="22"/>
          <w:lang w:val="en-GB"/>
        </w:rPr>
        <w:t xml:space="preserve"> His exit was not entirely unexpected, given rumo</w:t>
      </w:r>
      <w:r w:rsidR="00C679C3" w:rsidRPr="00031C75">
        <w:rPr>
          <w:color w:val="000000"/>
          <w:spacing w:val="-2"/>
          <w:kern w:val="22"/>
          <w:sz w:val="22"/>
          <w:szCs w:val="22"/>
          <w:lang w:val="en-GB"/>
        </w:rPr>
        <w:t>u</w:t>
      </w:r>
      <w:r w:rsidRPr="00031C75">
        <w:rPr>
          <w:color w:val="000000"/>
          <w:spacing w:val="-2"/>
          <w:kern w:val="22"/>
          <w:sz w:val="22"/>
          <w:szCs w:val="22"/>
          <w:lang w:val="en-GB"/>
        </w:rPr>
        <w:t>rs of continual disagreement between company leaders regarding the future direction of the firm.</w:t>
      </w:r>
      <w:r w:rsidRPr="00031C75">
        <w:rPr>
          <w:color w:val="000000"/>
          <w:spacing w:val="-2"/>
          <w:kern w:val="22"/>
          <w:sz w:val="22"/>
          <w:szCs w:val="22"/>
          <w:vertAlign w:val="superscript"/>
          <w:lang w:val="en-GB"/>
        </w:rPr>
        <w:endnoteReference w:id="26"/>
      </w:r>
      <w:r w:rsidRPr="00031C75">
        <w:rPr>
          <w:color w:val="000000"/>
          <w:spacing w:val="-2"/>
          <w:kern w:val="22"/>
          <w:sz w:val="22"/>
          <w:szCs w:val="22"/>
          <w:lang w:val="en-GB"/>
        </w:rPr>
        <w:t xml:space="preserve"> However, his sudden departure after less than three years at the helm and the concomitant optics of such rapid leadership turnover did little to alleviate investor</w:t>
      </w:r>
      <w:r w:rsidR="00127054">
        <w:rPr>
          <w:color w:val="000000"/>
          <w:spacing w:val="-2"/>
          <w:kern w:val="22"/>
          <w:sz w:val="22"/>
          <w:szCs w:val="22"/>
          <w:lang w:val="en-GB"/>
        </w:rPr>
        <w:t>s’</w:t>
      </w:r>
      <w:r w:rsidRPr="00031C75">
        <w:rPr>
          <w:color w:val="000000"/>
          <w:spacing w:val="-2"/>
          <w:kern w:val="22"/>
          <w:sz w:val="22"/>
          <w:szCs w:val="22"/>
          <w:lang w:val="en-GB"/>
        </w:rPr>
        <w:t xml:space="preserve"> fears. In response to this development, Richard Baker was chosen to serve as the interim CEO while an executive search firm looked for a permanent replacement.</w:t>
      </w:r>
      <w:r w:rsidRPr="00031C75">
        <w:rPr>
          <w:color w:val="000000"/>
          <w:spacing w:val="-2"/>
          <w:kern w:val="22"/>
          <w:sz w:val="22"/>
          <w:szCs w:val="22"/>
          <w:vertAlign w:val="superscript"/>
          <w:lang w:val="en-GB"/>
        </w:rPr>
        <w:endnoteReference w:id="27"/>
      </w:r>
    </w:p>
    <w:p w14:paraId="31FAF56E" w14:textId="77777777" w:rsidR="00FB7D48" w:rsidRPr="00E23C32" w:rsidRDefault="00FB7D48" w:rsidP="003D519C">
      <w:pPr>
        <w:pStyle w:val="BodyTextMain"/>
        <w:rPr>
          <w:sz w:val="18"/>
          <w:szCs w:val="18"/>
          <w:lang w:val="en-GB"/>
        </w:rPr>
      </w:pPr>
    </w:p>
    <w:p w14:paraId="03A65BE6" w14:textId="77777777" w:rsidR="00FB7D48" w:rsidRPr="00E23C32" w:rsidRDefault="00FB7D48" w:rsidP="00FB7D48">
      <w:pPr>
        <w:pStyle w:val="BodyTextMain"/>
        <w:rPr>
          <w:sz w:val="18"/>
          <w:szCs w:val="18"/>
          <w:lang w:val="en-GB"/>
        </w:rPr>
      </w:pPr>
    </w:p>
    <w:p w14:paraId="20203F5A" w14:textId="77777777" w:rsidR="00FB7D48" w:rsidRPr="003D519C" w:rsidRDefault="00FB7D48" w:rsidP="00FB7D48">
      <w:pPr>
        <w:pBdr>
          <w:top w:val="nil"/>
          <w:left w:val="nil"/>
          <w:bottom w:val="nil"/>
          <w:right w:val="nil"/>
          <w:between w:val="nil"/>
        </w:pBdr>
        <w:spacing w:line="276" w:lineRule="auto"/>
        <w:jc w:val="both"/>
        <w:rPr>
          <w:rFonts w:ascii="Arial" w:eastAsia="Arial" w:hAnsi="Arial" w:cs="Arial"/>
          <w:b/>
          <w:color w:val="000000"/>
          <w:lang w:val="en-GB"/>
        </w:rPr>
      </w:pPr>
      <w:r w:rsidRPr="003D519C">
        <w:rPr>
          <w:rFonts w:ascii="Arial" w:eastAsia="Arial" w:hAnsi="Arial" w:cs="Arial"/>
          <w:b/>
          <w:color w:val="000000"/>
          <w:lang w:val="en-GB"/>
        </w:rPr>
        <w:t xml:space="preserve">ESCALATING TENSIONS WITH LBIM </w:t>
      </w:r>
    </w:p>
    <w:p w14:paraId="102B2D66" w14:textId="77777777" w:rsidR="00FB7D48" w:rsidRPr="00E23C32" w:rsidRDefault="00FB7D48" w:rsidP="00FB7D48">
      <w:pPr>
        <w:pStyle w:val="BodyTextMain"/>
        <w:rPr>
          <w:rFonts w:eastAsia="Arial"/>
          <w:sz w:val="18"/>
          <w:szCs w:val="18"/>
          <w:lang w:val="en-GB"/>
        </w:rPr>
      </w:pPr>
    </w:p>
    <w:p w14:paraId="63796364" w14:textId="52A2613A" w:rsidR="00FB7D48" w:rsidRPr="003D519C" w:rsidRDefault="00FB7D48" w:rsidP="00FB7D48">
      <w:pPr>
        <w:pStyle w:val="BodyTextMain"/>
        <w:rPr>
          <w:color w:val="000000"/>
          <w:lang w:val="en-GB"/>
        </w:rPr>
      </w:pPr>
      <w:r w:rsidRPr="003D519C">
        <w:rPr>
          <w:color w:val="000000"/>
          <w:lang w:val="en-GB"/>
        </w:rPr>
        <w:t xml:space="preserve">Exacerbating these financial concerns was the escalating tension between HBC’s top management and </w:t>
      </w:r>
      <w:r w:rsidR="00C679C3">
        <w:rPr>
          <w:color w:val="000000"/>
          <w:lang w:val="en-GB"/>
        </w:rPr>
        <w:t xml:space="preserve">its </w:t>
      </w:r>
      <w:r w:rsidRPr="003D519C">
        <w:rPr>
          <w:color w:val="000000"/>
          <w:lang w:val="en-GB"/>
        </w:rPr>
        <w:t>activist investor, LBIM. LBIM wrote its first public letter to HBC shortly after the company’s annual shareholder meeting in 2017, urging HBC to redevelop its Saks Fifth Avenue flagship store and tap into the value of its real estate holdings.</w:t>
      </w:r>
      <w:r w:rsidRPr="003D519C">
        <w:rPr>
          <w:color w:val="000000"/>
          <w:vertAlign w:val="superscript"/>
          <w:lang w:val="en-GB"/>
        </w:rPr>
        <w:endnoteReference w:id="28"/>
      </w:r>
      <w:r w:rsidRPr="003D519C">
        <w:rPr>
          <w:color w:val="000000"/>
          <w:lang w:val="en-GB"/>
        </w:rPr>
        <w:t xml:space="preserve"> Specifically, LBIM was concerned that the value of the company’s real estate holdings was estimated to be $</w:t>
      </w:r>
      <w:r w:rsidR="00127054">
        <w:rPr>
          <w:color w:val="000000"/>
          <w:lang w:val="en-GB"/>
        </w:rPr>
        <w:t xml:space="preserve">6.4 billion, translating to $35 per </w:t>
      </w:r>
      <w:r w:rsidRPr="003D519C">
        <w:rPr>
          <w:color w:val="000000"/>
          <w:lang w:val="en-GB"/>
        </w:rPr>
        <w:t>share, a far cry from the sub $11 trading price.</w:t>
      </w:r>
      <w:r w:rsidRPr="003D519C">
        <w:rPr>
          <w:color w:val="000000"/>
          <w:vertAlign w:val="superscript"/>
          <w:lang w:val="en-GB"/>
        </w:rPr>
        <w:endnoteReference w:id="29"/>
      </w:r>
      <w:r w:rsidRPr="003D519C">
        <w:rPr>
          <w:color w:val="000000"/>
          <w:lang w:val="en-GB"/>
        </w:rPr>
        <w:t xml:space="preserve"> While Baker had been successful in monetizing real estate deals in the past, he had yet to spin</w:t>
      </w:r>
      <w:r w:rsidR="00C679C3">
        <w:rPr>
          <w:color w:val="000000"/>
          <w:lang w:val="en-GB"/>
        </w:rPr>
        <w:t xml:space="preserve"> </w:t>
      </w:r>
      <w:r w:rsidRPr="003D519C">
        <w:rPr>
          <w:color w:val="000000"/>
          <w:lang w:val="en-GB"/>
        </w:rPr>
        <w:t>off a significant proportion of HBC’s real estate assets.</w:t>
      </w:r>
      <w:r w:rsidRPr="003D519C">
        <w:rPr>
          <w:color w:val="000000"/>
          <w:vertAlign w:val="superscript"/>
          <w:lang w:val="en-GB"/>
        </w:rPr>
        <w:endnoteReference w:id="30"/>
      </w:r>
      <w:r w:rsidR="00111936" w:rsidRPr="003D519C">
        <w:rPr>
          <w:color w:val="000000"/>
          <w:lang w:val="en-GB"/>
        </w:rPr>
        <w:t xml:space="preserve"> </w:t>
      </w:r>
      <w:r w:rsidR="00C679C3">
        <w:rPr>
          <w:color w:val="000000"/>
          <w:lang w:val="en-GB"/>
        </w:rPr>
        <w:t>As it had</w:t>
      </w:r>
      <w:r w:rsidR="00C679C3" w:rsidRPr="003D519C">
        <w:rPr>
          <w:color w:val="000000"/>
          <w:lang w:val="en-GB"/>
        </w:rPr>
        <w:t xml:space="preserve"> </w:t>
      </w:r>
      <w:r w:rsidR="00111936" w:rsidRPr="003D519C">
        <w:rPr>
          <w:color w:val="000000"/>
          <w:lang w:val="en-GB"/>
        </w:rPr>
        <w:t>a nearly 5 per cent</w:t>
      </w:r>
      <w:r w:rsidRPr="003D519C">
        <w:rPr>
          <w:color w:val="000000"/>
          <w:lang w:val="en-GB"/>
        </w:rPr>
        <w:t xml:space="preserve"> ownership stake in HBC, LBIM stated that if </w:t>
      </w:r>
      <w:r w:rsidR="00C679C3">
        <w:rPr>
          <w:color w:val="000000"/>
          <w:lang w:val="en-GB"/>
        </w:rPr>
        <w:t>it</w:t>
      </w:r>
      <w:r w:rsidR="00C679C3" w:rsidRPr="003D519C">
        <w:rPr>
          <w:color w:val="000000"/>
          <w:lang w:val="en-GB"/>
        </w:rPr>
        <w:t xml:space="preserve"> </w:t>
      </w:r>
      <w:r w:rsidRPr="003D519C">
        <w:rPr>
          <w:color w:val="000000"/>
          <w:lang w:val="en-GB"/>
        </w:rPr>
        <w:t>did not see “substantive progress on a plan to close the gap to underlying asset value</w:t>
      </w:r>
      <w:r w:rsidR="00C679C3">
        <w:rPr>
          <w:color w:val="000000"/>
          <w:lang w:val="en-GB"/>
        </w:rPr>
        <w:t>,</w:t>
      </w:r>
      <w:r w:rsidRPr="003D519C">
        <w:rPr>
          <w:color w:val="000000"/>
          <w:lang w:val="en-GB"/>
        </w:rPr>
        <w:t xml:space="preserve">” </w:t>
      </w:r>
      <w:r w:rsidR="00C679C3">
        <w:rPr>
          <w:color w:val="000000"/>
          <w:lang w:val="en-GB"/>
        </w:rPr>
        <w:t>it</w:t>
      </w:r>
      <w:r w:rsidR="00C679C3" w:rsidRPr="003D519C">
        <w:rPr>
          <w:color w:val="000000"/>
          <w:lang w:val="en-GB"/>
        </w:rPr>
        <w:t xml:space="preserve"> </w:t>
      </w:r>
      <w:r w:rsidRPr="003D519C">
        <w:rPr>
          <w:color w:val="000000"/>
          <w:lang w:val="en-GB"/>
        </w:rPr>
        <w:t>would have to call for a special shareholder meeting.</w:t>
      </w:r>
      <w:r w:rsidRPr="003D519C">
        <w:rPr>
          <w:color w:val="000000"/>
          <w:vertAlign w:val="superscript"/>
          <w:lang w:val="en-GB"/>
        </w:rPr>
        <w:endnoteReference w:id="31"/>
      </w:r>
    </w:p>
    <w:p w14:paraId="42E6DC27" w14:textId="77777777" w:rsidR="00FB7D48" w:rsidRPr="00E23C32" w:rsidRDefault="00FB7D48" w:rsidP="00FB7D48">
      <w:pPr>
        <w:pStyle w:val="BodyTextMain"/>
        <w:rPr>
          <w:color w:val="000000"/>
          <w:sz w:val="18"/>
          <w:szCs w:val="18"/>
          <w:lang w:val="en-GB"/>
        </w:rPr>
      </w:pPr>
    </w:p>
    <w:p w14:paraId="2D98A26E" w14:textId="5613B449" w:rsidR="00FB7D48" w:rsidRPr="003D519C" w:rsidRDefault="00FB7D48" w:rsidP="00FB7D48">
      <w:pPr>
        <w:pStyle w:val="BodyTextMain"/>
        <w:rPr>
          <w:rFonts w:eastAsia="Arial"/>
          <w:lang w:val="en-GB"/>
        </w:rPr>
      </w:pPr>
      <w:r w:rsidRPr="003D519C">
        <w:rPr>
          <w:lang w:val="en-GB"/>
        </w:rPr>
        <w:t xml:space="preserve">A second instance of public disagreement </w:t>
      </w:r>
      <w:r w:rsidR="00C9335C">
        <w:rPr>
          <w:lang w:val="en-GB"/>
        </w:rPr>
        <w:t>surrounded</w:t>
      </w:r>
      <w:r w:rsidRPr="003D519C">
        <w:rPr>
          <w:lang w:val="en-GB"/>
        </w:rPr>
        <w:t xml:space="preserve"> the sale of </w:t>
      </w:r>
      <w:proofErr w:type="spellStart"/>
      <w:r w:rsidRPr="003D519C">
        <w:rPr>
          <w:lang w:val="en-GB"/>
        </w:rPr>
        <w:t>Galeria</w:t>
      </w:r>
      <w:proofErr w:type="spellEnd"/>
      <w:r w:rsidRPr="003D519C">
        <w:rPr>
          <w:lang w:val="en-GB"/>
        </w:rPr>
        <w:t xml:space="preserve"> </w:t>
      </w:r>
      <w:proofErr w:type="spellStart"/>
      <w:r w:rsidRPr="003D519C">
        <w:rPr>
          <w:lang w:val="en-GB"/>
        </w:rPr>
        <w:t>Kaufhof</w:t>
      </w:r>
      <w:proofErr w:type="spellEnd"/>
      <w:r w:rsidRPr="003D519C">
        <w:rPr>
          <w:lang w:val="en-GB"/>
        </w:rPr>
        <w:t xml:space="preserve">. After the offer from </w:t>
      </w:r>
      <w:proofErr w:type="spellStart"/>
      <w:r w:rsidRPr="003D519C">
        <w:rPr>
          <w:lang w:val="en-GB"/>
        </w:rPr>
        <w:t>Signa</w:t>
      </w:r>
      <w:proofErr w:type="spellEnd"/>
      <w:r w:rsidRPr="003D519C">
        <w:rPr>
          <w:lang w:val="en-GB"/>
        </w:rPr>
        <w:t xml:space="preserve"> Holding, LBIM penned a letter to shareholders stating that the company should “seriously consider” the offer, as the bid was higher than the $3.9 billion purchase price paid by HBC in 2015.</w:t>
      </w:r>
      <w:r w:rsidRPr="003D519C">
        <w:rPr>
          <w:vertAlign w:val="superscript"/>
          <w:lang w:val="en-GB"/>
        </w:rPr>
        <w:endnoteReference w:id="32"/>
      </w:r>
      <w:r w:rsidRPr="003D519C">
        <w:rPr>
          <w:lang w:val="en-GB"/>
        </w:rPr>
        <w:t xml:space="preserve"> Furthermore, LBIM criticized HBC about its lack of transparency surrounding possible offers by management to take the company private.</w:t>
      </w:r>
      <w:r w:rsidRPr="003D519C">
        <w:rPr>
          <w:vertAlign w:val="superscript"/>
          <w:lang w:val="en-GB"/>
        </w:rPr>
        <w:endnoteReference w:id="33"/>
      </w:r>
      <w:r w:rsidRPr="003D519C">
        <w:rPr>
          <w:lang w:val="en-GB"/>
        </w:rPr>
        <w:t xml:space="preserve"> Although lenders had become cautious about financing leveraged buyouts in the retail sector</w:t>
      </w:r>
      <w:r w:rsidR="00C9335C">
        <w:rPr>
          <w:lang w:val="en-GB"/>
        </w:rPr>
        <w:t>,</w:t>
      </w:r>
      <w:r w:rsidRPr="003D519C">
        <w:rPr>
          <w:lang w:val="en-GB"/>
        </w:rPr>
        <w:t xml:space="preserve"> due to the rapid disruptions occurring in the industry, LBIM believed that HBC would be an exception, given the potential for monetizing its disproportionately large real estate holdings.</w:t>
      </w:r>
      <w:r w:rsidRPr="003D519C">
        <w:rPr>
          <w:vertAlign w:val="superscript"/>
          <w:lang w:val="en-GB"/>
        </w:rPr>
        <w:endnoteReference w:id="34"/>
      </w:r>
    </w:p>
    <w:p w14:paraId="539C1CC4" w14:textId="77777777" w:rsidR="00111936" w:rsidRPr="00E23C32" w:rsidRDefault="00111936" w:rsidP="003D519C">
      <w:pPr>
        <w:pStyle w:val="BodyTextMain"/>
        <w:rPr>
          <w:rFonts w:eastAsia="Arial"/>
          <w:sz w:val="18"/>
          <w:szCs w:val="18"/>
          <w:lang w:val="en-GB"/>
        </w:rPr>
      </w:pPr>
    </w:p>
    <w:p w14:paraId="27087DFF" w14:textId="77777777" w:rsidR="00FB7D48" w:rsidRPr="00E23C32" w:rsidRDefault="00FB7D48" w:rsidP="003D519C">
      <w:pPr>
        <w:pStyle w:val="BodyTextMain"/>
        <w:rPr>
          <w:sz w:val="18"/>
          <w:szCs w:val="18"/>
          <w:lang w:val="en-GB"/>
        </w:rPr>
      </w:pPr>
    </w:p>
    <w:p w14:paraId="0BD65D9B" w14:textId="77777777" w:rsidR="00FB7D48" w:rsidRPr="003D519C" w:rsidRDefault="00FB7D48" w:rsidP="003D519C">
      <w:pPr>
        <w:pBdr>
          <w:top w:val="nil"/>
          <w:left w:val="nil"/>
          <w:bottom w:val="nil"/>
          <w:right w:val="nil"/>
          <w:between w:val="nil"/>
        </w:pBdr>
        <w:jc w:val="both"/>
        <w:rPr>
          <w:color w:val="000000"/>
          <w:sz w:val="22"/>
          <w:szCs w:val="22"/>
          <w:lang w:val="en-GB"/>
        </w:rPr>
      </w:pPr>
      <w:r w:rsidRPr="003D519C">
        <w:rPr>
          <w:rFonts w:ascii="Arial" w:eastAsia="Arial" w:hAnsi="Arial" w:cs="Arial"/>
          <w:b/>
          <w:color w:val="000000"/>
          <w:lang w:val="en-GB"/>
        </w:rPr>
        <w:t>CONTINUED CONCERNS FROM THE COMPETITION BUREAU</w:t>
      </w:r>
      <w:r w:rsidRPr="003D519C">
        <w:rPr>
          <w:color w:val="000000"/>
          <w:sz w:val="22"/>
          <w:szCs w:val="22"/>
          <w:lang w:val="en-GB"/>
        </w:rPr>
        <w:t xml:space="preserve"> </w:t>
      </w:r>
    </w:p>
    <w:p w14:paraId="39D1BF1A"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3E9D2056" w14:textId="04C311D0" w:rsidR="00FB7D48"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These difficulties were compounded by the Competition Bureau’s concurrent investigation into the </w:t>
      </w:r>
      <w:r w:rsidR="00A6477D" w:rsidRPr="003D519C">
        <w:rPr>
          <w:color w:val="000000"/>
          <w:sz w:val="22"/>
          <w:szCs w:val="22"/>
          <w:lang w:val="en-GB"/>
        </w:rPr>
        <w:t>company</w:t>
      </w:r>
      <w:r w:rsidR="00A6477D">
        <w:rPr>
          <w:color w:val="000000"/>
          <w:sz w:val="22"/>
          <w:szCs w:val="22"/>
          <w:lang w:val="en-GB"/>
        </w:rPr>
        <w:t>’s</w:t>
      </w:r>
      <w:r w:rsidR="00A6477D" w:rsidRPr="003D519C">
        <w:rPr>
          <w:color w:val="000000"/>
          <w:sz w:val="22"/>
          <w:szCs w:val="22"/>
          <w:lang w:val="en-GB"/>
        </w:rPr>
        <w:t xml:space="preserve"> </w:t>
      </w:r>
      <w:r w:rsidRPr="003D519C">
        <w:rPr>
          <w:color w:val="000000"/>
          <w:sz w:val="22"/>
          <w:szCs w:val="22"/>
          <w:lang w:val="en-GB"/>
        </w:rPr>
        <w:t>alleged</w:t>
      </w:r>
      <w:r w:rsidR="00A6477D">
        <w:rPr>
          <w:color w:val="000000"/>
          <w:sz w:val="22"/>
          <w:szCs w:val="22"/>
          <w:lang w:val="en-GB"/>
        </w:rPr>
        <w:t>ly</w:t>
      </w:r>
      <w:r w:rsidRPr="003D519C">
        <w:rPr>
          <w:color w:val="000000"/>
          <w:sz w:val="22"/>
          <w:szCs w:val="22"/>
          <w:lang w:val="en-GB"/>
        </w:rPr>
        <w:t xml:space="preserve"> deceptive pricing practices in relation to sales of </w:t>
      </w:r>
      <w:r w:rsidR="00C9335C">
        <w:rPr>
          <w:color w:val="000000"/>
          <w:sz w:val="22"/>
          <w:szCs w:val="22"/>
          <w:lang w:val="en-GB"/>
        </w:rPr>
        <w:t>its</w:t>
      </w:r>
      <w:r w:rsidR="00C9335C" w:rsidRPr="003D519C">
        <w:rPr>
          <w:color w:val="000000"/>
          <w:sz w:val="22"/>
          <w:szCs w:val="22"/>
          <w:lang w:val="en-GB"/>
        </w:rPr>
        <w:t xml:space="preserve"> </w:t>
      </w:r>
      <w:r w:rsidRPr="003D519C">
        <w:rPr>
          <w:color w:val="000000"/>
          <w:sz w:val="22"/>
          <w:szCs w:val="22"/>
          <w:lang w:val="en-GB"/>
        </w:rPr>
        <w:t xml:space="preserve">mattress sets. Early inquiries into HBC’s pricing for </w:t>
      </w:r>
      <w:r w:rsidR="00C9335C">
        <w:rPr>
          <w:color w:val="000000"/>
          <w:sz w:val="22"/>
          <w:szCs w:val="22"/>
          <w:lang w:val="en-GB"/>
        </w:rPr>
        <w:t>its</w:t>
      </w:r>
      <w:r w:rsidR="00C9335C" w:rsidRPr="003D519C">
        <w:rPr>
          <w:color w:val="000000"/>
          <w:sz w:val="22"/>
          <w:szCs w:val="22"/>
          <w:lang w:val="en-GB"/>
        </w:rPr>
        <w:t xml:space="preserve"> </w:t>
      </w:r>
      <w:r w:rsidRPr="003D519C">
        <w:rPr>
          <w:color w:val="000000"/>
          <w:sz w:val="22"/>
          <w:szCs w:val="22"/>
          <w:lang w:val="en-GB"/>
        </w:rPr>
        <w:t xml:space="preserve">sleep sets claimed </w:t>
      </w:r>
      <w:r w:rsidR="00A6477D">
        <w:rPr>
          <w:color w:val="000000"/>
          <w:sz w:val="22"/>
          <w:szCs w:val="22"/>
          <w:lang w:val="en-GB"/>
        </w:rPr>
        <w:t xml:space="preserve">that it </w:t>
      </w:r>
      <w:r w:rsidRPr="003D519C">
        <w:rPr>
          <w:color w:val="000000"/>
          <w:sz w:val="22"/>
          <w:szCs w:val="22"/>
          <w:lang w:val="en-GB"/>
        </w:rPr>
        <w:t xml:space="preserve">“grossly inflated regular prices” </w:t>
      </w:r>
      <w:r w:rsidR="00C9335C">
        <w:rPr>
          <w:color w:val="000000"/>
          <w:sz w:val="22"/>
          <w:szCs w:val="22"/>
          <w:lang w:val="en-GB"/>
        </w:rPr>
        <w:t xml:space="preserve">and </w:t>
      </w:r>
      <w:r w:rsidRPr="003D519C">
        <w:rPr>
          <w:color w:val="000000"/>
          <w:sz w:val="22"/>
          <w:szCs w:val="22"/>
          <w:lang w:val="en-GB"/>
        </w:rPr>
        <w:t>advertis</w:t>
      </w:r>
      <w:r w:rsidR="00A6477D">
        <w:rPr>
          <w:color w:val="000000"/>
          <w:sz w:val="22"/>
          <w:szCs w:val="22"/>
          <w:lang w:val="en-GB"/>
        </w:rPr>
        <w:t>ed</w:t>
      </w:r>
      <w:r w:rsidR="00C9335C">
        <w:rPr>
          <w:color w:val="000000"/>
          <w:sz w:val="22"/>
          <w:szCs w:val="22"/>
          <w:lang w:val="en-GB"/>
        </w:rPr>
        <w:t xml:space="preserve"> </w:t>
      </w:r>
      <w:r w:rsidRPr="003D519C">
        <w:rPr>
          <w:color w:val="000000"/>
          <w:sz w:val="22"/>
          <w:szCs w:val="22"/>
          <w:lang w:val="en-GB"/>
        </w:rPr>
        <w:t xml:space="preserve">enormous discounts to encourage consumers </w:t>
      </w:r>
      <w:r w:rsidR="00A6477D">
        <w:rPr>
          <w:color w:val="000000"/>
          <w:sz w:val="22"/>
          <w:szCs w:val="22"/>
          <w:lang w:val="en-GB"/>
        </w:rPr>
        <w:t>to</w:t>
      </w:r>
      <w:r w:rsidR="00A6477D" w:rsidRPr="003D519C">
        <w:rPr>
          <w:color w:val="000000"/>
          <w:sz w:val="22"/>
          <w:szCs w:val="22"/>
          <w:lang w:val="en-GB"/>
        </w:rPr>
        <w:t xml:space="preserve"> </w:t>
      </w:r>
      <w:r w:rsidRPr="003D519C">
        <w:rPr>
          <w:color w:val="000000"/>
          <w:sz w:val="22"/>
          <w:szCs w:val="22"/>
          <w:lang w:val="en-GB"/>
        </w:rPr>
        <w:t xml:space="preserve">buy the products </w:t>
      </w:r>
      <w:r w:rsidR="00C9335C">
        <w:rPr>
          <w:color w:val="000000"/>
          <w:sz w:val="22"/>
          <w:szCs w:val="22"/>
          <w:lang w:val="en-GB"/>
        </w:rPr>
        <w:t>based on the mistaken belief</w:t>
      </w:r>
      <w:r w:rsidR="00C9335C" w:rsidRPr="003D519C">
        <w:rPr>
          <w:color w:val="000000"/>
          <w:sz w:val="22"/>
          <w:szCs w:val="22"/>
          <w:lang w:val="en-GB"/>
        </w:rPr>
        <w:t xml:space="preserve"> </w:t>
      </w:r>
      <w:r w:rsidRPr="003D519C">
        <w:rPr>
          <w:color w:val="000000"/>
          <w:sz w:val="22"/>
          <w:szCs w:val="22"/>
          <w:lang w:val="en-GB"/>
        </w:rPr>
        <w:t xml:space="preserve">that they had found a deal. The Canadian </w:t>
      </w:r>
      <w:r w:rsidRPr="005D2914">
        <w:rPr>
          <w:i/>
          <w:color w:val="000000"/>
          <w:sz w:val="22"/>
          <w:szCs w:val="22"/>
          <w:lang w:val="en-GB"/>
        </w:rPr>
        <w:t>Competition Act</w:t>
      </w:r>
      <w:r w:rsidRPr="003D519C">
        <w:rPr>
          <w:color w:val="000000"/>
          <w:sz w:val="22"/>
          <w:szCs w:val="22"/>
          <w:lang w:val="en-GB"/>
        </w:rPr>
        <w:t xml:space="preserve"> prevent</w:t>
      </w:r>
      <w:r w:rsidR="00B00FBB">
        <w:rPr>
          <w:color w:val="000000"/>
          <w:sz w:val="22"/>
          <w:szCs w:val="22"/>
          <w:lang w:val="en-GB"/>
        </w:rPr>
        <w:t>ed</w:t>
      </w:r>
      <w:r w:rsidRPr="003D519C">
        <w:rPr>
          <w:color w:val="000000"/>
          <w:sz w:val="22"/>
          <w:szCs w:val="22"/>
          <w:lang w:val="en-GB"/>
        </w:rPr>
        <w:t xml:space="preserve"> retailers from misleading the public about ordinary selling prices, providing a strict criteria </w:t>
      </w:r>
      <w:r w:rsidR="00B00FBB">
        <w:rPr>
          <w:color w:val="000000"/>
          <w:sz w:val="22"/>
          <w:szCs w:val="22"/>
          <w:lang w:val="en-GB"/>
        </w:rPr>
        <w:t xml:space="preserve">that was </w:t>
      </w:r>
      <w:r w:rsidRPr="003D519C">
        <w:rPr>
          <w:color w:val="000000"/>
          <w:sz w:val="22"/>
          <w:szCs w:val="22"/>
          <w:lang w:val="en-GB"/>
        </w:rPr>
        <w:t xml:space="preserve">based on the volume of sales for determining the selling price from which sales discounts </w:t>
      </w:r>
      <w:r w:rsidR="00A6477D" w:rsidRPr="003D519C">
        <w:rPr>
          <w:color w:val="000000"/>
          <w:sz w:val="22"/>
          <w:szCs w:val="22"/>
          <w:lang w:val="en-GB"/>
        </w:rPr>
        <w:t>c</w:t>
      </w:r>
      <w:r w:rsidR="00A6477D">
        <w:rPr>
          <w:color w:val="000000"/>
          <w:sz w:val="22"/>
          <w:szCs w:val="22"/>
          <w:lang w:val="en-GB"/>
        </w:rPr>
        <w:t>ould</w:t>
      </w:r>
      <w:r w:rsidR="00A6477D" w:rsidRPr="003D519C">
        <w:rPr>
          <w:color w:val="000000"/>
          <w:sz w:val="22"/>
          <w:szCs w:val="22"/>
          <w:lang w:val="en-GB"/>
        </w:rPr>
        <w:t xml:space="preserve"> </w:t>
      </w:r>
      <w:r w:rsidRPr="003D519C">
        <w:rPr>
          <w:color w:val="000000"/>
          <w:sz w:val="22"/>
          <w:szCs w:val="22"/>
          <w:lang w:val="en-GB"/>
        </w:rPr>
        <w:t>be calculated.</w:t>
      </w:r>
      <w:r w:rsidRPr="003D519C">
        <w:rPr>
          <w:color w:val="000000"/>
          <w:sz w:val="22"/>
          <w:szCs w:val="22"/>
          <w:vertAlign w:val="superscript"/>
          <w:lang w:val="en-GB"/>
        </w:rPr>
        <w:endnoteReference w:id="35"/>
      </w:r>
      <w:r w:rsidRPr="003D519C">
        <w:rPr>
          <w:color w:val="000000"/>
          <w:sz w:val="22"/>
          <w:szCs w:val="22"/>
          <w:lang w:val="en-GB"/>
        </w:rPr>
        <w:t xml:space="preserve"> </w:t>
      </w:r>
    </w:p>
    <w:p w14:paraId="1B8CC56E" w14:textId="77777777" w:rsidR="00E23C32" w:rsidRPr="003D519C" w:rsidRDefault="00E23C32" w:rsidP="003D519C">
      <w:pPr>
        <w:pBdr>
          <w:top w:val="nil"/>
          <w:left w:val="nil"/>
          <w:bottom w:val="nil"/>
          <w:right w:val="nil"/>
          <w:between w:val="nil"/>
        </w:pBdr>
        <w:jc w:val="both"/>
        <w:rPr>
          <w:color w:val="000000"/>
          <w:sz w:val="22"/>
          <w:szCs w:val="22"/>
          <w:lang w:val="en-GB"/>
        </w:rPr>
      </w:pPr>
    </w:p>
    <w:p w14:paraId="4FD49C08" w14:textId="3A78E0DC" w:rsidR="00FB7D48" w:rsidRPr="00031C75" w:rsidRDefault="00FB7D48" w:rsidP="003D519C">
      <w:pPr>
        <w:pBdr>
          <w:top w:val="nil"/>
          <w:left w:val="nil"/>
          <w:bottom w:val="nil"/>
          <w:right w:val="nil"/>
          <w:between w:val="nil"/>
        </w:pBdr>
        <w:jc w:val="both"/>
        <w:rPr>
          <w:color w:val="000000"/>
          <w:spacing w:val="-2"/>
          <w:kern w:val="22"/>
          <w:sz w:val="22"/>
          <w:szCs w:val="22"/>
          <w:lang w:val="en-GB"/>
        </w:rPr>
      </w:pPr>
      <w:r w:rsidRPr="00031C75">
        <w:rPr>
          <w:color w:val="000000"/>
          <w:spacing w:val="-2"/>
          <w:kern w:val="22"/>
          <w:sz w:val="22"/>
          <w:szCs w:val="22"/>
          <w:lang w:val="en-GB"/>
        </w:rPr>
        <w:t xml:space="preserve">HBC was under fire for </w:t>
      </w:r>
      <w:r w:rsidR="00B00FBB" w:rsidRPr="00031C75">
        <w:rPr>
          <w:color w:val="000000"/>
          <w:spacing w:val="-2"/>
          <w:kern w:val="22"/>
          <w:sz w:val="22"/>
          <w:szCs w:val="22"/>
          <w:lang w:val="en-GB"/>
        </w:rPr>
        <w:t xml:space="preserve">having failed </w:t>
      </w:r>
      <w:r w:rsidRPr="00031C75">
        <w:rPr>
          <w:color w:val="000000"/>
          <w:spacing w:val="-2"/>
          <w:kern w:val="22"/>
          <w:sz w:val="22"/>
          <w:szCs w:val="22"/>
          <w:lang w:val="en-GB"/>
        </w:rPr>
        <w:t xml:space="preserve">to adhere to this policy, </w:t>
      </w:r>
      <w:r w:rsidR="00B00FBB" w:rsidRPr="00031C75">
        <w:rPr>
          <w:color w:val="000000"/>
          <w:spacing w:val="-2"/>
          <w:kern w:val="22"/>
          <w:sz w:val="22"/>
          <w:szCs w:val="22"/>
          <w:lang w:val="en-GB"/>
        </w:rPr>
        <w:t xml:space="preserve">and </w:t>
      </w:r>
      <w:r w:rsidRPr="00031C75">
        <w:rPr>
          <w:color w:val="000000"/>
          <w:spacing w:val="-2"/>
          <w:kern w:val="22"/>
          <w:sz w:val="22"/>
          <w:szCs w:val="22"/>
          <w:lang w:val="en-GB"/>
        </w:rPr>
        <w:t xml:space="preserve">the Competition Bureau </w:t>
      </w:r>
      <w:r w:rsidR="00B00FBB" w:rsidRPr="00031C75">
        <w:rPr>
          <w:color w:val="000000"/>
          <w:spacing w:val="-2"/>
          <w:kern w:val="22"/>
          <w:sz w:val="22"/>
          <w:szCs w:val="22"/>
          <w:lang w:val="en-GB"/>
        </w:rPr>
        <w:t xml:space="preserve">alleged </w:t>
      </w:r>
      <w:r w:rsidRPr="00031C75">
        <w:rPr>
          <w:color w:val="000000"/>
          <w:spacing w:val="-2"/>
          <w:kern w:val="22"/>
          <w:sz w:val="22"/>
          <w:szCs w:val="22"/>
          <w:lang w:val="en-GB"/>
        </w:rPr>
        <w:t xml:space="preserve">that </w:t>
      </w:r>
      <w:r w:rsidR="00B00FBB" w:rsidRPr="00031C75">
        <w:rPr>
          <w:color w:val="000000"/>
          <w:spacing w:val="-2"/>
          <w:kern w:val="22"/>
          <w:sz w:val="22"/>
          <w:szCs w:val="22"/>
          <w:lang w:val="en-GB"/>
        </w:rPr>
        <w:t>several</w:t>
      </w:r>
      <w:r w:rsidRPr="00031C75">
        <w:rPr>
          <w:color w:val="000000"/>
          <w:spacing w:val="-2"/>
          <w:kern w:val="22"/>
          <w:sz w:val="22"/>
          <w:szCs w:val="22"/>
          <w:lang w:val="en-GB"/>
        </w:rPr>
        <w:t xml:space="preserve"> </w:t>
      </w:r>
      <w:r w:rsidR="00A6477D">
        <w:rPr>
          <w:color w:val="000000"/>
          <w:spacing w:val="-2"/>
          <w:kern w:val="22"/>
          <w:sz w:val="22"/>
          <w:szCs w:val="22"/>
          <w:lang w:val="en-GB"/>
        </w:rPr>
        <w:t xml:space="preserve">of </w:t>
      </w:r>
      <w:r w:rsidRPr="00031C75">
        <w:rPr>
          <w:color w:val="000000"/>
          <w:spacing w:val="-2"/>
          <w:kern w:val="22"/>
          <w:sz w:val="22"/>
          <w:szCs w:val="22"/>
          <w:lang w:val="en-GB"/>
        </w:rPr>
        <w:t xml:space="preserve">HBC’s advertisements fell into the category of deceptive marketing practices. For example, a 2013 flyer advertised a </w:t>
      </w:r>
      <w:proofErr w:type="spellStart"/>
      <w:r w:rsidRPr="00031C75">
        <w:rPr>
          <w:color w:val="000000"/>
          <w:spacing w:val="-2"/>
          <w:kern w:val="22"/>
          <w:sz w:val="22"/>
          <w:szCs w:val="22"/>
          <w:lang w:val="en-GB"/>
        </w:rPr>
        <w:t>Beautyrest</w:t>
      </w:r>
      <w:proofErr w:type="spellEnd"/>
      <w:r w:rsidRPr="00031C75">
        <w:rPr>
          <w:color w:val="000000"/>
          <w:spacing w:val="-2"/>
          <w:kern w:val="22"/>
          <w:sz w:val="22"/>
          <w:szCs w:val="22"/>
          <w:lang w:val="en-GB"/>
        </w:rPr>
        <w:t xml:space="preserve"> </w:t>
      </w:r>
      <w:proofErr w:type="spellStart"/>
      <w:r w:rsidRPr="00031C75">
        <w:rPr>
          <w:color w:val="000000"/>
          <w:spacing w:val="-2"/>
          <w:kern w:val="22"/>
          <w:sz w:val="22"/>
          <w:szCs w:val="22"/>
          <w:lang w:val="en-GB"/>
        </w:rPr>
        <w:t>TruEnergy</w:t>
      </w:r>
      <w:proofErr w:type="spellEnd"/>
      <w:r w:rsidRPr="00031C75">
        <w:rPr>
          <w:color w:val="000000"/>
          <w:spacing w:val="-2"/>
          <w:kern w:val="22"/>
          <w:sz w:val="22"/>
          <w:szCs w:val="22"/>
          <w:lang w:val="en-GB"/>
        </w:rPr>
        <w:t xml:space="preserve"> Brooklyn queen-sized mattress at a $1</w:t>
      </w:r>
      <w:r w:rsidR="00111936" w:rsidRPr="00031C75">
        <w:rPr>
          <w:color w:val="000000"/>
          <w:spacing w:val="-2"/>
          <w:kern w:val="22"/>
          <w:sz w:val="22"/>
          <w:szCs w:val="22"/>
          <w:lang w:val="en-GB"/>
        </w:rPr>
        <w:t>,</w:t>
      </w:r>
      <w:r w:rsidRPr="00031C75">
        <w:rPr>
          <w:color w:val="000000"/>
          <w:spacing w:val="-2"/>
          <w:kern w:val="22"/>
          <w:sz w:val="22"/>
          <w:szCs w:val="22"/>
          <w:lang w:val="en-GB"/>
        </w:rPr>
        <w:t xml:space="preserve">800 discount from its regular $3,098 </w:t>
      </w:r>
      <w:r w:rsidRPr="00031C75">
        <w:rPr>
          <w:color w:val="000000"/>
          <w:spacing w:val="-2"/>
          <w:kern w:val="22"/>
          <w:sz w:val="22"/>
          <w:szCs w:val="22"/>
          <w:lang w:val="en-GB"/>
        </w:rPr>
        <w:lastRenderedPageBreak/>
        <w:t xml:space="preserve">price. Given that HBC had sold </w:t>
      </w:r>
      <w:r w:rsidR="00B00FBB" w:rsidRPr="00031C75">
        <w:rPr>
          <w:color w:val="000000"/>
          <w:spacing w:val="-2"/>
          <w:kern w:val="22"/>
          <w:sz w:val="22"/>
          <w:szCs w:val="22"/>
          <w:lang w:val="en-GB"/>
        </w:rPr>
        <w:t xml:space="preserve">only </w:t>
      </w:r>
      <w:r w:rsidRPr="00031C75">
        <w:rPr>
          <w:color w:val="000000"/>
          <w:spacing w:val="-2"/>
          <w:kern w:val="22"/>
          <w:sz w:val="22"/>
          <w:szCs w:val="22"/>
          <w:lang w:val="en-GB"/>
        </w:rPr>
        <w:t xml:space="preserve">a single set at the full price in the months prior to the 2013 sale, it did not meet the volume requirements set by the Competition Bureau to determine a regular sale price. In addition, the mattress set </w:t>
      </w:r>
      <w:r w:rsidR="00B00FBB" w:rsidRPr="00031C75">
        <w:rPr>
          <w:color w:val="000000"/>
          <w:spacing w:val="-2"/>
          <w:kern w:val="22"/>
          <w:sz w:val="22"/>
          <w:szCs w:val="22"/>
          <w:lang w:val="en-GB"/>
        </w:rPr>
        <w:t xml:space="preserve">had </w:t>
      </w:r>
      <w:r w:rsidRPr="00031C75">
        <w:rPr>
          <w:color w:val="000000"/>
          <w:spacing w:val="-2"/>
          <w:kern w:val="22"/>
          <w:sz w:val="22"/>
          <w:szCs w:val="22"/>
          <w:lang w:val="en-GB"/>
        </w:rPr>
        <w:t xml:space="preserve">not </w:t>
      </w:r>
      <w:r w:rsidR="00B00FBB" w:rsidRPr="00031C75">
        <w:rPr>
          <w:color w:val="000000"/>
          <w:spacing w:val="-2"/>
          <w:kern w:val="22"/>
          <w:sz w:val="22"/>
          <w:szCs w:val="22"/>
          <w:lang w:val="en-GB"/>
        </w:rPr>
        <w:t xml:space="preserve">been </w:t>
      </w:r>
      <w:r w:rsidRPr="00031C75">
        <w:rPr>
          <w:color w:val="000000"/>
          <w:spacing w:val="-2"/>
          <w:kern w:val="22"/>
          <w:sz w:val="22"/>
          <w:szCs w:val="22"/>
          <w:lang w:val="en-GB"/>
        </w:rPr>
        <w:t>sold</w:t>
      </w:r>
      <w:r w:rsidR="00B00FBB" w:rsidRPr="00031C75">
        <w:rPr>
          <w:color w:val="000000"/>
          <w:spacing w:val="-2"/>
          <w:kern w:val="22"/>
          <w:sz w:val="22"/>
          <w:szCs w:val="22"/>
          <w:lang w:val="en-GB"/>
        </w:rPr>
        <w:t xml:space="preserve"> for</w:t>
      </w:r>
      <w:r w:rsidRPr="00031C75">
        <w:rPr>
          <w:color w:val="000000"/>
          <w:spacing w:val="-2"/>
          <w:kern w:val="22"/>
          <w:sz w:val="22"/>
          <w:szCs w:val="22"/>
          <w:lang w:val="en-GB"/>
        </w:rPr>
        <w:t xml:space="preserve"> long enough to satisfy the “good faith” aspect of the Bureau’s other standard for establishing a regular sale price, otherwise referred to as the “time test</w:t>
      </w:r>
      <w:r w:rsidR="00111936" w:rsidRPr="00031C75">
        <w:rPr>
          <w:color w:val="000000"/>
          <w:spacing w:val="-2"/>
          <w:kern w:val="22"/>
          <w:sz w:val="22"/>
          <w:szCs w:val="22"/>
          <w:lang w:val="en-GB"/>
        </w:rPr>
        <w:t>.”</w:t>
      </w:r>
      <w:r w:rsidRPr="00031C75">
        <w:rPr>
          <w:color w:val="000000"/>
          <w:spacing w:val="-2"/>
          <w:kern w:val="22"/>
          <w:sz w:val="22"/>
          <w:szCs w:val="22"/>
          <w:lang w:val="en-GB"/>
        </w:rPr>
        <w:t xml:space="preserve"> As a result, the Bureau was seeking payment </w:t>
      </w:r>
      <w:r w:rsidR="00A6477D">
        <w:rPr>
          <w:color w:val="000000"/>
          <w:spacing w:val="-2"/>
          <w:kern w:val="22"/>
          <w:sz w:val="22"/>
          <w:szCs w:val="22"/>
          <w:lang w:val="en-GB"/>
        </w:rPr>
        <w:t>from</w:t>
      </w:r>
      <w:r w:rsidR="00A6477D" w:rsidRPr="00031C75">
        <w:rPr>
          <w:color w:val="000000"/>
          <w:spacing w:val="-2"/>
          <w:kern w:val="22"/>
          <w:sz w:val="22"/>
          <w:szCs w:val="22"/>
          <w:lang w:val="en-GB"/>
        </w:rPr>
        <w:t xml:space="preserve"> HBC </w:t>
      </w:r>
      <w:r w:rsidRPr="00031C75">
        <w:rPr>
          <w:color w:val="000000"/>
          <w:spacing w:val="-2"/>
          <w:kern w:val="22"/>
          <w:sz w:val="22"/>
          <w:szCs w:val="22"/>
          <w:lang w:val="en-GB"/>
        </w:rPr>
        <w:t>of a significant monetary penalty</w:t>
      </w:r>
      <w:r w:rsidR="00A6477D">
        <w:rPr>
          <w:color w:val="000000"/>
          <w:spacing w:val="-2"/>
          <w:kern w:val="22"/>
          <w:sz w:val="22"/>
          <w:szCs w:val="22"/>
          <w:lang w:val="en-GB"/>
        </w:rPr>
        <w:t>;</w:t>
      </w:r>
      <w:r w:rsidRPr="00031C75">
        <w:rPr>
          <w:color w:val="000000"/>
          <w:spacing w:val="-2"/>
          <w:kern w:val="22"/>
          <w:sz w:val="22"/>
          <w:szCs w:val="22"/>
          <w:lang w:val="en-GB"/>
        </w:rPr>
        <w:t xml:space="preserve"> if successful, </w:t>
      </w:r>
      <w:r w:rsidR="00A6477D">
        <w:rPr>
          <w:color w:val="000000"/>
          <w:spacing w:val="-2"/>
          <w:kern w:val="22"/>
          <w:sz w:val="22"/>
          <w:szCs w:val="22"/>
          <w:lang w:val="en-GB"/>
        </w:rPr>
        <w:t xml:space="preserve">this application </w:t>
      </w:r>
      <w:r w:rsidRPr="00031C75">
        <w:rPr>
          <w:color w:val="000000"/>
          <w:spacing w:val="-2"/>
          <w:kern w:val="22"/>
          <w:sz w:val="22"/>
          <w:szCs w:val="22"/>
          <w:lang w:val="en-GB"/>
        </w:rPr>
        <w:t>would further impact the company’s negative financial performance.</w:t>
      </w:r>
      <w:r w:rsidRPr="00031C75">
        <w:rPr>
          <w:color w:val="000000"/>
          <w:spacing w:val="-2"/>
          <w:kern w:val="22"/>
          <w:sz w:val="22"/>
          <w:szCs w:val="22"/>
          <w:vertAlign w:val="superscript"/>
          <w:lang w:val="en-GB"/>
        </w:rPr>
        <w:endnoteReference w:id="36"/>
      </w:r>
      <w:r w:rsidRPr="00031C75">
        <w:rPr>
          <w:color w:val="000000"/>
          <w:spacing w:val="-2"/>
          <w:kern w:val="22"/>
          <w:sz w:val="22"/>
          <w:szCs w:val="22"/>
          <w:lang w:val="en-GB"/>
        </w:rPr>
        <w:t xml:space="preserve"> </w:t>
      </w:r>
    </w:p>
    <w:p w14:paraId="2A72C9C1"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10B2CBB4"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363D8305" w14:textId="56611EB0" w:rsidR="00FB7D48" w:rsidRPr="003D519C" w:rsidRDefault="00B00FBB" w:rsidP="003D519C">
      <w:pPr>
        <w:pBdr>
          <w:top w:val="nil"/>
          <w:left w:val="nil"/>
          <w:bottom w:val="nil"/>
          <w:right w:val="nil"/>
          <w:between w:val="nil"/>
        </w:pBdr>
        <w:jc w:val="both"/>
        <w:rPr>
          <w:color w:val="000000"/>
          <w:sz w:val="22"/>
          <w:szCs w:val="22"/>
          <w:lang w:val="en-GB"/>
        </w:rPr>
      </w:pPr>
      <w:r>
        <w:rPr>
          <w:rFonts w:ascii="Arial" w:eastAsia="Arial" w:hAnsi="Arial" w:cs="Arial"/>
          <w:b/>
          <w:color w:val="000000"/>
          <w:lang w:val="en-GB"/>
        </w:rPr>
        <w:t>“</w:t>
      </w:r>
      <w:r w:rsidR="00FB7D48" w:rsidRPr="003D519C">
        <w:rPr>
          <w:rFonts w:ascii="Arial" w:eastAsia="Arial" w:hAnsi="Arial" w:cs="Arial"/>
          <w:b/>
          <w:color w:val="000000"/>
          <w:lang w:val="en-GB"/>
        </w:rPr>
        <w:t>DISRUPT OR BE DISRUPTED</w:t>
      </w:r>
      <w:r>
        <w:rPr>
          <w:rFonts w:ascii="Arial" w:eastAsia="Arial" w:hAnsi="Arial" w:cs="Arial"/>
          <w:b/>
          <w:color w:val="000000"/>
          <w:lang w:val="en-GB"/>
        </w:rPr>
        <w:t>”</w:t>
      </w:r>
      <w:r w:rsidR="00FB7D48" w:rsidRPr="003D519C">
        <w:rPr>
          <w:rFonts w:ascii="Arial" w:eastAsia="Arial" w:hAnsi="Arial" w:cs="Arial"/>
          <w:b/>
          <w:color w:val="000000"/>
          <w:lang w:val="en-GB"/>
        </w:rPr>
        <w:t>: THE CANADIAN RETAIL ENVIRONMENT</w:t>
      </w:r>
      <w:r w:rsidR="00FB7D48" w:rsidRPr="003D519C">
        <w:rPr>
          <w:rFonts w:ascii="Arial" w:eastAsia="Arial" w:hAnsi="Arial" w:cs="Arial"/>
          <w:b/>
          <w:color w:val="000000"/>
          <w:vertAlign w:val="superscript"/>
          <w:lang w:val="en-GB"/>
        </w:rPr>
        <w:endnoteReference w:id="37"/>
      </w:r>
      <w:r w:rsidR="00FB7D48" w:rsidRPr="003D519C">
        <w:rPr>
          <w:color w:val="000000"/>
          <w:sz w:val="22"/>
          <w:szCs w:val="22"/>
          <w:lang w:val="en-GB"/>
        </w:rPr>
        <w:t xml:space="preserve"> </w:t>
      </w:r>
    </w:p>
    <w:p w14:paraId="70D82D5B"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3050F465" w14:textId="7FE12EC0" w:rsidR="00FB7D48" w:rsidRPr="00E23C32" w:rsidRDefault="00FB7D48" w:rsidP="003D519C">
      <w:pPr>
        <w:pBdr>
          <w:top w:val="nil"/>
          <w:left w:val="nil"/>
          <w:bottom w:val="nil"/>
          <w:right w:val="nil"/>
          <w:between w:val="nil"/>
        </w:pBdr>
        <w:jc w:val="both"/>
        <w:rPr>
          <w:color w:val="000000"/>
          <w:spacing w:val="-2"/>
          <w:kern w:val="22"/>
          <w:sz w:val="22"/>
          <w:szCs w:val="22"/>
          <w:lang w:val="en-GB"/>
        </w:rPr>
      </w:pPr>
      <w:r w:rsidRPr="00E23C32">
        <w:rPr>
          <w:color w:val="000000"/>
          <w:spacing w:val="-2"/>
          <w:kern w:val="22"/>
          <w:sz w:val="22"/>
          <w:szCs w:val="22"/>
          <w:lang w:val="en-GB"/>
        </w:rPr>
        <w:t>Although the Canadian retail industry was project</w:t>
      </w:r>
      <w:r w:rsidR="00111936" w:rsidRPr="00E23C32">
        <w:rPr>
          <w:color w:val="000000"/>
          <w:spacing w:val="-2"/>
          <w:kern w:val="22"/>
          <w:sz w:val="22"/>
          <w:szCs w:val="22"/>
          <w:lang w:val="en-GB"/>
        </w:rPr>
        <w:t>ed to increase in value by 17.7 per cent</w:t>
      </w:r>
      <w:r w:rsidRPr="00E23C32">
        <w:rPr>
          <w:color w:val="000000"/>
          <w:spacing w:val="-2"/>
          <w:kern w:val="22"/>
          <w:sz w:val="22"/>
          <w:szCs w:val="22"/>
          <w:lang w:val="en-GB"/>
        </w:rPr>
        <w:t xml:space="preserve"> by 2020</w:t>
      </w:r>
      <w:r w:rsidR="00111936" w:rsidRPr="00E23C32">
        <w:rPr>
          <w:color w:val="000000"/>
          <w:spacing w:val="-2"/>
          <w:kern w:val="22"/>
          <w:sz w:val="22"/>
          <w:szCs w:val="22"/>
          <w:lang w:val="en-GB"/>
        </w:rPr>
        <w:t>,</w:t>
      </w:r>
      <w:r w:rsidRPr="00E23C32">
        <w:rPr>
          <w:color w:val="000000"/>
          <w:spacing w:val="-2"/>
          <w:kern w:val="22"/>
          <w:sz w:val="22"/>
          <w:szCs w:val="22"/>
          <w:vertAlign w:val="superscript"/>
          <w:lang w:val="en-GB"/>
        </w:rPr>
        <w:endnoteReference w:id="38"/>
      </w:r>
      <w:r w:rsidRPr="00E23C32">
        <w:rPr>
          <w:color w:val="000000"/>
          <w:spacing w:val="-2"/>
          <w:kern w:val="22"/>
          <w:sz w:val="22"/>
          <w:szCs w:val="22"/>
          <w:lang w:val="en-GB"/>
        </w:rPr>
        <w:t xml:space="preserve"> the breakdown of industry growth represented a threat to HBC’s long-term success. While this growth rate was strong, it was primarily driven by the </w:t>
      </w:r>
      <w:r w:rsidR="00111936" w:rsidRPr="00E23C32">
        <w:rPr>
          <w:color w:val="000000"/>
          <w:spacing w:val="-2"/>
          <w:kern w:val="22"/>
          <w:sz w:val="22"/>
          <w:szCs w:val="22"/>
          <w:lang w:val="en-GB"/>
        </w:rPr>
        <w:t>e</w:t>
      </w:r>
      <w:r w:rsidR="003B1D65" w:rsidRPr="00E23C32">
        <w:rPr>
          <w:color w:val="000000"/>
          <w:spacing w:val="-2"/>
          <w:kern w:val="22"/>
          <w:sz w:val="22"/>
          <w:szCs w:val="22"/>
          <w:lang w:val="en-GB"/>
        </w:rPr>
        <w:t>-</w:t>
      </w:r>
      <w:r w:rsidR="00111936" w:rsidRPr="00E23C32">
        <w:rPr>
          <w:color w:val="000000"/>
          <w:spacing w:val="-2"/>
          <w:kern w:val="22"/>
          <w:sz w:val="22"/>
          <w:szCs w:val="22"/>
          <w:lang w:val="en-GB"/>
        </w:rPr>
        <w:t xml:space="preserve">commerce segment, </w:t>
      </w:r>
      <w:r w:rsidR="0022185C" w:rsidRPr="00E23C32">
        <w:rPr>
          <w:color w:val="000000"/>
          <w:spacing w:val="-2"/>
          <w:kern w:val="22"/>
          <w:sz w:val="22"/>
          <w:szCs w:val="22"/>
          <w:lang w:val="en-GB"/>
        </w:rPr>
        <w:t xml:space="preserve">which held </w:t>
      </w:r>
      <w:r w:rsidR="00111936" w:rsidRPr="00E23C32">
        <w:rPr>
          <w:color w:val="000000"/>
          <w:spacing w:val="-2"/>
          <w:kern w:val="22"/>
          <w:sz w:val="22"/>
          <w:szCs w:val="22"/>
          <w:lang w:val="en-GB"/>
        </w:rPr>
        <w:t>a 15 per cent</w:t>
      </w:r>
      <w:r w:rsidRPr="00E23C32">
        <w:rPr>
          <w:color w:val="000000"/>
          <w:spacing w:val="-2"/>
          <w:kern w:val="22"/>
          <w:sz w:val="22"/>
          <w:szCs w:val="22"/>
          <w:lang w:val="en-GB"/>
        </w:rPr>
        <w:t xml:space="preserve"> projected growth r</w:t>
      </w:r>
      <w:r w:rsidR="00111936" w:rsidRPr="00E23C32">
        <w:rPr>
          <w:color w:val="000000"/>
          <w:spacing w:val="-2"/>
          <w:kern w:val="22"/>
          <w:sz w:val="22"/>
          <w:szCs w:val="22"/>
          <w:lang w:val="en-GB"/>
        </w:rPr>
        <w:t>ate in comparison to the mere 3 per cent</w:t>
      </w:r>
      <w:r w:rsidRPr="00E23C32">
        <w:rPr>
          <w:color w:val="000000"/>
          <w:spacing w:val="-2"/>
          <w:kern w:val="22"/>
          <w:sz w:val="22"/>
          <w:szCs w:val="22"/>
          <w:lang w:val="en-GB"/>
        </w:rPr>
        <w:t xml:space="preserve"> forecasted for brick</w:t>
      </w:r>
      <w:r w:rsidR="005E57FE" w:rsidRPr="00E23C32">
        <w:rPr>
          <w:color w:val="000000"/>
          <w:spacing w:val="-2"/>
          <w:kern w:val="22"/>
          <w:sz w:val="22"/>
          <w:szCs w:val="22"/>
          <w:lang w:val="en-GB"/>
        </w:rPr>
        <w:t>-</w:t>
      </w:r>
      <w:r w:rsidRPr="00E23C32">
        <w:rPr>
          <w:color w:val="000000"/>
          <w:spacing w:val="-2"/>
          <w:kern w:val="22"/>
          <w:sz w:val="22"/>
          <w:szCs w:val="22"/>
          <w:lang w:val="en-GB"/>
        </w:rPr>
        <w:t>and</w:t>
      </w:r>
      <w:r w:rsidR="005E57FE" w:rsidRPr="00E23C32">
        <w:rPr>
          <w:color w:val="000000"/>
          <w:spacing w:val="-2"/>
          <w:kern w:val="22"/>
          <w:sz w:val="22"/>
          <w:szCs w:val="22"/>
          <w:lang w:val="en-GB"/>
        </w:rPr>
        <w:t>-</w:t>
      </w:r>
      <w:r w:rsidRPr="00E23C32">
        <w:rPr>
          <w:color w:val="000000"/>
          <w:spacing w:val="-2"/>
          <w:kern w:val="22"/>
          <w:sz w:val="22"/>
          <w:szCs w:val="22"/>
          <w:lang w:val="en-GB"/>
        </w:rPr>
        <w:t>mortar retailers.</w:t>
      </w:r>
      <w:r w:rsidRPr="00E23C32">
        <w:rPr>
          <w:color w:val="000000"/>
          <w:spacing w:val="-2"/>
          <w:kern w:val="22"/>
          <w:sz w:val="22"/>
          <w:szCs w:val="22"/>
          <w:vertAlign w:val="superscript"/>
          <w:lang w:val="en-GB"/>
        </w:rPr>
        <w:endnoteReference w:id="39"/>
      </w:r>
      <w:r w:rsidRPr="00E23C32">
        <w:rPr>
          <w:color w:val="000000"/>
          <w:spacing w:val="-2"/>
          <w:kern w:val="22"/>
          <w:sz w:val="22"/>
          <w:szCs w:val="22"/>
          <w:lang w:val="en-GB"/>
        </w:rPr>
        <w:t xml:space="preserve"> In addition, Canadian consumers continually held higher expectations for shipping and service standards for online sales, which HBC was only just beginning to address with the changes to its digital operations in the “Transformation Plan</w:t>
      </w:r>
      <w:r w:rsidR="00111936" w:rsidRPr="00E23C32">
        <w:rPr>
          <w:color w:val="000000"/>
          <w:spacing w:val="-2"/>
          <w:kern w:val="22"/>
          <w:sz w:val="22"/>
          <w:szCs w:val="22"/>
          <w:lang w:val="en-GB"/>
        </w:rPr>
        <w:t>.</w:t>
      </w:r>
      <w:r w:rsidRPr="00E23C32">
        <w:rPr>
          <w:color w:val="000000"/>
          <w:spacing w:val="-2"/>
          <w:kern w:val="22"/>
          <w:sz w:val="22"/>
          <w:szCs w:val="22"/>
          <w:lang w:val="en-GB"/>
        </w:rPr>
        <w:t>”</w:t>
      </w:r>
      <w:r w:rsidRPr="00E23C32">
        <w:rPr>
          <w:color w:val="000000"/>
          <w:spacing w:val="-2"/>
          <w:kern w:val="22"/>
          <w:sz w:val="22"/>
          <w:szCs w:val="22"/>
          <w:vertAlign w:val="superscript"/>
          <w:lang w:val="en-GB"/>
        </w:rPr>
        <w:endnoteReference w:id="40"/>
      </w:r>
    </w:p>
    <w:p w14:paraId="2CBC95BE"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59C965B3" w14:textId="0FAF4569"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Trends toward digitizing the store experience and continued threats from big-box online retailers such as Amazon placed pressure on HBC in its restructuring process.</w:t>
      </w:r>
      <w:r w:rsidRPr="003D519C">
        <w:rPr>
          <w:color w:val="000000"/>
          <w:sz w:val="22"/>
          <w:szCs w:val="22"/>
          <w:vertAlign w:val="superscript"/>
          <w:lang w:val="en-GB"/>
        </w:rPr>
        <w:endnoteReference w:id="41"/>
      </w:r>
      <w:r w:rsidRPr="003D519C">
        <w:rPr>
          <w:color w:val="000000"/>
          <w:sz w:val="22"/>
          <w:szCs w:val="22"/>
          <w:lang w:val="en-GB"/>
        </w:rPr>
        <w:t xml:space="preserve"> HBC’s main competitors in the industry included Sears</w:t>
      </w:r>
      <w:r w:rsidR="00127054">
        <w:rPr>
          <w:color w:val="000000"/>
          <w:sz w:val="22"/>
          <w:szCs w:val="22"/>
          <w:lang w:val="en-GB"/>
        </w:rPr>
        <w:t xml:space="preserve"> Canada Inc. (Sears),</w:t>
      </w:r>
      <w:r w:rsidRPr="003D519C">
        <w:rPr>
          <w:color w:val="000000"/>
          <w:sz w:val="22"/>
          <w:szCs w:val="22"/>
          <w:lang w:val="en-GB"/>
        </w:rPr>
        <w:t xml:space="preserve"> and Nordstrom</w:t>
      </w:r>
      <w:r w:rsidR="00127054">
        <w:rPr>
          <w:color w:val="000000"/>
          <w:sz w:val="22"/>
          <w:szCs w:val="22"/>
          <w:lang w:val="en-GB"/>
        </w:rPr>
        <w:t xml:space="preserve"> Canada</w:t>
      </w:r>
      <w:r w:rsidRPr="003D519C">
        <w:rPr>
          <w:color w:val="000000"/>
          <w:sz w:val="22"/>
          <w:szCs w:val="22"/>
          <w:lang w:val="en-GB"/>
        </w:rPr>
        <w:t xml:space="preserve">, both of which directly competed in the department store environment. </w:t>
      </w:r>
    </w:p>
    <w:p w14:paraId="1E4F6F67"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6871810E"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6570F097" w14:textId="77777777" w:rsidR="00FB7D48" w:rsidRPr="003D519C" w:rsidRDefault="00FB7D48" w:rsidP="003D519C">
      <w:pPr>
        <w:pStyle w:val="Casehead2"/>
        <w:rPr>
          <w:lang w:val="en-GB"/>
        </w:rPr>
      </w:pPr>
      <w:r w:rsidRPr="003D519C">
        <w:rPr>
          <w:lang w:val="en-GB"/>
        </w:rPr>
        <w:t>Sears Canada</w:t>
      </w:r>
    </w:p>
    <w:p w14:paraId="38CAD062" w14:textId="77777777" w:rsidR="00FB7D48" w:rsidRPr="00E23C32" w:rsidRDefault="00FB7D48" w:rsidP="003D519C">
      <w:pPr>
        <w:pBdr>
          <w:top w:val="nil"/>
          <w:left w:val="nil"/>
          <w:bottom w:val="nil"/>
          <w:right w:val="nil"/>
          <w:between w:val="nil"/>
        </w:pBdr>
        <w:jc w:val="both"/>
        <w:rPr>
          <w:i/>
          <w:color w:val="000000"/>
          <w:sz w:val="18"/>
          <w:szCs w:val="18"/>
          <w:lang w:val="en-GB"/>
        </w:rPr>
      </w:pPr>
    </w:p>
    <w:p w14:paraId="57A91F49" w14:textId="2616D170" w:rsidR="00FB7D48" w:rsidRPr="003D519C" w:rsidRDefault="00127054" w:rsidP="003D519C">
      <w:pPr>
        <w:pBdr>
          <w:top w:val="nil"/>
          <w:left w:val="nil"/>
          <w:bottom w:val="nil"/>
          <w:right w:val="nil"/>
          <w:between w:val="nil"/>
        </w:pBdr>
        <w:jc w:val="both"/>
        <w:rPr>
          <w:color w:val="000000"/>
          <w:sz w:val="22"/>
          <w:szCs w:val="22"/>
          <w:lang w:val="en-GB"/>
        </w:rPr>
      </w:pPr>
      <w:r>
        <w:rPr>
          <w:color w:val="000000"/>
          <w:sz w:val="22"/>
          <w:szCs w:val="22"/>
          <w:lang w:val="en-GB"/>
        </w:rPr>
        <w:t>Sears</w:t>
      </w:r>
      <w:r w:rsidR="006C1611">
        <w:rPr>
          <w:color w:val="000000"/>
          <w:sz w:val="22"/>
          <w:szCs w:val="22"/>
          <w:lang w:val="en-GB"/>
        </w:rPr>
        <w:t xml:space="preserve"> </w:t>
      </w:r>
      <w:r w:rsidR="00FB7D48" w:rsidRPr="003D519C">
        <w:rPr>
          <w:color w:val="000000"/>
          <w:sz w:val="22"/>
          <w:szCs w:val="22"/>
          <w:lang w:val="en-GB"/>
        </w:rPr>
        <w:t>began ser</w:t>
      </w:r>
      <w:r w:rsidR="00ED5D24">
        <w:rPr>
          <w:color w:val="000000"/>
          <w:sz w:val="22"/>
          <w:szCs w:val="22"/>
          <w:lang w:val="en-GB"/>
        </w:rPr>
        <w:t>ving the Canadian market in 1952</w:t>
      </w:r>
      <w:r w:rsidR="00FB7D48" w:rsidRPr="003D519C">
        <w:rPr>
          <w:color w:val="000000"/>
          <w:sz w:val="22"/>
          <w:szCs w:val="22"/>
          <w:lang w:val="en-GB"/>
        </w:rPr>
        <w:t xml:space="preserve"> under the banner of Simpsons-Sears Ltd., quickly attaining a strong foothold in the Canadian retail industry</w:t>
      </w:r>
      <w:r w:rsidR="00FB7D48" w:rsidRPr="003D519C">
        <w:rPr>
          <w:color w:val="000000"/>
          <w:sz w:val="22"/>
          <w:szCs w:val="22"/>
          <w:vertAlign w:val="superscript"/>
          <w:lang w:val="en-GB"/>
        </w:rPr>
        <w:endnoteReference w:id="42"/>
      </w:r>
      <w:r w:rsidR="00FB7D48" w:rsidRPr="003D519C">
        <w:rPr>
          <w:color w:val="000000"/>
          <w:sz w:val="22"/>
          <w:szCs w:val="22"/>
          <w:lang w:val="en-GB"/>
        </w:rPr>
        <w:t xml:space="preserve"> through </w:t>
      </w:r>
      <w:r w:rsidR="006C1611">
        <w:rPr>
          <w:color w:val="000000"/>
          <w:sz w:val="22"/>
          <w:szCs w:val="22"/>
          <w:lang w:val="en-GB"/>
        </w:rPr>
        <w:t>its</w:t>
      </w:r>
      <w:r w:rsidR="006C1611" w:rsidRPr="003D519C">
        <w:rPr>
          <w:color w:val="000000"/>
          <w:sz w:val="22"/>
          <w:szCs w:val="22"/>
          <w:lang w:val="en-GB"/>
        </w:rPr>
        <w:t xml:space="preserve"> </w:t>
      </w:r>
      <w:r w:rsidR="00FB7D48" w:rsidRPr="003D519C">
        <w:rPr>
          <w:color w:val="000000"/>
          <w:sz w:val="22"/>
          <w:szCs w:val="22"/>
          <w:lang w:val="en-GB"/>
        </w:rPr>
        <w:t xml:space="preserve">mail-order services. After HBC acquired the Simpsons </w:t>
      </w:r>
      <w:proofErr w:type="gramStart"/>
      <w:r w:rsidR="00FB7D48" w:rsidRPr="003D519C">
        <w:rPr>
          <w:color w:val="000000"/>
          <w:sz w:val="22"/>
          <w:szCs w:val="22"/>
          <w:lang w:val="en-GB"/>
        </w:rPr>
        <w:t>company</w:t>
      </w:r>
      <w:proofErr w:type="gramEnd"/>
      <w:r w:rsidR="00FB7D48" w:rsidRPr="003D519C">
        <w:rPr>
          <w:color w:val="000000"/>
          <w:sz w:val="22"/>
          <w:szCs w:val="22"/>
          <w:lang w:val="en-GB"/>
        </w:rPr>
        <w:t xml:space="preserve"> in 1978, the Simpsons-Sears partnership was dissolved, and the company formally changed its name to Sears Canada </w:t>
      </w:r>
      <w:r>
        <w:rPr>
          <w:color w:val="000000"/>
          <w:sz w:val="22"/>
          <w:szCs w:val="22"/>
          <w:lang w:val="en-GB"/>
        </w:rPr>
        <w:t xml:space="preserve">Inc. </w:t>
      </w:r>
      <w:r w:rsidR="00FB7D48" w:rsidRPr="003D519C">
        <w:rPr>
          <w:color w:val="000000"/>
          <w:sz w:val="22"/>
          <w:szCs w:val="22"/>
          <w:lang w:val="en-GB"/>
        </w:rPr>
        <w:t>as of 1984. Sears’</w:t>
      </w:r>
      <w:r w:rsidR="00796D32">
        <w:rPr>
          <w:color w:val="000000"/>
          <w:sz w:val="22"/>
          <w:szCs w:val="22"/>
          <w:lang w:val="en-GB"/>
        </w:rPr>
        <w:t>s</w:t>
      </w:r>
      <w:r w:rsidR="00FB7D48" w:rsidRPr="003D519C">
        <w:rPr>
          <w:color w:val="000000"/>
          <w:sz w:val="22"/>
          <w:szCs w:val="22"/>
          <w:lang w:val="en-GB"/>
        </w:rPr>
        <w:t xml:space="preserve"> performance peaked in the late 1990s with the acquisition of the T. Eaton Company Ltd., providing the department store with coveted real estate locations, such as the high-traffic tourist stop of the Toronto Eaton Centre.</w:t>
      </w:r>
      <w:r w:rsidR="00FB7D48" w:rsidRPr="003D519C">
        <w:rPr>
          <w:color w:val="000000"/>
          <w:sz w:val="22"/>
          <w:szCs w:val="22"/>
          <w:vertAlign w:val="superscript"/>
          <w:lang w:val="en-GB"/>
        </w:rPr>
        <w:endnoteReference w:id="43"/>
      </w:r>
      <w:r w:rsidR="00FB7D48" w:rsidRPr="003D519C">
        <w:rPr>
          <w:color w:val="000000"/>
          <w:sz w:val="22"/>
          <w:szCs w:val="22"/>
          <w:lang w:val="en-GB"/>
        </w:rPr>
        <w:t xml:space="preserve"> At that time, </w:t>
      </w:r>
      <w:r w:rsidR="006C1611">
        <w:rPr>
          <w:color w:val="000000"/>
          <w:sz w:val="22"/>
          <w:szCs w:val="22"/>
          <w:lang w:val="en-GB"/>
        </w:rPr>
        <w:t xml:space="preserve">many expected </w:t>
      </w:r>
      <w:r w:rsidR="00FB7D48" w:rsidRPr="003D519C">
        <w:rPr>
          <w:color w:val="000000"/>
          <w:sz w:val="22"/>
          <w:szCs w:val="22"/>
          <w:lang w:val="en-GB"/>
        </w:rPr>
        <w:t>Sears to take over Eaton’s market share in the Canadian retail sphere.</w:t>
      </w:r>
      <w:r w:rsidR="00FB7D48" w:rsidRPr="003D519C">
        <w:rPr>
          <w:color w:val="000000"/>
          <w:sz w:val="22"/>
          <w:szCs w:val="22"/>
          <w:vertAlign w:val="superscript"/>
          <w:lang w:val="en-GB"/>
        </w:rPr>
        <w:endnoteReference w:id="44"/>
      </w:r>
    </w:p>
    <w:p w14:paraId="0E220BA3"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4B253711" w14:textId="546D69E9" w:rsidR="00FB7D48" w:rsidRPr="003D519C" w:rsidRDefault="00FB7D48" w:rsidP="003D519C">
      <w:pPr>
        <w:pBdr>
          <w:top w:val="nil"/>
          <w:left w:val="nil"/>
          <w:bottom w:val="nil"/>
          <w:right w:val="nil"/>
          <w:between w:val="nil"/>
        </w:pBdr>
        <w:jc w:val="both"/>
        <w:rPr>
          <w:color w:val="000000"/>
          <w:sz w:val="22"/>
          <w:szCs w:val="22"/>
          <w:lang w:val="en-GB"/>
        </w:rPr>
      </w:pPr>
      <w:r w:rsidRPr="003D519C">
        <w:rPr>
          <w:color w:val="000000"/>
          <w:sz w:val="22"/>
          <w:szCs w:val="22"/>
          <w:lang w:val="en-GB"/>
        </w:rPr>
        <w:t>Sears began struggling in 2009, initially layi</w:t>
      </w:r>
      <w:r w:rsidR="00111936" w:rsidRPr="003D519C">
        <w:rPr>
          <w:color w:val="000000"/>
          <w:sz w:val="22"/>
          <w:szCs w:val="22"/>
          <w:lang w:val="en-GB"/>
        </w:rPr>
        <w:t xml:space="preserve">ng off 300 workers, </w:t>
      </w:r>
      <w:r w:rsidR="00BF19B1">
        <w:rPr>
          <w:color w:val="000000"/>
          <w:sz w:val="22"/>
          <w:szCs w:val="22"/>
          <w:lang w:val="en-GB"/>
        </w:rPr>
        <w:t xml:space="preserve">which, at the time, represented </w:t>
      </w:r>
      <w:r w:rsidR="00111936" w:rsidRPr="003D519C">
        <w:rPr>
          <w:color w:val="000000"/>
          <w:sz w:val="22"/>
          <w:szCs w:val="22"/>
          <w:lang w:val="en-GB"/>
        </w:rPr>
        <w:t>less than 1 per cent</w:t>
      </w:r>
      <w:r w:rsidRPr="003D519C">
        <w:rPr>
          <w:color w:val="000000"/>
          <w:sz w:val="22"/>
          <w:szCs w:val="22"/>
          <w:lang w:val="en-GB"/>
        </w:rPr>
        <w:t xml:space="preserve"> of its workforce.</w:t>
      </w:r>
      <w:r w:rsidRPr="003D519C">
        <w:rPr>
          <w:color w:val="000000"/>
          <w:sz w:val="22"/>
          <w:szCs w:val="22"/>
          <w:vertAlign w:val="superscript"/>
          <w:lang w:val="en-GB"/>
        </w:rPr>
        <w:endnoteReference w:id="45"/>
      </w:r>
      <w:r w:rsidRPr="003D519C">
        <w:rPr>
          <w:color w:val="000000"/>
          <w:sz w:val="22"/>
          <w:szCs w:val="22"/>
          <w:lang w:val="en-GB"/>
        </w:rPr>
        <w:t xml:space="preserve"> The company’s struggles were well-illustrated through the considerable turnover in its top management team, with former CEO Calvin McDonald (2011</w:t>
      </w:r>
      <w:r w:rsidR="00BF19B1">
        <w:rPr>
          <w:color w:val="000000"/>
          <w:sz w:val="22"/>
          <w:szCs w:val="22"/>
          <w:lang w:val="en-GB"/>
        </w:rPr>
        <w:t>–</w:t>
      </w:r>
      <w:r w:rsidRPr="003D519C">
        <w:rPr>
          <w:color w:val="000000"/>
          <w:sz w:val="22"/>
          <w:szCs w:val="22"/>
          <w:lang w:val="en-GB"/>
        </w:rPr>
        <w:t>2013) abruptly stepping down from the position in the middle of a three-year turnover strategy, and former CEOs</w:t>
      </w:r>
      <w:r w:rsidR="003D519C" w:rsidRPr="003D519C">
        <w:rPr>
          <w:color w:val="000000"/>
          <w:sz w:val="22"/>
          <w:szCs w:val="22"/>
          <w:lang w:val="en-GB"/>
        </w:rPr>
        <w:t xml:space="preserve"> </w:t>
      </w:r>
      <w:r w:rsidRPr="003D519C">
        <w:rPr>
          <w:color w:val="000000"/>
          <w:sz w:val="22"/>
          <w:szCs w:val="22"/>
          <w:lang w:val="en-GB"/>
        </w:rPr>
        <w:t>Douglas C. Campbell (2013</w:t>
      </w:r>
      <w:r w:rsidR="00BF19B1">
        <w:rPr>
          <w:color w:val="000000"/>
          <w:sz w:val="22"/>
          <w:szCs w:val="22"/>
          <w:lang w:val="en-GB"/>
        </w:rPr>
        <w:t>–</w:t>
      </w:r>
      <w:r w:rsidRPr="003D519C">
        <w:rPr>
          <w:color w:val="000000"/>
          <w:sz w:val="22"/>
          <w:szCs w:val="22"/>
          <w:lang w:val="en-GB"/>
        </w:rPr>
        <w:t xml:space="preserve">2014) and Ronald </w:t>
      </w:r>
      <w:proofErr w:type="spellStart"/>
      <w:r w:rsidRPr="003D519C">
        <w:rPr>
          <w:color w:val="000000"/>
          <w:sz w:val="22"/>
          <w:szCs w:val="22"/>
          <w:lang w:val="en-GB"/>
        </w:rPr>
        <w:t>Boire</w:t>
      </w:r>
      <w:proofErr w:type="spellEnd"/>
      <w:r w:rsidRPr="003D519C">
        <w:rPr>
          <w:color w:val="000000"/>
          <w:sz w:val="22"/>
          <w:szCs w:val="22"/>
          <w:lang w:val="en-GB"/>
        </w:rPr>
        <w:t xml:space="preserve"> (2014</w:t>
      </w:r>
      <w:r w:rsidR="00BF19B1">
        <w:rPr>
          <w:color w:val="000000"/>
          <w:sz w:val="22"/>
          <w:szCs w:val="22"/>
          <w:lang w:val="en-GB"/>
        </w:rPr>
        <w:t>–</w:t>
      </w:r>
      <w:r w:rsidRPr="003D519C">
        <w:rPr>
          <w:color w:val="000000"/>
          <w:sz w:val="22"/>
          <w:szCs w:val="22"/>
          <w:lang w:val="en-GB"/>
        </w:rPr>
        <w:t>2015) each spending only a year in the position.</w:t>
      </w:r>
      <w:r w:rsidRPr="003D519C">
        <w:rPr>
          <w:color w:val="000000"/>
          <w:sz w:val="22"/>
          <w:szCs w:val="22"/>
          <w:vertAlign w:val="superscript"/>
          <w:lang w:val="en-GB"/>
        </w:rPr>
        <w:endnoteReference w:id="46"/>
      </w:r>
      <w:r w:rsidRPr="003D519C">
        <w:rPr>
          <w:color w:val="000000"/>
          <w:sz w:val="22"/>
          <w:szCs w:val="22"/>
          <w:lang w:val="en-GB"/>
        </w:rPr>
        <w:t xml:space="preserve"> Although Sears made considerable efforts to stay solvent, including the sale of three leases to Cadillac Fairview </w:t>
      </w:r>
      <w:r w:rsidR="00127054">
        <w:rPr>
          <w:color w:val="000000"/>
          <w:sz w:val="22"/>
          <w:szCs w:val="22"/>
          <w:lang w:val="en-GB"/>
        </w:rPr>
        <w:t xml:space="preserve">Corporation Ltd. </w:t>
      </w:r>
      <w:r w:rsidRPr="003D519C">
        <w:rPr>
          <w:color w:val="000000"/>
          <w:sz w:val="22"/>
          <w:szCs w:val="22"/>
          <w:lang w:val="en-GB"/>
        </w:rPr>
        <w:t>in 2012</w:t>
      </w:r>
      <w:r w:rsidRPr="003D519C">
        <w:rPr>
          <w:color w:val="000000"/>
          <w:sz w:val="22"/>
          <w:szCs w:val="22"/>
          <w:vertAlign w:val="superscript"/>
          <w:lang w:val="en-GB"/>
        </w:rPr>
        <w:endnoteReference w:id="47"/>
      </w:r>
      <w:r w:rsidRPr="003D519C">
        <w:rPr>
          <w:color w:val="000000"/>
          <w:sz w:val="22"/>
          <w:szCs w:val="22"/>
          <w:lang w:val="en-GB"/>
        </w:rPr>
        <w:t xml:space="preserve"> and a rebranding in 2016</w:t>
      </w:r>
      <w:r w:rsidR="00111936" w:rsidRPr="003D519C">
        <w:rPr>
          <w:color w:val="000000"/>
          <w:sz w:val="22"/>
          <w:szCs w:val="22"/>
          <w:lang w:val="en-GB"/>
        </w:rPr>
        <w:t>,</w:t>
      </w:r>
      <w:r w:rsidRPr="003D519C">
        <w:rPr>
          <w:color w:val="000000"/>
          <w:sz w:val="22"/>
          <w:szCs w:val="22"/>
          <w:vertAlign w:val="superscript"/>
          <w:lang w:val="en-GB"/>
        </w:rPr>
        <w:endnoteReference w:id="48"/>
      </w:r>
      <w:r w:rsidRPr="003D519C">
        <w:rPr>
          <w:color w:val="000000"/>
          <w:sz w:val="22"/>
          <w:szCs w:val="22"/>
          <w:lang w:val="en-GB"/>
        </w:rPr>
        <w:t xml:space="preserve"> the company continued to face financial difficulties in the years preceding 2017.</w:t>
      </w:r>
      <w:r w:rsidR="003D519C" w:rsidRPr="003D519C">
        <w:rPr>
          <w:color w:val="000000"/>
          <w:sz w:val="22"/>
          <w:szCs w:val="22"/>
          <w:lang w:val="en-GB"/>
        </w:rPr>
        <w:t xml:space="preserve"> </w:t>
      </w:r>
    </w:p>
    <w:p w14:paraId="6DBE729F"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3E4029BC" w14:textId="3BEEDACD" w:rsidR="00FB7D48" w:rsidRPr="003D519C" w:rsidRDefault="00BF19B1" w:rsidP="003D519C">
      <w:pPr>
        <w:pBdr>
          <w:top w:val="nil"/>
          <w:left w:val="nil"/>
          <w:bottom w:val="nil"/>
          <w:right w:val="nil"/>
          <w:between w:val="nil"/>
        </w:pBdr>
        <w:jc w:val="both"/>
        <w:rPr>
          <w:color w:val="000000"/>
          <w:sz w:val="22"/>
          <w:szCs w:val="22"/>
          <w:lang w:val="en-GB"/>
        </w:rPr>
      </w:pPr>
      <w:r>
        <w:rPr>
          <w:color w:val="000000"/>
          <w:sz w:val="22"/>
          <w:szCs w:val="22"/>
          <w:lang w:val="en-GB"/>
        </w:rPr>
        <w:t xml:space="preserve">Then came </w:t>
      </w:r>
      <w:r w:rsidR="00FB7D48" w:rsidRPr="003D519C">
        <w:rPr>
          <w:color w:val="000000"/>
          <w:sz w:val="22"/>
          <w:szCs w:val="22"/>
          <w:lang w:val="en-GB"/>
        </w:rPr>
        <w:t>2017</w:t>
      </w:r>
      <w:r>
        <w:rPr>
          <w:color w:val="000000"/>
          <w:sz w:val="22"/>
          <w:szCs w:val="22"/>
          <w:lang w:val="en-GB"/>
        </w:rPr>
        <w:t>, which</w:t>
      </w:r>
      <w:r w:rsidR="00FB7D48" w:rsidRPr="003D519C">
        <w:rPr>
          <w:color w:val="000000"/>
          <w:sz w:val="22"/>
          <w:szCs w:val="22"/>
          <w:lang w:val="en-GB"/>
        </w:rPr>
        <w:t xml:space="preserve"> represented the culmination of years of financial struggles for the company. Sales ha</w:t>
      </w:r>
      <w:r w:rsidR="00111936" w:rsidRPr="003D519C">
        <w:rPr>
          <w:color w:val="000000"/>
          <w:sz w:val="22"/>
          <w:szCs w:val="22"/>
          <w:lang w:val="en-GB"/>
        </w:rPr>
        <w:t>d declined from $6.7 billion in 2001 to $2.6 billion</w:t>
      </w:r>
      <w:r w:rsidR="00FB7D48" w:rsidRPr="003D519C">
        <w:rPr>
          <w:color w:val="000000"/>
          <w:sz w:val="22"/>
          <w:szCs w:val="22"/>
          <w:lang w:val="en-GB"/>
        </w:rPr>
        <w:t xml:space="preserve"> in 2016, primarily due to the company’s failure to adapt to the changing retail landscape, specifically in the e</w:t>
      </w:r>
      <w:r w:rsidR="003B1D65">
        <w:rPr>
          <w:color w:val="000000"/>
          <w:sz w:val="22"/>
          <w:szCs w:val="22"/>
          <w:lang w:val="en-GB"/>
        </w:rPr>
        <w:t>-</w:t>
      </w:r>
      <w:r w:rsidR="00FB7D48" w:rsidRPr="003D519C">
        <w:rPr>
          <w:color w:val="000000"/>
          <w:sz w:val="22"/>
          <w:szCs w:val="22"/>
          <w:lang w:val="en-GB"/>
        </w:rPr>
        <w:t>commerce arena.</w:t>
      </w:r>
      <w:r w:rsidR="00FB7D48" w:rsidRPr="003D519C">
        <w:rPr>
          <w:color w:val="000000"/>
          <w:sz w:val="22"/>
          <w:szCs w:val="22"/>
          <w:vertAlign w:val="superscript"/>
          <w:lang w:val="en-GB"/>
        </w:rPr>
        <w:endnoteReference w:id="49"/>
      </w:r>
      <w:r w:rsidR="00FB7D48" w:rsidRPr="003D519C">
        <w:rPr>
          <w:color w:val="000000"/>
          <w:sz w:val="22"/>
          <w:szCs w:val="22"/>
          <w:lang w:val="en-GB"/>
        </w:rPr>
        <w:t xml:space="preserve"> Sears began the 2017 fiscal year by reco</w:t>
      </w:r>
      <w:r w:rsidR="00111936" w:rsidRPr="003D519C">
        <w:rPr>
          <w:color w:val="000000"/>
          <w:sz w:val="22"/>
          <w:szCs w:val="22"/>
          <w:lang w:val="en-GB"/>
        </w:rPr>
        <w:t>rding a loss of $144 million</w:t>
      </w:r>
      <w:r w:rsidR="00FB7D48" w:rsidRPr="003D519C">
        <w:rPr>
          <w:color w:val="000000"/>
          <w:sz w:val="22"/>
          <w:szCs w:val="22"/>
          <w:lang w:val="en-GB"/>
        </w:rPr>
        <w:t>, with top management voicing strong concerns for the liquidity of the company in the Q1 report.</w:t>
      </w:r>
      <w:r w:rsidR="00FB7D48" w:rsidRPr="003D519C">
        <w:rPr>
          <w:color w:val="000000"/>
          <w:sz w:val="22"/>
          <w:szCs w:val="22"/>
          <w:vertAlign w:val="superscript"/>
          <w:lang w:val="en-GB"/>
        </w:rPr>
        <w:endnoteReference w:id="50"/>
      </w:r>
      <w:r w:rsidR="00FB7D48" w:rsidRPr="003D519C">
        <w:rPr>
          <w:color w:val="000000"/>
          <w:sz w:val="22"/>
          <w:szCs w:val="22"/>
          <w:lang w:val="en-GB"/>
        </w:rPr>
        <w:t xml:space="preserve"> Financial struggles worsened with the June 2017 announcement of the closure of 59 stores and the layoffs of 2,900 employees without severance in a court-supervised restructuring.</w:t>
      </w:r>
      <w:r w:rsidR="00FB7D48" w:rsidRPr="003D519C">
        <w:rPr>
          <w:color w:val="000000"/>
          <w:sz w:val="22"/>
          <w:szCs w:val="22"/>
          <w:vertAlign w:val="superscript"/>
          <w:lang w:val="en-GB"/>
        </w:rPr>
        <w:endnoteReference w:id="51"/>
      </w:r>
      <w:r w:rsidR="00FB7D48" w:rsidRPr="003D519C">
        <w:rPr>
          <w:color w:val="000000"/>
          <w:sz w:val="22"/>
          <w:szCs w:val="22"/>
          <w:lang w:val="en-GB"/>
        </w:rPr>
        <w:t xml:space="preserve"> Liquidation sales at these locations began </w:t>
      </w:r>
      <w:r w:rsidR="00796D32">
        <w:rPr>
          <w:color w:val="000000"/>
          <w:sz w:val="22"/>
          <w:szCs w:val="22"/>
          <w:lang w:val="en-GB"/>
        </w:rPr>
        <w:t xml:space="preserve">in </w:t>
      </w:r>
      <w:r w:rsidR="00FB7D48" w:rsidRPr="003D519C">
        <w:rPr>
          <w:color w:val="000000"/>
          <w:sz w:val="22"/>
          <w:szCs w:val="22"/>
          <w:lang w:val="en-GB"/>
        </w:rPr>
        <w:t xml:space="preserve">mid-July, and as of October 2017, the company requested court approval to liquidate its remaining locations, </w:t>
      </w:r>
      <w:r w:rsidR="00796D32">
        <w:rPr>
          <w:color w:val="000000"/>
          <w:sz w:val="22"/>
          <w:szCs w:val="22"/>
          <w:lang w:val="en-GB"/>
        </w:rPr>
        <w:t>leaving</w:t>
      </w:r>
      <w:r w:rsidR="00FB7D48" w:rsidRPr="003D519C">
        <w:rPr>
          <w:color w:val="000000"/>
          <w:sz w:val="22"/>
          <w:szCs w:val="22"/>
          <w:lang w:val="en-GB"/>
        </w:rPr>
        <w:t xml:space="preserve"> 12,000 employees without job</w:t>
      </w:r>
      <w:r w:rsidR="00796D32">
        <w:rPr>
          <w:color w:val="000000"/>
          <w:sz w:val="22"/>
          <w:szCs w:val="22"/>
          <w:lang w:val="en-GB"/>
        </w:rPr>
        <w:t>s</w:t>
      </w:r>
      <w:r w:rsidR="00FB7D48" w:rsidRPr="003D519C">
        <w:rPr>
          <w:color w:val="000000"/>
          <w:sz w:val="22"/>
          <w:szCs w:val="22"/>
          <w:lang w:val="en-GB"/>
        </w:rPr>
        <w:t>.</w:t>
      </w:r>
      <w:r w:rsidR="00FB7D48" w:rsidRPr="003D519C">
        <w:rPr>
          <w:color w:val="000000"/>
          <w:sz w:val="22"/>
          <w:szCs w:val="22"/>
          <w:vertAlign w:val="superscript"/>
          <w:lang w:val="en-GB"/>
        </w:rPr>
        <w:endnoteReference w:id="52"/>
      </w:r>
      <w:r w:rsidR="00FB7D48" w:rsidRPr="003D519C">
        <w:rPr>
          <w:color w:val="000000"/>
          <w:sz w:val="22"/>
          <w:szCs w:val="22"/>
          <w:lang w:val="en-GB"/>
        </w:rPr>
        <w:t xml:space="preserve"> It was clear that Sears had been unable to </w:t>
      </w:r>
      <w:r w:rsidR="00796D32">
        <w:rPr>
          <w:color w:val="000000"/>
          <w:sz w:val="22"/>
          <w:szCs w:val="22"/>
          <w:lang w:val="en-GB"/>
        </w:rPr>
        <w:t>adapt</w:t>
      </w:r>
      <w:r w:rsidR="00FB7D48" w:rsidRPr="003D519C">
        <w:rPr>
          <w:color w:val="000000"/>
          <w:sz w:val="22"/>
          <w:szCs w:val="22"/>
          <w:lang w:val="en-GB"/>
        </w:rPr>
        <w:t xml:space="preserve"> its role as a mail-order retailer to the e</w:t>
      </w:r>
      <w:r w:rsidR="003B1D65">
        <w:rPr>
          <w:color w:val="000000"/>
          <w:sz w:val="22"/>
          <w:szCs w:val="22"/>
          <w:lang w:val="en-GB"/>
        </w:rPr>
        <w:t>-</w:t>
      </w:r>
      <w:r w:rsidR="00FB7D48" w:rsidRPr="003D519C">
        <w:rPr>
          <w:color w:val="000000"/>
          <w:sz w:val="22"/>
          <w:szCs w:val="22"/>
          <w:lang w:val="en-GB"/>
        </w:rPr>
        <w:t>commerce arena.</w:t>
      </w:r>
    </w:p>
    <w:p w14:paraId="58363C91" w14:textId="048500A4" w:rsidR="00FB7D48" w:rsidRPr="003D519C" w:rsidRDefault="00FB7D48" w:rsidP="00E23C32">
      <w:pPr>
        <w:pStyle w:val="Casehead2"/>
        <w:keepNext/>
        <w:rPr>
          <w:lang w:val="en-GB"/>
        </w:rPr>
      </w:pPr>
      <w:r w:rsidRPr="003D519C">
        <w:rPr>
          <w:lang w:val="en-GB"/>
        </w:rPr>
        <w:lastRenderedPageBreak/>
        <w:t xml:space="preserve">Nordstrom </w:t>
      </w:r>
      <w:r w:rsidR="00127054">
        <w:rPr>
          <w:lang w:val="en-GB"/>
        </w:rPr>
        <w:t>Canada</w:t>
      </w:r>
    </w:p>
    <w:p w14:paraId="33BE70ED" w14:textId="77777777" w:rsidR="00FB7D48" w:rsidRPr="00E23C32" w:rsidRDefault="00FB7D48" w:rsidP="00E23C32">
      <w:pPr>
        <w:keepNext/>
        <w:pBdr>
          <w:top w:val="nil"/>
          <w:left w:val="nil"/>
          <w:bottom w:val="nil"/>
          <w:right w:val="nil"/>
          <w:between w:val="nil"/>
        </w:pBdr>
        <w:jc w:val="both"/>
        <w:rPr>
          <w:color w:val="000000"/>
          <w:sz w:val="18"/>
          <w:szCs w:val="18"/>
          <w:lang w:val="en-GB"/>
        </w:rPr>
      </w:pPr>
    </w:p>
    <w:p w14:paraId="2BFEFD4E" w14:textId="7D9B1CA7" w:rsidR="00FB7D48" w:rsidRPr="003D519C" w:rsidRDefault="00FB7D48" w:rsidP="00E23C32">
      <w:pPr>
        <w:keepNext/>
        <w:pBdr>
          <w:top w:val="nil"/>
          <w:left w:val="nil"/>
          <w:bottom w:val="nil"/>
          <w:right w:val="nil"/>
          <w:between w:val="nil"/>
        </w:pBdr>
        <w:jc w:val="both"/>
        <w:rPr>
          <w:color w:val="000000"/>
          <w:sz w:val="22"/>
          <w:szCs w:val="22"/>
          <w:lang w:val="en-GB"/>
        </w:rPr>
      </w:pPr>
      <w:r w:rsidRPr="003D519C">
        <w:rPr>
          <w:color w:val="000000"/>
          <w:sz w:val="22"/>
          <w:szCs w:val="22"/>
          <w:lang w:val="en-GB"/>
        </w:rPr>
        <w:t>While other companies struggled, Nordstrom emerged as a leader in the Canadian retail space.</w:t>
      </w:r>
      <w:r w:rsidRPr="003D519C">
        <w:rPr>
          <w:color w:val="000000"/>
          <w:sz w:val="22"/>
          <w:szCs w:val="22"/>
          <w:vertAlign w:val="superscript"/>
          <w:lang w:val="en-GB"/>
        </w:rPr>
        <w:endnoteReference w:id="53"/>
      </w:r>
      <w:r w:rsidRPr="003D519C">
        <w:rPr>
          <w:color w:val="000000"/>
          <w:sz w:val="22"/>
          <w:szCs w:val="22"/>
          <w:lang w:val="en-GB"/>
        </w:rPr>
        <w:t xml:space="preserve"> Unlike Sears and HBC, the company’s </w:t>
      </w:r>
      <w:r w:rsidR="00796D32">
        <w:rPr>
          <w:color w:val="000000"/>
          <w:sz w:val="22"/>
          <w:szCs w:val="22"/>
          <w:lang w:val="en-GB"/>
        </w:rPr>
        <w:t>third-</w:t>
      </w:r>
      <w:r w:rsidR="00876B9D">
        <w:rPr>
          <w:color w:val="000000"/>
          <w:sz w:val="22"/>
          <w:szCs w:val="22"/>
          <w:lang w:val="en-GB"/>
        </w:rPr>
        <w:t>quarter (</w:t>
      </w:r>
      <w:r w:rsidRPr="003D519C">
        <w:rPr>
          <w:color w:val="000000"/>
          <w:sz w:val="22"/>
          <w:szCs w:val="22"/>
          <w:lang w:val="en-GB"/>
        </w:rPr>
        <w:t>Q3</w:t>
      </w:r>
      <w:r w:rsidR="00876B9D">
        <w:rPr>
          <w:color w:val="000000"/>
          <w:sz w:val="22"/>
          <w:szCs w:val="22"/>
          <w:lang w:val="en-GB"/>
        </w:rPr>
        <w:t>)</w:t>
      </w:r>
      <w:r w:rsidRPr="003D519C">
        <w:rPr>
          <w:color w:val="000000"/>
          <w:sz w:val="22"/>
          <w:szCs w:val="22"/>
          <w:lang w:val="en-GB"/>
        </w:rPr>
        <w:t xml:space="preserve"> 2017 earnings were positi</w:t>
      </w:r>
      <w:r w:rsidR="00111936" w:rsidRPr="003D519C">
        <w:rPr>
          <w:color w:val="000000"/>
          <w:sz w:val="22"/>
          <w:szCs w:val="22"/>
          <w:lang w:val="en-GB"/>
        </w:rPr>
        <w:t xml:space="preserve">ve, with net sales increasing </w:t>
      </w:r>
      <w:r w:rsidR="00796D32" w:rsidRPr="003D519C">
        <w:rPr>
          <w:color w:val="000000"/>
          <w:sz w:val="22"/>
          <w:szCs w:val="22"/>
          <w:lang w:val="en-GB"/>
        </w:rPr>
        <w:t>2</w:t>
      </w:r>
      <w:r w:rsidR="00796D32">
        <w:rPr>
          <w:color w:val="000000"/>
          <w:sz w:val="22"/>
          <w:szCs w:val="22"/>
          <w:lang w:val="en-GB"/>
        </w:rPr>
        <w:t> </w:t>
      </w:r>
      <w:r w:rsidR="00111936" w:rsidRPr="003D519C">
        <w:rPr>
          <w:color w:val="000000"/>
          <w:sz w:val="22"/>
          <w:szCs w:val="22"/>
          <w:lang w:val="en-GB"/>
        </w:rPr>
        <w:t>per cent</w:t>
      </w:r>
      <w:r w:rsidRPr="003D519C">
        <w:rPr>
          <w:color w:val="000000"/>
          <w:sz w:val="22"/>
          <w:szCs w:val="22"/>
          <w:lang w:val="en-GB"/>
        </w:rPr>
        <w:t xml:space="preserve"> over the same period in the previous year.</w:t>
      </w:r>
      <w:r w:rsidRPr="003D519C">
        <w:rPr>
          <w:color w:val="000000"/>
          <w:sz w:val="22"/>
          <w:szCs w:val="22"/>
          <w:vertAlign w:val="superscript"/>
          <w:lang w:val="en-GB"/>
        </w:rPr>
        <w:endnoteReference w:id="54"/>
      </w:r>
      <w:r w:rsidRPr="003D519C">
        <w:rPr>
          <w:color w:val="000000"/>
          <w:sz w:val="22"/>
          <w:szCs w:val="22"/>
          <w:lang w:val="en-GB"/>
        </w:rPr>
        <w:t xml:space="preserve"> Nordstrom entered the Canadian market in the immediate wake of Target’s failure in 2014, allowing the U</w:t>
      </w:r>
      <w:r w:rsidR="00876B9D">
        <w:rPr>
          <w:color w:val="000000"/>
          <w:sz w:val="22"/>
          <w:szCs w:val="22"/>
          <w:lang w:val="en-GB"/>
        </w:rPr>
        <w:t>.</w:t>
      </w:r>
      <w:r w:rsidRPr="003D519C">
        <w:rPr>
          <w:color w:val="000000"/>
          <w:sz w:val="22"/>
          <w:szCs w:val="22"/>
          <w:lang w:val="en-GB"/>
        </w:rPr>
        <w:t>S</w:t>
      </w:r>
      <w:r w:rsidR="00876B9D">
        <w:rPr>
          <w:color w:val="000000"/>
          <w:sz w:val="22"/>
          <w:szCs w:val="22"/>
          <w:lang w:val="en-GB"/>
        </w:rPr>
        <w:t>.</w:t>
      </w:r>
      <w:r w:rsidRPr="003D519C">
        <w:rPr>
          <w:color w:val="000000"/>
          <w:sz w:val="22"/>
          <w:szCs w:val="22"/>
          <w:lang w:val="en-GB"/>
        </w:rPr>
        <w:t xml:space="preserve"> retailer to learn from Target’s mistakes.</w:t>
      </w:r>
      <w:r w:rsidRPr="003D519C">
        <w:rPr>
          <w:color w:val="000000"/>
          <w:sz w:val="22"/>
          <w:szCs w:val="22"/>
          <w:vertAlign w:val="superscript"/>
          <w:lang w:val="en-GB"/>
        </w:rPr>
        <w:endnoteReference w:id="55"/>
      </w:r>
      <w:r w:rsidRPr="003D519C">
        <w:rPr>
          <w:color w:val="000000"/>
          <w:sz w:val="22"/>
          <w:szCs w:val="22"/>
          <w:lang w:val="en-GB"/>
        </w:rPr>
        <w:t xml:space="preserve"> Target introduced 124 locations in mid-2013, prompting complaints of empty shelves and high prices, resulting in its swift exit from the Canadian market within two years of its entrance.</w:t>
      </w:r>
      <w:r w:rsidRPr="003D519C">
        <w:rPr>
          <w:color w:val="000000"/>
          <w:sz w:val="22"/>
          <w:szCs w:val="22"/>
          <w:vertAlign w:val="superscript"/>
          <w:lang w:val="en-GB"/>
        </w:rPr>
        <w:endnoteReference w:id="56"/>
      </w:r>
      <w:r w:rsidRPr="003D519C">
        <w:rPr>
          <w:color w:val="000000"/>
          <w:sz w:val="22"/>
          <w:szCs w:val="22"/>
          <w:lang w:val="en-GB"/>
        </w:rPr>
        <w:t xml:space="preserve"> Nordstrom, in contrast, chose a slow-and-steady approach, choosing to introduce its first six stores over two</w:t>
      </w:r>
      <w:r w:rsidR="00876B9D">
        <w:rPr>
          <w:color w:val="000000"/>
          <w:sz w:val="22"/>
          <w:szCs w:val="22"/>
          <w:lang w:val="en-GB"/>
        </w:rPr>
        <w:t>-</w:t>
      </w:r>
      <w:r w:rsidRPr="003D519C">
        <w:rPr>
          <w:color w:val="000000"/>
          <w:sz w:val="22"/>
          <w:szCs w:val="22"/>
          <w:lang w:val="en-GB"/>
        </w:rPr>
        <w:t>and</w:t>
      </w:r>
      <w:r w:rsidR="00876B9D">
        <w:rPr>
          <w:color w:val="000000"/>
          <w:sz w:val="22"/>
          <w:szCs w:val="22"/>
          <w:lang w:val="en-GB"/>
        </w:rPr>
        <w:t>-</w:t>
      </w:r>
      <w:r w:rsidRPr="003D519C">
        <w:rPr>
          <w:color w:val="000000"/>
          <w:sz w:val="22"/>
          <w:szCs w:val="22"/>
          <w:lang w:val="en-GB"/>
        </w:rPr>
        <w:t>a</w:t>
      </w:r>
      <w:r w:rsidR="00876B9D">
        <w:rPr>
          <w:color w:val="000000"/>
          <w:sz w:val="22"/>
          <w:szCs w:val="22"/>
          <w:lang w:val="en-GB"/>
        </w:rPr>
        <w:t>-</w:t>
      </w:r>
      <w:r w:rsidRPr="003D519C">
        <w:rPr>
          <w:color w:val="000000"/>
          <w:sz w:val="22"/>
          <w:szCs w:val="22"/>
          <w:lang w:val="en-GB"/>
        </w:rPr>
        <w:t xml:space="preserve">half years in </w:t>
      </w:r>
      <w:r w:rsidR="00876B9D">
        <w:rPr>
          <w:color w:val="000000"/>
          <w:sz w:val="22"/>
          <w:szCs w:val="22"/>
          <w:lang w:val="en-GB"/>
        </w:rPr>
        <w:t>an attempt</w:t>
      </w:r>
      <w:r w:rsidR="00876B9D" w:rsidRPr="003D519C">
        <w:rPr>
          <w:color w:val="000000"/>
          <w:sz w:val="22"/>
          <w:szCs w:val="22"/>
          <w:lang w:val="en-GB"/>
        </w:rPr>
        <w:t xml:space="preserve"> </w:t>
      </w:r>
      <w:r w:rsidRPr="003D519C">
        <w:rPr>
          <w:color w:val="000000"/>
          <w:sz w:val="22"/>
          <w:szCs w:val="22"/>
          <w:lang w:val="en-GB"/>
        </w:rPr>
        <w:t>to ensure that the company fully understood the Canadian retail environment.</w:t>
      </w:r>
      <w:r w:rsidRPr="003D519C">
        <w:rPr>
          <w:color w:val="000000"/>
          <w:sz w:val="22"/>
          <w:szCs w:val="22"/>
          <w:vertAlign w:val="superscript"/>
          <w:lang w:val="en-GB"/>
        </w:rPr>
        <w:endnoteReference w:id="57"/>
      </w:r>
      <w:r w:rsidRPr="003D519C">
        <w:rPr>
          <w:color w:val="000000"/>
          <w:sz w:val="22"/>
          <w:szCs w:val="22"/>
          <w:lang w:val="en-GB"/>
        </w:rPr>
        <w:t xml:space="preserve"> </w:t>
      </w:r>
    </w:p>
    <w:p w14:paraId="70485E91"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2360DA96" w14:textId="6954F848" w:rsidR="00FB7D48" w:rsidRPr="00E23C32" w:rsidRDefault="00FB7D48" w:rsidP="003D519C">
      <w:pPr>
        <w:pBdr>
          <w:top w:val="nil"/>
          <w:left w:val="nil"/>
          <w:bottom w:val="nil"/>
          <w:right w:val="nil"/>
          <w:between w:val="nil"/>
        </w:pBdr>
        <w:jc w:val="both"/>
        <w:rPr>
          <w:color w:val="000000"/>
          <w:spacing w:val="-2"/>
          <w:kern w:val="22"/>
          <w:sz w:val="22"/>
          <w:szCs w:val="22"/>
          <w:lang w:val="en-GB"/>
        </w:rPr>
      </w:pPr>
      <w:r w:rsidRPr="00E23C32">
        <w:rPr>
          <w:color w:val="000000"/>
          <w:spacing w:val="-2"/>
          <w:kern w:val="22"/>
          <w:sz w:val="22"/>
          <w:szCs w:val="22"/>
          <w:lang w:val="en-GB"/>
        </w:rPr>
        <w:t>Known for its exceptional customer service</w:t>
      </w:r>
      <w:r w:rsidR="00111936" w:rsidRPr="00E23C32">
        <w:rPr>
          <w:color w:val="000000"/>
          <w:spacing w:val="-2"/>
          <w:kern w:val="22"/>
          <w:sz w:val="22"/>
          <w:szCs w:val="22"/>
          <w:lang w:val="en-GB"/>
        </w:rPr>
        <w:t>,</w:t>
      </w:r>
      <w:r w:rsidRPr="00E23C32">
        <w:rPr>
          <w:color w:val="000000"/>
          <w:spacing w:val="-2"/>
          <w:kern w:val="22"/>
          <w:sz w:val="22"/>
          <w:szCs w:val="22"/>
          <w:vertAlign w:val="superscript"/>
          <w:lang w:val="en-GB"/>
        </w:rPr>
        <w:endnoteReference w:id="58"/>
      </w:r>
      <w:r w:rsidRPr="00E23C32">
        <w:rPr>
          <w:color w:val="000000"/>
          <w:spacing w:val="-2"/>
          <w:kern w:val="22"/>
          <w:sz w:val="22"/>
          <w:szCs w:val="22"/>
          <w:lang w:val="en-GB"/>
        </w:rPr>
        <w:t xml:space="preserve"> Nordstrom further experimented in the retail sphere to stay at the forefront of the industry, introducing variations on </w:t>
      </w:r>
      <w:r w:rsidR="00876B9D" w:rsidRPr="00E23C32">
        <w:rPr>
          <w:color w:val="000000"/>
          <w:spacing w:val="-2"/>
          <w:kern w:val="22"/>
          <w:sz w:val="22"/>
          <w:szCs w:val="22"/>
          <w:lang w:val="en-GB"/>
        </w:rPr>
        <w:t xml:space="preserve">its </w:t>
      </w:r>
      <w:r w:rsidRPr="00E23C32">
        <w:rPr>
          <w:color w:val="000000"/>
          <w:spacing w:val="-2"/>
          <w:kern w:val="22"/>
          <w:sz w:val="22"/>
          <w:szCs w:val="22"/>
          <w:lang w:val="en-GB"/>
        </w:rPr>
        <w:t>traditional department store offerings such as Nordstrom Rack, which offered discounted luxury goods</w:t>
      </w:r>
      <w:r w:rsidR="00111936" w:rsidRPr="00E23C32">
        <w:rPr>
          <w:color w:val="000000"/>
          <w:spacing w:val="-2"/>
          <w:kern w:val="22"/>
          <w:sz w:val="22"/>
          <w:szCs w:val="22"/>
          <w:lang w:val="en-GB"/>
        </w:rPr>
        <w:t>,</w:t>
      </w:r>
      <w:r w:rsidRPr="00E23C32">
        <w:rPr>
          <w:color w:val="000000"/>
          <w:spacing w:val="-2"/>
          <w:kern w:val="22"/>
          <w:sz w:val="22"/>
          <w:szCs w:val="22"/>
          <w:vertAlign w:val="superscript"/>
          <w:lang w:val="en-GB"/>
        </w:rPr>
        <w:endnoteReference w:id="59"/>
      </w:r>
      <w:r w:rsidRPr="00E23C32">
        <w:rPr>
          <w:color w:val="000000"/>
          <w:spacing w:val="-2"/>
          <w:kern w:val="22"/>
          <w:sz w:val="22"/>
          <w:szCs w:val="22"/>
          <w:lang w:val="en-GB"/>
        </w:rPr>
        <w:t xml:space="preserve"> and Nordstrom Local, which were stores without inventory, where personal stylists were employed to curate and acquire outfits for shoppers.</w:t>
      </w:r>
      <w:r w:rsidRPr="00E23C32">
        <w:rPr>
          <w:color w:val="000000"/>
          <w:spacing w:val="-2"/>
          <w:kern w:val="22"/>
          <w:sz w:val="22"/>
          <w:szCs w:val="22"/>
          <w:vertAlign w:val="superscript"/>
          <w:lang w:val="en-GB"/>
        </w:rPr>
        <w:endnoteReference w:id="60"/>
      </w:r>
      <w:r w:rsidRPr="00E23C32">
        <w:rPr>
          <w:color w:val="000000"/>
          <w:spacing w:val="-2"/>
          <w:kern w:val="22"/>
          <w:sz w:val="22"/>
          <w:szCs w:val="22"/>
          <w:lang w:val="en-GB"/>
        </w:rPr>
        <w:t xml:space="preserve"> The company also allowed customers to buy products online and pick up the orders in-store, providing a further diversified experience for their consumer base.</w:t>
      </w:r>
      <w:r w:rsidRPr="00E23C32">
        <w:rPr>
          <w:color w:val="000000"/>
          <w:spacing w:val="-2"/>
          <w:kern w:val="22"/>
          <w:sz w:val="22"/>
          <w:szCs w:val="22"/>
          <w:vertAlign w:val="superscript"/>
          <w:lang w:val="en-GB"/>
        </w:rPr>
        <w:endnoteReference w:id="61"/>
      </w:r>
      <w:r w:rsidRPr="00E23C32">
        <w:rPr>
          <w:color w:val="000000"/>
          <w:spacing w:val="-2"/>
          <w:kern w:val="22"/>
          <w:sz w:val="22"/>
          <w:szCs w:val="22"/>
          <w:lang w:val="en-GB"/>
        </w:rPr>
        <w:t xml:space="preserve"> As a result of these initiatives, Nordstrom had shown a unique ability to stay abreast of industry developments and successfully adjust to the demands of a dynamic retail environment.</w:t>
      </w:r>
    </w:p>
    <w:p w14:paraId="55AE7459"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20B25B97"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757080DA" w14:textId="77777777" w:rsidR="00FB7D48" w:rsidRPr="003D519C" w:rsidRDefault="00FB7D48" w:rsidP="003D519C">
      <w:pPr>
        <w:pBdr>
          <w:top w:val="nil"/>
          <w:left w:val="nil"/>
          <w:bottom w:val="nil"/>
          <w:right w:val="nil"/>
          <w:between w:val="nil"/>
        </w:pBdr>
        <w:jc w:val="both"/>
        <w:rPr>
          <w:color w:val="000000"/>
          <w:sz w:val="22"/>
          <w:szCs w:val="22"/>
          <w:lang w:val="en-GB"/>
        </w:rPr>
      </w:pPr>
      <w:r w:rsidRPr="003D519C">
        <w:rPr>
          <w:rFonts w:ascii="Arial" w:eastAsia="Arial" w:hAnsi="Arial" w:cs="Arial"/>
          <w:b/>
          <w:color w:val="000000"/>
          <w:lang w:val="en-GB"/>
        </w:rPr>
        <w:t xml:space="preserve">THE ONLINE THREAT </w:t>
      </w:r>
    </w:p>
    <w:p w14:paraId="780C1298"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0232448A" w14:textId="3EBEBBAC" w:rsidR="00FB7D48" w:rsidRPr="00E23C32" w:rsidRDefault="00FB7D48" w:rsidP="003D519C">
      <w:pPr>
        <w:pBdr>
          <w:top w:val="nil"/>
          <w:left w:val="nil"/>
          <w:bottom w:val="nil"/>
          <w:right w:val="nil"/>
          <w:between w:val="nil"/>
        </w:pBdr>
        <w:jc w:val="both"/>
        <w:rPr>
          <w:color w:val="000000"/>
          <w:spacing w:val="-4"/>
          <w:kern w:val="22"/>
          <w:sz w:val="22"/>
          <w:szCs w:val="22"/>
          <w:lang w:val="en-GB"/>
        </w:rPr>
      </w:pPr>
      <w:r w:rsidRPr="00E23C32">
        <w:rPr>
          <w:color w:val="000000"/>
          <w:spacing w:val="-4"/>
          <w:kern w:val="22"/>
          <w:sz w:val="22"/>
          <w:szCs w:val="22"/>
          <w:lang w:val="en-GB"/>
        </w:rPr>
        <w:t xml:space="preserve">Although HBC </w:t>
      </w:r>
      <w:r w:rsidR="002B0D0A" w:rsidRPr="00E23C32">
        <w:rPr>
          <w:color w:val="000000"/>
          <w:spacing w:val="-4"/>
          <w:kern w:val="22"/>
          <w:sz w:val="22"/>
          <w:szCs w:val="22"/>
          <w:lang w:val="en-GB"/>
        </w:rPr>
        <w:t xml:space="preserve">had </w:t>
      </w:r>
      <w:r w:rsidRPr="00E23C32">
        <w:rPr>
          <w:color w:val="000000"/>
          <w:spacing w:val="-4"/>
          <w:kern w:val="22"/>
          <w:sz w:val="22"/>
          <w:szCs w:val="22"/>
          <w:lang w:val="en-GB"/>
        </w:rPr>
        <w:t xml:space="preserve">launched </w:t>
      </w:r>
      <w:r w:rsidR="00876B9D" w:rsidRPr="00E23C32">
        <w:rPr>
          <w:color w:val="000000"/>
          <w:spacing w:val="-4"/>
          <w:kern w:val="22"/>
          <w:sz w:val="22"/>
          <w:szCs w:val="22"/>
          <w:lang w:val="en-GB"/>
        </w:rPr>
        <w:t xml:space="preserve">its </w:t>
      </w:r>
      <w:r w:rsidRPr="00E23C32">
        <w:rPr>
          <w:color w:val="000000"/>
          <w:spacing w:val="-4"/>
          <w:kern w:val="22"/>
          <w:sz w:val="22"/>
          <w:szCs w:val="22"/>
          <w:lang w:val="en-GB"/>
        </w:rPr>
        <w:t>e</w:t>
      </w:r>
      <w:r w:rsidR="003B1D65" w:rsidRPr="00E23C32">
        <w:rPr>
          <w:color w:val="000000"/>
          <w:spacing w:val="-4"/>
          <w:kern w:val="22"/>
          <w:sz w:val="22"/>
          <w:szCs w:val="22"/>
          <w:lang w:val="en-GB"/>
        </w:rPr>
        <w:t>-</w:t>
      </w:r>
      <w:r w:rsidRPr="00E23C32">
        <w:rPr>
          <w:color w:val="000000"/>
          <w:spacing w:val="-4"/>
          <w:kern w:val="22"/>
          <w:sz w:val="22"/>
          <w:szCs w:val="22"/>
          <w:lang w:val="en-GB"/>
        </w:rPr>
        <w:t xml:space="preserve">commerce site in 2000, predating many other competitors, </w:t>
      </w:r>
      <w:r w:rsidR="00876B9D" w:rsidRPr="00E23C32">
        <w:rPr>
          <w:color w:val="000000"/>
          <w:spacing w:val="-4"/>
          <w:kern w:val="22"/>
          <w:sz w:val="22"/>
          <w:szCs w:val="22"/>
          <w:lang w:val="en-GB"/>
        </w:rPr>
        <w:t xml:space="preserve">its </w:t>
      </w:r>
      <w:r w:rsidRPr="00E23C32">
        <w:rPr>
          <w:color w:val="000000"/>
          <w:spacing w:val="-4"/>
          <w:kern w:val="22"/>
          <w:sz w:val="22"/>
          <w:szCs w:val="22"/>
          <w:lang w:val="en-GB"/>
        </w:rPr>
        <w:t>online performance still lagged behind other e</w:t>
      </w:r>
      <w:r w:rsidR="003B1D65" w:rsidRPr="00E23C32">
        <w:rPr>
          <w:color w:val="000000"/>
          <w:spacing w:val="-4"/>
          <w:kern w:val="22"/>
          <w:sz w:val="22"/>
          <w:szCs w:val="22"/>
          <w:lang w:val="en-GB"/>
        </w:rPr>
        <w:t>-</w:t>
      </w:r>
      <w:r w:rsidRPr="00E23C32">
        <w:rPr>
          <w:color w:val="000000"/>
          <w:spacing w:val="-4"/>
          <w:kern w:val="22"/>
          <w:sz w:val="22"/>
          <w:szCs w:val="22"/>
          <w:lang w:val="en-GB"/>
        </w:rPr>
        <w:t>commerce giants.</w:t>
      </w:r>
      <w:r w:rsidRPr="00E23C32">
        <w:rPr>
          <w:color w:val="000000"/>
          <w:spacing w:val="-4"/>
          <w:kern w:val="22"/>
          <w:sz w:val="22"/>
          <w:szCs w:val="22"/>
          <w:vertAlign w:val="superscript"/>
          <w:lang w:val="en-GB"/>
        </w:rPr>
        <w:endnoteReference w:id="62"/>
      </w:r>
      <w:r w:rsidR="00111936" w:rsidRPr="00E23C32">
        <w:rPr>
          <w:color w:val="000000"/>
          <w:spacing w:val="-4"/>
          <w:kern w:val="22"/>
          <w:sz w:val="22"/>
          <w:szCs w:val="22"/>
          <w:lang w:val="en-GB"/>
        </w:rPr>
        <w:t xml:space="preserve"> Sales rose by 11 per cent</w:t>
      </w:r>
      <w:r w:rsidRPr="00E23C32">
        <w:rPr>
          <w:color w:val="000000"/>
          <w:spacing w:val="-4"/>
          <w:kern w:val="22"/>
          <w:sz w:val="22"/>
          <w:szCs w:val="22"/>
          <w:lang w:val="en-GB"/>
        </w:rPr>
        <w:t xml:space="preserve"> in Q3 2017, showing relatively strong performance in the e</w:t>
      </w:r>
      <w:r w:rsidR="003B1D65" w:rsidRPr="00E23C32">
        <w:rPr>
          <w:color w:val="000000"/>
          <w:spacing w:val="-4"/>
          <w:kern w:val="22"/>
          <w:sz w:val="22"/>
          <w:szCs w:val="22"/>
          <w:lang w:val="en-GB"/>
        </w:rPr>
        <w:t>-</w:t>
      </w:r>
      <w:r w:rsidRPr="00E23C32">
        <w:rPr>
          <w:color w:val="000000"/>
          <w:spacing w:val="-4"/>
          <w:kern w:val="22"/>
          <w:sz w:val="22"/>
          <w:szCs w:val="22"/>
          <w:lang w:val="en-GB"/>
        </w:rPr>
        <w:t>commerce sector, with onl</w:t>
      </w:r>
      <w:r w:rsidR="00111936" w:rsidRPr="00E23C32">
        <w:rPr>
          <w:color w:val="000000"/>
          <w:spacing w:val="-4"/>
          <w:kern w:val="22"/>
          <w:sz w:val="22"/>
          <w:szCs w:val="22"/>
          <w:lang w:val="en-GB"/>
        </w:rPr>
        <w:t>ine sales worth $2.5 billion</w:t>
      </w:r>
      <w:r w:rsidRPr="00E23C32">
        <w:rPr>
          <w:color w:val="000000"/>
          <w:spacing w:val="-4"/>
          <w:kern w:val="22"/>
          <w:sz w:val="22"/>
          <w:szCs w:val="22"/>
          <w:lang w:val="en-GB"/>
        </w:rPr>
        <w:t xml:space="preserve"> across the HBC chains and subsidiaries. However, a basic comparison between Amazon, as an online retail giant, and HBC, as an early mover in the online retail space, showed significant disadvantages for HBC. </w:t>
      </w:r>
      <w:r w:rsidR="002B0D0A" w:rsidRPr="00E23C32">
        <w:rPr>
          <w:color w:val="000000"/>
          <w:spacing w:val="-4"/>
          <w:kern w:val="22"/>
          <w:sz w:val="22"/>
          <w:szCs w:val="22"/>
          <w:lang w:val="en-GB"/>
        </w:rPr>
        <w:t>A</w:t>
      </w:r>
      <w:r w:rsidRPr="00E23C32">
        <w:rPr>
          <w:color w:val="000000"/>
          <w:spacing w:val="-4"/>
          <w:kern w:val="22"/>
          <w:sz w:val="22"/>
          <w:szCs w:val="22"/>
          <w:lang w:val="en-GB"/>
        </w:rPr>
        <w:t xml:space="preserve"> 2017 article </w:t>
      </w:r>
      <w:r w:rsidR="002B0D0A" w:rsidRPr="00E23C32">
        <w:rPr>
          <w:color w:val="000000"/>
          <w:spacing w:val="-4"/>
          <w:kern w:val="22"/>
          <w:sz w:val="22"/>
          <w:szCs w:val="22"/>
          <w:lang w:val="en-GB"/>
        </w:rPr>
        <w:t xml:space="preserve">in </w:t>
      </w:r>
      <w:r w:rsidRPr="00E23C32">
        <w:rPr>
          <w:color w:val="000000"/>
          <w:spacing w:val="-4"/>
          <w:kern w:val="22"/>
          <w:sz w:val="22"/>
          <w:szCs w:val="22"/>
          <w:lang w:val="en-GB"/>
        </w:rPr>
        <w:t xml:space="preserve">the </w:t>
      </w:r>
      <w:r w:rsidRPr="00E23C32">
        <w:rPr>
          <w:i/>
          <w:color w:val="000000"/>
          <w:spacing w:val="-4"/>
          <w:kern w:val="22"/>
          <w:sz w:val="22"/>
          <w:szCs w:val="22"/>
          <w:lang w:val="en-GB"/>
        </w:rPr>
        <w:t>Globe and Mail</w:t>
      </w:r>
      <w:r w:rsidRPr="00E23C32">
        <w:rPr>
          <w:color w:val="000000"/>
          <w:spacing w:val="-4"/>
          <w:kern w:val="22"/>
          <w:sz w:val="22"/>
          <w:szCs w:val="22"/>
          <w:lang w:val="en-GB"/>
        </w:rPr>
        <w:t xml:space="preserve"> </w:t>
      </w:r>
      <w:r w:rsidR="002B0D0A" w:rsidRPr="00E23C32">
        <w:rPr>
          <w:color w:val="000000"/>
          <w:spacing w:val="-4"/>
          <w:kern w:val="22"/>
          <w:sz w:val="22"/>
          <w:szCs w:val="22"/>
          <w:lang w:val="en-GB"/>
        </w:rPr>
        <w:t xml:space="preserve">quoted Baker’s assertion </w:t>
      </w:r>
      <w:r w:rsidRPr="00E23C32">
        <w:rPr>
          <w:color w:val="000000"/>
          <w:spacing w:val="-4"/>
          <w:kern w:val="22"/>
          <w:sz w:val="22"/>
          <w:szCs w:val="22"/>
          <w:lang w:val="en-GB"/>
        </w:rPr>
        <w:t xml:space="preserve">that he </w:t>
      </w:r>
      <w:r w:rsidR="002B0D0A" w:rsidRPr="00E23C32">
        <w:rPr>
          <w:color w:val="000000"/>
          <w:spacing w:val="-4"/>
          <w:kern w:val="22"/>
          <w:sz w:val="22"/>
          <w:szCs w:val="22"/>
          <w:lang w:val="en-GB"/>
        </w:rPr>
        <w:t xml:space="preserve">had </w:t>
      </w:r>
      <w:r w:rsidRPr="00E23C32">
        <w:rPr>
          <w:color w:val="000000"/>
          <w:spacing w:val="-4"/>
          <w:kern w:val="22"/>
          <w:sz w:val="22"/>
          <w:szCs w:val="22"/>
          <w:lang w:val="en-GB"/>
        </w:rPr>
        <w:t xml:space="preserve">heard plenty of complaints regarding HBC’s online presence: </w:t>
      </w:r>
    </w:p>
    <w:p w14:paraId="5D7C0439"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79BAF159" w14:textId="0539B921" w:rsidR="00FB7D48" w:rsidRPr="003D519C" w:rsidRDefault="00F33C5E" w:rsidP="003D519C">
      <w:pPr>
        <w:pBdr>
          <w:top w:val="nil"/>
          <w:left w:val="nil"/>
          <w:bottom w:val="nil"/>
          <w:right w:val="nil"/>
          <w:between w:val="nil"/>
        </w:pBdr>
        <w:ind w:left="720"/>
        <w:jc w:val="both"/>
        <w:rPr>
          <w:color w:val="000000"/>
          <w:sz w:val="22"/>
          <w:szCs w:val="22"/>
          <w:lang w:val="en-GB"/>
        </w:rPr>
      </w:pPr>
      <w:r w:rsidRPr="003D519C">
        <w:rPr>
          <w:color w:val="000000"/>
          <w:sz w:val="22"/>
          <w:szCs w:val="22"/>
          <w:lang w:val="en-GB"/>
        </w:rPr>
        <w:t>T</w:t>
      </w:r>
      <w:r w:rsidR="00FB7D48" w:rsidRPr="003D519C">
        <w:rPr>
          <w:color w:val="000000"/>
          <w:sz w:val="22"/>
          <w:szCs w:val="22"/>
          <w:lang w:val="en-GB"/>
        </w:rPr>
        <w:t>his Hudson</w:t>
      </w:r>
      <w:r w:rsidR="0022185C">
        <w:rPr>
          <w:color w:val="000000"/>
          <w:sz w:val="22"/>
          <w:szCs w:val="22"/>
          <w:lang w:val="en-GB"/>
        </w:rPr>
        <w:t>’</w:t>
      </w:r>
      <w:r w:rsidR="00FB7D48" w:rsidRPr="003D519C">
        <w:rPr>
          <w:color w:val="000000"/>
          <w:sz w:val="22"/>
          <w:szCs w:val="22"/>
          <w:lang w:val="en-GB"/>
        </w:rPr>
        <w:t>s Bay Co. can</w:t>
      </w:r>
      <w:r w:rsidR="0022185C">
        <w:rPr>
          <w:color w:val="000000"/>
          <w:sz w:val="22"/>
          <w:szCs w:val="22"/>
          <w:lang w:val="en-GB"/>
        </w:rPr>
        <w:t>’</w:t>
      </w:r>
      <w:r w:rsidR="00FB7D48" w:rsidRPr="003D519C">
        <w:rPr>
          <w:color w:val="000000"/>
          <w:sz w:val="22"/>
          <w:szCs w:val="22"/>
          <w:lang w:val="en-GB"/>
        </w:rPr>
        <w:t>t get it right</w:t>
      </w:r>
      <w:r w:rsidR="00876B9D">
        <w:rPr>
          <w:color w:val="000000"/>
          <w:sz w:val="22"/>
          <w:szCs w:val="22"/>
          <w:lang w:val="en-GB"/>
        </w:rPr>
        <w:t>—</w:t>
      </w:r>
      <w:r w:rsidR="00FB7D48" w:rsidRPr="003D519C">
        <w:rPr>
          <w:color w:val="000000"/>
          <w:sz w:val="22"/>
          <w:szCs w:val="22"/>
          <w:lang w:val="en-GB"/>
        </w:rPr>
        <w:t>why does Amazon</w:t>
      </w:r>
      <w:r w:rsidR="00876B9D">
        <w:rPr>
          <w:color w:val="000000"/>
          <w:sz w:val="22"/>
          <w:szCs w:val="22"/>
          <w:lang w:val="en-GB"/>
        </w:rPr>
        <w:t>’</w:t>
      </w:r>
      <w:r w:rsidR="00FB7D48" w:rsidRPr="003D519C">
        <w:rPr>
          <w:color w:val="000000"/>
          <w:sz w:val="22"/>
          <w:szCs w:val="22"/>
          <w:lang w:val="en-GB"/>
        </w:rPr>
        <w:t>s order come in one day and I have to wait three days [for HBC], and I</w:t>
      </w:r>
      <w:r w:rsidR="00876B9D">
        <w:rPr>
          <w:color w:val="000000"/>
          <w:sz w:val="22"/>
          <w:szCs w:val="22"/>
          <w:lang w:val="en-GB"/>
        </w:rPr>
        <w:t>’</w:t>
      </w:r>
      <w:r w:rsidR="00FB7D48" w:rsidRPr="003D519C">
        <w:rPr>
          <w:color w:val="000000"/>
          <w:sz w:val="22"/>
          <w:szCs w:val="22"/>
          <w:lang w:val="en-GB"/>
        </w:rPr>
        <w:t>m on the call centre for eight minutes in</w:t>
      </w:r>
      <w:r w:rsidR="00276714" w:rsidRPr="003D519C">
        <w:rPr>
          <w:color w:val="000000"/>
          <w:sz w:val="22"/>
          <w:szCs w:val="22"/>
          <w:lang w:val="en-GB"/>
        </w:rPr>
        <w:t>stead of two minutes at Amazon?</w:t>
      </w:r>
      <w:r w:rsidR="00FB7D48" w:rsidRPr="003D519C">
        <w:rPr>
          <w:color w:val="000000"/>
          <w:sz w:val="22"/>
          <w:szCs w:val="22"/>
          <w:lang w:val="en-GB"/>
        </w:rPr>
        <w:t xml:space="preserve"> Because the amount of money we</w:t>
      </w:r>
      <w:r w:rsidR="00876B9D">
        <w:rPr>
          <w:color w:val="000000"/>
          <w:sz w:val="22"/>
          <w:szCs w:val="22"/>
          <w:lang w:val="en-GB"/>
        </w:rPr>
        <w:t>’</w:t>
      </w:r>
      <w:r w:rsidR="00FB7D48" w:rsidRPr="003D519C">
        <w:rPr>
          <w:color w:val="000000"/>
          <w:sz w:val="22"/>
          <w:szCs w:val="22"/>
          <w:lang w:val="en-GB"/>
        </w:rPr>
        <w:t>re able to spend solving these problems is less, because our shareholders</w:t>
      </w:r>
      <w:r w:rsidR="00876B9D">
        <w:rPr>
          <w:color w:val="000000"/>
          <w:sz w:val="22"/>
          <w:szCs w:val="22"/>
          <w:lang w:val="en-GB"/>
        </w:rPr>
        <w:t>—</w:t>
      </w:r>
      <w:r w:rsidR="00FB7D48" w:rsidRPr="003D519C">
        <w:rPr>
          <w:color w:val="000000"/>
          <w:sz w:val="22"/>
          <w:szCs w:val="22"/>
          <w:lang w:val="en-GB"/>
        </w:rPr>
        <w:t>rightfully</w:t>
      </w:r>
      <w:r w:rsidR="00876B9D">
        <w:rPr>
          <w:color w:val="000000"/>
          <w:sz w:val="22"/>
          <w:szCs w:val="22"/>
          <w:lang w:val="en-GB"/>
        </w:rPr>
        <w:t>—</w:t>
      </w:r>
      <w:r w:rsidR="00FB7D48" w:rsidRPr="003D519C">
        <w:rPr>
          <w:color w:val="000000"/>
          <w:sz w:val="22"/>
          <w:szCs w:val="22"/>
          <w:lang w:val="en-GB"/>
        </w:rPr>
        <w:t>want a return on their investment.</w:t>
      </w:r>
      <w:r w:rsidR="00FB7D48" w:rsidRPr="003D519C">
        <w:rPr>
          <w:color w:val="000000"/>
          <w:sz w:val="22"/>
          <w:szCs w:val="22"/>
          <w:vertAlign w:val="superscript"/>
          <w:lang w:val="en-GB"/>
        </w:rPr>
        <w:endnoteReference w:id="63"/>
      </w:r>
    </w:p>
    <w:p w14:paraId="13C9D0BB" w14:textId="77777777" w:rsidR="00FB7D48" w:rsidRPr="00E23C32" w:rsidRDefault="00FB7D48" w:rsidP="003D519C">
      <w:pPr>
        <w:pBdr>
          <w:top w:val="nil"/>
          <w:left w:val="nil"/>
          <w:bottom w:val="nil"/>
          <w:right w:val="nil"/>
          <w:between w:val="nil"/>
        </w:pBdr>
        <w:ind w:left="720"/>
        <w:jc w:val="both"/>
        <w:rPr>
          <w:color w:val="000000"/>
          <w:sz w:val="18"/>
          <w:szCs w:val="18"/>
          <w:lang w:val="en-GB"/>
        </w:rPr>
      </w:pPr>
    </w:p>
    <w:p w14:paraId="405950E7" w14:textId="49B1B75B" w:rsidR="00FB7D48" w:rsidRPr="00031C75" w:rsidRDefault="00FB7D48" w:rsidP="003D519C">
      <w:pPr>
        <w:pBdr>
          <w:top w:val="nil"/>
          <w:left w:val="nil"/>
          <w:bottom w:val="nil"/>
          <w:right w:val="nil"/>
          <w:between w:val="nil"/>
        </w:pBdr>
        <w:jc w:val="both"/>
        <w:rPr>
          <w:color w:val="000000"/>
          <w:spacing w:val="-4"/>
          <w:kern w:val="22"/>
          <w:sz w:val="22"/>
          <w:szCs w:val="22"/>
          <w:lang w:val="en-GB"/>
        </w:rPr>
      </w:pPr>
      <w:r w:rsidRPr="00031C75">
        <w:rPr>
          <w:color w:val="000000"/>
          <w:spacing w:val="-4"/>
          <w:kern w:val="22"/>
          <w:sz w:val="22"/>
          <w:szCs w:val="22"/>
          <w:lang w:val="en-GB"/>
        </w:rPr>
        <w:t>Although Baker noted that Amazon shareholders were happy to not receive a return on their investment, he did not address the declining dividend at HBC amid the financial troubles in 2017.</w:t>
      </w:r>
      <w:r w:rsidRPr="00031C75">
        <w:rPr>
          <w:color w:val="000000"/>
          <w:spacing w:val="-4"/>
          <w:kern w:val="22"/>
          <w:sz w:val="22"/>
          <w:szCs w:val="22"/>
          <w:vertAlign w:val="superscript"/>
          <w:lang w:val="en-GB"/>
        </w:rPr>
        <w:endnoteReference w:id="64"/>
      </w:r>
      <w:r w:rsidRPr="00031C75">
        <w:rPr>
          <w:color w:val="000000"/>
          <w:spacing w:val="-4"/>
          <w:kern w:val="22"/>
          <w:sz w:val="22"/>
          <w:szCs w:val="22"/>
          <w:lang w:val="en-GB"/>
        </w:rPr>
        <w:t xml:space="preserve"> However, HBC’s “Transformation Plan” </w:t>
      </w:r>
      <w:r w:rsidR="00876B9D" w:rsidRPr="00031C75">
        <w:rPr>
          <w:color w:val="000000"/>
          <w:spacing w:val="-4"/>
          <w:kern w:val="22"/>
          <w:sz w:val="22"/>
          <w:szCs w:val="22"/>
          <w:lang w:val="en-GB"/>
        </w:rPr>
        <w:t xml:space="preserve">was </w:t>
      </w:r>
      <w:r w:rsidRPr="00031C75">
        <w:rPr>
          <w:color w:val="000000"/>
          <w:spacing w:val="-4"/>
          <w:kern w:val="22"/>
          <w:sz w:val="22"/>
          <w:szCs w:val="22"/>
          <w:lang w:val="en-GB"/>
        </w:rPr>
        <w:t xml:space="preserve">intended to streamline the digital operations, with a notable change including the integration of HBC’s digital group into the firm’s logistics and supply chain operations, aiming to improve the </w:t>
      </w:r>
      <w:proofErr w:type="spellStart"/>
      <w:r w:rsidRPr="00031C75">
        <w:rPr>
          <w:color w:val="000000"/>
          <w:spacing w:val="-4"/>
          <w:kern w:val="22"/>
          <w:sz w:val="22"/>
          <w:szCs w:val="22"/>
          <w:lang w:val="en-GB"/>
        </w:rPr>
        <w:t>fulfillment</w:t>
      </w:r>
      <w:proofErr w:type="spellEnd"/>
      <w:r w:rsidRPr="00031C75">
        <w:rPr>
          <w:color w:val="000000"/>
          <w:spacing w:val="-4"/>
          <w:kern w:val="22"/>
          <w:sz w:val="22"/>
          <w:szCs w:val="22"/>
          <w:lang w:val="en-GB"/>
        </w:rPr>
        <w:t xml:space="preserve"> process for products ordered online.</w:t>
      </w:r>
      <w:r w:rsidRPr="00031C75">
        <w:rPr>
          <w:color w:val="000000"/>
          <w:spacing w:val="-4"/>
          <w:kern w:val="22"/>
          <w:sz w:val="22"/>
          <w:szCs w:val="22"/>
          <w:vertAlign w:val="superscript"/>
          <w:lang w:val="en-GB"/>
        </w:rPr>
        <w:endnoteReference w:id="65"/>
      </w:r>
      <w:r w:rsidRPr="00031C75">
        <w:rPr>
          <w:color w:val="000000"/>
          <w:spacing w:val="-4"/>
          <w:kern w:val="22"/>
          <w:sz w:val="22"/>
          <w:szCs w:val="22"/>
          <w:lang w:val="en-GB"/>
        </w:rPr>
        <w:t xml:space="preserve"> Although HBC lagged behind major competitors in the online sphere, the company was </w:t>
      </w:r>
      <w:r w:rsidR="00876B9D" w:rsidRPr="00031C75">
        <w:rPr>
          <w:color w:val="000000"/>
          <w:spacing w:val="-4"/>
          <w:kern w:val="22"/>
          <w:sz w:val="22"/>
          <w:szCs w:val="22"/>
          <w:lang w:val="en-GB"/>
        </w:rPr>
        <w:t xml:space="preserve">clearly </w:t>
      </w:r>
      <w:r w:rsidRPr="00031C75">
        <w:rPr>
          <w:color w:val="000000"/>
          <w:spacing w:val="-4"/>
          <w:kern w:val="22"/>
          <w:sz w:val="22"/>
          <w:szCs w:val="22"/>
          <w:lang w:val="en-GB"/>
        </w:rPr>
        <w:t xml:space="preserve">making strategic moves to improve its positioning. </w:t>
      </w:r>
    </w:p>
    <w:p w14:paraId="3D8185E2"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03BF574B" w14:textId="77777777" w:rsidR="00E23C32" w:rsidRPr="00E23C32" w:rsidRDefault="00E23C32" w:rsidP="003D519C">
      <w:pPr>
        <w:pBdr>
          <w:top w:val="nil"/>
          <w:left w:val="nil"/>
          <w:bottom w:val="nil"/>
          <w:right w:val="nil"/>
          <w:between w:val="nil"/>
        </w:pBdr>
        <w:jc w:val="both"/>
        <w:rPr>
          <w:color w:val="000000"/>
          <w:sz w:val="18"/>
          <w:szCs w:val="18"/>
          <w:lang w:val="en-GB"/>
        </w:rPr>
      </w:pPr>
    </w:p>
    <w:p w14:paraId="10A006EE" w14:textId="38207405" w:rsidR="00FB7D48" w:rsidRPr="003D519C" w:rsidRDefault="00FB7D48" w:rsidP="003D519C">
      <w:pPr>
        <w:pBdr>
          <w:top w:val="nil"/>
          <w:left w:val="nil"/>
          <w:bottom w:val="nil"/>
          <w:right w:val="nil"/>
          <w:between w:val="nil"/>
        </w:pBdr>
        <w:jc w:val="both"/>
        <w:rPr>
          <w:color w:val="000000"/>
          <w:sz w:val="22"/>
          <w:szCs w:val="22"/>
          <w:lang w:val="en-GB"/>
        </w:rPr>
      </w:pPr>
      <w:r w:rsidRPr="003D519C">
        <w:rPr>
          <w:rFonts w:ascii="Arial" w:eastAsia="Arial" w:hAnsi="Arial" w:cs="Arial"/>
          <w:b/>
          <w:color w:val="000000"/>
          <w:lang w:val="en-GB"/>
        </w:rPr>
        <w:t>MOVING FORWARD</w:t>
      </w:r>
    </w:p>
    <w:p w14:paraId="66369D51" w14:textId="77777777" w:rsidR="00FB7D48" w:rsidRPr="00E23C32" w:rsidRDefault="00FB7D48" w:rsidP="003D519C">
      <w:pPr>
        <w:pBdr>
          <w:top w:val="nil"/>
          <w:left w:val="nil"/>
          <w:bottom w:val="nil"/>
          <w:right w:val="nil"/>
          <w:between w:val="nil"/>
        </w:pBdr>
        <w:jc w:val="both"/>
        <w:rPr>
          <w:color w:val="000000"/>
          <w:sz w:val="18"/>
          <w:szCs w:val="18"/>
          <w:lang w:val="en-GB"/>
        </w:rPr>
      </w:pPr>
    </w:p>
    <w:p w14:paraId="63D892F1" w14:textId="587185B1" w:rsidR="00FB7D48" w:rsidRPr="00E23C32" w:rsidRDefault="00FB7D48" w:rsidP="00E23C32">
      <w:pPr>
        <w:pBdr>
          <w:top w:val="nil"/>
          <w:left w:val="nil"/>
          <w:bottom w:val="nil"/>
          <w:right w:val="nil"/>
          <w:between w:val="nil"/>
        </w:pBdr>
        <w:jc w:val="both"/>
        <w:rPr>
          <w:color w:val="000000"/>
          <w:sz w:val="22"/>
          <w:szCs w:val="22"/>
          <w:lang w:val="en-GB"/>
        </w:rPr>
      </w:pPr>
      <w:r w:rsidRPr="003D519C">
        <w:rPr>
          <w:color w:val="000000"/>
          <w:sz w:val="22"/>
          <w:szCs w:val="22"/>
          <w:lang w:val="en-GB"/>
        </w:rPr>
        <w:t xml:space="preserve">HBC’s continued struggle in the Canadian retail environment proved to be challenging, </w:t>
      </w:r>
      <w:r w:rsidR="00876B9D">
        <w:rPr>
          <w:color w:val="000000"/>
          <w:sz w:val="22"/>
          <w:szCs w:val="22"/>
          <w:lang w:val="en-GB"/>
        </w:rPr>
        <w:t>and</w:t>
      </w:r>
      <w:r w:rsidR="00876B9D" w:rsidRPr="003D519C">
        <w:rPr>
          <w:color w:val="000000"/>
          <w:sz w:val="22"/>
          <w:szCs w:val="22"/>
          <w:lang w:val="en-GB"/>
        </w:rPr>
        <w:t xml:space="preserve"> </w:t>
      </w:r>
      <w:r w:rsidRPr="003D519C">
        <w:rPr>
          <w:color w:val="000000"/>
          <w:sz w:val="22"/>
          <w:szCs w:val="22"/>
          <w:lang w:val="en-GB"/>
        </w:rPr>
        <w:t>th</w:t>
      </w:r>
      <w:r w:rsidR="00127054">
        <w:rPr>
          <w:color w:val="000000"/>
          <w:sz w:val="22"/>
          <w:szCs w:val="22"/>
          <w:lang w:val="en-GB"/>
        </w:rPr>
        <w:t>e cost-cutting measures of the Transformation Plan</w:t>
      </w:r>
      <w:r w:rsidRPr="003D519C">
        <w:rPr>
          <w:color w:val="000000"/>
          <w:sz w:val="22"/>
          <w:szCs w:val="22"/>
          <w:lang w:val="en-GB"/>
        </w:rPr>
        <w:t xml:space="preserve"> </w:t>
      </w:r>
      <w:r w:rsidR="00876B9D">
        <w:rPr>
          <w:color w:val="000000"/>
          <w:sz w:val="22"/>
          <w:szCs w:val="22"/>
          <w:lang w:val="en-GB"/>
        </w:rPr>
        <w:t xml:space="preserve">proved </w:t>
      </w:r>
      <w:r w:rsidRPr="003D519C">
        <w:rPr>
          <w:color w:val="000000"/>
          <w:sz w:val="22"/>
          <w:szCs w:val="22"/>
          <w:lang w:val="en-GB"/>
        </w:rPr>
        <w:t xml:space="preserve">insufficient to manage the complexities of the industry changes. On the one hand, </w:t>
      </w:r>
      <w:r w:rsidR="00876B9D">
        <w:rPr>
          <w:color w:val="000000"/>
          <w:sz w:val="22"/>
          <w:szCs w:val="22"/>
          <w:lang w:val="en-GB"/>
        </w:rPr>
        <w:t>its</w:t>
      </w:r>
      <w:r w:rsidR="00876B9D" w:rsidRPr="003D519C">
        <w:rPr>
          <w:color w:val="000000"/>
          <w:sz w:val="22"/>
          <w:szCs w:val="22"/>
          <w:lang w:val="en-GB"/>
        </w:rPr>
        <w:t xml:space="preserve"> </w:t>
      </w:r>
      <w:r w:rsidRPr="003D519C">
        <w:rPr>
          <w:color w:val="000000"/>
          <w:sz w:val="22"/>
          <w:szCs w:val="22"/>
          <w:lang w:val="en-GB"/>
        </w:rPr>
        <w:t>history</w:t>
      </w:r>
      <w:r w:rsidR="00876B9D">
        <w:rPr>
          <w:color w:val="000000"/>
          <w:sz w:val="22"/>
          <w:szCs w:val="22"/>
          <w:lang w:val="en-GB"/>
        </w:rPr>
        <w:t>, which</w:t>
      </w:r>
      <w:r w:rsidRPr="003D519C">
        <w:rPr>
          <w:color w:val="000000"/>
          <w:sz w:val="22"/>
          <w:szCs w:val="22"/>
          <w:lang w:val="en-GB"/>
        </w:rPr>
        <w:t xml:space="preserve"> </w:t>
      </w:r>
      <w:r w:rsidR="00876B9D" w:rsidRPr="003D519C">
        <w:rPr>
          <w:color w:val="000000"/>
          <w:sz w:val="22"/>
          <w:szCs w:val="22"/>
          <w:lang w:val="en-GB"/>
        </w:rPr>
        <w:t>predat</w:t>
      </w:r>
      <w:r w:rsidR="00876B9D">
        <w:rPr>
          <w:color w:val="000000"/>
          <w:sz w:val="22"/>
          <w:szCs w:val="22"/>
          <w:lang w:val="en-GB"/>
        </w:rPr>
        <w:t>ed</w:t>
      </w:r>
      <w:r w:rsidR="00876B9D" w:rsidRPr="003D519C">
        <w:rPr>
          <w:color w:val="000000"/>
          <w:sz w:val="22"/>
          <w:szCs w:val="22"/>
          <w:lang w:val="en-GB"/>
        </w:rPr>
        <w:t xml:space="preserve"> </w:t>
      </w:r>
      <w:r w:rsidRPr="003D519C">
        <w:rPr>
          <w:color w:val="000000"/>
          <w:sz w:val="22"/>
          <w:szCs w:val="22"/>
          <w:lang w:val="en-GB"/>
        </w:rPr>
        <w:t xml:space="preserve">Canada’s </w:t>
      </w:r>
      <w:r w:rsidR="00876B9D">
        <w:rPr>
          <w:color w:val="000000"/>
          <w:sz w:val="22"/>
          <w:szCs w:val="22"/>
          <w:lang w:val="en-GB"/>
        </w:rPr>
        <w:t>C</w:t>
      </w:r>
      <w:r w:rsidRPr="003D519C">
        <w:rPr>
          <w:color w:val="000000"/>
          <w:sz w:val="22"/>
          <w:szCs w:val="22"/>
          <w:lang w:val="en-GB"/>
        </w:rPr>
        <w:t xml:space="preserve">onfederation, </w:t>
      </w:r>
      <w:r w:rsidR="00876B9D" w:rsidRPr="003D519C">
        <w:rPr>
          <w:color w:val="000000"/>
          <w:sz w:val="22"/>
          <w:szCs w:val="22"/>
          <w:lang w:val="en-GB"/>
        </w:rPr>
        <w:t>show</w:t>
      </w:r>
      <w:r w:rsidR="00876B9D">
        <w:rPr>
          <w:color w:val="000000"/>
          <w:sz w:val="22"/>
          <w:szCs w:val="22"/>
          <w:lang w:val="en-GB"/>
        </w:rPr>
        <w:t>ed</w:t>
      </w:r>
      <w:r w:rsidR="00876B9D" w:rsidRPr="003D519C">
        <w:rPr>
          <w:color w:val="000000"/>
          <w:sz w:val="22"/>
          <w:szCs w:val="22"/>
          <w:lang w:val="en-GB"/>
        </w:rPr>
        <w:t xml:space="preserve"> </w:t>
      </w:r>
      <w:r w:rsidRPr="003D519C">
        <w:rPr>
          <w:color w:val="000000"/>
          <w:sz w:val="22"/>
          <w:szCs w:val="22"/>
          <w:lang w:val="en-GB"/>
        </w:rPr>
        <w:t xml:space="preserve">HBC’s resilience in the face of multiple economic downturns in the past </w:t>
      </w:r>
      <w:r w:rsidR="00876B9D">
        <w:rPr>
          <w:color w:val="000000"/>
          <w:sz w:val="22"/>
          <w:szCs w:val="22"/>
          <w:lang w:val="en-GB"/>
        </w:rPr>
        <w:t>and represented</w:t>
      </w:r>
      <w:r w:rsidR="00876B9D" w:rsidRPr="003D519C">
        <w:rPr>
          <w:color w:val="000000"/>
          <w:sz w:val="22"/>
          <w:szCs w:val="22"/>
          <w:lang w:val="en-GB"/>
        </w:rPr>
        <w:t xml:space="preserve"> </w:t>
      </w:r>
      <w:r w:rsidRPr="003D519C">
        <w:rPr>
          <w:color w:val="000000"/>
          <w:sz w:val="22"/>
          <w:szCs w:val="22"/>
          <w:lang w:val="en-GB"/>
        </w:rPr>
        <w:t xml:space="preserve">a significant strength for the company. On the other hand, HBC appeared to be overextended, </w:t>
      </w:r>
      <w:r w:rsidR="00876B9D">
        <w:rPr>
          <w:color w:val="000000"/>
          <w:sz w:val="22"/>
          <w:szCs w:val="22"/>
          <w:lang w:val="en-GB"/>
        </w:rPr>
        <w:t xml:space="preserve">as it </w:t>
      </w:r>
      <w:r w:rsidR="00876B9D" w:rsidRPr="003D519C">
        <w:rPr>
          <w:color w:val="000000"/>
          <w:sz w:val="22"/>
          <w:szCs w:val="22"/>
          <w:lang w:val="en-GB"/>
        </w:rPr>
        <w:t>manag</w:t>
      </w:r>
      <w:r w:rsidR="00876B9D">
        <w:rPr>
          <w:color w:val="000000"/>
          <w:sz w:val="22"/>
          <w:szCs w:val="22"/>
          <w:lang w:val="en-GB"/>
        </w:rPr>
        <w:t>ed</w:t>
      </w:r>
      <w:r w:rsidR="00876B9D" w:rsidRPr="003D519C">
        <w:rPr>
          <w:color w:val="000000"/>
          <w:sz w:val="22"/>
          <w:szCs w:val="22"/>
          <w:lang w:val="en-GB"/>
        </w:rPr>
        <w:t xml:space="preserve"> </w:t>
      </w:r>
      <w:r w:rsidRPr="003D519C">
        <w:rPr>
          <w:color w:val="000000"/>
          <w:sz w:val="22"/>
          <w:szCs w:val="22"/>
          <w:lang w:val="en-GB"/>
        </w:rPr>
        <w:t xml:space="preserve">both </w:t>
      </w:r>
      <w:r w:rsidR="00876B9D" w:rsidRPr="003D519C">
        <w:rPr>
          <w:color w:val="000000"/>
          <w:sz w:val="22"/>
          <w:szCs w:val="22"/>
          <w:lang w:val="en-GB"/>
        </w:rPr>
        <w:t>a struggling e</w:t>
      </w:r>
      <w:r w:rsidR="002B0D0A">
        <w:rPr>
          <w:color w:val="000000"/>
          <w:sz w:val="22"/>
          <w:szCs w:val="22"/>
          <w:lang w:val="en-GB"/>
        </w:rPr>
        <w:noBreakHyphen/>
      </w:r>
      <w:r w:rsidR="00876B9D" w:rsidRPr="003D519C">
        <w:rPr>
          <w:color w:val="000000"/>
          <w:sz w:val="22"/>
          <w:szCs w:val="22"/>
          <w:lang w:val="en-GB"/>
        </w:rPr>
        <w:t xml:space="preserve">commerce portfolio </w:t>
      </w:r>
      <w:r w:rsidR="00876B9D">
        <w:rPr>
          <w:color w:val="000000"/>
          <w:sz w:val="22"/>
          <w:szCs w:val="22"/>
          <w:lang w:val="en-GB"/>
        </w:rPr>
        <w:t xml:space="preserve">and </w:t>
      </w:r>
      <w:r w:rsidRPr="003D519C">
        <w:rPr>
          <w:color w:val="000000"/>
          <w:sz w:val="22"/>
          <w:szCs w:val="22"/>
          <w:lang w:val="en-GB"/>
        </w:rPr>
        <w:t xml:space="preserve">a European expansion through </w:t>
      </w:r>
      <w:r w:rsidR="00876B9D">
        <w:rPr>
          <w:color w:val="000000"/>
          <w:sz w:val="22"/>
          <w:szCs w:val="22"/>
          <w:lang w:val="en-GB"/>
        </w:rPr>
        <w:t>its</w:t>
      </w:r>
      <w:r w:rsidR="00876B9D" w:rsidRPr="003D519C">
        <w:rPr>
          <w:color w:val="000000"/>
          <w:sz w:val="22"/>
          <w:szCs w:val="22"/>
          <w:lang w:val="en-GB"/>
        </w:rPr>
        <w:t xml:space="preserve"> </w:t>
      </w:r>
      <w:r w:rsidRPr="003D519C">
        <w:rPr>
          <w:color w:val="000000"/>
          <w:sz w:val="22"/>
          <w:szCs w:val="22"/>
          <w:lang w:val="en-GB"/>
        </w:rPr>
        <w:t xml:space="preserve">ailing </w:t>
      </w:r>
      <w:proofErr w:type="spellStart"/>
      <w:r w:rsidRPr="003D519C">
        <w:rPr>
          <w:color w:val="000000"/>
          <w:sz w:val="22"/>
          <w:szCs w:val="22"/>
          <w:lang w:val="en-GB"/>
        </w:rPr>
        <w:t>Kaufhaus</w:t>
      </w:r>
      <w:proofErr w:type="spellEnd"/>
      <w:r w:rsidRPr="003D519C">
        <w:rPr>
          <w:color w:val="000000"/>
          <w:sz w:val="22"/>
          <w:szCs w:val="22"/>
          <w:lang w:val="en-GB"/>
        </w:rPr>
        <w:t xml:space="preserve"> branch. The company also needed to consider how best to respond to the concerns from LBIM. How should HBC proceed? </w:t>
      </w:r>
      <w:r w:rsidRPr="003D519C">
        <w:rPr>
          <w:lang w:val="en-GB"/>
        </w:rPr>
        <w:br w:type="page"/>
      </w:r>
    </w:p>
    <w:p w14:paraId="068A2655" w14:textId="337A47A1" w:rsidR="00FB7D48" w:rsidRPr="003D519C" w:rsidRDefault="00FB7D48" w:rsidP="003D519C">
      <w:pPr>
        <w:pStyle w:val="ExhibitHeading"/>
        <w:rPr>
          <w:rFonts w:eastAsia="Arial"/>
          <w:lang w:val="en-GB"/>
        </w:rPr>
      </w:pPr>
      <w:r w:rsidRPr="003D519C">
        <w:rPr>
          <w:rFonts w:eastAsia="Arial"/>
          <w:lang w:val="en-GB"/>
        </w:rPr>
        <w:lastRenderedPageBreak/>
        <w:t xml:space="preserve">EXHIBIT </w:t>
      </w:r>
      <w:r w:rsidR="00062DD5">
        <w:rPr>
          <w:rFonts w:eastAsia="Arial"/>
          <w:lang w:val="en-GB"/>
        </w:rPr>
        <w:t>1</w:t>
      </w:r>
      <w:r w:rsidRPr="003D519C">
        <w:rPr>
          <w:rFonts w:eastAsia="Arial"/>
          <w:lang w:val="en-GB"/>
        </w:rPr>
        <w:t>: H</w:t>
      </w:r>
      <w:r w:rsidR="00062DD5">
        <w:rPr>
          <w:rFonts w:eastAsia="Arial"/>
          <w:lang w:val="en-GB"/>
        </w:rPr>
        <w:t xml:space="preserve">udson’s </w:t>
      </w:r>
      <w:r w:rsidRPr="003D519C">
        <w:rPr>
          <w:rFonts w:eastAsia="Arial"/>
          <w:lang w:val="en-GB"/>
        </w:rPr>
        <w:t>B</w:t>
      </w:r>
      <w:r w:rsidR="00062DD5">
        <w:rPr>
          <w:rFonts w:eastAsia="Arial"/>
          <w:lang w:val="en-GB"/>
        </w:rPr>
        <w:t xml:space="preserve">ay </w:t>
      </w:r>
      <w:r w:rsidRPr="003D519C">
        <w:rPr>
          <w:rFonts w:eastAsia="Arial"/>
          <w:lang w:val="en-GB"/>
        </w:rPr>
        <w:t>C</w:t>
      </w:r>
      <w:r w:rsidR="00062DD5">
        <w:rPr>
          <w:rFonts w:eastAsia="Arial"/>
          <w:lang w:val="en-GB"/>
        </w:rPr>
        <w:t>ompany</w:t>
      </w:r>
      <w:r w:rsidRPr="003D519C">
        <w:rPr>
          <w:rFonts w:eastAsia="Arial"/>
          <w:lang w:val="en-GB"/>
        </w:rPr>
        <w:t xml:space="preserve"> FINANCIAL INFORMATION AT</w:t>
      </w:r>
      <w:r w:rsidR="003E7B9E">
        <w:rPr>
          <w:rFonts w:eastAsia="Arial"/>
          <w:lang w:val="en-GB"/>
        </w:rPr>
        <w:t xml:space="preserve"> </w:t>
      </w:r>
      <w:r w:rsidRPr="003D519C">
        <w:rPr>
          <w:rFonts w:eastAsia="Arial"/>
          <w:lang w:val="en-GB"/>
        </w:rPr>
        <w:t>A</w:t>
      </w:r>
      <w:r w:rsidR="003E7B9E">
        <w:rPr>
          <w:rFonts w:eastAsia="Arial"/>
          <w:lang w:val="en-GB"/>
        </w:rPr>
        <w:t xml:space="preserve"> </w:t>
      </w:r>
      <w:r w:rsidRPr="003D519C">
        <w:rPr>
          <w:rFonts w:eastAsia="Arial"/>
          <w:lang w:val="en-GB"/>
        </w:rPr>
        <w:t>GLANCE</w:t>
      </w:r>
    </w:p>
    <w:p w14:paraId="7CED4B3D" w14:textId="77777777" w:rsidR="00FB7D48" w:rsidRPr="003D519C" w:rsidRDefault="00FB7D48" w:rsidP="00FB7D48">
      <w:pPr>
        <w:pStyle w:val="ExhibitText"/>
        <w:rPr>
          <w:rFonts w:eastAsia="Arial"/>
          <w:lang w:val="en-GB"/>
        </w:rPr>
      </w:pPr>
    </w:p>
    <w:tbl>
      <w:tblPr>
        <w:tblStyle w:val="TableGrid1"/>
        <w:tblW w:w="0" w:type="auto"/>
        <w:jc w:val="center"/>
        <w:tblLook w:val="04A0" w:firstRow="1" w:lastRow="0" w:firstColumn="1" w:lastColumn="0" w:noHBand="0" w:noVBand="1"/>
      </w:tblPr>
      <w:tblGrid>
        <w:gridCol w:w="5207"/>
        <w:gridCol w:w="1284"/>
      </w:tblGrid>
      <w:tr w:rsidR="00FB7D48" w:rsidRPr="003D519C" w14:paraId="7757D6AA" w14:textId="77777777" w:rsidTr="00FB7D48">
        <w:trPr>
          <w:trHeight w:val="300"/>
          <w:jc w:val="center"/>
        </w:trPr>
        <w:tc>
          <w:tcPr>
            <w:tcW w:w="0" w:type="auto"/>
            <w:gridSpan w:val="2"/>
            <w:noWrap/>
            <w:vAlign w:val="center"/>
            <w:hideMark/>
          </w:tcPr>
          <w:p w14:paraId="366C647D" w14:textId="1EE5DB21" w:rsidR="00FB7D48" w:rsidRPr="003D519C" w:rsidRDefault="00FB7D48" w:rsidP="00062DD5">
            <w:pPr>
              <w:pStyle w:val="ExhibitText"/>
              <w:jc w:val="center"/>
              <w:rPr>
                <w:rFonts w:eastAsia="Cambria"/>
                <w:b/>
                <w:lang w:val="en-GB"/>
              </w:rPr>
            </w:pPr>
            <w:r w:rsidRPr="003D519C">
              <w:rPr>
                <w:rFonts w:eastAsia="Cambria"/>
                <w:b/>
                <w:lang w:val="en-GB"/>
              </w:rPr>
              <w:t>H</w:t>
            </w:r>
            <w:r w:rsidR="00062DD5">
              <w:rPr>
                <w:rFonts w:eastAsia="Cambria"/>
                <w:b/>
                <w:lang w:val="en-GB"/>
              </w:rPr>
              <w:t xml:space="preserve">udson’s </w:t>
            </w:r>
            <w:r w:rsidRPr="003D519C">
              <w:rPr>
                <w:rFonts w:eastAsia="Cambria"/>
                <w:b/>
                <w:lang w:val="en-GB"/>
              </w:rPr>
              <w:t>B</w:t>
            </w:r>
            <w:r w:rsidR="00062DD5">
              <w:rPr>
                <w:rFonts w:eastAsia="Cambria"/>
                <w:b/>
                <w:lang w:val="en-GB"/>
              </w:rPr>
              <w:t xml:space="preserve">ay </w:t>
            </w:r>
            <w:r w:rsidRPr="003D519C">
              <w:rPr>
                <w:rFonts w:eastAsia="Cambria"/>
                <w:b/>
                <w:lang w:val="en-GB"/>
              </w:rPr>
              <w:t>Company Overview</w:t>
            </w:r>
          </w:p>
        </w:tc>
      </w:tr>
      <w:tr w:rsidR="00FB7D48" w:rsidRPr="003D519C" w14:paraId="66F6D761" w14:textId="77777777" w:rsidTr="00031C75">
        <w:trPr>
          <w:trHeight w:val="300"/>
          <w:jc w:val="center"/>
        </w:trPr>
        <w:tc>
          <w:tcPr>
            <w:tcW w:w="0" w:type="auto"/>
            <w:noWrap/>
            <w:vAlign w:val="center"/>
            <w:hideMark/>
          </w:tcPr>
          <w:p w14:paraId="7FD32DFE" w14:textId="3FEDFFC8" w:rsidR="00FB7D48" w:rsidRPr="003D519C" w:rsidRDefault="00FB7D48" w:rsidP="00031C75">
            <w:pPr>
              <w:pStyle w:val="ExhibitText"/>
              <w:jc w:val="left"/>
              <w:rPr>
                <w:rFonts w:eastAsia="Cambria"/>
                <w:lang w:val="en-GB"/>
              </w:rPr>
            </w:pPr>
            <w:r w:rsidRPr="003D519C">
              <w:rPr>
                <w:rFonts w:eastAsia="Cambria"/>
                <w:lang w:val="en-GB"/>
              </w:rPr>
              <w:t>Trading Price (</w:t>
            </w:r>
            <w:r w:rsidR="003E7B9E">
              <w:rPr>
                <w:rFonts w:eastAsia="Cambria"/>
                <w:lang w:val="en-GB"/>
              </w:rPr>
              <w:t xml:space="preserve">October </w:t>
            </w:r>
            <w:r w:rsidRPr="003D519C">
              <w:rPr>
                <w:rFonts w:eastAsia="Cambria"/>
                <w:lang w:val="en-GB"/>
              </w:rPr>
              <w:t>31</w:t>
            </w:r>
            <w:r w:rsidR="003E7B9E">
              <w:rPr>
                <w:rFonts w:eastAsia="Cambria"/>
                <w:lang w:val="en-GB"/>
              </w:rPr>
              <w:t>, 20</w:t>
            </w:r>
            <w:r w:rsidRPr="003D519C">
              <w:rPr>
                <w:rFonts w:eastAsia="Cambria"/>
                <w:lang w:val="en-GB"/>
              </w:rPr>
              <w:t>17)</w:t>
            </w:r>
          </w:p>
        </w:tc>
        <w:tc>
          <w:tcPr>
            <w:tcW w:w="0" w:type="auto"/>
            <w:noWrap/>
            <w:vAlign w:val="center"/>
            <w:hideMark/>
          </w:tcPr>
          <w:p w14:paraId="63985B63" w14:textId="77777777" w:rsidR="00FB7D48" w:rsidRPr="003D519C" w:rsidRDefault="00FB7D48" w:rsidP="00FB7D48">
            <w:pPr>
              <w:pStyle w:val="ExhibitText"/>
              <w:jc w:val="right"/>
              <w:rPr>
                <w:rFonts w:eastAsia="Cambria"/>
                <w:lang w:val="en-GB"/>
              </w:rPr>
            </w:pPr>
            <w:r w:rsidRPr="003D519C">
              <w:rPr>
                <w:rFonts w:eastAsia="Cambria"/>
                <w:lang w:val="en-GB"/>
              </w:rPr>
              <w:t>$11.27</w:t>
            </w:r>
          </w:p>
        </w:tc>
      </w:tr>
      <w:tr w:rsidR="00FB7D48" w:rsidRPr="003D519C" w14:paraId="43A0A822" w14:textId="77777777" w:rsidTr="00031C75">
        <w:trPr>
          <w:trHeight w:val="300"/>
          <w:jc w:val="center"/>
        </w:trPr>
        <w:tc>
          <w:tcPr>
            <w:tcW w:w="0" w:type="auto"/>
            <w:noWrap/>
            <w:vAlign w:val="center"/>
            <w:hideMark/>
          </w:tcPr>
          <w:p w14:paraId="26B18C17" w14:textId="1BF516A9" w:rsidR="00FB7D48" w:rsidRPr="003D519C" w:rsidRDefault="00FB7D48" w:rsidP="00031C75">
            <w:pPr>
              <w:pStyle w:val="ExhibitText"/>
              <w:jc w:val="left"/>
              <w:rPr>
                <w:rFonts w:eastAsia="Cambria"/>
                <w:lang w:val="en-GB"/>
              </w:rPr>
            </w:pPr>
            <w:r w:rsidRPr="003D519C">
              <w:rPr>
                <w:rFonts w:eastAsia="Cambria"/>
                <w:lang w:val="en-GB"/>
              </w:rPr>
              <w:t>Shares Outstanding (</w:t>
            </w:r>
            <w:r w:rsidR="00062DD5">
              <w:rPr>
                <w:rFonts w:eastAsia="Cambria"/>
                <w:lang w:val="en-GB"/>
              </w:rPr>
              <w:t xml:space="preserve">in </w:t>
            </w:r>
            <w:r w:rsidRPr="003D519C">
              <w:rPr>
                <w:rFonts w:eastAsia="Cambria"/>
                <w:lang w:val="en-GB"/>
              </w:rPr>
              <w:t>millions)</w:t>
            </w:r>
          </w:p>
        </w:tc>
        <w:tc>
          <w:tcPr>
            <w:tcW w:w="0" w:type="auto"/>
            <w:noWrap/>
            <w:vAlign w:val="center"/>
            <w:hideMark/>
          </w:tcPr>
          <w:p w14:paraId="04581EC2" w14:textId="1622C2D3" w:rsidR="00FB7D48" w:rsidRPr="003D519C" w:rsidRDefault="00127054" w:rsidP="00FB7D48">
            <w:pPr>
              <w:pStyle w:val="ExhibitText"/>
              <w:jc w:val="right"/>
              <w:rPr>
                <w:rFonts w:eastAsia="Cambria"/>
                <w:lang w:val="en-GB"/>
              </w:rPr>
            </w:pPr>
            <w:r>
              <w:rPr>
                <w:rFonts w:eastAsia="Cambria"/>
                <w:lang w:val="en-GB"/>
              </w:rPr>
              <w:t>$</w:t>
            </w:r>
            <w:r w:rsidR="00FB7D48" w:rsidRPr="003D519C">
              <w:rPr>
                <w:rFonts w:eastAsia="Cambria"/>
                <w:lang w:val="en-GB"/>
              </w:rPr>
              <w:t>182.2</w:t>
            </w:r>
          </w:p>
        </w:tc>
      </w:tr>
      <w:tr w:rsidR="00FB7D48" w:rsidRPr="003D519C" w14:paraId="308F3D07" w14:textId="77777777" w:rsidTr="00031C75">
        <w:trPr>
          <w:trHeight w:val="300"/>
          <w:jc w:val="center"/>
        </w:trPr>
        <w:tc>
          <w:tcPr>
            <w:tcW w:w="0" w:type="auto"/>
            <w:noWrap/>
            <w:vAlign w:val="center"/>
            <w:hideMark/>
          </w:tcPr>
          <w:p w14:paraId="055EE7E9" w14:textId="69E21C55" w:rsidR="00FB7D48" w:rsidRPr="003D519C" w:rsidRDefault="00FB7D48" w:rsidP="00031C75">
            <w:pPr>
              <w:pStyle w:val="ExhibitText"/>
              <w:jc w:val="left"/>
              <w:rPr>
                <w:rFonts w:eastAsia="Cambria"/>
                <w:lang w:val="en-GB"/>
              </w:rPr>
            </w:pPr>
            <w:r w:rsidRPr="003D519C">
              <w:rPr>
                <w:rFonts w:eastAsia="Cambria"/>
                <w:lang w:val="en-GB"/>
              </w:rPr>
              <w:t>Cash</w:t>
            </w:r>
            <w:r w:rsidR="00866375">
              <w:rPr>
                <w:rFonts w:eastAsia="Cambria"/>
                <w:lang w:val="en-GB"/>
              </w:rPr>
              <w:t xml:space="preserve"> (in millions of CA$)</w:t>
            </w:r>
          </w:p>
        </w:tc>
        <w:tc>
          <w:tcPr>
            <w:tcW w:w="0" w:type="auto"/>
            <w:noWrap/>
            <w:vAlign w:val="center"/>
            <w:hideMark/>
          </w:tcPr>
          <w:p w14:paraId="24F39B08" w14:textId="77777777" w:rsidR="00FB7D48" w:rsidRPr="003D519C" w:rsidRDefault="00FB7D48" w:rsidP="00FB7D48">
            <w:pPr>
              <w:pStyle w:val="ExhibitText"/>
              <w:jc w:val="right"/>
              <w:rPr>
                <w:rFonts w:eastAsia="Cambria"/>
                <w:lang w:val="en-GB"/>
              </w:rPr>
            </w:pPr>
            <w:r w:rsidRPr="003D519C">
              <w:rPr>
                <w:rFonts w:eastAsia="Cambria"/>
                <w:lang w:val="en-GB"/>
              </w:rPr>
              <w:t>$112</w:t>
            </w:r>
          </w:p>
        </w:tc>
      </w:tr>
      <w:tr w:rsidR="00FB7D48" w:rsidRPr="003D519C" w14:paraId="12DBCB34" w14:textId="77777777" w:rsidTr="00031C75">
        <w:trPr>
          <w:trHeight w:val="300"/>
          <w:jc w:val="center"/>
        </w:trPr>
        <w:tc>
          <w:tcPr>
            <w:tcW w:w="0" w:type="auto"/>
            <w:noWrap/>
            <w:vAlign w:val="center"/>
            <w:hideMark/>
          </w:tcPr>
          <w:p w14:paraId="0224F516" w14:textId="287A7832" w:rsidR="00FB7D48" w:rsidRPr="003D519C" w:rsidRDefault="00FB7D48" w:rsidP="00031C75">
            <w:pPr>
              <w:pStyle w:val="ExhibitText"/>
              <w:jc w:val="left"/>
              <w:rPr>
                <w:rFonts w:eastAsia="Cambria"/>
                <w:lang w:val="en-GB"/>
              </w:rPr>
            </w:pPr>
            <w:r w:rsidRPr="003D519C">
              <w:rPr>
                <w:rFonts w:eastAsia="Cambria"/>
                <w:lang w:val="en-GB"/>
              </w:rPr>
              <w:t>Short</w:t>
            </w:r>
            <w:r w:rsidR="00062DD5">
              <w:rPr>
                <w:rFonts w:eastAsia="Cambria"/>
                <w:lang w:val="en-GB"/>
              </w:rPr>
              <w:t>-</w:t>
            </w:r>
            <w:r w:rsidRPr="003D519C">
              <w:rPr>
                <w:rFonts w:eastAsia="Cambria"/>
                <w:lang w:val="en-GB"/>
              </w:rPr>
              <w:t>Term Debt</w:t>
            </w:r>
            <w:r w:rsidR="00866375">
              <w:rPr>
                <w:rFonts w:eastAsia="Cambria"/>
                <w:lang w:val="en-GB"/>
              </w:rPr>
              <w:t xml:space="preserve"> (in millions of CA$)</w:t>
            </w:r>
          </w:p>
        </w:tc>
        <w:tc>
          <w:tcPr>
            <w:tcW w:w="0" w:type="auto"/>
            <w:noWrap/>
            <w:vAlign w:val="center"/>
            <w:hideMark/>
          </w:tcPr>
          <w:p w14:paraId="5EDB01AA" w14:textId="77777777" w:rsidR="00FB7D48" w:rsidRPr="003D519C" w:rsidRDefault="00FB7D48" w:rsidP="00FB7D48">
            <w:pPr>
              <w:pStyle w:val="ExhibitText"/>
              <w:jc w:val="right"/>
              <w:rPr>
                <w:rFonts w:eastAsia="Cambria"/>
                <w:lang w:val="en-GB"/>
              </w:rPr>
            </w:pPr>
            <w:r w:rsidRPr="003D519C">
              <w:rPr>
                <w:rFonts w:eastAsia="Cambria"/>
                <w:lang w:val="en-GB"/>
              </w:rPr>
              <w:t>$1,206</w:t>
            </w:r>
          </w:p>
        </w:tc>
      </w:tr>
      <w:tr w:rsidR="00FB7D48" w:rsidRPr="003D519C" w14:paraId="61CE6B01" w14:textId="77777777" w:rsidTr="00031C75">
        <w:trPr>
          <w:trHeight w:val="300"/>
          <w:jc w:val="center"/>
        </w:trPr>
        <w:tc>
          <w:tcPr>
            <w:tcW w:w="0" w:type="auto"/>
            <w:noWrap/>
            <w:vAlign w:val="center"/>
            <w:hideMark/>
          </w:tcPr>
          <w:p w14:paraId="150F3859" w14:textId="7D61D626" w:rsidR="00FB7D48" w:rsidRPr="003D519C" w:rsidRDefault="00FB7D48" w:rsidP="00031C75">
            <w:pPr>
              <w:pStyle w:val="ExhibitText"/>
              <w:jc w:val="left"/>
              <w:rPr>
                <w:rFonts w:eastAsia="Cambria"/>
                <w:lang w:val="en-GB"/>
              </w:rPr>
            </w:pPr>
            <w:r w:rsidRPr="003D519C">
              <w:rPr>
                <w:rFonts w:eastAsia="Cambria"/>
                <w:lang w:val="en-GB"/>
              </w:rPr>
              <w:t>Historical Short-Term Interest Rates</w:t>
            </w:r>
          </w:p>
        </w:tc>
        <w:tc>
          <w:tcPr>
            <w:tcW w:w="0" w:type="auto"/>
            <w:noWrap/>
            <w:vAlign w:val="center"/>
            <w:hideMark/>
          </w:tcPr>
          <w:p w14:paraId="03F1797D" w14:textId="2D6174A7" w:rsidR="00FB7D48" w:rsidRPr="003D519C" w:rsidRDefault="00FB7D48" w:rsidP="00062DD5">
            <w:pPr>
              <w:pStyle w:val="ExhibitText"/>
              <w:jc w:val="right"/>
              <w:rPr>
                <w:rFonts w:eastAsia="Cambria"/>
                <w:lang w:val="en-GB"/>
              </w:rPr>
            </w:pPr>
            <w:r w:rsidRPr="003D519C">
              <w:rPr>
                <w:rFonts w:eastAsia="Cambria"/>
                <w:lang w:val="en-GB"/>
              </w:rPr>
              <w:t>3.9</w:t>
            </w:r>
            <w:r w:rsidR="00062DD5">
              <w:rPr>
                <w:rFonts w:eastAsia="Cambria"/>
                <w:lang w:val="en-GB"/>
              </w:rPr>
              <w:t>–</w:t>
            </w:r>
            <w:r w:rsidRPr="003D519C">
              <w:rPr>
                <w:rFonts w:eastAsia="Cambria"/>
                <w:lang w:val="en-GB"/>
              </w:rPr>
              <w:t>4.9%</w:t>
            </w:r>
          </w:p>
        </w:tc>
      </w:tr>
      <w:tr w:rsidR="00FB7D48" w:rsidRPr="003D519C" w14:paraId="2EA94A4C" w14:textId="77777777" w:rsidTr="00031C75">
        <w:trPr>
          <w:trHeight w:val="300"/>
          <w:jc w:val="center"/>
        </w:trPr>
        <w:tc>
          <w:tcPr>
            <w:tcW w:w="0" w:type="auto"/>
            <w:noWrap/>
            <w:vAlign w:val="center"/>
            <w:hideMark/>
          </w:tcPr>
          <w:p w14:paraId="46EBE0DA" w14:textId="0EC50675" w:rsidR="00FB7D48" w:rsidRPr="003D519C" w:rsidRDefault="00FB7D48" w:rsidP="00031C75">
            <w:pPr>
              <w:pStyle w:val="ExhibitText"/>
              <w:jc w:val="left"/>
              <w:rPr>
                <w:rFonts w:eastAsia="Cambria"/>
                <w:lang w:val="en-GB"/>
              </w:rPr>
            </w:pPr>
            <w:r w:rsidRPr="003D519C">
              <w:rPr>
                <w:rFonts w:eastAsia="Cambria"/>
                <w:lang w:val="en-GB"/>
              </w:rPr>
              <w:t>Long</w:t>
            </w:r>
            <w:r w:rsidR="00062DD5">
              <w:rPr>
                <w:rFonts w:eastAsia="Cambria"/>
                <w:lang w:val="en-GB"/>
              </w:rPr>
              <w:t>-</w:t>
            </w:r>
            <w:r w:rsidRPr="003D519C">
              <w:rPr>
                <w:rFonts w:eastAsia="Cambria"/>
                <w:lang w:val="en-GB"/>
              </w:rPr>
              <w:t>Term Debt</w:t>
            </w:r>
            <w:r w:rsidR="00866375">
              <w:rPr>
                <w:rFonts w:eastAsia="Cambria"/>
                <w:lang w:val="en-GB"/>
              </w:rPr>
              <w:t xml:space="preserve"> (in millions of CA$)</w:t>
            </w:r>
          </w:p>
        </w:tc>
        <w:tc>
          <w:tcPr>
            <w:tcW w:w="0" w:type="auto"/>
            <w:noWrap/>
            <w:vAlign w:val="center"/>
            <w:hideMark/>
          </w:tcPr>
          <w:p w14:paraId="621DDCB7" w14:textId="77777777" w:rsidR="00FB7D48" w:rsidRPr="003D519C" w:rsidRDefault="00FB7D48" w:rsidP="00FB7D48">
            <w:pPr>
              <w:pStyle w:val="ExhibitText"/>
              <w:jc w:val="right"/>
              <w:rPr>
                <w:rFonts w:eastAsia="Cambria"/>
                <w:lang w:val="en-GB"/>
              </w:rPr>
            </w:pPr>
            <w:r w:rsidRPr="003D519C">
              <w:rPr>
                <w:rFonts w:eastAsia="Cambria"/>
                <w:lang w:val="en-GB"/>
              </w:rPr>
              <w:t>$2,604</w:t>
            </w:r>
          </w:p>
        </w:tc>
      </w:tr>
      <w:tr w:rsidR="00FB7D48" w:rsidRPr="003D519C" w14:paraId="5FC58816" w14:textId="77777777" w:rsidTr="00031C75">
        <w:trPr>
          <w:trHeight w:val="300"/>
          <w:jc w:val="center"/>
        </w:trPr>
        <w:tc>
          <w:tcPr>
            <w:tcW w:w="0" w:type="auto"/>
            <w:noWrap/>
            <w:vAlign w:val="center"/>
            <w:hideMark/>
          </w:tcPr>
          <w:p w14:paraId="2F941C14" w14:textId="37957D89" w:rsidR="00FB7D48" w:rsidRPr="003D519C" w:rsidRDefault="00FB7D48" w:rsidP="00031C75">
            <w:pPr>
              <w:pStyle w:val="ExhibitText"/>
              <w:jc w:val="left"/>
              <w:rPr>
                <w:rFonts w:eastAsia="Cambria"/>
                <w:lang w:val="en-GB"/>
              </w:rPr>
            </w:pPr>
            <w:r w:rsidRPr="003D519C">
              <w:rPr>
                <w:rFonts w:eastAsia="Cambria"/>
                <w:lang w:val="en-GB"/>
              </w:rPr>
              <w:t>Historical Long-Term Interest Rates</w:t>
            </w:r>
          </w:p>
        </w:tc>
        <w:tc>
          <w:tcPr>
            <w:tcW w:w="0" w:type="auto"/>
            <w:noWrap/>
            <w:vAlign w:val="center"/>
            <w:hideMark/>
          </w:tcPr>
          <w:p w14:paraId="6005F644" w14:textId="296516F0" w:rsidR="00FB7D48" w:rsidRPr="003D519C" w:rsidRDefault="00FB7D48" w:rsidP="00B2210C">
            <w:pPr>
              <w:pStyle w:val="ExhibitText"/>
              <w:jc w:val="right"/>
              <w:rPr>
                <w:rFonts w:eastAsia="Cambria"/>
                <w:lang w:val="en-GB"/>
              </w:rPr>
            </w:pPr>
            <w:r w:rsidRPr="003D519C">
              <w:rPr>
                <w:rFonts w:eastAsia="Cambria"/>
                <w:lang w:val="en-GB"/>
              </w:rPr>
              <w:t>3.25</w:t>
            </w:r>
            <w:r w:rsidR="00F85CF2">
              <w:rPr>
                <w:rFonts w:eastAsia="Cambria"/>
                <w:lang w:val="en-GB"/>
              </w:rPr>
              <w:t>–</w:t>
            </w:r>
            <w:r w:rsidRPr="003D519C">
              <w:rPr>
                <w:rFonts w:eastAsia="Cambria"/>
                <w:lang w:val="en-GB"/>
              </w:rPr>
              <w:t>4.39%</w:t>
            </w:r>
          </w:p>
        </w:tc>
      </w:tr>
      <w:tr w:rsidR="00FB7D48" w:rsidRPr="003D519C" w14:paraId="09C5C3AF" w14:textId="77777777" w:rsidTr="00031C75">
        <w:trPr>
          <w:trHeight w:val="300"/>
          <w:jc w:val="center"/>
        </w:trPr>
        <w:tc>
          <w:tcPr>
            <w:tcW w:w="0" w:type="auto"/>
            <w:noWrap/>
            <w:vAlign w:val="center"/>
            <w:hideMark/>
          </w:tcPr>
          <w:p w14:paraId="380297B9" w14:textId="69336219" w:rsidR="00FB7D48" w:rsidRPr="003D519C" w:rsidRDefault="00FB7D48" w:rsidP="00031C75">
            <w:pPr>
              <w:pStyle w:val="ExhibitText"/>
              <w:jc w:val="left"/>
              <w:rPr>
                <w:rFonts w:eastAsia="Cambria"/>
                <w:lang w:val="en-GB"/>
              </w:rPr>
            </w:pPr>
            <w:r w:rsidRPr="003D519C">
              <w:rPr>
                <w:rFonts w:eastAsia="Cambria"/>
                <w:lang w:val="en-GB"/>
              </w:rPr>
              <w:t xml:space="preserve">Total Tax Loss </w:t>
            </w:r>
            <w:proofErr w:type="spellStart"/>
            <w:r w:rsidRPr="003D519C">
              <w:rPr>
                <w:rFonts w:eastAsia="Cambria"/>
                <w:lang w:val="en-GB"/>
              </w:rPr>
              <w:t>Carryforwards</w:t>
            </w:r>
            <w:proofErr w:type="spellEnd"/>
            <w:r w:rsidRPr="003D519C">
              <w:rPr>
                <w:rFonts w:eastAsia="Cambria"/>
                <w:lang w:val="en-GB"/>
              </w:rPr>
              <w:t xml:space="preserve"> (2016)</w:t>
            </w:r>
            <w:r w:rsidR="00866375">
              <w:rPr>
                <w:rFonts w:eastAsia="Cambria"/>
                <w:lang w:val="en-GB"/>
              </w:rPr>
              <w:t xml:space="preserve"> (in millions of CA$)</w:t>
            </w:r>
          </w:p>
        </w:tc>
        <w:tc>
          <w:tcPr>
            <w:tcW w:w="0" w:type="auto"/>
            <w:noWrap/>
            <w:vAlign w:val="center"/>
            <w:hideMark/>
          </w:tcPr>
          <w:p w14:paraId="568364FB" w14:textId="77777777" w:rsidR="00FB7D48" w:rsidRPr="003D519C" w:rsidRDefault="00FB7D48" w:rsidP="00FB7D48">
            <w:pPr>
              <w:pStyle w:val="ExhibitText"/>
              <w:jc w:val="right"/>
              <w:rPr>
                <w:rFonts w:eastAsia="Cambria"/>
                <w:lang w:val="en-GB"/>
              </w:rPr>
            </w:pPr>
            <w:r w:rsidRPr="003D519C">
              <w:rPr>
                <w:rFonts w:eastAsia="Cambria"/>
                <w:lang w:val="en-GB"/>
              </w:rPr>
              <w:t>$1,656</w:t>
            </w:r>
          </w:p>
        </w:tc>
      </w:tr>
    </w:tbl>
    <w:p w14:paraId="02F0C388" w14:textId="77777777" w:rsidR="00FB7D48" w:rsidRDefault="00FB7D48" w:rsidP="00FB7D48">
      <w:pPr>
        <w:pStyle w:val="ExhibitText"/>
        <w:rPr>
          <w:rFonts w:eastAsia="Arial"/>
          <w:lang w:val="en-GB"/>
        </w:rPr>
      </w:pPr>
    </w:p>
    <w:p w14:paraId="0F7FE05B" w14:textId="16AD3DAB" w:rsidR="00866375" w:rsidRDefault="00866375" w:rsidP="005D2914">
      <w:pPr>
        <w:pStyle w:val="Footnote"/>
        <w:rPr>
          <w:rFonts w:eastAsia="Arial"/>
          <w:lang w:val="en-GB"/>
        </w:rPr>
      </w:pPr>
      <w:r>
        <w:rPr>
          <w:rFonts w:eastAsia="Arial"/>
          <w:lang w:val="en-GB"/>
        </w:rPr>
        <w:t>Note: The interest rate ranges are based on historical borrowings, including revolving credit facilities, term loans, and mortgages.</w:t>
      </w:r>
    </w:p>
    <w:p w14:paraId="37CEA9F2" w14:textId="77777777" w:rsidR="00866375" w:rsidRPr="003D519C" w:rsidRDefault="00866375" w:rsidP="00FB7D48">
      <w:pPr>
        <w:pStyle w:val="ExhibitText"/>
        <w:rPr>
          <w:rFonts w:eastAsia="Arial"/>
          <w:lang w:val="en-GB"/>
        </w:rPr>
      </w:pPr>
    </w:p>
    <w:tbl>
      <w:tblPr>
        <w:tblStyle w:val="TableGrid1"/>
        <w:tblW w:w="4765" w:type="pct"/>
        <w:tblInd w:w="265" w:type="dxa"/>
        <w:tblLayout w:type="fixed"/>
        <w:tblLook w:val="04A0" w:firstRow="1" w:lastRow="0" w:firstColumn="1" w:lastColumn="0" w:noHBand="0" w:noVBand="1"/>
      </w:tblPr>
      <w:tblGrid>
        <w:gridCol w:w="3073"/>
        <w:gridCol w:w="1034"/>
        <w:gridCol w:w="1034"/>
        <w:gridCol w:w="1909"/>
        <w:gridCol w:w="1861"/>
      </w:tblGrid>
      <w:tr w:rsidR="00FB7D48" w:rsidRPr="003D519C" w14:paraId="68622ED9" w14:textId="77777777" w:rsidTr="00FB7D48">
        <w:trPr>
          <w:trHeight w:val="300"/>
        </w:trPr>
        <w:tc>
          <w:tcPr>
            <w:tcW w:w="5000" w:type="pct"/>
            <w:gridSpan w:val="5"/>
            <w:noWrap/>
            <w:vAlign w:val="center"/>
            <w:hideMark/>
          </w:tcPr>
          <w:p w14:paraId="6989D94C" w14:textId="7CFDD219" w:rsidR="00FB7D48" w:rsidRPr="003D519C" w:rsidRDefault="00FB7D48" w:rsidP="00FB7D48">
            <w:pPr>
              <w:pStyle w:val="ExhibitText"/>
              <w:jc w:val="center"/>
              <w:rPr>
                <w:rFonts w:eastAsia="Cambria"/>
                <w:b/>
                <w:lang w:val="en-GB"/>
              </w:rPr>
            </w:pPr>
            <w:r w:rsidRPr="003D519C">
              <w:rPr>
                <w:rFonts w:eastAsia="Cambria"/>
                <w:b/>
                <w:lang w:val="en-GB"/>
              </w:rPr>
              <w:t>H</w:t>
            </w:r>
            <w:r w:rsidR="00062DD5">
              <w:rPr>
                <w:rFonts w:eastAsia="Cambria"/>
                <w:b/>
                <w:lang w:val="en-GB"/>
              </w:rPr>
              <w:t xml:space="preserve">udson’s </w:t>
            </w:r>
            <w:r w:rsidRPr="003D519C">
              <w:rPr>
                <w:rFonts w:eastAsia="Cambria"/>
                <w:b/>
                <w:lang w:val="en-GB"/>
              </w:rPr>
              <w:t>B</w:t>
            </w:r>
            <w:r w:rsidR="00062DD5">
              <w:rPr>
                <w:rFonts w:eastAsia="Cambria"/>
                <w:b/>
                <w:lang w:val="en-GB"/>
              </w:rPr>
              <w:t xml:space="preserve">ay </w:t>
            </w:r>
            <w:r w:rsidRPr="003D519C">
              <w:rPr>
                <w:rFonts w:eastAsia="Cambria"/>
                <w:b/>
                <w:lang w:val="en-GB"/>
              </w:rPr>
              <w:t>C</w:t>
            </w:r>
            <w:r w:rsidR="00062DD5">
              <w:rPr>
                <w:rFonts w:eastAsia="Cambria"/>
                <w:b/>
                <w:lang w:val="en-GB"/>
              </w:rPr>
              <w:t>ompany</w:t>
            </w:r>
            <w:r w:rsidRPr="003D519C">
              <w:rPr>
                <w:rFonts w:eastAsia="Cambria"/>
                <w:b/>
                <w:lang w:val="en-GB"/>
              </w:rPr>
              <w:t xml:space="preserve"> Financial Statements Summary</w:t>
            </w:r>
            <w:r w:rsidR="003E7B9E">
              <w:rPr>
                <w:rFonts w:eastAsia="Cambria"/>
                <w:b/>
                <w:lang w:val="en-GB"/>
              </w:rPr>
              <w:t xml:space="preserve"> (in millions of CA$)</w:t>
            </w:r>
          </w:p>
        </w:tc>
      </w:tr>
      <w:tr w:rsidR="00FB7D48" w:rsidRPr="003D519C" w14:paraId="2D0AD013" w14:textId="77777777" w:rsidTr="00FB7D48">
        <w:trPr>
          <w:trHeight w:val="300"/>
        </w:trPr>
        <w:tc>
          <w:tcPr>
            <w:tcW w:w="1725" w:type="pct"/>
            <w:noWrap/>
            <w:hideMark/>
          </w:tcPr>
          <w:p w14:paraId="19AC1D71" w14:textId="77777777" w:rsidR="00FB7D48" w:rsidRPr="003D519C" w:rsidRDefault="00FB7D48" w:rsidP="00FB7D48">
            <w:pPr>
              <w:pStyle w:val="ExhibitText"/>
              <w:rPr>
                <w:rFonts w:eastAsia="Cambria"/>
                <w:lang w:val="en-GB"/>
              </w:rPr>
            </w:pPr>
            <w:r w:rsidRPr="003D519C">
              <w:rPr>
                <w:rFonts w:eastAsia="Cambria"/>
                <w:lang w:val="en-GB"/>
              </w:rPr>
              <w:t> </w:t>
            </w:r>
          </w:p>
        </w:tc>
        <w:tc>
          <w:tcPr>
            <w:tcW w:w="580" w:type="pct"/>
            <w:noWrap/>
            <w:vAlign w:val="center"/>
            <w:hideMark/>
          </w:tcPr>
          <w:p w14:paraId="7AF22D06" w14:textId="77777777" w:rsidR="00FB7D48" w:rsidRPr="003D519C" w:rsidRDefault="00FB7D48" w:rsidP="00FB7D48">
            <w:pPr>
              <w:pStyle w:val="ExhibitText"/>
              <w:jc w:val="center"/>
              <w:rPr>
                <w:rFonts w:eastAsia="Cambria"/>
                <w:b/>
                <w:lang w:val="en-GB"/>
              </w:rPr>
            </w:pPr>
            <w:r w:rsidRPr="003D519C">
              <w:rPr>
                <w:rFonts w:eastAsia="Cambria"/>
                <w:b/>
                <w:lang w:val="en-GB"/>
              </w:rPr>
              <w:t>2015</w:t>
            </w:r>
          </w:p>
        </w:tc>
        <w:tc>
          <w:tcPr>
            <w:tcW w:w="580" w:type="pct"/>
            <w:noWrap/>
            <w:vAlign w:val="center"/>
            <w:hideMark/>
          </w:tcPr>
          <w:p w14:paraId="37B62921" w14:textId="77777777" w:rsidR="00FB7D48" w:rsidRPr="003D519C" w:rsidRDefault="00FB7D48" w:rsidP="00FB7D48">
            <w:pPr>
              <w:pStyle w:val="ExhibitText"/>
              <w:jc w:val="center"/>
              <w:rPr>
                <w:rFonts w:eastAsia="Cambria"/>
                <w:b/>
                <w:lang w:val="en-GB"/>
              </w:rPr>
            </w:pPr>
            <w:r w:rsidRPr="003D519C">
              <w:rPr>
                <w:rFonts w:eastAsia="Cambria"/>
                <w:b/>
                <w:lang w:val="en-GB"/>
              </w:rPr>
              <w:t>2016</w:t>
            </w:r>
          </w:p>
        </w:tc>
        <w:tc>
          <w:tcPr>
            <w:tcW w:w="1071" w:type="pct"/>
            <w:noWrap/>
            <w:vAlign w:val="center"/>
            <w:hideMark/>
          </w:tcPr>
          <w:p w14:paraId="6254AAD5" w14:textId="77777777" w:rsidR="00FB7D48" w:rsidRPr="003D519C" w:rsidRDefault="00FB7D48" w:rsidP="00FB7D48">
            <w:pPr>
              <w:pStyle w:val="ExhibitText"/>
              <w:jc w:val="center"/>
              <w:rPr>
                <w:rFonts w:eastAsia="Cambria"/>
                <w:b/>
                <w:lang w:val="en-GB"/>
              </w:rPr>
            </w:pPr>
            <w:r w:rsidRPr="003D519C">
              <w:rPr>
                <w:rFonts w:eastAsia="Cambria"/>
                <w:b/>
                <w:lang w:val="en-GB"/>
              </w:rPr>
              <w:t>2017 (26 Weeks)</w:t>
            </w:r>
          </w:p>
        </w:tc>
        <w:tc>
          <w:tcPr>
            <w:tcW w:w="1043" w:type="pct"/>
            <w:noWrap/>
            <w:vAlign w:val="center"/>
            <w:hideMark/>
          </w:tcPr>
          <w:p w14:paraId="652A9108" w14:textId="77777777" w:rsidR="00FB7D48" w:rsidRPr="003D519C" w:rsidRDefault="00FB7D48" w:rsidP="00FB7D48">
            <w:pPr>
              <w:pStyle w:val="ExhibitText"/>
              <w:jc w:val="center"/>
              <w:rPr>
                <w:rFonts w:eastAsia="Cambria"/>
                <w:b/>
                <w:lang w:val="en-GB"/>
              </w:rPr>
            </w:pPr>
            <w:r w:rsidRPr="003D519C">
              <w:rPr>
                <w:rFonts w:eastAsia="Cambria"/>
                <w:b/>
                <w:lang w:val="en-GB"/>
              </w:rPr>
              <w:t>2016 (26 Weeks)†</w:t>
            </w:r>
          </w:p>
        </w:tc>
      </w:tr>
      <w:tr w:rsidR="00FB7D48" w:rsidRPr="003D519C" w14:paraId="432FE9DF" w14:textId="77777777" w:rsidTr="00FB7D48">
        <w:trPr>
          <w:trHeight w:val="300"/>
        </w:trPr>
        <w:tc>
          <w:tcPr>
            <w:tcW w:w="1725" w:type="pct"/>
            <w:noWrap/>
            <w:hideMark/>
          </w:tcPr>
          <w:p w14:paraId="12DD3F86" w14:textId="5BA93E1A" w:rsidR="00FB7D48" w:rsidRPr="003D519C" w:rsidRDefault="00FB7D48" w:rsidP="00FB7D48">
            <w:pPr>
              <w:pStyle w:val="ExhibitText"/>
              <w:rPr>
                <w:rFonts w:eastAsia="Cambria"/>
                <w:lang w:val="en-GB"/>
              </w:rPr>
            </w:pPr>
            <w:r w:rsidRPr="003D519C">
              <w:rPr>
                <w:rFonts w:eastAsia="Cambria"/>
                <w:lang w:val="en-GB"/>
              </w:rPr>
              <w:t>Revenue</w:t>
            </w:r>
            <w:r w:rsidR="003E7B9E">
              <w:rPr>
                <w:rFonts w:eastAsia="Cambria"/>
                <w:lang w:val="en-GB"/>
              </w:rPr>
              <w:t xml:space="preserve"> </w:t>
            </w:r>
          </w:p>
        </w:tc>
        <w:tc>
          <w:tcPr>
            <w:tcW w:w="580" w:type="pct"/>
            <w:noWrap/>
            <w:vAlign w:val="center"/>
            <w:hideMark/>
          </w:tcPr>
          <w:p w14:paraId="4CDAAA41" w14:textId="77777777" w:rsidR="00FB7D48" w:rsidRPr="003D519C" w:rsidRDefault="00FB7D48" w:rsidP="00FB7D48">
            <w:pPr>
              <w:pStyle w:val="ExhibitText"/>
              <w:jc w:val="right"/>
              <w:rPr>
                <w:rFonts w:eastAsia="Cambria"/>
                <w:lang w:val="en-GB"/>
              </w:rPr>
            </w:pPr>
            <w:r w:rsidRPr="003D519C">
              <w:rPr>
                <w:rFonts w:eastAsia="Cambria"/>
                <w:lang w:val="en-GB"/>
              </w:rPr>
              <w:t>$11,162</w:t>
            </w:r>
          </w:p>
        </w:tc>
        <w:tc>
          <w:tcPr>
            <w:tcW w:w="580" w:type="pct"/>
            <w:noWrap/>
            <w:vAlign w:val="center"/>
            <w:hideMark/>
          </w:tcPr>
          <w:p w14:paraId="7BC270C0" w14:textId="77777777" w:rsidR="00FB7D48" w:rsidRPr="003D519C" w:rsidRDefault="00FB7D48" w:rsidP="00FB7D48">
            <w:pPr>
              <w:pStyle w:val="ExhibitText"/>
              <w:jc w:val="right"/>
              <w:rPr>
                <w:rFonts w:eastAsia="Cambria"/>
                <w:lang w:val="en-GB"/>
              </w:rPr>
            </w:pPr>
            <w:r w:rsidRPr="003D519C">
              <w:rPr>
                <w:rFonts w:eastAsia="Cambria"/>
                <w:lang w:val="en-GB"/>
              </w:rPr>
              <w:t>$14,455</w:t>
            </w:r>
          </w:p>
        </w:tc>
        <w:tc>
          <w:tcPr>
            <w:tcW w:w="1071" w:type="pct"/>
            <w:noWrap/>
            <w:vAlign w:val="center"/>
            <w:hideMark/>
          </w:tcPr>
          <w:p w14:paraId="6D6C8097" w14:textId="77777777" w:rsidR="00FB7D48" w:rsidRPr="003D519C" w:rsidRDefault="00FB7D48" w:rsidP="005D2914">
            <w:pPr>
              <w:pStyle w:val="ExhibitText"/>
              <w:tabs>
                <w:tab w:val="decimal" w:pos="1274"/>
              </w:tabs>
              <w:rPr>
                <w:rFonts w:eastAsia="Cambria"/>
                <w:lang w:val="en-GB"/>
              </w:rPr>
            </w:pPr>
            <w:r w:rsidRPr="003D519C">
              <w:rPr>
                <w:rFonts w:eastAsia="Cambria"/>
                <w:lang w:val="en-GB"/>
              </w:rPr>
              <w:t>$6,494</w:t>
            </w:r>
          </w:p>
        </w:tc>
        <w:tc>
          <w:tcPr>
            <w:tcW w:w="1043" w:type="pct"/>
            <w:noWrap/>
            <w:vAlign w:val="center"/>
            <w:hideMark/>
          </w:tcPr>
          <w:p w14:paraId="768E1105" w14:textId="77777777" w:rsidR="00FB7D48" w:rsidRPr="003D519C" w:rsidRDefault="00FB7D48" w:rsidP="005D2914">
            <w:pPr>
              <w:pStyle w:val="ExhibitText"/>
              <w:tabs>
                <w:tab w:val="decimal" w:pos="1162"/>
              </w:tabs>
              <w:rPr>
                <w:rFonts w:eastAsia="Cambria"/>
                <w:lang w:val="en-GB"/>
              </w:rPr>
            </w:pPr>
            <w:r w:rsidRPr="003D519C">
              <w:rPr>
                <w:rFonts w:eastAsia="Cambria"/>
                <w:lang w:val="en-GB"/>
              </w:rPr>
              <w:t>$6,555</w:t>
            </w:r>
          </w:p>
        </w:tc>
      </w:tr>
      <w:tr w:rsidR="00FB7D48" w:rsidRPr="003D519C" w14:paraId="62ACFA27" w14:textId="77777777" w:rsidTr="00FB7D48">
        <w:trPr>
          <w:trHeight w:val="300"/>
        </w:trPr>
        <w:tc>
          <w:tcPr>
            <w:tcW w:w="1725" w:type="pct"/>
            <w:noWrap/>
            <w:hideMark/>
          </w:tcPr>
          <w:p w14:paraId="202BEFFF" w14:textId="77777777" w:rsidR="00FB7D48" w:rsidRPr="003D519C" w:rsidRDefault="00FB7D48" w:rsidP="00FB7D48">
            <w:pPr>
              <w:pStyle w:val="ExhibitText"/>
              <w:rPr>
                <w:rFonts w:eastAsia="Cambria"/>
                <w:lang w:val="en-GB"/>
              </w:rPr>
            </w:pPr>
            <w:r w:rsidRPr="003D519C">
              <w:rPr>
                <w:rFonts w:eastAsia="Cambria"/>
                <w:lang w:val="en-GB"/>
              </w:rPr>
              <w:t>Operating Expenses</w:t>
            </w:r>
          </w:p>
        </w:tc>
        <w:tc>
          <w:tcPr>
            <w:tcW w:w="580" w:type="pct"/>
            <w:noWrap/>
            <w:vAlign w:val="center"/>
            <w:hideMark/>
          </w:tcPr>
          <w:p w14:paraId="50A2D743" w14:textId="77777777" w:rsidR="00FB7D48" w:rsidRPr="003D519C" w:rsidRDefault="00FB7D48" w:rsidP="00FB7D48">
            <w:pPr>
              <w:pStyle w:val="ExhibitText"/>
              <w:jc w:val="right"/>
              <w:rPr>
                <w:rFonts w:eastAsia="Cambria"/>
                <w:lang w:val="en-GB"/>
              </w:rPr>
            </w:pPr>
            <w:r w:rsidRPr="003D519C">
              <w:rPr>
                <w:rFonts w:eastAsia="Cambria"/>
                <w:lang w:val="en-GB"/>
              </w:rPr>
              <w:t>$10,704</w:t>
            </w:r>
          </w:p>
        </w:tc>
        <w:tc>
          <w:tcPr>
            <w:tcW w:w="580" w:type="pct"/>
            <w:noWrap/>
            <w:vAlign w:val="center"/>
            <w:hideMark/>
          </w:tcPr>
          <w:p w14:paraId="12290613" w14:textId="77777777" w:rsidR="00FB7D48" w:rsidRPr="003D519C" w:rsidRDefault="00FB7D48" w:rsidP="00FB7D48">
            <w:pPr>
              <w:pStyle w:val="ExhibitText"/>
              <w:jc w:val="right"/>
              <w:rPr>
                <w:rFonts w:eastAsia="Cambria"/>
                <w:lang w:val="en-GB"/>
              </w:rPr>
            </w:pPr>
            <w:r w:rsidRPr="003D519C">
              <w:rPr>
                <w:rFonts w:eastAsia="Cambria"/>
                <w:lang w:val="en-GB"/>
              </w:rPr>
              <w:t>$14,173</w:t>
            </w:r>
          </w:p>
        </w:tc>
        <w:tc>
          <w:tcPr>
            <w:tcW w:w="1071" w:type="pct"/>
            <w:noWrap/>
            <w:vAlign w:val="center"/>
            <w:hideMark/>
          </w:tcPr>
          <w:p w14:paraId="4ADACD7C" w14:textId="77777777" w:rsidR="00FB7D48" w:rsidRPr="003D519C" w:rsidRDefault="00FB7D48" w:rsidP="005D2914">
            <w:pPr>
              <w:pStyle w:val="ExhibitText"/>
              <w:tabs>
                <w:tab w:val="decimal" w:pos="1274"/>
              </w:tabs>
              <w:rPr>
                <w:rFonts w:eastAsia="Cambria"/>
                <w:lang w:val="en-GB"/>
              </w:rPr>
            </w:pPr>
            <w:r w:rsidRPr="003D519C">
              <w:rPr>
                <w:rFonts w:eastAsia="Cambria"/>
                <w:lang w:val="en-GB"/>
              </w:rPr>
              <w:t>$6,600</w:t>
            </w:r>
          </w:p>
        </w:tc>
        <w:tc>
          <w:tcPr>
            <w:tcW w:w="1043" w:type="pct"/>
            <w:noWrap/>
            <w:vAlign w:val="center"/>
            <w:hideMark/>
          </w:tcPr>
          <w:p w14:paraId="4709EBEF" w14:textId="77777777" w:rsidR="00FB7D48" w:rsidRPr="003D519C" w:rsidRDefault="00FB7D48" w:rsidP="005D2914">
            <w:pPr>
              <w:pStyle w:val="ExhibitText"/>
              <w:tabs>
                <w:tab w:val="decimal" w:pos="1162"/>
              </w:tabs>
              <w:rPr>
                <w:rFonts w:eastAsia="Cambria"/>
                <w:lang w:val="en-GB"/>
              </w:rPr>
            </w:pPr>
            <w:r w:rsidRPr="003D519C">
              <w:rPr>
                <w:rFonts w:eastAsia="Cambria"/>
                <w:lang w:val="en-GB"/>
              </w:rPr>
              <w:t>$6,502</w:t>
            </w:r>
          </w:p>
        </w:tc>
      </w:tr>
      <w:tr w:rsidR="00FB7D48" w:rsidRPr="003D519C" w14:paraId="4C6423C4" w14:textId="77777777" w:rsidTr="00FB7D48">
        <w:trPr>
          <w:trHeight w:val="300"/>
        </w:trPr>
        <w:tc>
          <w:tcPr>
            <w:tcW w:w="1725" w:type="pct"/>
            <w:noWrap/>
            <w:hideMark/>
          </w:tcPr>
          <w:p w14:paraId="21058B34" w14:textId="77777777" w:rsidR="00FB7D48" w:rsidRPr="003D519C" w:rsidRDefault="00FB7D48" w:rsidP="00FB7D48">
            <w:pPr>
              <w:pStyle w:val="ExhibitText"/>
              <w:rPr>
                <w:rFonts w:eastAsia="Cambria"/>
                <w:lang w:val="en-GB"/>
              </w:rPr>
            </w:pPr>
            <w:r w:rsidRPr="003D519C">
              <w:rPr>
                <w:rFonts w:eastAsia="Cambria"/>
                <w:lang w:val="en-GB"/>
              </w:rPr>
              <w:t>EBITDA</w:t>
            </w:r>
          </w:p>
        </w:tc>
        <w:tc>
          <w:tcPr>
            <w:tcW w:w="580" w:type="pct"/>
            <w:noWrap/>
            <w:vAlign w:val="center"/>
            <w:hideMark/>
          </w:tcPr>
          <w:p w14:paraId="6CBA05FB" w14:textId="77777777" w:rsidR="00FB7D48" w:rsidRPr="003D519C" w:rsidRDefault="00FB7D48" w:rsidP="00FB7D48">
            <w:pPr>
              <w:pStyle w:val="ExhibitText"/>
              <w:jc w:val="right"/>
              <w:rPr>
                <w:rFonts w:eastAsia="Cambria"/>
                <w:lang w:val="en-GB"/>
              </w:rPr>
            </w:pPr>
            <w:r w:rsidRPr="003D519C">
              <w:rPr>
                <w:rFonts w:eastAsia="Cambria"/>
                <w:lang w:val="en-GB"/>
              </w:rPr>
              <w:t>$458</w:t>
            </w:r>
          </w:p>
        </w:tc>
        <w:tc>
          <w:tcPr>
            <w:tcW w:w="580" w:type="pct"/>
            <w:noWrap/>
            <w:vAlign w:val="center"/>
            <w:hideMark/>
          </w:tcPr>
          <w:p w14:paraId="378461F3" w14:textId="77777777" w:rsidR="00FB7D48" w:rsidRPr="003D519C" w:rsidRDefault="00FB7D48" w:rsidP="00FB7D48">
            <w:pPr>
              <w:pStyle w:val="ExhibitText"/>
              <w:jc w:val="right"/>
              <w:rPr>
                <w:rFonts w:eastAsia="Cambria"/>
                <w:lang w:val="en-GB"/>
              </w:rPr>
            </w:pPr>
            <w:r w:rsidRPr="003D519C">
              <w:rPr>
                <w:rFonts w:eastAsia="Cambria"/>
                <w:lang w:val="en-GB"/>
              </w:rPr>
              <w:t>$282</w:t>
            </w:r>
          </w:p>
        </w:tc>
        <w:tc>
          <w:tcPr>
            <w:tcW w:w="1071" w:type="pct"/>
            <w:noWrap/>
            <w:vAlign w:val="center"/>
            <w:hideMark/>
          </w:tcPr>
          <w:p w14:paraId="6CAE732D" w14:textId="3072076A" w:rsidR="00FB7D48" w:rsidRPr="003D519C" w:rsidRDefault="00866375" w:rsidP="005D2914">
            <w:pPr>
              <w:pStyle w:val="ExhibitText"/>
              <w:tabs>
                <w:tab w:val="decimal" w:pos="1274"/>
              </w:tabs>
              <w:rPr>
                <w:rFonts w:eastAsia="Cambria"/>
                <w:lang w:val="en-GB"/>
              </w:rPr>
            </w:pPr>
            <w:r>
              <w:rPr>
                <w:rFonts w:eastAsia="Cambria"/>
                <w:lang w:val="en-GB"/>
              </w:rPr>
              <w:t>–</w:t>
            </w:r>
            <w:r w:rsidR="00FB7D48" w:rsidRPr="003D519C">
              <w:rPr>
                <w:rFonts w:eastAsia="Cambria"/>
                <w:lang w:val="en-GB"/>
              </w:rPr>
              <w:t>$106</w:t>
            </w:r>
          </w:p>
        </w:tc>
        <w:tc>
          <w:tcPr>
            <w:tcW w:w="1043" w:type="pct"/>
            <w:noWrap/>
            <w:vAlign w:val="center"/>
            <w:hideMark/>
          </w:tcPr>
          <w:p w14:paraId="7B85859F" w14:textId="77777777" w:rsidR="00FB7D48" w:rsidRPr="003D519C" w:rsidRDefault="00FB7D48" w:rsidP="005D2914">
            <w:pPr>
              <w:pStyle w:val="ExhibitText"/>
              <w:tabs>
                <w:tab w:val="decimal" w:pos="1162"/>
              </w:tabs>
              <w:rPr>
                <w:rFonts w:eastAsia="Cambria"/>
                <w:lang w:val="en-GB"/>
              </w:rPr>
            </w:pPr>
            <w:r w:rsidRPr="003D519C">
              <w:rPr>
                <w:rFonts w:eastAsia="Cambria"/>
                <w:lang w:val="en-GB"/>
              </w:rPr>
              <w:t>$53</w:t>
            </w:r>
          </w:p>
        </w:tc>
      </w:tr>
      <w:tr w:rsidR="00FB7D48" w:rsidRPr="003D519C" w14:paraId="1F1094CE" w14:textId="77777777" w:rsidTr="00FB7D48">
        <w:trPr>
          <w:trHeight w:val="300"/>
        </w:trPr>
        <w:tc>
          <w:tcPr>
            <w:tcW w:w="1725" w:type="pct"/>
            <w:noWrap/>
            <w:hideMark/>
          </w:tcPr>
          <w:p w14:paraId="38BCEB8C" w14:textId="77777777" w:rsidR="00FB7D48" w:rsidRPr="003D519C" w:rsidRDefault="00FB7D48" w:rsidP="00FB7D48">
            <w:pPr>
              <w:pStyle w:val="ExhibitText"/>
              <w:rPr>
                <w:rFonts w:eastAsia="Cambria"/>
                <w:lang w:val="en-GB"/>
              </w:rPr>
            </w:pPr>
            <w:r w:rsidRPr="003D519C">
              <w:rPr>
                <w:rFonts w:eastAsia="Cambria"/>
                <w:lang w:val="en-GB"/>
              </w:rPr>
              <w:t>Depreciation</w:t>
            </w:r>
          </w:p>
        </w:tc>
        <w:tc>
          <w:tcPr>
            <w:tcW w:w="580" w:type="pct"/>
            <w:noWrap/>
            <w:vAlign w:val="center"/>
            <w:hideMark/>
          </w:tcPr>
          <w:p w14:paraId="42A52F6D" w14:textId="77777777" w:rsidR="00FB7D48" w:rsidRPr="003D519C" w:rsidRDefault="00FB7D48" w:rsidP="00FB7D48">
            <w:pPr>
              <w:pStyle w:val="ExhibitText"/>
              <w:jc w:val="right"/>
              <w:rPr>
                <w:rFonts w:eastAsia="Cambria"/>
                <w:lang w:val="en-GB"/>
              </w:rPr>
            </w:pPr>
            <w:r w:rsidRPr="003D519C">
              <w:rPr>
                <w:rFonts w:eastAsia="Cambria"/>
                <w:lang w:val="en-GB"/>
              </w:rPr>
              <w:t>$460</w:t>
            </w:r>
          </w:p>
        </w:tc>
        <w:tc>
          <w:tcPr>
            <w:tcW w:w="580" w:type="pct"/>
            <w:noWrap/>
            <w:vAlign w:val="center"/>
            <w:hideMark/>
          </w:tcPr>
          <w:p w14:paraId="56195312" w14:textId="77777777" w:rsidR="00FB7D48" w:rsidRPr="003D519C" w:rsidRDefault="00FB7D48" w:rsidP="00FB7D48">
            <w:pPr>
              <w:pStyle w:val="ExhibitText"/>
              <w:jc w:val="right"/>
              <w:rPr>
                <w:rFonts w:eastAsia="Cambria"/>
                <w:lang w:val="en-GB"/>
              </w:rPr>
            </w:pPr>
            <w:r w:rsidRPr="003D519C">
              <w:rPr>
                <w:rFonts w:eastAsia="Cambria"/>
                <w:lang w:val="en-GB"/>
              </w:rPr>
              <w:t>$695</w:t>
            </w:r>
          </w:p>
        </w:tc>
        <w:tc>
          <w:tcPr>
            <w:tcW w:w="1071" w:type="pct"/>
            <w:noWrap/>
            <w:vAlign w:val="center"/>
            <w:hideMark/>
          </w:tcPr>
          <w:p w14:paraId="2494B7A7" w14:textId="77777777" w:rsidR="00FB7D48" w:rsidRPr="003D519C" w:rsidRDefault="00FB7D48" w:rsidP="005D2914">
            <w:pPr>
              <w:pStyle w:val="ExhibitText"/>
              <w:tabs>
                <w:tab w:val="decimal" w:pos="1274"/>
              </w:tabs>
              <w:rPr>
                <w:rFonts w:eastAsia="Cambria"/>
                <w:lang w:val="en-GB"/>
              </w:rPr>
            </w:pPr>
            <w:r w:rsidRPr="003D519C">
              <w:rPr>
                <w:rFonts w:eastAsia="Cambria"/>
                <w:lang w:val="en-GB"/>
              </w:rPr>
              <w:t>$346</w:t>
            </w:r>
          </w:p>
        </w:tc>
        <w:tc>
          <w:tcPr>
            <w:tcW w:w="1043" w:type="pct"/>
            <w:noWrap/>
            <w:vAlign w:val="center"/>
            <w:hideMark/>
          </w:tcPr>
          <w:p w14:paraId="78563A89" w14:textId="77777777" w:rsidR="00FB7D48" w:rsidRPr="003D519C" w:rsidRDefault="00FB7D48" w:rsidP="005D2914">
            <w:pPr>
              <w:pStyle w:val="ExhibitText"/>
              <w:tabs>
                <w:tab w:val="decimal" w:pos="1162"/>
              </w:tabs>
              <w:rPr>
                <w:rFonts w:eastAsia="Cambria"/>
                <w:lang w:val="en-GB"/>
              </w:rPr>
            </w:pPr>
            <w:r w:rsidRPr="003D519C">
              <w:rPr>
                <w:rFonts w:eastAsia="Cambria"/>
                <w:lang w:val="en-GB"/>
              </w:rPr>
              <w:t>$312</w:t>
            </w:r>
          </w:p>
        </w:tc>
      </w:tr>
      <w:tr w:rsidR="00FB7D48" w:rsidRPr="003D519C" w14:paraId="024603F7" w14:textId="77777777" w:rsidTr="00FB7D48">
        <w:trPr>
          <w:trHeight w:val="300"/>
        </w:trPr>
        <w:tc>
          <w:tcPr>
            <w:tcW w:w="1725" w:type="pct"/>
            <w:noWrap/>
            <w:hideMark/>
          </w:tcPr>
          <w:p w14:paraId="5A296033" w14:textId="77777777" w:rsidR="00FB7D48" w:rsidRPr="003D519C" w:rsidRDefault="00FB7D48" w:rsidP="00FB7D48">
            <w:pPr>
              <w:pStyle w:val="ExhibitText"/>
              <w:rPr>
                <w:rFonts w:eastAsia="Cambria"/>
                <w:lang w:val="en-GB"/>
              </w:rPr>
            </w:pPr>
            <w:r w:rsidRPr="003D519C">
              <w:rPr>
                <w:rFonts w:eastAsia="Cambria"/>
                <w:lang w:val="en-GB"/>
              </w:rPr>
              <w:t>EBIT</w:t>
            </w:r>
          </w:p>
        </w:tc>
        <w:tc>
          <w:tcPr>
            <w:tcW w:w="580" w:type="pct"/>
            <w:noWrap/>
            <w:vAlign w:val="center"/>
            <w:hideMark/>
          </w:tcPr>
          <w:p w14:paraId="005C7BAB" w14:textId="21932A94" w:rsidR="00FB7D48" w:rsidRPr="003D519C" w:rsidRDefault="00866375" w:rsidP="00FB7D48">
            <w:pPr>
              <w:pStyle w:val="ExhibitText"/>
              <w:jc w:val="right"/>
              <w:rPr>
                <w:rFonts w:eastAsia="Cambria"/>
                <w:lang w:val="en-GB"/>
              </w:rPr>
            </w:pPr>
            <w:r>
              <w:rPr>
                <w:rFonts w:eastAsia="Cambria"/>
                <w:lang w:val="en-GB"/>
              </w:rPr>
              <w:t>–</w:t>
            </w:r>
            <w:r w:rsidR="00FB7D48" w:rsidRPr="003D519C">
              <w:rPr>
                <w:rFonts w:eastAsia="Cambria"/>
                <w:lang w:val="en-GB"/>
              </w:rPr>
              <w:t>$2</w:t>
            </w:r>
          </w:p>
        </w:tc>
        <w:tc>
          <w:tcPr>
            <w:tcW w:w="580" w:type="pct"/>
            <w:noWrap/>
            <w:vAlign w:val="center"/>
            <w:hideMark/>
          </w:tcPr>
          <w:p w14:paraId="7700FB40" w14:textId="25D524AB" w:rsidR="00FB7D48" w:rsidRPr="003D519C" w:rsidRDefault="00866375" w:rsidP="00FB7D48">
            <w:pPr>
              <w:pStyle w:val="ExhibitText"/>
              <w:jc w:val="right"/>
              <w:rPr>
                <w:rFonts w:eastAsia="Cambria"/>
                <w:lang w:val="en-GB"/>
              </w:rPr>
            </w:pPr>
            <w:r>
              <w:rPr>
                <w:rFonts w:eastAsia="Cambria"/>
                <w:lang w:val="en-GB"/>
              </w:rPr>
              <w:t>–</w:t>
            </w:r>
            <w:r w:rsidR="00FB7D48" w:rsidRPr="003D519C">
              <w:rPr>
                <w:rFonts w:eastAsia="Cambria"/>
                <w:lang w:val="en-GB"/>
              </w:rPr>
              <w:t>$413</w:t>
            </w:r>
          </w:p>
        </w:tc>
        <w:tc>
          <w:tcPr>
            <w:tcW w:w="1071" w:type="pct"/>
            <w:noWrap/>
            <w:vAlign w:val="center"/>
            <w:hideMark/>
          </w:tcPr>
          <w:p w14:paraId="7BB3C5ED" w14:textId="7CEC70BC" w:rsidR="00FB7D48" w:rsidRPr="003D519C" w:rsidRDefault="00866375" w:rsidP="005D2914">
            <w:pPr>
              <w:pStyle w:val="ExhibitText"/>
              <w:tabs>
                <w:tab w:val="decimal" w:pos="1274"/>
              </w:tabs>
              <w:rPr>
                <w:rFonts w:eastAsia="Cambria"/>
                <w:lang w:val="en-GB"/>
              </w:rPr>
            </w:pPr>
            <w:r>
              <w:rPr>
                <w:rFonts w:eastAsia="Cambria"/>
                <w:lang w:val="en-GB"/>
              </w:rPr>
              <w:t>–</w:t>
            </w:r>
            <w:r w:rsidR="00FB7D48" w:rsidRPr="003D519C">
              <w:rPr>
                <w:rFonts w:eastAsia="Cambria"/>
                <w:lang w:val="en-GB"/>
              </w:rPr>
              <w:t>$452</w:t>
            </w:r>
          </w:p>
        </w:tc>
        <w:tc>
          <w:tcPr>
            <w:tcW w:w="1043" w:type="pct"/>
            <w:noWrap/>
            <w:vAlign w:val="center"/>
            <w:hideMark/>
          </w:tcPr>
          <w:p w14:paraId="3ABD111B" w14:textId="15ADDA7B" w:rsidR="00FB7D48" w:rsidRPr="003D519C" w:rsidRDefault="00866375" w:rsidP="005D2914">
            <w:pPr>
              <w:pStyle w:val="ExhibitText"/>
              <w:tabs>
                <w:tab w:val="decimal" w:pos="1162"/>
              </w:tabs>
              <w:rPr>
                <w:rFonts w:eastAsia="Cambria"/>
                <w:lang w:val="en-GB"/>
              </w:rPr>
            </w:pPr>
            <w:r>
              <w:rPr>
                <w:rFonts w:eastAsia="Cambria"/>
                <w:lang w:val="en-GB"/>
              </w:rPr>
              <w:t>–</w:t>
            </w:r>
            <w:r w:rsidR="00FB7D48" w:rsidRPr="003D519C">
              <w:rPr>
                <w:rFonts w:eastAsia="Cambria"/>
                <w:lang w:val="en-GB"/>
              </w:rPr>
              <w:t>$259</w:t>
            </w:r>
          </w:p>
        </w:tc>
      </w:tr>
      <w:tr w:rsidR="00FB7D48" w:rsidRPr="003D519C" w14:paraId="04B0CA70" w14:textId="77777777" w:rsidTr="00FB7D48">
        <w:trPr>
          <w:trHeight w:val="300"/>
        </w:trPr>
        <w:tc>
          <w:tcPr>
            <w:tcW w:w="1725" w:type="pct"/>
            <w:noWrap/>
            <w:hideMark/>
          </w:tcPr>
          <w:p w14:paraId="5312D553" w14:textId="77777777" w:rsidR="00FB7D48" w:rsidRPr="003D519C" w:rsidRDefault="00FB7D48" w:rsidP="00FB7D48">
            <w:pPr>
              <w:pStyle w:val="ExhibitText"/>
              <w:rPr>
                <w:rFonts w:eastAsia="Cambria"/>
                <w:lang w:val="en-GB"/>
              </w:rPr>
            </w:pPr>
            <w:r w:rsidRPr="003D519C">
              <w:rPr>
                <w:rFonts w:eastAsia="Cambria"/>
                <w:lang w:val="en-GB"/>
              </w:rPr>
              <w:t>Net Capital Expenditures</w:t>
            </w:r>
          </w:p>
        </w:tc>
        <w:tc>
          <w:tcPr>
            <w:tcW w:w="580" w:type="pct"/>
            <w:noWrap/>
            <w:vAlign w:val="center"/>
            <w:hideMark/>
          </w:tcPr>
          <w:p w14:paraId="148EACA5" w14:textId="77777777" w:rsidR="00FB7D48" w:rsidRPr="003D519C" w:rsidRDefault="00FB7D48" w:rsidP="00FB7D48">
            <w:pPr>
              <w:pStyle w:val="ExhibitText"/>
              <w:jc w:val="right"/>
              <w:rPr>
                <w:rFonts w:eastAsia="Cambria"/>
                <w:lang w:val="en-GB"/>
              </w:rPr>
            </w:pPr>
            <w:r w:rsidRPr="003D519C">
              <w:rPr>
                <w:rFonts w:eastAsia="Cambria"/>
                <w:lang w:val="en-GB"/>
              </w:rPr>
              <w:t>$376</w:t>
            </w:r>
          </w:p>
        </w:tc>
        <w:tc>
          <w:tcPr>
            <w:tcW w:w="580" w:type="pct"/>
            <w:noWrap/>
            <w:vAlign w:val="center"/>
            <w:hideMark/>
          </w:tcPr>
          <w:p w14:paraId="4081F81A" w14:textId="77777777" w:rsidR="00FB7D48" w:rsidRPr="003D519C" w:rsidRDefault="00FB7D48" w:rsidP="00FB7D48">
            <w:pPr>
              <w:pStyle w:val="ExhibitText"/>
              <w:jc w:val="right"/>
              <w:rPr>
                <w:rFonts w:eastAsia="Cambria"/>
                <w:lang w:val="en-GB"/>
              </w:rPr>
            </w:pPr>
            <w:r w:rsidRPr="003D519C">
              <w:rPr>
                <w:rFonts w:eastAsia="Cambria"/>
                <w:lang w:val="en-GB"/>
              </w:rPr>
              <w:t>$657</w:t>
            </w:r>
          </w:p>
        </w:tc>
        <w:tc>
          <w:tcPr>
            <w:tcW w:w="1071" w:type="pct"/>
            <w:noWrap/>
            <w:vAlign w:val="center"/>
            <w:hideMark/>
          </w:tcPr>
          <w:p w14:paraId="5517E632" w14:textId="77777777" w:rsidR="00FB7D48" w:rsidRPr="003D519C" w:rsidRDefault="00FB7D48" w:rsidP="005D2914">
            <w:pPr>
              <w:pStyle w:val="ExhibitText"/>
              <w:tabs>
                <w:tab w:val="decimal" w:pos="1274"/>
              </w:tabs>
              <w:rPr>
                <w:rFonts w:eastAsia="Cambria"/>
                <w:lang w:val="en-GB"/>
              </w:rPr>
            </w:pPr>
            <w:r w:rsidRPr="003D519C">
              <w:rPr>
                <w:rFonts w:eastAsia="Cambria"/>
                <w:lang w:val="en-GB"/>
              </w:rPr>
              <w:t>$342</w:t>
            </w:r>
          </w:p>
        </w:tc>
        <w:tc>
          <w:tcPr>
            <w:tcW w:w="1043" w:type="pct"/>
            <w:noWrap/>
            <w:vAlign w:val="center"/>
            <w:hideMark/>
          </w:tcPr>
          <w:p w14:paraId="10E6E375" w14:textId="77777777" w:rsidR="00FB7D48" w:rsidRPr="003D519C" w:rsidRDefault="00FB7D48" w:rsidP="005D2914">
            <w:pPr>
              <w:pStyle w:val="ExhibitText"/>
              <w:tabs>
                <w:tab w:val="decimal" w:pos="1162"/>
              </w:tabs>
              <w:rPr>
                <w:rFonts w:eastAsia="Cambria"/>
                <w:lang w:val="en-GB"/>
              </w:rPr>
            </w:pPr>
            <w:r w:rsidRPr="003D519C">
              <w:rPr>
                <w:rFonts w:eastAsia="Cambria"/>
                <w:lang w:val="en-GB"/>
              </w:rPr>
              <w:t>$339</w:t>
            </w:r>
          </w:p>
        </w:tc>
      </w:tr>
      <w:tr w:rsidR="00FB7D48" w:rsidRPr="003D519C" w14:paraId="2F46631B" w14:textId="77777777" w:rsidTr="00FB7D48">
        <w:trPr>
          <w:trHeight w:val="300"/>
        </w:trPr>
        <w:tc>
          <w:tcPr>
            <w:tcW w:w="1725" w:type="pct"/>
            <w:noWrap/>
            <w:hideMark/>
          </w:tcPr>
          <w:p w14:paraId="0D52D061" w14:textId="77777777" w:rsidR="00FB7D48" w:rsidRPr="003D519C" w:rsidRDefault="00FB7D48" w:rsidP="00FB7D48">
            <w:pPr>
              <w:pStyle w:val="ExhibitText"/>
              <w:rPr>
                <w:rFonts w:eastAsia="Cambria"/>
                <w:lang w:val="en-GB"/>
              </w:rPr>
            </w:pPr>
            <w:r w:rsidRPr="003D519C">
              <w:rPr>
                <w:rFonts w:eastAsia="Cambria"/>
                <w:lang w:val="en-GB"/>
              </w:rPr>
              <w:t>Changes in Net Working Capital</w:t>
            </w:r>
          </w:p>
        </w:tc>
        <w:tc>
          <w:tcPr>
            <w:tcW w:w="580" w:type="pct"/>
            <w:noWrap/>
            <w:vAlign w:val="center"/>
            <w:hideMark/>
          </w:tcPr>
          <w:p w14:paraId="3D10DABA" w14:textId="49A34FAA" w:rsidR="00FB7D48" w:rsidRPr="003D519C" w:rsidRDefault="00866375" w:rsidP="00FB7D48">
            <w:pPr>
              <w:pStyle w:val="ExhibitText"/>
              <w:jc w:val="right"/>
              <w:rPr>
                <w:rFonts w:eastAsia="Cambria"/>
                <w:lang w:val="en-GB"/>
              </w:rPr>
            </w:pPr>
            <w:r>
              <w:rPr>
                <w:rFonts w:eastAsia="Cambria"/>
                <w:lang w:val="en-GB"/>
              </w:rPr>
              <w:t>–</w:t>
            </w:r>
            <w:r w:rsidR="00FB7D48" w:rsidRPr="003D519C">
              <w:rPr>
                <w:rFonts w:eastAsia="Cambria"/>
                <w:lang w:val="en-GB"/>
              </w:rPr>
              <w:t>$250</w:t>
            </w:r>
          </w:p>
        </w:tc>
        <w:tc>
          <w:tcPr>
            <w:tcW w:w="580" w:type="pct"/>
            <w:noWrap/>
            <w:vAlign w:val="center"/>
            <w:hideMark/>
          </w:tcPr>
          <w:p w14:paraId="4AA3E1F8" w14:textId="77777777" w:rsidR="00FB7D48" w:rsidRPr="003D519C" w:rsidRDefault="00FB7D48" w:rsidP="00FB7D48">
            <w:pPr>
              <w:pStyle w:val="ExhibitText"/>
              <w:jc w:val="right"/>
              <w:rPr>
                <w:rFonts w:eastAsia="Cambria"/>
                <w:lang w:val="en-GB"/>
              </w:rPr>
            </w:pPr>
            <w:r w:rsidRPr="003D519C">
              <w:rPr>
                <w:rFonts w:eastAsia="Cambria"/>
                <w:lang w:val="en-GB"/>
              </w:rPr>
              <w:t>$184</w:t>
            </w:r>
          </w:p>
        </w:tc>
        <w:tc>
          <w:tcPr>
            <w:tcW w:w="1071" w:type="pct"/>
            <w:noWrap/>
            <w:vAlign w:val="center"/>
            <w:hideMark/>
          </w:tcPr>
          <w:p w14:paraId="0C20BD1D" w14:textId="19340254" w:rsidR="00FB7D48" w:rsidRPr="003D519C" w:rsidRDefault="00866375" w:rsidP="005D2914">
            <w:pPr>
              <w:pStyle w:val="ExhibitText"/>
              <w:tabs>
                <w:tab w:val="decimal" w:pos="1274"/>
              </w:tabs>
              <w:rPr>
                <w:rFonts w:eastAsia="Cambria"/>
                <w:lang w:val="en-GB"/>
              </w:rPr>
            </w:pPr>
            <w:r>
              <w:rPr>
                <w:rFonts w:eastAsia="Cambria"/>
                <w:lang w:val="en-GB"/>
              </w:rPr>
              <w:t>–</w:t>
            </w:r>
            <w:r w:rsidR="00FB7D48" w:rsidRPr="003D519C">
              <w:rPr>
                <w:rFonts w:eastAsia="Cambria"/>
                <w:lang w:val="en-GB"/>
              </w:rPr>
              <w:t>$215</w:t>
            </w:r>
          </w:p>
        </w:tc>
        <w:tc>
          <w:tcPr>
            <w:tcW w:w="1043" w:type="pct"/>
            <w:noWrap/>
            <w:vAlign w:val="center"/>
            <w:hideMark/>
          </w:tcPr>
          <w:p w14:paraId="5F03C917" w14:textId="7B4A149F" w:rsidR="00FB7D48" w:rsidRPr="003D519C" w:rsidRDefault="00866375" w:rsidP="005D2914">
            <w:pPr>
              <w:pStyle w:val="ExhibitText"/>
              <w:tabs>
                <w:tab w:val="decimal" w:pos="1162"/>
              </w:tabs>
              <w:rPr>
                <w:rFonts w:eastAsia="Cambria"/>
                <w:lang w:val="en-GB"/>
              </w:rPr>
            </w:pPr>
            <w:r>
              <w:rPr>
                <w:rFonts w:eastAsia="Cambria"/>
                <w:lang w:val="en-GB"/>
              </w:rPr>
              <w:t>–</w:t>
            </w:r>
            <w:r w:rsidR="00FB7D48" w:rsidRPr="003D519C">
              <w:rPr>
                <w:rFonts w:eastAsia="Cambria"/>
                <w:lang w:val="en-GB"/>
              </w:rPr>
              <w:t>$267</w:t>
            </w:r>
          </w:p>
        </w:tc>
      </w:tr>
    </w:tbl>
    <w:p w14:paraId="3A54BDED" w14:textId="77777777" w:rsidR="00FB7D48" w:rsidRPr="003D519C" w:rsidRDefault="00FB7D48" w:rsidP="00FB7D48">
      <w:pPr>
        <w:pStyle w:val="ExhibitText"/>
        <w:rPr>
          <w:lang w:val="en-GB"/>
        </w:rPr>
      </w:pPr>
    </w:p>
    <w:p w14:paraId="1968D9B7" w14:textId="0D45CF34" w:rsidR="00062DD5" w:rsidRPr="003D519C" w:rsidRDefault="00FB7D48" w:rsidP="00FB7D48">
      <w:pPr>
        <w:pStyle w:val="Footnote"/>
        <w:rPr>
          <w:lang w:val="en-GB"/>
        </w:rPr>
      </w:pPr>
      <w:r w:rsidRPr="003D519C">
        <w:rPr>
          <w:lang w:val="en-GB"/>
        </w:rPr>
        <w:t xml:space="preserve">Note: </w:t>
      </w:r>
      <w:r w:rsidR="00866375">
        <w:rPr>
          <w:lang w:val="en-GB"/>
        </w:rPr>
        <w:t>The 2016 26-week data are i</w:t>
      </w:r>
      <w:r w:rsidRPr="003D519C">
        <w:rPr>
          <w:lang w:val="en-GB"/>
        </w:rPr>
        <w:t>ncluded as a reference for the comparable 26</w:t>
      </w:r>
      <w:r w:rsidR="00062DD5">
        <w:rPr>
          <w:lang w:val="en-GB"/>
        </w:rPr>
        <w:t>-</w:t>
      </w:r>
      <w:r w:rsidRPr="003D519C">
        <w:rPr>
          <w:lang w:val="en-GB"/>
        </w:rPr>
        <w:t>week period in 2017</w:t>
      </w:r>
      <w:r w:rsidR="00866375">
        <w:rPr>
          <w:lang w:val="en-GB"/>
        </w:rPr>
        <w:t>; EBITDA = earnings before interest</w:t>
      </w:r>
      <w:r w:rsidR="00F85CF2" w:rsidRPr="00F85CF2">
        <w:rPr>
          <w:lang w:val="en-GB"/>
        </w:rPr>
        <w:t>, tax, depreciation and amortization</w:t>
      </w:r>
      <w:r w:rsidR="00866375">
        <w:rPr>
          <w:lang w:val="en-GB"/>
        </w:rPr>
        <w:t>; EBIT = earnings before interest and taxes</w:t>
      </w:r>
      <w:r w:rsidR="00F85CF2">
        <w:rPr>
          <w:lang w:val="en-GB"/>
        </w:rPr>
        <w:t>.</w:t>
      </w:r>
    </w:p>
    <w:p w14:paraId="5B02FB0B" w14:textId="4A8D8822" w:rsidR="00FB7D48" w:rsidRPr="003D519C" w:rsidRDefault="00FB7D48" w:rsidP="00FB7D48">
      <w:pPr>
        <w:pStyle w:val="Footnote"/>
        <w:rPr>
          <w:rFonts w:eastAsia="Arial"/>
          <w:lang w:val="en-GB"/>
        </w:rPr>
      </w:pPr>
      <w:r w:rsidRPr="003D519C">
        <w:rPr>
          <w:rFonts w:eastAsia="Arial"/>
          <w:lang w:val="en-GB"/>
        </w:rPr>
        <w:t>Source: Created by the authors using information from “Hudson’s Bay Company</w:t>
      </w:r>
      <w:r w:rsidR="00866375">
        <w:rPr>
          <w:rFonts w:eastAsia="Arial"/>
          <w:lang w:val="en-GB"/>
        </w:rPr>
        <w:t>,</w:t>
      </w:r>
      <w:r w:rsidRPr="003D519C">
        <w:rPr>
          <w:rFonts w:eastAsia="Arial"/>
          <w:lang w:val="en-GB"/>
        </w:rPr>
        <w:t xml:space="preserve">” </w:t>
      </w:r>
      <w:r w:rsidR="00F85CF2" w:rsidRPr="003D519C">
        <w:rPr>
          <w:rFonts w:eastAsia="Arial"/>
          <w:lang w:val="en-GB"/>
        </w:rPr>
        <w:t xml:space="preserve">Google Finance, </w:t>
      </w:r>
      <w:r w:rsidRPr="003D519C">
        <w:rPr>
          <w:rFonts w:eastAsia="Arial"/>
          <w:lang w:val="en-GB"/>
        </w:rPr>
        <w:t>October 31, 2017</w:t>
      </w:r>
      <w:r w:rsidR="00866375">
        <w:rPr>
          <w:rFonts w:eastAsia="Arial"/>
          <w:lang w:val="en-GB"/>
        </w:rPr>
        <w:t>,</w:t>
      </w:r>
      <w:r w:rsidRPr="003D519C">
        <w:rPr>
          <w:rFonts w:eastAsia="Arial"/>
          <w:lang w:val="en-GB"/>
        </w:rPr>
        <w:t xml:space="preserve"> </w:t>
      </w:r>
      <w:r w:rsidR="00866375">
        <w:rPr>
          <w:rFonts w:eastAsia="Arial"/>
          <w:lang w:val="en-GB"/>
        </w:rPr>
        <w:t>a</w:t>
      </w:r>
      <w:r w:rsidRPr="003D519C">
        <w:rPr>
          <w:rFonts w:eastAsia="Arial"/>
          <w:lang w:val="en-GB"/>
        </w:rPr>
        <w:t>ccessed December 28, 2017</w:t>
      </w:r>
      <w:r w:rsidR="00866375">
        <w:rPr>
          <w:rFonts w:eastAsia="Arial"/>
          <w:lang w:val="en-GB"/>
        </w:rPr>
        <w:t>,</w:t>
      </w:r>
      <w:r w:rsidRPr="003D519C">
        <w:rPr>
          <w:rFonts w:eastAsia="Arial"/>
          <w:lang w:val="en-GB"/>
        </w:rPr>
        <w:t xml:space="preserve"> https://finance.google.ca/finance?q=TSE:HBC; Hudson’s Bay Company, </w:t>
      </w:r>
      <w:r w:rsidRPr="006E07EF">
        <w:rPr>
          <w:rFonts w:eastAsia="Arial"/>
          <w:i/>
          <w:lang w:val="en-GB"/>
        </w:rPr>
        <w:t>2017 Q2 Interim Condensed Consolidated Financial Statements</w:t>
      </w:r>
      <w:r w:rsidR="00866375">
        <w:rPr>
          <w:rFonts w:eastAsia="Arial"/>
          <w:lang w:val="en-GB"/>
        </w:rPr>
        <w:t>,</w:t>
      </w:r>
      <w:r w:rsidRPr="003D519C">
        <w:rPr>
          <w:rFonts w:eastAsia="Arial"/>
          <w:lang w:val="en-GB"/>
        </w:rPr>
        <w:t xml:space="preserve"> Investor.hbc.com, September 5, 2017</w:t>
      </w:r>
      <w:r w:rsidR="00866375">
        <w:rPr>
          <w:rFonts w:eastAsia="Arial"/>
          <w:lang w:val="en-GB"/>
        </w:rPr>
        <w:t>,</w:t>
      </w:r>
      <w:r w:rsidRPr="003D519C">
        <w:rPr>
          <w:rFonts w:eastAsia="Arial"/>
          <w:lang w:val="en-GB"/>
        </w:rPr>
        <w:t xml:space="preserve"> </w:t>
      </w:r>
      <w:r w:rsidR="00866375">
        <w:rPr>
          <w:rFonts w:eastAsia="Arial"/>
          <w:lang w:val="en-GB"/>
        </w:rPr>
        <w:t>a</w:t>
      </w:r>
      <w:r w:rsidRPr="003D519C">
        <w:rPr>
          <w:rFonts w:eastAsia="Arial"/>
          <w:lang w:val="en-GB"/>
        </w:rPr>
        <w:t>ccessed December 28, 2017</w:t>
      </w:r>
      <w:r w:rsidR="00866375">
        <w:rPr>
          <w:rFonts w:eastAsia="Arial"/>
          <w:lang w:val="en-GB"/>
        </w:rPr>
        <w:t>,</w:t>
      </w:r>
      <w:r w:rsidRPr="003D519C">
        <w:rPr>
          <w:rFonts w:eastAsia="Arial"/>
          <w:lang w:val="en-GB"/>
        </w:rPr>
        <w:t xml:space="preserve"> http://files.shareholder.com/downloads/AMDA-1ETYKL/5769895658x0x955781/430FF6F6-B09F-4A04-A8A3-F91101E7900E/HBC_Financial_Statements_Q2_2017_FINAL.pdf; Hudson’s Bay Company, </w:t>
      </w:r>
      <w:r w:rsidRPr="006E07EF">
        <w:rPr>
          <w:rFonts w:eastAsia="Arial"/>
          <w:i/>
          <w:lang w:val="en-GB"/>
        </w:rPr>
        <w:t>Annual Information Form for the Fiscal Year Ended January 28, 2017</w:t>
      </w:r>
      <w:r w:rsidR="00866375">
        <w:rPr>
          <w:rFonts w:eastAsia="Arial"/>
          <w:lang w:val="en-GB"/>
        </w:rPr>
        <w:t>,</w:t>
      </w:r>
      <w:r w:rsidRPr="003D519C">
        <w:rPr>
          <w:rFonts w:eastAsia="Arial"/>
          <w:lang w:val="en-GB"/>
        </w:rPr>
        <w:t xml:space="preserve"> April 28, 2017</w:t>
      </w:r>
      <w:r w:rsidR="00866375">
        <w:rPr>
          <w:rFonts w:eastAsia="Arial"/>
          <w:lang w:val="en-GB"/>
        </w:rPr>
        <w:t>,</w:t>
      </w:r>
      <w:r w:rsidRPr="003D519C">
        <w:rPr>
          <w:rFonts w:eastAsia="Arial"/>
          <w:lang w:val="en-GB"/>
        </w:rPr>
        <w:t xml:space="preserve"> </w:t>
      </w:r>
      <w:r w:rsidR="00866375">
        <w:rPr>
          <w:rFonts w:eastAsia="Arial"/>
          <w:lang w:val="en-GB"/>
        </w:rPr>
        <w:t>a</w:t>
      </w:r>
      <w:r w:rsidRPr="003D519C">
        <w:rPr>
          <w:rFonts w:eastAsia="Arial"/>
          <w:lang w:val="en-GB"/>
        </w:rPr>
        <w:t>ccessed December 28, 2017</w:t>
      </w:r>
      <w:r w:rsidR="00866375">
        <w:rPr>
          <w:rFonts w:eastAsia="Arial"/>
          <w:lang w:val="en-GB"/>
        </w:rPr>
        <w:t>,</w:t>
      </w:r>
      <w:r w:rsidR="003D519C" w:rsidRPr="003D519C">
        <w:rPr>
          <w:rFonts w:eastAsia="Arial"/>
          <w:lang w:val="en-GB"/>
        </w:rPr>
        <w:t xml:space="preserve"> </w:t>
      </w:r>
      <w:r w:rsidRPr="003D519C">
        <w:rPr>
          <w:rFonts w:eastAsia="Arial"/>
          <w:lang w:val="en-GB"/>
        </w:rPr>
        <w:t>http://files.shareholder.com/downloads/AMDA-1ETYKL/5799757931x0x940084/8E853084-DB87-498F-AD00-C308E7D38C49/AIF_FY_2016_FINAL_FILING_VERSION.pdf.</w:t>
      </w:r>
    </w:p>
    <w:p w14:paraId="1C65B522" w14:textId="77777777" w:rsidR="00FB7D48" w:rsidRPr="003D519C" w:rsidRDefault="00FB7D48">
      <w:pPr>
        <w:spacing w:after="200" w:line="276" w:lineRule="auto"/>
        <w:rPr>
          <w:rFonts w:ascii="Arial" w:eastAsia="Arial" w:hAnsi="Arial" w:cs="Arial"/>
          <w:b/>
          <w:color w:val="000000"/>
          <w:lang w:val="en-GB"/>
        </w:rPr>
      </w:pPr>
      <w:r w:rsidRPr="003D519C">
        <w:rPr>
          <w:rFonts w:ascii="Arial" w:eastAsia="Arial" w:hAnsi="Arial" w:cs="Arial"/>
          <w:b/>
          <w:color w:val="000000"/>
          <w:lang w:val="en-GB"/>
        </w:rPr>
        <w:br w:type="page"/>
      </w:r>
    </w:p>
    <w:p w14:paraId="04E28E8E" w14:textId="523A2DA6" w:rsidR="00FB7D48" w:rsidRPr="003D519C" w:rsidRDefault="00FB7D48" w:rsidP="00B57D8C">
      <w:pPr>
        <w:pStyle w:val="ExhibitHeading"/>
        <w:rPr>
          <w:sz w:val="22"/>
          <w:szCs w:val="22"/>
          <w:lang w:val="en-GB"/>
        </w:rPr>
      </w:pPr>
      <w:r w:rsidRPr="003D519C">
        <w:rPr>
          <w:rFonts w:eastAsia="Arial"/>
          <w:lang w:val="en-GB"/>
        </w:rPr>
        <w:lastRenderedPageBreak/>
        <w:t xml:space="preserve">EXHIBIT </w:t>
      </w:r>
      <w:r w:rsidR="00866375">
        <w:rPr>
          <w:rFonts w:eastAsia="Arial"/>
          <w:lang w:val="en-GB"/>
        </w:rPr>
        <w:t>2</w:t>
      </w:r>
      <w:r w:rsidRPr="003D519C">
        <w:rPr>
          <w:rFonts w:eastAsia="Arial"/>
          <w:lang w:val="en-GB"/>
        </w:rPr>
        <w:t>: THE H</w:t>
      </w:r>
      <w:r w:rsidR="00866375">
        <w:rPr>
          <w:rFonts w:eastAsia="Arial"/>
          <w:lang w:val="en-GB"/>
        </w:rPr>
        <w:t xml:space="preserve">udson’s </w:t>
      </w:r>
      <w:r w:rsidRPr="003D519C">
        <w:rPr>
          <w:rFonts w:eastAsia="Arial"/>
          <w:lang w:val="en-GB"/>
        </w:rPr>
        <w:t>B</w:t>
      </w:r>
      <w:r w:rsidR="00866375">
        <w:rPr>
          <w:rFonts w:eastAsia="Arial"/>
          <w:lang w:val="en-GB"/>
        </w:rPr>
        <w:t xml:space="preserve">ay </w:t>
      </w:r>
      <w:r w:rsidRPr="003D519C">
        <w:rPr>
          <w:rFonts w:eastAsia="Arial"/>
          <w:lang w:val="en-GB"/>
        </w:rPr>
        <w:t>C</w:t>
      </w:r>
      <w:r w:rsidR="00866375">
        <w:rPr>
          <w:rFonts w:eastAsia="Arial"/>
          <w:lang w:val="en-GB"/>
        </w:rPr>
        <w:t>ompany</w:t>
      </w:r>
      <w:r w:rsidRPr="003D519C">
        <w:rPr>
          <w:rFonts w:eastAsia="Arial"/>
          <w:lang w:val="en-GB"/>
        </w:rPr>
        <w:t xml:space="preserve"> TRANSFORMATION PLAN</w:t>
      </w:r>
    </w:p>
    <w:p w14:paraId="02838FB8" w14:textId="77777777" w:rsidR="00FB7D48" w:rsidRPr="003D519C" w:rsidRDefault="00FB7D48" w:rsidP="00B57D8C">
      <w:pPr>
        <w:pStyle w:val="ExhibitText"/>
        <w:rPr>
          <w:lang w:val="en-GB"/>
        </w:rPr>
      </w:pPr>
    </w:p>
    <w:p w14:paraId="0C2D26D1" w14:textId="27E75D01" w:rsidR="00FB7D48" w:rsidRPr="003D519C" w:rsidRDefault="00FB7D48" w:rsidP="00B57D8C">
      <w:pPr>
        <w:pStyle w:val="ExhibitText"/>
        <w:rPr>
          <w:lang w:val="en-GB"/>
        </w:rPr>
      </w:pPr>
      <w:r w:rsidRPr="003D519C">
        <w:rPr>
          <w:lang w:val="en-GB"/>
        </w:rPr>
        <w:t>The H</w:t>
      </w:r>
      <w:r w:rsidR="00C5687C">
        <w:rPr>
          <w:lang w:val="en-GB"/>
        </w:rPr>
        <w:t xml:space="preserve">udson’s </w:t>
      </w:r>
      <w:r w:rsidRPr="003D519C">
        <w:rPr>
          <w:lang w:val="en-GB"/>
        </w:rPr>
        <w:t>B</w:t>
      </w:r>
      <w:r w:rsidR="00C5687C">
        <w:rPr>
          <w:lang w:val="en-GB"/>
        </w:rPr>
        <w:t xml:space="preserve">ay </w:t>
      </w:r>
      <w:r w:rsidRPr="003D519C">
        <w:rPr>
          <w:lang w:val="en-GB"/>
        </w:rPr>
        <w:t>C</w:t>
      </w:r>
      <w:r w:rsidR="00C5687C">
        <w:rPr>
          <w:lang w:val="en-GB"/>
        </w:rPr>
        <w:t>ompany</w:t>
      </w:r>
      <w:r w:rsidRPr="003D519C">
        <w:rPr>
          <w:lang w:val="en-GB"/>
        </w:rPr>
        <w:t xml:space="preserve"> Transformation Plan was designed to increase operational synergies, sharpen capabilities</w:t>
      </w:r>
      <w:r w:rsidR="00C5687C">
        <w:rPr>
          <w:lang w:val="en-GB"/>
        </w:rPr>
        <w:t>,</w:t>
      </w:r>
      <w:r w:rsidRPr="003D519C">
        <w:rPr>
          <w:lang w:val="en-GB"/>
        </w:rPr>
        <w:t xml:space="preserve"> and reduce expenses</w:t>
      </w:r>
      <w:r w:rsidR="00C5687C">
        <w:rPr>
          <w:lang w:val="en-GB"/>
        </w:rPr>
        <w:t>.</w:t>
      </w:r>
      <w:r w:rsidRPr="003D519C">
        <w:rPr>
          <w:lang w:val="en-GB"/>
        </w:rPr>
        <w:t xml:space="preserve"> </w:t>
      </w:r>
      <w:r w:rsidR="00C5687C">
        <w:rPr>
          <w:lang w:val="en-GB"/>
        </w:rPr>
        <w:t xml:space="preserve">It also </w:t>
      </w:r>
      <w:r w:rsidR="00C5687C" w:rsidRPr="003D519C">
        <w:rPr>
          <w:lang w:val="en-GB"/>
        </w:rPr>
        <w:t>includ</w:t>
      </w:r>
      <w:r w:rsidR="00C5687C">
        <w:rPr>
          <w:lang w:val="en-GB"/>
        </w:rPr>
        <w:t>ed the following changes</w:t>
      </w:r>
      <w:r w:rsidRPr="003D519C">
        <w:rPr>
          <w:lang w:val="en-GB"/>
        </w:rPr>
        <w:t>:</w:t>
      </w:r>
    </w:p>
    <w:p w14:paraId="3B36D068" w14:textId="77777777" w:rsidR="00B57D8C" w:rsidRPr="003D519C" w:rsidRDefault="00B57D8C" w:rsidP="00B57D8C">
      <w:pPr>
        <w:pStyle w:val="ExhibitText"/>
        <w:rPr>
          <w:lang w:val="en-GB"/>
        </w:rPr>
      </w:pPr>
    </w:p>
    <w:p w14:paraId="40E60442" w14:textId="5ED4BE79" w:rsidR="00FB7D48" w:rsidRPr="003D519C" w:rsidRDefault="00FB7D48" w:rsidP="00B57D8C">
      <w:pPr>
        <w:pStyle w:val="ExhibitText"/>
        <w:rPr>
          <w:lang w:val="en-GB"/>
        </w:rPr>
      </w:pPr>
      <w:r w:rsidRPr="003D519C">
        <w:rPr>
          <w:lang w:val="en-GB"/>
        </w:rPr>
        <w:t>Leadership teams: Create two distinct leadership teams</w:t>
      </w:r>
      <w:r w:rsidR="00C5687C">
        <w:rPr>
          <w:lang w:val="en-GB"/>
        </w:rPr>
        <w:t xml:space="preserve"> </w:t>
      </w:r>
      <w:r w:rsidR="00C5687C" w:rsidRPr="003D519C">
        <w:rPr>
          <w:lang w:val="en-GB"/>
        </w:rPr>
        <w:t>to drive market-specific strategies</w:t>
      </w:r>
      <w:r w:rsidRPr="003D519C">
        <w:rPr>
          <w:lang w:val="en-GB"/>
        </w:rPr>
        <w:t xml:space="preserve">, one focused on Hudson’s Bay </w:t>
      </w:r>
      <w:r w:rsidR="00C5687C">
        <w:rPr>
          <w:lang w:val="en-GB"/>
        </w:rPr>
        <w:t xml:space="preserve">Company </w:t>
      </w:r>
      <w:r w:rsidRPr="003D519C">
        <w:rPr>
          <w:lang w:val="en-GB"/>
        </w:rPr>
        <w:t xml:space="preserve">and one dedicated to </w:t>
      </w:r>
      <w:proofErr w:type="gramStart"/>
      <w:r w:rsidRPr="003D519C">
        <w:rPr>
          <w:lang w:val="en-GB"/>
        </w:rPr>
        <w:t>Lord &amp;</w:t>
      </w:r>
      <w:proofErr w:type="gramEnd"/>
      <w:r w:rsidRPr="003D519C">
        <w:rPr>
          <w:lang w:val="en-GB"/>
        </w:rPr>
        <w:t xml:space="preserve"> Taylor. The Hudson’s Bay </w:t>
      </w:r>
      <w:r w:rsidR="00C5687C">
        <w:rPr>
          <w:lang w:val="en-GB"/>
        </w:rPr>
        <w:t xml:space="preserve">Company </w:t>
      </w:r>
      <w:r w:rsidRPr="003D519C">
        <w:rPr>
          <w:lang w:val="en-GB"/>
        </w:rPr>
        <w:t xml:space="preserve">leadership team would focus on accelerating plans to build on its successful transformation in Canada, while the </w:t>
      </w:r>
      <w:proofErr w:type="gramStart"/>
      <w:r w:rsidRPr="003D519C">
        <w:rPr>
          <w:lang w:val="en-GB"/>
        </w:rPr>
        <w:t>Lord &amp;</w:t>
      </w:r>
      <w:proofErr w:type="gramEnd"/>
      <w:r w:rsidRPr="003D519C">
        <w:rPr>
          <w:lang w:val="en-GB"/>
        </w:rPr>
        <w:t xml:space="preserve"> Taylor leadership team would focus on increasing the pace of change at that U.S. banner, with an emphasis on driving digital opportunities while operating its stores more efficiently.</w:t>
      </w:r>
    </w:p>
    <w:p w14:paraId="533E2467" w14:textId="77777777" w:rsidR="00B57D8C" w:rsidRPr="003D519C" w:rsidRDefault="00B57D8C" w:rsidP="00B57D8C">
      <w:pPr>
        <w:pStyle w:val="ExhibitText"/>
        <w:rPr>
          <w:lang w:val="en-GB"/>
        </w:rPr>
      </w:pPr>
    </w:p>
    <w:p w14:paraId="120767C0" w14:textId="229C1847" w:rsidR="00FB7D48" w:rsidRPr="003D519C" w:rsidRDefault="00FB7D48" w:rsidP="00B57D8C">
      <w:pPr>
        <w:pStyle w:val="ExhibitText"/>
        <w:rPr>
          <w:lang w:val="en-GB"/>
        </w:rPr>
      </w:pPr>
      <w:r w:rsidRPr="003D519C">
        <w:rPr>
          <w:lang w:val="en-GB"/>
        </w:rPr>
        <w:t>Digital Portfolio: Integrate digital functions throughout the organization to develop and maximize the impact of all-channel solutions for marketing, operations</w:t>
      </w:r>
      <w:r w:rsidR="00C5687C">
        <w:rPr>
          <w:lang w:val="en-GB"/>
        </w:rPr>
        <w:t>,</w:t>
      </w:r>
      <w:r w:rsidRPr="003D519C">
        <w:rPr>
          <w:lang w:val="en-GB"/>
        </w:rPr>
        <w:t xml:space="preserve"> and technology in </w:t>
      </w:r>
      <w:r w:rsidR="00C5687C">
        <w:rPr>
          <w:lang w:val="en-GB"/>
        </w:rPr>
        <w:t>an effort</w:t>
      </w:r>
      <w:r w:rsidR="00C5687C" w:rsidRPr="003D519C">
        <w:rPr>
          <w:lang w:val="en-GB"/>
        </w:rPr>
        <w:t xml:space="preserve"> </w:t>
      </w:r>
      <w:r w:rsidRPr="003D519C">
        <w:rPr>
          <w:lang w:val="en-GB"/>
        </w:rPr>
        <w:t>to deliver the most seamless in-store and online experience for H</w:t>
      </w:r>
      <w:r w:rsidR="00C5687C">
        <w:rPr>
          <w:lang w:val="en-GB"/>
        </w:rPr>
        <w:t xml:space="preserve">udson </w:t>
      </w:r>
      <w:r w:rsidRPr="003D519C">
        <w:rPr>
          <w:lang w:val="en-GB"/>
        </w:rPr>
        <w:t>B</w:t>
      </w:r>
      <w:r w:rsidR="00C5687C">
        <w:rPr>
          <w:lang w:val="en-GB"/>
        </w:rPr>
        <w:t xml:space="preserve">ay </w:t>
      </w:r>
      <w:r w:rsidRPr="003D519C">
        <w:rPr>
          <w:lang w:val="en-GB"/>
        </w:rPr>
        <w:t>C</w:t>
      </w:r>
      <w:r w:rsidR="00C5687C">
        <w:rPr>
          <w:lang w:val="en-GB"/>
        </w:rPr>
        <w:t>ompany</w:t>
      </w:r>
      <w:r w:rsidRPr="003D519C">
        <w:rPr>
          <w:lang w:val="en-GB"/>
        </w:rPr>
        <w:t>’s customers.</w:t>
      </w:r>
    </w:p>
    <w:p w14:paraId="4123EC8B" w14:textId="77777777" w:rsidR="00B57D8C" w:rsidRPr="003D519C" w:rsidRDefault="00B57D8C" w:rsidP="00B57D8C">
      <w:pPr>
        <w:pStyle w:val="ExhibitText"/>
        <w:rPr>
          <w:lang w:val="en-GB"/>
        </w:rPr>
      </w:pPr>
    </w:p>
    <w:p w14:paraId="1A366864" w14:textId="33F8B937" w:rsidR="00FB7D48" w:rsidRPr="003D519C" w:rsidRDefault="00C5687C" w:rsidP="00B57D8C">
      <w:pPr>
        <w:pStyle w:val="ExhibitText"/>
        <w:rPr>
          <w:lang w:val="en-GB"/>
        </w:rPr>
      </w:pPr>
      <w:r>
        <w:rPr>
          <w:lang w:val="en-GB"/>
        </w:rPr>
        <w:t>Alignment of</w:t>
      </w:r>
      <w:r w:rsidRPr="003D519C">
        <w:rPr>
          <w:lang w:val="en-GB"/>
        </w:rPr>
        <w:t xml:space="preserve"> </w:t>
      </w:r>
      <w:r w:rsidR="00FB7D48" w:rsidRPr="003D519C">
        <w:rPr>
          <w:lang w:val="en-GB"/>
        </w:rPr>
        <w:t xml:space="preserve">Resources: </w:t>
      </w:r>
      <w:r>
        <w:rPr>
          <w:lang w:val="en-GB"/>
        </w:rPr>
        <w:t xml:space="preserve">Realign company resources, including </w:t>
      </w:r>
      <w:r w:rsidR="00F85CF2">
        <w:rPr>
          <w:lang w:val="en-GB"/>
        </w:rPr>
        <w:t>Information Technology</w:t>
      </w:r>
      <w:r w:rsidR="00F85CF2" w:rsidRPr="003D519C">
        <w:rPr>
          <w:lang w:val="en-GB"/>
        </w:rPr>
        <w:t xml:space="preserve"> </w:t>
      </w:r>
      <w:r w:rsidR="00F85CF2">
        <w:rPr>
          <w:lang w:val="en-GB"/>
        </w:rPr>
        <w:t>(</w:t>
      </w:r>
      <w:r w:rsidR="00FB7D48" w:rsidRPr="003D519C">
        <w:rPr>
          <w:lang w:val="en-GB"/>
        </w:rPr>
        <w:t>IT</w:t>
      </w:r>
      <w:r>
        <w:rPr>
          <w:lang w:val="en-GB"/>
        </w:rPr>
        <w:t xml:space="preserve">) </w:t>
      </w:r>
      <w:r w:rsidR="00127054">
        <w:rPr>
          <w:lang w:val="en-GB"/>
        </w:rPr>
        <w:t>and Digital;</w:t>
      </w:r>
      <w:r w:rsidR="00FB7D48" w:rsidRPr="003D519C">
        <w:rPr>
          <w:lang w:val="en-GB"/>
        </w:rPr>
        <w:t xml:space="preserve"> Store Op</w:t>
      </w:r>
      <w:r w:rsidR="00127054">
        <w:rPr>
          <w:lang w:val="en-GB"/>
        </w:rPr>
        <w:t>erations &amp; Visual Merchandising;</w:t>
      </w:r>
      <w:r w:rsidR="00FB7D48" w:rsidRPr="003D519C">
        <w:rPr>
          <w:lang w:val="en-GB"/>
        </w:rPr>
        <w:t xml:space="preserve"> Buying &amp; Planning</w:t>
      </w:r>
      <w:r w:rsidR="00127054">
        <w:rPr>
          <w:lang w:val="en-GB"/>
        </w:rPr>
        <w:t>;</w:t>
      </w:r>
      <w:r w:rsidR="00FB7D48" w:rsidRPr="003D519C">
        <w:rPr>
          <w:lang w:val="en-GB"/>
        </w:rPr>
        <w:t xml:space="preserve"> and Marketing to increa</w:t>
      </w:r>
      <w:bookmarkStart w:id="0" w:name="_GoBack"/>
      <w:bookmarkEnd w:id="0"/>
      <w:r w:rsidR="00FB7D48" w:rsidRPr="003D519C">
        <w:rPr>
          <w:lang w:val="en-GB"/>
        </w:rPr>
        <w:t xml:space="preserve">se efficiencies and leverage scale, with world-class </w:t>
      </w:r>
      <w:r w:rsidRPr="003D519C">
        <w:rPr>
          <w:lang w:val="en-GB"/>
        </w:rPr>
        <w:t>cent</w:t>
      </w:r>
      <w:r>
        <w:rPr>
          <w:lang w:val="en-GB"/>
        </w:rPr>
        <w:t>re</w:t>
      </w:r>
      <w:r w:rsidRPr="003D519C">
        <w:rPr>
          <w:lang w:val="en-GB"/>
        </w:rPr>
        <w:t xml:space="preserve">s </w:t>
      </w:r>
      <w:r w:rsidR="00FB7D48" w:rsidRPr="003D519C">
        <w:rPr>
          <w:lang w:val="en-GB"/>
        </w:rPr>
        <w:t>of excellence that support banners while preserving differentiation among the businesses.</w:t>
      </w:r>
    </w:p>
    <w:p w14:paraId="344F7A47" w14:textId="77777777" w:rsidR="00B57D8C" w:rsidRPr="003D519C" w:rsidRDefault="00B57D8C" w:rsidP="00B57D8C">
      <w:pPr>
        <w:pStyle w:val="ExhibitText"/>
        <w:rPr>
          <w:lang w:val="en-GB"/>
        </w:rPr>
      </w:pPr>
    </w:p>
    <w:p w14:paraId="6812C73D" w14:textId="1AE931DC" w:rsidR="00FB7D48" w:rsidRPr="003D519C" w:rsidRDefault="00FB7D48" w:rsidP="00B57D8C">
      <w:pPr>
        <w:pStyle w:val="ExhibitText"/>
        <w:rPr>
          <w:lang w:val="en-GB"/>
        </w:rPr>
      </w:pPr>
      <w:r w:rsidRPr="003D519C">
        <w:rPr>
          <w:lang w:val="en-GB"/>
        </w:rPr>
        <w:t>In-</w:t>
      </w:r>
      <w:r w:rsidR="00F85CF2">
        <w:rPr>
          <w:lang w:val="en-GB"/>
        </w:rPr>
        <w:t>S</w:t>
      </w:r>
      <w:r w:rsidR="00F85CF2" w:rsidRPr="003D519C">
        <w:rPr>
          <w:lang w:val="en-GB"/>
        </w:rPr>
        <w:t xml:space="preserve">tore </w:t>
      </w:r>
      <w:r w:rsidRPr="003D519C">
        <w:rPr>
          <w:lang w:val="en-GB"/>
        </w:rPr>
        <w:t>Service: Optimize in-store service and enhance sales training for store associates to better serve H</w:t>
      </w:r>
      <w:r w:rsidR="00C5687C">
        <w:rPr>
          <w:lang w:val="en-GB"/>
        </w:rPr>
        <w:t xml:space="preserve">udson </w:t>
      </w:r>
      <w:r w:rsidRPr="003D519C">
        <w:rPr>
          <w:lang w:val="en-GB"/>
        </w:rPr>
        <w:t>B</w:t>
      </w:r>
      <w:r w:rsidR="00C5687C">
        <w:rPr>
          <w:lang w:val="en-GB"/>
        </w:rPr>
        <w:t xml:space="preserve">ay </w:t>
      </w:r>
      <w:r w:rsidRPr="003D519C">
        <w:rPr>
          <w:lang w:val="en-GB"/>
        </w:rPr>
        <w:t>C</w:t>
      </w:r>
      <w:r w:rsidR="00C5687C">
        <w:rPr>
          <w:lang w:val="en-GB"/>
        </w:rPr>
        <w:t>ompany’</w:t>
      </w:r>
      <w:r w:rsidRPr="003D519C">
        <w:rPr>
          <w:lang w:val="en-GB"/>
        </w:rPr>
        <w:t>s customers.</w:t>
      </w:r>
    </w:p>
    <w:p w14:paraId="33725A02" w14:textId="77777777" w:rsidR="00B57D8C" w:rsidRPr="003D519C" w:rsidRDefault="00B57D8C" w:rsidP="00B57D8C">
      <w:pPr>
        <w:pStyle w:val="ExhibitText"/>
        <w:rPr>
          <w:lang w:val="en-GB"/>
        </w:rPr>
      </w:pPr>
    </w:p>
    <w:p w14:paraId="44F3D951" w14:textId="09D22382" w:rsidR="00FB7D48" w:rsidRPr="003D519C" w:rsidRDefault="00FB7D48" w:rsidP="00B57D8C">
      <w:pPr>
        <w:pStyle w:val="ExhibitText"/>
        <w:rPr>
          <w:lang w:val="en-GB"/>
        </w:rPr>
      </w:pPr>
      <w:r w:rsidRPr="003D519C">
        <w:rPr>
          <w:lang w:val="en-GB"/>
        </w:rPr>
        <w:t xml:space="preserve">Job Cuts: Reduce the employee base by approximately 2,000 positions, including those previously announced in February, which would </w:t>
      </w:r>
      <w:r w:rsidR="00C5687C">
        <w:rPr>
          <w:lang w:val="en-GB"/>
        </w:rPr>
        <w:t xml:space="preserve">both </w:t>
      </w:r>
      <w:r w:rsidR="00C5687C" w:rsidRPr="003D519C">
        <w:rPr>
          <w:lang w:val="en-GB"/>
        </w:rPr>
        <w:t>streamline the decision</w:t>
      </w:r>
      <w:r w:rsidR="00C5687C">
        <w:rPr>
          <w:lang w:val="en-GB"/>
        </w:rPr>
        <w:t>-</w:t>
      </w:r>
      <w:r w:rsidR="00C5687C" w:rsidRPr="003D519C">
        <w:rPr>
          <w:lang w:val="en-GB"/>
        </w:rPr>
        <w:t xml:space="preserve">making process </w:t>
      </w:r>
      <w:r w:rsidR="00C5687C">
        <w:rPr>
          <w:lang w:val="en-GB"/>
        </w:rPr>
        <w:t xml:space="preserve">and </w:t>
      </w:r>
      <w:r w:rsidRPr="003D519C">
        <w:rPr>
          <w:lang w:val="en-GB"/>
        </w:rPr>
        <w:t>flatten the organization by removing layers to make H</w:t>
      </w:r>
      <w:r w:rsidR="00C5687C">
        <w:rPr>
          <w:lang w:val="en-GB"/>
        </w:rPr>
        <w:t xml:space="preserve">udson’s </w:t>
      </w:r>
      <w:r w:rsidRPr="003D519C">
        <w:rPr>
          <w:lang w:val="en-GB"/>
        </w:rPr>
        <w:t>B</w:t>
      </w:r>
      <w:r w:rsidR="00C5687C">
        <w:rPr>
          <w:lang w:val="en-GB"/>
        </w:rPr>
        <w:t xml:space="preserve">ay </w:t>
      </w:r>
      <w:r w:rsidRPr="003D519C">
        <w:rPr>
          <w:lang w:val="en-GB"/>
        </w:rPr>
        <w:t>C</w:t>
      </w:r>
      <w:r w:rsidR="00C5687C">
        <w:rPr>
          <w:lang w:val="en-GB"/>
        </w:rPr>
        <w:t>ompany</w:t>
      </w:r>
      <w:r w:rsidRPr="003D519C">
        <w:rPr>
          <w:lang w:val="en-GB"/>
        </w:rPr>
        <w:t xml:space="preserve"> more nimble.</w:t>
      </w:r>
    </w:p>
    <w:p w14:paraId="59E4C30E" w14:textId="77777777" w:rsidR="00B57D8C" w:rsidRPr="003D519C" w:rsidRDefault="00B57D8C" w:rsidP="00B57D8C">
      <w:pPr>
        <w:pStyle w:val="ExhibitText"/>
        <w:rPr>
          <w:lang w:val="en-GB"/>
        </w:rPr>
      </w:pPr>
    </w:p>
    <w:p w14:paraId="381BC6A1" w14:textId="77777777" w:rsidR="00FB7D48" w:rsidRPr="003D519C" w:rsidRDefault="00FB7D48" w:rsidP="00B57D8C">
      <w:pPr>
        <w:pStyle w:val="ExhibitText"/>
        <w:rPr>
          <w:lang w:val="en-GB"/>
        </w:rPr>
      </w:pPr>
      <w:r w:rsidRPr="003D519C">
        <w:rPr>
          <w:lang w:val="en-GB"/>
        </w:rPr>
        <w:t>Procurement Savings: Fully leverage the size and scale of the company to optimize procurement and generate additional savings.</w:t>
      </w:r>
    </w:p>
    <w:p w14:paraId="1C9FE076" w14:textId="77777777" w:rsidR="00B57D8C" w:rsidRPr="003D519C" w:rsidRDefault="00B57D8C" w:rsidP="00B57D8C">
      <w:pPr>
        <w:pStyle w:val="ExhibitText"/>
        <w:rPr>
          <w:lang w:val="en-GB"/>
        </w:rPr>
      </w:pPr>
    </w:p>
    <w:p w14:paraId="3C72DDC4" w14:textId="77777777" w:rsidR="00B57D8C" w:rsidRPr="003D519C" w:rsidRDefault="00B57D8C" w:rsidP="00B57D8C">
      <w:pPr>
        <w:pStyle w:val="ExhibitText"/>
        <w:rPr>
          <w:lang w:val="en-GB"/>
        </w:rPr>
      </w:pPr>
    </w:p>
    <w:p w14:paraId="1DB28C4F" w14:textId="278F9EA0" w:rsidR="00B57D8C" w:rsidRPr="003D519C" w:rsidRDefault="00B57D8C" w:rsidP="00B57D8C">
      <w:pPr>
        <w:pStyle w:val="Footnote"/>
        <w:rPr>
          <w:lang w:val="en-GB"/>
        </w:rPr>
      </w:pPr>
      <w:r w:rsidRPr="003D519C">
        <w:rPr>
          <w:lang w:val="en-GB"/>
        </w:rPr>
        <w:t>Source: Created by the authors using “HBC Announces Transformation Plan for North American Operations to Deliver Best-In-Class All-Channel Customer Experience</w:t>
      </w:r>
      <w:r w:rsidR="00C5687C">
        <w:rPr>
          <w:lang w:val="en-GB"/>
        </w:rPr>
        <w:t>,</w:t>
      </w:r>
      <w:r w:rsidRPr="003D519C">
        <w:rPr>
          <w:lang w:val="en-GB"/>
        </w:rPr>
        <w:t xml:space="preserve">” </w:t>
      </w:r>
      <w:r w:rsidR="00B2210C">
        <w:rPr>
          <w:lang w:val="en-GB"/>
        </w:rPr>
        <w:t>n</w:t>
      </w:r>
      <w:r w:rsidR="00261289">
        <w:rPr>
          <w:lang w:val="en-GB"/>
        </w:rPr>
        <w:t xml:space="preserve">ews release, </w:t>
      </w:r>
      <w:r w:rsidRPr="003D519C">
        <w:rPr>
          <w:lang w:val="en-GB"/>
        </w:rPr>
        <w:t>Business Wire, June 8, 2017</w:t>
      </w:r>
      <w:r w:rsidR="00C5687C">
        <w:rPr>
          <w:lang w:val="en-GB"/>
        </w:rPr>
        <w:t>,</w:t>
      </w:r>
      <w:r w:rsidRPr="003D519C">
        <w:rPr>
          <w:lang w:val="en-GB"/>
        </w:rPr>
        <w:t xml:space="preserve"> </w:t>
      </w:r>
      <w:r w:rsidR="00C5687C">
        <w:rPr>
          <w:lang w:val="en-GB"/>
        </w:rPr>
        <w:t>a</w:t>
      </w:r>
      <w:r w:rsidRPr="003D519C">
        <w:rPr>
          <w:lang w:val="en-GB"/>
        </w:rPr>
        <w:t>ccessed December 28, 2017</w:t>
      </w:r>
      <w:r w:rsidR="00C5687C">
        <w:rPr>
          <w:lang w:val="en-GB"/>
        </w:rPr>
        <w:t>,</w:t>
      </w:r>
      <w:r w:rsidRPr="003D519C">
        <w:rPr>
          <w:lang w:val="en-GB"/>
        </w:rPr>
        <w:t xml:space="preserve"> https://www.businesswire.com/news/home/20170608006311/en/HBC-Announces-Transformation-Plan-North-Aerican-Operations.</w:t>
      </w:r>
    </w:p>
    <w:p w14:paraId="65BD7FF3" w14:textId="77777777" w:rsidR="00FB7D48" w:rsidRPr="003D519C" w:rsidRDefault="00FB7D48">
      <w:pPr>
        <w:spacing w:after="200" w:line="276" w:lineRule="auto"/>
        <w:rPr>
          <w:sz w:val="22"/>
          <w:szCs w:val="22"/>
          <w:lang w:val="en-GB"/>
        </w:rPr>
      </w:pPr>
      <w:r w:rsidRPr="003D519C">
        <w:rPr>
          <w:lang w:val="en-GB"/>
        </w:rPr>
        <w:br w:type="page"/>
      </w:r>
    </w:p>
    <w:p w14:paraId="31E27188" w14:textId="77777777" w:rsidR="00465348" w:rsidRPr="003D519C" w:rsidRDefault="00FB7D48" w:rsidP="00B57D8C">
      <w:pPr>
        <w:pStyle w:val="ExhibitHeading"/>
        <w:jc w:val="left"/>
        <w:rPr>
          <w:lang w:val="en-GB"/>
        </w:rPr>
      </w:pPr>
      <w:r w:rsidRPr="003D519C">
        <w:rPr>
          <w:lang w:val="en-GB"/>
        </w:rPr>
        <w:lastRenderedPageBreak/>
        <w:t>endnotes</w:t>
      </w:r>
    </w:p>
    <w:sectPr w:rsidR="00465348" w:rsidRPr="003D519C" w:rsidSect="00B57D8C">
      <w:headerReference w:type="default" r:id="rId13"/>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450AB" w14:textId="77777777" w:rsidR="002A24A6" w:rsidRDefault="002A24A6" w:rsidP="00D75295">
      <w:r>
        <w:separator/>
      </w:r>
    </w:p>
  </w:endnote>
  <w:endnote w:type="continuationSeparator" w:id="0">
    <w:p w14:paraId="172F2647" w14:textId="77777777" w:rsidR="002A24A6" w:rsidRDefault="002A24A6" w:rsidP="00D75295">
      <w:r>
        <w:continuationSeparator/>
      </w:r>
    </w:p>
  </w:endnote>
  <w:endnote w:id="1">
    <w:p w14:paraId="51BD573D" w14:textId="7111D202" w:rsidR="003E7B9E" w:rsidRPr="005A4146" w:rsidRDefault="003E7B9E" w:rsidP="005D2914">
      <w:pPr>
        <w:pStyle w:val="EndnoteText"/>
        <w:jc w:val="both"/>
        <w:rPr>
          <w:lang w:val="en-US"/>
        </w:rPr>
      </w:pPr>
      <w:r w:rsidRPr="006E07EF">
        <w:rPr>
          <w:rStyle w:val="FootnoteChar"/>
          <w:rFonts w:eastAsia="Calibri"/>
          <w:vertAlign w:val="superscript"/>
        </w:rPr>
        <w:endnoteRef/>
      </w:r>
      <w:r w:rsidRPr="005D2914">
        <w:rPr>
          <w:rStyle w:val="FootnoteChar"/>
          <w:rFonts w:eastAsia="Calibri"/>
          <w:vertAlign w:val="superscript"/>
        </w:rPr>
        <w:t xml:space="preserve"> </w:t>
      </w:r>
      <w:r w:rsidRPr="00E66022">
        <w:rPr>
          <w:rStyle w:val="FootnoteChar"/>
          <w:rFonts w:eastAsia="Calibri"/>
        </w:rPr>
        <w:t>This case has been written on the basis of published sources only. Consequently, the interpretation and perspectives presented in this case a</w:t>
      </w:r>
      <w:r>
        <w:rPr>
          <w:rStyle w:val="FootnoteChar"/>
          <w:rFonts w:eastAsia="Calibri"/>
        </w:rPr>
        <w:t>re not necessarily those of Hudson’</w:t>
      </w:r>
      <w:r>
        <w:rPr>
          <w:rStyle w:val="FootnoteChar"/>
          <w:rFonts w:eastAsia="Calibri"/>
          <w:lang w:val="en-US"/>
        </w:rPr>
        <w:t>s Bay Company</w:t>
      </w:r>
      <w:r w:rsidRPr="00E66022">
        <w:rPr>
          <w:rStyle w:val="FootnoteChar"/>
          <w:rFonts w:eastAsia="Calibri"/>
        </w:rPr>
        <w:t xml:space="preserve"> or any of its employees.</w:t>
      </w:r>
    </w:p>
  </w:endnote>
  <w:endnote w:id="2">
    <w:p w14:paraId="67C8A1EA" w14:textId="79B503B1" w:rsidR="003E7B9E" w:rsidRPr="00111936" w:rsidRDefault="003E7B9E" w:rsidP="00111936">
      <w:pPr>
        <w:pStyle w:val="Footnote"/>
      </w:pPr>
      <w:r>
        <w:rPr>
          <w:rStyle w:val="EndnoteReference"/>
        </w:rPr>
        <w:endnoteRef/>
      </w:r>
      <w:r>
        <w:t xml:space="preserve"> All currency amounts are in Canadian dollars.</w:t>
      </w:r>
    </w:p>
  </w:endnote>
  <w:endnote w:id="3">
    <w:p w14:paraId="16F87749" w14:textId="22E85718" w:rsidR="003E7B9E" w:rsidRDefault="003E7B9E" w:rsidP="00B57D8C">
      <w:pPr>
        <w:pStyle w:val="Footnote"/>
      </w:pPr>
      <w:r>
        <w:rPr>
          <w:vertAlign w:val="superscript"/>
        </w:rPr>
        <w:endnoteRef/>
      </w:r>
      <w:r>
        <w:t xml:space="preserve"> Francine </w:t>
      </w:r>
      <w:proofErr w:type="spellStart"/>
      <w:r>
        <w:t>Kopun</w:t>
      </w:r>
      <w:proofErr w:type="spellEnd"/>
      <w:r>
        <w:t xml:space="preserve">, “Hudson’s Bay under Fire from Investment Firm after $201M Loss in ‘Very Disappointing’ Quarter,” </w:t>
      </w:r>
      <w:r w:rsidRPr="005D2914">
        <w:rPr>
          <w:i/>
        </w:rPr>
        <w:t>Toronto Star</w:t>
      </w:r>
      <w:r>
        <w:t>, September 6, 2017, accessed December 19, 2017, https://www.thestar.com/business/2017/09/06/hudsons-bay-loses-201m-in-very-disappointing-quarter.html.</w:t>
      </w:r>
    </w:p>
  </w:endnote>
  <w:endnote w:id="4">
    <w:p w14:paraId="5504E6DD" w14:textId="09F2599E" w:rsidR="003E7B9E" w:rsidRDefault="003E7B9E" w:rsidP="00B57D8C">
      <w:pPr>
        <w:pStyle w:val="Footnote"/>
      </w:pPr>
      <w:r>
        <w:rPr>
          <w:vertAlign w:val="superscript"/>
        </w:rPr>
        <w:endnoteRef/>
      </w:r>
      <w:r w:rsidR="002F689C">
        <w:t xml:space="preserve"> Ibid.</w:t>
      </w:r>
    </w:p>
  </w:endnote>
  <w:endnote w:id="5">
    <w:p w14:paraId="381980BB" w14:textId="1374F1F2" w:rsidR="003E7B9E" w:rsidRPr="00827B1B" w:rsidRDefault="003E7B9E" w:rsidP="00B57D8C">
      <w:pPr>
        <w:pStyle w:val="Footnote"/>
        <w:rPr>
          <w:spacing w:val="-4"/>
          <w:kern w:val="17"/>
        </w:rPr>
      </w:pPr>
      <w:r w:rsidRPr="00827B1B">
        <w:rPr>
          <w:spacing w:val="-4"/>
          <w:kern w:val="17"/>
          <w:vertAlign w:val="superscript"/>
        </w:rPr>
        <w:endnoteRef/>
      </w:r>
      <w:r w:rsidRPr="00827B1B">
        <w:rPr>
          <w:spacing w:val="-4"/>
          <w:kern w:val="17"/>
        </w:rPr>
        <w:t xml:space="preserve"> Linda Nguyen and David Hodges, “Hudson’s Bay to </w:t>
      </w:r>
      <w:r>
        <w:rPr>
          <w:spacing w:val="-4"/>
          <w:kern w:val="17"/>
        </w:rPr>
        <w:t>C</w:t>
      </w:r>
      <w:r w:rsidRPr="00827B1B">
        <w:rPr>
          <w:spacing w:val="-4"/>
          <w:kern w:val="17"/>
        </w:rPr>
        <w:t xml:space="preserve">ut 2,000 </w:t>
      </w:r>
      <w:r>
        <w:rPr>
          <w:spacing w:val="-4"/>
          <w:kern w:val="17"/>
        </w:rPr>
        <w:t>J</w:t>
      </w:r>
      <w:r w:rsidRPr="00827B1B">
        <w:rPr>
          <w:spacing w:val="-4"/>
          <w:kern w:val="17"/>
        </w:rPr>
        <w:t xml:space="preserve">obs as </w:t>
      </w:r>
      <w:r>
        <w:rPr>
          <w:spacing w:val="-4"/>
          <w:kern w:val="17"/>
        </w:rPr>
        <w:t>P</w:t>
      </w:r>
      <w:r w:rsidRPr="00827B1B">
        <w:rPr>
          <w:spacing w:val="-4"/>
          <w:kern w:val="17"/>
        </w:rPr>
        <w:t xml:space="preserve">art of </w:t>
      </w:r>
      <w:r>
        <w:rPr>
          <w:spacing w:val="-4"/>
          <w:kern w:val="17"/>
        </w:rPr>
        <w:t>C</w:t>
      </w:r>
      <w:r w:rsidRPr="00827B1B">
        <w:rPr>
          <w:spacing w:val="-4"/>
          <w:kern w:val="17"/>
        </w:rPr>
        <w:t xml:space="preserve">orporate </w:t>
      </w:r>
      <w:r>
        <w:rPr>
          <w:spacing w:val="-4"/>
          <w:kern w:val="17"/>
        </w:rPr>
        <w:t>R</w:t>
      </w:r>
      <w:r w:rsidRPr="00827B1B">
        <w:rPr>
          <w:spacing w:val="-4"/>
          <w:kern w:val="17"/>
        </w:rPr>
        <w:t>estructuring</w:t>
      </w:r>
      <w:r>
        <w:rPr>
          <w:spacing w:val="-4"/>
          <w:kern w:val="17"/>
        </w:rPr>
        <w:t>,</w:t>
      </w:r>
      <w:r w:rsidRPr="00827B1B">
        <w:rPr>
          <w:spacing w:val="-4"/>
          <w:kern w:val="17"/>
        </w:rPr>
        <w:t xml:space="preserve">” City News, June 8, 2017, accessed December 19, 2017, </w:t>
      </w:r>
      <w:r w:rsidR="00ED5D24" w:rsidRPr="00ED5D24">
        <w:rPr>
          <w:spacing w:val="-4"/>
          <w:kern w:val="17"/>
        </w:rPr>
        <w:t>http://toronto.citynews.ca/2017/06/08/hudsons-bay-cut-2000-jobs-part-corporate-restructuring/</w:t>
      </w:r>
      <w:r w:rsidR="00ED5D24">
        <w:rPr>
          <w:spacing w:val="-4"/>
          <w:kern w:val="17"/>
        </w:rPr>
        <w:t xml:space="preserve">. </w:t>
      </w:r>
    </w:p>
  </w:endnote>
  <w:endnote w:id="6">
    <w:p w14:paraId="456C549C" w14:textId="2AB1304E" w:rsidR="003E7B9E" w:rsidRPr="00644BE3" w:rsidRDefault="003E7B9E" w:rsidP="00B57D8C">
      <w:pPr>
        <w:pStyle w:val="Footnote"/>
        <w:rPr>
          <w:spacing w:val="-6"/>
          <w:kern w:val="17"/>
        </w:rPr>
      </w:pPr>
      <w:r w:rsidRPr="00644BE3">
        <w:rPr>
          <w:spacing w:val="-6"/>
          <w:kern w:val="17"/>
          <w:vertAlign w:val="superscript"/>
        </w:rPr>
        <w:endnoteRef/>
      </w:r>
      <w:r w:rsidRPr="00644BE3">
        <w:rPr>
          <w:spacing w:val="-6"/>
          <w:kern w:val="17"/>
        </w:rPr>
        <w:t xml:space="preserve"> Alexandra </w:t>
      </w:r>
      <w:proofErr w:type="spellStart"/>
      <w:r w:rsidRPr="00644BE3">
        <w:rPr>
          <w:spacing w:val="-6"/>
          <w:kern w:val="17"/>
        </w:rPr>
        <w:t>Posadzki</w:t>
      </w:r>
      <w:proofErr w:type="spellEnd"/>
      <w:r w:rsidRPr="00644BE3">
        <w:rPr>
          <w:spacing w:val="-6"/>
          <w:kern w:val="17"/>
        </w:rPr>
        <w:t xml:space="preserve">, “HBC CEO Gerald </w:t>
      </w:r>
      <w:proofErr w:type="spellStart"/>
      <w:r w:rsidRPr="00644BE3">
        <w:rPr>
          <w:spacing w:val="-6"/>
          <w:kern w:val="17"/>
        </w:rPr>
        <w:t>Storch</w:t>
      </w:r>
      <w:proofErr w:type="spellEnd"/>
      <w:r w:rsidRPr="00644BE3">
        <w:rPr>
          <w:spacing w:val="-6"/>
          <w:kern w:val="17"/>
        </w:rPr>
        <w:t xml:space="preserve"> </w:t>
      </w:r>
      <w:r>
        <w:rPr>
          <w:spacing w:val="-6"/>
          <w:kern w:val="17"/>
        </w:rPr>
        <w:t>S</w:t>
      </w:r>
      <w:r w:rsidRPr="00644BE3">
        <w:rPr>
          <w:spacing w:val="-6"/>
          <w:kern w:val="17"/>
        </w:rPr>
        <w:t xml:space="preserve">tepping </w:t>
      </w:r>
      <w:r>
        <w:rPr>
          <w:spacing w:val="-6"/>
          <w:kern w:val="17"/>
        </w:rPr>
        <w:t>D</w:t>
      </w:r>
      <w:r w:rsidRPr="00644BE3">
        <w:rPr>
          <w:spacing w:val="-6"/>
          <w:kern w:val="17"/>
        </w:rPr>
        <w:t>own</w:t>
      </w:r>
      <w:r>
        <w:rPr>
          <w:spacing w:val="-6"/>
          <w:kern w:val="17"/>
        </w:rPr>
        <w:t>,</w:t>
      </w:r>
      <w:r w:rsidRPr="00644BE3">
        <w:rPr>
          <w:spacing w:val="-6"/>
          <w:kern w:val="17"/>
        </w:rPr>
        <w:t xml:space="preserve">” </w:t>
      </w:r>
      <w:r w:rsidRPr="005D2914">
        <w:rPr>
          <w:i/>
          <w:spacing w:val="-6"/>
          <w:kern w:val="17"/>
        </w:rPr>
        <w:t>Globe and Mail</w:t>
      </w:r>
      <w:r w:rsidRPr="00644BE3">
        <w:rPr>
          <w:spacing w:val="-6"/>
          <w:kern w:val="17"/>
        </w:rPr>
        <w:t>, October 20, 2017, accessed December 19, 2017, https://www.theglobeandmail.com/report-on-business/hudsons-bay-ceo-gerald-storch-to-step-down/article36678671/.</w:t>
      </w:r>
    </w:p>
  </w:endnote>
  <w:endnote w:id="7">
    <w:p w14:paraId="67F6B3DE" w14:textId="70EFFB7C" w:rsidR="003E7B9E" w:rsidRDefault="003E7B9E" w:rsidP="00B57D8C">
      <w:pPr>
        <w:pStyle w:val="Footnote"/>
      </w:pPr>
      <w:r>
        <w:rPr>
          <w:vertAlign w:val="superscript"/>
        </w:rPr>
        <w:endnoteRef/>
      </w:r>
      <w:r>
        <w:t xml:space="preserve"> </w:t>
      </w:r>
      <w:r w:rsidRPr="00B57D8C">
        <w:t>HBC, “A Brief History of HBC</w:t>
      </w:r>
      <w:r>
        <w:t>,</w:t>
      </w:r>
      <w:proofErr w:type="gramStart"/>
      <w:r w:rsidRPr="00B57D8C">
        <w:t xml:space="preserve">” </w:t>
      </w:r>
      <w:r w:rsidR="00B756F7" w:rsidRPr="00B57D8C">
        <w:t>HBC</w:t>
      </w:r>
      <w:r w:rsidR="00B756F7">
        <w:t>H</w:t>
      </w:r>
      <w:r w:rsidR="00B756F7" w:rsidRPr="00B57D8C">
        <w:t>eritage</w:t>
      </w:r>
      <w:r w:rsidRPr="00B57D8C">
        <w:t>.ca.,</w:t>
      </w:r>
      <w:proofErr w:type="gramEnd"/>
      <w:r w:rsidRPr="00B57D8C">
        <w:t xml:space="preserve"> accessed December 19, 2017</w:t>
      </w:r>
      <w:r w:rsidR="00B756F7">
        <w:t>,</w:t>
      </w:r>
      <w:r w:rsidR="00B756F7" w:rsidRPr="00B57D8C">
        <w:t xml:space="preserve"> </w:t>
      </w:r>
      <w:r w:rsidRPr="00B57D8C">
        <w:t>www.hbcheritage.ca/history/company-stories/a-brief-history-of-hbc.</w:t>
      </w:r>
    </w:p>
  </w:endnote>
  <w:endnote w:id="8">
    <w:p w14:paraId="7E5F4B9F" w14:textId="13D02E12" w:rsidR="003E7B9E" w:rsidRDefault="003E7B9E" w:rsidP="00B57D8C">
      <w:pPr>
        <w:pStyle w:val="Footnote"/>
      </w:pPr>
      <w:r>
        <w:rPr>
          <w:vertAlign w:val="superscript"/>
        </w:rPr>
        <w:endnoteRef/>
      </w:r>
      <w:r w:rsidR="002F689C">
        <w:t xml:space="preserve"> Ibid.</w:t>
      </w:r>
    </w:p>
  </w:endnote>
  <w:endnote w:id="9">
    <w:p w14:paraId="28E51C42" w14:textId="23751489" w:rsidR="003E7B9E" w:rsidRPr="005D2914" w:rsidRDefault="003E7B9E" w:rsidP="00B57D8C">
      <w:pPr>
        <w:pStyle w:val="Footnote"/>
        <w:rPr>
          <w:b/>
        </w:rPr>
      </w:pPr>
      <w:r>
        <w:rPr>
          <w:vertAlign w:val="superscript"/>
        </w:rPr>
        <w:endnoteRef/>
      </w:r>
      <w:r>
        <w:t xml:space="preserve"> </w:t>
      </w:r>
      <w:proofErr w:type="spellStart"/>
      <w:r>
        <w:t>Marketline</w:t>
      </w:r>
      <w:proofErr w:type="spellEnd"/>
      <w:r>
        <w:t>, “Hudson’s Bay Company</w:t>
      </w:r>
      <w:r w:rsidR="00F34160">
        <w:t xml:space="preserve"> – Strategy, SWOT and Corporate Finance Report</w:t>
      </w:r>
      <w:r>
        <w:t xml:space="preserve">,” </w:t>
      </w:r>
      <w:proofErr w:type="spellStart"/>
      <w:r>
        <w:t>Marketline</w:t>
      </w:r>
      <w:proofErr w:type="spellEnd"/>
      <w:r>
        <w:t xml:space="preserve"> Advantage, February 10, 2017, accessed December 31, 2017, </w:t>
      </w:r>
      <w:r w:rsidR="00F34160" w:rsidRPr="00031C75">
        <w:t>https://store.marketline.com/report/4a73db43-d70d-40d7-802d-824d6fc898f5--hudsons-bay-company-strategy-swot-and-corporate-finance-report/</w:t>
      </w:r>
      <w:r w:rsidR="00F34160">
        <w:t xml:space="preserve">. </w:t>
      </w:r>
    </w:p>
  </w:endnote>
  <w:endnote w:id="10">
    <w:p w14:paraId="7879CF70" w14:textId="3F666B3E" w:rsidR="003E7B9E" w:rsidRDefault="003E7B9E" w:rsidP="00B57D8C">
      <w:pPr>
        <w:pStyle w:val="Footnote"/>
      </w:pPr>
      <w:r>
        <w:rPr>
          <w:vertAlign w:val="superscript"/>
        </w:rPr>
        <w:endnoteRef/>
      </w:r>
      <w:r>
        <w:t xml:space="preserve"> HBC, op. cit. </w:t>
      </w:r>
    </w:p>
  </w:endnote>
  <w:endnote w:id="11">
    <w:p w14:paraId="7417F61E" w14:textId="75091CAF" w:rsidR="003E7B9E" w:rsidRDefault="003E7B9E" w:rsidP="00B57D8C">
      <w:pPr>
        <w:pStyle w:val="Footnote"/>
      </w:pPr>
      <w:r>
        <w:rPr>
          <w:vertAlign w:val="superscript"/>
        </w:rPr>
        <w:endnoteRef/>
      </w:r>
      <w:r w:rsidR="002F689C">
        <w:t xml:space="preserve"> Ibid.</w:t>
      </w:r>
    </w:p>
  </w:endnote>
  <w:endnote w:id="12">
    <w:p w14:paraId="5649D59B" w14:textId="572CF7E6" w:rsidR="003E7B9E" w:rsidRPr="00031C75" w:rsidRDefault="003E7B9E" w:rsidP="00B57D8C">
      <w:pPr>
        <w:pStyle w:val="Footnote"/>
        <w:rPr>
          <w:spacing w:val="-4"/>
          <w:kern w:val="17"/>
        </w:rPr>
      </w:pPr>
      <w:r w:rsidRPr="00031C75">
        <w:rPr>
          <w:spacing w:val="-4"/>
          <w:kern w:val="17"/>
          <w:vertAlign w:val="superscript"/>
        </w:rPr>
        <w:endnoteRef/>
      </w:r>
      <w:r w:rsidRPr="00031C75">
        <w:rPr>
          <w:spacing w:val="-4"/>
          <w:kern w:val="17"/>
        </w:rPr>
        <w:t xml:space="preserve"> </w:t>
      </w:r>
      <w:proofErr w:type="spellStart"/>
      <w:r w:rsidRPr="00031C75">
        <w:rPr>
          <w:spacing w:val="-4"/>
          <w:kern w:val="17"/>
        </w:rPr>
        <w:t>Marketline</w:t>
      </w:r>
      <w:proofErr w:type="spellEnd"/>
      <w:r w:rsidRPr="00031C75">
        <w:rPr>
          <w:spacing w:val="-4"/>
          <w:kern w:val="17"/>
        </w:rPr>
        <w:t xml:space="preserve">, “Hudson’s Bay Company,” op. cit. </w:t>
      </w:r>
    </w:p>
  </w:endnote>
  <w:endnote w:id="13">
    <w:p w14:paraId="69948D1F" w14:textId="365B67EC" w:rsidR="003E7B9E" w:rsidRDefault="003E7B9E" w:rsidP="00B57D8C">
      <w:pPr>
        <w:pStyle w:val="Footnote"/>
      </w:pPr>
      <w:r>
        <w:rPr>
          <w:vertAlign w:val="superscript"/>
        </w:rPr>
        <w:endnoteRef/>
      </w:r>
      <w:r w:rsidR="002F689C">
        <w:t xml:space="preserve"> Ibid.</w:t>
      </w:r>
    </w:p>
  </w:endnote>
  <w:endnote w:id="14">
    <w:p w14:paraId="02F6DB19" w14:textId="446DC13E" w:rsidR="003E7B9E" w:rsidRPr="00827B1B" w:rsidRDefault="003E7B9E" w:rsidP="00B57D8C">
      <w:pPr>
        <w:pStyle w:val="Footnote"/>
        <w:rPr>
          <w:spacing w:val="-4"/>
          <w:kern w:val="17"/>
        </w:rPr>
      </w:pPr>
      <w:r>
        <w:rPr>
          <w:vertAlign w:val="superscript"/>
        </w:rPr>
        <w:endnoteRef/>
      </w:r>
      <w:r>
        <w:t xml:space="preserve"> HBC, op. cit. </w:t>
      </w:r>
    </w:p>
  </w:endnote>
  <w:endnote w:id="15">
    <w:p w14:paraId="533FF2B9" w14:textId="7C247E95" w:rsidR="003E7B9E" w:rsidRPr="00031C75" w:rsidRDefault="003E7B9E" w:rsidP="00B57D8C">
      <w:pPr>
        <w:pStyle w:val="Footnote"/>
      </w:pPr>
      <w:r w:rsidRPr="00031C75">
        <w:rPr>
          <w:kern w:val="17"/>
          <w:vertAlign w:val="superscript"/>
        </w:rPr>
        <w:endnoteRef/>
      </w:r>
      <w:r w:rsidRPr="00031C75">
        <w:rPr>
          <w:kern w:val="17"/>
        </w:rPr>
        <w:t xml:space="preserve"> </w:t>
      </w:r>
      <w:proofErr w:type="spellStart"/>
      <w:r w:rsidRPr="00031C75">
        <w:rPr>
          <w:kern w:val="17"/>
        </w:rPr>
        <w:t>Marilisa</w:t>
      </w:r>
      <w:proofErr w:type="spellEnd"/>
      <w:r w:rsidRPr="00031C75">
        <w:rPr>
          <w:kern w:val="17"/>
        </w:rPr>
        <w:t xml:space="preserve"> </w:t>
      </w:r>
      <w:proofErr w:type="spellStart"/>
      <w:r w:rsidRPr="00031C75">
        <w:rPr>
          <w:kern w:val="17"/>
        </w:rPr>
        <w:t>Racco</w:t>
      </w:r>
      <w:proofErr w:type="spellEnd"/>
      <w:r w:rsidRPr="00031C75">
        <w:rPr>
          <w:kern w:val="17"/>
        </w:rPr>
        <w:t>, “HBC Unveils Team Canada Collection and Canadians Are Pretty Excited,” Global News, October 3, 2017</w:t>
      </w:r>
      <w:r w:rsidR="00B756F7">
        <w:rPr>
          <w:kern w:val="17"/>
        </w:rPr>
        <w:t>,</w:t>
      </w:r>
      <w:r w:rsidR="00B756F7" w:rsidRPr="00031C75">
        <w:rPr>
          <w:kern w:val="17"/>
        </w:rPr>
        <w:t xml:space="preserve"> </w:t>
      </w:r>
      <w:r w:rsidR="00B756F7">
        <w:rPr>
          <w:kern w:val="17"/>
        </w:rPr>
        <w:t>a</w:t>
      </w:r>
      <w:r w:rsidR="00B756F7" w:rsidRPr="00031C75">
        <w:rPr>
          <w:kern w:val="17"/>
        </w:rPr>
        <w:t xml:space="preserve">ccessed </w:t>
      </w:r>
      <w:r w:rsidRPr="00031C75">
        <w:rPr>
          <w:kern w:val="17"/>
        </w:rPr>
        <w:t>December 31, 2017, https://globalnews.ca/news/3782547/hbc-unveils-team-canada-collection-and-canadians-are-pretty-excited/.</w:t>
      </w:r>
      <w:r w:rsidRPr="00031C75">
        <w:t xml:space="preserve"> </w:t>
      </w:r>
    </w:p>
  </w:endnote>
  <w:endnote w:id="16">
    <w:p w14:paraId="574F763B" w14:textId="1F191E01" w:rsidR="003E7B9E" w:rsidRDefault="003E7B9E" w:rsidP="00B57D8C">
      <w:pPr>
        <w:pStyle w:val="Footnote"/>
      </w:pPr>
      <w:r>
        <w:rPr>
          <w:vertAlign w:val="superscript"/>
        </w:rPr>
        <w:endnoteRef/>
      </w:r>
      <w:r>
        <w:t xml:space="preserve"> Marina Strauss, “Baker’s Battle,” </w:t>
      </w:r>
      <w:r w:rsidRPr="005D2914">
        <w:rPr>
          <w:i/>
        </w:rPr>
        <w:t>Globe and Mail</w:t>
      </w:r>
      <w:r>
        <w:t>, November 30, 2017, accessed December 31, 2017</w:t>
      </w:r>
      <w:r w:rsidR="00B756F7">
        <w:t xml:space="preserve">, </w:t>
      </w:r>
      <w:r>
        <w:t>https://www.theglobeandmail.com/news/hudsons-bay-richard-baker-retail-strategy/article37143916/.</w:t>
      </w:r>
    </w:p>
  </w:endnote>
  <w:endnote w:id="17">
    <w:p w14:paraId="1E7789CE" w14:textId="33DFB8D5" w:rsidR="003E7B9E" w:rsidRDefault="003E7B9E" w:rsidP="00B57D8C">
      <w:pPr>
        <w:pStyle w:val="Footnote"/>
      </w:pPr>
      <w:r>
        <w:rPr>
          <w:vertAlign w:val="superscript"/>
        </w:rPr>
        <w:endnoteRef/>
      </w:r>
      <w:r>
        <w:t xml:space="preserve"> </w:t>
      </w:r>
      <w:r w:rsidRPr="00B57D8C">
        <w:t xml:space="preserve">“Austrian </w:t>
      </w:r>
      <w:r>
        <w:t>F</w:t>
      </w:r>
      <w:r w:rsidRPr="00B57D8C">
        <w:t xml:space="preserve">irm </w:t>
      </w:r>
      <w:r>
        <w:t>M</w:t>
      </w:r>
      <w:r w:rsidRPr="00B57D8C">
        <w:t xml:space="preserve">akes </w:t>
      </w:r>
      <w:r>
        <w:t>B</w:t>
      </w:r>
      <w:r w:rsidRPr="00B57D8C">
        <w:t xml:space="preserve">id for HBC’s </w:t>
      </w:r>
      <w:proofErr w:type="spellStart"/>
      <w:r w:rsidRPr="00B57D8C">
        <w:t>Galeria</w:t>
      </w:r>
      <w:proofErr w:type="spellEnd"/>
      <w:r w:rsidRPr="00B57D8C">
        <w:t xml:space="preserve"> </w:t>
      </w:r>
      <w:proofErr w:type="spellStart"/>
      <w:r w:rsidRPr="00B57D8C">
        <w:t>Kaufhof</w:t>
      </w:r>
      <w:proofErr w:type="spellEnd"/>
      <w:r w:rsidRPr="00B57D8C">
        <w:t xml:space="preserve"> of Germany</w:t>
      </w:r>
      <w:r>
        <w:t>,</w:t>
      </w:r>
      <w:r w:rsidRPr="00B57D8C">
        <w:t xml:space="preserve">” CBC </w:t>
      </w:r>
      <w:r>
        <w:t>N</w:t>
      </w:r>
      <w:r w:rsidRPr="00B57D8C">
        <w:t>ews, November 1, 2017</w:t>
      </w:r>
      <w:r>
        <w:t>,</w:t>
      </w:r>
      <w:r w:rsidRPr="00B57D8C">
        <w:t xml:space="preserve"> </w:t>
      </w:r>
      <w:r>
        <w:t>a</w:t>
      </w:r>
      <w:r w:rsidRPr="00B57D8C">
        <w:t>ccessed December 31, 2017</w:t>
      </w:r>
      <w:r>
        <w:t>,</w:t>
      </w:r>
      <w:r w:rsidRPr="00B57D8C">
        <w:t xml:space="preserve"> www.cbc.ca/news/business/hbc-Galeria-kaufhof-1.4382036.</w:t>
      </w:r>
    </w:p>
  </w:endnote>
  <w:endnote w:id="18">
    <w:p w14:paraId="6AEE6B8A" w14:textId="4F543A2C" w:rsidR="003E7B9E" w:rsidRDefault="003E7B9E" w:rsidP="00B57D8C">
      <w:pPr>
        <w:pStyle w:val="Footnote"/>
        <w:rPr>
          <w:sz w:val="20"/>
          <w:szCs w:val="20"/>
        </w:rPr>
      </w:pPr>
      <w:r>
        <w:rPr>
          <w:vertAlign w:val="superscript"/>
        </w:rPr>
        <w:endnoteRef/>
      </w:r>
      <w:r>
        <w:t xml:space="preserve"> Hudson’s Bay Company, </w:t>
      </w:r>
      <w:r w:rsidRPr="006E07EF">
        <w:rPr>
          <w:i/>
        </w:rPr>
        <w:t>Management’s Discussion and Analysis of Financial Condition and Results of Operations for the Thirteen Weeks Ended April 29, 2017</w:t>
      </w:r>
      <w:r w:rsidR="00B756F7">
        <w:t>,</w:t>
      </w:r>
      <w:r>
        <w:t xml:space="preserve"> June 8, 2017, accessed December 28, 2017, http://files.shareholder.com/downloads/AMDA-1ETYKL/5799757931x0x946145/B3479E1D-D500-4736-A79E-1349220E94DF/HBC_MDA_Q1_2017_FINAL.pdf.</w:t>
      </w:r>
    </w:p>
  </w:endnote>
  <w:endnote w:id="19">
    <w:p w14:paraId="57A086D1" w14:textId="00F5F719" w:rsidR="003E7B9E" w:rsidRDefault="003E7B9E" w:rsidP="00B57D8C">
      <w:pPr>
        <w:pStyle w:val="Footnote"/>
        <w:rPr>
          <w:sz w:val="20"/>
          <w:szCs w:val="20"/>
        </w:rPr>
      </w:pPr>
      <w:r>
        <w:rPr>
          <w:vertAlign w:val="superscript"/>
        </w:rPr>
        <w:endnoteRef/>
      </w:r>
      <w:r w:rsidR="002F689C">
        <w:t xml:space="preserve"> Ibid.</w:t>
      </w:r>
    </w:p>
  </w:endnote>
  <w:endnote w:id="20">
    <w:p w14:paraId="4460D92A" w14:textId="44F41037" w:rsidR="003E7B9E" w:rsidRDefault="003E7B9E" w:rsidP="00B57D8C">
      <w:pPr>
        <w:pStyle w:val="Footnote"/>
        <w:rPr>
          <w:sz w:val="20"/>
          <w:szCs w:val="20"/>
        </w:rPr>
      </w:pPr>
      <w:r>
        <w:rPr>
          <w:vertAlign w:val="superscript"/>
        </w:rPr>
        <w:endnoteRef/>
      </w:r>
      <w:r w:rsidR="002F689C">
        <w:t xml:space="preserve"> Ibid.</w:t>
      </w:r>
    </w:p>
  </w:endnote>
  <w:endnote w:id="21">
    <w:p w14:paraId="527806E9" w14:textId="4766C7B7" w:rsidR="003E7B9E" w:rsidRDefault="003E7B9E" w:rsidP="00B57D8C">
      <w:pPr>
        <w:pStyle w:val="Footnote"/>
        <w:rPr>
          <w:sz w:val="20"/>
          <w:szCs w:val="20"/>
        </w:rPr>
      </w:pPr>
      <w:r>
        <w:rPr>
          <w:vertAlign w:val="superscript"/>
        </w:rPr>
        <w:endnoteRef/>
      </w:r>
      <w:r>
        <w:t xml:space="preserve"> </w:t>
      </w:r>
      <w:r w:rsidRPr="00B57D8C">
        <w:t xml:space="preserve">Hudson’s Bay Company, </w:t>
      </w:r>
      <w:r w:rsidRPr="006E07EF">
        <w:rPr>
          <w:i/>
        </w:rPr>
        <w:t>Management’s Discussion and Analysis of Financial Condition and Results of Operations for the Thirteen and Twenty-six Weeks Ended July 29, 2017</w:t>
      </w:r>
      <w:r w:rsidR="00B756F7">
        <w:t>,</w:t>
      </w:r>
      <w:r w:rsidRPr="00B57D8C">
        <w:t xml:space="preserve"> September 5, 2017</w:t>
      </w:r>
      <w:r>
        <w:t>,</w:t>
      </w:r>
      <w:r w:rsidRPr="00B57D8C">
        <w:t xml:space="preserve"> </w:t>
      </w:r>
      <w:r>
        <w:t>a</w:t>
      </w:r>
      <w:r w:rsidRPr="00B57D8C">
        <w:t>ccessed December 28, 2017</w:t>
      </w:r>
      <w:r>
        <w:t xml:space="preserve">, </w:t>
      </w:r>
      <w:r w:rsidRPr="00B57D8C">
        <w:t>http://files.shareholder.com/downloads/AMDA-1ETYKL/5799757931x0x955782/ED408D88-D534-464F-A87E-80735BE2B78B/HBC_MDA_Q2_2017_FINAL.pdf.</w:t>
      </w:r>
    </w:p>
  </w:endnote>
  <w:endnote w:id="22">
    <w:p w14:paraId="61ADECA3" w14:textId="56D914FD" w:rsidR="003E7B9E" w:rsidRDefault="003E7B9E" w:rsidP="00B57D8C">
      <w:pPr>
        <w:pStyle w:val="Footnote"/>
      </w:pPr>
      <w:r>
        <w:rPr>
          <w:vertAlign w:val="superscript"/>
        </w:rPr>
        <w:endnoteRef/>
      </w:r>
      <w:r>
        <w:t xml:space="preserve"> Daphne Howland, “Hudson’s Bay to Cut 2k Jobs amid ‘Transformation Plan,” Retail Dive, June 9, 2017, accessed December 28, 2017, https://www.retaildive.com/news/hudsons-bay-to-cut-2k-jobs-amid-transformation-plan/444633/.</w:t>
      </w:r>
    </w:p>
  </w:endnote>
  <w:endnote w:id="23">
    <w:p w14:paraId="685C1ACE" w14:textId="4D089F41" w:rsidR="003E7B9E" w:rsidRPr="00827B1B" w:rsidRDefault="003E7B9E" w:rsidP="00B57D8C">
      <w:pPr>
        <w:pStyle w:val="Footnote"/>
        <w:rPr>
          <w:spacing w:val="-4"/>
          <w:kern w:val="17"/>
        </w:rPr>
      </w:pPr>
      <w:r w:rsidRPr="00827B1B">
        <w:rPr>
          <w:spacing w:val="-4"/>
          <w:kern w:val="17"/>
          <w:vertAlign w:val="superscript"/>
        </w:rPr>
        <w:endnoteRef/>
      </w:r>
      <w:r w:rsidRPr="00827B1B">
        <w:rPr>
          <w:spacing w:val="-4"/>
          <w:kern w:val="17"/>
        </w:rPr>
        <w:t xml:space="preserve"> </w:t>
      </w:r>
      <w:r w:rsidR="00B756F7">
        <w:rPr>
          <w:spacing w:val="-4"/>
          <w:kern w:val="17"/>
        </w:rPr>
        <w:t>Hudson’s Bay Company</w:t>
      </w:r>
      <w:r>
        <w:rPr>
          <w:spacing w:val="-4"/>
          <w:kern w:val="17"/>
        </w:rPr>
        <w:t xml:space="preserve">, </w:t>
      </w:r>
      <w:r w:rsidRPr="00827B1B">
        <w:rPr>
          <w:spacing w:val="-4"/>
          <w:kern w:val="17"/>
        </w:rPr>
        <w:t>“HBC Announces Transformation Plan for North American Operations to Deliver Best-In-Class All-Channel Customer Experience</w:t>
      </w:r>
      <w:r>
        <w:rPr>
          <w:spacing w:val="-4"/>
          <w:kern w:val="17"/>
        </w:rPr>
        <w:t>,</w:t>
      </w:r>
      <w:r w:rsidRPr="00827B1B">
        <w:rPr>
          <w:spacing w:val="-4"/>
          <w:kern w:val="17"/>
        </w:rPr>
        <w:t xml:space="preserve">” </w:t>
      </w:r>
      <w:r>
        <w:rPr>
          <w:spacing w:val="-4"/>
          <w:kern w:val="17"/>
        </w:rPr>
        <w:t xml:space="preserve">press release, </w:t>
      </w:r>
      <w:r w:rsidRPr="00827B1B">
        <w:rPr>
          <w:spacing w:val="-4"/>
          <w:kern w:val="17"/>
        </w:rPr>
        <w:t>Business Wire, June 8, 2017</w:t>
      </w:r>
      <w:r>
        <w:rPr>
          <w:spacing w:val="-4"/>
          <w:kern w:val="17"/>
        </w:rPr>
        <w:t>,</w:t>
      </w:r>
      <w:r w:rsidRPr="00827B1B">
        <w:rPr>
          <w:spacing w:val="-4"/>
          <w:kern w:val="17"/>
        </w:rPr>
        <w:t xml:space="preserve"> </w:t>
      </w:r>
      <w:r>
        <w:rPr>
          <w:spacing w:val="-4"/>
          <w:kern w:val="17"/>
        </w:rPr>
        <w:t>a</w:t>
      </w:r>
      <w:r w:rsidRPr="00827B1B">
        <w:rPr>
          <w:spacing w:val="-4"/>
          <w:kern w:val="17"/>
        </w:rPr>
        <w:t>ccessed December 28, 2017</w:t>
      </w:r>
      <w:r>
        <w:rPr>
          <w:spacing w:val="-4"/>
          <w:kern w:val="17"/>
        </w:rPr>
        <w:t>,</w:t>
      </w:r>
      <w:r w:rsidRPr="00827B1B">
        <w:rPr>
          <w:spacing w:val="-4"/>
          <w:kern w:val="17"/>
        </w:rPr>
        <w:t xml:space="preserve"> https://www.businesswire.com/news/home/20170608006311/en/HBC-Announces-Transformation-Plan-North-Aerican-Operations.</w:t>
      </w:r>
    </w:p>
  </w:endnote>
  <w:endnote w:id="24">
    <w:p w14:paraId="307D38C3" w14:textId="3C07F020" w:rsidR="003E7B9E" w:rsidRDefault="003E7B9E" w:rsidP="00B57D8C">
      <w:pPr>
        <w:pStyle w:val="Footnote"/>
        <w:rPr>
          <w:sz w:val="20"/>
          <w:szCs w:val="20"/>
        </w:rPr>
      </w:pPr>
      <w:r>
        <w:rPr>
          <w:vertAlign w:val="superscript"/>
        </w:rPr>
        <w:endnoteRef/>
      </w:r>
      <w:r>
        <w:t xml:space="preserve"> </w:t>
      </w:r>
      <w:r w:rsidRPr="00B57D8C">
        <w:t xml:space="preserve">Hudson’s Bay Company, </w:t>
      </w:r>
      <w:r w:rsidRPr="006E07EF">
        <w:rPr>
          <w:i/>
        </w:rPr>
        <w:t>Management’s Discussion and Analysis of Financial Condition and Results of Operations for the Thirteen and Twenty-six Weeks Ended July 29, 2017</w:t>
      </w:r>
      <w:r>
        <w:t>,</w:t>
      </w:r>
      <w:r w:rsidRPr="00B57D8C">
        <w:t xml:space="preserve"> op. cit.</w:t>
      </w:r>
      <w:r>
        <w:t xml:space="preserve"> </w:t>
      </w:r>
    </w:p>
  </w:endnote>
  <w:endnote w:id="25">
    <w:p w14:paraId="4EF76835" w14:textId="5F875B4E" w:rsidR="003E7B9E" w:rsidRPr="00827B1B" w:rsidRDefault="003E7B9E" w:rsidP="00B57D8C">
      <w:pPr>
        <w:pStyle w:val="Footnote"/>
        <w:rPr>
          <w:spacing w:val="-4"/>
          <w:kern w:val="17"/>
        </w:rPr>
      </w:pPr>
      <w:r w:rsidRPr="00827B1B">
        <w:rPr>
          <w:spacing w:val="-4"/>
          <w:kern w:val="17"/>
          <w:vertAlign w:val="superscript"/>
        </w:rPr>
        <w:endnoteRef/>
      </w:r>
      <w:r w:rsidRPr="00827B1B">
        <w:rPr>
          <w:spacing w:val="-4"/>
          <w:kern w:val="17"/>
        </w:rPr>
        <w:t xml:space="preserve"> </w:t>
      </w:r>
      <w:proofErr w:type="spellStart"/>
      <w:r w:rsidRPr="00827B1B">
        <w:rPr>
          <w:spacing w:val="-4"/>
          <w:kern w:val="17"/>
        </w:rPr>
        <w:t>Posadzki</w:t>
      </w:r>
      <w:proofErr w:type="spellEnd"/>
      <w:r w:rsidRPr="00827B1B">
        <w:rPr>
          <w:spacing w:val="-4"/>
          <w:kern w:val="17"/>
        </w:rPr>
        <w:t xml:space="preserve">, </w:t>
      </w:r>
      <w:r>
        <w:rPr>
          <w:spacing w:val="-4"/>
          <w:kern w:val="17"/>
        </w:rPr>
        <w:t xml:space="preserve">op. cit. </w:t>
      </w:r>
    </w:p>
  </w:endnote>
  <w:endnote w:id="26">
    <w:p w14:paraId="04658B28" w14:textId="6FE5D75D" w:rsidR="003E7B9E" w:rsidRPr="00827B1B" w:rsidRDefault="003E7B9E" w:rsidP="00B57D8C">
      <w:pPr>
        <w:pStyle w:val="Footnote"/>
        <w:rPr>
          <w:spacing w:val="-4"/>
          <w:kern w:val="17"/>
        </w:rPr>
      </w:pPr>
      <w:r w:rsidRPr="00827B1B">
        <w:rPr>
          <w:spacing w:val="-4"/>
          <w:kern w:val="17"/>
          <w:vertAlign w:val="superscript"/>
        </w:rPr>
        <w:endnoteRef/>
      </w:r>
      <w:r w:rsidRPr="00827B1B">
        <w:rPr>
          <w:spacing w:val="-4"/>
          <w:kern w:val="17"/>
        </w:rPr>
        <w:t xml:space="preserve"> Walter Loeb, </w:t>
      </w:r>
      <w:r>
        <w:rPr>
          <w:spacing w:val="-4"/>
          <w:kern w:val="17"/>
        </w:rPr>
        <w:t>“</w:t>
      </w:r>
      <w:r w:rsidRPr="00827B1B">
        <w:rPr>
          <w:spacing w:val="-4"/>
          <w:kern w:val="17"/>
        </w:rPr>
        <w:t xml:space="preserve">CEO Jerry </w:t>
      </w:r>
      <w:proofErr w:type="spellStart"/>
      <w:r w:rsidRPr="00827B1B">
        <w:rPr>
          <w:spacing w:val="-4"/>
          <w:kern w:val="17"/>
        </w:rPr>
        <w:t>Storch</w:t>
      </w:r>
      <w:proofErr w:type="spellEnd"/>
      <w:r w:rsidRPr="00827B1B">
        <w:rPr>
          <w:spacing w:val="-4"/>
          <w:kern w:val="17"/>
        </w:rPr>
        <w:t xml:space="preserve"> </w:t>
      </w:r>
      <w:r>
        <w:rPr>
          <w:spacing w:val="-4"/>
          <w:kern w:val="17"/>
        </w:rPr>
        <w:t>E</w:t>
      </w:r>
      <w:r w:rsidRPr="00827B1B">
        <w:rPr>
          <w:spacing w:val="-4"/>
          <w:kern w:val="17"/>
        </w:rPr>
        <w:t xml:space="preserve">xiting in </w:t>
      </w:r>
      <w:r>
        <w:rPr>
          <w:spacing w:val="-4"/>
          <w:kern w:val="17"/>
        </w:rPr>
        <w:t>S</w:t>
      </w:r>
      <w:r w:rsidRPr="00827B1B">
        <w:rPr>
          <w:spacing w:val="-4"/>
          <w:kern w:val="17"/>
        </w:rPr>
        <w:t>hakeup at Hudson’s Bay Company</w:t>
      </w:r>
      <w:r>
        <w:rPr>
          <w:spacing w:val="-4"/>
          <w:kern w:val="17"/>
        </w:rPr>
        <w:t>,</w:t>
      </w:r>
      <w:r w:rsidRPr="00827B1B">
        <w:rPr>
          <w:spacing w:val="-4"/>
          <w:kern w:val="17"/>
        </w:rPr>
        <w:t xml:space="preserve">” </w:t>
      </w:r>
      <w:r w:rsidRPr="005D2914">
        <w:rPr>
          <w:i/>
          <w:spacing w:val="-4"/>
          <w:kern w:val="17"/>
        </w:rPr>
        <w:t>Forbes</w:t>
      </w:r>
      <w:r w:rsidRPr="00827B1B">
        <w:rPr>
          <w:spacing w:val="-4"/>
          <w:kern w:val="17"/>
        </w:rPr>
        <w:t>, October 21, 2017</w:t>
      </w:r>
      <w:r>
        <w:rPr>
          <w:spacing w:val="-4"/>
          <w:kern w:val="17"/>
        </w:rPr>
        <w:t>,</w:t>
      </w:r>
      <w:r w:rsidRPr="00827B1B">
        <w:rPr>
          <w:spacing w:val="-4"/>
          <w:kern w:val="17"/>
        </w:rPr>
        <w:t xml:space="preserve"> </w:t>
      </w:r>
      <w:r w:rsidR="008B5058">
        <w:rPr>
          <w:spacing w:val="-4"/>
          <w:kern w:val="17"/>
        </w:rPr>
        <w:t>a</w:t>
      </w:r>
      <w:r w:rsidR="008B5058" w:rsidRPr="00827B1B">
        <w:rPr>
          <w:spacing w:val="-4"/>
          <w:kern w:val="17"/>
        </w:rPr>
        <w:t xml:space="preserve">ccessed </w:t>
      </w:r>
      <w:r w:rsidRPr="00827B1B">
        <w:rPr>
          <w:spacing w:val="-4"/>
          <w:kern w:val="17"/>
        </w:rPr>
        <w:t>December 28, 2017</w:t>
      </w:r>
      <w:r>
        <w:rPr>
          <w:spacing w:val="-4"/>
          <w:kern w:val="17"/>
        </w:rPr>
        <w:t>,</w:t>
      </w:r>
      <w:r w:rsidRPr="00827B1B">
        <w:rPr>
          <w:spacing w:val="-4"/>
          <w:kern w:val="17"/>
        </w:rPr>
        <w:t xml:space="preserve"> https://www.forbes.com/sites/walterloeb/2017/10/21/shakeup-at-hbc-jerry-storch-leaves-company/#51554fc43245.</w:t>
      </w:r>
    </w:p>
  </w:endnote>
  <w:endnote w:id="27">
    <w:p w14:paraId="46981F19" w14:textId="56350F94" w:rsidR="003E7B9E" w:rsidRDefault="003E7B9E" w:rsidP="00B57D8C">
      <w:pPr>
        <w:pStyle w:val="Footnote"/>
        <w:rPr>
          <w:sz w:val="20"/>
          <w:szCs w:val="20"/>
        </w:rPr>
      </w:pPr>
      <w:r>
        <w:rPr>
          <w:vertAlign w:val="superscript"/>
        </w:rPr>
        <w:endnoteRef/>
      </w:r>
      <w:r>
        <w:t xml:space="preserve"> </w:t>
      </w:r>
      <w:proofErr w:type="spellStart"/>
      <w:r w:rsidRPr="00B57D8C">
        <w:t>Posadzki</w:t>
      </w:r>
      <w:proofErr w:type="spellEnd"/>
      <w:r w:rsidRPr="00B57D8C">
        <w:t>, op. cit.</w:t>
      </w:r>
      <w:r>
        <w:t xml:space="preserve"> </w:t>
      </w:r>
    </w:p>
  </w:endnote>
  <w:endnote w:id="28">
    <w:p w14:paraId="54EDEA4E" w14:textId="4CA37EBA" w:rsidR="003E7B9E" w:rsidRPr="00644BE3" w:rsidRDefault="003E7B9E" w:rsidP="00B57D8C">
      <w:pPr>
        <w:pStyle w:val="Footnote"/>
        <w:rPr>
          <w:spacing w:val="-6"/>
          <w:kern w:val="17"/>
        </w:rPr>
      </w:pPr>
      <w:r w:rsidRPr="00644BE3">
        <w:rPr>
          <w:spacing w:val="-6"/>
          <w:kern w:val="17"/>
          <w:vertAlign w:val="superscript"/>
        </w:rPr>
        <w:endnoteRef/>
      </w:r>
      <w:r w:rsidRPr="00644BE3">
        <w:rPr>
          <w:spacing w:val="-6"/>
          <w:kern w:val="17"/>
        </w:rPr>
        <w:t xml:space="preserve"> Rachelle </w:t>
      </w:r>
      <w:proofErr w:type="spellStart"/>
      <w:r w:rsidRPr="00644BE3">
        <w:rPr>
          <w:spacing w:val="-6"/>
          <w:kern w:val="17"/>
        </w:rPr>
        <w:t>Younglai</w:t>
      </w:r>
      <w:proofErr w:type="spellEnd"/>
      <w:r w:rsidRPr="00644BE3">
        <w:rPr>
          <w:spacing w:val="-6"/>
          <w:kern w:val="17"/>
        </w:rPr>
        <w:t>, “U.S</w:t>
      </w:r>
      <w:r w:rsidR="00B2210C">
        <w:rPr>
          <w:spacing w:val="-6"/>
          <w:kern w:val="17"/>
        </w:rPr>
        <w:t>.</w:t>
      </w:r>
      <w:r w:rsidRPr="00644BE3">
        <w:rPr>
          <w:spacing w:val="-6"/>
          <w:kern w:val="17"/>
        </w:rPr>
        <w:t xml:space="preserve"> </w:t>
      </w:r>
      <w:r>
        <w:rPr>
          <w:spacing w:val="-6"/>
          <w:kern w:val="17"/>
        </w:rPr>
        <w:t>F</w:t>
      </w:r>
      <w:r w:rsidRPr="00644BE3">
        <w:rPr>
          <w:spacing w:val="-6"/>
          <w:kern w:val="17"/>
        </w:rPr>
        <w:t xml:space="preserve">und </w:t>
      </w:r>
      <w:r>
        <w:rPr>
          <w:spacing w:val="-6"/>
          <w:kern w:val="17"/>
        </w:rPr>
        <w:t>T</w:t>
      </w:r>
      <w:r w:rsidRPr="00644BE3">
        <w:rPr>
          <w:spacing w:val="-6"/>
          <w:kern w:val="17"/>
        </w:rPr>
        <w:t xml:space="preserve">hreatens </w:t>
      </w:r>
      <w:r>
        <w:rPr>
          <w:spacing w:val="-6"/>
          <w:kern w:val="17"/>
        </w:rPr>
        <w:t>B</w:t>
      </w:r>
      <w:r w:rsidRPr="00644BE3">
        <w:rPr>
          <w:spacing w:val="-6"/>
          <w:kern w:val="17"/>
        </w:rPr>
        <w:t>o</w:t>
      </w:r>
      <w:r>
        <w:rPr>
          <w:spacing w:val="-6"/>
          <w:kern w:val="17"/>
        </w:rPr>
        <w:t>ar</w:t>
      </w:r>
      <w:r w:rsidRPr="00644BE3">
        <w:rPr>
          <w:spacing w:val="-6"/>
          <w:kern w:val="17"/>
        </w:rPr>
        <w:t xml:space="preserve">d </w:t>
      </w:r>
      <w:r>
        <w:rPr>
          <w:spacing w:val="-6"/>
          <w:kern w:val="17"/>
        </w:rPr>
        <w:t>F</w:t>
      </w:r>
      <w:r w:rsidRPr="00644BE3">
        <w:rPr>
          <w:spacing w:val="-6"/>
          <w:kern w:val="17"/>
        </w:rPr>
        <w:t xml:space="preserve">ight in </w:t>
      </w:r>
      <w:r>
        <w:rPr>
          <w:spacing w:val="-6"/>
          <w:kern w:val="17"/>
        </w:rPr>
        <w:t>P</w:t>
      </w:r>
      <w:r w:rsidRPr="00644BE3">
        <w:rPr>
          <w:spacing w:val="-6"/>
          <w:kern w:val="17"/>
        </w:rPr>
        <w:t xml:space="preserve">ush to </w:t>
      </w:r>
      <w:r>
        <w:rPr>
          <w:spacing w:val="-6"/>
          <w:kern w:val="17"/>
        </w:rPr>
        <w:t>R</w:t>
      </w:r>
      <w:r w:rsidRPr="00644BE3">
        <w:rPr>
          <w:spacing w:val="-6"/>
          <w:kern w:val="17"/>
        </w:rPr>
        <w:t>estructure HBC</w:t>
      </w:r>
      <w:r>
        <w:rPr>
          <w:spacing w:val="-6"/>
          <w:kern w:val="17"/>
        </w:rPr>
        <w:t>,</w:t>
      </w:r>
      <w:r w:rsidRPr="00644BE3">
        <w:rPr>
          <w:spacing w:val="-6"/>
          <w:kern w:val="17"/>
        </w:rPr>
        <w:t xml:space="preserve">” </w:t>
      </w:r>
      <w:r w:rsidRPr="005D2914">
        <w:rPr>
          <w:i/>
          <w:spacing w:val="-6"/>
          <w:kern w:val="17"/>
        </w:rPr>
        <w:t>Globe and Mail</w:t>
      </w:r>
      <w:r w:rsidRPr="00644BE3">
        <w:rPr>
          <w:spacing w:val="-6"/>
          <w:kern w:val="17"/>
        </w:rPr>
        <w:t>, July 31, 2017</w:t>
      </w:r>
      <w:r>
        <w:rPr>
          <w:spacing w:val="-6"/>
          <w:kern w:val="17"/>
        </w:rPr>
        <w:t>,</w:t>
      </w:r>
      <w:r w:rsidRPr="00644BE3">
        <w:rPr>
          <w:spacing w:val="-6"/>
          <w:kern w:val="17"/>
        </w:rPr>
        <w:t xml:space="preserve"> </w:t>
      </w:r>
      <w:r>
        <w:rPr>
          <w:spacing w:val="-6"/>
          <w:kern w:val="17"/>
        </w:rPr>
        <w:t>a</w:t>
      </w:r>
      <w:r w:rsidRPr="00644BE3">
        <w:rPr>
          <w:spacing w:val="-6"/>
          <w:kern w:val="17"/>
        </w:rPr>
        <w:t>ccessed January 2, 2018</w:t>
      </w:r>
      <w:r w:rsidR="008B5058">
        <w:rPr>
          <w:spacing w:val="-6"/>
          <w:kern w:val="17"/>
        </w:rPr>
        <w:t>,</w:t>
      </w:r>
      <w:r w:rsidR="008B5058" w:rsidRPr="00644BE3">
        <w:rPr>
          <w:spacing w:val="-6"/>
          <w:kern w:val="17"/>
        </w:rPr>
        <w:t xml:space="preserve"> </w:t>
      </w:r>
      <w:r w:rsidRPr="00644BE3">
        <w:rPr>
          <w:spacing w:val="-6"/>
          <w:kern w:val="17"/>
        </w:rPr>
        <w:t>https://www.theglobeandmail.com/report-on-business/activist-pushes-for-hbc-to-sell-saks-go-private/article35841521/</w:t>
      </w:r>
      <w:r>
        <w:rPr>
          <w:spacing w:val="-6"/>
          <w:kern w:val="17"/>
        </w:rPr>
        <w:t>.</w:t>
      </w:r>
    </w:p>
  </w:endnote>
  <w:endnote w:id="29">
    <w:p w14:paraId="4642A593" w14:textId="0D8E098A" w:rsidR="003E7B9E" w:rsidRDefault="003E7B9E" w:rsidP="00B57D8C">
      <w:pPr>
        <w:pStyle w:val="Footnote"/>
        <w:rPr>
          <w:sz w:val="20"/>
          <w:szCs w:val="20"/>
        </w:rPr>
      </w:pPr>
      <w:r>
        <w:rPr>
          <w:vertAlign w:val="superscript"/>
        </w:rPr>
        <w:endnoteRef/>
      </w:r>
      <w:r>
        <w:t xml:space="preserve"> Strauss, op. cit</w:t>
      </w:r>
      <w:r w:rsidR="008B5058">
        <w:t>.</w:t>
      </w:r>
    </w:p>
  </w:endnote>
  <w:endnote w:id="30">
    <w:p w14:paraId="05D6E02F" w14:textId="570D37E4" w:rsidR="003E7B9E" w:rsidRDefault="003E7B9E" w:rsidP="00B57D8C">
      <w:pPr>
        <w:pStyle w:val="Footnote"/>
        <w:rPr>
          <w:sz w:val="20"/>
          <w:szCs w:val="20"/>
        </w:rPr>
      </w:pPr>
      <w:r>
        <w:rPr>
          <w:vertAlign w:val="superscript"/>
        </w:rPr>
        <w:endnoteRef/>
      </w:r>
      <w:r>
        <w:t xml:space="preserve"> </w:t>
      </w:r>
      <w:proofErr w:type="spellStart"/>
      <w:r>
        <w:t>Kopun</w:t>
      </w:r>
      <w:proofErr w:type="spellEnd"/>
      <w:r>
        <w:t xml:space="preserve">, op. cit. </w:t>
      </w:r>
    </w:p>
  </w:endnote>
  <w:endnote w:id="31">
    <w:p w14:paraId="1F630E25" w14:textId="18FA704D" w:rsidR="003E7B9E" w:rsidRDefault="003E7B9E" w:rsidP="00B57D8C">
      <w:pPr>
        <w:pStyle w:val="Footnote"/>
      </w:pPr>
      <w:r>
        <w:rPr>
          <w:vertAlign w:val="superscript"/>
        </w:rPr>
        <w:endnoteRef/>
      </w:r>
      <w:r>
        <w:t xml:space="preserve"> “HBC Investor Turns </w:t>
      </w:r>
      <w:proofErr w:type="gramStart"/>
      <w:r>
        <w:t>Up</w:t>
      </w:r>
      <w:proofErr w:type="gramEnd"/>
      <w:r>
        <w:t xml:space="preserve"> Heat on Retailer to Tap into Value of Its Real Estate,” CBC News, July 31, 2017, accessed January 2, 2018, www.cbc.ca/news/business/hbc-investor-lands-buildings-1.4229128.</w:t>
      </w:r>
    </w:p>
  </w:endnote>
  <w:endnote w:id="32">
    <w:p w14:paraId="36225538" w14:textId="00AC0AE1" w:rsidR="003E7B9E" w:rsidRDefault="003E7B9E" w:rsidP="00B57D8C">
      <w:pPr>
        <w:pStyle w:val="Footnote"/>
      </w:pPr>
      <w:r>
        <w:rPr>
          <w:vertAlign w:val="superscript"/>
        </w:rPr>
        <w:endnoteRef/>
      </w:r>
      <w:r>
        <w:t xml:space="preserve"> “Austrian Firm Makes Bid for HBC’s </w:t>
      </w:r>
      <w:proofErr w:type="spellStart"/>
      <w:r>
        <w:t>Galeria</w:t>
      </w:r>
      <w:proofErr w:type="spellEnd"/>
      <w:r>
        <w:t xml:space="preserve"> </w:t>
      </w:r>
      <w:proofErr w:type="spellStart"/>
      <w:r>
        <w:t>Kaufhof</w:t>
      </w:r>
      <w:proofErr w:type="spellEnd"/>
      <w:r>
        <w:t xml:space="preserve"> of Germany,” CBC News, November 1, 2017, accessed January 2, 2018, www.cbc.ca/news/business/hbc-Galeria-kaufhof-1.4382036.</w:t>
      </w:r>
    </w:p>
  </w:endnote>
  <w:endnote w:id="33">
    <w:p w14:paraId="5E2C0C86" w14:textId="1653CF38" w:rsidR="003E7B9E" w:rsidRPr="00B57D8C" w:rsidRDefault="003E7B9E" w:rsidP="00B57D8C">
      <w:pPr>
        <w:pStyle w:val="Footnote"/>
        <w:rPr>
          <w:spacing w:val="-4"/>
          <w:kern w:val="17"/>
          <w:sz w:val="20"/>
          <w:szCs w:val="20"/>
        </w:rPr>
      </w:pPr>
      <w:r w:rsidRPr="00B57D8C">
        <w:rPr>
          <w:spacing w:val="-4"/>
          <w:kern w:val="17"/>
          <w:vertAlign w:val="superscript"/>
        </w:rPr>
        <w:endnoteRef/>
      </w:r>
      <w:r w:rsidRPr="00B57D8C">
        <w:rPr>
          <w:spacing w:val="-4"/>
          <w:kern w:val="17"/>
        </w:rPr>
        <w:t xml:space="preserve"> </w:t>
      </w:r>
      <w:proofErr w:type="spellStart"/>
      <w:r w:rsidRPr="00B57D8C">
        <w:rPr>
          <w:spacing w:val="-4"/>
          <w:kern w:val="17"/>
        </w:rPr>
        <w:t>Kop</w:t>
      </w:r>
      <w:r>
        <w:rPr>
          <w:spacing w:val="-4"/>
          <w:kern w:val="17"/>
        </w:rPr>
        <w:t>un</w:t>
      </w:r>
      <w:proofErr w:type="spellEnd"/>
      <w:r w:rsidRPr="00B57D8C">
        <w:rPr>
          <w:spacing w:val="-4"/>
          <w:kern w:val="17"/>
        </w:rPr>
        <w:t xml:space="preserve">, </w:t>
      </w:r>
      <w:r>
        <w:rPr>
          <w:spacing w:val="-4"/>
          <w:kern w:val="17"/>
        </w:rPr>
        <w:t>op. cit</w:t>
      </w:r>
      <w:r w:rsidRPr="00B57D8C">
        <w:rPr>
          <w:spacing w:val="-4"/>
          <w:kern w:val="17"/>
        </w:rPr>
        <w:t>.</w:t>
      </w:r>
    </w:p>
  </w:endnote>
  <w:endnote w:id="34">
    <w:p w14:paraId="5AE95FF2" w14:textId="4E8A2A60" w:rsidR="003E7B9E" w:rsidRDefault="003E7B9E" w:rsidP="00B57D8C">
      <w:pPr>
        <w:pStyle w:val="Footnote"/>
      </w:pPr>
      <w:r>
        <w:rPr>
          <w:vertAlign w:val="superscript"/>
        </w:rPr>
        <w:endnoteRef/>
      </w:r>
      <w:r>
        <w:t xml:space="preserve"> Hollie Shaw, “In Sears’ Shadow: Hudson’s Bay CEO Exit Has Investors Nervous about Department Stores’ Future,” </w:t>
      </w:r>
      <w:r w:rsidRPr="005D2914">
        <w:rPr>
          <w:i/>
        </w:rPr>
        <w:t>Financial Post</w:t>
      </w:r>
      <w:r>
        <w:t>, October 23, 2017, accessed January 2, 2018, http://business.financialpost.com/news/retail-marketing/in-sears-shadow-hudsons-bay-ceos-exit-leaves-investors-nervous-about-future-of-department-stores.</w:t>
      </w:r>
    </w:p>
  </w:endnote>
  <w:endnote w:id="35">
    <w:p w14:paraId="4612BD00" w14:textId="16B8B50A" w:rsidR="003E7B9E" w:rsidRPr="00827B1B" w:rsidRDefault="003E7B9E" w:rsidP="00B57D8C">
      <w:pPr>
        <w:pStyle w:val="Footnote"/>
        <w:rPr>
          <w:spacing w:val="-4"/>
          <w:kern w:val="17"/>
          <w:sz w:val="20"/>
          <w:szCs w:val="20"/>
        </w:rPr>
      </w:pPr>
      <w:r w:rsidRPr="00827B1B">
        <w:rPr>
          <w:spacing w:val="-4"/>
          <w:kern w:val="17"/>
          <w:vertAlign w:val="superscript"/>
        </w:rPr>
        <w:endnoteRef/>
      </w:r>
      <w:r w:rsidRPr="00827B1B">
        <w:rPr>
          <w:spacing w:val="-4"/>
          <w:kern w:val="17"/>
        </w:rPr>
        <w:t xml:space="preserve"> Solomon Israel, “Hudson’s Bay Co. </w:t>
      </w:r>
      <w:r>
        <w:rPr>
          <w:spacing w:val="-4"/>
          <w:kern w:val="17"/>
        </w:rPr>
        <w:t>M</w:t>
      </w:r>
      <w:r w:rsidRPr="00827B1B">
        <w:rPr>
          <w:spacing w:val="-4"/>
          <w:kern w:val="17"/>
        </w:rPr>
        <w:t xml:space="preserve">isled </w:t>
      </w:r>
      <w:r>
        <w:rPr>
          <w:spacing w:val="-4"/>
          <w:kern w:val="17"/>
        </w:rPr>
        <w:t>C</w:t>
      </w:r>
      <w:r w:rsidRPr="00827B1B">
        <w:rPr>
          <w:spacing w:val="-4"/>
          <w:kern w:val="17"/>
        </w:rPr>
        <w:t xml:space="preserve">onsumers on </w:t>
      </w:r>
      <w:r>
        <w:rPr>
          <w:spacing w:val="-4"/>
          <w:kern w:val="17"/>
        </w:rPr>
        <w:t>M</w:t>
      </w:r>
      <w:r w:rsidRPr="00827B1B">
        <w:rPr>
          <w:spacing w:val="-4"/>
          <w:kern w:val="17"/>
        </w:rPr>
        <w:t xml:space="preserve">attress </w:t>
      </w:r>
      <w:r>
        <w:rPr>
          <w:spacing w:val="-4"/>
          <w:kern w:val="17"/>
        </w:rPr>
        <w:t>P</w:t>
      </w:r>
      <w:r w:rsidRPr="00827B1B">
        <w:rPr>
          <w:spacing w:val="-4"/>
          <w:kern w:val="17"/>
        </w:rPr>
        <w:t xml:space="preserve">rices </w:t>
      </w:r>
      <w:r>
        <w:rPr>
          <w:spacing w:val="-4"/>
          <w:kern w:val="17"/>
        </w:rPr>
        <w:t>S</w:t>
      </w:r>
      <w:r w:rsidRPr="00827B1B">
        <w:rPr>
          <w:spacing w:val="-4"/>
          <w:kern w:val="17"/>
        </w:rPr>
        <w:t>ays Competition Bureau</w:t>
      </w:r>
      <w:r>
        <w:rPr>
          <w:spacing w:val="-4"/>
          <w:kern w:val="17"/>
        </w:rPr>
        <w:t>,</w:t>
      </w:r>
      <w:r w:rsidRPr="00827B1B">
        <w:rPr>
          <w:spacing w:val="-4"/>
          <w:kern w:val="17"/>
        </w:rPr>
        <w:t>” CBC News, February 22, 2017</w:t>
      </w:r>
      <w:r>
        <w:rPr>
          <w:spacing w:val="-4"/>
          <w:kern w:val="17"/>
        </w:rPr>
        <w:t>,</w:t>
      </w:r>
      <w:r w:rsidRPr="00827B1B">
        <w:rPr>
          <w:spacing w:val="-4"/>
          <w:kern w:val="17"/>
        </w:rPr>
        <w:t xml:space="preserve"> </w:t>
      </w:r>
      <w:r>
        <w:rPr>
          <w:spacing w:val="-4"/>
          <w:kern w:val="17"/>
        </w:rPr>
        <w:t>a</w:t>
      </w:r>
      <w:r w:rsidRPr="00827B1B">
        <w:rPr>
          <w:spacing w:val="-4"/>
          <w:kern w:val="17"/>
        </w:rPr>
        <w:t>ccessed January 2, 2018</w:t>
      </w:r>
      <w:r>
        <w:rPr>
          <w:spacing w:val="-4"/>
          <w:kern w:val="17"/>
        </w:rPr>
        <w:t>,</w:t>
      </w:r>
      <w:r w:rsidRPr="00827B1B">
        <w:rPr>
          <w:spacing w:val="-4"/>
          <w:kern w:val="17"/>
        </w:rPr>
        <w:t xml:space="preserve"> www.cbc.ca/news/business/competition-bureau-hudsons-bay-mattress-1.3994068.</w:t>
      </w:r>
    </w:p>
  </w:endnote>
  <w:endnote w:id="36">
    <w:p w14:paraId="57E98D07" w14:textId="54ADB793" w:rsidR="003E7B9E" w:rsidRDefault="003E7B9E" w:rsidP="00B57D8C">
      <w:pPr>
        <w:pStyle w:val="Footnote"/>
        <w:rPr>
          <w:sz w:val="20"/>
          <w:szCs w:val="20"/>
        </w:rPr>
      </w:pPr>
      <w:r>
        <w:rPr>
          <w:vertAlign w:val="superscript"/>
        </w:rPr>
        <w:endnoteRef/>
      </w:r>
      <w:r>
        <w:t xml:space="preserve"> </w:t>
      </w:r>
      <w:r w:rsidRPr="00B57D8C">
        <w:t>Ibid.</w:t>
      </w:r>
    </w:p>
  </w:endnote>
  <w:endnote w:id="37">
    <w:p w14:paraId="35D43231" w14:textId="6C9FE2C5" w:rsidR="003E7B9E" w:rsidRDefault="003E7B9E" w:rsidP="00B57D8C">
      <w:pPr>
        <w:pStyle w:val="Footnote"/>
      </w:pPr>
      <w:r>
        <w:rPr>
          <w:vertAlign w:val="superscript"/>
        </w:rPr>
        <w:endnoteRef/>
      </w:r>
      <w:r>
        <w:t xml:space="preserve"> Linda Nguyen, “Canadian Retailers Must Disrupt—</w:t>
      </w:r>
      <w:proofErr w:type="gramStart"/>
      <w:r>
        <w:t>Or</w:t>
      </w:r>
      <w:proofErr w:type="gramEnd"/>
      <w:r>
        <w:t xml:space="preserve"> Be Disrupted,” </w:t>
      </w:r>
      <w:r w:rsidRPr="005D2914">
        <w:rPr>
          <w:i/>
        </w:rPr>
        <w:t>Toronto Star</w:t>
      </w:r>
      <w:r>
        <w:t>, December 14, 2016, accessed January 2, 2018, https://www.thestar.com/business/2016/12/14/canadian-retailers-must-disrupt-or-be-disrupted.html.</w:t>
      </w:r>
    </w:p>
  </w:endnote>
  <w:endnote w:id="38">
    <w:p w14:paraId="289643D0" w14:textId="1B86986D" w:rsidR="003E7B9E" w:rsidRDefault="003E7B9E" w:rsidP="00B57D8C">
      <w:pPr>
        <w:pStyle w:val="Footnote"/>
      </w:pPr>
      <w:r>
        <w:rPr>
          <w:vertAlign w:val="superscript"/>
        </w:rPr>
        <w:endnoteRef/>
      </w:r>
      <w:r>
        <w:t xml:space="preserve"> “Canada—Apparel Retail,” </w:t>
      </w:r>
      <w:proofErr w:type="spellStart"/>
      <w:r>
        <w:t>Marketline</w:t>
      </w:r>
      <w:proofErr w:type="spellEnd"/>
      <w:r>
        <w:t xml:space="preserve"> Advantage, September 13, 2016, accessed January 2, 2018. </w:t>
      </w:r>
      <w:r w:rsidR="00F34160" w:rsidRPr="00031C75">
        <w:t>https://store.marketline.com/report/mlohme7036--apparel-retail-in-</w:t>
      </w:r>
      <w:proofErr w:type="spellStart"/>
      <w:r w:rsidR="00F34160" w:rsidRPr="00031C75">
        <w:t>canada</w:t>
      </w:r>
      <w:proofErr w:type="spellEnd"/>
      <w:r w:rsidR="00F34160" w:rsidRPr="00031C75">
        <w:t>/</w:t>
      </w:r>
      <w:r w:rsidR="00F34160">
        <w:t xml:space="preserve">. </w:t>
      </w:r>
    </w:p>
  </w:endnote>
  <w:endnote w:id="39">
    <w:p w14:paraId="27B45D61" w14:textId="0723B75E" w:rsidR="003E7B9E" w:rsidRPr="00031C75" w:rsidRDefault="003E7B9E" w:rsidP="00B57D8C">
      <w:pPr>
        <w:pStyle w:val="Footnote"/>
        <w:rPr>
          <w:spacing w:val="-4"/>
          <w:kern w:val="17"/>
          <w:sz w:val="20"/>
          <w:szCs w:val="20"/>
        </w:rPr>
      </w:pPr>
      <w:r w:rsidRPr="00031C75">
        <w:rPr>
          <w:spacing w:val="-4"/>
          <w:kern w:val="17"/>
          <w:vertAlign w:val="superscript"/>
        </w:rPr>
        <w:endnoteRef/>
      </w:r>
      <w:r w:rsidRPr="00031C75">
        <w:rPr>
          <w:spacing w:val="-4"/>
          <w:kern w:val="17"/>
        </w:rPr>
        <w:t xml:space="preserve"> Nguyen, op. cit</w:t>
      </w:r>
      <w:r w:rsidR="008B5058">
        <w:rPr>
          <w:spacing w:val="-4"/>
          <w:kern w:val="17"/>
        </w:rPr>
        <w:t>.</w:t>
      </w:r>
    </w:p>
  </w:endnote>
  <w:endnote w:id="40">
    <w:p w14:paraId="4D6F0B68" w14:textId="179478B6" w:rsidR="003E7B9E" w:rsidRDefault="003E7B9E" w:rsidP="00B57D8C">
      <w:pPr>
        <w:pStyle w:val="Footnote"/>
        <w:rPr>
          <w:sz w:val="20"/>
          <w:szCs w:val="20"/>
        </w:rPr>
      </w:pPr>
      <w:r>
        <w:rPr>
          <w:vertAlign w:val="superscript"/>
        </w:rPr>
        <w:endnoteRef/>
      </w:r>
      <w:r>
        <w:t xml:space="preserve"> Hudson’s Bay Company, </w:t>
      </w:r>
      <w:r w:rsidRPr="006E07EF">
        <w:rPr>
          <w:i/>
        </w:rPr>
        <w:t>Management’s Discussion and Analysis of Financial Condition and Results of Operations for the Thirteen and Twenty-six Weeks ended July 29, 2017</w:t>
      </w:r>
      <w:r>
        <w:t xml:space="preserve">, op. cit. </w:t>
      </w:r>
    </w:p>
  </w:endnote>
  <w:endnote w:id="41">
    <w:p w14:paraId="38158553" w14:textId="29B7AF21" w:rsidR="003E7B9E" w:rsidRPr="00031C75" w:rsidRDefault="003E7B9E" w:rsidP="00B57D8C">
      <w:pPr>
        <w:pStyle w:val="Footnote"/>
        <w:rPr>
          <w:spacing w:val="-4"/>
          <w:kern w:val="17"/>
          <w:sz w:val="20"/>
          <w:szCs w:val="20"/>
        </w:rPr>
      </w:pPr>
      <w:r w:rsidRPr="00031C75">
        <w:rPr>
          <w:spacing w:val="-4"/>
          <w:kern w:val="17"/>
          <w:vertAlign w:val="superscript"/>
        </w:rPr>
        <w:endnoteRef/>
      </w:r>
      <w:r w:rsidRPr="00031C75">
        <w:rPr>
          <w:spacing w:val="-4"/>
          <w:kern w:val="17"/>
        </w:rPr>
        <w:t xml:space="preserve"> Nguyen, op. cit. </w:t>
      </w:r>
    </w:p>
  </w:endnote>
  <w:endnote w:id="42">
    <w:p w14:paraId="2CA89440" w14:textId="08EFE07D" w:rsidR="003E7B9E" w:rsidRDefault="003E7B9E" w:rsidP="00B57D8C">
      <w:pPr>
        <w:pStyle w:val="Footnote"/>
      </w:pPr>
      <w:r>
        <w:rPr>
          <w:vertAlign w:val="superscript"/>
        </w:rPr>
        <w:endnoteRef/>
      </w:r>
      <w:r>
        <w:t xml:space="preserve"> </w:t>
      </w:r>
      <w:r w:rsidR="00ED5D24">
        <w:t xml:space="preserve">Katie Dangerfield, “Sears Canada: The rise and fall of the department store empire,” Global News, October 13, 2017, accessed April 19, 2018, </w:t>
      </w:r>
      <w:r w:rsidR="00ED5D24" w:rsidRPr="00ED5D24">
        <w:t>https://globalnews.ca/news/3796409/sears-canada-history/</w:t>
      </w:r>
      <w:r w:rsidR="00ED5D24">
        <w:t xml:space="preserve">. </w:t>
      </w:r>
      <w:r>
        <w:t xml:space="preserve"> </w:t>
      </w:r>
    </w:p>
  </w:endnote>
  <w:endnote w:id="43">
    <w:p w14:paraId="35648A25" w14:textId="5A8A36EB" w:rsidR="003E7B9E" w:rsidRDefault="003E7B9E" w:rsidP="00827B1B">
      <w:pPr>
        <w:pStyle w:val="Footnote"/>
        <w:rPr>
          <w:sz w:val="20"/>
          <w:szCs w:val="20"/>
        </w:rPr>
      </w:pPr>
      <w:r>
        <w:rPr>
          <w:vertAlign w:val="superscript"/>
        </w:rPr>
        <w:endnoteRef/>
      </w:r>
      <w:r>
        <w:t xml:space="preserve"> </w:t>
      </w:r>
      <w:r w:rsidRPr="00827B1B">
        <w:t xml:space="preserve">The Canadian Press, “Timeline: Sears Canada through the </w:t>
      </w:r>
      <w:r>
        <w:t>D</w:t>
      </w:r>
      <w:r w:rsidRPr="00827B1B">
        <w:t>ecades</w:t>
      </w:r>
      <w:r>
        <w:t>,</w:t>
      </w:r>
      <w:r w:rsidRPr="00827B1B">
        <w:t>” BNN, October 11, 2017</w:t>
      </w:r>
      <w:r>
        <w:t>,</w:t>
      </w:r>
      <w:r w:rsidRPr="00827B1B">
        <w:t xml:space="preserve"> </w:t>
      </w:r>
      <w:r>
        <w:t>a</w:t>
      </w:r>
      <w:r w:rsidRPr="00827B1B">
        <w:t>ccessed January 2, 2018</w:t>
      </w:r>
      <w:r>
        <w:t xml:space="preserve">, </w:t>
      </w:r>
      <w:r w:rsidRPr="00827B1B">
        <w:t>https://www.bnn.ca/timeline-sears-canada-through-the-decades-1.881690.</w:t>
      </w:r>
    </w:p>
  </w:endnote>
  <w:endnote w:id="44">
    <w:p w14:paraId="6D14804F" w14:textId="45ED6952" w:rsidR="003E7B9E" w:rsidRPr="00031C75" w:rsidRDefault="003E7B9E" w:rsidP="00B57D8C">
      <w:pPr>
        <w:pStyle w:val="Footnote"/>
        <w:rPr>
          <w:kern w:val="17"/>
        </w:rPr>
      </w:pPr>
      <w:r w:rsidRPr="00031C75">
        <w:rPr>
          <w:kern w:val="17"/>
          <w:vertAlign w:val="superscript"/>
        </w:rPr>
        <w:endnoteRef/>
      </w:r>
      <w:r w:rsidRPr="00031C75">
        <w:rPr>
          <w:kern w:val="17"/>
        </w:rPr>
        <w:t xml:space="preserve"> Hollie Shaw, “‘Following the Eaton’s Death Spiral’ Sears to End 65 Years of Retail History,” </w:t>
      </w:r>
      <w:r w:rsidRPr="00031C75">
        <w:rPr>
          <w:i/>
          <w:kern w:val="17"/>
        </w:rPr>
        <w:t>Financial Post</w:t>
      </w:r>
      <w:r w:rsidRPr="00031C75">
        <w:rPr>
          <w:kern w:val="17"/>
        </w:rPr>
        <w:t xml:space="preserve">, October 10, 2017, accessed January 2, 2018, http://business.financialpost.com/news/retail-marketing/brief-sears-canada-to-seek-court-approval-for-liquidation. </w:t>
      </w:r>
    </w:p>
  </w:endnote>
  <w:endnote w:id="45">
    <w:p w14:paraId="468B52DB" w14:textId="747B7751" w:rsidR="003E7B9E" w:rsidRDefault="003E7B9E" w:rsidP="00B57D8C">
      <w:pPr>
        <w:pStyle w:val="Footnote"/>
        <w:rPr>
          <w:sz w:val="20"/>
          <w:szCs w:val="20"/>
        </w:rPr>
      </w:pPr>
      <w:r>
        <w:rPr>
          <w:vertAlign w:val="superscript"/>
        </w:rPr>
        <w:endnoteRef/>
      </w:r>
      <w:r>
        <w:t xml:space="preserve"> The Canadian Press, op. cit. </w:t>
      </w:r>
    </w:p>
  </w:endnote>
  <w:endnote w:id="46">
    <w:p w14:paraId="69F674A5" w14:textId="34DA8AD8" w:rsidR="003E7B9E" w:rsidRDefault="003E7B9E" w:rsidP="00B57D8C">
      <w:pPr>
        <w:pStyle w:val="Footnote"/>
        <w:rPr>
          <w:sz w:val="20"/>
          <w:szCs w:val="20"/>
        </w:rPr>
      </w:pPr>
      <w:r>
        <w:rPr>
          <w:vertAlign w:val="superscript"/>
        </w:rPr>
        <w:endnoteRef/>
      </w:r>
      <w:r>
        <w:t xml:space="preserve"> Aleksandra Sagan and Linda Nguyen, “Timeline: The Rise and Decline of Sears Canada,” CTV News, June 13, 2017, accessed January 2, 2018, https://www.ctvnews.ca/business/timeline-the-rise-and-decline-of-sears-canada-1.3457205. </w:t>
      </w:r>
    </w:p>
  </w:endnote>
  <w:endnote w:id="47">
    <w:p w14:paraId="2EE5DD05" w14:textId="3F9D582F" w:rsidR="003E7B9E" w:rsidRPr="00827B1B" w:rsidRDefault="003E7B9E" w:rsidP="00B57D8C">
      <w:pPr>
        <w:pStyle w:val="Footnote"/>
        <w:rPr>
          <w:spacing w:val="-4"/>
          <w:kern w:val="17"/>
        </w:rPr>
      </w:pPr>
      <w:r w:rsidRPr="00827B1B">
        <w:rPr>
          <w:spacing w:val="-4"/>
          <w:kern w:val="17"/>
          <w:vertAlign w:val="superscript"/>
        </w:rPr>
        <w:endnoteRef/>
      </w:r>
      <w:r w:rsidRPr="00827B1B">
        <w:rPr>
          <w:spacing w:val="-4"/>
          <w:kern w:val="17"/>
        </w:rPr>
        <w:t xml:space="preserve"> “Sears Canada’s Most Valuable Real Estate [Analysis]</w:t>
      </w:r>
      <w:r>
        <w:rPr>
          <w:spacing w:val="-4"/>
          <w:kern w:val="17"/>
        </w:rPr>
        <w:t>,</w:t>
      </w:r>
      <w:r w:rsidRPr="00827B1B">
        <w:rPr>
          <w:spacing w:val="-4"/>
          <w:kern w:val="17"/>
        </w:rPr>
        <w:t>” Retail Insider, July 25, 2017</w:t>
      </w:r>
      <w:r>
        <w:rPr>
          <w:spacing w:val="-4"/>
          <w:kern w:val="17"/>
        </w:rPr>
        <w:t>,</w:t>
      </w:r>
      <w:r w:rsidRPr="00827B1B">
        <w:rPr>
          <w:spacing w:val="-4"/>
          <w:kern w:val="17"/>
        </w:rPr>
        <w:t xml:space="preserve"> </w:t>
      </w:r>
      <w:r>
        <w:rPr>
          <w:spacing w:val="-4"/>
          <w:kern w:val="17"/>
        </w:rPr>
        <w:t>a</w:t>
      </w:r>
      <w:r w:rsidRPr="00827B1B">
        <w:rPr>
          <w:spacing w:val="-4"/>
          <w:kern w:val="17"/>
        </w:rPr>
        <w:t>ccessed January 2, 2018</w:t>
      </w:r>
      <w:r>
        <w:rPr>
          <w:spacing w:val="-4"/>
          <w:kern w:val="17"/>
        </w:rPr>
        <w:t>,</w:t>
      </w:r>
      <w:r w:rsidRPr="00827B1B">
        <w:rPr>
          <w:spacing w:val="-4"/>
          <w:kern w:val="17"/>
        </w:rPr>
        <w:t xml:space="preserve"> </w:t>
      </w:r>
    </w:p>
    <w:p w14:paraId="435CE50E" w14:textId="77777777" w:rsidR="003E7B9E" w:rsidRDefault="003E7B9E" w:rsidP="00B57D8C">
      <w:pPr>
        <w:pStyle w:val="Footnote"/>
        <w:rPr>
          <w:sz w:val="20"/>
          <w:szCs w:val="20"/>
        </w:rPr>
      </w:pPr>
      <w:r w:rsidRPr="00827B1B">
        <w:rPr>
          <w:spacing w:val="-4"/>
          <w:kern w:val="17"/>
        </w:rPr>
        <w:t>https://www.retail-insider.com/retail-insider/2017/7/26/sears-canada-most-valuable-real-estate-best-locations.</w:t>
      </w:r>
      <w:r>
        <w:t xml:space="preserve"> </w:t>
      </w:r>
    </w:p>
  </w:endnote>
  <w:endnote w:id="48">
    <w:p w14:paraId="5DCC1490" w14:textId="2ABB038F" w:rsidR="003E7B9E" w:rsidRDefault="003E7B9E" w:rsidP="00B57D8C">
      <w:pPr>
        <w:pStyle w:val="Footnote"/>
        <w:rPr>
          <w:sz w:val="20"/>
          <w:szCs w:val="20"/>
        </w:rPr>
      </w:pPr>
      <w:r>
        <w:rPr>
          <w:vertAlign w:val="superscript"/>
        </w:rPr>
        <w:endnoteRef/>
      </w:r>
      <w:r>
        <w:t xml:space="preserve"> Sagan and Nguyen, op. cit. </w:t>
      </w:r>
    </w:p>
  </w:endnote>
  <w:endnote w:id="49">
    <w:p w14:paraId="793DC747" w14:textId="39EEAA7B" w:rsidR="003E7B9E" w:rsidRDefault="003E7B9E" w:rsidP="00B57D8C">
      <w:pPr>
        <w:pStyle w:val="Footnote"/>
        <w:rPr>
          <w:sz w:val="20"/>
          <w:szCs w:val="20"/>
        </w:rPr>
      </w:pPr>
      <w:r>
        <w:rPr>
          <w:vertAlign w:val="superscript"/>
        </w:rPr>
        <w:endnoteRef/>
      </w:r>
      <w:r>
        <w:t xml:space="preserve"> Shaw, “‘Following the Eaton’s Death Spiral’ Sears to End 65 Years of Retail History,” op. cit. </w:t>
      </w:r>
    </w:p>
  </w:endnote>
  <w:endnote w:id="50">
    <w:p w14:paraId="5212EF5E" w14:textId="140EFD30" w:rsidR="003E7B9E" w:rsidRPr="00031C75" w:rsidRDefault="003E7B9E" w:rsidP="00B57D8C">
      <w:pPr>
        <w:pStyle w:val="Footnote"/>
        <w:rPr>
          <w:spacing w:val="-4"/>
          <w:kern w:val="17"/>
          <w:sz w:val="20"/>
          <w:szCs w:val="20"/>
        </w:rPr>
      </w:pPr>
      <w:r w:rsidRPr="00031C75">
        <w:rPr>
          <w:spacing w:val="-4"/>
          <w:kern w:val="17"/>
          <w:vertAlign w:val="superscript"/>
        </w:rPr>
        <w:endnoteRef/>
      </w:r>
      <w:r w:rsidRPr="00031C75">
        <w:rPr>
          <w:spacing w:val="-4"/>
          <w:kern w:val="17"/>
          <w:sz w:val="20"/>
          <w:szCs w:val="20"/>
        </w:rPr>
        <w:t xml:space="preserve"> </w:t>
      </w:r>
      <w:r w:rsidRPr="00031C75">
        <w:rPr>
          <w:spacing w:val="-4"/>
          <w:kern w:val="17"/>
        </w:rPr>
        <w:t>Sears Canada Inc., “Sears Canada Announces First Quarter 2017 Results,” press release, Newswire, June 13, 2017, accessed January 2, 2018</w:t>
      </w:r>
      <w:r w:rsidR="008B5058">
        <w:rPr>
          <w:spacing w:val="-4"/>
          <w:kern w:val="17"/>
        </w:rPr>
        <w:t>,</w:t>
      </w:r>
      <w:r w:rsidR="008B5058" w:rsidRPr="00031C75">
        <w:rPr>
          <w:spacing w:val="-4"/>
          <w:kern w:val="17"/>
        </w:rPr>
        <w:t xml:space="preserve"> </w:t>
      </w:r>
      <w:r w:rsidRPr="00031C75">
        <w:rPr>
          <w:spacing w:val="-4"/>
          <w:kern w:val="17"/>
        </w:rPr>
        <w:t xml:space="preserve">https://www.newswire.ca/news-releases/sears-canada-announces-first-quarter-2017-results-628147053.html. </w:t>
      </w:r>
    </w:p>
  </w:endnote>
  <w:endnote w:id="51">
    <w:p w14:paraId="3B75DDAA" w14:textId="2B503875" w:rsidR="003E7B9E" w:rsidRDefault="003E7B9E" w:rsidP="00B57D8C">
      <w:pPr>
        <w:pStyle w:val="Footnote"/>
        <w:rPr>
          <w:sz w:val="20"/>
          <w:szCs w:val="20"/>
        </w:rPr>
      </w:pPr>
      <w:r>
        <w:rPr>
          <w:vertAlign w:val="superscript"/>
        </w:rPr>
        <w:endnoteRef/>
      </w:r>
      <w:r>
        <w:t xml:space="preserve"> Murad </w:t>
      </w:r>
      <w:proofErr w:type="spellStart"/>
      <w:r>
        <w:t>Hemmadi</w:t>
      </w:r>
      <w:proofErr w:type="spellEnd"/>
      <w:r>
        <w:t xml:space="preserve">, “Sears Canada: The Timeline of Its Slow-Motion Collapse,” </w:t>
      </w:r>
      <w:r w:rsidRPr="005D2914">
        <w:rPr>
          <w:i/>
        </w:rPr>
        <w:t>Maclean’s</w:t>
      </w:r>
      <w:r>
        <w:t xml:space="preserve">, August 22, 2017, accessed January 2, 2018, www.macleans.ca/economy/business/sears-canada-the-timeline-of-its-slow-motion-collapse/. </w:t>
      </w:r>
    </w:p>
  </w:endnote>
  <w:endnote w:id="52">
    <w:p w14:paraId="33C5878B" w14:textId="7B6D1D8B" w:rsidR="003E7B9E" w:rsidRDefault="003E7B9E" w:rsidP="00B57D8C">
      <w:pPr>
        <w:pStyle w:val="Footnote"/>
        <w:rPr>
          <w:sz w:val="20"/>
          <w:szCs w:val="20"/>
        </w:rPr>
      </w:pPr>
      <w:r>
        <w:rPr>
          <w:vertAlign w:val="superscript"/>
        </w:rPr>
        <w:endnoteRef/>
      </w:r>
      <w:r>
        <w:t xml:space="preserve"> Sagan and Nguyen,</w:t>
      </w:r>
      <w:hyperlink w:history="1"/>
      <w:r>
        <w:t xml:space="preserve"> op. cit. </w:t>
      </w:r>
    </w:p>
  </w:endnote>
  <w:endnote w:id="53">
    <w:p w14:paraId="28763ABA" w14:textId="0DAC5CB5" w:rsidR="003E7B9E" w:rsidRDefault="003E7B9E" w:rsidP="00B57D8C">
      <w:pPr>
        <w:pStyle w:val="Footnote"/>
      </w:pPr>
      <w:r>
        <w:rPr>
          <w:vertAlign w:val="superscript"/>
        </w:rPr>
        <w:endnoteRef/>
      </w:r>
      <w:r>
        <w:t xml:space="preserve"> Lauren Thomas, “Nordstrom to Roll </w:t>
      </w:r>
      <w:proofErr w:type="gramStart"/>
      <w:r>
        <w:t>Out</w:t>
      </w:r>
      <w:proofErr w:type="gramEnd"/>
      <w:r>
        <w:t xml:space="preserve"> Smaller Stores with No Merchandise, More Experiences,” CNBC, September 11, 2017, accessed January 2, 2018, https://www.cnbc.com/2017/09/11/nordstrom-to-roll-out-small-nordstrom-local-shops-with-no-inventory.html.</w:t>
      </w:r>
    </w:p>
  </w:endnote>
  <w:endnote w:id="54">
    <w:p w14:paraId="5AB7C99C" w14:textId="7A9FDEC9" w:rsidR="003E7B9E" w:rsidRDefault="003E7B9E" w:rsidP="00B57D8C">
      <w:pPr>
        <w:pStyle w:val="Footnote"/>
      </w:pPr>
      <w:r>
        <w:rPr>
          <w:vertAlign w:val="superscript"/>
        </w:rPr>
        <w:endnoteRef/>
      </w:r>
      <w:r>
        <w:t xml:space="preserve"> Nordstrom, “Nordstrom Reports Third Quarter 2017 Earnings,” news release, Nordstrom.com, November 9, 2017, accessed January 2, 2018, http://investor.nordstrom.com/phoenix.zhtml?c=93295&amp;p=irol-newsArticle&amp;ID=2316007.</w:t>
      </w:r>
    </w:p>
  </w:endnote>
  <w:endnote w:id="55">
    <w:p w14:paraId="57BE4FEB" w14:textId="53A79CB0" w:rsidR="003E7B9E" w:rsidRPr="00827B1B" w:rsidRDefault="003E7B9E" w:rsidP="00B57D8C">
      <w:pPr>
        <w:pStyle w:val="Footnote"/>
        <w:rPr>
          <w:spacing w:val="-4"/>
          <w:kern w:val="17"/>
          <w:sz w:val="20"/>
          <w:szCs w:val="20"/>
        </w:rPr>
      </w:pPr>
      <w:r w:rsidRPr="00827B1B">
        <w:rPr>
          <w:spacing w:val="-4"/>
          <w:kern w:val="17"/>
          <w:vertAlign w:val="superscript"/>
        </w:rPr>
        <w:endnoteRef/>
      </w:r>
      <w:r w:rsidRPr="00827B1B">
        <w:rPr>
          <w:spacing w:val="-4"/>
          <w:kern w:val="17"/>
        </w:rPr>
        <w:t xml:space="preserve"> Marina Strauss, “Nordstrom </w:t>
      </w:r>
      <w:r>
        <w:rPr>
          <w:spacing w:val="-4"/>
          <w:kern w:val="17"/>
        </w:rPr>
        <w:t>B</w:t>
      </w:r>
      <w:r w:rsidRPr="00827B1B">
        <w:rPr>
          <w:spacing w:val="-4"/>
          <w:kern w:val="17"/>
        </w:rPr>
        <w:t xml:space="preserve">ets on a </w:t>
      </w:r>
      <w:r>
        <w:rPr>
          <w:spacing w:val="-4"/>
          <w:kern w:val="17"/>
        </w:rPr>
        <w:t>S</w:t>
      </w:r>
      <w:r w:rsidRPr="00827B1B">
        <w:rPr>
          <w:spacing w:val="-4"/>
          <w:kern w:val="17"/>
        </w:rPr>
        <w:t xml:space="preserve">low, </w:t>
      </w:r>
      <w:r>
        <w:rPr>
          <w:spacing w:val="-4"/>
          <w:kern w:val="17"/>
        </w:rPr>
        <w:t>C</w:t>
      </w:r>
      <w:r w:rsidRPr="00827B1B">
        <w:rPr>
          <w:spacing w:val="-4"/>
          <w:kern w:val="17"/>
        </w:rPr>
        <w:t xml:space="preserve">autious </w:t>
      </w:r>
      <w:r>
        <w:rPr>
          <w:spacing w:val="-4"/>
          <w:kern w:val="17"/>
        </w:rPr>
        <w:t>E</w:t>
      </w:r>
      <w:r w:rsidRPr="00827B1B">
        <w:rPr>
          <w:spacing w:val="-4"/>
          <w:kern w:val="17"/>
        </w:rPr>
        <w:t>ntry into Canada</w:t>
      </w:r>
      <w:r>
        <w:rPr>
          <w:spacing w:val="-4"/>
          <w:kern w:val="17"/>
        </w:rPr>
        <w:t>,</w:t>
      </w:r>
      <w:r w:rsidRPr="00827B1B">
        <w:rPr>
          <w:spacing w:val="-4"/>
          <w:kern w:val="17"/>
        </w:rPr>
        <w:t xml:space="preserve">” </w:t>
      </w:r>
      <w:r w:rsidRPr="005D2914">
        <w:rPr>
          <w:i/>
          <w:spacing w:val="-4"/>
          <w:kern w:val="17"/>
        </w:rPr>
        <w:t>Globe and Mail</w:t>
      </w:r>
      <w:r w:rsidRPr="00827B1B">
        <w:rPr>
          <w:spacing w:val="-4"/>
          <w:kern w:val="17"/>
        </w:rPr>
        <w:t>, August 18, 2014</w:t>
      </w:r>
      <w:r>
        <w:rPr>
          <w:spacing w:val="-4"/>
          <w:kern w:val="17"/>
        </w:rPr>
        <w:t>,</w:t>
      </w:r>
      <w:r w:rsidRPr="00827B1B">
        <w:rPr>
          <w:spacing w:val="-4"/>
          <w:kern w:val="17"/>
        </w:rPr>
        <w:t xml:space="preserve"> </w:t>
      </w:r>
      <w:r>
        <w:rPr>
          <w:spacing w:val="-4"/>
          <w:kern w:val="17"/>
        </w:rPr>
        <w:t>a</w:t>
      </w:r>
      <w:r w:rsidRPr="00827B1B">
        <w:rPr>
          <w:spacing w:val="-4"/>
          <w:kern w:val="17"/>
        </w:rPr>
        <w:t>ccessed January 2, 2018</w:t>
      </w:r>
      <w:r>
        <w:rPr>
          <w:spacing w:val="-4"/>
          <w:kern w:val="17"/>
        </w:rPr>
        <w:t>,</w:t>
      </w:r>
      <w:r w:rsidRPr="00827B1B">
        <w:rPr>
          <w:spacing w:val="-4"/>
          <w:kern w:val="17"/>
        </w:rPr>
        <w:t xml:space="preserve"> https://www.theglobeandmail.com/report-on-business/nordstrom-bets-on-a-slow-entry-into-canada/article20100322/. </w:t>
      </w:r>
    </w:p>
  </w:endnote>
  <w:endnote w:id="56">
    <w:p w14:paraId="3B0CD9F1" w14:textId="6E4E46B9" w:rsidR="003E7B9E" w:rsidRDefault="003E7B9E" w:rsidP="00B57D8C">
      <w:pPr>
        <w:pStyle w:val="Footnote"/>
        <w:rPr>
          <w:sz w:val="20"/>
          <w:szCs w:val="20"/>
        </w:rPr>
      </w:pPr>
      <w:r>
        <w:rPr>
          <w:vertAlign w:val="superscript"/>
        </w:rPr>
        <w:endnoteRef/>
      </w:r>
      <w:r>
        <w:t xml:space="preserve"> Hayley Peterson, “5 Reasons Target Failed in Canada,” Business Insider, January 15, 2015, accessed January 2, 2018, www.businessinsider.com/why-target-canada-failed-2015-1. </w:t>
      </w:r>
    </w:p>
  </w:endnote>
  <w:endnote w:id="57">
    <w:p w14:paraId="7711B7C8" w14:textId="7ED65F5F" w:rsidR="003E7B9E" w:rsidRDefault="003E7B9E" w:rsidP="00B57D8C">
      <w:pPr>
        <w:pStyle w:val="Footnote"/>
        <w:rPr>
          <w:sz w:val="20"/>
          <w:szCs w:val="20"/>
        </w:rPr>
      </w:pPr>
      <w:r>
        <w:rPr>
          <w:vertAlign w:val="superscript"/>
        </w:rPr>
        <w:endnoteRef/>
      </w:r>
      <w:r>
        <w:t xml:space="preserve"> Strauss, “Nordstrom Bets on a Slow, Cautious Entry into Canada,” op. cit. </w:t>
      </w:r>
    </w:p>
  </w:endnote>
  <w:endnote w:id="58">
    <w:p w14:paraId="7DC46D90" w14:textId="609C3FA4" w:rsidR="003E7B9E" w:rsidRDefault="003E7B9E" w:rsidP="00B57D8C">
      <w:pPr>
        <w:pStyle w:val="Footnote"/>
        <w:rPr>
          <w:sz w:val="20"/>
          <w:szCs w:val="20"/>
        </w:rPr>
      </w:pPr>
      <w:r>
        <w:rPr>
          <w:vertAlign w:val="superscript"/>
        </w:rPr>
        <w:endnoteRef/>
      </w:r>
      <w:r w:rsidR="002F689C">
        <w:t xml:space="preserve"> Ibid.</w:t>
      </w:r>
    </w:p>
  </w:endnote>
  <w:endnote w:id="59">
    <w:p w14:paraId="2CA911BD" w14:textId="293CAFCB" w:rsidR="003E7B9E" w:rsidRDefault="003E7B9E" w:rsidP="00B57D8C">
      <w:pPr>
        <w:pStyle w:val="Footnote"/>
        <w:rPr>
          <w:sz w:val="20"/>
          <w:szCs w:val="20"/>
        </w:rPr>
      </w:pPr>
      <w:r w:rsidRPr="00827B1B">
        <w:rPr>
          <w:spacing w:val="-4"/>
          <w:kern w:val="17"/>
          <w:vertAlign w:val="superscript"/>
        </w:rPr>
        <w:endnoteRef/>
      </w:r>
      <w:r w:rsidRPr="00827B1B">
        <w:rPr>
          <w:spacing w:val="-4"/>
          <w:kern w:val="17"/>
        </w:rPr>
        <w:t xml:space="preserve"> The Associated Press, “Nordstrom </w:t>
      </w:r>
      <w:r>
        <w:rPr>
          <w:spacing w:val="-4"/>
          <w:kern w:val="17"/>
        </w:rPr>
        <w:t>T</w:t>
      </w:r>
      <w:r w:rsidRPr="00827B1B">
        <w:rPr>
          <w:spacing w:val="-4"/>
          <w:kern w:val="17"/>
        </w:rPr>
        <w:t xml:space="preserve">emporarily </w:t>
      </w:r>
      <w:r>
        <w:rPr>
          <w:spacing w:val="-4"/>
          <w:kern w:val="17"/>
        </w:rPr>
        <w:t>H</w:t>
      </w:r>
      <w:r w:rsidRPr="00827B1B">
        <w:rPr>
          <w:spacing w:val="-4"/>
          <w:kern w:val="17"/>
        </w:rPr>
        <w:t xml:space="preserve">alts </w:t>
      </w:r>
      <w:r>
        <w:rPr>
          <w:spacing w:val="-4"/>
          <w:kern w:val="17"/>
        </w:rPr>
        <w:t>I</w:t>
      </w:r>
      <w:r w:rsidRPr="00827B1B">
        <w:rPr>
          <w:spacing w:val="-4"/>
          <w:kern w:val="17"/>
        </w:rPr>
        <w:t xml:space="preserve">ts </w:t>
      </w:r>
      <w:r>
        <w:rPr>
          <w:spacing w:val="-4"/>
          <w:kern w:val="17"/>
        </w:rPr>
        <w:t>S</w:t>
      </w:r>
      <w:r w:rsidRPr="00827B1B">
        <w:rPr>
          <w:spacing w:val="-4"/>
          <w:kern w:val="17"/>
        </w:rPr>
        <w:t xml:space="preserve">earch for </w:t>
      </w:r>
      <w:r>
        <w:rPr>
          <w:spacing w:val="-4"/>
          <w:kern w:val="17"/>
        </w:rPr>
        <w:t>B</w:t>
      </w:r>
      <w:r w:rsidRPr="00827B1B">
        <w:rPr>
          <w:spacing w:val="-4"/>
          <w:kern w:val="17"/>
        </w:rPr>
        <w:t>uyer</w:t>
      </w:r>
      <w:r>
        <w:rPr>
          <w:spacing w:val="-4"/>
          <w:kern w:val="17"/>
        </w:rPr>
        <w:t>,</w:t>
      </w:r>
      <w:r w:rsidRPr="00827B1B">
        <w:rPr>
          <w:spacing w:val="-4"/>
          <w:kern w:val="17"/>
        </w:rPr>
        <w:t xml:space="preserve">” </w:t>
      </w:r>
      <w:r w:rsidRPr="005D2914">
        <w:rPr>
          <w:i/>
          <w:spacing w:val="-4"/>
          <w:kern w:val="17"/>
        </w:rPr>
        <w:t>Toronto Star</w:t>
      </w:r>
      <w:r w:rsidRPr="00827B1B">
        <w:rPr>
          <w:spacing w:val="-4"/>
          <w:kern w:val="17"/>
        </w:rPr>
        <w:t>, October 16, 2017</w:t>
      </w:r>
      <w:r>
        <w:rPr>
          <w:spacing w:val="-4"/>
          <w:kern w:val="17"/>
        </w:rPr>
        <w:t>,</w:t>
      </w:r>
      <w:r w:rsidRPr="00827B1B">
        <w:rPr>
          <w:spacing w:val="-4"/>
          <w:kern w:val="17"/>
        </w:rPr>
        <w:t xml:space="preserve"> </w:t>
      </w:r>
      <w:r>
        <w:rPr>
          <w:spacing w:val="-4"/>
          <w:kern w:val="17"/>
        </w:rPr>
        <w:t>a</w:t>
      </w:r>
      <w:r w:rsidRPr="00827B1B">
        <w:rPr>
          <w:spacing w:val="-4"/>
          <w:kern w:val="17"/>
        </w:rPr>
        <w:t>ccessed January 2, 2018</w:t>
      </w:r>
      <w:r>
        <w:rPr>
          <w:spacing w:val="-4"/>
          <w:kern w:val="17"/>
        </w:rPr>
        <w:t xml:space="preserve">, </w:t>
      </w:r>
      <w:r w:rsidRPr="00827B1B">
        <w:rPr>
          <w:spacing w:val="-4"/>
          <w:kern w:val="17"/>
        </w:rPr>
        <w:t xml:space="preserve">https://www.thestar.com/business/2017/10/16/nordstrom-temporarily-halts-its-search-for-buyer.html. </w:t>
      </w:r>
    </w:p>
  </w:endnote>
  <w:endnote w:id="60">
    <w:p w14:paraId="6D1A57B3" w14:textId="39F5A667" w:rsidR="003E7B9E" w:rsidRDefault="003E7B9E" w:rsidP="00B57D8C">
      <w:pPr>
        <w:pStyle w:val="Footnote"/>
        <w:rPr>
          <w:sz w:val="20"/>
          <w:szCs w:val="20"/>
        </w:rPr>
      </w:pPr>
      <w:r>
        <w:rPr>
          <w:vertAlign w:val="superscript"/>
        </w:rPr>
        <w:endnoteRef/>
      </w:r>
      <w:r>
        <w:t xml:space="preserve"> Thomas, op. cit. </w:t>
      </w:r>
    </w:p>
  </w:endnote>
  <w:endnote w:id="61">
    <w:p w14:paraId="637E6525" w14:textId="0E094F42" w:rsidR="003E7B9E" w:rsidRDefault="003E7B9E" w:rsidP="00B57D8C">
      <w:pPr>
        <w:pStyle w:val="Footnote"/>
        <w:rPr>
          <w:sz w:val="20"/>
          <w:szCs w:val="20"/>
        </w:rPr>
      </w:pPr>
      <w:r>
        <w:rPr>
          <w:vertAlign w:val="superscript"/>
        </w:rPr>
        <w:endnoteRef/>
      </w:r>
      <w:r w:rsidR="002F689C">
        <w:t xml:space="preserve"> Ibid.</w:t>
      </w:r>
    </w:p>
  </w:endnote>
  <w:endnote w:id="62">
    <w:p w14:paraId="02FB35FB" w14:textId="07C38037" w:rsidR="003E7B9E" w:rsidRPr="002F689C" w:rsidRDefault="003E7B9E" w:rsidP="00B57D8C">
      <w:pPr>
        <w:pStyle w:val="Footnote"/>
      </w:pPr>
      <w:r w:rsidRPr="002F689C">
        <w:rPr>
          <w:vertAlign w:val="superscript"/>
        </w:rPr>
        <w:endnoteRef/>
      </w:r>
      <w:r w:rsidRPr="002F689C">
        <w:t xml:space="preserve"> </w:t>
      </w:r>
      <w:proofErr w:type="spellStart"/>
      <w:r w:rsidRPr="002F689C">
        <w:t>Marketline</w:t>
      </w:r>
      <w:proofErr w:type="spellEnd"/>
      <w:r w:rsidRPr="002F689C">
        <w:t xml:space="preserve">, “Hudson’s Bay Company,” op. cit. </w:t>
      </w:r>
    </w:p>
  </w:endnote>
  <w:endnote w:id="63">
    <w:p w14:paraId="7A52831F" w14:textId="637CF9FA" w:rsidR="003E7B9E" w:rsidRPr="005D2914" w:rsidRDefault="003E7B9E" w:rsidP="00B57D8C">
      <w:pPr>
        <w:pStyle w:val="Footnote"/>
      </w:pPr>
      <w:r w:rsidRPr="003E7B9E">
        <w:rPr>
          <w:vertAlign w:val="superscript"/>
        </w:rPr>
        <w:endnoteRef/>
      </w:r>
      <w:r w:rsidRPr="003E7B9E">
        <w:t xml:space="preserve"> Strauss, “Baker’s Battle”, op. cit. </w:t>
      </w:r>
    </w:p>
  </w:endnote>
  <w:endnote w:id="64">
    <w:p w14:paraId="4A7D2B28" w14:textId="00412B1F" w:rsidR="003E7B9E" w:rsidRDefault="003E7B9E" w:rsidP="00B57D8C">
      <w:pPr>
        <w:pStyle w:val="Footnote"/>
      </w:pPr>
      <w:r>
        <w:rPr>
          <w:vertAlign w:val="superscript"/>
        </w:rPr>
        <w:endnoteRef/>
      </w:r>
      <w:r>
        <w:t xml:space="preserve"> Hudson’s Bay Company, </w:t>
      </w:r>
      <w:r w:rsidRPr="006E07EF">
        <w:rPr>
          <w:i/>
        </w:rPr>
        <w:t>Management’s Discussion and Analysis of Financial Condition and Results of Operations for the Thirteen and Twenty-six Weeks Ended July 29, 2017</w:t>
      </w:r>
      <w:r>
        <w:t>,</w:t>
      </w:r>
      <w:r w:rsidR="00D46D81">
        <w:t xml:space="preserve"> </w:t>
      </w:r>
      <w:r>
        <w:t xml:space="preserve">op. cit. </w:t>
      </w:r>
    </w:p>
  </w:endnote>
  <w:endnote w:id="65">
    <w:p w14:paraId="3EED87DB" w14:textId="75BBA8EA" w:rsidR="003E7B9E" w:rsidRDefault="003E7B9E" w:rsidP="00B57D8C">
      <w:pPr>
        <w:pStyle w:val="Footnote"/>
        <w:rPr>
          <w:sz w:val="20"/>
          <w:szCs w:val="20"/>
        </w:rPr>
      </w:pPr>
      <w:r>
        <w:rPr>
          <w:vertAlign w:val="superscript"/>
        </w:rPr>
        <w:endnoteRef/>
      </w:r>
      <w:r w:rsidR="002F689C">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E2172" w14:textId="77777777" w:rsidR="002A24A6" w:rsidRDefault="002A24A6" w:rsidP="00D75295">
      <w:r>
        <w:separator/>
      </w:r>
    </w:p>
  </w:footnote>
  <w:footnote w:type="continuationSeparator" w:id="0">
    <w:p w14:paraId="3F526B6A" w14:textId="77777777" w:rsidR="002A24A6" w:rsidRDefault="002A24A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6848E" w14:textId="0B2774FA" w:rsidR="003E7B9E" w:rsidRPr="00C92CC4" w:rsidRDefault="003E7B9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27054">
      <w:rPr>
        <w:rFonts w:ascii="Arial" w:hAnsi="Arial"/>
        <w:b/>
        <w:noProof/>
      </w:rPr>
      <w:t>9</w:t>
    </w:r>
    <w:r>
      <w:rPr>
        <w:rFonts w:ascii="Arial" w:hAnsi="Arial"/>
        <w:b/>
      </w:rPr>
      <w:fldChar w:fldCharType="end"/>
    </w:r>
    <w:r>
      <w:rPr>
        <w:rFonts w:ascii="Arial" w:hAnsi="Arial"/>
        <w:b/>
      </w:rPr>
      <w:tab/>
    </w:r>
    <w:r w:rsidR="00E23C32">
      <w:rPr>
        <w:rFonts w:ascii="Arial" w:hAnsi="Arial"/>
        <w:b/>
      </w:rPr>
      <w:t>9B18M075</w:t>
    </w:r>
  </w:p>
  <w:p w14:paraId="2F1823BD" w14:textId="77777777" w:rsidR="003E7B9E" w:rsidRDefault="003E7B9E" w:rsidP="00D13667">
    <w:pPr>
      <w:pStyle w:val="Header"/>
      <w:tabs>
        <w:tab w:val="clear" w:pos="4680"/>
      </w:tabs>
      <w:rPr>
        <w:sz w:val="18"/>
        <w:szCs w:val="18"/>
      </w:rPr>
    </w:pPr>
  </w:p>
  <w:p w14:paraId="4C1FCF91" w14:textId="77777777" w:rsidR="003E7B9E" w:rsidRPr="00C92CC4" w:rsidRDefault="003E7B9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E3A66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8AA60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55CBC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3BED9D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9A2F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E9A947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65CD85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22279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16247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020AF0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8862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1C75"/>
    <w:rsid w:val="00035F09"/>
    <w:rsid w:val="00036736"/>
    <w:rsid w:val="00044ECC"/>
    <w:rsid w:val="000531D3"/>
    <w:rsid w:val="0005646B"/>
    <w:rsid w:val="00062DD5"/>
    <w:rsid w:val="0008102D"/>
    <w:rsid w:val="00082A79"/>
    <w:rsid w:val="00090FE9"/>
    <w:rsid w:val="00094C0E"/>
    <w:rsid w:val="000D3813"/>
    <w:rsid w:val="000D7091"/>
    <w:rsid w:val="000F0C22"/>
    <w:rsid w:val="000F6B09"/>
    <w:rsid w:val="000F6FDC"/>
    <w:rsid w:val="00104567"/>
    <w:rsid w:val="00104916"/>
    <w:rsid w:val="00104AA7"/>
    <w:rsid w:val="00111936"/>
    <w:rsid w:val="00127054"/>
    <w:rsid w:val="0012732D"/>
    <w:rsid w:val="00143F25"/>
    <w:rsid w:val="00152682"/>
    <w:rsid w:val="00154FC9"/>
    <w:rsid w:val="0019241A"/>
    <w:rsid w:val="001A22D1"/>
    <w:rsid w:val="001A752D"/>
    <w:rsid w:val="001A757E"/>
    <w:rsid w:val="001B113F"/>
    <w:rsid w:val="001B5032"/>
    <w:rsid w:val="001C7777"/>
    <w:rsid w:val="001E364F"/>
    <w:rsid w:val="001F4222"/>
    <w:rsid w:val="00203AA1"/>
    <w:rsid w:val="00213E98"/>
    <w:rsid w:val="0022185C"/>
    <w:rsid w:val="0023081A"/>
    <w:rsid w:val="00261289"/>
    <w:rsid w:val="00271BF6"/>
    <w:rsid w:val="00276714"/>
    <w:rsid w:val="002A24A6"/>
    <w:rsid w:val="002B0D0A"/>
    <w:rsid w:val="002C7F2B"/>
    <w:rsid w:val="002F460C"/>
    <w:rsid w:val="002F48D6"/>
    <w:rsid w:val="002F689C"/>
    <w:rsid w:val="00303339"/>
    <w:rsid w:val="00317391"/>
    <w:rsid w:val="00326216"/>
    <w:rsid w:val="00336580"/>
    <w:rsid w:val="00337025"/>
    <w:rsid w:val="00337D7F"/>
    <w:rsid w:val="00354899"/>
    <w:rsid w:val="00355FD6"/>
    <w:rsid w:val="00364A5C"/>
    <w:rsid w:val="00373FB1"/>
    <w:rsid w:val="0038014B"/>
    <w:rsid w:val="00396C76"/>
    <w:rsid w:val="003B1D65"/>
    <w:rsid w:val="003B30D8"/>
    <w:rsid w:val="003B7EF2"/>
    <w:rsid w:val="003C3FA4"/>
    <w:rsid w:val="003D0BA1"/>
    <w:rsid w:val="003D519C"/>
    <w:rsid w:val="003E7B9E"/>
    <w:rsid w:val="003F2B0C"/>
    <w:rsid w:val="004105B2"/>
    <w:rsid w:val="00412900"/>
    <w:rsid w:val="004221E4"/>
    <w:rsid w:val="004273F8"/>
    <w:rsid w:val="004355A3"/>
    <w:rsid w:val="00446546"/>
    <w:rsid w:val="00452769"/>
    <w:rsid w:val="00465348"/>
    <w:rsid w:val="004A60C1"/>
    <w:rsid w:val="004A730B"/>
    <w:rsid w:val="004B1CCB"/>
    <w:rsid w:val="004B632F"/>
    <w:rsid w:val="004D3FB1"/>
    <w:rsid w:val="004D6F21"/>
    <w:rsid w:val="004D73A5"/>
    <w:rsid w:val="005160F1"/>
    <w:rsid w:val="00524F2F"/>
    <w:rsid w:val="00527E5C"/>
    <w:rsid w:val="00532CF5"/>
    <w:rsid w:val="0055080F"/>
    <w:rsid w:val="005528CB"/>
    <w:rsid w:val="00566771"/>
    <w:rsid w:val="00581E2E"/>
    <w:rsid w:val="00584890"/>
    <w:rsid w:val="00584F15"/>
    <w:rsid w:val="0059514B"/>
    <w:rsid w:val="005A1B0F"/>
    <w:rsid w:val="005A4146"/>
    <w:rsid w:val="005D2914"/>
    <w:rsid w:val="005E57FE"/>
    <w:rsid w:val="005F6F78"/>
    <w:rsid w:val="006163F7"/>
    <w:rsid w:val="00620D47"/>
    <w:rsid w:val="00627C63"/>
    <w:rsid w:val="00631CDF"/>
    <w:rsid w:val="0063350B"/>
    <w:rsid w:val="00644BE3"/>
    <w:rsid w:val="00652606"/>
    <w:rsid w:val="006946EE"/>
    <w:rsid w:val="006A58A9"/>
    <w:rsid w:val="006A606D"/>
    <w:rsid w:val="006C0371"/>
    <w:rsid w:val="006C08B6"/>
    <w:rsid w:val="006C0B1A"/>
    <w:rsid w:val="006C1611"/>
    <w:rsid w:val="006C6065"/>
    <w:rsid w:val="006C7F9F"/>
    <w:rsid w:val="006E07EF"/>
    <w:rsid w:val="006E2F6D"/>
    <w:rsid w:val="006E58F6"/>
    <w:rsid w:val="006E77E1"/>
    <w:rsid w:val="006F131D"/>
    <w:rsid w:val="006F2CBF"/>
    <w:rsid w:val="00711642"/>
    <w:rsid w:val="00715C78"/>
    <w:rsid w:val="007321CC"/>
    <w:rsid w:val="007507C6"/>
    <w:rsid w:val="00751E0B"/>
    <w:rsid w:val="00752BCD"/>
    <w:rsid w:val="00766DA1"/>
    <w:rsid w:val="00780D94"/>
    <w:rsid w:val="007866A6"/>
    <w:rsid w:val="00796D32"/>
    <w:rsid w:val="007A130D"/>
    <w:rsid w:val="007B0148"/>
    <w:rsid w:val="007D1A2D"/>
    <w:rsid w:val="007D4102"/>
    <w:rsid w:val="007F43B7"/>
    <w:rsid w:val="00821FFC"/>
    <w:rsid w:val="008271CA"/>
    <w:rsid w:val="00827B1B"/>
    <w:rsid w:val="008467D5"/>
    <w:rsid w:val="00866375"/>
    <w:rsid w:val="00876B9D"/>
    <w:rsid w:val="0088761E"/>
    <w:rsid w:val="008A4DC4"/>
    <w:rsid w:val="008B438C"/>
    <w:rsid w:val="008B5058"/>
    <w:rsid w:val="008D06CA"/>
    <w:rsid w:val="008D380C"/>
    <w:rsid w:val="008D3A46"/>
    <w:rsid w:val="008E33FB"/>
    <w:rsid w:val="008F22C1"/>
    <w:rsid w:val="009067A4"/>
    <w:rsid w:val="00911216"/>
    <w:rsid w:val="00930885"/>
    <w:rsid w:val="00933D68"/>
    <w:rsid w:val="009340DB"/>
    <w:rsid w:val="0094618C"/>
    <w:rsid w:val="0095684B"/>
    <w:rsid w:val="00972498"/>
    <w:rsid w:val="0097481F"/>
    <w:rsid w:val="00974CC6"/>
    <w:rsid w:val="00976AD4"/>
    <w:rsid w:val="00995547"/>
    <w:rsid w:val="0099628E"/>
    <w:rsid w:val="009A312F"/>
    <w:rsid w:val="009A5348"/>
    <w:rsid w:val="009B0AB7"/>
    <w:rsid w:val="009C76D5"/>
    <w:rsid w:val="009E255D"/>
    <w:rsid w:val="009F7AA4"/>
    <w:rsid w:val="00A10AD7"/>
    <w:rsid w:val="00A2479E"/>
    <w:rsid w:val="00A559DB"/>
    <w:rsid w:val="00A569EA"/>
    <w:rsid w:val="00A6477D"/>
    <w:rsid w:val="00AF35FC"/>
    <w:rsid w:val="00AF5556"/>
    <w:rsid w:val="00B00FBB"/>
    <w:rsid w:val="00B03639"/>
    <w:rsid w:val="00B0652A"/>
    <w:rsid w:val="00B2210C"/>
    <w:rsid w:val="00B40937"/>
    <w:rsid w:val="00B423EF"/>
    <w:rsid w:val="00B453DE"/>
    <w:rsid w:val="00B57D8C"/>
    <w:rsid w:val="00B72597"/>
    <w:rsid w:val="00B756F7"/>
    <w:rsid w:val="00B901F9"/>
    <w:rsid w:val="00BA0774"/>
    <w:rsid w:val="00BD6EFB"/>
    <w:rsid w:val="00BF19B1"/>
    <w:rsid w:val="00C1584D"/>
    <w:rsid w:val="00C15BE2"/>
    <w:rsid w:val="00C3447F"/>
    <w:rsid w:val="00C5687C"/>
    <w:rsid w:val="00C67102"/>
    <w:rsid w:val="00C679C3"/>
    <w:rsid w:val="00C81491"/>
    <w:rsid w:val="00C81676"/>
    <w:rsid w:val="00C85C5D"/>
    <w:rsid w:val="00C87AD7"/>
    <w:rsid w:val="00C92CC4"/>
    <w:rsid w:val="00C9335C"/>
    <w:rsid w:val="00CA0AFB"/>
    <w:rsid w:val="00CA2CE1"/>
    <w:rsid w:val="00CA3976"/>
    <w:rsid w:val="00CA50E3"/>
    <w:rsid w:val="00CA757B"/>
    <w:rsid w:val="00CA7A69"/>
    <w:rsid w:val="00CC1787"/>
    <w:rsid w:val="00CC182C"/>
    <w:rsid w:val="00CD0824"/>
    <w:rsid w:val="00CD2908"/>
    <w:rsid w:val="00CE7E70"/>
    <w:rsid w:val="00D03A82"/>
    <w:rsid w:val="00D13667"/>
    <w:rsid w:val="00D15344"/>
    <w:rsid w:val="00D23F57"/>
    <w:rsid w:val="00D31BEC"/>
    <w:rsid w:val="00D32180"/>
    <w:rsid w:val="00D46D81"/>
    <w:rsid w:val="00D55C53"/>
    <w:rsid w:val="00D63150"/>
    <w:rsid w:val="00D636BA"/>
    <w:rsid w:val="00D64A32"/>
    <w:rsid w:val="00D64EFC"/>
    <w:rsid w:val="00D75295"/>
    <w:rsid w:val="00D76CE9"/>
    <w:rsid w:val="00D97F12"/>
    <w:rsid w:val="00DA33CD"/>
    <w:rsid w:val="00DA6095"/>
    <w:rsid w:val="00DB42E7"/>
    <w:rsid w:val="00DC5D96"/>
    <w:rsid w:val="00DE01A6"/>
    <w:rsid w:val="00DE7A98"/>
    <w:rsid w:val="00DF32C2"/>
    <w:rsid w:val="00E23C32"/>
    <w:rsid w:val="00E27F75"/>
    <w:rsid w:val="00E442CE"/>
    <w:rsid w:val="00E471A7"/>
    <w:rsid w:val="00E47A9E"/>
    <w:rsid w:val="00E635CF"/>
    <w:rsid w:val="00EC6E0A"/>
    <w:rsid w:val="00ED4E18"/>
    <w:rsid w:val="00ED5D24"/>
    <w:rsid w:val="00EE1F37"/>
    <w:rsid w:val="00EE4066"/>
    <w:rsid w:val="00EF5367"/>
    <w:rsid w:val="00F0159C"/>
    <w:rsid w:val="00F0324C"/>
    <w:rsid w:val="00F105B7"/>
    <w:rsid w:val="00F13220"/>
    <w:rsid w:val="00F17A21"/>
    <w:rsid w:val="00F33C5E"/>
    <w:rsid w:val="00F34160"/>
    <w:rsid w:val="00F37B27"/>
    <w:rsid w:val="00F41813"/>
    <w:rsid w:val="00F46556"/>
    <w:rsid w:val="00F50E91"/>
    <w:rsid w:val="00F57D29"/>
    <w:rsid w:val="00F85CF2"/>
    <w:rsid w:val="00F96201"/>
    <w:rsid w:val="00FA07DD"/>
    <w:rsid w:val="00FB7D48"/>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2F4B510"/>
  <w15:docId w15:val="{F3B5821A-8595-4896-A3F5-D8D006A0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FB7D48"/>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x69b2" TargetMode="External"/><Relationship Id="rId4" Type="http://schemas.openxmlformats.org/officeDocument/2006/relationships/settings" Target="settings.xml"/><Relationship Id="rId9" Type="http://schemas.openxmlformats.org/officeDocument/2006/relationships/hyperlink" Target="https://iveypubs.my.salesforce.com/003A000001vCj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4941DE-95A4-4977-8266-AC1EDD9D97D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C1975B9-C779-448B-90CA-53F82352E9C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AE417-7F21-474B-85AD-82BCFF955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3532</Words>
  <Characters>20134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2018-04-20T15:17:00Z</dcterms:created>
  <dcterms:modified xsi:type="dcterms:W3CDTF">2018-04-27T14:13:00Z</dcterms:modified>
</cp:coreProperties>
</file>